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BB" w:rsidRDefault="00CA363A">
      <w:r>
        <w:rPr>
          <w:lang w:val="tr-TR" w:eastAsia="tr-TR"/>
        </w:rPr>
        <w:pict>
          <v:shapetype id="_x0000_t202" coordsize="21600,21600" o:spt="202" path="m,l,21600r21600,l21600,xe">
            <v:stroke joinstyle="miter"/>
            <v:path gradientshapeok="t" o:connecttype="rect"/>
          </v:shapetype>
          <v:shape id="Metin Kutusu 5" o:spid="_x0000_s1027" type="#_x0000_t202" style="position:absolute;margin-left:406.9pt;margin-top:5.05pt;width:116.4pt;height:23.5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" stroked="f">
            <v:fill opacity="0"/>
            <v:textbox inset="0,0,0,0">
              <w:txbxContent>
                <w:p w:rsidR="007344F5" w:rsidRDefault="007344F5" w:rsidP="007344F5">
                  <w:pPr>
                    <w:pStyle w:val="Heading3"/>
                    <w:jc w:val="center"/>
                  </w:pPr>
                  <w:r>
                    <w:rPr>
                      <w:color w:val="FFFFFF"/>
                      <w:sz w:val="22"/>
                      <w:szCs w:val="22"/>
                      <w:lang w:val="tr-TR"/>
                    </w:rPr>
                    <w:t xml:space="preserve"> 21 April 2016</w:t>
                  </w:r>
                </w:p>
              </w:txbxContent>
            </v:textbox>
          </v:shape>
        </w:pict>
      </w:r>
      <w:r>
        <w:rPr>
          <w:lang w:val="tr-TR" w:eastAsia="tr-TR"/>
        </w:rPr>
        <w:pict>
          <v:shape id="Metin Kutusu 3" o:spid="_x0000_s1026" type="#_x0000_t202" style="position:absolute;margin-left:129.65pt;margin-top:-48.2pt;width:312.1pt;height:3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" stroked="f">
            <v:fill opacity="0"/>
            <v:textbox inset="0,0,0,0">
              <w:txbxContent>
                <w:p w:rsidR="00EA09BB" w:rsidRPr="0051258E" w:rsidRDefault="0051258E" w:rsidP="00EA09BB">
                  <w:pPr>
                    <w:pStyle w:val="Heading1"/>
                    <w:rPr>
                      <w:rFonts w:ascii="Times New Roman" w:hAnsi="Times New Roman"/>
                      <w:sz w:val="52"/>
                      <w:szCs w:val="52"/>
                      <w:lang w:val="en-US"/>
                    </w:rPr>
                  </w:pPr>
                  <w:r w:rsidRPr="0051258E">
                    <w:rPr>
                      <w:rFonts w:ascii="Times New Roman" w:hAnsi="Times New Roman"/>
                      <w:sz w:val="52"/>
                      <w:szCs w:val="52"/>
                      <w:lang w:val="en-US"/>
                    </w:rPr>
                    <w:t>Research Brief</w:t>
                  </w:r>
                  <w:r w:rsidR="00EA09BB" w:rsidRPr="0051258E">
                    <w:rPr>
                      <w:rFonts w:ascii="Times New Roman" w:hAnsi="Times New Roman"/>
                      <w:sz w:val="52"/>
                      <w:szCs w:val="52"/>
                      <w:lang w:val="en-US"/>
                    </w:rPr>
                    <w:t xml:space="preserve"> 16/</w:t>
                  </w:r>
                  <w:r w:rsidR="007344F5" w:rsidRPr="0051258E">
                    <w:rPr>
                      <w:rFonts w:ascii="Times New Roman" w:hAnsi="Times New Roman"/>
                      <w:sz w:val="52"/>
                      <w:szCs w:val="52"/>
                      <w:lang w:val="en-US"/>
                    </w:rPr>
                    <w:t>193</w:t>
                  </w:r>
                </w:p>
                <w:p w:rsidR="00EA09BB" w:rsidRPr="0051258E" w:rsidRDefault="00EA09BB" w:rsidP="00EA09BB">
                  <w:pPr>
                    <w:pStyle w:val="Heading2"/>
                    <w:rPr>
                      <w:b w:val="0"/>
                      <w:bCs w:val="0"/>
                      <w:i w:val="0"/>
                      <w:iCs w:val="0"/>
                      <w:lang w:val="en-US"/>
                    </w:rPr>
                  </w:pPr>
                </w:p>
              </w:txbxContent>
            </v:textbox>
          </v:shape>
        </w:pict>
      </w:r>
      <w:r w:rsidR="00EA09BB" w:rsidRPr="00EA09BB">
        <w:rPr>
          <w:lang w:val="tr-TR" w:eastAsia="tr-TR"/>
        </w:rPr>
        <w:drawing>
          <wp:anchor distT="0" distB="0" distL="114300" distR="114300" simplePos="0" relativeHeight="251659264" behindDoc="1" locked="0" layoutInCell="1" allowOverlap="1">
            <wp:simplePos x="0" y="0"/>
            <wp:positionH relativeFrom="column">
              <wp:posOffset>-822157</wp:posOffset>
            </wp:positionH>
            <wp:positionV relativeFrom="paragraph">
              <wp:posOffset>-873916</wp:posOffset>
            </wp:positionV>
            <wp:extent cx="7470475" cy="1336460"/>
            <wp:effectExtent l="0" t="0" r="0" b="63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467600" cy="1333163"/>
                    </a:xfrm>
                    <a:prstGeom prst="rect">
                      <a:avLst/>
                    </a:prstGeom>
                    <a:noFill/>
                  </pic:spPr>
                </pic:pic>
              </a:graphicData>
            </a:graphic>
          </wp:anchor>
        </w:drawing>
      </w:r>
    </w:p>
    <w:p w:rsidR="00EA09BB" w:rsidRPr="00EA09BB" w:rsidRDefault="00EA09BB" w:rsidP="00EA09BB"/>
    <w:p w:rsidR="00EA09BB" w:rsidRPr="007344F5" w:rsidRDefault="00EA09BB" w:rsidP="00EA09BB">
      <w:pPr>
        <w:jc w:val="center"/>
        <w:rPr>
          <w:b/>
          <w:sz w:val="32"/>
          <w:szCs w:val="32"/>
          <w:lang w:val="en-GB"/>
        </w:rPr>
      </w:pPr>
      <w:r>
        <w:tab/>
      </w:r>
      <w:r w:rsidRPr="007344F5">
        <w:rPr>
          <w:b/>
          <w:sz w:val="32"/>
          <w:szCs w:val="32"/>
          <w:lang w:val="en-GB"/>
        </w:rPr>
        <w:t>ONE THIRD OF CHILDREN LIVE IN SEVERE MATERIAL DEPRIVATION</w:t>
      </w:r>
    </w:p>
    <w:p w:rsidR="00EA09BB" w:rsidRPr="007344F5" w:rsidRDefault="00EA09BB" w:rsidP="00EA09BB">
      <w:pPr>
        <w:jc w:val="center"/>
        <w:rPr>
          <w:b/>
          <w:bCs/>
          <w:lang w:val="en-GB"/>
        </w:rPr>
      </w:pPr>
      <w:r w:rsidRPr="007344F5">
        <w:rPr>
          <w:b/>
          <w:bCs/>
          <w:lang w:val="en-GB"/>
        </w:rPr>
        <w:t>Seyfettin Gürsel</w:t>
      </w:r>
      <w:r w:rsidRPr="007344F5">
        <w:rPr>
          <w:b/>
          <w:bCs/>
          <w:vertAlign w:val="superscript"/>
          <w:lang w:val="en-GB"/>
        </w:rPr>
        <w:footnoteReference w:customMarkFollows="1" w:id="1"/>
        <w:t>*</w:t>
      </w:r>
      <w:r w:rsidRPr="007344F5">
        <w:rPr>
          <w:b/>
          <w:bCs/>
          <w:lang w:val="en-GB"/>
        </w:rPr>
        <w:t>, Gökçe Uysal</w:t>
      </w:r>
      <w:r w:rsidRPr="007344F5">
        <w:rPr>
          <w:b/>
          <w:bCs/>
          <w:vertAlign w:val="superscript"/>
          <w:lang w:val="en-GB"/>
        </w:rPr>
        <w:footnoteReference w:customMarkFollows="1" w:id="2"/>
        <w:sym w:font="Symbol" w:char="F02A"/>
      </w:r>
      <w:r w:rsidRPr="007344F5">
        <w:rPr>
          <w:b/>
          <w:bCs/>
          <w:vertAlign w:val="superscript"/>
          <w:lang w:val="en-GB"/>
        </w:rPr>
        <w:sym w:font="Symbol" w:char="F02A"/>
      </w:r>
      <w:r w:rsidRPr="007344F5">
        <w:rPr>
          <w:b/>
          <w:bCs/>
          <w:lang w:val="en-GB"/>
        </w:rPr>
        <w:t xml:space="preserve"> </w:t>
      </w:r>
      <w:r w:rsidR="0051258E">
        <w:rPr>
          <w:b/>
          <w:bCs/>
          <w:lang w:val="en-GB"/>
        </w:rPr>
        <w:t>and</w:t>
      </w:r>
      <w:r w:rsidRPr="007344F5">
        <w:rPr>
          <w:b/>
          <w:bCs/>
          <w:lang w:val="en-GB"/>
        </w:rPr>
        <w:t xml:space="preserve"> Selin Köksal</w:t>
      </w:r>
      <w:r w:rsidRPr="007344F5">
        <w:rPr>
          <w:b/>
          <w:bCs/>
          <w:vertAlign w:val="superscript"/>
          <w:lang w:val="en-GB"/>
        </w:rPr>
        <w:footnoteReference w:customMarkFollows="1" w:id="3"/>
        <w:sym w:font="Symbol" w:char="F02A"/>
      </w:r>
      <w:r w:rsidRPr="007344F5">
        <w:rPr>
          <w:b/>
          <w:bCs/>
          <w:vertAlign w:val="superscript"/>
          <w:lang w:val="en-GB"/>
        </w:rPr>
        <w:sym w:font="Symbol" w:char="F02A"/>
      </w:r>
      <w:r w:rsidRPr="007344F5">
        <w:rPr>
          <w:b/>
          <w:bCs/>
          <w:vertAlign w:val="superscript"/>
          <w:lang w:val="en-GB"/>
        </w:rPr>
        <w:sym w:font="Symbol" w:char="F02A"/>
      </w:r>
    </w:p>
    <w:p w:rsidR="00EA09BB" w:rsidRPr="007344F5" w:rsidRDefault="00EA09BB" w:rsidP="00EA09BB">
      <w:pPr>
        <w:jc w:val="center"/>
        <w:rPr>
          <w:b/>
          <w:bCs/>
          <w:lang w:val="en-GB"/>
        </w:rPr>
      </w:pPr>
      <w:r w:rsidRPr="007344F5">
        <w:rPr>
          <w:b/>
          <w:bCs/>
          <w:lang w:val="en-GB"/>
        </w:rPr>
        <w:t>Executive Summary</w:t>
      </w:r>
    </w:p>
    <w:p w:rsidR="00EA09BB" w:rsidRPr="007344F5" w:rsidRDefault="00EA09BB" w:rsidP="00EA09BB">
      <w:pPr>
        <w:jc w:val="both"/>
        <w:rPr>
          <w:color w:val="000000" w:themeColor="text1"/>
          <w:lang w:val="en-GB"/>
        </w:rPr>
      </w:pPr>
      <w:r w:rsidRPr="007344F5">
        <w:rPr>
          <w:color w:val="000000" w:themeColor="text1"/>
          <w:lang w:val="en-GB"/>
        </w:rPr>
        <w:t>According to the European Union (EU)’s material deprivation definitions, approximately one third of children, in other words more than 7 million children are living in households that suffer from severe material deprivation. Compared to European countries, the rate of children living under severe material deprivation is higher in Turkey than in some countries with lower levels of GDP per capita as well as in countries that were seriously affected by the Great Recession. The problem of child material deprivation becomes more severe in the eastern regions of Turkey. More than half of the deprived children reside in the area covering the Mediterranean, Northeast Anatolia, Central East Anatolia and South East Anatolia regions. A closer look at the components of severe material deprivation reveals that three quarters of children are deprived from a one-week holiday away from home and more than half of the children live in households that do not own a car. In addition, almost 40 percent of children cannot meet their protein needs sufficiently since they cannot afford a meal with meat, chicken or fish every other day. As a result, Turkey is in urgent need of more efficient social policies fighting severe child material deprivation.</w:t>
      </w:r>
    </w:p>
    <w:p w:rsidR="00EA09BB" w:rsidRPr="007344F5" w:rsidRDefault="00EA09BB" w:rsidP="007344F5">
      <w:pPr>
        <w:jc w:val="both"/>
        <w:rPr>
          <w:b/>
          <w:bCs/>
          <w:color w:val="000000" w:themeColor="text1"/>
          <w:sz w:val="24"/>
          <w:szCs w:val="24"/>
          <w:lang w:val="en-GB"/>
        </w:rPr>
      </w:pPr>
      <w:r w:rsidRPr="007344F5">
        <w:rPr>
          <w:b/>
          <w:bCs/>
          <w:color w:val="000000" w:themeColor="text1"/>
          <w:sz w:val="24"/>
          <w:szCs w:val="24"/>
          <w:lang w:val="en-GB"/>
        </w:rPr>
        <w:t xml:space="preserve">Turkey holds the highest severe child material deprivation rate among EU countries </w:t>
      </w:r>
    </w:p>
    <w:p w:rsidR="00EA09BB" w:rsidRPr="007344F5" w:rsidRDefault="00EA09BB" w:rsidP="007344F5">
      <w:pPr>
        <w:jc w:val="both"/>
        <w:rPr>
          <w:rFonts w:cs="Arial"/>
          <w:color w:val="000000" w:themeColor="text1"/>
          <w:lang w:val="en-GB"/>
        </w:rPr>
      </w:pPr>
      <w:r w:rsidRPr="007344F5">
        <w:rPr>
          <w:rFonts w:cs="Arial"/>
          <w:color w:val="000000" w:themeColor="text1"/>
          <w:lang w:val="en-GB"/>
        </w:rPr>
        <w:t xml:space="preserve">The material deprivation measure is one of the methods used to evaluate and analyse countries’ poverty level. Based on the individual’s self-assessment of their living standards, this measure provides another approach to quantifying the country’s poverty. The material deprivation rate, as an outcome of long term income poverty, might be temporary for adults whereas for children, it may last a lifetime and be transferred to next generations. In this context, it is important for all countries to define and identify child poverty and to fight against it resolutely. </w:t>
      </w:r>
    </w:p>
    <w:p w:rsidR="00EA09BB" w:rsidRDefault="00EA09BB" w:rsidP="007344F5">
      <w:pPr>
        <w:jc w:val="both"/>
        <w:rPr>
          <w:rFonts w:cs="Arial"/>
          <w:color w:val="000000" w:themeColor="text1"/>
          <w:lang w:val="en-GB"/>
        </w:rPr>
      </w:pPr>
      <w:r w:rsidRPr="007344F5">
        <w:rPr>
          <w:rFonts w:cs="Arial"/>
          <w:color w:val="000000" w:themeColor="text1"/>
          <w:lang w:val="en-GB"/>
        </w:rPr>
        <w:t xml:space="preserve">Child poverty is a multidimensional phenomenon and thus, it is calculated by several different measures. In this research brief, we use the severe material deprivation measure which is defined by Eurostat. The severe material deprivation is defined as the proportion of people living in households that cannot afford at least four of the following nine items: (1) mortgage, loan repayments, or rent payments, (2) heating to keep the home sufficiently warm, (3) unexpected financial expenses, (4) a meal with meat, chicken, fish or vegetarian equivalent at least three days a week, (5) one week's holiday away from home, (6) a car, (7) a washing machine, (8) a colour TV, (9) a telephone (including mobile phone).  </w:t>
      </w:r>
    </w:p>
    <w:p w:rsidR="00EA09BB" w:rsidRPr="007344F5" w:rsidRDefault="009102E1" w:rsidP="0051258E">
      <w:pPr>
        <w:rPr>
          <w:sz w:val="18"/>
          <w:szCs w:val="18"/>
          <w:lang w:val="en-GB"/>
        </w:rPr>
      </w:pPr>
      <w:bookmarkStart w:id="0" w:name="_Ref417457985"/>
      <w:r>
        <w:rPr>
          <w:b/>
          <w:lang w:val="en-GB"/>
        </w:rPr>
        <w:lastRenderedPageBreak/>
        <w:t xml:space="preserve">Figure 1: </w:t>
      </w:r>
      <w:r w:rsidR="00EA09BB" w:rsidRPr="006F6C02">
        <w:rPr>
          <w:b/>
          <w:lang w:val="en-GB"/>
        </w:rPr>
        <w:t>Severe material deprivation rate among children aged under 16 (%), 201</w:t>
      </w:r>
      <w:bookmarkEnd w:id="0"/>
      <w:r w:rsidR="00EA09BB" w:rsidRPr="006F6C02">
        <w:rPr>
          <w:b/>
          <w:lang w:val="en-GB"/>
        </w:rPr>
        <w:t>4</w:t>
      </w:r>
      <w:r w:rsidR="00EA09BB" w:rsidRPr="007344F5">
        <w:rPr>
          <w:lang w:val="tr-TR" w:eastAsia="tr-TR"/>
        </w:rPr>
        <w:drawing>
          <wp:inline distT="0" distB="0" distL="0" distR="0">
            <wp:extent cx="5414838" cy="6241774"/>
            <wp:effectExtent l="0" t="0" r="0" b="6985"/>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A09BB" w:rsidRPr="007344F5">
        <w:rPr>
          <w:sz w:val="18"/>
          <w:szCs w:val="18"/>
          <w:lang w:val="en-GB"/>
        </w:rPr>
        <w:t>Source: Eurostat;</w:t>
      </w:r>
      <w:r>
        <w:rPr>
          <w:sz w:val="18"/>
          <w:szCs w:val="18"/>
          <w:lang w:val="en-GB"/>
        </w:rPr>
        <w:t>Turkstat,</w:t>
      </w:r>
      <w:r w:rsidR="00EA09BB" w:rsidRPr="007344F5">
        <w:rPr>
          <w:sz w:val="18"/>
          <w:szCs w:val="18"/>
          <w:lang w:val="en-GB"/>
        </w:rPr>
        <w:t xml:space="preserve"> </w:t>
      </w:r>
      <w:r w:rsidRPr="009102E1">
        <w:rPr>
          <w:sz w:val="18"/>
          <w:szCs w:val="18"/>
          <w:lang w:val="en-GB"/>
        </w:rPr>
        <w:t>2014 Survey on Income and Living Conditions; Betam</w:t>
      </w:r>
    </w:p>
    <w:p w:rsidR="00EA09BB" w:rsidRDefault="00CA363A" w:rsidP="007344F5">
      <w:pPr>
        <w:jc w:val="both"/>
        <w:rPr>
          <w:rFonts w:cs="Arial"/>
          <w:color w:val="000000" w:themeColor="text1"/>
          <w:lang w:val="en-GB"/>
        </w:rPr>
      </w:pPr>
      <w:fldSimple w:instr=" REF _Ref448916620 \h  \* MERGEFORMAT ">
        <w:r w:rsidR="007344F5" w:rsidRPr="007344F5">
          <w:rPr>
            <w:rFonts w:cs="Arial"/>
            <w:color w:val="000000" w:themeColor="text1"/>
            <w:lang w:val="en-GB"/>
          </w:rPr>
          <w:t>Figure 1</w:t>
        </w:r>
      </w:fldSimple>
      <w:r w:rsidR="00EA09BB" w:rsidRPr="007344F5">
        <w:rPr>
          <w:rFonts w:cs="Arial"/>
          <w:color w:val="000000" w:themeColor="text1"/>
          <w:lang w:val="en-GB"/>
        </w:rPr>
        <w:t xml:space="preserve"> shows the severe child material deprivation rate among children under 16 for most of the European countries. For Turkey, 36 percent of children live in severe material deprivation in 2014. Romania and Hungary follow with severe material deprivation rates above 30 percent. Despite the devastating effects of the recent economic crises, child deprivation rates in Greece and Portugal are 23</w:t>
      </w:r>
      <w:r w:rsidR="007344F5">
        <w:rPr>
          <w:rFonts w:cs="Arial"/>
          <w:color w:val="000000" w:themeColor="text1"/>
          <w:lang w:val="en-GB"/>
        </w:rPr>
        <w:t>.</w:t>
      </w:r>
      <w:r w:rsidR="00EA09BB" w:rsidRPr="007344F5">
        <w:rPr>
          <w:rFonts w:cs="Arial"/>
          <w:color w:val="000000" w:themeColor="text1"/>
          <w:lang w:val="en-GB"/>
        </w:rPr>
        <w:t>3 percent and 12</w:t>
      </w:r>
      <w:r w:rsidR="007344F5">
        <w:rPr>
          <w:rFonts w:cs="Arial"/>
          <w:color w:val="000000" w:themeColor="text1"/>
          <w:lang w:val="en-GB"/>
        </w:rPr>
        <w:t>.</w:t>
      </w:r>
      <w:r w:rsidR="00EA09BB" w:rsidRPr="007344F5">
        <w:rPr>
          <w:rFonts w:cs="Arial"/>
          <w:color w:val="000000" w:themeColor="text1"/>
          <w:lang w:val="en-GB"/>
        </w:rPr>
        <w:t>9 percent, respectively. Moreover, the rates in developed countries such as Germany, Netherlands and France are around 4-5 percent. Lastly, Nordic countries holds the lowest severe child material deprivation rates with the example of Sweden at 1</w:t>
      </w:r>
      <w:r w:rsidR="007344F5">
        <w:rPr>
          <w:rFonts w:cs="Arial"/>
          <w:color w:val="000000" w:themeColor="text1"/>
          <w:lang w:val="en-GB"/>
        </w:rPr>
        <w:t>.</w:t>
      </w:r>
      <w:r w:rsidR="00EA09BB" w:rsidRPr="007344F5">
        <w:rPr>
          <w:rFonts w:cs="Arial"/>
          <w:color w:val="000000" w:themeColor="text1"/>
          <w:lang w:val="en-GB"/>
        </w:rPr>
        <w:t xml:space="preserve">2 percent. Consequently, Turkey has the highest severe material deprivation rate among children in spite of having a higher GDP per capita and better economic performance than some of the countries on the list. </w:t>
      </w:r>
    </w:p>
    <w:p w:rsidR="007344F5" w:rsidRPr="007344F5" w:rsidRDefault="007344F5" w:rsidP="007344F5">
      <w:pPr>
        <w:jc w:val="both"/>
        <w:rPr>
          <w:rFonts w:cs="Arial"/>
          <w:color w:val="000000" w:themeColor="text1"/>
          <w:lang w:val="en-GB"/>
        </w:rPr>
      </w:pPr>
    </w:p>
    <w:p w:rsidR="00EA09BB" w:rsidRPr="007344F5" w:rsidRDefault="00EA09BB" w:rsidP="007344F5">
      <w:pPr>
        <w:jc w:val="both"/>
        <w:rPr>
          <w:b/>
          <w:bCs/>
          <w:sz w:val="24"/>
          <w:szCs w:val="24"/>
          <w:lang w:val="en-GB"/>
        </w:rPr>
      </w:pPr>
      <w:r w:rsidRPr="007344F5">
        <w:rPr>
          <w:b/>
          <w:bCs/>
          <w:sz w:val="24"/>
          <w:szCs w:val="24"/>
          <w:lang w:val="en-GB"/>
        </w:rPr>
        <w:lastRenderedPageBreak/>
        <w:t>The most prevalent deprivation component is "holiday away from home"</w:t>
      </w:r>
    </w:p>
    <w:p w:rsidR="00EA09BB" w:rsidRPr="007344F5" w:rsidRDefault="00CA363A" w:rsidP="007344F5">
      <w:pPr>
        <w:jc w:val="both"/>
        <w:rPr>
          <w:color w:val="000000" w:themeColor="text1"/>
          <w:lang w:val="en-GB"/>
        </w:rPr>
      </w:pPr>
      <w:fldSimple w:instr=" REF _Ref417458049 \h  \* MERGEFORMAT ">
        <w:r w:rsidR="007344F5" w:rsidRPr="007344F5">
          <w:rPr>
            <w:rFonts w:cs="Arial"/>
            <w:color w:val="000000" w:themeColor="text1"/>
            <w:lang w:val="en-GB"/>
          </w:rPr>
          <w:t>Table 1</w:t>
        </w:r>
      </w:fldSimple>
      <w:r w:rsidR="00EA09BB" w:rsidRPr="007344F5">
        <w:rPr>
          <w:rFonts w:cs="Arial"/>
          <w:color w:val="000000" w:themeColor="text1"/>
          <w:lang w:val="en-GB"/>
        </w:rPr>
        <w:t xml:space="preserve"> represents the components of severe material deprivation definition and shows the proportion of children who are deprived of the indicated items. According to the data, it has been observed that severe material deprivation is centred on several components. 74</w:t>
      </w:r>
      <w:r w:rsidR="007344F5">
        <w:rPr>
          <w:rFonts w:cs="Arial"/>
          <w:color w:val="000000" w:themeColor="text1"/>
          <w:lang w:val="en-GB"/>
        </w:rPr>
        <w:t>.</w:t>
      </w:r>
      <w:r w:rsidR="00EA09BB" w:rsidRPr="007344F5">
        <w:rPr>
          <w:rFonts w:cs="Arial"/>
          <w:color w:val="000000" w:themeColor="text1"/>
          <w:lang w:val="en-GB"/>
        </w:rPr>
        <w:t>6 percent of  children live in households that cannot afford one-week holiday away from home. In addition to that, 53 percent of the households do not have a car. Besides, deprivation of paying rent and bills on time and adequate nutrition are also prevalent amon</w:t>
      </w:r>
      <w:r w:rsidR="007344F5">
        <w:rPr>
          <w:rFonts w:cs="Arial"/>
          <w:color w:val="000000" w:themeColor="text1"/>
          <w:lang w:val="en-GB"/>
        </w:rPr>
        <w:t>g children living in Turkey. 51.</w:t>
      </w:r>
      <w:r w:rsidR="00EA09BB" w:rsidRPr="007344F5">
        <w:rPr>
          <w:rFonts w:cs="Arial"/>
          <w:color w:val="000000" w:themeColor="text1"/>
          <w:lang w:val="en-GB"/>
        </w:rPr>
        <w:t xml:space="preserve">3 percent of children live in households which cannot pay their rent and bills on time in the last 12 months. Finally, it has been recorded that nearly 40 percent of children cannot afford to eat meat, chicken or fish every two days. This situation implies that a substantial proportion of children are having difficulties to meet their primary needs such as nutrition, thus an urgent amelioration of their living conditions are needed. </w:t>
      </w:r>
    </w:p>
    <w:p w:rsidR="00EA09BB" w:rsidRPr="006F6C02" w:rsidRDefault="00EA09BB" w:rsidP="007344F5">
      <w:pPr>
        <w:jc w:val="both"/>
        <w:rPr>
          <w:rFonts w:cs="Arial"/>
          <w:b/>
          <w:lang w:val="en-GB"/>
        </w:rPr>
      </w:pPr>
      <w:bookmarkStart w:id="1" w:name="_Ref417458049"/>
      <w:r w:rsidRPr="006F6C02">
        <w:rPr>
          <w:b/>
          <w:lang w:val="en-GB"/>
        </w:rPr>
        <w:t xml:space="preserve">Table </w:t>
      </w:r>
      <w:r w:rsidR="00CA363A" w:rsidRPr="006F6C02">
        <w:rPr>
          <w:b/>
          <w:lang w:val="en-GB"/>
        </w:rPr>
        <w:fldChar w:fldCharType="begin"/>
      </w:r>
      <w:r w:rsidRPr="006F6C02">
        <w:rPr>
          <w:b/>
          <w:lang w:val="en-GB"/>
        </w:rPr>
        <w:instrText xml:space="preserve"> SEQ Tablo \* ARABIC </w:instrText>
      </w:r>
      <w:r w:rsidR="00CA363A" w:rsidRPr="006F6C02">
        <w:rPr>
          <w:b/>
          <w:lang w:val="en-GB"/>
        </w:rPr>
        <w:fldChar w:fldCharType="separate"/>
      </w:r>
      <w:r w:rsidRPr="006F6C02">
        <w:rPr>
          <w:b/>
          <w:lang w:val="en-GB"/>
        </w:rPr>
        <w:t>1</w:t>
      </w:r>
      <w:r w:rsidR="00CA363A" w:rsidRPr="006F6C02">
        <w:rPr>
          <w:b/>
          <w:lang w:val="en-GB"/>
        </w:rPr>
        <w:fldChar w:fldCharType="end"/>
      </w:r>
      <w:bookmarkEnd w:id="1"/>
      <w:r w:rsidRPr="006F6C02">
        <w:rPr>
          <w:b/>
          <w:lang w:val="en-GB"/>
        </w:rPr>
        <w:t>: Severe child material deprivation rate by components (2014)</w:t>
      </w:r>
    </w:p>
    <w:tbl>
      <w:tblPr>
        <w:tblW w:w="70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59"/>
        <w:gridCol w:w="1734"/>
        <w:gridCol w:w="1735"/>
      </w:tblGrid>
      <w:tr w:rsidR="00EA09BB" w:rsidRPr="007344F5" w:rsidTr="00D16B49">
        <w:trPr>
          <w:trHeight w:val="187"/>
        </w:trPr>
        <w:tc>
          <w:tcPr>
            <w:tcW w:w="3559" w:type="dxa"/>
            <w:vAlign w:val="center"/>
          </w:tcPr>
          <w:p w:rsidR="00EA09BB" w:rsidRPr="007344F5" w:rsidRDefault="00EA09BB" w:rsidP="007344F5">
            <w:pPr>
              <w:spacing w:after="0" w:line="240" w:lineRule="auto"/>
              <w:jc w:val="both"/>
              <w:rPr>
                <w:rFonts w:eastAsia="Times New Roman" w:cs="Times New Roman"/>
                <w:color w:val="000000"/>
                <w:lang w:val="en-GB"/>
              </w:rPr>
            </w:pPr>
          </w:p>
        </w:tc>
        <w:tc>
          <w:tcPr>
            <w:tcW w:w="1734" w:type="dxa"/>
            <w:shd w:val="clear" w:color="auto" w:fill="auto"/>
            <w:vAlign w:val="center"/>
          </w:tcPr>
          <w:p w:rsidR="00EA09BB" w:rsidRPr="007344F5" w:rsidRDefault="00EA09BB" w:rsidP="00B012C9">
            <w:pPr>
              <w:spacing w:after="0" w:line="240" w:lineRule="auto"/>
              <w:jc w:val="right"/>
              <w:rPr>
                <w:rFonts w:eastAsia="Times New Roman" w:cs="Times New Roman"/>
                <w:b/>
                <w:color w:val="000000"/>
                <w:lang w:val="en-GB"/>
              </w:rPr>
            </w:pPr>
            <w:r w:rsidRPr="007344F5">
              <w:rPr>
                <w:rFonts w:eastAsia="Times New Roman" w:cs="Times New Roman"/>
                <w:b/>
                <w:color w:val="000000"/>
                <w:lang w:val="en-GB"/>
              </w:rPr>
              <w:t>Number of deprived children (thousand)</w:t>
            </w:r>
          </w:p>
        </w:tc>
        <w:tc>
          <w:tcPr>
            <w:tcW w:w="1735" w:type="dxa"/>
            <w:shd w:val="clear" w:color="auto" w:fill="auto"/>
            <w:vAlign w:val="center"/>
          </w:tcPr>
          <w:p w:rsidR="00EA09BB" w:rsidRPr="007344F5" w:rsidRDefault="00EA09BB" w:rsidP="00B012C9">
            <w:pPr>
              <w:spacing w:after="0" w:line="240" w:lineRule="auto"/>
              <w:jc w:val="right"/>
              <w:rPr>
                <w:rFonts w:eastAsia="Times New Roman" w:cs="Times New Roman"/>
                <w:b/>
                <w:color w:val="000000"/>
                <w:lang w:val="en-GB"/>
              </w:rPr>
            </w:pPr>
            <w:r w:rsidRPr="007344F5">
              <w:rPr>
                <w:rFonts w:eastAsia="Times New Roman" w:cs="Times New Roman"/>
                <w:b/>
                <w:color w:val="000000"/>
                <w:lang w:val="en-GB"/>
              </w:rPr>
              <w:t>Ratio of deprived children (%)</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Severe material deprivation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7</w:t>
            </w:r>
            <w:r w:rsidR="00B012C9">
              <w:rPr>
                <w:color w:val="000000"/>
                <w:lang w:val="en-GB"/>
              </w:rPr>
              <w:t>,</w:t>
            </w:r>
            <w:r w:rsidRPr="007344F5">
              <w:rPr>
                <w:color w:val="000000"/>
                <w:lang w:val="en-GB"/>
              </w:rPr>
              <w:t>243</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36</w:t>
            </w:r>
            <w:r w:rsidR="00B012C9">
              <w:rPr>
                <w:color w:val="000000"/>
                <w:lang w:val="en-GB"/>
              </w:rPr>
              <w:t>.</w:t>
            </w:r>
            <w:r w:rsidRPr="007344F5">
              <w:rPr>
                <w:color w:val="000000"/>
                <w:lang w:val="en-GB"/>
              </w:rPr>
              <w:t>2</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Heating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3</w:t>
            </w:r>
            <w:r w:rsidR="00B012C9">
              <w:rPr>
                <w:color w:val="000000"/>
                <w:lang w:val="en-GB"/>
              </w:rPr>
              <w:t>,</w:t>
            </w:r>
            <w:r w:rsidRPr="007344F5">
              <w:rPr>
                <w:color w:val="000000"/>
                <w:lang w:val="en-GB"/>
              </w:rPr>
              <w:t>821</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19</w:t>
            </w:r>
            <w:r w:rsidR="00B012C9">
              <w:rPr>
                <w:color w:val="000000"/>
                <w:lang w:val="en-GB"/>
              </w:rPr>
              <w:t>.</w:t>
            </w:r>
            <w:r w:rsidRPr="007344F5">
              <w:rPr>
                <w:color w:val="000000"/>
                <w:lang w:val="en-GB"/>
              </w:rPr>
              <w:t>1</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Unexpected financial expenses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6</w:t>
            </w:r>
            <w:r w:rsidR="00B012C9">
              <w:rPr>
                <w:color w:val="000000"/>
                <w:lang w:val="en-GB"/>
              </w:rPr>
              <w:t>,</w:t>
            </w:r>
            <w:r w:rsidRPr="007344F5">
              <w:rPr>
                <w:color w:val="000000"/>
                <w:lang w:val="en-GB"/>
              </w:rPr>
              <w:t>665</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33</w:t>
            </w:r>
            <w:r w:rsidR="00B012C9">
              <w:rPr>
                <w:color w:val="000000"/>
                <w:lang w:val="en-GB"/>
              </w:rPr>
              <w:t>.</w:t>
            </w:r>
            <w:r w:rsidRPr="007344F5">
              <w:rPr>
                <w:color w:val="000000"/>
                <w:lang w:val="en-GB"/>
              </w:rPr>
              <w:t>3</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Nutrition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7</w:t>
            </w:r>
            <w:r w:rsidR="00B012C9">
              <w:rPr>
                <w:color w:val="000000"/>
                <w:lang w:val="en-GB"/>
              </w:rPr>
              <w:t>,</w:t>
            </w:r>
            <w:r w:rsidRPr="007344F5">
              <w:rPr>
                <w:color w:val="000000"/>
                <w:lang w:val="en-GB"/>
              </w:rPr>
              <w:t>851</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39</w:t>
            </w:r>
            <w:r w:rsidR="00B012C9">
              <w:rPr>
                <w:color w:val="000000"/>
                <w:lang w:val="en-GB"/>
              </w:rPr>
              <w:t>.</w:t>
            </w:r>
            <w:r w:rsidRPr="007344F5">
              <w:rPr>
                <w:color w:val="000000"/>
                <w:lang w:val="en-GB"/>
              </w:rPr>
              <w:t>2</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One-week holiday away from home</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14</w:t>
            </w:r>
            <w:r w:rsidR="00B012C9">
              <w:rPr>
                <w:color w:val="000000"/>
                <w:lang w:val="en-GB"/>
              </w:rPr>
              <w:t>,</w:t>
            </w:r>
            <w:r w:rsidRPr="007344F5">
              <w:rPr>
                <w:color w:val="000000"/>
                <w:lang w:val="en-GB"/>
              </w:rPr>
              <w:t>936</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74</w:t>
            </w:r>
            <w:r w:rsidR="00B012C9">
              <w:rPr>
                <w:color w:val="000000"/>
                <w:lang w:val="en-GB"/>
              </w:rPr>
              <w:t>.</w:t>
            </w:r>
            <w:r w:rsidRPr="007344F5">
              <w:rPr>
                <w:color w:val="000000"/>
                <w:lang w:val="en-GB"/>
              </w:rPr>
              <w:t>6</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Colour TV possession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57</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0</w:t>
            </w:r>
            <w:r w:rsidR="00B012C9">
              <w:rPr>
                <w:color w:val="000000"/>
                <w:lang w:val="en-GB"/>
              </w:rPr>
              <w:t>.</w:t>
            </w:r>
            <w:r w:rsidRPr="007344F5">
              <w:rPr>
                <w:color w:val="000000"/>
                <w:lang w:val="en-GB"/>
              </w:rPr>
              <w:t>3</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Washing machine possession</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468</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2</w:t>
            </w:r>
            <w:r w:rsidR="00B012C9">
              <w:rPr>
                <w:color w:val="000000"/>
                <w:lang w:val="en-GB"/>
              </w:rPr>
              <w:t>.</w:t>
            </w:r>
            <w:r w:rsidRPr="007344F5">
              <w:rPr>
                <w:color w:val="000000"/>
                <w:lang w:val="en-GB"/>
              </w:rPr>
              <w:t>3</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Car possession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10</w:t>
            </w:r>
            <w:r w:rsidR="00B012C9">
              <w:rPr>
                <w:color w:val="000000"/>
                <w:lang w:val="en-GB"/>
              </w:rPr>
              <w:t>,</w:t>
            </w:r>
            <w:r w:rsidRPr="007344F5">
              <w:rPr>
                <w:color w:val="000000"/>
                <w:lang w:val="en-GB"/>
              </w:rPr>
              <w:t>517</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53</w:t>
            </w:r>
          </w:p>
        </w:tc>
      </w:tr>
      <w:tr w:rsidR="00EA09BB" w:rsidRPr="007344F5" w:rsidTr="00D16B49">
        <w:trPr>
          <w:trHeight w:val="72"/>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Telephone possession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20</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0</w:t>
            </w:r>
            <w:r w:rsidR="00B012C9">
              <w:rPr>
                <w:color w:val="000000"/>
                <w:lang w:val="en-GB"/>
              </w:rPr>
              <w:t>.</w:t>
            </w:r>
            <w:r w:rsidRPr="007344F5">
              <w:rPr>
                <w:color w:val="000000"/>
                <w:lang w:val="en-GB"/>
              </w:rPr>
              <w:t>1</w:t>
            </w:r>
          </w:p>
        </w:tc>
      </w:tr>
      <w:tr w:rsidR="00EA09BB" w:rsidRPr="007344F5" w:rsidTr="00D16B49">
        <w:trPr>
          <w:trHeight w:val="55"/>
        </w:trPr>
        <w:tc>
          <w:tcPr>
            <w:tcW w:w="3559" w:type="dxa"/>
            <w:shd w:val="clear" w:color="auto" w:fill="auto"/>
            <w:vAlign w:val="bottom"/>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 xml:space="preserve">Rent payments and bills </w:t>
            </w:r>
          </w:p>
        </w:tc>
        <w:tc>
          <w:tcPr>
            <w:tcW w:w="1734"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10</w:t>
            </w:r>
            <w:r w:rsidR="00B012C9">
              <w:rPr>
                <w:color w:val="000000"/>
                <w:lang w:val="en-GB"/>
              </w:rPr>
              <w:t>,</w:t>
            </w:r>
            <w:r w:rsidRPr="007344F5">
              <w:rPr>
                <w:color w:val="000000"/>
                <w:lang w:val="en-GB"/>
              </w:rPr>
              <w:t>272</w:t>
            </w:r>
          </w:p>
        </w:tc>
        <w:tc>
          <w:tcPr>
            <w:tcW w:w="1735" w:type="dxa"/>
            <w:shd w:val="clear" w:color="auto" w:fill="auto"/>
            <w:noWrap/>
            <w:vAlign w:val="bottom"/>
          </w:tcPr>
          <w:p w:rsidR="00EA09BB" w:rsidRPr="007344F5" w:rsidRDefault="00EA09BB" w:rsidP="00B012C9">
            <w:pPr>
              <w:spacing w:after="0"/>
              <w:jc w:val="right"/>
              <w:rPr>
                <w:color w:val="000000"/>
                <w:lang w:val="en-GB"/>
              </w:rPr>
            </w:pPr>
            <w:r w:rsidRPr="007344F5">
              <w:rPr>
                <w:color w:val="000000"/>
                <w:lang w:val="en-GB"/>
              </w:rPr>
              <w:t>51</w:t>
            </w:r>
            <w:r w:rsidR="00B012C9">
              <w:rPr>
                <w:color w:val="000000"/>
                <w:lang w:val="en-GB"/>
              </w:rPr>
              <w:t>.</w:t>
            </w:r>
            <w:r w:rsidRPr="007344F5">
              <w:rPr>
                <w:color w:val="000000"/>
                <w:lang w:val="en-GB"/>
              </w:rPr>
              <w:t>3</w:t>
            </w:r>
          </w:p>
        </w:tc>
      </w:tr>
    </w:tbl>
    <w:p w:rsidR="00B012C9" w:rsidRPr="007344F5" w:rsidRDefault="00B012C9" w:rsidP="00B012C9">
      <w:pPr>
        <w:pStyle w:val="Caption"/>
        <w:keepNext/>
        <w:jc w:val="both"/>
        <w:rPr>
          <w:color w:val="auto"/>
          <w:sz w:val="22"/>
          <w:szCs w:val="22"/>
          <w:lang w:val="en-GB"/>
        </w:rPr>
      </w:pPr>
      <w:r w:rsidRPr="007344F5">
        <w:rPr>
          <w:b w:val="0"/>
          <w:color w:val="auto"/>
          <w:lang w:val="en-GB"/>
        </w:rPr>
        <w:t>Source: Turkstat</w:t>
      </w:r>
      <w:r>
        <w:rPr>
          <w:b w:val="0"/>
          <w:color w:val="auto"/>
          <w:lang w:val="en-GB"/>
        </w:rPr>
        <w:t>,</w:t>
      </w:r>
      <w:r w:rsidRPr="007344F5">
        <w:rPr>
          <w:b w:val="0"/>
          <w:color w:val="auto"/>
          <w:lang w:val="en-GB"/>
        </w:rPr>
        <w:t xml:space="preserve"> </w:t>
      </w:r>
      <w:r>
        <w:rPr>
          <w:b w:val="0"/>
          <w:color w:val="auto"/>
          <w:lang w:val="en-GB"/>
        </w:rPr>
        <w:t xml:space="preserve">2014 </w:t>
      </w:r>
      <w:r w:rsidRPr="007344F5">
        <w:rPr>
          <w:b w:val="0"/>
          <w:color w:val="auto"/>
          <w:lang w:val="en-GB"/>
        </w:rPr>
        <w:t xml:space="preserve">Survey on Income and Living Conditions; Betam </w:t>
      </w:r>
    </w:p>
    <w:p w:rsidR="0051258E" w:rsidRDefault="0051258E" w:rsidP="007344F5">
      <w:pPr>
        <w:jc w:val="both"/>
        <w:rPr>
          <w:b/>
          <w:bCs/>
          <w:sz w:val="24"/>
          <w:szCs w:val="24"/>
          <w:lang w:val="en-GB"/>
        </w:rPr>
      </w:pPr>
    </w:p>
    <w:p w:rsidR="00EA09BB" w:rsidRPr="007344F5" w:rsidRDefault="00EA09BB" w:rsidP="007344F5">
      <w:pPr>
        <w:jc w:val="both"/>
        <w:rPr>
          <w:b/>
          <w:bCs/>
          <w:sz w:val="24"/>
          <w:szCs w:val="24"/>
          <w:lang w:val="en-GB"/>
        </w:rPr>
      </w:pPr>
      <w:r w:rsidRPr="007344F5">
        <w:rPr>
          <w:b/>
          <w:bCs/>
          <w:sz w:val="24"/>
          <w:szCs w:val="24"/>
          <w:lang w:val="en-GB"/>
        </w:rPr>
        <w:t>South East Anatolia has the most severe material deprivation rate</w:t>
      </w:r>
    </w:p>
    <w:bookmarkStart w:id="2" w:name="_Ref417458181"/>
    <w:p w:rsidR="00EA09BB" w:rsidRPr="007344F5" w:rsidRDefault="00CA363A" w:rsidP="007344F5">
      <w:pPr>
        <w:jc w:val="both"/>
        <w:rPr>
          <w:rFonts w:cs="Arial"/>
          <w:color w:val="000000" w:themeColor="text1"/>
          <w:lang w:val="en-GB"/>
        </w:rPr>
      </w:pPr>
      <w:r>
        <w:rPr>
          <w:color w:val="000000" w:themeColor="text1"/>
          <w:lang w:val="en-GB"/>
        </w:rPr>
        <w:fldChar w:fldCharType="begin"/>
      </w:r>
      <w:r w:rsidR="007F4326">
        <w:rPr>
          <w:color w:val="000000" w:themeColor="text1"/>
          <w:lang w:val="en-GB"/>
        </w:rPr>
        <w:instrText xml:space="preserve"> REF _Ref448917162 \h </w:instrText>
      </w:r>
      <w:r>
        <w:rPr>
          <w:color w:val="000000" w:themeColor="text1"/>
          <w:lang w:val="en-GB"/>
        </w:rPr>
      </w:r>
      <w:r>
        <w:rPr>
          <w:color w:val="000000" w:themeColor="text1"/>
          <w:lang w:val="en-GB"/>
        </w:rPr>
        <w:fldChar w:fldCharType="separate"/>
      </w:r>
      <w:r w:rsidR="007F4326" w:rsidRPr="006F6C02">
        <w:rPr>
          <w:lang w:val="en-GB"/>
        </w:rPr>
        <w:t>Table 2</w:t>
      </w:r>
      <w:r>
        <w:rPr>
          <w:color w:val="000000" w:themeColor="text1"/>
          <w:lang w:val="en-GB"/>
        </w:rPr>
        <w:fldChar w:fldCharType="end"/>
      </w:r>
      <w:r w:rsidR="00EA09BB" w:rsidRPr="007344F5">
        <w:rPr>
          <w:color w:val="000000" w:themeColor="text1"/>
          <w:lang w:val="en-GB"/>
        </w:rPr>
        <w:t xml:space="preserve"> shows regional severe child material deprivation rates in Turkey. Severe child material deprivation rates in eastern regions are higher than the ones in western regions.</w:t>
      </w:r>
      <w:r w:rsidR="00EA09BB" w:rsidRPr="007344F5">
        <w:rPr>
          <w:rFonts w:cs="Arial"/>
          <w:color w:val="000000" w:themeColor="text1"/>
          <w:lang w:val="en-GB"/>
        </w:rPr>
        <w:t xml:space="preserve"> Eastern Anatolian and Mediterranean regions hold higher severe material depreciation rates than Turkey average (36</w:t>
      </w:r>
      <w:r w:rsidR="007344F5">
        <w:rPr>
          <w:rFonts w:cs="Arial"/>
          <w:color w:val="000000" w:themeColor="text1"/>
          <w:lang w:val="en-GB"/>
        </w:rPr>
        <w:t>.</w:t>
      </w:r>
      <w:r w:rsidR="00EA09BB" w:rsidRPr="007344F5">
        <w:rPr>
          <w:rFonts w:cs="Arial"/>
          <w:color w:val="000000" w:themeColor="text1"/>
          <w:lang w:val="en-GB"/>
        </w:rPr>
        <w:t>2 percent) whereas other 7 regions record a lower percentage. Child material deprivation rate becomes more severe particularly in Southeast Anatolia (55</w:t>
      </w:r>
      <w:r w:rsidR="007344F5">
        <w:rPr>
          <w:rFonts w:cs="Arial"/>
          <w:color w:val="000000" w:themeColor="text1"/>
          <w:lang w:val="en-GB"/>
        </w:rPr>
        <w:t>.</w:t>
      </w:r>
      <w:r w:rsidR="00EA09BB" w:rsidRPr="007344F5">
        <w:rPr>
          <w:rFonts w:cs="Arial"/>
          <w:color w:val="000000" w:themeColor="text1"/>
          <w:lang w:val="en-GB"/>
        </w:rPr>
        <w:t>1 percent) and Northeast Anatolia (52</w:t>
      </w:r>
      <w:r w:rsidR="007344F5">
        <w:rPr>
          <w:rFonts w:cs="Arial"/>
          <w:color w:val="000000" w:themeColor="text1"/>
          <w:lang w:val="en-GB"/>
        </w:rPr>
        <w:t>.</w:t>
      </w:r>
      <w:r w:rsidR="00EA09BB" w:rsidRPr="007344F5">
        <w:rPr>
          <w:rFonts w:cs="Arial"/>
          <w:color w:val="000000" w:themeColor="text1"/>
          <w:lang w:val="en-GB"/>
        </w:rPr>
        <w:t>9 percent) regions. In other words, more than half of the children living in the aforementioned regions are facing severe material deprivation. On the other hand, western regions recorded relatively lower severe child material deprivation levels. For example, this rate is measured 17</w:t>
      </w:r>
      <w:r w:rsidR="007344F5">
        <w:rPr>
          <w:rFonts w:cs="Arial"/>
          <w:color w:val="000000" w:themeColor="text1"/>
          <w:lang w:val="en-GB"/>
        </w:rPr>
        <w:t>.</w:t>
      </w:r>
      <w:r w:rsidR="00EA09BB" w:rsidRPr="007344F5">
        <w:rPr>
          <w:rFonts w:cs="Arial"/>
          <w:color w:val="000000" w:themeColor="text1"/>
          <w:lang w:val="en-GB"/>
        </w:rPr>
        <w:t>2 percent in West Marmara which is the lowest in Turkey. Aegean region follows by 24</w:t>
      </w:r>
      <w:r w:rsidR="007344F5">
        <w:rPr>
          <w:rFonts w:cs="Arial"/>
          <w:color w:val="000000" w:themeColor="text1"/>
          <w:lang w:val="en-GB"/>
        </w:rPr>
        <w:t>.</w:t>
      </w:r>
      <w:r w:rsidR="00EA09BB" w:rsidRPr="007344F5">
        <w:rPr>
          <w:rFonts w:cs="Arial"/>
          <w:color w:val="000000" w:themeColor="text1"/>
          <w:lang w:val="en-GB"/>
        </w:rPr>
        <w:t>4 percent. There is a serious divergence, 37</w:t>
      </w:r>
      <w:r w:rsidR="007344F5">
        <w:rPr>
          <w:rFonts w:cs="Arial"/>
          <w:color w:val="000000" w:themeColor="text1"/>
          <w:lang w:val="en-GB"/>
        </w:rPr>
        <w:t>.</w:t>
      </w:r>
      <w:r w:rsidR="00EA09BB" w:rsidRPr="007344F5">
        <w:rPr>
          <w:rFonts w:cs="Arial"/>
          <w:color w:val="000000" w:themeColor="text1"/>
          <w:lang w:val="en-GB"/>
        </w:rPr>
        <w:t xml:space="preserve">9 percent points, between the most deprived region South East Anatolia and the least deprived region West Marmara. There are two reasons behind this. First, the median income levels </w:t>
      </w:r>
      <w:r w:rsidR="00EA09BB" w:rsidRPr="007344F5">
        <w:rPr>
          <w:rFonts w:cs="Arial"/>
          <w:color w:val="000000" w:themeColor="text1"/>
          <w:lang w:val="en-GB"/>
        </w:rPr>
        <w:lastRenderedPageBreak/>
        <w:t xml:space="preserve">are very different across regions, indicating high inequality. According to Survey on Income and Living Conditions 2014, annual median household income in West Marmara region is measured as 26047 TL whereas in South East Anatolia it is calculated as 19003 TL. Second, the number of children living in households in the eastern regions are relatively larger. </w:t>
      </w:r>
    </w:p>
    <w:p w:rsidR="00EA09BB" w:rsidRPr="006F6C02" w:rsidRDefault="00EA09BB" w:rsidP="007344F5">
      <w:pPr>
        <w:jc w:val="both"/>
        <w:rPr>
          <w:b/>
          <w:bCs/>
          <w:lang w:val="en-GB"/>
        </w:rPr>
      </w:pPr>
      <w:bookmarkStart w:id="3" w:name="_Ref448916620"/>
      <w:r w:rsidRPr="006F6C02">
        <w:rPr>
          <w:b/>
          <w:lang w:val="en-GB"/>
        </w:rPr>
        <w:t xml:space="preserve">Figure </w:t>
      </w:r>
      <w:r w:rsidR="00CA363A" w:rsidRPr="006F6C02">
        <w:rPr>
          <w:b/>
          <w:lang w:val="en-GB"/>
        </w:rPr>
        <w:fldChar w:fldCharType="begin"/>
      </w:r>
      <w:r w:rsidRPr="006F6C02">
        <w:rPr>
          <w:b/>
          <w:lang w:val="en-GB"/>
        </w:rPr>
        <w:instrText xml:space="preserve"> SEQ Şekil \* ARABIC </w:instrText>
      </w:r>
      <w:r w:rsidR="00CA363A" w:rsidRPr="006F6C02">
        <w:rPr>
          <w:b/>
          <w:lang w:val="en-GB"/>
        </w:rPr>
        <w:fldChar w:fldCharType="separate"/>
      </w:r>
      <w:r w:rsidRPr="006F6C02">
        <w:rPr>
          <w:b/>
          <w:lang w:val="en-GB"/>
        </w:rPr>
        <w:t>1</w:t>
      </w:r>
      <w:r w:rsidR="00CA363A" w:rsidRPr="006F6C02">
        <w:rPr>
          <w:b/>
          <w:lang w:val="en-GB"/>
        </w:rPr>
        <w:fldChar w:fldCharType="end"/>
      </w:r>
      <w:bookmarkEnd w:id="2"/>
      <w:bookmarkEnd w:id="3"/>
      <w:r w:rsidRPr="006F6C02">
        <w:rPr>
          <w:b/>
          <w:lang w:val="en-GB"/>
        </w:rPr>
        <w:t xml:space="preserve">: </w:t>
      </w:r>
      <w:r w:rsidRPr="006F6C02">
        <w:rPr>
          <w:b/>
          <w:bCs/>
          <w:lang w:val="en-GB"/>
        </w:rPr>
        <w:t xml:space="preserve">Severe child material deprivation rates by regions </w:t>
      </w:r>
      <w:r w:rsidRPr="006F6C02">
        <w:rPr>
          <w:b/>
          <w:lang w:val="en-GB"/>
        </w:rPr>
        <w:t>(%, 2014)</w:t>
      </w:r>
    </w:p>
    <w:p w:rsidR="00EA09BB" w:rsidRPr="007344F5" w:rsidRDefault="00EA09BB" w:rsidP="007344F5">
      <w:pPr>
        <w:pStyle w:val="Caption"/>
        <w:keepNext/>
        <w:jc w:val="both"/>
        <w:rPr>
          <w:color w:val="auto"/>
          <w:sz w:val="22"/>
          <w:szCs w:val="22"/>
          <w:lang w:val="en-GB"/>
        </w:rPr>
      </w:pPr>
      <w:bookmarkStart w:id="4" w:name="_Ref417458188"/>
      <w:r w:rsidRPr="007344F5">
        <w:rPr>
          <w:noProof/>
        </w:rPr>
        <w:drawing>
          <wp:inline distT="0" distB="0" distL="0" distR="0">
            <wp:extent cx="5731510" cy="3110712"/>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40CD" w:rsidRPr="007344F5" w:rsidRDefault="003740CD" w:rsidP="003740CD">
      <w:pPr>
        <w:pStyle w:val="Caption"/>
        <w:keepNext/>
        <w:jc w:val="both"/>
        <w:rPr>
          <w:color w:val="auto"/>
          <w:sz w:val="22"/>
          <w:szCs w:val="22"/>
          <w:lang w:val="en-GB"/>
        </w:rPr>
      </w:pPr>
      <w:r w:rsidRPr="007344F5">
        <w:rPr>
          <w:b w:val="0"/>
          <w:color w:val="auto"/>
          <w:lang w:val="en-GB"/>
        </w:rPr>
        <w:t>Source: Turkstat</w:t>
      </w:r>
      <w:r>
        <w:rPr>
          <w:b w:val="0"/>
          <w:color w:val="auto"/>
          <w:lang w:val="en-GB"/>
        </w:rPr>
        <w:t>,</w:t>
      </w:r>
      <w:r w:rsidRPr="007344F5">
        <w:rPr>
          <w:b w:val="0"/>
          <w:color w:val="auto"/>
          <w:lang w:val="en-GB"/>
        </w:rPr>
        <w:t xml:space="preserve"> </w:t>
      </w:r>
      <w:r>
        <w:rPr>
          <w:b w:val="0"/>
          <w:color w:val="auto"/>
          <w:lang w:val="en-GB"/>
        </w:rPr>
        <w:t xml:space="preserve">2014 </w:t>
      </w:r>
      <w:r w:rsidRPr="007344F5">
        <w:rPr>
          <w:b w:val="0"/>
          <w:color w:val="auto"/>
          <w:lang w:val="en-GB"/>
        </w:rPr>
        <w:t xml:space="preserve">Survey on Income and Living Conditions; Betam </w:t>
      </w:r>
    </w:p>
    <w:p w:rsidR="00EA09BB" w:rsidRPr="007344F5" w:rsidRDefault="00EA09BB" w:rsidP="007344F5">
      <w:pPr>
        <w:jc w:val="both"/>
        <w:rPr>
          <w:rFonts w:cs="Arial"/>
          <w:color w:val="000000" w:themeColor="text1"/>
          <w:lang w:val="en-GB"/>
        </w:rPr>
      </w:pPr>
      <w:r w:rsidRPr="007344F5">
        <w:rPr>
          <w:rFonts w:cs="Arial"/>
          <w:color w:val="000000" w:themeColor="text1"/>
          <w:lang w:val="en-GB"/>
        </w:rPr>
        <w:t xml:space="preserve">To sum up, more than 7 million out of 20 million children living in Turkey are facing severe material deprivation. More than half of these children are residing in Mediterranean, Central Anatolia, Northeast Anatolia and South East Anatolia regions. It is clear that child poverty is a more pressing problem in the eastern regions of Turkey. </w:t>
      </w:r>
    </w:p>
    <w:p w:rsidR="00EA09BB" w:rsidRPr="007344F5" w:rsidRDefault="00EA09BB" w:rsidP="007344F5">
      <w:pPr>
        <w:jc w:val="both"/>
        <w:rPr>
          <w:b/>
          <w:sz w:val="24"/>
          <w:szCs w:val="24"/>
          <w:lang w:val="en-GB"/>
        </w:rPr>
      </w:pPr>
      <w:r w:rsidRPr="007344F5">
        <w:rPr>
          <w:b/>
          <w:sz w:val="24"/>
          <w:szCs w:val="24"/>
          <w:lang w:val="en-GB"/>
        </w:rPr>
        <w:t>Conclusion</w:t>
      </w:r>
    </w:p>
    <w:p w:rsidR="00EA09BB" w:rsidRPr="007344F5" w:rsidRDefault="00EA09BB" w:rsidP="007344F5">
      <w:pPr>
        <w:jc w:val="both"/>
        <w:rPr>
          <w:color w:val="000000" w:themeColor="text1"/>
          <w:lang w:val="en-GB"/>
        </w:rPr>
      </w:pPr>
      <w:r w:rsidRPr="007344F5">
        <w:rPr>
          <w:color w:val="000000" w:themeColor="text1"/>
          <w:lang w:val="en-GB"/>
        </w:rPr>
        <w:t>According to Survey on Income and Living Conditions 2014, more than one third of children in Turkey live in severely deprived conditions. In this respect, Turkey is doing worse than some countries that were affected adversely from recent economic crises (Greece and Portugal) and some countries which have relatively lower GDP per capita levels (Romania and Serbia).</w:t>
      </w:r>
    </w:p>
    <w:p w:rsidR="00EA09BB" w:rsidRPr="007344F5" w:rsidRDefault="00EA09BB" w:rsidP="007344F5">
      <w:pPr>
        <w:jc w:val="both"/>
        <w:rPr>
          <w:color w:val="000000" w:themeColor="text1"/>
          <w:lang w:val="en-GB"/>
        </w:rPr>
      </w:pPr>
      <w:r w:rsidRPr="007344F5">
        <w:rPr>
          <w:color w:val="000000" w:themeColor="text1"/>
          <w:lang w:val="en-GB"/>
        </w:rPr>
        <w:t xml:space="preserve">Another striking point is that the significant regional difference in terms of severe child material deprivation rates. This situation points to substantial income inequality between regions. Concordantly, children are affected by regional income inequality which leads to deprivation of certain primary needs. Taking into consideration the long-lasting and potentially intergenerational effects of material deprivation among children, Turkey clearly needs more efficient and multilateral social policies on this matter. </w:t>
      </w:r>
    </w:p>
    <w:p w:rsidR="0051258E" w:rsidRDefault="0051258E" w:rsidP="007344F5">
      <w:pPr>
        <w:pStyle w:val="Caption"/>
        <w:keepNext/>
        <w:jc w:val="both"/>
        <w:rPr>
          <w:color w:val="auto"/>
          <w:sz w:val="22"/>
          <w:szCs w:val="22"/>
          <w:lang w:val="en-GB"/>
        </w:rPr>
      </w:pPr>
      <w:bookmarkStart w:id="5" w:name="_GoBack"/>
      <w:bookmarkStart w:id="6" w:name="_Ref448917162"/>
      <w:bookmarkEnd w:id="5"/>
    </w:p>
    <w:p w:rsidR="00EA09BB" w:rsidRPr="006F6C02" w:rsidRDefault="00EA09BB" w:rsidP="007344F5">
      <w:pPr>
        <w:pStyle w:val="Caption"/>
        <w:keepNext/>
        <w:jc w:val="both"/>
        <w:rPr>
          <w:color w:val="auto"/>
          <w:sz w:val="22"/>
          <w:szCs w:val="22"/>
          <w:lang w:val="en-GB"/>
        </w:rPr>
      </w:pPr>
      <w:r w:rsidRPr="006F6C02">
        <w:rPr>
          <w:color w:val="auto"/>
          <w:sz w:val="22"/>
          <w:szCs w:val="22"/>
          <w:lang w:val="en-GB"/>
        </w:rPr>
        <w:t xml:space="preserve">Table </w:t>
      </w:r>
      <w:r w:rsidR="00CA363A" w:rsidRPr="006F6C02">
        <w:rPr>
          <w:color w:val="auto"/>
          <w:sz w:val="22"/>
          <w:szCs w:val="22"/>
          <w:lang w:val="en-GB"/>
        </w:rPr>
        <w:fldChar w:fldCharType="begin"/>
      </w:r>
      <w:r w:rsidRPr="006F6C02">
        <w:rPr>
          <w:color w:val="auto"/>
          <w:sz w:val="22"/>
          <w:szCs w:val="22"/>
          <w:lang w:val="en-GB"/>
        </w:rPr>
        <w:instrText xml:space="preserve"> SEQ Tablo \* ARABIC </w:instrText>
      </w:r>
      <w:r w:rsidR="00CA363A" w:rsidRPr="006F6C02">
        <w:rPr>
          <w:color w:val="auto"/>
          <w:sz w:val="22"/>
          <w:szCs w:val="22"/>
          <w:lang w:val="en-GB"/>
        </w:rPr>
        <w:fldChar w:fldCharType="separate"/>
      </w:r>
      <w:r w:rsidRPr="006F6C02">
        <w:rPr>
          <w:noProof/>
          <w:color w:val="auto"/>
          <w:sz w:val="22"/>
          <w:szCs w:val="22"/>
          <w:lang w:val="en-GB"/>
        </w:rPr>
        <w:t>2</w:t>
      </w:r>
      <w:r w:rsidR="00CA363A" w:rsidRPr="006F6C02">
        <w:rPr>
          <w:color w:val="auto"/>
          <w:sz w:val="22"/>
          <w:szCs w:val="22"/>
          <w:lang w:val="en-GB"/>
        </w:rPr>
        <w:fldChar w:fldCharType="end"/>
      </w:r>
      <w:bookmarkEnd w:id="6"/>
      <w:r w:rsidRPr="006F6C02">
        <w:rPr>
          <w:color w:val="auto"/>
          <w:sz w:val="22"/>
          <w:szCs w:val="22"/>
          <w:lang w:val="en-GB"/>
        </w:rPr>
        <w:t>: Number and Percentage of Children in Severe Material Deprivation (2014)</w:t>
      </w:r>
    </w:p>
    <w:tbl>
      <w:tblPr>
        <w:tblW w:w="75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18"/>
        <w:gridCol w:w="1950"/>
        <w:gridCol w:w="1424"/>
        <w:gridCol w:w="1528"/>
      </w:tblGrid>
      <w:tr w:rsidR="00EA09BB" w:rsidRPr="007344F5" w:rsidTr="00D16B49">
        <w:trPr>
          <w:trHeight w:val="312"/>
        </w:trPr>
        <w:tc>
          <w:tcPr>
            <w:tcW w:w="2618" w:type="dxa"/>
            <w:shd w:val="clear" w:color="auto" w:fill="auto"/>
            <w:vAlign w:val="center"/>
            <w:hideMark/>
          </w:tcPr>
          <w:p w:rsidR="00EA09BB" w:rsidRPr="007344F5" w:rsidRDefault="00EA09BB" w:rsidP="007344F5">
            <w:pPr>
              <w:spacing w:after="0" w:line="240" w:lineRule="auto"/>
              <w:jc w:val="both"/>
              <w:rPr>
                <w:rFonts w:eastAsia="Times New Roman" w:cs="Times New Roman"/>
                <w:b/>
                <w:color w:val="000000"/>
                <w:lang w:val="en-GB"/>
              </w:rPr>
            </w:pPr>
            <w:r w:rsidRPr="007344F5">
              <w:rPr>
                <w:rFonts w:eastAsia="Times New Roman" w:cs="Times New Roman"/>
                <w:b/>
                <w:color w:val="000000"/>
                <w:lang w:val="en-GB"/>
              </w:rPr>
              <w:t>Regions</w:t>
            </w:r>
          </w:p>
        </w:tc>
        <w:tc>
          <w:tcPr>
            <w:tcW w:w="1950" w:type="dxa"/>
            <w:shd w:val="clear" w:color="auto" w:fill="auto"/>
            <w:vAlign w:val="center"/>
            <w:hideMark/>
          </w:tcPr>
          <w:p w:rsidR="00EA09BB" w:rsidRPr="007344F5" w:rsidRDefault="00EA09BB" w:rsidP="007344F5">
            <w:pPr>
              <w:spacing w:after="0" w:line="240" w:lineRule="auto"/>
              <w:jc w:val="right"/>
              <w:rPr>
                <w:rFonts w:eastAsia="Times New Roman" w:cs="Times New Roman"/>
                <w:b/>
                <w:color w:val="000000"/>
                <w:lang w:val="en-GB"/>
              </w:rPr>
            </w:pPr>
            <w:r w:rsidRPr="007344F5">
              <w:rPr>
                <w:rFonts w:eastAsia="Times New Roman" w:cs="Times New Roman"/>
                <w:b/>
                <w:color w:val="000000"/>
                <w:lang w:val="en-GB"/>
              </w:rPr>
              <w:t xml:space="preserve">Number of deprived children (thousand) </w:t>
            </w:r>
          </w:p>
        </w:tc>
        <w:tc>
          <w:tcPr>
            <w:tcW w:w="1424" w:type="dxa"/>
            <w:shd w:val="clear" w:color="auto" w:fill="auto"/>
            <w:vAlign w:val="center"/>
            <w:hideMark/>
          </w:tcPr>
          <w:p w:rsidR="00EA09BB" w:rsidRPr="007344F5" w:rsidRDefault="00EA09BB" w:rsidP="007344F5">
            <w:pPr>
              <w:spacing w:after="0" w:line="240" w:lineRule="auto"/>
              <w:jc w:val="right"/>
              <w:rPr>
                <w:rFonts w:eastAsia="Times New Roman" w:cs="Times New Roman"/>
                <w:b/>
                <w:color w:val="000000"/>
                <w:lang w:val="en-GB"/>
              </w:rPr>
            </w:pPr>
            <w:r w:rsidRPr="007344F5">
              <w:rPr>
                <w:rFonts w:eastAsia="Times New Roman" w:cs="Times New Roman"/>
                <w:b/>
                <w:color w:val="000000"/>
                <w:lang w:val="en-GB"/>
              </w:rPr>
              <w:t xml:space="preserve">Total number of children (thousand) </w:t>
            </w:r>
          </w:p>
        </w:tc>
        <w:tc>
          <w:tcPr>
            <w:tcW w:w="1528" w:type="dxa"/>
            <w:shd w:val="clear" w:color="auto" w:fill="auto"/>
            <w:vAlign w:val="center"/>
            <w:hideMark/>
          </w:tcPr>
          <w:p w:rsidR="00EA09BB" w:rsidRPr="007344F5" w:rsidRDefault="00EA09BB" w:rsidP="007344F5">
            <w:pPr>
              <w:spacing w:after="0" w:line="240" w:lineRule="auto"/>
              <w:jc w:val="right"/>
              <w:rPr>
                <w:rFonts w:eastAsia="Times New Roman" w:cs="Times New Roman"/>
                <w:b/>
                <w:color w:val="000000"/>
                <w:lang w:val="en-GB"/>
              </w:rPr>
            </w:pPr>
            <w:r w:rsidRPr="007344F5">
              <w:rPr>
                <w:rFonts w:eastAsia="Times New Roman" w:cs="Times New Roman"/>
                <w:b/>
                <w:color w:val="000000"/>
                <w:lang w:val="en-GB"/>
              </w:rPr>
              <w:t>Ratio of deprived children(%)</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TR2- West Marmara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104</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608</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17</w:t>
            </w:r>
            <w:r w:rsidR="007344F5">
              <w:rPr>
                <w:color w:val="000000"/>
                <w:lang w:val="en-GB"/>
              </w:rPr>
              <w:t>.</w:t>
            </w:r>
            <w:r w:rsidRPr="007344F5">
              <w:rPr>
                <w:color w:val="000000"/>
                <w:lang w:val="en-GB"/>
              </w:rPr>
              <w:t>2</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TR3-Aegean</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527</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w:t>
            </w:r>
            <w:r w:rsidR="007344F5">
              <w:rPr>
                <w:color w:val="000000"/>
                <w:lang w:val="en-GB"/>
              </w:rPr>
              <w:t>,</w:t>
            </w:r>
            <w:r w:rsidRPr="007344F5">
              <w:rPr>
                <w:color w:val="000000"/>
                <w:lang w:val="en-GB"/>
              </w:rPr>
              <w:t>163</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24</w:t>
            </w:r>
            <w:r w:rsidR="007344F5">
              <w:rPr>
                <w:color w:val="000000"/>
                <w:lang w:val="en-GB"/>
              </w:rPr>
              <w:t>.</w:t>
            </w:r>
            <w:r w:rsidRPr="007344F5">
              <w:rPr>
                <w:color w:val="000000"/>
                <w:lang w:val="en-GB"/>
              </w:rPr>
              <w:t>4</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 xml:space="preserve">TR4-East Marmara </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530</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621</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32</w:t>
            </w:r>
            <w:r w:rsidR="007344F5">
              <w:rPr>
                <w:color w:val="000000"/>
                <w:lang w:val="en-GB"/>
              </w:rPr>
              <w:t>.</w:t>
            </w:r>
            <w:r w:rsidRPr="007344F5">
              <w:rPr>
                <w:color w:val="000000"/>
                <w:lang w:val="en-GB"/>
              </w:rPr>
              <w:t>7</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TR8-West Black Sea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325</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027</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31</w:t>
            </w:r>
            <w:r w:rsidR="007344F5">
              <w:rPr>
                <w:color w:val="000000"/>
                <w:lang w:val="en-GB"/>
              </w:rPr>
              <w:t>.</w:t>
            </w:r>
            <w:r w:rsidRPr="007344F5">
              <w:rPr>
                <w:color w:val="000000"/>
                <w:lang w:val="en-GB"/>
              </w:rPr>
              <w:t>7</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TR5-West Anatolia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525</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805</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29</w:t>
            </w:r>
            <w:r w:rsidR="007344F5">
              <w:rPr>
                <w:color w:val="000000"/>
                <w:lang w:val="en-GB"/>
              </w:rPr>
              <w:t>.</w:t>
            </w:r>
            <w:r w:rsidRPr="007344F5">
              <w:rPr>
                <w:color w:val="000000"/>
                <w:lang w:val="en-GB"/>
              </w:rPr>
              <w:t>1</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TR9-East Black Sea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170</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582</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29</w:t>
            </w:r>
            <w:r w:rsidR="007344F5">
              <w:rPr>
                <w:color w:val="000000"/>
                <w:lang w:val="en-GB"/>
              </w:rPr>
              <w:t>.</w:t>
            </w:r>
            <w:r w:rsidRPr="007344F5">
              <w:rPr>
                <w:color w:val="000000"/>
                <w:lang w:val="en-GB"/>
              </w:rPr>
              <w:t>2</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TR1- Istanbul</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955</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w:t>
            </w:r>
            <w:r w:rsidR="007344F5">
              <w:rPr>
                <w:color w:val="000000"/>
                <w:lang w:val="en-GB"/>
              </w:rPr>
              <w:t>,</w:t>
            </w:r>
            <w:r w:rsidRPr="007344F5">
              <w:rPr>
                <w:color w:val="000000"/>
                <w:lang w:val="en-GB"/>
              </w:rPr>
              <w:t>413</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28</w:t>
            </w:r>
            <w:r w:rsidR="007344F5">
              <w:rPr>
                <w:color w:val="000000"/>
                <w:lang w:val="en-GB"/>
              </w:rPr>
              <w:t>.</w:t>
            </w:r>
            <w:r w:rsidRPr="007344F5">
              <w:rPr>
                <w:color w:val="000000"/>
                <w:lang w:val="en-GB"/>
              </w:rPr>
              <w:t>0</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TR7-Central Anatolia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277</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051</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26</w:t>
            </w:r>
            <w:r w:rsidR="007344F5">
              <w:rPr>
                <w:color w:val="000000"/>
                <w:lang w:val="en-GB"/>
              </w:rPr>
              <w:t>.</w:t>
            </w:r>
            <w:r w:rsidRPr="007344F5">
              <w:rPr>
                <w:color w:val="000000"/>
                <w:lang w:val="en-GB"/>
              </w:rPr>
              <w:t>4</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TR6-Mediterranean</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158</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w:t>
            </w:r>
            <w:r w:rsidR="007344F5">
              <w:rPr>
                <w:color w:val="000000"/>
                <w:lang w:val="en-GB"/>
              </w:rPr>
              <w:t>,</w:t>
            </w:r>
            <w:r w:rsidRPr="007344F5">
              <w:rPr>
                <w:color w:val="000000"/>
                <w:lang w:val="en-GB"/>
              </w:rPr>
              <w:t>744</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42</w:t>
            </w:r>
            <w:r w:rsidR="007344F5">
              <w:rPr>
                <w:color w:val="000000"/>
                <w:lang w:val="en-GB"/>
              </w:rPr>
              <w:t>.</w:t>
            </w:r>
            <w:r w:rsidRPr="007344F5">
              <w:rPr>
                <w:color w:val="000000"/>
                <w:lang w:val="en-GB"/>
              </w:rPr>
              <w:t>2</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TRB-Central East Anatolia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564</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164</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48</w:t>
            </w:r>
            <w:r w:rsidR="007344F5">
              <w:rPr>
                <w:color w:val="000000"/>
                <w:lang w:val="en-GB"/>
              </w:rPr>
              <w:t>.</w:t>
            </w:r>
            <w:r w:rsidRPr="007344F5">
              <w:rPr>
                <w:color w:val="000000"/>
                <w:lang w:val="en-GB"/>
              </w:rPr>
              <w:t>5</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TRA- Northeast Anatolia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399</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754</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52</w:t>
            </w:r>
            <w:r w:rsidR="007344F5">
              <w:rPr>
                <w:color w:val="000000"/>
                <w:lang w:val="en-GB"/>
              </w:rPr>
              <w:t>.</w:t>
            </w:r>
            <w:r w:rsidRPr="007344F5">
              <w:rPr>
                <w:color w:val="000000"/>
                <w:lang w:val="en-GB"/>
              </w:rPr>
              <w:t>9</w:t>
            </w:r>
          </w:p>
        </w:tc>
      </w:tr>
      <w:tr w:rsidR="00EA09BB" w:rsidRPr="007344F5" w:rsidTr="00D16B49">
        <w:trPr>
          <w:trHeight w:val="103"/>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TRC- South East Anatolia</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1</w:t>
            </w:r>
            <w:r w:rsidR="007344F5">
              <w:rPr>
                <w:color w:val="000000"/>
                <w:lang w:val="en-GB"/>
              </w:rPr>
              <w:t>,</w:t>
            </w:r>
            <w:r w:rsidRPr="007344F5">
              <w:rPr>
                <w:color w:val="000000"/>
                <w:lang w:val="en-GB"/>
              </w:rPr>
              <w:t>708</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w:t>
            </w:r>
            <w:r w:rsidR="007344F5">
              <w:rPr>
                <w:color w:val="000000"/>
                <w:lang w:val="en-GB"/>
              </w:rPr>
              <w:t>,</w:t>
            </w:r>
            <w:r w:rsidRPr="007344F5">
              <w:rPr>
                <w:color w:val="000000"/>
                <w:lang w:val="en-GB"/>
              </w:rPr>
              <w:t>100</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55</w:t>
            </w:r>
            <w:r w:rsidR="007344F5">
              <w:rPr>
                <w:color w:val="000000"/>
                <w:lang w:val="en-GB"/>
              </w:rPr>
              <w:t>.</w:t>
            </w:r>
            <w:r w:rsidRPr="007344F5">
              <w:rPr>
                <w:color w:val="000000"/>
                <w:lang w:val="en-GB"/>
              </w:rPr>
              <w:t>1</w:t>
            </w:r>
          </w:p>
        </w:tc>
      </w:tr>
      <w:tr w:rsidR="00EA09BB" w:rsidRPr="007344F5" w:rsidTr="00D16B49">
        <w:trPr>
          <w:trHeight w:val="52"/>
        </w:trPr>
        <w:tc>
          <w:tcPr>
            <w:tcW w:w="2618" w:type="dxa"/>
            <w:shd w:val="clear" w:color="auto" w:fill="auto"/>
            <w:noWrap/>
            <w:vAlign w:val="center"/>
            <w:hideMark/>
          </w:tcPr>
          <w:p w:rsidR="00EA09BB" w:rsidRPr="007344F5" w:rsidRDefault="00EA09BB" w:rsidP="007344F5">
            <w:pPr>
              <w:spacing w:after="0"/>
              <w:jc w:val="both"/>
              <w:rPr>
                <w:b/>
                <w:color w:val="000000"/>
                <w:lang w:val="en-GB"/>
              </w:rPr>
            </w:pPr>
            <w:r w:rsidRPr="007344F5">
              <w:rPr>
                <w:b/>
                <w:color w:val="000000"/>
                <w:lang w:val="en-GB"/>
              </w:rPr>
              <w:t>Turkey</w:t>
            </w:r>
          </w:p>
        </w:tc>
        <w:tc>
          <w:tcPr>
            <w:tcW w:w="1950"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7</w:t>
            </w:r>
            <w:r w:rsidR="007344F5">
              <w:rPr>
                <w:color w:val="000000"/>
                <w:lang w:val="en-GB"/>
              </w:rPr>
              <w:t>,</w:t>
            </w:r>
            <w:r w:rsidRPr="007344F5">
              <w:rPr>
                <w:color w:val="000000"/>
                <w:lang w:val="en-GB"/>
              </w:rPr>
              <w:t>243</w:t>
            </w:r>
          </w:p>
        </w:tc>
        <w:tc>
          <w:tcPr>
            <w:tcW w:w="1424"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20</w:t>
            </w:r>
            <w:r w:rsidR="007344F5">
              <w:rPr>
                <w:color w:val="000000"/>
                <w:lang w:val="en-GB"/>
              </w:rPr>
              <w:t>,</w:t>
            </w:r>
            <w:r w:rsidRPr="007344F5">
              <w:rPr>
                <w:color w:val="000000"/>
                <w:lang w:val="en-GB"/>
              </w:rPr>
              <w:t>034</w:t>
            </w:r>
          </w:p>
        </w:tc>
        <w:tc>
          <w:tcPr>
            <w:tcW w:w="1528" w:type="dxa"/>
            <w:shd w:val="clear" w:color="auto" w:fill="auto"/>
            <w:noWrap/>
            <w:vAlign w:val="center"/>
            <w:hideMark/>
          </w:tcPr>
          <w:p w:rsidR="00EA09BB" w:rsidRPr="007344F5" w:rsidRDefault="00EA09BB" w:rsidP="007344F5">
            <w:pPr>
              <w:spacing w:after="0"/>
              <w:jc w:val="right"/>
              <w:rPr>
                <w:color w:val="000000"/>
                <w:lang w:val="en-GB"/>
              </w:rPr>
            </w:pPr>
            <w:r w:rsidRPr="007344F5">
              <w:rPr>
                <w:color w:val="000000"/>
                <w:lang w:val="en-GB"/>
              </w:rPr>
              <w:t>36</w:t>
            </w:r>
            <w:r w:rsidR="007344F5">
              <w:rPr>
                <w:color w:val="000000"/>
                <w:lang w:val="en-GB"/>
              </w:rPr>
              <w:t>.</w:t>
            </w:r>
            <w:r w:rsidRPr="007344F5">
              <w:rPr>
                <w:color w:val="000000"/>
                <w:lang w:val="en-GB"/>
              </w:rPr>
              <w:t>2</w:t>
            </w:r>
          </w:p>
        </w:tc>
      </w:tr>
    </w:tbl>
    <w:p w:rsidR="00EA09BB" w:rsidRPr="007344F5" w:rsidRDefault="00EA09BB" w:rsidP="007344F5">
      <w:pPr>
        <w:pStyle w:val="Caption"/>
        <w:keepNext/>
        <w:jc w:val="both"/>
        <w:rPr>
          <w:color w:val="auto"/>
          <w:sz w:val="22"/>
          <w:szCs w:val="22"/>
          <w:lang w:val="en-GB"/>
        </w:rPr>
      </w:pPr>
      <w:r w:rsidRPr="007344F5">
        <w:rPr>
          <w:b w:val="0"/>
          <w:color w:val="auto"/>
          <w:lang w:val="en-GB"/>
        </w:rPr>
        <w:t xml:space="preserve"> Source: Turkstat</w:t>
      </w:r>
      <w:r w:rsidR="007344F5">
        <w:rPr>
          <w:b w:val="0"/>
          <w:color w:val="auto"/>
          <w:lang w:val="en-GB"/>
        </w:rPr>
        <w:t>,</w:t>
      </w:r>
      <w:r w:rsidRPr="007344F5">
        <w:rPr>
          <w:b w:val="0"/>
          <w:color w:val="auto"/>
          <w:lang w:val="en-GB"/>
        </w:rPr>
        <w:t xml:space="preserve"> </w:t>
      </w:r>
      <w:r w:rsidR="007344F5">
        <w:rPr>
          <w:b w:val="0"/>
          <w:color w:val="auto"/>
          <w:lang w:val="en-GB"/>
        </w:rPr>
        <w:t xml:space="preserve">2014 </w:t>
      </w:r>
      <w:r w:rsidRPr="007344F5">
        <w:rPr>
          <w:b w:val="0"/>
          <w:color w:val="auto"/>
          <w:lang w:val="en-GB"/>
        </w:rPr>
        <w:t xml:space="preserve">Survey on Income and Living Conditions; Betam </w:t>
      </w:r>
    </w:p>
    <w:p w:rsidR="00EA09BB" w:rsidRPr="007344F5" w:rsidRDefault="00EA09BB" w:rsidP="007344F5">
      <w:pPr>
        <w:pStyle w:val="Caption"/>
        <w:keepNext/>
        <w:jc w:val="both"/>
        <w:rPr>
          <w:b w:val="0"/>
          <w:bCs w:val="0"/>
          <w:color w:val="auto"/>
          <w:sz w:val="22"/>
          <w:szCs w:val="22"/>
          <w:lang w:val="en-GB"/>
        </w:rPr>
      </w:pPr>
    </w:p>
    <w:p w:rsidR="00EA09BB" w:rsidRPr="007344F5" w:rsidRDefault="00EA09BB" w:rsidP="007344F5">
      <w:pPr>
        <w:pStyle w:val="Caption"/>
        <w:keepNext/>
        <w:jc w:val="both"/>
        <w:rPr>
          <w:b w:val="0"/>
          <w:bCs w:val="0"/>
          <w:color w:val="auto"/>
          <w:sz w:val="22"/>
          <w:szCs w:val="22"/>
          <w:lang w:val="en-GB"/>
        </w:rPr>
      </w:pPr>
    </w:p>
    <w:p w:rsidR="00EA09BB" w:rsidRPr="007344F5" w:rsidRDefault="00EA09BB" w:rsidP="007344F5">
      <w:pPr>
        <w:jc w:val="both"/>
        <w:rPr>
          <w:lang w:val="en-GB"/>
        </w:rPr>
      </w:pPr>
    </w:p>
    <w:bookmarkEnd w:id="4"/>
    <w:p w:rsidR="00EA09BB" w:rsidRPr="007344F5" w:rsidRDefault="00EA09BB" w:rsidP="007344F5">
      <w:pPr>
        <w:jc w:val="both"/>
        <w:rPr>
          <w:lang w:val="en-GB"/>
        </w:rPr>
      </w:pPr>
    </w:p>
    <w:p w:rsidR="00133D9F" w:rsidRPr="007344F5" w:rsidRDefault="00133D9F" w:rsidP="00EA09BB">
      <w:pPr>
        <w:tabs>
          <w:tab w:val="left" w:pos="2024"/>
        </w:tabs>
      </w:pPr>
    </w:p>
    <w:sectPr w:rsidR="00133D9F" w:rsidRPr="007344F5" w:rsidSect="00133D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EB" w:rsidRDefault="00794FEB" w:rsidP="00EA09BB">
      <w:pPr>
        <w:spacing w:after="0" w:line="240" w:lineRule="auto"/>
      </w:pPr>
      <w:r>
        <w:separator/>
      </w:r>
    </w:p>
  </w:endnote>
  <w:endnote w:type="continuationSeparator" w:id="0">
    <w:p w:rsidR="00794FEB" w:rsidRDefault="00794FEB" w:rsidP="00EA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EB" w:rsidRDefault="00794FEB" w:rsidP="00EA09BB">
      <w:pPr>
        <w:spacing w:after="0" w:line="240" w:lineRule="auto"/>
      </w:pPr>
      <w:r>
        <w:separator/>
      </w:r>
    </w:p>
  </w:footnote>
  <w:footnote w:type="continuationSeparator" w:id="0">
    <w:p w:rsidR="00794FEB" w:rsidRDefault="00794FEB" w:rsidP="00EA09BB">
      <w:pPr>
        <w:spacing w:after="0" w:line="240" w:lineRule="auto"/>
      </w:pPr>
      <w:r>
        <w:continuationSeparator/>
      </w:r>
    </w:p>
  </w:footnote>
  <w:footnote w:id="1">
    <w:p w:rsidR="00EA09BB" w:rsidRPr="0051258E" w:rsidRDefault="00EA09BB" w:rsidP="00EA09BB">
      <w:pPr>
        <w:pStyle w:val="FootnoteText"/>
        <w:rPr>
          <w:sz w:val="14"/>
          <w:szCs w:val="14"/>
          <w:lang w:val="en-US"/>
        </w:rPr>
      </w:pPr>
      <w:r w:rsidRPr="0051258E">
        <w:rPr>
          <w:rStyle w:val="FootnoteReference"/>
          <w:rFonts w:cs="Arial"/>
          <w:bCs/>
          <w:sz w:val="14"/>
          <w:szCs w:val="14"/>
          <w:lang w:val="en-US"/>
        </w:rPr>
        <w:t>*</w:t>
      </w:r>
      <w:r w:rsidRPr="0051258E">
        <w:rPr>
          <w:rFonts w:ascii="Arial" w:hAnsi="Arial" w:cs="Arial"/>
          <w:sz w:val="14"/>
          <w:szCs w:val="14"/>
          <w:lang w:val="en-US"/>
        </w:rPr>
        <w:t xml:space="preserve">Prof. Seyfettin </w:t>
      </w:r>
      <w:proofErr w:type="spellStart"/>
      <w:r w:rsidRPr="0051258E">
        <w:rPr>
          <w:rFonts w:ascii="Arial" w:hAnsi="Arial" w:cs="Arial"/>
          <w:sz w:val="14"/>
          <w:szCs w:val="14"/>
          <w:lang w:val="en-US"/>
        </w:rPr>
        <w:t>Gürsel</w:t>
      </w:r>
      <w:proofErr w:type="spellEnd"/>
      <w:r w:rsidRPr="0051258E">
        <w:rPr>
          <w:rFonts w:ascii="Arial" w:hAnsi="Arial" w:cs="Arial"/>
          <w:sz w:val="14"/>
          <w:szCs w:val="14"/>
          <w:lang w:val="en-US"/>
        </w:rPr>
        <w:t xml:space="preserve">, </w:t>
      </w:r>
      <w:proofErr w:type="spellStart"/>
      <w:r w:rsidRPr="0051258E">
        <w:rPr>
          <w:rFonts w:ascii="Arial" w:hAnsi="Arial" w:cs="Arial"/>
          <w:sz w:val="14"/>
          <w:szCs w:val="14"/>
          <w:lang w:val="en-US"/>
        </w:rPr>
        <w:t>Betam</w:t>
      </w:r>
      <w:proofErr w:type="spellEnd"/>
      <w:r w:rsidRPr="0051258E">
        <w:rPr>
          <w:rFonts w:ascii="Arial" w:hAnsi="Arial" w:cs="Arial"/>
          <w:sz w:val="14"/>
          <w:szCs w:val="14"/>
          <w:lang w:val="en-US"/>
        </w:rPr>
        <w:t xml:space="preserve">, Director, </w:t>
      </w:r>
      <w:hyperlink r:id="rId1" w:history="1">
        <w:r w:rsidRPr="0051258E">
          <w:rPr>
            <w:rStyle w:val="Hyperlink"/>
            <w:rFonts w:ascii="Arial" w:hAnsi="Arial" w:cs="Arial"/>
            <w:sz w:val="14"/>
            <w:szCs w:val="14"/>
            <w:lang w:val="en-US"/>
          </w:rPr>
          <w:t>seyfettin.gursel@eas.bau.edu.tr</w:t>
        </w:r>
      </w:hyperlink>
    </w:p>
  </w:footnote>
  <w:footnote w:id="2">
    <w:p w:rsidR="00EA09BB" w:rsidRPr="0051258E" w:rsidRDefault="00EA09BB" w:rsidP="00EA09BB">
      <w:pPr>
        <w:pStyle w:val="FootnoteText"/>
        <w:rPr>
          <w:sz w:val="14"/>
          <w:szCs w:val="14"/>
          <w:lang w:val="en-US"/>
        </w:rPr>
      </w:pPr>
      <w:r w:rsidRPr="0051258E">
        <w:rPr>
          <w:rStyle w:val="FootnoteReference"/>
          <w:rFonts w:cs="Arial"/>
          <w:sz w:val="14"/>
          <w:szCs w:val="14"/>
          <w:lang w:val="en-US"/>
        </w:rPr>
        <w:sym w:font="Symbol" w:char="F02A"/>
      </w:r>
      <w:r w:rsidRPr="0051258E">
        <w:rPr>
          <w:rStyle w:val="FootnoteReference"/>
          <w:rFonts w:cs="Arial"/>
          <w:sz w:val="14"/>
          <w:szCs w:val="14"/>
          <w:lang w:val="en-US"/>
        </w:rPr>
        <w:sym w:font="Symbol" w:char="F02A"/>
      </w:r>
      <w:r w:rsidRPr="0051258E">
        <w:rPr>
          <w:rFonts w:ascii="Arial" w:hAnsi="Arial" w:cs="Arial"/>
          <w:sz w:val="14"/>
          <w:szCs w:val="14"/>
          <w:lang w:val="en-US"/>
        </w:rPr>
        <w:t xml:space="preserve">Asst. Prof. Gökçe Uysal, </w:t>
      </w:r>
      <w:proofErr w:type="spellStart"/>
      <w:r w:rsidRPr="0051258E">
        <w:rPr>
          <w:rFonts w:ascii="Arial" w:hAnsi="Arial" w:cs="Arial"/>
          <w:sz w:val="14"/>
          <w:szCs w:val="14"/>
          <w:lang w:val="en-US"/>
        </w:rPr>
        <w:t>Betam</w:t>
      </w:r>
      <w:proofErr w:type="spellEnd"/>
      <w:r w:rsidRPr="0051258E">
        <w:rPr>
          <w:rFonts w:ascii="Arial" w:hAnsi="Arial" w:cs="Arial"/>
          <w:sz w:val="14"/>
          <w:szCs w:val="14"/>
          <w:lang w:val="en-US"/>
        </w:rPr>
        <w:t xml:space="preserve">, Deputy Director, </w:t>
      </w:r>
      <w:hyperlink r:id="rId2" w:history="1">
        <w:r w:rsidRPr="0051258E">
          <w:rPr>
            <w:rStyle w:val="Hyperlink"/>
            <w:rFonts w:ascii="Arial" w:hAnsi="Arial" w:cs="Arial"/>
            <w:sz w:val="14"/>
            <w:szCs w:val="14"/>
            <w:lang w:val="en-US"/>
          </w:rPr>
          <w:t>gokce.uysal@eas.bau.edu.tr</w:t>
        </w:r>
      </w:hyperlink>
    </w:p>
  </w:footnote>
  <w:footnote w:id="3">
    <w:p w:rsidR="00EA09BB" w:rsidRPr="0051258E" w:rsidRDefault="00EA09BB" w:rsidP="00EA09BB">
      <w:pPr>
        <w:pStyle w:val="FootnoteText"/>
        <w:rPr>
          <w:lang w:val="en-US"/>
        </w:rPr>
      </w:pPr>
      <w:r w:rsidRPr="0051258E">
        <w:rPr>
          <w:rStyle w:val="FootnoteReference"/>
          <w:rFonts w:cs="Arial"/>
          <w:sz w:val="14"/>
          <w:szCs w:val="14"/>
          <w:lang w:val="en-US"/>
        </w:rPr>
        <w:sym w:font="Symbol" w:char="F02A"/>
      </w:r>
      <w:r w:rsidRPr="0051258E">
        <w:rPr>
          <w:rStyle w:val="FootnoteReference"/>
          <w:rFonts w:cs="Arial"/>
          <w:sz w:val="14"/>
          <w:szCs w:val="14"/>
          <w:lang w:val="en-US"/>
        </w:rPr>
        <w:sym w:font="Symbol" w:char="F02A"/>
      </w:r>
      <w:r w:rsidRPr="0051258E">
        <w:rPr>
          <w:rStyle w:val="FootnoteReference"/>
          <w:rFonts w:cs="Arial"/>
          <w:sz w:val="14"/>
          <w:szCs w:val="14"/>
          <w:lang w:val="en-US"/>
        </w:rPr>
        <w:sym w:font="Symbol" w:char="F02A"/>
      </w:r>
      <w:r w:rsidRPr="0051258E">
        <w:rPr>
          <w:rFonts w:ascii="Arial" w:hAnsi="Arial" w:cs="Arial"/>
          <w:sz w:val="14"/>
          <w:szCs w:val="14"/>
          <w:lang w:val="en-US"/>
        </w:rPr>
        <w:t xml:space="preserve">Selin </w:t>
      </w:r>
      <w:proofErr w:type="spellStart"/>
      <w:r w:rsidRPr="0051258E">
        <w:rPr>
          <w:rFonts w:ascii="Arial" w:hAnsi="Arial" w:cs="Arial"/>
          <w:sz w:val="14"/>
          <w:szCs w:val="14"/>
          <w:lang w:val="en-US"/>
        </w:rPr>
        <w:t>Köksal</w:t>
      </w:r>
      <w:proofErr w:type="spellEnd"/>
      <w:r w:rsidRPr="0051258E">
        <w:rPr>
          <w:rFonts w:ascii="Arial" w:hAnsi="Arial" w:cs="Arial"/>
          <w:sz w:val="14"/>
          <w:szCs w:val="14"/>
          <w:lang w:val="en-US"/>
        </w:rPr>
        <w:t xml:space="preserve">, </w:t>
      </w:r>
      <w:proofErr w:type="spellStart"/>
      <w:r w:rsidRPr="0051258E">
        <w:rPr>
          <w:rFonts w:ascii="Arial" w:hAnsi="Arial" w:cs="Arial"/>
          <w:sz w:val="14"/>
          <w:szCs w:val="14"/>
          <w:lang w:val="en-US"/>
        </w:rPr>
        <w:t>Betam</w:t>
      </w:r>
      <w:proofErr w:type="spellEnd"/>
      <w:r w:rsidRPr="0051258E">
        <w:rPr>
          <w:rFonts w:ascii="Arial" w:hAnsi="Arial" w:cs="Arial"/>
          <w:sz w:val="14"/>
          <w:szCs w:val="14"/>
          <w:lang w:val="en-US"/>
        </w:rPr>
        <w:t xml:space="preserve">, Research Assistant, </w:t>
      </w:r>
      <w:hyperlink r:id="rId3" w:history="1">
        <w:r w:rsidRPr="0051258E">
          <w:rPr>
            <w:rStyle w:val="Hyperlink"/>
            <w:rFonts w:ascii="Arial" w:hAnsi="Arial" w:cs="Arial"/>
            <w:sz w:val="14"/>
            <w:szCs w:val="14"/>
            <w:lang w:val="en-US"/>
          </w:rPr>
          <w:t>selin.koksal@eas.bau.edu.tr</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A09BB"/>
    <w:rsid w:val="00003CC9"/>
    <w:rsid w:val="000057B7"/>
    <w:rsid w:val="0001178B"/>
    <w:rsid w:val="000231F4"/>
    <w:rsid w:val="00030E86"/>
    <w:rsid w:val="000367A9"/>
    <w:rsid w:val="00073ACB"/>
    <w:rsid w:val="00076343"/>
    <w:rsid w:val="0008204E"/>
    <w:rsid w:val="00082388"/>
    <w:rsid w:val="00083891"/>
    <w:rsid w:val="00094429"/>
    <w:rsid w:val="000B0EDA"/>
    <w:rsid w:val="000B30BA"/>
    <w:rsid w:val="000B3EE8"/>
    <w:rsid w:val="000B45CD"/>
    <w:rsid w:val="000B52D7"/>
    <w:rsid w:val="000E24E4"/>
    <w:rsid w:val="001005D5"/>
    <w:rsid w:val="001019A3"/>
    <w:rsid w:val="00114D5A"/>
    <w:rsid w:val="00123024"/>
    <w:rsid w:val="0012329A"/>
    <w:rsid w:val="00131A0C"/>
    <w:rsid w:val="00131AB2"/>
    <w:rsid w:val="00133D9F"/>
    <w:rsid w:val="00183462"/>
    <w:rsid w:val="00192C37"/>
    <w:rsid w:val="001945A1"/>
    <w:rsid w:val="001B206C"/>
    <w:rsid w:val="001C77DC"/>
    <w:rsid w:val="001D5D7B"/>
    <w:rsid w:val="001E5772"/>
    <w:rsid w:val="001F7FE5"/>
    <w:rsid w:val="00203580"/>
    <w:rsid w:val="0021197C"/>
    <w:rsid w:val="002167D1"/>
    <w:rsid w:val="00227EF0"/>
    <w:rsid w:val="00236A7C"/>
    <w:rsid w:val="00242A8F"/>
    <w:rsid w:val="00267F74"/>
    <w:rsid w:val="00271440"/>
    <w:rsid w:val="002753E4"/>
    <w:rsid w:val="002757B3"/>
    <w:rsid w:val="00290F3D"/>
    <w:rsid w:val="00291DB3"/>
    <w:rsid w:val="002923AA"/>
    <w:rsid w:val="002A51A1"/>
    <w:rsid w:val="002B1103"/>
    <w:rsid w:val="002C12B1"/>
    <w:rsid w:val="002E1FDD"/>
    <w:rsid w:val="002E764C"/>
    <w:rsid w:val="00301551"/>
    <w:rsid w:val="00303B6D"/>
    <w:rsid w:val="00307A13"/>
    <w:rsid w:val="00310750"/>
    <w:rsid w:val="003137CA"/>
    <w:rsid w:val="0034153D"/>
    <w:rsid w:val="00341A64"/>
    <w:rsid w:val="00345301"/>
    <w:rsid w:val="00356769"/>
    <w:rsid w:val="00372CBA"/>
    <w:rsid w:val="003740CD"/>
    <w:rsid w:val="00375760"/>
    <w:rsid w:val="00386F9E"/>
    <w:rsid w:val="00395125"/>
    <w:rsid w:val="003A213B"/>
    <w:rsid w:val="003D457A"/>
    <w:rsid w:val="0040149C"/>
    <w:rsid w:val="00416743"/>
    <w:rsid w:val="004178AF"/>
    <w:rsid w:val="00420D12"/>
    <w:rsid w:val="00422C83"/>
    <w:rsid w:val="004335D8"/>
    <w:rsid w:val="0044014C"/>
    <w:rsid w:val="00446505"/>
    <w:rsid w:val="00452581"/>
    <w:rsid w:val="00456758"/>
    <w:rsid w:val="00456D74"/>
    <w:rsid w:val="00461572"/>
    <w:rsid w:val="00470A43"/>
    <w:rsid w:val="004743A8"/>
    <w:rsid w:val="004748D4"/>
    <w:rsid w:val="004A0BE9"/>
    <w:rsid w:val="004A19AD"/>
    <w:rsid w:val="004B0971"/>
    <w:rsid w:val="004C51AA"/>
    <w:rsid w:val="004F01BC"/>
    <w:rsid w:val="004F173C"/>
    <w:rsid w:val="004F2666"/>
    <w:rsid w:val="00502FC0"/>
    <w:rsid w:val="00503D43"/>
    <w:rsid w:val="00503EE4"/>
    <w:rsid w:val="00503FF5"/>
    <w:rsid w:val="0051258E"/>
    <w:rsid w:val="00514DE6"/>
    <w:rsid w:val="005151E1"/>
    <w:rsid w:val="00516498"/>
    <w:rsid w:val="00520542"/>
    <w:rsid w:val="0052314A"/>
    <w:rsid w:val="00526C24"/>
    <w:rsid w:val="00531AC3"/>
    <w:rsid w:val="00540F6E"/>
    <w:rsid w:val="00541B9F"/>
    <w:rsid w:val="00594A70"/>
    <w:rsid w:val="005A0F9B"/>
    <w:rsid w:val="005B7B2C"/>
    <w:rsid w:val="005C00B1"/>
    <w:rsid w:val="005C1C63"/>
    <w:rsid w:val="005F22A6"/>
    <w:rsid w:val="0060188B"/>
    <w:rsid w:val="00606A0E"/>
    <w:rsid w:val="00616AC3"/>
    <w:rsid w:val="0063341F"/>
    <w:rsid w:val="00644CF9"/>
    <w:rsid w:val="00655343"/>
    <w:rsid w:val="0066200A"/>
    <w:rsid w:val="00675D0F"/>
    <w:rsid w:val="00691CAB"/>
    <w:rsid w:val="00695891"/>
    <w:rsid w:val="006B116C"/>
    <w:rsid w:val="006C01D6"/>
    <w:rsid w:val="006C533A"/>
    <w:rsid w:val="006D51AE"/>
    <w:rsid w:val="006D7E5F"/>
    <w:rsid w:val="006E706A"/>
    <w:rsid w:val="006F4D5D"/>
    <w:rsid w:val="006F6C02"/>
    <w:rsid w:val="00700019"/>
    <w:rsid w:val="00700399"/>
    <w:rsid w:val="0070302C"/>
    <w:rsid w:val="007032C1"/>
    <w:rsid w:val="007344F5"/>
    <w:rsid w:val="0075424A"/>
    <w:rsid w:val="007845C0"/>
    <w:rsid w:val="00786682"/>
    <w:rsid w:val="007922D7"/>
    <w:rsid w:val="00794FEB"/>
    <w:rsid w:val="007B5BA8"/>
    <w:rsid w:val="007B76D0"/>
    <w:rsid w:val="007D0E17"/>
    <w:rsid w:val="007D7B40"/>
    <w:rsid w:val="007F1353"/>
    <w:rsid w:val="007F4326"/>
    <w:rsid w:val="007F5EA6"/>
    <w:rsid w:val="007F7C3A"/>
    <w:rsid w:val="00836511"/>
    <w:rsid w:val="0084346D"/>
    <w:rsid w:val="00854582"/>
    <w:rsid w:val="00855948"/>
    <w:rsid w:val="00880FE5"/>
    <w:rsid w:val="00891895"/>
    <w:rsid w:val="00892039"/>
    <w:rsid w:val="0089318F"/>
    <w:rsid w:val="0089441F"/>
    <w:rsid w:val="008962CB"/>
    <w:rsid w:val="008A2C7E"/>
    <w:rsid w:val="008A518B"/>
    <w:rsid w:val="008A5AC1"/>
    <w:rsid w:val="008B5DE9"/>
    <w:rsid w:val="008C28E2"/>
    <w:rsid w:val="008C5640"/>
    <w:rsid w:val="008C79CD"/>
    <w:rsid w:val="008D4522"/>
    <w:rsid w:val="008D5C48"/>
    <w:rsid w:val="008E11F4"/>
    <w:rsid w:val="008F4276"/>
    <w:rsid w:val="009102E1"/>
    <w:rsid w:val="009112B9"/>
    <w:rsid w:val="00925BE4"/>
    <w:rsid w:val="00927067"/>
    <w:rsid w:val="00930F31"/>
    <w:rsid w:val="00934A6D"/>
    <w:rsid w:val="00946555"/>
    <w:rsid w:val="00953338"/>
    <w:rsid w:val="0095741F"/>
    <w:rsid w:val="009649D6"/>
    <w:rsid w:val="00983373"/>
    <w:rsid w:val="00987050"/>
    <w:rsid w:val="0099013F"/>
    <w:rsid w:val="009A1CC6"/>
    <w:rsid w:val="009C543E"/>
    <w:rsid w:val="009D3B6E"/>
    <w:rsid w:val="009E0136"/>
    <w:rsid w:val="009F61F6"/>
    <w:rsid w:val="00A04872"/>
    <w:rsid w:val="00A14AAC"/>
    <w:rsid w:val="00A320DA"/>
    <w:rsid w:val="00A37CB4"/>
    <w:rsid w:val="00A40170"/>
    <w:rsid w:val="00A62A68"/>
    <w:rsid w:val="00A65928"/>
    <w:rsid w:val="00A761F4"/>
    <w:rsid w:val="00A92741"/>
    <w:rsid w:val="00A92E26"/>
    <w:rsid w:val="00A95120"/>
    <w:rsid w:val="00AA3CB4"/>
    <w:rsid w:val="00AD126E"/>
    <w:rsid w:val="00AE2F52"/>
    <w:rsid w:val="00AE3049"/>
    <w:rsid w:val="00AE661A"/>
    <w:rsid w:val="00AE6D17"/>
    <w:rsid w:val="00AE7AAF"/>
    <w:rsid w:val="00B012C9"/>
    <w:rsid w:val="00B04DAF"/>
    <w:rsid w:val="00B154EF"/>
    <w:rsid w:val="00B266A2"/>
    <w:rsid w:val="00B36406"/>
    <w:rsid w:val="00B37C9E"/>
    <w:rsid w:val="00B76ECE"/>
    <w:rsid w:val="00B77BF7"/>
    <w:rsid w:val="00B8071C"/>
    <w:rsid w:val="00B82B20"/>
    <w:rsid w:val="00B919A8"/>
    <w:rsid w:val="00B93935"/>
    <w:rsid w:val="00B96CC7"/>
    <w:rsid w:val="00BB346F"/>
    <w:rsid w:val="00BC7C3D"/>
    <w:rsid w:val="00BF25F3"/>
    <w:rsid w:val="00BF6C09"/>
    <w:rsid w:val="00C01CB4"/>
    <w:rsid w:val="00C04E5F"/>
    <w:rsid w:val="00C07229"/>
    <w:rsid w:val="00C1206A"/>
    <w:rsid w:val="00C40CE9"/>
    <w:rsid w:val="00C50FBA"/>
    <w:rsid w:val="00C52FE5"/>
    <w:rsid w:val="00C61A06"/>
    <w:rsid w:val="00C67205"/>
    <w:rsid w:val="00C811D1"/>
    <w:rsid w:val="00CA363A"/>
    <w:rsid w:val="00CB0FCB"/>
    <w:rsid w:val="00CB71B8"/>
    <w:rsid w:val="00CD6109"/>
    <w:rsid w:val="00CD74E2"/>
    <w:rsid w:val="00CE4DF7"/>
    <w:rsid w:val="00CE6A53"/>
    <w:rsid w:val="00CF0EE9"/>
    <w:rsid w:val="00CF1A0C"/>
    <w:rsid w:val="00D0202B"/>
    <w:rsid w:val="00D03F14"/>
    <w:rsid w:val="00D06A28"/>
    <w:rsid w:val="00D13377"/>
    <w:rsid w:val="00D53C36"/>
    <w:rsid w:val="00D60157"/>
    <w:rsid w:val="00D71D0C"/>
    <w:rsid w:val="00D73E12"/>
    <w:rsid w:val="00D760C2"/>
    <w:rsid w:val="00DA6AE9"/>
    <w:rsid w:val="00DA6F7E"/>
    <w:rsid w:val="00DC6015"/>
    <w:rsid w:val="00DD607F"/>
    <w:rsid w:val="00DD77D9"/>
    <w:rsid w:val="00DD7CEB"/>
    <w:rsid w:val="00DE7004"/>
    <w:rsid w:val="00DF0D28"/>
    <w:rsid w:val="00DF2881"/>
    <w:rsid w:val="00E16582"/>
    <w:rsid w:val="00E54761"/>
    <w:rsid w:val="00E56743"/>
    <w:rsid w:val="00E56FD1"/>
    <w:rsid w:val="00E670B6"/>
    <w:rsid w:val="00E6796E"/>
    <w:rsid w:val="00E73AE2"/>
    <w:rsid w:val="00E96807"/>
    <w:rsid w:val="00EA0749"/>
    <w:rsid w:val="00EA09BB"/>
    <w:rsid w:val="00EA7754"/>
    <w:rsid w:val="00EB45F8"/>
    <w:rsid w:val="00EB70C4"/>
    <w:rsid w:val="00EC09F9"/>
    <w:rsid w:val="00EC128A"/>
    <w:rsid w:val="00EC1DE4"/>
    <w:rsid w:val="00EC2C6F"/>
    <w:rsid w:val="00EC740B"/>
    <w:rsid w:val="00EC7FE6"/>
    <w:rsid w:val="00ED2D87"/>
    <w:rsid w:val="00EE3976"/>
    <w:rsid w:val="00EE577F"/>
    <w:rsid w:val="00EE6E34"/>
    <w:rsid w:val="00EF3794"/>
    <w:rsid w:val="00EF6100"/>
    <w:rsid w:val="00EF6627"/>
    <w:rsid w:val="00F048FF"/>
    <w:rsid w:val="00F05EE6"/>
    <w:rsid w:val="00F1522D"/>
    <w:rsid w:val="00F33444"/>
    <w:rsid w:val="00F3778E"/>
    <w:rsid w:val="00F536A5"/>
    <w:rsid w:val="00F56765"/>
    <w:rsid w:val="00F621AD"/>
    <w:rsid w:val="00F64883"/>
    <w:rsid w:val="00F667AF"/>
    <w:rsid w:val="00F70EEE"/>
    <w:rsid w:val="00F76160"/>
    <w:rsid w:val="00F80666"/>
    <w:rsid w:val="00F83CE1"/>
    <w:rsid w:val="00FB0236"/>
    <w:rsid w:val="00FC3982"/>
    <w:rsid w:val="00FD2C79"/>
    <w:rsid w:val="00FF07F3"/>
    <w:rsid w:val="00FF3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9F"/>
    <w:rPr>
      <w:noProof/>
      <w:lang w:val="en-US"/>
    </w:rPr>
  </w:style>
  <w:style w:type="paragraph" w:styleId="Heading1">
    <w:name w:val="heading 1"/>
    <w:basedOn w:val="Normal"/>
    <w:next w:val="Normal"/>
    <w:link w:val="Heading1Char"/>
    <w:uiPriority w:val="99"/>
    <w:qFormat/>
    <w:rsid w:val="00EA09BB"/>
    <w:pPr>
      <w:keepNext/>
      <w:suppressAutoHyphens/>
      <w:spacing w:after="0" w:line="240" w:lineRule="auto"/>
      <w:jc w:val="center"/>
      <w:outlineLvl w:val="0"/>
    </w:pPr>
    <w:rPr>
      <w:rFonts w:ascii="Arial" w:eastAsia="Times New Roman" w:hAnsi="Arial" w:cs="Times New Roman"/>
      <w:b/>
      <w:iCs/>
      <w:noProof w:val="0"/>
      <w:sz w:val="18"/>
      <w:szCs w:val="18"/>
      <w:lang w:val="tr-TR" w:eastAsia="ar-SA"/>
    </w:rPr>
  </w:style>
  <w:style w:type="paragraph" w:styleId="Heading2">
    <w:name w:val="heading 2"/>
    <w:basedOn w:val="Normal"/>
    <w:next w:val="Normal"/>
    <w:link w:val="Heading2Char"/>
    <w:uiPriority w:val="99"/>
    <w:qFormat/>
    <w:rsid w:val="00EA09BB"/>
    <w:pPr>
      <w:keepNext/>
      <w:suppressAutoHyphens/>
      <w:spacing w:before="240" w:after="60" w:line="240" w:lineRule="auto"/>
      <w:outlineLvl w:val="1"/>
    </w:pPr>
    <w:rPr>
      <w:rFonts w:ascii="Arial" w:eastAsia="Times New Roman" w:hAnsi="Arial" w:cs="Arial"/>
      <w:b/>
      <w:bCs/>
      <w:i/>
      <w:iCs/>
      <w:noProof w:val="0"/>
      <w:sz w:val="28"/>
      <w:szCs w:val="28"/>
      <w:lang w:val="en-GB" w:eastAsia="ar-SA"/>
    </w:rPr>
  </w:style>
  <w:style w:type="paragraph" w:styleId="Heading3">
    <w:name w:val="heading 3"/>
    <w:basedOn w:val="Normal"/>
    <w:next w:val="Normal"/>
    <w:link w:val="Heading3Char"/>
    <w:uiPriority w:val="99"/>
    <w:qFormat/>
    <w:rsid w:val="007344F5"/>
    <w:pPr>
      <w:keepNext/>
      <w:suppressAutoHyphens/>
      <w:spacing w:before="240" w:after="60" w:line="240" w:lineRule="auto"/>
      <w:outlineLvl w:val="2"/>
    </w:pPr>
    <w:rPr>
      <w:rFonts w:ascii="Arial" w:eastAsia="Times New Roman" w:hAnsi="Arial" w:cs="Arial"/>
      <w:b/>
      <w:bCs/>
      <w:noProof w:val="0"/>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A09BB"/>
    <w:pPr>
      <w:spacing w:line="240" w:lineRule="auto"/>
    </w:pPr>
    <w:rPr>
      <w:rFonts w:eastAsiaTheme="minorEastAsia"/>
      <w:b/>
      <w:bCs/>
      <w:noProof w:val="0"/>
      <w:color w:val="4F81BD" w:themeColor="accent1"/>
      <w:sz w:val="18"/>
      <w:szCs w:val="18"/>
      <w:lang w:val="tr-TR" w:eastAsia="tr-TR"/>
    </w:rPr>
  </w:style>
  <w:style w:type="paragraph" w:styleId="FootnoteText">
    <w:name w:val="footnote text"/>
    <w:basedOn w:val="Normal"/>
    <w:link w:val="FootnoteTextChar"/>
    <w:uiPriority w:val="99"/>
    <w:semiHidden/>
    <w:unhideWhenUsed/>
    <w:rsid w:val="00EA09BB"/>
    <w:pPr>
      <w:spacing w:after="0" w:line="240" w:lineRule="auto"/>
    </w:pPr>
    <w:rPr>
      <w:rFonts w:eastAsiaTheme="minorEastAsia"/>
      <w:noProof w:val="0"/>
      <w:sz w:val="20"/>
      <w:szCs w:val="20"/>
      <w:lang w:val="tr-TR" w:eastAsia="tr-TR"/>
    </w:rPr>
  </w:style>
  <w:style w:type="character" w:customStyle="1" w:styleId="FootnoteTextChar">
    <w:name w:val="Footnote Text Char"/>
    <w:basedOn w:val="DefaultParagraphFont"/>
    <w:link w:val="FootnoteText"/>
    <w:uiPriority w:val="99"/>
    <w:semiHidden/>
    <w:rsid w:val="00EA09BB"/>
    <w:rPr>
      <w:rFonts w:eastAsiaTheme="minorEastAsia"/>
      <w:sz w:val="20"/>
      <w:szCs w:val="20"/>
      <w:lang w:eastAsia="tr-TR"/>
    </w:rPr>
  </w:style>
  <w:style w:type="character" w:styleId="FootnoteReference">
    <w:name w:val="footnote reference"/>
    <w:basedOn w:val="DefaultParagraphFont"/>
    <w:uiPriority w:val="99"/>
    <w:semiHidden/>
    <w:unhideWhenUsed/>
    <w:rsid w:val="00EA09BB"/>
    <w:rPr>
      <w:vertAlign w:val="superscript"/>
    </w:rPr>
  </w:style>
  <w:style w:type="paragraph" w:styleId="BalloonText">
    <w:name w:val="Balloon Text"/>
    <w:basedOn w:val="Normal"/>
    <w:link w:val="BalloonTextChar"/>
    <w:uiPriority w:val="99"/>
    <w:semiHidden/>
    <w:unhideWhenUsed/>
    <w:rsid w:val="00EA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BB"/>
    <w:rPr>
      <w:rFonts w:ascii="Tahoma" w:hAnsi="Tahoma" w:cs="Tahoma"/>
      <w:noProof/>
      <w:sz w:val="16"/>
      <w:szCs w:val="16"/>
      <w:lang w:val="en-US"/>
    </w:rPr>
  </w:style>
  <w:style w:type="character" w:customStyle="1" w:styleId="Heading1Char">
    <w:name w:val="Heading 1 Char"/>
    <w:basedOn w:val="DefaultParagraphFont"/>
    <w:link w:val="Heading1"/>
    <w:uiPriority w:val="99"/>
    <w:rsid w:val="00EA09BB"/>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EA09BB"/>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7344F5"/>
    <w:rPr>
      <w:rFonts w:ascii="Arial" w:eastAsia="Times New Roman" w:hAnsi="Arial" w:cs="Arial"/>
      <w:b/>
      <w:bCs/>
      <w:sz w:val="26"/>
      <w:szCs w:val="26"/>
      <w:lang w:val="en-GB" w:eastAsia="ar-SA"/>
    </w:rPr>
  </w:style>
  <w:style w:type="paragraph" w:styleId="Header">
    <w:name w:val="header"/>
    <w:basedOn w:val="Normal"/>
    <w:link w:val="HeaderChar"/>
    <w:uiPriority w:val="99"/>
    <w:semiHidden/>
    <w:unhideWhenUsed/>
    <w:rsid w:val="007344F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44F5"/>
    <w:rPr>
      <w:noProof/>
      <w:lang w:val="en-US"/>
    </w:rPr>
  </w:style>
  <w:style w:type="paragraph" w:styleId="Footer">
    <w:name w:val="footer"/>
    <w:basedOn w:val="Normal"/>
    <w:link w:val="FooterChar"/>
    <w:uiPriority w:val="99"/>
    <w:semiHidden/>
    <w:unhideWhenUsed/>
    <w:rsid w:val="007344F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344F5"/>
    <w:rPr>
      <w:noProof/>
      <w:lang w:val="en-US"/>
    </w:rPr>
  </w:style>
  <w:style w:type="character" w:styleId="Hyperlink">
    <w:name w:val="Hyperlink"/>
    <w:basedOn w:val="DefaultParagraphFont"/>
    <w:uiPriority w:val="99"/>
    <w:unhideWhenUsed/>
    <w:rsid w:val="00512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mailto:selin.koksa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N%20&#199;ocuk_Selin\ANCocuk_tab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AN%20&#199;ocuk_Selin\ANCocuk_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9946936632920906"/>
          <c:y val="2.1348859776807391E-2"/>
          <c:w val="0.75700202474690659"/>
          <c:h val="0.93003075488926268"/>
        </c:manualLayout>
      </c:layout>
      <c:barChart>
        <c:barDir val="bar"/>
        <c:grouping val="stacked"/>
        <c:ser>
          <c:idx val="0"/>
          <c:order val="0"/>
          <c:dPt>
            <c:idx val="17"/>
            <c:spPr>
              <a:solidFill>
                <a:srgbClr val="FF0000"/>
              </a:solidFill>
            </c:spPr>
            <c:extLst xmlns:c16r2="http://schemas.microsoft.com/office/drawing/2015/06/chart">
              <c:ext xmlns:c16="http://schemas.microsoft.com/office/drawing/2014/chart" uri="{C3380CC4-5D6E-409C-BE32-E72D297353CC}">
                <c16:uniqueId val="{00000001-9074-4748-BAA2-9C82C8AB2918}"/>
              </c:ext>
            </c:extLst>
          </c:dPt>
          <c:dPt>
            <c:idx val="30"/>
            <c:spPr>
              <a:solidFill>
                <a:srgbClr val="FF0000"/>
              </a:solidFill>
            </c:spPr>
            <c:extLst xmlns:c16r2="http://schemas.microsoft.com/office/drawing/2015/06/chart">
              <c:ext xmlns:c16="http://schemas.microsoft.com/office/drawing/2014/chart" uri="{C3380CC4-5D6E-409C-BE32-E72D297353CC}">
                <c16:uniqueId val="{00000003-9074-4748-BAA2-9C82C8AB2918}"/>
              </c:ext>
            </c:extLst>
          </c:dPt>
          <c:dLbls>
            <c:dLbl>
              <c:idx val="0"/>
              <c:layout>
                <c:manualLayout>
                  <c:x val="4.5035920509936357E-2"/>
                  <c:y val="-5.822416302765648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074-4748-BAA2-9C82C8AB2918}"/>
                </c:ext>
              </c:extLst>
            </c:dLbl>
            <c:dLbl>
              <c:idx val="1"/>
              <c:layout>
                <c:manualLayout>
                  <c:x val="4.0255718035245587E-2"/>
                  <c:y val="-3.8816108685104391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074-4748-BAA2-9C82C8AB2918}"/>
                </c:ext>
              </c:extLst>
            </c:dLbl>
            <c:dLbl>
              <c:idx val="2"/>
              <c:layout>
                <c:manualLayout>
                  <c:x val="3.6446194225721824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074-4748-BAA2-9C82C8AB2918}"/>
                </c:ext>
              </c:extLst>
            </c:dLbl>
            <c:dLbl>
              <c:idx val="3"/>
              <c:layout>
                <c:manualLayout>
                  <c:x val="3.8338657667791542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074-4748-BAA2-9C82C8AB2918}"/>
                </c:ext>
              </c:extLst>
            </c:dLbl>
            <c:dLbl>
              <c:idx val="4"/>
              <c:layout>
                <c:manualLayout>
                  <c:x val="3.8326359205099365E-2"/>
                  <c:y val="1.9408054342552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074-4748-BAA2-9C82C8AB2918}"/>
                </c:ext>
              </c:extLst>
            </c:dLbl>
            <c:dLbl>
              <c:idx val="5"/>
              <c:layout>
                <c:manualLayout>
                  <c:x val="5.1573903262092262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074-4748-BAA2-9C82C8AB2918}"/>
                </c:ext>
              </c:extLst>
            </c:dLbl>
            <c:dLbl>
              <c:idx val="6"/>
              <c:layout>
                <c:manualLayout>
                  <c:x val="6.0114735658042831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074-4748-BAA2-9C82C8AB2918}"/>
                </c:ext>
              </c:extLst>
            </c:dLbl>
            <c:dLbl>
              <c:idx val="7"/>
              <c:layout>
                <c:manualLayout>
                  <c:x val="6.7672440944881951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074-4748-BAA2-9C82C8AB2918}"/>
                </c:ext>
              </c:extLst>
            </c:dLbl>
            <c:dLbl>
              <c:idx val="8"/>
              <c:layout>
                <c:manualLayout>
                  <c:x val="7.429621297337842E-2"/>
                  <c:y val="3.8816108685104391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074-4748-BAA2-9C82C8AB2918}"/>
                </c:ext>
              </c:extLst>
            </c:dLbl>
            <c:dLbl>
              <c:idx val="9"/>
              <c:layout>
                <c:manualLayout>
                  <c:x val="7.902752155980515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074-4748-BAA2-9C82C8AB2918}"/>
                </c:ext>
              </c:extLst>
            </c:dLbl>
            <c:dLbl>
              <c:idx val="10"/>
              <c:layout>
                <c:manualLayout>
                  <c:x val="7.9961454818147898E-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074-4748-BAA2-9C82C8AB2918}"/>
                </c:ext>
              </c:extLst>
            </c:dLbl>
            <c:dLbl>
              <c:idx val="11"/>
              <c:layout>
                <c:manualLayout>
                  <c:x val="9.6868709441369966E-2"/>
                  <c:y val="-1.4849628944896767E-7"/>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074-4748-BAA2-9C82C8AB2918}"/>
                </c:ext>
              </c:extLst>
            </c:dLbl>
            <c:dLbl>
              <c:idx val="12"/>
              <c:layout>
                <c:manualLayout>
                  <c:x val="0.1188068991376077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074-4748-BAA2-9C82C8AB2918}"/>
                </c:ext>
              </c:extLst>
            </c:dLbl>
            <c:dLbl>
              <c:idx val="13"/>
              <c:layout>
                <c:manualLayout>
                  <c:x val="0.11688983877015367"/>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074-4748-BAA2-9C82C8AB2918}"/>
                </c:ext>
              </c:extLst>
            </c:dLbl>
            <c:dLbl>
              <c:idx val="14"/>
              <c:layout>
                <c:manualLayout>
                  <c:x val="0.11688983877015367"/>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074-4748-BAA2-9C82C8AB2918}"/>
                </c:ext>
              </c:extLst>
            </c:dLbl>
            <c:dLbl>
              <c:idx val="15"/>
              <c:layout>
                <c:manualLayout>
                  <c:x val="0.12251923509561306"/>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074-4748-BAA2-9C82C8AB2918}"/>
                </c:ext>
              </c:extLst>
            </c:dLbl>
            <c:dLbl>
              <c:idx val="16"/>
              <c:layout>
                <c:manualLayout>
                  <c:x val="0.12631646044244496"/>
                  <c:y val="-1.9408054342552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9074-4748-BAA2-9C82C8AB2918}"/>
                </c:ext>
              </c:extLst>
            </c:dLbl>
            <c:dLbl>
              <c:idx val="17"/>
              <c:layout>
                <c:manualLayout>
                  <c:x val="0.1405102362204726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74-4748-BAA2-9C82C8AB2918}"/>
                </c:ext>
              </c:extLst>
            </c:dLbl>
            <c:dLbl>
              <c:idx val="18"/>
              <c:layout>
                <c:manualLayout>
                  <c:x val="0.14616332958380204"/>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9074-4748-BAA2-9C82C8AB2918}"/>
                </c:ext>
              </c:extLst>
            </c:dLbl>
            <c:dLbl>
              <c:idx val="19"/>
              <c:layout>
                <c:manualLayout>
                  <c:x val="0.1509190851143612"/>
                  <c:y val="-3.8816108685104391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9074-4748-BAA2-9C82C8AB2918}"/>
                </c:ext>
              </c:extLst>
            </c:dLbl>
            <c:dLbl>
              <c:idx val="20"/>
              <c:layout>
                <c:manualLayout>
                  <c:x val="0.1547040119985002"/>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9074-4748-BAA2-9C82C8AB2918}"/>
                </c:ext>
              </c:extLst>
            </c:dLbl>
            <c:dLbl>
              <c:idx val="21"/>
              <c:layout>
                <c:manualLayout>
                  <c:x val="0.15658432695913024"/>
                  <c:y val="1.9408054342552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9074-4748-BAA2-9C82C8AB2918}"/>
                </c:ext>
              </c:extLst>
            </c:dLbl>
            <c:dLbl>
              <c:idx val="22"/>
              <c:layout>
                <c:manualLayout>
                  <c:x val="0.16513730783652067"/>
                  <c:y val="1.9408054342552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9074-4748-BAA2-9C82C8AB2918}"/>
                </c:ext>
              </c:extLst>
            </c:dLbl>
            <c:dLbl>
              <c:idx val="23"/>
              <c:layout>
                <c:manualLayout>
                  <c:x val="0.16984401949756303"/>
                  <c:y val="1.9408054342552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9074-4748-BAA2-9C82C8AB2918}"/>
                </c:ext>
              </c:extLst>
            </c:dLbl>
            <c:dLbl>
              <c:idx val="24"/>
              <c:layout>
                <c:manualLayout>
                  <c:x val="0.19621889500874173"/>
                  <c:y val="1.0973875790278724E-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9074-4748-BAA2-9C82C8AB2918}"/>
                </c:ext>
              </c:extLst>
            </c:dLbl>
            <c:dLbl>
              <c:idx val="25"/>
              <c:layout>
                <c:manualLayout>
                  <c:x val="0.23374775982718393"/>
                  <c:y val="3.8267493790998877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9074-4748-BAA2-9C82C8AB2918}"/>
                </c:ext>
              </c:extLst>
            </c:dLbl>
            <c:dLbl>
              <c:idx val="26"/>
              <c:layout>
                <c:manualLayout>
                  <c:x val="0.25406059242594681"/>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9074-4748-BAA2-9C82C8AB2918}"/>
                </c:ext>
              </c:extLst>
            </c:dLbl>
            <c:dLbl>
              <c:idx val="27"/>
              <c:layout>
                <c:manualLayout>
                  <c:x val="0.27507105017548933"/>
                  <c:y val="1.9408465030980075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9074-4748-BAA2-9C82C8AB2918}"/>
                </c:ext>
              </c:extLst>
            </c:dLbl>
            <c:dLbl>
              <c:idx val="28"/>
              <c:layout>
                <c:manualLayout>
                  <c:x val="0.33546276715410672"/>
                  <c:y val="1.94080543425522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9074-4748-BAA2-9C82C8AB2918}"/>
                </c:ext>
              </c:extLst>
            </c:dLbl>
            <c:dLbl>
              <c:idx val="29"/>
              <c:layout>
                <c:manualLayout>
                  <c:x val="0.35136250706558225"/>
                  <c:y val="0"/>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9074-4748-BAA2-9C82C8AB2918}"/>
                </c:ext>
              </c:extLst>
            </c:dLbl>
            <c:dLbl>
              <c:idx val="30"/>
              <c:layout>
                <c:manualLayout>
                  <c:x val="0.37626069696212883"/>
                  <c:y val="1.8859028760018889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074-4748-BAA2-9C82C8AB2918}"/>
                </c:ext>
              </c:extLst>
            </c:dLbl>
            <c:spPr>
              <a:noFill/>
              <a:ln>
                <a:noFill/>
              </a:ln>
              <a:effectLst/>
            </c:spPr>
            <c:txPr>
              <a:bodyPr/>
              <a:lstStyle/>
              <a:p>
                <a:pPr>
                  <a:defRPr sz="800"/>
                </a:pPr>
                <a:endParaRPr lang="tr-TR"/>
              </a:p>
            </c:txPr>
            <c:dLblPos val="inEnd"/>
            <c:showVal val="1"/>
            <c:extLst xmlns:c16r2="http://schemas.microsoft.com/office/drawing/2015/06/chart">
              <c:ext xmlns:c15="http://schemas.microsoft.com/office/drawing/2012/chart" uri="{CE6537A1-D6FC-4f65-9D91-7224C49458BB}">
                <c15:showLeaderLines val="0"/>
              </c:ext>
            </c:extLst>
          </c:dLbls>
          <c:cat>
            <c:strRef>
              <c:f>'eurostat graf'!$A$2:$A$32</c:f>
              <c:strCache>
                <c:ptCount val="31"/>
                <c:pt idx="0">
                  <c:v>Sweden</c:v>
                </c:pt>
                <c:pt idx="1">
                  <c:v>Iceland</c:v>
                </c:pt>
                <c:pt idx="2">
                  <c:v>Norway</c:v>
                </c:pt>
                <c:pt idx="3">
                  <c:v>Luxembourg</c:v>
                </c:pt>
                <c:pt idx="4">
                  <c:v>Finland</c:v>
                </c:pt>
                <c:pt idx="5">
                  <c:v>Denmark</c:v>
                </c:pt>
                <c:pt idx="6">
                  <c:v>Netherlands</c:v>
                </c:pt>
                <c:pt idx="7">
                  <c:v>Slovenia</c:v>
                </c:pt>
                <c:pt idx="8">
                  <c:v>Germany</c:v>
                </c:pt>
                <c:pt idx="9">
                  <c:v>France</c:v>
                </c:pt>
                <c:pt idx="10">
                  <c:v>Austria</c:v>
                </c:pt>
                <c:pt idx="11">
                  <c:v>Belgium</c:v>
                </c:pt>
                <c:pt idx="12">
                  <c:v>Spain</c:v>
                </c:pt>
                <c:pt idx="13">
                  <c:v>Ireland</c:v>
                </c:pt>
                <c:pt idx="14">
                  <c:v>Czech Republic</c:v>
                </c:pt>
                <c:pt idx="15">
                  <c:v>Poland</c:v>
                </c:pt>
                <c:pt idx="16">
                  <c:v>United Kingdom</c:v>
                </c:pt>
                <c:pt idx="17">
                  <c:v>EU (28 countries)</c:v>
                </c:pt>
                <c:pt idx="18">
                  <c:v>Slovakia</c:v>
                </c:pt>
                <c:pt idx="19">
                  <c:v>Croatia</c:v>
                </c:pt>
                <c:pt idx="20">
                  <c:v>Portugal</c:v>
                </c:pt>
                <c:pt idx="21">
                  <c:v>Lithuania</c:v>
                </c:pt>
                <c:pt idx="22">
                  <c:v>Italy</c:v>
                </c:pt>
                <c:pt idx="23">
                  <c:v>Malta</c:v>
                </c:pt>
                <c:pt idx="24">
                  <c:v>Cyprus</c:v>
                </c:pt>
                <c:pt idx="25">
                  <c:v>Latvia</c:v>
                </c:pt>
                <c:pt idx="26">
                  <c:v>Greece</c:v>
                </c:pt>
                <c:pt idx="27">
                  <c:v>Serbia</c:v>
                </c:pt>
                <c:pt idx="28">
                  <c:v>Romania</c:v>
                </c:pt>
                <c:pt idx="29">
                  <c:v>Hungary</c:v>
                </c:pt>
                <c:pt idx="30">
                  <c:v>Turkey</c:v>
                </c:pt>
              </c:strCache>
            </c:strRef>
          </c:cat>
          <c:val>
            <c:numRef>
              <c:f>'eurostat graf'!$C$2:$C$32</c:f>
              <c:numCache>
                <c:formatCode>#,##0.0</c:formatCode>
                <c:ptCount val="31"/>
                <c:pt idx="0">
                  <c:v>1.2</c:v>
                </c:pt>
                <c:pt idx="1">
                  <c:v>1.5</c:v>
                </c:pt>
                <c:pt idx="2">
                  <c:v>1.5</c:v>
                </c:pt>
                <c:pt idx="3">
                  <c:v>1.7000000000000004</c:v>
                </c:pt>
                <c:pt idx="4">
                  <c:v>1.9000000000000001</c:v>
                </c:pt>
                <c:pt idx="5">
                  <c:v>3.3</c:v>
                </c:pt>
                <c:pt idx="6">
                  <c:v>3.8</c:v>
                </c:pt>
                <c:pt idx="7">
                  <c:v>4.8</c:v>
                </c:pt>
                <c:pt idx="8">
                  <c:v>5</c:v>
                </c:pt>
                <c:pt idx="9">
                  <c:v>5.5</c:v>
                </c:pt>
                <c:pt idx="10">
                  <c:v>6</c:v>
                </c:pt>
                <c:pt idx="11">
                  <c:v>6.3</c:v>
                </c:pt>
                <c:pt idx="12">
                  <c:v>9.6</c:v>
                </c:pt>
                <c:pt idx="13">
                  <c:v>9.6</c:v>
                </c:pt>
                <c:pt idx="14">
                  <c:v>9.8000000000000007</c:v>
                </c:pt>
                <c:pt idx="15">
                  <c:v>9.8000000000000007</c:v>
                </c:pt>
                <c:pt idx="16">
                  <c:v>10.1</c:v>
                </c:pt>
                <c:pt idx="17">
                  <c:v>10.3</c:v>
                </c:pt>
                <c:pt idx="18">
                  <c:v>11.8</c:v>
                </c:pt>
                <c:pt idx="19">
                  <c:v>12.8</c:v>
                </c:pt>
                <c:pt idx="20">
                  <c:v>12.9</c:v>
                </c:pt>
                <c:pt idx="21">
                  <c:v>13.3</c:v>
                </c:pt>
                <c:pt idx="22">
                  <c:v>13.7</c:v>
                </c:pt>
                <c:pt idx="23">
                  <c:v>14</c:v>
                </c:pt>
                <c:pt idx="24">
                  <c:v>14.9</c:v>
                </c:pt>
                <c:pt idx="25">
                  <c:v>19.3</c:v>
                </c:pt>
                <c:pt idx="26">
                  <c:v>23.3</c:v>
                </c:pt>
                <c:pt idx="27">
                  <c:v>23.8</c:v>
                </c:pt>
                <c:pt idx="28">
                  <c:v>31.7</c:v>
                </c:pt>
                <c:pt idx="29">
                  <c:v>32</c:v>
                </c:pt>
                <c:pt idx="30" formatCode="General">
                  <c:v>36.200000000000003</c:v>
                </c:pt>
              </c:numCache>
            </c:numRef>
          </c:val>
          <c:extLst xmlns:c16r2="http://schemas.microsoft.com/office/drawing/2015/06/chart">
            <c:ext xmlns:c16="http://schemas.microsoft.com/office/drawing/2014/chart" uri="{C3380CC4-5D6E-409C-BE32-E72D297353CC}">
              <c16:uniqueId val="{00000021-9074-4748-BAA2-9C82C8AB2918}"/>
            </c:ext>
          </c:extLst>
        </c:ser>
        <c:dLbls>
          <c:showVal val="1"/>
        </c:dLbls>
        <c:overlap val="100"/>
        <c:axId val="44010880"/>
        <c:axId val="44029056"/>
      </c:barChart>
      <c:catAx>
        <c:axId val="44010880"/>
        <c:scaling>
          <c:orientation val="minMax"/>
        </c:scaling>
        <c:axPos val="l"/>
        <c:numFmt formatCode="General" sourceLinked="0"/>
        <c:tickLblPos val="nextTo"/>
        <c:spPr>
          <a:ln>
            <a:noFill/>
          </a:ln>
        </c:spPr>
        <c:txPr>
          <a:bodyPr/>
          <a:lstStyle/>
          <a:p>
            <a:pPr>
              <a:defRPr sz="800"/>
            </a:pPr>
            <a:endParaRPr lang="tr-TR"/>
          </a:p>
        </c:txPr>
        <c:crossAx val="44029056"/>
        <c:crosses val="autoZero"/>
        <c:auto val="1"/>
        <c:lblAlgn val="ctr"/>
        <c:lblOffset val="100"/>
      </c:catAx>
      <c:valAx>
        <c:axId val="44029056"/>
        <c:scaling>
          <c:orientation val="minMax"/>
        </c:scaling>
        <c:axPos val="b"/>
        <c:majorGridlines>
          <c:spPr>
            <a:ln>
              <a:noFill/>
            </a:ln>
          </c:spPr>
        </c:majorGridlines>
        <c:numFmt formatCode="#,##0.0" sourceLinked="1"/>
        <c:tickLblPos val="nextTo"/>
        <c:txPr>
          <a:bodyPr/>
          <a:lstStyle/>
          <a:p>
            <a:pPr>
              <a:defRPr sz="800"/>
            </a:pPr>
            <a:endParaRPr lang="tr-TR"/>
          </a:p>
        </c:txPr>
        <c:crossAx val="4401088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plotArea>
      <c:layout>
        <c:manualLayout>
          <c:layoutTarget val="inner"/>
          <c:xMode val="edge"/>
          <c:yMode val="edge"/>
          <c:x val="8.2889500323649501E-2"/>
          <c:y val="4.6663430035720911E-2"/>
          <c:w val="0.89896899105473949"/>
          <c:h val="0.65150196716208064"/>
        </c:manualLayout>
      </c:layout>
      <c:barChart>
        <c:barDir val="col"/>
        <c:grouping val="clustered"/>
        <c:ser>
          <c:idx val="0"/>
          <c:order val="0"/>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'regional graf'!$D$2:$D$13</c:f>
              <c:strCache>
                <c:ptCount val="12"/>
                <c:pt idx="0">
                  <c:v>TR2- West Marmara</c:v>
                </c:pt>
                <c:pt idx="1">
                  <c:v>TR3-Aegean</c:v>
                </c:pt>
                <c:pt idx="2">
                  <c:v>TR4-East Marmara </c:v>
                </c:pt>
                <c:pt idx="3">
                  <c:v>TR8-West Black Sea</c:v>
                </c:pt>
                <c:pt idx="4">
                  <c:v>TR5-West Anatolia</c:v>
                </c:pt>
                <c:pt idx="5">
                  <c:v>TR9-East Black Sea</c:v>
                </c:pt>
                <c:pt idx="6">
                  <c:v>TR1- İstanbul</c:v>
                </c:pt>
                <c:pt idx="7">
                  <c:v>TR7-Central Anatolia</c:v>
                </c:pt>
                <c:pt idx="8">
                  <c:v>TR6-Mediterranean</c:v>
                </c:pt>
                <c:pt idx="9">
                  <c:v>TRB- Central East Anatolia</c:v>
                </c:pt>
                <c:pt idx="10">
                  <c:v>TRA- Northeast Anatolia</c:v>
                </c:pt>
                <c:pt idx="11">
                  <c:v>TRC- South East Anatolia</c:v>
                </c:pt>
              </c:strCache>
            </c:strRef>
          </c:cat>
          <c:val>
            <c:numRef>
              <c:f>'regional graf'!$B$2:$B$13</c:f>
            </c:numRef>
          </c:val>
          <c:extLst xmlns:c16r2="http://schemas.microsoft.com/office/drawing/2015/06/chart">
            <c:ext xmlns:c16="http://schemas.microsoft.com/office/drawing/2014/chart" uri="{C3380CC4-5D6E-409C-BE32-E72D297353CC}">
              <c16:uniqueId val="{00000000-DA9D-4072-90EB-FE42DE08689E}"/>
            </c:ext>
          </c:extLst>
        </c:ser>
        <c:ser>
          <c:idx val="1"/>
          <c:order val="1"/>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'regional graf'!$D$2:$D$13</c:f>
              <c:strCache>
                <c:ptCount val="12"/>
                <c:pt idx="0">
                  <c:v>TR2- West Marmara</c:v>
                </c:pt>
                <c:pt idx="1">
                  <c:v>TR3-Aegean</c:v>
                </c:pt>
                <c:pt idx="2">
                  <c:v>TR4-East Marmara </c:v>
                </c:pt>
                <c:pt idx="3">
                  <c:v>TR8-West Black Sea</c:v>
                </c:pt>
                <c:pt idx="4">
                  <c:v>TR5-West Anatolia</c:v>
                </c:pt>
                <c:pt idx="5">
                  <c:v>TR9-East Black Sea</c:v>
                </c:pt>
                <c:pt idx="6">
                  <c:v>TR1- İstanbul</c:v>
                </c:pt>
                <c:pt idx="7">
                  <c:v>TR7-Central Anatolia</c:v>
                </c:pt>
                <c:pt idx="8">
                  <c:v>TR6-Mediterranean</c:v>
                </c:pt>
                <c:pt idx="9">
                  <c:v>TRB- Central East Anatolia</c:v>
                </c:pt>
                <c:pt idx="10">
                  <c:v>TRA- Northeast Anatolia</c:v>
                </c:pt>
                <c:pt idx="11">
                  <c:v>TRC- South East Anatolia</c:v>
                </c:pt>
              </c:strCache>
            </c:strRef>
          </c:cat>
          <c:val>
            <c:numRef>
              <c:f>'regional graf'!$C$2:$C$13</c:f>
            </c:numRef>
          </c:val>
          <c:extLst xmlns:c16r2="http://schemas.microsoft.com/office/drawing/2015/06/chart">
            <c:ext xmlns:c16="http://schemas.microsoft.com/office/drawing/2014/chart" uri="{C3380CC4-5D6E-409C-BE32-E72D297353CC}">
              <c16:uniqueId val="{00000001-DA9D-4072-90EB-FE42DE08689E}"/>
            </c:ext>
          </c:extLst>
        </c:ser>
        <c:ser>
          <c:idx val="2"/>
          <c:order val="2"/>
          <c:spPr>
            <a:solidFill>
              <a:schemeClr val="accent1"/>
            </a:solidFill>
          </c:spPr>
          <c:dLbls>
            <c:dLbl>
              <c:idx val="2"/>
              <c:layout>
                <c:manualLayout>
                  <c:x val="4.1530536954311106E-3"/>
                  <c:y val="2.181533374504660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9D-4072-90EB-FE42DE08689E}"/>
                </c:ext>
              </c:extLst>
            </c:dLbl>
            <c:dLbl>
              <c:idx val="3"/>
              <c:layout>
                <c:manualLayout>
                  <c:x val="0"/>
                  <c:y val="1.374671916010498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9D-4072-90EB-FE42DE08689E}"/>
                </c:ext>
              </c:extLst>
            </c:dLbl>
            <c:spPr>
              <a:noFill/>
              <a:ln>
                <a:noFill/>
              </a:ln>
              <a:effectLst/>
            </c:spPr>
            <c:txPr>
              <a:bodyPr/>
              <a:lstStyle/>
              <a:p>
                <a:pPr>
                  <a:defRPr sz="800"/>
                </a:pPr>
                <a:endParaRPr lang="tr-TR"/>
              </a:p>
            </c:txPr>
            <c:dLblPos val="outEnd"/>
            <c:showVal val="1"/>
            <c:extLst xmlns:c16r2="http://schemas.microsoft.com/office/drawing/2015/06/chart">
              <c:ext xmlns:c15="http://schemas.microsoft.com/office/drawing/2012/chart" uri="{CE6537A1-D6FC-4f65-9D91-7224C49458BB}">
                <c15:showLeaderLines val="0"/>
              </c:ext>
            </c:extLst>
          </c:dLbls>
          <c:cat>
            <c:strRef>
              <c:f>'regional graf'!$D$2:$D$13</c:f>
              <c:strCache>
                <c:ptCount val="12"/>
                <c:pt idx="0">
                  <c:v>TR2- West Marmara</c:v>
                </c:pt>
                <c:pt idx="1">
                  <c:v>TR3-Aegean</c:v>
                </c:pt>
                <c:pt idx="2">
                  <c:v>TR4-East Marmara </c:v>
                </c:pt>
                <c:pt idx="3">
                  <c:v>TR8-West Black Sea</c:v>
                </c:pt>
                <c:pt idx="4">
                  <c:v>TR5-West Anatolia</c:v>
                </c:pt>
                <c:pt idx="5">
                  <c:v>TR9-East Black Sea</c:v>
                </c:pt>
                <c:pt idx="6">
                  <c:v>TR1- İstanbul</c:v>
                </c:pt>
                <c:pt idx="7">
                  <c:v>TR7-Central Anatolia</c:v>
                </c:pt>
                <c:pt idx="8">
                  <c:v>TR6-Mediterranean</c:v>
                </c:pt>
                <c:pt idx="9">
                  <c:v>TRB- Central East Anatolia</c:v>
                </c:pt>
                <c:pt idx="10">
                  <c:v>TRA- Northeast Anatolia</c:v>
                </c:pt>
                <c:pt idx="11">
                  <c:v>TRC- South East Anatolia</c:v>
                </c:pt>
              </c:strCache>
            </c:strRef>
          </c:cat>
          <c:val>
            <c:numRef>
              <c:f>'regional graf'!$E$2:$E$13</c:f>
              <c:numCache>
                <c:formatCode>0.0</c:formatCode>
                <c:ptCount val="12"/>
                <c:pt idx="0">
                  <c:v>17.2</c:v>
                </c:pt>
                <c:pt idx="1">
                  <c:v>24.35</c:v>
                </c:pt>
                <c:pt idx="2">
                  <c:v>32.68</c:v>
                </c:pt>
                <c:pt idx="3">
                  <c:v>31.66</c:v>
                </c:pt>
                <c:pt idx="4">
                  <c:v>29.08</c:v>
                </c:pt>
                <c:pt idx="5">
                  <c:v>29.23</c:v>
                </c:pt>
                <c:pt idx="6">
                  <c:v>28</c:v>
                </c:pt>
                <c:pt idx="7">
                  <c:v>26.36</c:v>
                </c:pt>
                <c:pt idx="8">
                  <c:v>42.2</c:v>
                </c:pt>
                <c:pt idx="9">
                  <c:v>48.46</c:v>
                </c:pt>
                <c:pt idx="10">
                  <c:v>52.91</c:v>
                </c:pt>
                <c:pt idx="11">
                  <c:v>55.1</c:v>
                </c:pt>
              </c:numCache>
            </c:numRef>
          </c:val>
          <c:extLst xmlns:c16r2="http://schemas.microsoft.com/office/drawing/2015/06/chart">
            <c:ext xmlns:c16="http://schemas.microsoft.com/office/drawing/2014/chart" uri="{C3380CC4-5D6E-409C-BE32-E72D297353CC}">
              <c16:uniqueId val="{00000004-DA9D-4072-90EB-FE42DE08689E}"/>
            </c:ext>
          </c:extLst>
        </c:ser>
        <c:dLbls>
          <c:showVal val="1"/>
        </c:dLbls>
        <c:axId val="47155072"/>
        <c:axId val="47156608"/>
      </c:barChart>
      <c:lineChart>
        <c:grouping val="standard"/>
        <c:ser>
          <c:idx val="3"/>
          <c:order val="3"/>
          <c:tx>
            <c:strRef>
              <c:f>'regional graf'!$A$14</c:f>
              <c:strCache>
                <c:ptCount val="1"/>
                <c:pt idx="0">
                  <c:v>Türkiye </c:v>
                </c:pt>
              </c:strCache>
            </c:strRef>
          </c:tx>
          <c:spPr>
            <a:ln>
              <a:solidFill>
                <a:srgbClr val="C00000"/>
              </a:solidFill>
            </a:ln>
          </c:spPr>
          <c:marker>
            <c:symbol val="none"/>
          </c:marker>
          <c:cat>
            <c:strRef>
              <c:f>'regional graf'!$A$2:$A$13</c:f>
              <c:strCache>
                <c:ptCount val="12"/>
                <c:pt idx="0">
                  <c:v>TR2- Batı Marmara </c:v>
                </c:pt>
                <c:pt idx="1">
                  <c:v>TR3-Ege</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'regional graf'!$H$2:$H$14</c:f>
              <c:numCache>
                <c:formatCode>0.0</c:formatCode>
                <c:ptCount val="13"/>
                <c:pt idx="0">
                  <c:v>36.160000000000011</c:v>
                </c:pt>
                <c:pt idx="1">
                  <c:v>36.160000000000011</c:v>
                </c:pt>
                <c:pt idx="2">
                  <c:v>36.160000000000011</c:v>
                </c:pt>
                <c:pt idx="3">
                  <c:v>36.160000000000011</c:v>
                </c:pt>
                <c:pt idx="4">
                  <c:v>36.160000000000011</c:v>
                </c:pt>
                <c:pt idx="5">
                  <c:v>36.160000000000011</c:v>
                </c:pt>
                <c:pt idx="6">
                  <c:v>36.160000000000011</c:v>
                </c:pt>
                <c:pt idx="7">
                  <c:v>36.160000000000011</c:v>
                </c:pt>
                <c:pt idx="8">
                  <c:v>36.160000000000011</c:v>
                </c:pt>
                <c:pt idx="9">
                  <c:v>36.160000000000011</c:v>
                </c:pt>
                <c:pt idx="10">
                  <c:v>36.160000000000011</c:v>
                </c:pt>
                <c:pt idx="11">
                  <c:v>36.160000000000011</c:v>
                </c:pt>
              </c:numCache>
            </c:numRef>
          </c:val>
          <c:extLst xmlns:c16r2="http://schemas.microsoft.com/office/drawing/2015/06/chart">
            <c:ext xmlns:c16="http://schemas.microsoft.com/office/drawing/2014/chart" uri="{C3380CC4-5D6E-409C-BE32-E72D297353CC}">
              <c16:uniqueId val="{00000005-DA9D-4072-90EB-FE42DE08689E}"/>
            </c:ext>
          </c:extLst>
        </c:ser>
        <c:marker val="1"/>
        <c:axId val="47155072"/>
        <c:axId val="47156608"/>
      </c:lineChart>
      <c:catAx>
        <c:axId val="47155072"/>
        <c:scaling>
          <c:orientation val="minMax"/>
        </c:scaling>
        <c:axPos val="b"/>
        <c:numFmt formatCode="General" sourceLinked="0"/>
        <c:tickLblPos val="nextTo"/>
        <c:txPr>
          <a:bodyPr/>
          <a:lstStyle/>
          <a:p>
            <a:pPr>
              <a:defRPr sz="900"/>
            </a:pPr>
            <a:endParaRPr lang="tr-TR"/>
          </a:p>
        </c:txPr>
        <c:crossAx val="47156608"/>
        <c:crosses val="autoZero"/>
        <c:auto val="1"/>
        <c:lblAlgn val="ctr"/>
        <c:lblOffset val="100"/>
      </c:catAx>
      <c:valAx>
        <c:axId val="47156608"/>
        <c:scaling>
          <c:orientation val="minMax"/>
        </c:scaling>
        <c:axPos val="l"/>
        <c:majorGridlines>
          <c:spPr>
            <a:ln>
              <a:noFill/>
            </a:ln>
          </c:spPr>
        </c:majorGridlines>
        <c:numFmt formatCode="0.0" sourceLinked="1"/>
        <c:tickLblPos val="nextTo"/>
        <c:txPr>
          <a:bodyPr/>
          <a:lstStyle/>
          <a:p>
            <a:pPr>
              <a:defRPr sz="900"/>
            </a:pPr>
            <a:endParaRPr lang="tr-TR"/>
          </a:p>
        </c:txPr>
        <c:crossAx val="47155072"/>
        <c:crosses val="autoZero"/>
        <c:crossBetween val="between"/>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0.1056</cdr:x>
      <cdr:y>0.18663</cdr:y>
    </cdr:from>
    <cdr:to>
      <cdr:x>0.27607</cdr:x>
      <cdr:y>0.27866</cdr:y>
    </cdr:to>
    <cdr:sp macro="" textlink="">
      <cdr:nvSpPr>
        <cdr:cNvPr id="2" name="TextBox 1"/>
        <cdr:cNvSpPr txBox="1"/>
      </cdr:nvSpPr>
      <cdr:spPr>
        <a:xfrm xmlns:a="http://schemas.openxmlformats.org/drawingml/2006/main">
          <a:off x="605257" y="580447"/>
          <a:ext cx="977053" cy="286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000" b="1"/>
            <a:t>Turkey  36.2</a:t>
          </a:r>
        </a:p>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9AFF24-57CE-4386-9D5F-04A8A0C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melike.kokkizil</cp:lastModifiedBy>
  <cp:revision>2</cp:revision>
  <dcterms:created xsi:type="dcterms:W3CDTF">2016-04-20T11:05:00Z</dcterms:created>
  <dcterms:modified xsi:type="dcterms:W3CDTF">2016-04-20T11:05:00Z</dcterms:modified>
</cp:coreProperties>
</file>