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C4" w:rsidRPr="0068681C" w:rsidRDefault="00636F3F" w:rsidP="00A349EA">
      <w:pPr>
        <w:pStyle w:val="ResimYazs"/>
        <w:keepNext/>
        <w:rPr>
          <w:color w:val="auto"/>
          <w:sz w:val="22"/>
          <w:szCs w:val="22"/>
        </w:rPr>
      </w:pPr>
      <w:r w:rsidRPr="0068681C">
        <w:rPr>
          <w:color w:val="auto"/>
          <w:sz w:val="22"/>
          <w:szCs w:val="22"/>
        </w:rPr>
        <w:drawing>
          <wp:anchor distT="0" distB="0" distL="114300" distR="114300" simplePos="0" relativeHeight="251659264" behindDoc="1" locked="0" layoutInCell="1" allowOverlap="1">
            <wp:simplePos x="0" y="0"/>
            <wp:positionH relativeFrom="column">
              <wp:posOffset>-824230</wp:posOffset>
            </wp:positionH>
            <wp:positionV relativeFrom="paragraph">
              <wp:posOffset>-871220</wp:posOffset>
            </wp:positionV>
            <wp:extent cx="7467600" cy="1333163"/>
            <wp:effectExtent l="0" t="0" r="0" b="6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467600" cy="1333163"/>
                    </a:xfrm>
                    <a:prstGeom prst="rect">
                      <a:avLst/>
                    </a:prstGeom>
                    <a:noFill/>
                  </pic:spPr>
                </pic:pic>
              </a:graphicData>
            </a:graphic>
          </wp:anchor>
        </w:drawing>
      </w:r>
      <w:r w:rsidR="00A408F9" w:rsidRPr="0068681C">
        <w:rPr>
          <w:color w:val="auto"/>
          <w:sz w:val="22"/>
          <w:szCs w:val="22"/>
          <w:lang w:eastAsia="tr-TR"/>
        </w:rPr>
        <w:pict>
          <v:shapetype id="_x0000_t202" coordsize="21600,21600" o:spt="202" path="m,l,21600r21600,l21600,xe">
            <v:stroke joinstyle="miter"/>
            <v:path gradientshapeok="t" o:connecttype="rect"/>
          </v:shapetype>
          <v:shape id="Metin Kutusu 5" o:spid="_x0000_s1026" type="#_x0000_t202" style="position:absolute;margin-left:406.85pt;margin-top:5pt;width:116.4pt;height:23.5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" stroked="f">
            <v:fill opacity="0"/>
            <v:textbox inset="0,0,0,0">
              <w:txbxContent>
                <w:p w:rsidR="00F33DA3" w:rsidRPr="00353621" w:rsidRDefault="00F33DA3" w:rsidP="002953C4">
                  <w:pPr>
                    <w:pStyle w:val="Balk3"/>
                    <w:jc w:val="center"/>
                    <w:rPr>
                      <w:lang w:val="en-US"/>
                    </w:rPr>
                  </w:pPr>
                  <w:r w:rsidRPr="00353621">
                    <w:rPr>
                      <w:color w:val="FFFFFF"/>
                      <w:sz w:val="22"/>
                      <w:szCs w:val="22"/>
                      <w:lang w:val="en-US"/>
                    </w:rPr>
                    <w:t xml:space="preserve"> </w:t>
                  </w:r>
                  <w:r w:rsidR="002417CE" w:rsidRPr="00353621">
                    <w:rPr>
                      <w:color w:val="FFFFFF"/>
                      <w:sz w:val="22"/>
                      <w:szCs w:val="22"/>
                      <w:lang w:val="en-US"/>
                    </w:rPr>
                    <w:t>3</w:t>
                  </w:r>
                  <w:r w:rsidR="00A06A76" w:rsidRPr="00353621">
                    <w:rPr>
                      <w:color w:val="FFFFFF"/>
                      <w:sz w:val="22"/>
                      <w:szCs w:val="22"/>
                      <w:lang w:val="en-US"/>
                    </w:rPr>
                    <w:t xml:space="preserve"> </w:t>
                  </w:r>
                  <w:r w:rsidR="002417CE" w:rsidRPr="00353621">
                    <w:rPr>
                      <w:color w:val="FFFFFF"/>
                      <w:sz w:val="22"/>
                      <w:szCs w:val="22"/>
                      <w:lang w:val="en-US"/>
                    </w:rPr>
                    <w:t>Mar</w:t>
                  </w:r>
                  <w:r w:rsidR="00353621" w:rsidRPr="00353621">
                    <w:rPr>
                      <w:color w:val="FFFFFF"/>
                      <w:sz w:val="22"/>
                      <w:szCs w:val="22"/>
                      <w:lang w:val="en-US"/>
                    </w:rPr>
                    <w:t>ch</w:t>
                  </w:r>
                  <w:r w:rsidRPr="00353621">
                    <w:rPr>
                      <w:color w:val="FFFFFF"/>
                      <w:sz w:val="22"/>
                      <w:szCs w:val="22"/>
                      <w:lang w:val="en-US"/>
                    </w:rPr>
                    <w:t xml:space="preserve"> 2016</w:t>
                  </w:r>
                </w:p>
              </w:txbxContent>
            </v:textbox>
          </v:shape>
        </w:pict>
      </w:r>
      <w:r w:rsidR="00A408F9" w:rsidRPr="0068681C">
        <w:rPr>
          <w:color w:val="auto"/>
          <w:sz w:val="22"/>
          <w:szCs w:val="22"/>
          <w:lang w:eastAsia="tr-TR"/>
        </w:rPr>
        <w:pict>
          <v:shape id="Metin Kutusu 3" o:spid="_x0000_s1027" type="#_x0000_t202" style="position:absolute;margin-left:129.6pt;margin-top:-48.25pt;width:312.1pt;height:36.75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" stroked="f">
            <v:fill opacity="0"/>
            <v:textbox inset="0,0,0,0">
              <w:txbxContent>
                <w:p w:rsidR="00F33DA3" w:rsidRPr="00353621" w:rsidRDefault="00353621" w:rsidP="002953C4">
                  <w:pPr>
                    <w:pStyle w:val="Balk1"/>
                    <w:rPr>
                      <w:rFonts w:ascii="Times New Roman" w:hAnsi="Times New Roman"/>
                      <w:sz w:val="52"/>
                      <w:szCs w:val="52"/>
                      <w:lang w:val="en-US"/>
                    </w:rPr>
                  </w:pPr>
                  <w:r w:rsidRPr="00353621">
                    <w:rPr>
                      <w:rFonts w:ascii="Times New Roman" w:hAnsi="Times New Roman"/>
                      <w:sz w:val="52"/>
                      <w:szCs w:val="52"/>
                      <w:lang w:val="en-US"/>
                    </w:rPr>
                    <w:t xml:space="preserve">Research Brief </w:t>
                  </w:r>
                  <w:r w:rsidR="00F33DA3" w:rsidRPr="00353621">
                    <w:rPr>
                      <w:rFonts w:ascii="Times New Roman" w:hAnsi="Times New Roman"/>
                      <w:sz w:val="52"/>
                      <w:szCs w:val="52"/>
                      <w:lang w:val="en-US"/>
                    </w:rPr>
                    <w:t>16/190</w:t>
                  </w:r>
                </w:p>
                <w:p w:rsidR="00F33DA3" w:rsidRPr="00353621" w:rsidRDefault="00F33DA3" w:rsidP="002953C4">
                  <w:pPr>
                    <w:pStyle w:val="Balk2"/>
                    <w:rPr>
                      <w:b w:val="0"/>
                      <w:bCs w:val="0"/>
                      <w:i w:val="0"/>
                      <w:iCs w:val="0"/>
                      <w:lang w:val="en-US"/>
                    </w:rPr>
                  </w:pPr>
                </w:p>
              </w:txbxContent>
            </v:textbox>
          </v:shape>
        </w:pict>
      </w:r>
    </w:p>
    <w:p w:rsidR="002953C4" w:rsidRPr="0068681C" w:rsidRDefault="002953C4" w:rsidP="00A349EA">
      <w:pPr>
        <w:pStyle w:val="ResimYazs"/>
        <w:keepNext/>
        <w:rPr>
          <w:color w:val="auto"/>
          <w:sz w:val="22"/>
          <w:szCs w:val="22"/>
        </w:rPr>
      </w:pPr>
    </w:p>
    <w:p w:rsidR="00614FB4" w:rsidRPr="0068681C" w:rsidRDefault="00F63EDF" w:rsidP="00AF6C6F">
      <w:pPr>
        <w:jc w:val="center"/>
        <w:rPr>
          <w:b/>
          <w:sz w:val="32"/>
          <w:szCs w:val="32"/>
        </w:rPr>
      </w:pPr>
      <w:r w:rsidRPr="0068681C">
        <w:rPr>
          <w:b/>
          <w:sz w:val="32"/>
          <w:szCs w:val="32"/>
        </w:rPr>
        <w:t xml:space="preserve">THE EFFECT OF </w:t>
      </w:r>
      <w:r w:rsidR="00614FB4" w:rsidRPr="0068681C">
        <w:rPr>
          <w:b/>
          <w:sz w:val="32"/>
          <w:szCs w:val="32"/>
        </w:rPr>
        <w:t xml:space="preserve">MINIMUM </w:t>
      </w:r>
      <w:r w:rsidR="006A5806" w:rsidRPr="0068681C">
        <w:rPr>
          <w:b/>
          <w:sz w:val="32"/>
          <w:szCs w:val="32"/>
        </w:rPr>
        <w:t xml:space="preserve">WAGE </w:t>
      </w:r>
      <w:r w:rsidR="006D06D0">
        <w:rPr>
          <w:b/>
          <w:sz w:val="32"/>
          <w:szCs w:val="32"/>
        </w:rPr>
        <w:t>INCREASE</w:t>
      </w:r>
      <w:r w:rsidR="006A5806" w:rsidRPr="0068681C">
        <w:rPr>
          <w:b/>
          <w:sz w:val="32"/>
          <w:szCs w:val="32"/>
        </w:rPr>
        <w:t xml:space="preserve"> WILL BE</w:t>
      </w:r>
      <w:r w:rsidRPr="0068681C">
        <w:rPr>
          <w:b/>
          <w:sz w:val="32"/>
          <w:szCs w:val="32"/>
        </w:rPr>
        <w:t xml:space="preserve"> LARGELY OBSERVED </w:t>
      </w:r>
    </w:p>
    <w:p w:rsidR="00AF6C6F" w:rsidRPr="0068681C" w:rsidRDefault="00F63EDF" w:rsidP="00AF6C6F">
      <w:pPr>
        <w:jc w:val="center"/>
        <w:rPr>
          <w:b/>
          <w:sz w:val="32"/>
          <w:szCs w:val="32"/>
        </w:rPr>
      </w:pPr>
      <w:r w:rsidRPr="0068681C">
        <w:rPr>
          <w:b/>
          <w:sz w:val="32"/>
          <w:szCs w:val="32"/>
        </w:rPr>
        <w:t xml:space="preserve">AMONG YOUNG AND WOMEN </w:t>
      </w:r>
    </w:p>
    <w:p w:rsidR="00AF6C6F" w:rsidRPr="0068681C" w:rsidRDefault="00AF6C6F" w:rsidP="00AF6C6F">
      <w:pPr>
        <w:spacing w:before="120"/>
        <w:jc w:val="center"/>
        <w:rPr>
          <w:rFonts w:cs="Arial"/>
          <w:b/>
          <w:bCs/>
          <w:szCs w:val="20"/>
        </w:rPr>
      </w:pPr>
      <w:r w:rsidRPr="0068681C">
        <w:rPr>
          <w:rFonts w:cs="Arial"/>
          <w:b/>
          <w:bCs/>
          <w:szCs w:val="20"/>
        </w:rPr>
        <w:t>Seyfettin Gürsel</w:t>
      </w:r>
      <w:r w:rsidRPr="0068681C">
        <w:rPr>
          <w:rStyle w:val="DipnotBavurusu"/>
          <w:szCs w:val="20"/>
        </w:rPr>
        <w:footnoteReference w:customMarkFollows="1" w:id="1"/>
        <w:t>*</w:t>
      </w:r>
      <w:r w:rsidRPr="0068681C">
        <w:rPr>
          <w:rFonts w:cs="Arial"/>
          <w:b/>
          <w:bCs/>
          <w:szCs w:val="20"/>
        </w:rPr>
        <w:t xml:space="preserve"> Gökçe Uysal</w:t>
      </w:r>
      <w:r w:rsidRPr="0068681C">
        <w:rPr>
          <w:rStyle w:val="DipnotBavurusu"/>
          <w:szCs w:val="20"/>
        </w:rPr>
        <w:footnoteReference w:customMarkFollows="1" w:id="2"/>
        <w:sym w:font="Symbol" w:char="F02A"/>
      </w:r>
      <w:r w:rsidRPr="0068681C">
        <w:rPr>
          <w:rStyle w:val="DipnotBavurusu"/>
          <w:szCs w:val="20"/>
        </w:rPr>
        <w:sym w:font="Symbol" w:char="F02A"/>
      </w:r>
      <w:r w:rsidRPr="0068681C">
        <w:rPr>
          <w:rFonts w:cs="Arial"/>
          <w:b/>
          <w:bCs/>
          <w:szCs w:val="20"/>
        </w:rPr>
        <w:t xml:space="preserve"> ve Melike Kökkızıl</w:t>
      </w:r>
      <w:r w:rsidRPr="0068681C">
        <w:rPr>
          <w:rStyle w:val="DipnotBavurusu"/>
          <w:szCs w:val="20"/>
        </w:rPr>
        <w:footnoteReference w:customMarkFollows="1" w:id="3"/>
        <w:sym w:font="Symbol" w:char="F02A"/>
      </w:r>
      <w:r w:rsidRPr="0068681C">
        <w:rPr>
          <w:rStyle w:val="DipnotBavurusu"/>
          <w:szCs w:val="20"/>
        </w:rPr>
        <w:sym w:font="Symbol" w:char="F02A"/>
      </w:r>
      <w:r w:rsidRPr="0068681C">
        <w:rPr>
          <w:rStyle w:val="DipnotBavurusu"/>
          <w:szCs w:val="20"/>
        </w:rPr>
        <w:sym w:font="Symbol" w:char="F02A"/>
      </w:r>
    </w:p>
    <w:p w:rsidR="00AF6C6F" w:rsidRPr="0068681C" w:rsidRDefault="00E23D25" w:rsidP="002277F9">
      <w:pPr>
        <w:jc w:val="center"/>
        <w:rPr>
          <w:b/>
        </w:rPr>
      </w:pPr>
      <w:r w:rsidRPr="0068681C">
        <w:rPr>
          <w:b/>
        </w:rPr>
        <w:t>Executive Summary</w:t>
      </w:r>
    </w:p>
    <w:p w:rsidR="00F63EDF" w:rsidRPr="0068681C" w:rsidRDefault="00F63EDF" w:rsidP="008042E1">
      <w:pPr>
        <w:jc w:val="both"/>
      </w:pPr>
      <w:r w:rsidRPr="0068681C">
        <w:t xml:space="preserve">In this research brief, the effect of minimum wage </w:t>
      </w:r>
      <w:r w:rsidR="006D06D0">
        <w:t>increase</w:t>
      </w:r>
      <w:r w:rsidRPr="0068681C">
        <w:t xml:space="preserve">, which </w:t>
      </w:r>
      <w:r w:rsidR="00614FB4" w:rsidRPr="0068681C">
        <w:t xml:space="preserve">came into force by January of 2016, </w:t>
      </w:r>
      <w:r w:rsidR="00633DEE" w:rsidRPr="0068681C">
        <w:t>to</w:t>
      </w:r>
      <w:r w:rsidR="007F7221" w:rsidRPr="0068681C">
        <w:t xml:space="preserve"> the labor market is examined using an updated wage data of 2013-Household Labor Force Survey released by Turkstat.  </w:t>
      </w:r>
      <w:r w:rsidR="00633DEE" w:rsidRPr="0068681C">
        <w:t xml:space="preserve">It </w:t>
      </w:r>
      <w:r w:rsidR="00202084" w:rsidRPr="0068681C">
        <w:t xml:space="preserve">is </w:t>
      </w:r>
      <w:r w:rsidR="00193EC8" w:rsidRPr="0068681C">
        <w:t>observed</w:t>
      </w:r>
      <w:r w:rsidR="00633DEE" w:rsidRPr="0068681C">
        <w:t xml:space="preserve"> that minimum wage </w:t>
      </w:r>
      <w:r w:rsidR="006D06D0">
        <w:t>increase</w:t>
      </w:r>
      <w:r w:rsidR="00633DEE" w:rsidRPr="0068681C">
        <w:t xml:space="preserve"> will affect </w:t>
      </w:r>
      <w:r w:rsidR="007B1649" w:rsidRPr="0068681C">
        <w:t>various</w:t>
      </w:r>
      <w:r w:rsidR="00633DEE" w:rsidRPr="0068681C">
        <w:t xml:space="preserve"> groups</w:t>
      </w:r>
      <w:r w:rsidR="00AF617A" w:rsidRPr="0068681C">
        <w:t xml:space="preserve"> </w:t>
      </w:r>
      <w:r w:rsidR="008C2FC6" w:rsidRPr="0068681C">
        <w:t xml:space="preserve">in the labor force </w:t>
      </w:r>
      <w:r w:rsidR="00AF617A" w:rsidRPr="0068681C">
        <w:t>differently</w:t>
      </w:r>
      <w:r w:rsidR="00633DEE" w:rsidRPr="0068681C">
        <w:t>.</w:t>
      </w:r>
      <w:r w:rsidR="00193EC8" w:rsidRPr="0068681C">
        <w:t xml:space="preserve"> </w:t>
      </w:r>
      <w:r w:rsidR="00EF7622" w:rsidRPr="0068681C">
        <w:t xml:space="preserve">More specifically, the data indicates considerable increases in the average wages will be observed especially among the young </w:t>
      </w:r>
      <w:r w:rsidR="00BC5814" w:rsidRPr="0068681C">
        <w:t>age</w:t>
      </w:r>
      <w:r w:rsidR="009E15FC" w:rsidRPr="0068681C">
        <w:t xml:space="preserve"> 15 </w:t>
      </w:r>
      <w:r w:rsidR="00BC5814" w:rsidRPr="0068681C">
        <w:t>to 24 years </w:t>
      </w:r>
      <w:r w:rsidR="00EF7622" w:rsidRPr="0068681C">
        <w:t>and partically among women.</w:t>
      </w:r>
      <w:r w:rsidR="00C968F0" w:rsidRPr="0068681C">
        <w:t xml:space="preserve"> Nonetheless, </w:t>
      </w:r>
      <w:r w:rsidR="005A43B5" w:rsidRPr="0068681C">
        <w:t>it is probable to cause adverse events s</w:t>
      </w:r>
      <w:bookmarkStart w:id="0" w:name="_GoBack"/>
      <w:bookmarkEnd w:id="0"/>
      <w:r w:rsidR="005A43B5" w:rsidRPr="0068681C">
        <w:t>uch as informality and unemployment in these groups, of which unemployment and informality rates are relatively higher.</w:t>
      </w:r>
    </w:p>
    <w:p w:rsidR="00C12C71" w:rsidRPr="0068681C" w:rsidRDefault="00C12C71" w:rsidP="008042E1">
      <w:pPr>
        <w:jc w:val="both"/>
      </w:pPr>
    </w:p>
    <w:p w:rsidR="00AC587B" w:rsidRPr="0068681C" w:rsidRDefault="00AC587B" w:rsidP="00AC587B">
      <w:pPr>
        <w:rPr>
          <w:b/>
        </w:rPr>
      </w:pPr>
      <w:r w:rsidRPr="0068681C">
        <w:rPr>
          <w:b/>
        </w:rPr>
        <w:t>Minimum wage debate</w:t>
      </w:r>
    </w:p>
    <w:p w:rsidR="00D572C4" w:rsidRPr="0068681C" w:rsidRDefault="00910E14" w:rsidP="00D572C4">
      <w:r w:rsidRPr="0068681C">
        <w:t>By the 1</w:t>
      </w:r>
      <w:r w:rsidRPr="0068681C">
        <w:rPr>
          <w:vertAlign w:val="superscript"/>
        </w:rPr>
        <w:t>st</w:t>
      </w:r>
      <w:r w:rsidRPr="0068681C">
        <w:t xml:space="preserve"> of January, the net minimum wage has been increased by 30 percent to 1300 TL. Gross minimum wage has increased from 1274 TL to 1647 TL</w:t>
      </w:r>
      <w:r w:rsidRPr="0068681C">
        <w:rPr>
          <w:rStyle w:val="DipnotBavurusu"/>
        </w:rPr>
        <w:footnoteReference w:id="4"/>
      </w:r>
      <w:r w:rsidRPr="0068681C">
        <w:t xml:space="preserve">.  Then, we published a research brief examining the possible effects of the minimum wage </w:t>
      </w:r>
      <w:r w:rsidR="006D06D0">
        <w:t>increase</w:t>
      </w:r>
      <w:r w:rsidRPr="0068681C">
        <w:t xml:space="preserve"> to the regional labor markets</w:t>
      </w:r>
      <w:r w:rsidRPr="0068681C">
        <w:rPr>
          <w:rStyle w:val="DipnotBavurusu"/>
        </w:rPr>
        <w:footnoteReference w:id="5"/>
      </w:r>
      <w:r w:rsidRPr="0068681C">
        <w:t xml:space="preserve">. </w:t>
      </w:r>
      <w:r w:rsidR="006C4FBE" w:rsidRPr="0068681C">
        <w:t>Here, we examine the effects of minimum wage increases in the context of age and gender</w:t>
      </w:r>
      <w:r w:rsidR="00D572C4" w:rsidRPr="0068681C">
        <w:t xml:space="preserve"> using </w:t>
      </w:r>
      <w:r w:rsidR="00366580" w:rsidRPr="0068681C">
        <w:t xml:space="preserve">the </w:t>
      </w:r>
      <w:r w:rsidR="00D572C4" w:rsidRPr="0068681C">
        <w:t xml:space="preserve">same methodology and </w:t>
      </w:r>
      <w:r w:rsidR="00366580" w:rsidRPr="0068681C">
        <w:t xml:space="preserve">the same </w:t>
      </w:r>
      <w:r w:rsidR="00D572C4" w:rsidRPr="0068681C">
        <w:t xml:space="preserve">sample. </w:t>
      </w:r>
    </w:p>
    <w:p w:rsidR="004F555E" w:rsidRPr="0068681C" w:rsidRDefault="004F555E" w:rsidP="004F555E">
      <w:r w:rsidRPr="0068681C">
        <w:t xml:space="preserve">This research brief aims to make an estimation of the extent of the wage shock in the labor market due to the minimum wage </w:t>
      </w:r>
      <w:r w:rsidR="006D06D0">
        <w:t>increase</w:t>
      </w:r>
      <w:r w:rsidRPr="0068681C">
        <w:t xml:space="preserve">. Accordingly, we would like to make some simplifying assumptions for ease of calculation. We assume that minimum wage increases will not cause any increases in the earnings above the new minimum wage. For example, it is assumed that the wage of an individual earning 1400 TL in February of 2016 will not be affected by the rise of the minimum wage to 1300 TL. Hence, we assume that the </w:t>
      </w:r>
      <w:r w:rsidR="006D06D0">
        <w:t>increase</w:t>
      </w:r>
      <w:r w:rsidRPr="0068681C">
        <w:t xml:space="preserve"> in minimum wage will only affect the wages between previous year’s minimum wage and the new one. </w:t>
      </w:r>
    </w:p>
    <w:p w:rsidR="004F555E" w:rsidRPr="0068681C" w:rsidRDefault="004F555E" w:rsidP="004F555E">
      <w:r w:rsidRPr="0068681C">
        <w:t xml:space="preserve">Likewise, the research brief ignores the effects of minimum wage </w:t>
      </w:r>
      <w:r w:rsidR="006D06D0">
        <w:t>increase</w:t>
      </w:r>
      <w:r w:rsidRPr="0068681C">
        <w:t xml:space="preserve"> on wages earned in informal employment. However, the minimum wage may have a lighthouse effect on informal employment as well as formal employment. In other words, the minimum wage </w:t>
      </w:r>
      <w:r w:rsidR="006D06D0">
        <w:t>increase</w:t>
      </w:r>
      <w:r w:rsidRPr="0068681C">
        <w:t xml:space="preserve"> will probably increase wages in the informal labor market which take the minimum wage as a reference. </w:t>
      </w:r>
      <w:r w:rsidRPr="0068681C">
        <w:lastRenderedPageBreak/>
        <w:t xml:space="preserve">Surely, these simplifying assumptions do not hold necessarily. Therefore, the estimates in this research brief are more likely to be a lower bound on the wage effects of the minimum wage </w:t>
      </w:r>
      <w:r w:rsidR="006D06D0">
        <w:t>increase</w:t>
      </w:r>
      <w:r w:rsidRPr="0068681C">
        <w:t xml:space="preserve">. </w:t>
      </w:r>
    </w:p>
    <w:p w:rsidR="00A13EEE" w:rsidRPr="0068681C" w:rsidRDefault="00907986" w:rsidP="00A13EEE">
      <w:r w:rsidRPr="0068681C">
        <w:t xml:space="preserve">9 million </w:t>
      </w:r>
      <w:r w:rsidR="00A13EEE" w:rsidRPr="0068681C">
        <w:t xml:space="preserve">575 thousand </w:t>
      </w:r>
      <w:r w:rsidRPr="0068681C">
        <w:t xml:space="preserve">employees in Turkey </w:t>
      </w:r>
      <w:r w:rsidR="00A13EEE" w:rsidRPr="0068681C">
        <w:t>a</w:t>
      </w:r>
      <w:r w:rsidRPr="0068681C">
        <w:t xml:space="preserve">re working formally and full-time in the private sector </w:t>
      </w:r>
      <w:r w:rsidR="00A13EEE" w:rsidRPr="0068681C">
        <w:t xml:space="preserve">or NGO’s </w:t>
      </w:r>
      <w:r w:rsidRPr="0068681C">
        <w:t>as wage-earners or casual workers</w:t>
      </w:r>
      <w:r w:rsidR="00A13EEE" w:rsidRPr="0068681C">
        <w:t xml:space="preserve"> (Table 1). Updating </w:t>
      </w:r>
      <w:r w:rsidR="0056337C" w:rsidRPr="0068681C">
        <w:t>the</w:t>
      </w:r>
      <w:r w:rsidR="00AD08B3" w:rsidRPr="0068681C">
        <w:t>ir</w:t>
      </w:r>
      <w:r w:rsidR="00A13EEE" w:rsidRPr="0068681C">
        <w:t xml:space="preserve"> </w:t>
      </w:r>
      <w:r w:rsidR="00151DD5" w:rsidRPr="0068681C">
        <w:t>earnings</w:t>
      </w:r>
      <w:r w:rsidR="00A13EEE" w:rsidRPr="0068681C">
        <w:t xml:space="preserve"> to the prices in November of 2013, it is predicted that 57.3 percent of those employees are working for below the minimum wage, 1300TL.</w:t>
      </w:r>
    </w:p>
    <w:p w:rsidR="007412EA" w:rsidRPr="0068681C" w:rsidRDefault="000B7367" w:rsidP="007412EA">
      <w:pPr>
        <w:rPr>
          <w:b/>
        </w:rPr>
      </w:pPr>
      <w:bookmarkStart w:id="1" w:name="_Ref443040425"/>
      <w:r w:rsidRPr="0068681C">
        <w:rPr>
          <w:b/>
        </w:rPr>
        <w:t>Tabl</w:t>
      </w:r>
      <w:r w:rsidR="007412EA" w:rsidRPr="0068681C">
        <w:rPr>
          <w:b/>
        </w:rPr>
        <w:t>e</w:t>
      </w:r>
      <w:r w:rsidRPr="0068681C">
        <w:rPr>
          <w:b/>
        </w:rPr>
        <w:t xml:space="preserve"> </w:t>
      </w:r>
      <w:r w:rsidR="00C3763F" w:rsidRPr="0068681C">
        <w:rPr>
          <w:b/>
        </w:rPr>
        <w:fldChar w:fldCharType="begin"/>
      </w:r>
      <w:r w:rsidRPr="0068681C">
        <w:rPr>
          <w:b/>
        </w:rPr>
        <w:instrText xml:space="preserve"> SEQ Tablo \* ARABIC </w:instrText>
      </w:r>
      <w:r w:rsidR="00C3763F" w:rsidRPr="0068681C">
        <w:rPr>
          <w:b/>
        </w:rPr>
        <w:fldChar w:fldCharType="separate"/>
      </w:r>
      <w:r w:rsidR="005551C6" w:rsidRPr="0068681C">
        <w:rPr>
          <w:b/>
        </w:rPr>
        <w:t>1</w:t>
      </w:r>
      <w:r w:rsidR="00C3763F" w:rsidRPr="0068681C">
        <w:rPr>
          <w:b/>
        </w:rPr>
        <w:fldChar w:fldCharType="end"/>
      </w:r>
      <w:bookmarkEnd w:id="1"/>
      <w:r w:rsidRPr="0068681C">
        <w:rPr>
          <w:b/>
        </w:rPr>
        <w:t xml:space="preserve"> </w:t>
      </w:r>
      <w:r w:rsidR="007412EA" w:rsidRPr="0068681C">
        <w:rPr>
          <w:b/>
        </w:rPr>
        <w:t>Number of persons earning net monthly wage below of TL 1300 and its share</w:t>
      </w:r>
    </w:p>
    <w:tbl>
      <w:tblPr>
        <w:tblW w:w="60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798"/>
        <w:gridCol w:w="1037"/>
        <w:gridCol w:w="1134"/>
        <w:gridCol w:w="993"/>
        <w:gridCol w:w="1134"/>
      </w:tblGrid>
      <w:tr w:rsidR="002F04CE" w:rsidRPr="0068681C" w:rsidTr="002F04CE">
        <w:trPr>
          <w:trHeight w:val="321"/>
        </w:trPr>
        <w:tc>
          <w:tcPr>
            <w:tcW w:w="1798" w:type="dxa"/>
            <w:shd w:val="clear" w:color="auto" w:fill="auto"/>
            <w:noWrap/>
            <w:vAlign w:val="bottom"/>
            <w:hideMark/>
          </w:tcPr>
          <w:p w:rsidR="002F04CE" w:rsidRPr="0068681C" w:rsidRDefault="002F04CE" w:rsidP="00C94583">
            <w:pPr>
              <w:spacing w:after="0" w:line="240" w:lineRule="auto"/>
              <w:rPr>
                <w:rFonts w:ascii="Calibri" w:eastAsia="Times New Roman" w:hAnsi="Calibri" w:cs="Times New Roman"/>
                <w:noProof w:val="0"/>
                <w:color w:val="000000"/>
                <w:lang w:eastAsia="tr-TR"/>
              </w:rPr>
            </w:pPr>
          </w:p>
        </w:tc>
        <w:tc>
          <w:tcPr>
            <w:tcW w:w="2171" w:type="dxa"/>
            <w:gridSpan w:val="2"/>
            <w:shd w:val="clear" w:color="auto" w:fill="auto"/>
            <w:noWrap/>
            <w:vAlign w:val="bottom"/>
            <w:hideMark/>
          </w:tcPr>
          <w:p w:rsidR="002F04CE" w:rsidRPr="0068681C" w:rsidRDefault="002F04CE" w:rsidP="007412EA">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 xml:space="preserve">1300TL </w:t>
            </w:r>
            <w:r w:rsidR="007412EA" w:rsidRPr="0068681C">
              <w:rPr>
                <w:rFonts w:ascii="Calibri" w:eastAsia="Times New Roman" w:hAnsi="Calibri" w:cs="Times New Roman"/>
                <w:b/>
                <w:noProof w:val="0"/>
                <w:color w:val="000000"/>
                <w:lang w:eastAsia="tr-TR"/>
              </w:rPr>
              <w:t>and higher</w:t>
            </w:r>
          </w:p>
        </w:tc>
        <w:tc>
          <w:tcPr>
            <w:tcW w:w="2127" w:type="dxa"/>
            <w:gridSpan w:val="2"/>
            <w:shd w:val="clear" w:color="auto" w:fill="auto"/>
            <w:noWrap/>
            <w:vAlign w:val="bottom"/>
            <w:hideMark/>
          </w:tcPr>
          <w:p w:rsidR="002F04CE" w:rsidRPr="0068681C" w:rsidRDefault="007412EA" w:rsidP="00C94583">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 xml:space="preserve">Lower than </w:t>
            </w:r>
            <w:r w:rsidR="002F04CE" w:rsidRPr="0068681C">
              <w:rPr>
                <w:rFonts w:ascii="Calibri" w:eastAsia="Times New Roman" w:hAnsi="Calibri" w:cs="Times New Roman"/>
                <w:b/>
                <w:noProof w:val="0"/>
                <w:color w:val="000000"/>
                <w:lang w:eastAsia="tr-TR"/>
              </w:rPr>
              <w:t>1300TL</w:t>
            </w:r>
          </w:p>
        </w:tc>
      </w:tr>
      <w:tr w:rsidR="002F04CE" w:rsidRPr="0068681C" w:rsidTr="002F04CE">
        <w:trPr>
          <w:trHeight w:val="321"/>
        </w:trPr>
        <w:tc>
          <w:tcPr>
            <w:tcW w:w="1798" w:type="dxa"/>
            <w:shd w:val="clear" w:color="auto" w:fill="auto"/>
            <w:noWrap/>
            <w:vAlign w:val="bottom"/>
            <w:hideMark/>
          </w:tcPr>
          <w:p w:rsidR="002F04CE" w:rsidRPr="0068681C" w:rsidRDefault="002F04CE" w:rsidP="00C94583">
            <w:pPr>
              <w:spacing w:after="0" w:line="240" w:lineRule="auto"/>
              <w:rPr>
                <w:rFonts w:ascii="Calibri" w:eastAsia="Times New Roman" w:hAnsi="Calibri" w:cs="Times New Roman"/>
                <w:noProof w:val="0"/>
                <w:color w:val="000000"/>
                <w:lang w:eastAsia="tr-TR"/>
              </w:rPr>
            </w:pPr>
          </w:p>
        </w:tc>
        <w:tc>
          <w:tcPr>
            <w:tcW w:w="1037" w:type="dxa"/>
            <w:shd w:val="clear" w:color="auto" w:fill="auto"/>
            <w:noWrap/>
            <w:vAlign w:val="center"/>
            <w:hideMark/>
          </w:tcPr>
          <w:p w:rsidR="002F04CE" w:rsidRPr="0068681C" w:rsidRDefault="002F04CE" w:rsidP="00C94583">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(000)</w:t>
            </w:r>
          </w:p>
        </w:tc>
        <w:tc>
          <w:tcPr>
            <w:tcW w:w="1134" w:type="dxa"/>
            <w:shd w:val="clear" w:color="auto" w:fill="auto"/>
            <w:noWrap/>
            <w:vAlign w:val="center"/>
            <w:hideMark/>
          </w:tcPr>
          <w:p w:rsidR="002F04CE" w:rsidRPr="0068681C" w:rsidRDefault="002F04CE" w:rsidP="00C94583">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w:t>
            </w:r>
          </w:p>
        </w:tc>
        <w:tc>
          <w:tcPr>
            <w:tcW w:w="993" w:type="dxa"/>
            <w:shd w:val="clear" w:color="auto" w:fill="auto"/>
            <w:noWrap/>
            <w:vAlign w:val="center"/>
            <w:hideMark/>
          </w:tcPr>
          <w:p w:rsidR="002F04CE" w:rsidRPr="0068681C" w:rsidRDefault="002F04CE" w:rsidP="00C94583">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(000)</w:t>
            </w:r>
          </w:p>
        </w:tc>
        <w:tc>
          <w:tcPr>
            <w:tcW w:w="1134" w:type="dxa"/>
            <w:shd w:val="clear" w:color="auto" w:fill="auto"/>
            <w:noWrap/>
            <w:vAlign w:val="center"/>
            <w:hideMark/>
          </w:tcPr>
          <w:p w:rsidR="002F04CE" w:rsidRPr="0068681C" w:rsidRDefault="002F04CE" w:rsidP="00C94583">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w:t>
            </w:r>
          </w:p>
        </w:tc>
      </w:tr>
      <w:tr w:rsidR="002F04CE" w:rsidRPr="0068681C" w:rsidTr="002F04CE">
        <w:trPr>
          <w:trHeight w:val="385"/>
        </w:trPr>
        <w:tc>
          <w:tcPr>
            <w:tcW w:w="1798" w:type="dxa"/>
            <w:shd w:val="clear" w:color="auto" w:fill="auto"/>
            <w:noWrap/>
            <w:vAlign w:val="bottom"/>
            <w:hideMark/>
          </w:tcPr>
          <w:p w:rsidR="002F04CE" w:rsidRPr="0068681C" w:rsidRDefault="007412EA" w:rsidP="00C94583">
            <w:pPr>
              <w:spacing w:after="0" w:line="240" w:lineRule="auto"/>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Turkey</w:t>
            </w:r>
          </w:p>
        </w:tc>
        <w:tc>
          <w:tcPr>
            <w:tcW w:w="1037" w:type="dxa"/>
            <w:shd w:val="clear" w:color="auto" w:fill="auto"/>
            <w:noWrap/>
            <w:vAlign w:val="bottom"/>
            <w:hideMark/>
          </w:tcPr>
          <w:p w:rsidR="002F04CE" w:rsidRPr="0068681C" w:rsidRDefault="002F04CE" w:rsidP="007412EA">
            <w:pPr>
              <w:spacing w:after="0" w:line="240" w:lineRule="auto"/>
              <w:jc w:val="center"/>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w:t>
            </w:r>
            <w:r w:rsidR="007412EA"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091</w:t>
            </w:r>
          </w:p>
        </w:tc>
        <w:tc>
          <w:tcPr>
            <w:tcW w:w="1134" w:type="dxa"/>
            <w:shd w:val="clear" w:color="auto" w:fill="auto"/>
            <w:noWrap/>
            <w:vAlign w:val="bottom"/>
            <w:hideMark/>
          </w:tcPr>
          <w:p w:rsidR="002F04CE" w:rsidRPr="0068681C" w:rsidRDefault="002F04CE" w:rsidP="007412EA">
            <w:pPr>
              <w:spacing w:after="0" w:line="240" w:lineRule="auto"/>
              <w:jc w:val="center"/>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42</w:t>
            </w:r>
            <w:r w:rsidR="007412EA"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7</w:t>
            </w:r>
          </w:p>
        </w:tc>
        <w:tc>
          <w:tcPr>
            <w:tcW w:w="993" w:type="dxa"/>
            <w:shd w:val="clear" w:color="auto" w:fill="auto"/>
            <w:noWrap/>
            <w:vAlign w:val="bottom"/>
            <w:hideMark/>
          </w:tcPr>
          <w:p w:rsidR="002F04CE" w:rsidRPr="0068681C" w:rsidRDefault="002F04CE" w:rsidP="007412EA">
            <w:pPr>
              <w:spacing w:after="0" w:line="240" w:lineRule="auto"/>
              <w:jc w:val="center"/>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5</w:t>
            </w:r>
            <w:r w:rsidR="007412EA"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484</w:t>
            </w:r>
          </w:p>
        </w:tc>
        <w:tc>
          <w:tcPr>
            <w:tcW w:w="1134" w:type="dxa"/>
            <w:shd w:val="clear" w:color="auto" w:fill="auto"/>
            <w:noWrap/>
            <w:vAlign w:val="bottom"/>
            <w:hideMark/>
          </w:tcPr>
          <w:p w:rsidR="002F04CE" w:rsidRPr="0068681C" w:rsidRDefault="002F04CE" w:rsidP="007412EA">
            <w:pPr>
              <w:spacing w:after="0" w:line="240" w:lineRule="auto"/>
              <w:jc w:val="center"/>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57</w:t>
            </w:r>
            <w:r w:rsidR="007412EA"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3</w:t>
            </w:r>
          </w:p>
        </w:tc>
      </w:tr>
    </w:tbl>
    <w:p w:rsidR="009459CF" w:rsidRPr="0068681C" w:rsidRDefault="009459CF" w:rsidP="009459CF">
      <w:pPr>
        <w:rPr>
          <w:sz w:val="20"/>
          <w:szCs w:val="20"/>
        </w:rPr>
      </w:pPr>
      <w:r w:rsidRPr="0068681C">
        <w:rPr>
          <w:sz w:val="20"/>
          <w:szCs w:val="20"/>
        </w:rPr>
        <w:t xml:space="preserve">Source: HLFS 2013, Betam update for November 2015 </w:t>
      </w:r>
    </w:p>
    <w:p w:rsidR="00151DD5" w:rsidRPr="0068681C" w:rsidRDefault="00151DD5" w:rsidP="00151DD5">
      <w:pPr>
        <w:rPr>
          <w:b/>
          <w:sz w:val="24"/>
          <w:szCs w:val="24"/>
        </w:rPr>
      </w:pPr>
      <w:r w:rsidRPr="0068681C">
        <w:rPr>
          <w:b/>
          <w:sz w:val="24"/>
          <w:szCs w:val="24"/>
        </w:rPr>
        <w:t xml:space="preserve">Minimum wage </w:t>
      </w:r>
      <w:r w:rsidR="006D06D0">
        <w:rPr>
          <w:b/>
          <w:sz w:val="24"/>
          <w:szCs w:val="24"/>
        </w:rPr>
        <w:t>increase</w:t>
      </w:r>
      <w:r w:rsidRPr="0068681C">
        <w:rPr>
          <w:b/>
          <w:sz w:val="24"/>
          <w:szCs w:val="24"/>
        </w:rPr>
        <w:t xml:space="preserve"> is largely observed among the youngs </w:t>
      </w:r>
    </w:p>
    <w:p w:rsidR="0003063B" w:rsidRPr="0068681C" w:rsidRDefault="0003063B" w:rsidP="00144382">
      <w:r w:rsidRPr="0068681C">
        <w:t xml:space="preserve">Evidences in the literature on economics </w:t>
      </w:r>
      <w:r w:rsidR="00C91925" w:rsidRPr="0068681C">
        <w:t>introduce</w:t>
      </w:r>
      <w:r w:rsidRPr="0068681C">
        <w:t xml:space="preserve"> </w:t>
      </w:r>
      <w:r w:rsidR="00F6654B" w:rsidRPr="0068681C">
        <w:t>a significant</w:t>
      </w:r>
      <w:r w:rsidR="00AA7AFB" w:rsidRPr="0068681C">
        <w:t>ly concave</w:t>
      </w:r>
      <w:r w:rsidR="00F6654B" w:rsidRPr="0068681C">
        <w:t xml:space="preserve"> relationship between the earnings and the experience </w:t>
      </w:r>
      <w:r w:rsidR="00C37037" w:rsidRPr="0068681C">
        <w:t xml:space="preserve">gained in the labor </w:t>
      </w:r>
      <w:r w:rsidR="002C73DB" w:rsidRPr="0068681C">
        <w:t>market</w:t>
      </w:r>
      <w:r w:rsidR="00C37037" w:rsidRPr="0068681C">
        <w:t xml:space="preserve">. </w:t>
      </w:r>
      <w:r w:rsidR="00DF7548" w:rsidRPr="0068681C">
        <w:t xml:space="preserve">A direct increase in the age with the years of experience in the labor market increase, in general, </w:t>
      </w:r>
      <w:r w:rsidR="0092108F" w:rsidRPr="0068681C">
        <w:t xml:space="preserve">implies that </w:t>
      </w:r>
      <w:r w:rsidR="00EC60F0" w:rsidRPr="0068681C">
        <w:t xml:space="preserve">the wages of the youngs are relatively lower. In other words, </w:t>
      </w:r>
      <w:r w:rsidR="00FE5C00" w:rsidRPr="0068681C">
        <w:t>as a young individual gets older, that is the experience that gained through the labor market</w:t>
      </w:r>
      <w:r w:rsidR="007308D8" w:rsidRPr="0068681C">
        <w:t xml:space="preserve"> increases </w:t>
      </w:r>
      <w:r w:rsidR="00F72FA3" w:rsidRPr="0068681C">
        <w:t>and</w:t>
      </w:r>
      <w:r w:rsidR="007308D8" w:rsidRPr="0068681C">
        <w:t xml:space="preserve"> thereby </w:t>
      </w:r>
      <w:r w:rsidR="00A94FE4" w:rsidRPr="0068681C">
        <w:t>the improve</w:t>
      </w:r>
      <w:r w:rsidR="00B27804" w:rsidRPr="0068681C">
        <w:t>ments</w:t>
      </w:r>
      <w:r w:rsidR="007308D8" w:rsidRPr="0068681C">
        <w:t xml:space="preserve"> in the human capital</w:t>
      </w:r>
      <w:r w:rsidR="003F37B4" w:rsidRPr="0068681C">
        <w:t xml:space="preserve">, </w:t>
      </w:r>
      <w:r w:rsidR="00674CAC" w:rsidRPr="0068681C">
        <w:t xml:space="preserve"> the wage that individual earn </w:t>
      </w:r>
      <w:r w:rsidR="00D47F71" w:rsidRPr="0068681C">
        <w:t xml:space="preserve">rises but </w:t>
      </w:r>
      <w:r w:rsidR="00C42B74" w:rsidRPr="0068681C">
        <w:t xml:space="preserve">the magnitude of </w:t>
      </w:r>
      <w:r w:rsidR="00D47F71" w:rsidRPr="0068681C">
        <w:t xml:space="preserve">the return from the human capital investment  </w:t>
      </w:r>
      <w:r w:rsidR="00204CB2" w:rsidRPr="0068681C">
        <w:t>diminish</w:t>
      </w:r>
      <w:r w:rsidR="00C42B74" w:rsidRPr="0068681C">
        <w:t xml:space="preserve">es. Hence, </w:t>
      </w:r>
      <w:r w:rsidR="00502FF9" w:rsidRPr="0068681C">
        <w:t xml:space="preserve">an </w:t>
      </w:r>
      <w:r w:rsidR="00FA2CF0" w:rsidRPr="0068681C">
        <w:t>image</w:t>
      </w:r>
      <w:r w:rsidR="00502FF9" w:rsidRPr="0068681C">
        <w:t xml:space="preserve"> </w:t>
      </w:r>
      <w:r w:rsidR="00A952B2" w:rsidRPr="0068681C">
        <w:t xml:space="preserve">of what the literature </w:t>
      </w:r>
      <w:r w:rsidR="00C35D6D" w:rsidRPr="0068681C">
        <w:t>refer</w:t>
      </w:r>
      <w:r w:rsidR="006E100D" w:rsidRPr="0068681C">
        <w:t>s</w:t>
      </w:r>
      <w:r w:rsidR="0063174A" w:rsidRPr="0068681C">
        <w:t xml:space="preserve"> can be observed in the profiles of minimum wage earners. </w:t>
      </w:r>
      <w:r w:rsidR="00E34E69" w:rsidRPr="0068681C">
        <w:t xml:space="preserve">Generally, </w:t>
      </w:r>
      <w:r w:rsidR="00CD3796" w:rsidRPr="0068681C">
        <w:t xml:space="preserve">it is expected that the minimum wage earners are relatively younger. </w:t>
      </w:r>
      <w:r w:rsidR="007A1DC1" w:rsidRPr="0068681C">
        <w:t xml:space="preserve">In this sense, </w:t>
      </w:r>
      <w:r w:rsidR="00C34A42" w:rsidRPr="0068681C">
        <w:t xml:space="preserve">it is arguable that </w:t>
      </w:r>
      <w:r w:rsidR="001E5D80" w:rsidRPr="0068681C">
        <w:t xml:space="preserve">the effect of </w:t>
      </w:r>
      <w:r w:rsidR="00F07642" w:rsidRPr="0068681C">
        <w:t xml:space="preserve">an external shock in the labor maret due to minimum wage </w:t>
      </w:r>
      <w:r w:rsidR="006D06D0">
        <w:t>increase</w:t>
      </w:r>
      <w:r w:rsidR="00F07642" w:rsidRPr="0068681C">
        <w:t xml:space="preserve"> </w:t>
      </w:r>
      <w:r w:rsidR="00382312" w:rsidRPr="0068681C">
        <w:t xml:space="preserve">will differ by </w:t>
      </w:r>
      <w:r w:rsidR="000F1E61" w:rsidRPr="0068681C">
        <w:t>each</w:t>
      </w:r>
      <w:r w:rsidR="00382312" w:rsidRPr="0068681C">
        <w:t xml:space="preserve"> age groups.</w:t>
      </w:r>
    </w:p>
    <w:p w:rsidR="005D6AA6" w:rsidRPr="0068681C" w:rsidRDefault="007E18AF" w:rsidP="005D6AA6">
      <w:r w:rsidRPr="0068681C">
        <w:t xml:space="preserve">Table 2 </w:t>
      </w:r>
      <w:r w:rsidR="00B1413D" w:rsidRPr="0068681C">
        <w:t xml:space="preserve">examines the earnings of the employees working formally and full-time in the private sector or NGO’s as wage-earners or casual workers by their age groups. </w:t>
      </w:r>
      <w:r w:rsidR="005E388A" w:rsidRPr="0068681C">
        <w:t xml:space="preserve">Most of the employees (41.8 percent of them) are </w:t>
      </w:r>
      <w:r w:rsidR="00F73A9B" w:rsidRPr="0068681C">
        <w:t xml:space="preserve">clustered in the 25-44 year age group. </w:t>
      </w:r>
      <w:r w:rsidR="00E76FC0" w:rsidRPr="0068681C">
        <w:t xml:space="preserve">The individuals in the age group of 35 to 44 years </w:t>
      </w:r>
      <w:r w:rsidR="002D4C8D" w:rsidRPr="0068681C">
        <w:t>consti</w:t>
      </w:r>
      <w:r w:rsidR="005D6AA6" w:rsidRPr="0068681C">
        <w:t xml:space="preserve">tutes the second largest group (28.9 percent). </w:t>
      </w:r>
      <w:r w:rsidR="00B1045F" w:rsidRPr="0068681C">
        <w:t xml:space="preserve">On </w:t>
      </w:r>
      <w:r w:rsidR="00E34658" w:rsidRPr="0068681C">
        <w:t>one</w:t>
      </w:r>
      <w:r w:rsidR="00B1045F" w:rsidRPr="0068681C">
        <w:t xml:space="preserve"> hand, </w:t>
      </w:r>
      <w:r w:rsidR="002A4C15" w:rsidRPr="0068681C">
        <w:t xml:space="preserve">the share of </w:t>
      </w:r>
      <w:r w:rsidR="00116D5E" w:rsidRPr="0068681C">
        <w:t xml:space="preserve">the youngs in the age group of 15 to 24 years </w:t>
      </w:r>
      <w:r w:rsidR="00643D8E" w:rsidRPr="0068681C">
        <w:t xml:space="preserve">among employees </w:t>
      </w:r>
      <w:r w:rsidR="002A4C15" w:rsidRPr="0068681C">
        <w:t xml:space="preserve">is </w:t>
      </w:r>
      <w:r w:rsidR="00116D5E" w:rsidRPr="0068681C">
        <w:t xml:space="preserve">relatively lower </w:t>
      </w:r>
      <w:r w:rsidR="00FD2457" w:rsidRPr="0068681C">
        <w:t xml:space="preserve">(15.9 percent) </w:t>
      </w:r>
      <w:r w:rsidR="00116D5E" w:rsidRPr="0068681C">
        <w:t xml:space="preserve">for several reasons such as </w:t>
      </w:r>
      <w:r w:rsidR="000111CB" w:rsidRPr="0068681C">
        <w:t>continuing education, non-participation and unemployment</w:t>
      </w:r>
      <w:r w:rsidR="00116D5E" w:rsidRPr="0068681C">
        <w:t>, albeit a young population structure in Turkey</w:t>
      </w:r>
      <w:r w:rsidR="00FD2457" w:rsidRPr="0068681C">
        <w:t>.</w:t>
      </w:r>
      <w:r w:rsidR="006D280B" w:rsidRPr="0068681C">
        <w:t xml:space="preserve"> </w:t>
      </w:r>
      <w:r w:rsidR="00E34658" w:rsidRPr="0068681C">
        <w:t>On the other hand</w:t>
      </w:r>
      <w:r w:rsidR="006D280B" w:rsidRPr="0068681C">
        <w:t xml:space="preserve">, </w:t>
      </w:r>
      <w:r w:rsidR="00A504EB" w:rsidRPr="0068681C">
        <w:t xml:space="preserve">the share of age group of 44 years and above is lower for the reasons such as </w:t>
      </w:r>
      <w:r w:rsidR="006D280B" w:rsidRPr="0068681C">
        <w:t>retiring in early ages and early exit</w:t>
      </w:r>
      <w:r w:rsidR="00A504EB" w:rsidRPr="0068681C">
        <w:t xml:space="preserve"> of women from the labor market.</w:t>
      </w:r>
    </w:p>
    <w:p w:rsidR="00144382" w:rsidRPr="0068681C" w:rsidRDefault="00144382" w:rsidP="00144382">
      <w:pPr>
        <w:pStyle w:val="ResimYazs"/>
        <w:keepNext/>
      </w:pPr>
      <w:bookmarkStart w:id="2" w:name="_Ref443040433"/>
      <w:r w:rsidRPr="0068681C">
        <w:rPr>
          <w:color w:val="auto"/>
          <w:sz w:val="22"/>
          <w:szCs w:val="22"/>
        </w:rPr>
        <w:t xml:space="preserve">Tablo </w:t>
      </w:r>
      <w:r w:rsidR="00C3763F" w:rsidRPr="0068681C">
        <w:rPr>
          <w:color w:val="auto"/>
          <w:sz w:val="22"/>
          <w:szCs w:val="22"/>
        </w:rPr>
        <w:fldChar w:fldCharType="begin"/>
      </w:r>
      <w:r w:rsidRPr="0068681C">
        <w:rPr>
          <w:color w:val="auto"/>
          <w:sz w:val="22"/>
          <w:szCs w:val="22"/>
        </w:rPr>
        <w:instrText xml:space="preserve"> SEQ Tablo \* ARABIC </w:instrText>
      </w:r>
      <w:r w:rsidR="00C3763F" w:rsidRPr="0068681C">
        <w:rPr>
          <w:color w:val="auto"/>
          <w:sz w:val="22"/>
          <w:szCs w:val="22"/>
        </w:rPr>
        <w:fldChar w:fldCharType="separate"/>
      </w:r>
      <w:r w:rsidR="005551C6" w:rsidRPr="0068681C">
        <w:rPr>
          <w:color w:val="auto"/>
          <w:sz w:val="22"/>
          <w:szCs w:val="22"/>
        </w:rPr>
        <w:t>2</w:t>
      </w:r>
      <w:r w:rsidR="00C3763F" w:rsidRPr="0068681C">
        <w:rPr>
          <w:color w:val="auto"/>
          <w:sz w:val="22"/>
          <w:szCs w:val="22"/>
        </w:rPr>
        <w:fldChar w:fldCharType="end"/>
      </w:r>
      <w:bookmarkEnd w:id="2"/>
      <w:r w:rsidRPr="0068681C">
        <w:rPr>
          <w:color w:val="auto"/>
          <w:sz w:val="22"/>
          <w:szCs w:val="22"/>
        </w:rPr>
        <w:t xml:space="preserve"> Yaş gruplarına göre 1300 TL'nin altında net ücret alanların sayısı ve oranı</w:t>
      </w:r>
    </w:p>
    <w:tbl>
      <w:tblPr>
        <w:tblW w:w="801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771"/>
        <w:gridCol w:w="1775"/>
        <w:gridCol w:w="1134"/>
        <w:gridCol w:w="993"/>
        <w:gridCol w:w="1134"/>
        <w:gridCol w:w="1212"/>
      </w:tblGrid>
      <w:tr w:rsidR="00374512" w:rsidRPr="0068681C" w:rsidTr="000044A2">
        <w:trPr>
          <w:trHeight w:val="321"/>
        </w:trPr>
        <w:tc>
          <w:tcPr>
            <w:tcW w:w="1771" w:type="dxa"/>
            <w:shd w:val="clear" w:color="auto" w:fill="auto"/>
            <w:noWrap/>
            <w:vAlign w:val="bottom"/>
            <w:hideMark/>
          </w:tcPr>
          <w:p w:rsidR="00374512" w:rsidRPr="0068681C" w:rsidRDefault="00374512" w:rsidP="00EC23F2">
            <w:pPr>
              <w:spacing w:after="0" w:line="240" w:lineRule="auto"/>
              <w:rPr>
                <w:rFonts w:ascii="Calibri" w:eastAsia="Times New Roman" w:hAnsi="Calibri" w:cs="Times New Roman"/>
                <w:noProof w:val="0"/>
                <w:color w:val="000000"/>
                <w:lang w:eastAsia="tr-TR"/>
              </w:rPr>
            </w:pPr>
          </w:p>
        </w:tc>
        <w:tc>
          <w:tcPr>
            <w:tcW w:w="2909" w:type="dxa"/>
            <w:gridSpan w:val="2"/>
            <w:shd w:val="clear" w:color="auto" w:fill="auto"/>
            <w:noWrap/>
            <w:vAlign w:val="bottom"/>
            <w:hideMark/>
          </w:tcPr>
          <w:p w:rsidR="006D42B1" w:rsidRPr="0068681C" w:rsidRDefault="006D42B1" w:rsidP="006D42B1">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 xml:space="preserve">Earnings lower than </w:t>
            </w:r>
            <w:r w:rsidR="00F93BAC" w:rsidRPr="0068681C">
              <w:rPr>
                <w:rFonts w:ascii="Calibri" w:eastAsia="Times New Roman" w:hAnsi="Calibri" w:cs="Times New Roman"/>
                <w:b/>
                <w:noProof w:val="0"/>
                <w:color w:val="000000"/>
                <w:lang w:eastAsia="tr-TR"/>
              </w:rPr>
              <w:t>1300TL</w:t>
            </w:r>
          </w:p>
          <w:p w:rsidR="00374512" w:rsidRPr="0068681C" w:rsidRDefault="00374512" w:rsidP="00F93BAC">
            <w:pPr>
              <w:spacing w:after="0" w:line="240" w:lineRule="auto"/>
              <w:jc w:val="center"/>
              <w:rPr>
                <w:rFonts w:ascii="Calibri" w:eastAsia="Times New Roman" w:hAnsi="Calibri" w:cs="Times New Roman"/>
                <w:b/>
                <w:noProof w:val="0"/>
                <w:color w:val="000000"/>
                <w:lang w:eastAsia="tr-TR"/>
              </w:rPr>
            </w:pPr>
          </w:p>
        </w:tc>
        <w:tc>
          <w:tcPr>
            <w:tcW w:w="2127" w:type="dxa"/>
            <w:gridSpan w:val="2"/>
            <w:shd w:val="clear" w:color="auto" w:fill="auto"/>
            <w:noWrap/>
            <w:vAlign w:val="bottom"/>
            <w:hideMark/>
          </w:tcPr>
          <w:p w:rsidR="00374512" w:rsidRPr="0068681C" w:rsidRDefault="006D42B1" w:rsidP="006D42B1">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 xml:space="preserve">Earnings </w:t>
            </w:r>
            <w:r w:rsidR="00F93BAC" w:rsidRPr="0068681C">
              <w:rPr>
                <w:rFonts w:ascii="Calibri" w:eastAsia="Times New Roman" w:hAnsi="Calibri" w:cs="Times New Roman"/>
                <w:b/>
                <w:noProof w:val="0"/>
                <w:color w:val="000000"/>
                <w:lang w:eastAsia="tr-TR"/>
              </w:rPr>
              <w:t xml:space="preserve">1300TL </w:t>
            </w:r>
            <w:r w:rsidRPr="0068681C">
              <w:rPr>
                <w:rFonts w:ascii="Calibri" w:eastAsia="Times New Roman" w:hAnsi="Calibri" w:cs="Times New Roman"/>
                <w:b/>
                <w:noProof w:val="0"/>
                <w:color w:val="000000"/>
                <w:lang w:eastAsia="tr-TR"/>
              </w:rPr>
              <w:t>and higher</w:t>
            </w:r>
          </w:p>
        </w:tc>
        <w:tc>
          <w:tcPr>
            <w:tcW w:w="1212" w:type="dxa"/>
            <w:vAlign w:val="bottom"/>
          </w:tcPr>
          <w:p w:rsidR="00374512" w:rsidRPr="0068681C" w:rsidRDefault="00A64195" w:rsidP="00A64195">
            <w:pPr>
              <w:spacing w:after="0" w:line="240" w:lineRule="auto"/>
              <w:jc w:val="right"/>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Age distribution of employees</w:t>
            </w:r>
            <w:r w:rsidR="00374512" w:rsidRPr="0068681C">
              <w:rPr>
                <w:rFonts w:ascii="Calibri" w:eastAsia="Times New Roman" w:hAnsi="Calibri" w:cs="Times New Roman"/>
                <w:b/>
                <w:noProof w:val="0"/>
                <w:color w:val="000000"/>
                <w:lang w:eastAsia="tr-TR"/>
              </w:rPr>
              <w:t xml:space="preserve"> </w:t>
            </w:r>
          </w:p>
        </w:tc>
      </w:tr>
      <w:tr w:rsidR="00374512" w:rsidRPr="0068681C" w:rsidTr="000044A2">
        <w:trPr>
          <w:trHeight w:val="321"/>
        </w:trPr>
        <w:tc>
          <w:tcPr>
            <w:tcW w:w="1771" w:type="dxa"/>
            <w:shd w:val="clear" w:color="auto" w:fill="auto"/>
            <w:noWrap/>
            <w:vAlign w:val="bottom"/>
            <w:hideMark/>
          </w:tcPr>
          <w:p w:rsidR="00374512" w:rsidRPr="0068681C" w:rsidRDefault="00374512" w:rsidP="005377D3">
            <w:pPr>
              <w:spacing w:after="0" w:line="240" w:lineRule="auto"/>
              <w:rPr>
                <w:rFonts w:ascii="Calibri" w:eastAsia="Times New Roman" w:hAnsi="Calibri" w:cs="Times New Roman"/>
                <w:noProof w:val="0"/>
                <w:color w:val="000000"/>
                <w:lang w:eastAsia="tr-TR"/>
              </w:rPr>
            </w:pPr>
          </w:p>
        </w:tc>
        <w:tc>
          <w:tcPr>
            <w:tcW w:w="1775" w:type="dxa"/>
            <w:shd w:val="clear" w:color="auto" w:fill="auto"/>
            <w:noWrap/>
            <w:vAlign w:val="center"/>
            <w:hideMark/>
          </w:tcPr>
          <w:p w:rsidR="00374512" w:rsidRPr="0068681C" w:rsidRDefault="00374512" w:rsidP="0011795F">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(000)</w:t>
            </w:r>
          </w:p>
        </w:tc>
        <w:tc>
          <w:tcPr>
            <w:tcW w:w="1134" w:type="dxa"/>
            <w:shd w:val="clear" w:color="auto" w:fill="auto"/>
            <w:noWrap/>
            <w:vAlign w:val="center"/>
            <w:hideMark/>
          </w:tcPr>
          <w:p w:rsidR="00374512" w:rsidRPr="0068681C" w:rsidRDefault="00374512" w:rsidP="0011795F">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w:t>
            </w:r>
          </w:p>
        </w:tc>
        <w:tc>
          <w:tcPr>
            <w:tcW w:w="993" w:type="dxa"/>
            <w:shd w:val="clear" w:color="auto" w:fill="auto"/>
            <w:noWrap/>
            <w:vAlign w:val="center"/>
            <w:hideMark/>
          </w:tcPr>
          <w:p w:rsidR="00374512" w:rsidRPr="0068681C" w:rsidRDefault="00374512" w:rsidP="00F27189">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(000)</w:t>
            </w:r>
          </w:p>
        </w:tc>
        <w:tc>
          <w:tcPr>
            <w:tcW w:w="1134" w:type="dxa"/>
            <w:shd w:val="clear" w:color="auto" w:fill="auto"/>
            <w:noWrap/>
            <w:vAlign w:val="center"/>
            <w:hideMark/>
          </w:tcPr>
          <w:p w:rsidR="00374512" w:rsidRPr="0068681C" w:rsidRDefault="00374512" w:rsidP="00F27189">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w:t>
            </w:r>
          </w:p>
        </w:tc>
        <w:tc>
          <w:tcPr>
            <w:tcW w:w="1212" w:type="dxa"/>
            <w:vAlign w:val="bottom"/>
          </w:tcPr>
          <w:p w:rsidR="00374512" w:rsidRPr="0068681C" w:rsidRDefault="00374512" w:rsidP="0011113B">
            <w:pPr>
              <w:spacing w:after="0" w:line="240" w:lineRule="auto"/>
              <w:jc w:val="center"/>
              <w:rPr>
                <w:rFonts w:ascii="Calibri" w:eastAsia="Times New Roman" w:hAnsi="Calibri" w:cs="Times New Roman"/>
                <w:b/>
                <w:noProof w:val="0"/>
                <w:color w:val="000000"/>
                <w:lang w:eastAsia="tr-TR"/>
              </w:rPr>
            </w:pPr>
            <w:r w:rsidRPr="0068681C">
              <w:rPr>
                <w:rFonts w:ascii="Calibri" w:eastAsia="Times New Roman" w:hAnsi="Calibri" w:cs="Times New Roman"/>
                <w:b/>
                <w:noProof w:val="0"/>
                <w:color w:val="000000"/>
                <w:lang w:eastAsia="tr-TR"/>
              </w:rPr>
              <w:t>(%)</w:t>
            </w:r>
          </w:p>
        </w:tc>
      </w:tr>
      <w:tr w:rsidR="00374512" w:rsidRPr="0068681C" w:rsidTr="000044A2">
        <w:trPr>
          <w:trHeight w:val="321"/>
        </w:trPr>
        <w:tc>
          <w:tcPr>
            <w:tcW w:w="1771" w:type="dxa"/>
            <w:shd w:val="clear" w:color="auto" w:fill="auto"/>
            <w:noWrap/>
            <w:vAlign w:val="bottom"/>
            <w:hideMark/>
          </w:tcPr>
          <w:p w:rsidR="00374512" w:rsidRPr="0068681C" w:rsidRDefault="00374512" w:rsidP="008903FD">
            <w:pPr>
              <w:spacing w:after="0" w:line="240" w:lineRule="auto"/>
              <w:rPr>
                <w:rFonts w:ascii="Calibri" w:eastAsia="Times New Roman" w:hAnsi="Calibri" w:cs="Times New Roman"/>
                <w:noProof w:val="0"/>
                <w:color w:val="000000"/>
                <w:sz w:val="20"/>
                <w:szCs w:val="20"/>
                <w:lang w:eastAsia="tr-TR"/>
              </w:rPr>
            </w:pPr>
            <w:r w:rsidRPr="0068681C">
              <w:rPr>
                <w:rFonts w:ascii="Calibri" w:eastAsia="Times New Roman" w:hAnsi="Calibri" w:cs="Times New Roman"/>
                <w:noProof w:val="0"/>
                <w:color w:val="000000"/>
                <w:sz w:val="20"/>
                <w:szCs w:val="20"/>
                <w:lang w:eastAsia="tr-TR"/>
              </w:rPr>
              <w:t>15-24</w:t>
            </w:r>
            <w:r w:rsidR="008903FD" w:rsidRPr="0068681C">
              <w:rPr>
                <w:rFonts w:ascii="Calibri" w:eastAsia="Times New Roman" w:hAnsi="Calibri" w:cs="Times New Roman"/>
                <w:noProof w:val="0"/>
                <w:color w:val="000000"/>
                <w:sz w:val="20"/>
                <w:szCs w:val="20"/>
                <w:lang w:eastAsia="tr-TR"/>
              </w:rPr>
              <w:t xml:space="preserve"> years </w:t>
            </w:r>
            <w:r w:rsidRPr="0068681C">
              <w:rPr>
                <w:rFonts w:ascii="Calibri" w:eastAsia="Times New Roman" w:hAnsi="Calibri" w:cs="Times New Roman"/>
                <w:noProof w:val="0"/>
                <w:color w:val="000000"/>
                <w:sz w:val="20"/>
                <w:szCs w:val="20"/>
                <w:lang w:eastAsia="tr-TR"/>
              </w:rPr>
              <w:t xml:space="preserve"> </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213</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22</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1</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308</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7</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5</w:t>
            </w:r>
          </w:p>
        </w:tc>
        <w:tc>
          <w:tcPr>
            <w:tcW w:w="1212" w:type="dxa"/>
            <w:vAlign w:val="bottom"/>
          </w:tcPr>
          <w:p w:rsidR="00374512" w:rsidRPr="0068681C" w:rsidRDefault="00374512"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15</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9</w:t>
            </w:r>
          </w:p>
        </w:tc>
      </w:tr>
      <w:tr w:rsidR="00374512" w:rsidRPr="0068681C" w:rsidTr="000044A2">
        <w:trPr>
          <w:trHeight w:val="321"/>
        </w:trPr>
        <w:tc>
          <w:tcPr>
            <w:tcW w:w="1771" w:type="dxa"/>
            <w:shd w:val="clear" w:color="auto" w:fill="auto"/>
            <w:noWrap/>
            <w:vAlign w:val="bottom"/>
            <w:hideMark/>
          </w:tcPr>
          <w:p w:rsidR="00374512" w:rsidRPr="0068681C" w:rsidRDefault="00374512" w:rsidP="008903FD">
            <w:pPr>
              <w:spacing w:after="0" w:line="240" w:lineRule="auto"/>
              <w:rPr>
                <w:rFonts w:ascii="Calibri" w:eastAsia="Times New Roman" w:hAnsi="Calibri" w:cs="Times New Roman"/>
                <w:noProof w:val="0"/>
                <w:color w:val="000000"/>
                <w:sz w:val="20"/>
                <w:szCs w:val="20"/>
                <w:lang w:eastAsia="tr-TR"/>
              </w:rPr>
            </w:pPr>
            <w:r w:rsidRPr="0068681C">
              <w:rPr>
                <w:rFonts w:ascii="Calibri" w:eastAsia="Times New Roman" w:hAnsi="Calibri" w:cs="Times New Roman"/>
                <w:noProof w:val="0"/>
                <w:color w:val="000000"/>
                <w:sz w:val="20"/>
                <w:szCs w:val="20"/>
                <w:lang w:eastAsia="tr-TR"/>
              </w:rPr>
              <w:t xml:space="preserve">25-34 </w:t>
            </w:r>
            <w:r w:rsidR="008903FD" w:rsidRPr="0068681C">
              <w:rPr>
                <w:rFonts w:ascii="Calibri" w:eastAsia="Times New Roman" w:hAnsi="Calibri" w:cs="Times New Roman"/>
                <w:noProof w:val="0"/>
                <w:color w:val="000000"/>
                <w:sz w:val="20"/>
                <w:szCs w:val="20"/>
                <w:lang w:eastAsia="tr-TR"/>
              </w:rPr>
              <w:t>years</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2</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128</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38</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8</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875</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45</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8</w:t>
            </w:r>
          </w:p>
        </w:tc>
        <w:tc>
          <w:tcPr>
            <w:tcW w:w="1212" w:type="dxa"/>
            <w:vAlign w:val="bottom"/>
          </w:tcPr>
          <w:p w:rsidR="00374512" w:rsidRPr="0068681C" w:rsidRDefault="00374512"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8</w:t>
            </w:r>
          </w:p>
        </w:tc>
      </w:tr>
      <w:tr w:rsidR="00374512" w:rsidRPr="0068681C" w:rsidTr="000044A2">
        <w:trPr>
          <w:trHeight w:val="321"/>
        </w:trPr>
        <w:tc>
          <w:tcPr>
            <w:tcW w:w="1771" w:type="dxa"/>
            <w:shd w:val="clear" w:color="auto" w:fill="auto"/>
            <w:noWrap/>
            <w:vAlign w:val="bottom"/>
            <w:hideMark/>
          </w:tcPr>
          <w:p w:rsidR="00374512" w:rsidRPr="0068681C" w:rsidRDefault="00374512" w:rsidP="008903FD">
            <w:pPr>
              <w:spacing w:after="0" w:line="240" w:lineRule="auto"/>
              <w:rPr>
                <w:rFonts w:ascii="Calibri" w:eastAsia="Times New Roman" w:hAnsi="Calibri" w:cs="Times New Roman"/>
                <w:noProof w:val="0"/>
                <w:color w:val="000000"/>
                <w:sz w:val="20"/>
                <w:szCs w:val="20"/>
                <w:lang w:eastAsia="tr-TR"/>
              </w:rPr>
            </w:pPr>
            <w:r w:rsidRPr="0068681C">
              <w:rPr>
                <w:rFonts w:ascii="Calibri" w:eastAsia="Times New Roman" w:hAnsi="Calibri" w:cs="Times New Roman"/>
                <w:noProof w:val="0"/>
                <w:color w:val="000000"/>
                <w:sz w:val="20"/>
                <w:szCs w:val="20"/>
                <w:lang w:eastAsia="tr-TR"/>
              </w:rPr>
              <w:lastRenderedPageBreak/>
              <w:t xml:space="preserve">35-44 </w:t>
            </w:r>
            <w:r w:rsidR="008903FD" w:rsidRPr="0068681C">
              <w:rPr>
                <w:rFonts w:ascii="Calibri" w:eastAsia="Times New Roman" w:hAnsi="Calibri" w:cs="Times New Roman"/>
                <w:noProof w:val="0"/>
                <w:color w:val="000000"/>
                <w:sz w:val="20"/>
                <w:szCs w:val="20"/>
                <w:lang w:eastAsia="tr-TR"/>
              </w:rPr>
              <w:t>years</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410</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25</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7</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357</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33</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2</w:t>
            </w:r>
          </w:p>
        </w:tc>
        <w:tc>
          <w:tcPr>
            <w:tcW w:w="1212" w:type="dxa"/>
            <w:vAlign w:val="bottom"/>
          </w:tcPr>
          <w:p w:rsidR="00374512" w:rsidRPr="0068681C" w:rsidRDefault="00374512"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28</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9</w:t>
            </w:r>
          </w:p>
        </w:tc>
      </w:tr>
      <w:tr w:rsidR="00374512" w:rsidRPr="0068681C" w:rsidTr="000044A2">
        <w:trPr>
          <w:trHeight w:val="321"/>
        </w:trPr>
        <w:tc>
          <w:tcPr>
            <w:tcW w:w="1771" w:type="dxa"/>
            <w:shd w:val="clear" w:color="auto" w:fill="auto"/>
            <w:noWrap/>
            <w:vAlign w:val="bottom"/>
            <w:hideMark/>
          </w:tcPr>
          <w:p w:rsidR="00374512" w:rsidRPr="0068681C" w:rsidRDefault="00374512" w:rsidP="008903FD">
            <w:pPr>
              <w:spacing w:after="0" w:line="240" w:lineRule="auto"/>
              <w:rPr>
                <w:rFonts w:ascii="Calibri" w:eastAsia="Times New Roman" w:hAnsi="Calibri" w:cs="Times New Roman"/>
                <w:noProof w:val="0"/>
                <w:color w:val="000000"/>
                <w:sz w:val="20"/>
                <w:szCs w:val="20"/>
                <w:lang w:eastAsia="tr-TR"/>
              </w:rPr>
            </w:pPr>
            <w:r w:rsidRPr="0068681C">
              <w:rPr>
                <w:rFonts w:ascii="Calibri" w:eastAsia="Times New Roman" w:hAnsi="Calibri" w:cs="Times New Roman"/>
                <w:noProof w:val="0"/>
                <w:color w:val="000000"/>
                <w:sz w:val="20"/>
                <w:szCs w:val="20"/>
                <w:lang w:eastAsia="tr-TR"/>
              </w:rPr>
              <w:t xml:space="preserve">45-54 </w:t>
            </w:r>
            <w:r w:rsidR="008903FD" w:rsidRPr="0068681C">
              <w:rPr>
                <w:rFonts w:ascii="Calibri" w:eastAsia="Times New Roman" w:hAnsi="Calibri" w:cs="Times New Roman"/>
                <w:noProof w:val="0"/>
                <w:color w:val="000000"/>
                <w:sz w:val="20"/>
                <w:szCs w:val="20"/>
                <w:lang w:eastAsia="tr-TR"/>
              </w:rPr>
              <w:t>years</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634</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6</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470</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5</w:t>
            </w:r>
          </w:p>
        </w:tc>
        <w:tc>
          <w:tcPr>
            <w:tcW w:w="1212" w:type="dxa"/>
            <w:vAlign w:val="bottom"/>
          </w:tcPr>
          <w:p w:rsidR="00374512" w:rsidRPr="0068681C" w:rsidRDefault="00374512"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5</w:t>
            </w:r>
          </w:p>
        </w:tc>
      </w:tr>
      <w:tr w:rsidR="00374512" w:rsidRPr="0068681C" w:rsidTr="000044A2">
        <w:trPr>
          <w:trHeight w:val="321"/>
        </w:trPr>
        <w:tc>
          <w:tcPr>
            <w:tcW w:w="1771" w:type="dxa"/>
            <w:shd w:val="clear" w:color="auto" w:fill="auto"/>
            <w:noWrap/>
            <w:vAlign w:val="bottom"/>
            <w:hideMark/>
          </w:tcPr>
          <w:p w:rsidR="00374512" w:rsidRPr="0068681C" w:rsidRDefault="00374512" w:rsidP="008903FD">
            <w:pPr>
              <w:spacing w:after="0" w:line="240" w:lineRule="auto"/>
              <w:rPr>
                <w:rFonts w:ascii="Calibri" w:eastAsia="Times New Roman" w:hAnsi="Calibri" w:cs="Times New Roman"/>
                <w:noProof w:val="0"/>
                <w:color w:val="000000"/>
                <w:sz w:val="20"/>
                <w:szCs w:val="20"/>
                <w:lang w:eastAsia="tr-TR"/>
              </w:rPr>
            </w:pPr>
            <w:r w:rsidRPr="0068681C">
              <w:rPr>
                <w:rFonts w:ascii="Calibri" w:eastAsia="Times New Roman" w:hAnsi="Calibri" w:cs="Times New Roman"/>
                <w:noProof w:val="0"/>
                <w:color w:val="000000"/>
                <w:sz w:val="20"/>
                <w:szCs w:val="20"/>
                <w:lang w:eastAsia="tr-TR"/>
              </w:rPr>
              <w:t xml:space="preserve">55-64 </w:t>
            </w:r>
            <w:r w:rsidR="008903FD" w:rsidRPr="0068681C">
              <w:rPr>
                <w:rFonts w:ascii="Calibri" w:eastAsia="Times New Roman" w:hAnsi="Calibri" w:cs="Times New Roman"/>
                <w:noProof w:val="0"/>
                <w:color w:val="000000"/>
                <w:sz w:val="20"/>
                <w:szCs w:val="20"/>
                <w:lang w:eastAsia="tr-TR"/>
              </w:rPr>
              <w:t>years</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91</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7</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75</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8</w:t>
            </w:r>
          </w:p>
        </w:tc>
        <w:tc>
          <w:tcPr>
            <w:tcW w:w="1212" w:type="dxa"/>
            <w:vAlign w:val="bottom"/>
          </w:tcPr>
          <w:p w:rsidR="00374512" w:rsidRPr="0068681C" w:rsidRDefault="00374512"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7</w:t>
            </w:r>
          </w:p>
        </w:tc>
      </w:tr>
      <w:tr w:rsidR="00374512" w:rsidRPr="0068681C" w:rsidTr="000044A2">
        <w:trPr>
          <w:trHeight w:val="321"/>
        </w:trPr>
        <w:tc>
          <w:tcPr>
            <w:tcW w:w="1771" w:type="dxa"/>
            <w:shd w:val="clear" w:color="auto" w:fill="auto"/>
            <w:noWrap/>
            <w:vAlign w:val="bottom"/>
            <w:hideMark/>
          </w:tcPr>
          <w:p w:rsidR="00374512" w:rsidRPr="0068681C" w:rsidRDefault="00374512" w:rsidP="008903FD">
            <w:pPr>
              <w:spacing w:after="0" w:line="240" w:lineRule="auto"/>
              <w:rPr>
                <w:rFonts w:ascii="Calibri" w:eastAsia="Times New Roman" w:hAnsi="Calibri" w:cs="Times New Roman"/>
                <w:noProof w:val="0"/>
                <w:color w:val="000000"/>
                <w:sz w:val="20"/>
                <w:szCs w:val="20"/>
                <w:lang w:eastAsia="tr-TR"/>
              </w:rPr>
            </w:pPr>
            <w:r w:rsidRPr="0068681C">
              <w:rPr>
                <w:rFonts w:ascii="Calibri" w:eastAsia="Times New Roman" w:hAnsi="Calibri" w:cs="Times New Roman"/>
                <w:noProof w:val="0"/>
                <w:color w:val="000000"/>
                <w:sz w:val="20"/>
                <w:szCs w:val="20"/>
                <w:lang w:eastAsia="tr-TR"/>
              </w:rPr>
              <w:t xml:space="preserve">64 </w:t>
            </w:r>
            <w:r w:rsidR="008903FD" w:rsidRPr="0068681C">
              <w:rPr>
                <w:rFonts w:ascii="Calibri" w:eastAsia="Times New Roman" w:hAnsi="Calibri" w:cs="Times New Roman"/>
                <w:noProof w:val="0"/>
                <w:color w:val="000000"/>
                <w:sz w:val="20"/>
                <w:szCs w:val="20"/>
                <w:lang w:eastAsia="tr-TR"/>
              </w:rPr>
              <w:t>and above years</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8</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0</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2</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6</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0</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2</w:t>
            </w:r>
          </w:p>
        </w:tc>
        <w:tc>
          <w:tcPr>
            <w:tcW w:w="1212" w:type="dxa"/>
            <w:vAlign w:val="bottom"/>
          </w:tcPr>
          <w:p w:rsidR="00374512" w:rsidRPr="0068681C" w:rsidRDefault="005B3D4D"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0</w:t>
            </w:r>
            <w:r w:rsidR="00A504EB" w:rsidRPr="0068681C">
              <w:rPr>
                <w:rFonts w:ascii="Calibri" w:eastAsia="Times New Roman" w:hAnsi="Calibri" w:cs="Times New Roman"/>
                <w:noProof w:val="0"/>
                <w:color w:val="000000"/>
                <w:lang w:eastAsia="tr-TR"/>
              </w:rPr>
              <w:t>.</w:t>
            </w:r>
            <w:r w:rsidR="00374512" w:rsidRPr="0068681C">
              <w:rPr>
                <w:rFonts w:ascii="Calibri" w:eastAsia="Times New Roman" w:hAnsi="Calibri" w:cs="Times New Roman"/>
                <w:noProof w:val="0"/>
                <w:color w:val="000000"/>
                <w:lang w:eastAsia="tr-TR"/>
              </w:rPr>
              <w:t>1</w:t>
            </w:r>
          </w:p>
        </w:tc>
      </w:tr>
      <w:tr w:rsidR="00374512" w:rsidRPr="0068681C" w:rsidTr="000044A2">
        <w:trPr>
          <w:trHeight w:val="321"/>
        </w:trPr>
        <w:tc>
          <w:tcPr>
            <w:tcW w:w="1771" w:type="dxa"/>
            <w:shd w:val="clear" w:color="auto" w:fill="auto"/>
            <w:noWrap/>
            <w:vAlign w:val="bottom"/>
            <w:hideMark/>
          </w:tcPr>
          <w:p w:rsidR="00374512" w:rsidRPr="0068681C" w:rsidRDefault="008903FD" w:rsidP="008903FD">
            <w:pPr>
              <w:spacing w:after="0" w:line="240" w:lineRule="auto"/>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Turkey</w:t>
            </w:r>
          </w:p>
        </w:tc>
        <w:tc>
          <w:tcPr>
            <w:tcW w:w="1775"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5</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484</w:t>
            </w:r>
          </w:p>
        </w:tc>
        <w:tc>
          <w:tcPr>
            <w:tcW w:w="1134" w:type="dxa"/>
            <w:shd w:val="clear" w:color="auto" w:fill="auto"/>
            <w:noWrap/>
            <w:vAlign w:val="bottom"/>
            <w:hideMark/>
          </w:tcPr>
          <w:p w:rsidR="00374512" w:rsidRPr="0068681C" w:rsidRDefault="00374512" w:rsidP="0011795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100</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0</w:t>
            </w:r>
          </w:p>
        </w:tc>
        <w:tc>
          <w:tcPr>
            <w:tcW w:w="993"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091</w:t>
            </w:r>
          </w:p>
        </w:tc>
        <w:tc>
          <w:tcPr>
            <w:tcW w:w="1134" w:type="dxa"/>
            <w:shd w:val="clear" w:color="auto" w:fill="auto"/>
            <w:noWrap/>
            <w:vAlign w:val="bottom"/>
            <w:hideMark/>
          </w:tcPr>
          <w:p w:rsidR="00374512" w:rsidRPr="0068681C" w:rsidRDefault="00374512" w:rsidP="00F27189">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100</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00</w:t>
            </w:r>
          </w:p>
        </w:tc>
        <w:tc>
          <w:tcPr>
            <w:tcW w:w="1212" w:type="dxa"/>
            <w:vAlign w:val="bottom"/>
          </w:tcPr>
          <w:p w:rsidR="00374512" w:rsidRPr="0068681C" w:rsidRDefault="00374512" w:rsidP="003F270D">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100</w:t>
            </w:r>
            <w:r w:rsidR="00A504EB"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0</w:t>
            </w:r>
          </w:p>
        </w:tc>
      </w:tr>
    </w:tbl>
    <w:p w:rsidR="000044A2" w:rsidRPr="0068681C" w:rsidRDefault="000044A2" w:rsidP="000044A2">
      <w:pPr>
        <w:rPr>
          <w:sz w:val="20"/>
          <w:szCs w:val="20"/>
        </w:rPr>
      </w:pPr>
      <w:r w:rsidRPr="0068681C">
        <w:rPr>
          <w:sz w:val="20"/>
          <w:szCs w:val="20"/>
        </w:rPr>
        <w:t xml:space="preserve">Source: HLFS 2013, Betam update for November 2015 </w:t>
      </w:r>
    </w:p>
    <w:p w:rsidR="00F4656B" w:rsidRPr="0068681C" w:rsidRDefault="00E273A9" w:rsidP="00A44DE9">
      <w:r w:rsidRPr="0068681C">
        <w:t>As</w:t>
      </w:r>
      <w:r w:rsidR="00D100EC" w:rsidRPr="0068681C">
        <w:t xml:space="preserve"> seen in Table 2, </w:t>
      </w:r>
      <w:r w:rsidR="004E104A" w:rsidRPr="0068681C">
        <w:t xml:space="preserve">the share of the age group of 15-24 years in the employees earning 1300TL and higher is bounded at 7.5 percent while its share in those earning lower than 1300TL reaches to 22.1 percent. </w:t>
      </w:r>
    </w:p>
    <w:p w:rsidR="006E6E95" w:rsidRPr="0068681C" w:rsidRDefault="00902EC8" w:rsidP="0023217A">
      <w:r w:rsidRPr="0068681C">
        <w:t xml:space="preserve">Figure 1 </w:t>
      </w:r>
      <w:r w:rsidR="00833705" w:rsidRPr="0068681C">
        <w:t xml:space="preserve">expresses </w:t>
      </w:r>
      <w:r w:rsidR="00002F1D" w:rsidRPr="0068681C">
        <w:t xml:space="preserve">age distribution of </w:t>
      </w:r>
      <w:r w:rsidR="000E1381" w:rsidRPr="0068681C">
        <w:t>formal</w:t>
      </w:r>
      <w:r w:rsidR="007F274B" w:rsidRPr="0068681C">
        <w:t xml:space="preserve"> and full-time </w:t>
      </w:r>
      <w:r w:rsidR="000E1381" w:rsidRPr="0068681C">
        <w:t xml:space="preserve">employees earning lower than 1300TL </w:t>
      </w:r>
      <w:r w:rsidR="007F274B" w:rsidRPr="0068681C">
        <w:t xml:space="preserve">in the private sector as wage-earners or casual </w:t>
      </w:r>
      <w:r w:rsidR="00785349" w:rsidRPr="0068681C">
        <w:t>workers</w:t>
      </w:r>
      <w:r w:rsidR="007F274B" w:rsidRPr="0068681C">
        <w:t xml:space="preserve">. The figure </w:t>
      </w:r>
      <w:r w:rsidR="0032388E" w:rsidRPr="0068681C">
        <w:t>presents</w:t>
      </w:r>
      <w:r w:rsidR="007F274B" w:rsidRPr="0068681C">
        <w:t xml:space="preserve"> that </w:t>
      </w:r>
      <w:r w:rsidR="00494291" w:rsidRPr="0068681C">
        <w:t xml:space="preserve">the share of the age group of 15-24 years </w:t>
      </w:r>
      <w:r w:rsidR="0023217A" w:rsidRPr="0068681C">
        <w:t xml:space="preserve">is the highest among those earns lower than 1300TL. </w:t>
      </w:r>
    </w:p>
    <w:p w:rsidR="001D1443" w:rsidRPr="0068681C" w:rsidRDefault="0023217A" w:rsidP="001D1443">
      <w:r w:rsidRPr="0068681C">
        <w:t xml:space="preserve">In other words, </w:t>
      </w:r>
      <w:r w:rsidR="001D1443" w:rsidRPr="0068681C">
        <w:t xml:space="preserve">79.8 percent of those in the ages from 15 to 24 years work for a earning lower than 1300TL. Hence, it is expected that </w:t>
      </w:r>
      <w:r w:rsidR="00492EB4" w:rsidRPr="0068681C">
        <w:t xml:space="preserve">minimum wage </w:t>
      </w:r>
      <w:r w:rsidR="006D06D0">
        <w:t>increase</w:t>
      </w:r>
      <w:r w:rsidR="00492EB4" w:rsidRPr="0068681C">
        <w:t xml:space="preserve"> </w:t>
      </w:r>
      <w:r w:rsidR="00F14FDC" w:rsidRPr="0068681C">
        <w:t xml:space="preserve">will </w:t>
      </w:r>
      <w:r w:rsidR="009D31FD" w:rsidRPr="0068681C">
        <w:t xml:space="preserve">be more likely to </w:t>
      </w:r>
      <w:r w:rsidR="00F14FDC" w:rsidRPr="0068681C">
        <w:t xml:space="preserve">affect </w:t>
      </w:r>
      <w:r w:rsidR="008D76CB" w:rsidRPr="0068681C">
        <w:t xml:space="preserve">to those </w:t>
      </w:r>
      <w:r w:rsidR="00802EEA" w:rsidRPr="0068681C">
        <w:t>having</w:t>
      </w:r>
      <w:r w:rsidR="008D76CB" w:rsidRPr="0068681C">
        <w:t xml:space="preserve"> lower experience in the</w:t>
      </w:r>
      <w:r w:rsidR="00834026" w:rsidRPr="0068681C">
        <w:t xml:space="preserve"> labor market or those who will enter to the labor market for the first time. </w:t>
      </w:r>
    </w:p>
    <w:p w:rsidR="0032369F" w:rsidRPr="0068681C" w:rsidRDefault="0032369F" w:rsidP="00CB6CB4">
      <w:pPr>
        <w:pStyle w:val="ResimYazs"/>
        <w:keepNext/>
        <w:rPr>
          <w:color w:val="auto"/>
          <w:sz w:val="22"/>
          <w:szCs w:val="22"/>
        </w:rPr>
      </w:pPr>
      <w:bookmarkStart w:id="3" w:name="_Ref442733683"/>
      <w:bookmarkStart w:id="4" w:name="_Ref442733670"/>
      <w:r w:rsidRPr="0068681C">
        <w:rPr>
          <w:color w:val="auto"/>
          <w:sz w:val="22"/>
          <w:szCs w:val="22"/>
        </w:rPr>
        <w:t>Figure</w:t>
      </w:r>
      <w:r w:rsidR="00CB6CB4" w:rsidRPr="0068681C">
        <w:rPr>
          <w:color w:val="auto"/>
          <w:sz w:val="22"/>
          <w:szCs w:val="22"/>
        </w:rPr>
        <w:t xml:space="preserve"> </w:t>
      </w:r>
      <w:r w:rsidR="00C3763F" w:rsidRPr="0068681C">
        <w:rPr>
          <w:color w:val="auto"/>
          <w:sz w:val="22"/>
          <w:szCs w:val="22"/>
        </w:rPr>
        <w:fldChar w:fldCharType="begin"/>
      </w:r>
      <w:r w:rsidR="00CB6CB4" w:rsidRPr="0068681C">
        <w:rPr>
          <w:color w:val="auto"/>
          <w:sz w:val="22"/>
          <w:szCs w:val="22"/>
        </w:rPr>
        <w:instrText xml:space="preserve"> SEQ Şekil \* ARABIC </w:instrText>
      </w:r>
      <w:r w:rsidR="00C3763F" w:rsidRPr="0068681C">
        <w:rPr>
          <w:color w:val="auto"/>
          <w:sz w:val="22"/>
          <w:szCs w:val="22"/>
        </w:rPr>
        <w:fldChar w:fldCharType="separate"/>
      </w:r>
      <w:r w:rsidR="005551C6" w:rsidRPr="0068681C">
        <w:rPr>
          <w:color w:val="auto"/>
          <w:sz w:val="22"/>
          <w:szCs w:val="22"/>
        </w:rPr>
        <w:t>1</w:t>
      </w:r>
      <w:r w:rsidR="00C3763F" w:rsidRPr="0068681C">
        <w:rPr>
          <w:color w:val="auto"/>
          <w:sz w:val="22"/>
          <w:szCs w:val="22"/>
        </w:rPr>
        <w:fldChar w:fldCharType="end"/>
      </w:r>
      <w:bookmarkEnd w:id="3"/>
      <w:r w:rsidR="00CB6CB4" w:rsidRPr="0068681C">
        <w:rPr>
          <w:color w:val="auto"/>
          <w:sz w:val="22"/>
          <w:szCs w:val="22"/>
        </w:rPr>
        <w:t xml:space="preserve"> </w:t>
      </w:r>
      <w:r w:rsidRPr="0068681C">
        <w:rPr>
          <w:color w:val="auto"/>
          <w:sz w:val="22"/>
          <w:szCs w:val="22"/>
        </w:rPr>
        <w:t>The share of age groups earning less than 1300TL (%)</w:t>
      </w:r>
    </w:p>
    <w:bookmarkEnd w:id="4"/>
    <w:p w:rsidR="00174354" w:rsidRPr="0068681C" w:rsidRDefault="006E1C30" w:rsidP="00174354">
      <w:pPr>
        <w:rPr>
          <w:sz w:val="20"/>
          <w:szCs w:val="20"/>
        </w:rPr>
      </w:pPr>
      <w:r w:rsidRPr="0068681C">
        <w:drawing>
          <wp:inline distT="0" distB="0" distL="0" distR="0" wp14:anchorId="22AF1E04" wp14:editId="3DAAC49E">
            <wp:extent cx="5759450" cy="2648309"/>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E79DB" w:rsidRPr="0068681C">
        <w:rPr>
          <w:sz w:val="20"/>
          <w:szCs w:val="20"/>
        </w:rPr>
        <w:t xml:space="preserve">Source: HLFS 2013, Betam update for November 2015 </w:t>
      </w:r>
    </w:p>
    <w:p w:rsidR="0090734C" w:rsidRPr="0068681C" w:rsidRDefault="00785349" w:rsidP="003E5925">
      <w:r w:rsidRPr="0068681C">
        <w:t xml:space="preserve">Recall that, in Turkey, 57.3 percent of </w:t>
      </w:r>
      <w:r w:rsidR="00DB438D" w:rsidRPr="0068681C">
        <w:t xml:space="preserve">formal and full-time employees </w:t>
      </w:r>
      <w:r w:rsidRPr="0068681C">
        <w:t>working in the privare sector as wage earners or casual workers</w:t>
      </w:r>
      <w:r w:rsidR="003E5925" w:rsidRPr="0068681C">
        <w:t xml:space="preserve"> monthly earns lower than 1300TL. </w:t>
      </w:r>
      <w:r w:rsidR="00E35C95" w:rsidRPr="0068681C">
        <w:t xml:space="preserve">Hence, their shares in the age groups of 44-54 years and 64 years and higher </w:t>
      </w:r>
      <w:r w:rsidR="00827FEF" w:rsidRPr="0068681C">
        <w:t xml:space="preserve">converge </w:t>
      </w:r>
      <w:r w:rsidR="00D95FD0" w:rsidRPr="0068681C">
        <w:t xml:space="preserve">to </w:t>
      </w:r>
      <w:r w:rsidR="00827FEF" w:rsidRPr="0068681C">
        <w:t>its</w:t>
      </w:r>
      <w:r w:rsidR="00D95FD0" w:rsidRPr="0068681C">
        <w:t xml:space="preserve"> average </w:t>
      </w:r>
      <w:r w:rsidR="00827FEF" w:rsidRPr="0068681C">
        <w:t xml:space="preserve">at </w:t>
      </w:r>
      <w:r w:rsidR="009343C6" w:rsidRPr="0068681C">
        <w:t xml:space="preserve">the </w:t>
      </w:r>
      <w:r w:rsidR="00827FEF" w:rsidRPr="0068681C">
        <w:t>country level.</w:t>
      </w:r>
      <w:r w:rsidR="004A50E6" w:rsidRPr="0068681C">
        <w:t xml:space="preserve"> </w:t>
      </w:r>
      <w:r w:rsidR="00B918A5" w:rsidRPr="0068681C">
        <w:t xml:space="preserve">The least likely group which will be affected by the minimum wage </w:t>
      </w:r>
      <w:r w:rsidR="006D06D0">
        <w:t>increase</w:t>
      </w:r>
      <w:r w:rsidR="00B918A5" w:rsidRPr="0068681C">
        <w:t xml:space="preserve"> is the age group of 35-44 years </w:t>
      </w:r>
      <w:r w:rsidR="00F67D3A" w:rsidRPr="0068681C">
        <w:t xml:space="preserve">whom </w:t>
      </w:r>
      <w:r w:rsidR="00B918A5" w:rsidRPr="0068681C">
        <w:t xml:space="preserve">share of earning less than 1300TL in this age group </w:t>
      </w:r>
      <w:r w:rsidR="00F67D3A" w:rsidRPr="0068681C">
        <w:t>is 51 percent.</w:t>
      </w:r>
    </w:p>
    <w:p w:rsidR="00144382" w:rsidRPr="0068681C" w:rsidRDefault="00144382" w:rsidP="00144382">
      <w:pPr>
        <w:pStyle w:val="ResimYazs"/>
        <w:keepNext/>
      </w:pPr>
      <w:bookmarkStart w:id="5" w:name="_Ref443040554"/>
      <w:r w:rsidRPr="0068681C">
        <w:rPr>
          <w:color w:val="auto"/>
          <w:sz w:val="22"/>
          <w:szCs w:val="22"/>
        </w:rPr>
        <w:t>Tabl</w:t>
      </w:r>
      <w:r w:rsidR="002C51D0" w:rsidRPr="0068681C">
        <w:rPr>
          <w:color w:val="auto"/>
          <w:sz w:val="22"/>
          <w:szCs w:val="22"/>
        </w:rPr>
        <w:t>e</w:t>
      </w:r>
      <w:r w:rsidRPr="0068681C">
        <w:rPr>
          <w:color w:val="auto"/>
          <w:sz w:val="22"/>
          <w:szCs w:val="22"/>
        </w:rPr>
        <w:t xml:space="preserve"> </w:t>
      </w:r>
      <w:r w:rsidR="00C3763F" w:rsidRPr="0068681C">
        <w:rPr>
          <w:color w:val="auto"/>
          <w:sz w:val="22"/>
          <w:szCs w:val="22"/>
        </w:rPr>
        <w:fldChar w:fldCharType="begin"/>
      </w:r>
      <w:r w:rsidRPr="0068681C">
        <w:rPr>
          <w:color w:val="auto"/>
          <w:sz w:val="22"/>
          <w:szCs w:val="22"/>
        </w:rPr>
        <w:instrText xml:space="preserve"> SEQ Tablo \* ARABIC </w:instrText>
      </w:r>
      <w:r w:rsidR="00C3763F" w:rsidRPr="0068681C">
        <w:rPr>
          <w:color w:val="auto"/>
          <w:sz w:val="22"/>
          <w:szCs w:val="22"/>
        </w:rPr>
        <w:fldChar w:fldCharType="separate"/>
      </w:r>
      <w:r w:rsidR="005551C6" w:rsidRPr="0068681C">
        <w:rPr>
          <w:color w:val="auto"/>
          <w:sz w:val="22"/>
          <w:szCs w:val="22"/>
        </w:rPr>
        <w:t>3</w:t>
      </w:r>
      <w:r w:rsidR="00C3763F" w:rsidRPr="0068681C">
        <w:rPr>
          <w:color w:val="auto"/>
          <w:sz w:val="22"/>
          <w:szCs w:val="22"/>
        </w:rPr>
        <w:fldChar w:fldCharType="end"/>
      </w:r>
      <w:bookmarkEnd w:id="5"/>
      <w:r w:rsidRPr="0068681C">
        <w:rPr>
          <w:color w:val="auto"/>
          <w:sz w:val="22"/>
          <w:szCs w:val="22"/>
        </w:rPr>
        <w:t xml:space="preserve"> </w:t>
      </w:r>
      <w:r w:rsidR="00586BEB" w:rsidRPr="0068681C">
        <w:rPr>
          <w:color w:val="auto"/>
          <w:sz w:val="22"/>
          <w:szCs w:val="22"/>
        </w:rPr>
        <w:t xml:space="preserve">The effects of minimum wage </w:t>
      </w:r>
      <w:r w:rsidR="006D06D0">
        <w:rPr>
          <w:color w:val="auto"/>
          <w:sz w:val="22"/>
          <w:szCs w:val="22"/>
        </w:rPr>
        <w:t>increase</w:t>
      </w:r>
      <w:r w:rsidR="00586BEB" w:rsidRPr="0068681C">
        <w:rPr>
          <w:color w:val="auto"/>
          <w:sz w:val="22"/>
          <w:szCs w:val="22"/>
        </w:rPr>
        <w:t xml:space="preserve"> </w:t>
      </w:r>
      <w:r w:rsidR="00E82EAF" w:rsidRPr="0068681C">
        <w:rPr>
          <w:color w:val="auto"/>
          <w:sz w:val="22"/>
          <w:szCs w:val="22"/>
        </w:rPr>
        <w:t xml:space="preserve">to the wages </w:t>
      </w:r>
      <w:r w:rsidR="00586BEB" w:rsidRPr="0068681C">
        <w:rPr>
          <w:color w:val="auto"/>
          <w:sz w:val="22"/>
          <w:szCs w:val="22"/>
        </w:rPr>
        <w:t>by age group</w:t>
      </w:r>
    </w:p>
    <w:tbl>
      <w:tblPr>
        <w:tblW w:w="8886" w:type="dxa"/>
        <w:tblInd w:w="21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695"/>
        <w:gridCol w:w="1258"/>
        <w:gridCol w:w="2321"/>
        <w:gridCol w:w="1995"/>
        <w:gridCol w:w="1617"/>
      </w:tblGrid>
      <w:tr w:rsidR="00AB41D2" w:rsidRPr="0068681C" w:rsidTr="007226DD">
        <w:trPr>
          <w:trHeight w:val="568"/>
        </w:trPr>
        <w:tc>
          <w:tcPr>
            <w:tcW w:w="1695" w:type="dxa"/>
            <w:shd w:val="clear" w:color="auto" w:fill="auto"/>
            <w:noWrap/>
            <w:vAlign w:val="bottom"/>
            <w:hideMark/>
          </w:tcPr>
          <w:p w:rsidR="00AB41D2" w:rsidRPr="0068681C" w:rsidRDefault="00AB41D2" w:rsidP="007226DD">
            <w:pPr>
              <w:spacing w:after="0" w:line="240" w:lineRule="auto"/>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 </w:t>
            </w:r>
          </w:p>
        </w:tc>
        <w:tc>
          <w:tcPr>
            <w:tcW w:w="0" w:type="auto"/>
            <w:shd w:val="clear" w:color="auto" w:fill="auto"/>
            <w:vAlign w:val="bottom"/>
            <w:hideMark/>
          </w:tcPr>
          <w:p w:rsidR="00AB41D2" w:rsidRPr="0068681C" w:rsidRDefault="00AB41D2" w:rsidP="00AB41D2">
            <w:pPr>
              <w:spacing w:after="0" w:line="240" w:lineRule="auto"/>
              <w:jc w:val="right"/>
              <w:rPr>
                <w:rFonts w:ascii="Calibri" w:eastAsia="Times New Roman" w:hAnsi="Calibri" w:cs="Times New Roman"/>
                <w:b/>
                <w:bCs/>
                <w:noProof w:val="0"/>
                <w:color w:val="000000"/>
                <w:lang w:eastAsia="tr-TR"/>
              </w:rPr>
            </w:pPr>
            <w:r w:rsidRPr="0068681C">
              <w:rPr>
                <w:b/>
              </w:rPr>
              <w:t>Mean of wage(TL)</w:t>
            </w:r>
            <w:r w:rsidRPr="0068681C">
              <w:rPr>
                <w:rFonts w:ascii="Calibri" w:eastAsia="Times New Roman" w:hAnsi="Calibri" w:cs="Times New Roman"/>
                <w:b/>
                <w:bCs/>
                <w:noProof w:val="0"/>
                <w:color w:val="000000"/>
                <w:lang w:eastAsia="tr-TR"/>
              </w:rPr>
              <w:t xml:space="preserve"> </w:t>
            </w:r>
          </w:p>
        </w:tc>
        <w:tc>
          <w:tcPr>
            <w:tcW w:w="0" w:type="auto"/>
            <w:shd w:val="clear" w:color="auto" w:fill="auto"/>
            <w:vAlign w:val="bottom"/>
            <w:hideMark/>
          </w:tcPr>
          <w:p w:rsidR="00AB41D2" w:rsidRPr="0068681C" w:rsidRDefault="00AB41D2" w:rsidP="00AB41D2">
            <w:pPr>
              <w:jc w:val="right"/>
              <w:rPr>
                <w:b/>
              </w:rPr>
            </w:pPr>
            <w:r w:rsidRPr="0068681C">
              <w:rPr>
                <w:b/>
              </w:rPr>
              <w:t xml:space="preserve">Estimated mean wage by 1300TL minimum </w:t>
            </w:r>
            <w:r w:rsidRPr="0068681C">
              <w:rPr>
                <w:b/>
              </w:rPr>
              <w:lastRenderedPageBreak/>
              <w:t xml:space="preserve">wage </w:t>
            </w:r>
          </w:p>
          <w:p w:rsidR="00AB41D2" w:rsidRPr="0068681C" w:rsidRDefault="00AB41D2" w:rsidP="00AB41D2">
            <w:pPr>
              <w:jc w:val="right"/>
              <w:rPr>
                <w:b/>
              </w:rPr>
            </w:pPr>
            <w:r w:rsidRPr="0068681C">
              <w:rPr>
                <w:b/>
              </w:rPr>
              <w:t xml:space="preserve"> (TL)</w:t>
            </w:r>
          </w:p>
        </w:tc>
        <w:tc>
          <w:tcPr>
            <w:tcW w:w="0" w:type="auto"/>
            <w:shd w:val="clear" w:color="auto" w:fill="auto"/>
            <w:vAlign w:val="bottom"/>
            <w:hideMark/>
          </w:tcPr>
          <w:p w:rsidR="00AB41D2" w:rsidRPr="0068681C" w:rsidRDefault="00AB41D2" w:rsidP="00AB41D2">
            <w:pPr>
              <w:jc w:val="right"/>
              <w:rPr>
                <w:b/>
              </w:rPr>
            </w:pPr>
            <w:r w:rsidRPr="0068681C">
              <w:rPr>
                <w:b/>
              </w:rPr>
              <w:lastRenderedPageBreak/>
              <w:t xml:space="preserve">Amount of increase in mean of wages </w:t>
            </w:r>
            <w:r w:rsidRPr="0068681C">
              <w:rPr>
                <w:b/>
              </w:rPr>
              <w:lastRenderedPageBreak/>
              <w:t>(TL)</w:t>
            </w:r>
          </w:p>
        </w:tc>
        <w:tc>
          <w:tcPr>
            <w:tcW w:w="1617" w:type="dxa"/>
            <w:shd w:val="clear" w:color="auto" w:fill="auto"/>
            <w:vAlign w:val="bottom"/>
            <w:hideMark/>
          </w:tcPr>
          <w:p w:rsidR="00AB41D2" w:rsidRPr="0068681C" w:rsidRDefault="00AB41D2" w:rsidP="00AB41D2">
            <w:pPr>
              <w:jc w:val="right"/>
              <w:rPr>
                <w:b/>
              </w:rPr>
            </w:pPr>
            <w:r w:rsidRPr="0068681C">
              <w:rPr>
                <w:b/>
              </w:rPr>
              <w:lastRenderedPageBreak/>
              <w:t xml:space="preserve">Increase in mean of wages </w:t>
            </w:r>
            <w:r w:rsidRPr="0068681C">
              <w:rPr>
                <w:b/>
              </w:rPr>
              <w:lastRenderedPageBreak/>
              <w:t xml:space="preserve">(%) </w:t>
            </w:r>
          </w:p>
        </w:tc>
      </w:tr>
      <w:tr w:rsidR="002C51D0" w:rsidRPr="0068681C" w:rsidTr="007226DD">
        <w:trPr>
          <w:trHeight w:val="18"/>
        </w:trPr>
        <w:tc>
          <w:tcPr>
            <w:tcW w:w="1695" w:type="dxa"/>
            <w:shd w:val="clear" w:color="auto" w:fill="auto"/>
            <w:noWrap/>
            <w:vAlign w:val="center"/>
            <w:hideMark/>
          </w:tcPr>
          <w:p w:rsidR="00FA57E7" w:rsidRPr="0068681C" w:rsidRDefault="00FA57E7" w:rsidP="007226DD">
            <w:pPr>
              <w:rPr>
                <w:rFonts w:ascii="Calibri" w:hAnsi="Calibri"/>
                <w:b/>
                <w:bCs/>
                <w:noProof w:val="0"/>
                <w:color w:val="000000"/>
              </w:rPr>
            </w:pPr>
            <w:r w:rsidRPr="0068681C">
              <w:rPr>
                <w:rFonts w:ascii="Calibri" w:hAnsi="Calibri"/>
                <w:b/>
                <w:bCs/>
                <w:color w:val="000000"/>
              </w:rPr>
              <w:lastRenderedPageBreak/>
              <w:t xml:space="preserve">15-24 years </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1,146</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1,396</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251</w:t>
            </w:r>
          </w:p>
        </w:tc>
        <w:tc>
          <w:tcPr>
            <w:tcW w:w="1617" w:type="dxa"/>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21.9</w:t>
            </w:r>
          </w:p>
        </w:tc>
      </w:tr>
      <w:tr w:rsidR="002C51D0" w:rsidRPr="0068681C" w:rsidTr="007226DD">
        <w:trPr>
          <w:trHeight w:val="18"/>
        </w:trPr>
        <w:tc>
          <w:tcPr>
            <w:tcW w:w="1695" w:type="dxa"/>
            <w:shd w:val="clear" w:color="auto" w:fill="auto"/>
            <w:noWrap/>
            <w:vAlign w:val="center"/>
            <w:hideMark/>
          </w:tcPr>
          <w:p w:rsidR="00FA57E7" w:rsidRPr="0068681C" w:rsidRDefault="00FA57E7" w:rsidP="007226DD">
            <w:pPr>
              <w:rPr>
                <w:rFonts w:ascii="Calibri" w:hAnsi="Calibri"/>
                <w:b/>
                <w:bCs/>
                <w:color w:val="000000"/>
              </w:rPr>
            </w:pPr>
            <w:r w:rsidRPr="0068681C">
              <w:rPr>
                <w:rFonts w:ascii="Calibri" w:hAnsi="Calibri"/>
                <w:b/>
                <w:bCs/>
                <w:color w:val="000000"/>
              </w:rPr>
              <w:t>25-34 years</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1,568</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1,700</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132</w:t>
            </w:r>
          </w:p>
        </w:tc>
        <w:tc>
          <w:tcPr>
            <w:tcW w:w="1617" w:type="dxa"/>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8.4</w:t>
            </w:r>
          </w:p>
        </w:tc>
      </w:tr>
      <w:tr w:rsidR="002C51D0" w:rsidRPr="0068681C" w:rsidTr="007226DD">
        <w:trPr>
          <w:trHeight w:val="18"/>
        </w:trPr>
        <w:tc>
          <w:tcPr>
            <w:tcW w:w="1695" w:type="dxa"/>
            <w:shd w:val="clear" w:color="auto" w:fill="auto"/>
            <w:noWrap/>
            <w:vAlign w:val="center"/>
            <w:hideMark/>
          </w:tcPr>
          <w:p w:rsidR="00FA57E7" w:rsidRPr="0068681C" w:rsidRDefault="00FA57E7" w:rsidP="007226DD">
            <w:pPr>
              <w:rPr>
                <w:rFonts w:ascii="Calibri" w:hAnsi="Calibri"/>
                <w:b/>
                <w:bCs/>
                <w:color w:val="000000"/>
              </w:rPr>
            </w:pPr>
            <w:r w:rsidRPr="0068681C">
              <w:rPr>
                <w:rFonts w:ascii="Calibri" w:hAnsi="Calibri"/>
                <w:b/>
                <w:bCs/>
                <w:color w:val="000000"/>
              </w:rPr>
              <w:t>35-44 years</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1,783</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1,912</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129</w:t>
            </w:r>
          </w:p>
        </w:tc>
        <w:tc>
          <w:tcPr>
            <w:tcW w:w="1617" w:type="dxa"/>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7.2</w:t>
            </w:r>
          </w:p>
        </w:tc>
      </w:tr>
      <w:tr w:rsidR="002C51D0" w:rsidRPr="0068681C" w:rsidTr="007226DD">
        <w:trPr>
          <w:trHeight w:val="18"/>
        </w:trPr>
        <w:tc>
          <w:tcPr>
            <w:tcW w:w="1695" w:type="dxa"/>
            <w:shd w:val="clear" w:color="auto" w:fill="auto"/>
            <w:noWrap/>
            <w:vAlign w:val="center"/>
            <w:hideMark/>
          </w:tcPr>
          <w:p w:rsidR="00FA57E7" w:rsidRPr="0068681C" w:rsidRDefault="00FA57E7" w:rsidP="007226DD">
            <w:pPr>
              <w:rPr>
                <w:rFonts w:ascii="Calibri" w:hAnsi="Calibri"/>
                <w:b/>
                <w:bCs/>
                <w:color w:val="000000"/>
              </w:rPr>
            </w:pPr>
            <w:r w:rsidRPr="0068681C">
              <w:rPr>
                <w:rFonts w:ascii="Calibri" w:hAnsi="Calibri"/>
                <w:b/>
                <w:bCs/>
                <w:color w:val="000000"/>
              </w:rPr>
              <w:t>45-54 years</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1,759</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1,914</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155</w:t>
            </w:r>
          </w:p>
        </w:tc>
        <w:tc>
          <w:tcPr>
            <w:tcW w:w="1617" w:type="dxa"/>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8.8</w:t>
            </w:r>
          </w:p>
        </w:tc>
      </w:tr>
      <w:tr w:rsidR="002C51D0" w:rsidRPr="0068681C" w:rsidTr="007226DD">
        <w:trPr>
          <w:trHeight w:val="18"/>
        </w:trPr>
        <w:tc>
          <w:tcPr>
            <w:tcW w:w="1695" w:type="dxa"/>
            <w:shd w:val="clear" w:color="auto" w:fill="auto"/>
            <w:noWrap/>
            <w:vAlign w:val="center"/>
            <w:hideMark/>
          </w:tcPr>
          <w:p w:rsidR="00FA57E7" w:rsidRPr="0068681C" w:rsidRDefault="00FA57E7" w:rsidP="007226DD">
            <w:pPr>
              <w:rPr>
                <w:rFonts w:ascii="Calibri" w:hAnsi="Calibri"/>
                <w:b/>
                <w:bCs/>
                <w:color w:val="000000"/>
              </w:rPr>
            </w:pPr>
            <w:r w:rsidRPr="0068681C">
              <w:rPr>
                <w:rFonts w:ascii="Calibri" w:hAnsi="Calibri"/>
                <w:b/>
                <w:bCs/>
                <w:color w:val="000000"/>
              </w:rPr>
              <w:t>55-64 years</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2,081</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2,240</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159</w:t>
            </w:r>
          </w:p>
        </w:tc>
        <w:tc>
          <w:tcPr>
            <w:tcW w:w="1617" w:type="dxa"/>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7.6</w:t>
            </w:r>
          </w:p>
        </w:tc>
      </w:tr>
      <w:tr w:rsidR="002C51D0" w:rsidRPr="0068681C" w:rsidTr="007226DD">
        <w:trPr>
          <w:trHeight w:val="18"/>
        </w:trPr>
        <w:tc>
          <w:tcPr>
            <w:tcW w:w="1695" w:type="dxa"/>
            <w:shd w:val="clear" w:color="auto" w:fill="auto"/>
            <w:noWrap/>
            <w:vAlign w:val="center"/>
            <w:hideMark/>
          </w:tcPr>
          <w:p w:rsidR="00FA57E7" w:rsidRPr="0068681C" w:rsidRDefault="00FA57E7" w:rsidP="007226DD">
            <w:pPr>
              <w:rPr>
                <w:rFonts w:ascii="Calibri" w:hAnsi="Calibri"/>
                <w:b/>
                <w:bCs/>
                <w:color w:val="000000"/>
              </w:rPr>
            </w:pPr>
            <w:r w:rsidRPr="0068681C">
              <w:rPr>
                <w:rFonts w:ascii="Calibri" w:hAnsi="Calibri"/>
                <w:b/>
                <w:bCs/>
                <w:color w:val="000000"/>
              </w:rPr>
              <w:t>64 and above years</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2,638</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2,835</w:t>
            </w:r>
          </w:p>
        </w:tc>
        <w:tc>
          <w:tcPr>
            <w:tcW w:w="0" w:type="auto"/>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198</w:t>
            </w:r>
          </w:p>
        </w:tc>
        <w:tc>
          <w:tcPr>
            <w:tcW w:w="1617" w:type="dxa"/>
            <w:shd w:val="clear" w:color="auto" w:fill="auto"/>
            <w:noWrap/>
            <w:vAlign w:val="center"/>
            <w:hideMark/>
          </w:tcPr>
          <w:p w:rsidR="00FA57E7" w:rsidRPr="0068681C" w:rsidRDefault="00FA57E7" w:rsidP="002C51D0">
            <w:pPr>
              <w:jc w:val="right"/>
              <w:rPr>
                <w:rFonts w:ascii="Calibri" w:hAnsi="Calibri"/>
                <w:color w:val="000000"/>
              </w:rPr>
            </w:pPr>
            <w:r w:rsidRPr="0068681C">
              <w:rPr>
                <w:rFonts w:ascii="Calibri" w:hAnsi="Calibri"/>
                <w:color w:val="000000"/>
              </w:rPr>
              <w:t>7.5</w:t>
            </w:r>
          </w:p>
        </w:tc>
      </w:tr>
      <w:tr w:rsidR="002C51D0" w:rsidRPr="0068681C" w:rsidTr="007226DD">
        <w:trPr>
          <w:trHeight w:val="336"/>
        </w:trPr>
        <w:tc>
          <w:tcPr>
            <w:tcW w:w="1695" w:type="dxa"/>
            <w:shd w:val="clear" w:color="auto" w:fill="auto"/>
            <w:noWrap/>
            <w:vAlign w:val="center"/>
          </w:tcPr>
          <w:p w:rsidR="00FA57E7" w:rsidRPr="0068681C" w:rsidRDefault="00FA57E7" w:rsidP="007226DD">
            <w:pPr>
              <w:rPr>
                <w:rFonts w:ascii="Calibri" w:hAnsi="Calibri"/>
                <w:b/>
                <w:bCs/>
                <w:i/>
                <w:iCs/>
                <w:color w:val="000000"/>
              </w:rPr>
            </w:pPr>
            <w:r w:rsidRPr="0068681C">
              <w:rPr>
                <w:rFonts w:ascii="Calibri" w:hAnsi="Calibri"/>
                <w:b/>
                <w:bCs/>
                <w:i/>
                <w:iCs/>
                <w:color w:val="000000"/>
              </w:rPr>
              <w:t>Turkey</w:t>
            </w:r>
          </w:p>
        </w:tc>
        <w:tc>
          <w:tcPr>
            <w:tcW w:w="0" w:type="auto"/>
            <w:shd w:val="clear" w:color="auto" w:fill="auto"/>
            <w:noWrap/>
            <w:vAlign w:val="center"/>
          </w:tcPr>
          <w:p w:rsidR="00FA57E7" w:rsidRPr="0068681C" w:rsidRDefault="00FA57E7" w:rsidP="002C51D0">
            <w:pPr>
              <w:jc w:val="right"/>
              <w:rPr>
                <w:rFonts w:ascii="Calibri" w:hAnsi="Calibri"/>
                <w:color w:val="000000"/>
              </w:rPr>
            </w:pPr>
            <w:r w:rsidRPr="0068681C">
              <w:rPr>
                <w:rFonts w:ascii="Calibri" w:hAnsi="Calibri"/>
                <w:color w:val="000000"/>
              </w:rPr>
              <w:t>1,595</w:t>
            </w:r>
          </w:p>
        </w:tc>
        <w:tc>
          <w:tcPr>
            <w:tcW w:w="0" w:type="auto"/>
            <w:shd w:val="clear" w:color="auto" w:fill="auto"/>
            <w:noWrap/>
            <w:vAlign w:val="center"/>
          </w:tcPr>
          <w:p w:rsidR="00FA57E7" w:rsidRPr="0068681C" w:rsidRDefault="00FA57E7" w:rsidP="002C51D0">
            <w:pPr>
              <w:jc w:val="right"/>
              <w:rPr>
                <w:rFonts w:ascii="Calibri" w:hAnsi="Calibri"/>
                <w:color w:val="000000"/>
              </w:rPr>
            </w:pPr>
            <w:r w:rsidRPr="0068681C">
              <w:rPr>
                <w:rFonts w:ascii="Calibri" w:hAnsi="Calibri"/>
                <w:color w:val="000000"/>
              </w:rPr>
              <w:t>1,749</w:t>
            </w:r>
          </w:p>
        </w:tc>
        <w:tc>
          <w:tcPr>
            <w:tcW w:w="0" w:type="auto"/>
            <w:shd w:val="clear" w:color="auto" w:fill="auto"/>
            <w:noWrap/>
            <w:vAlign w:val="center"/>
          </w:tcPr>
          <w:p w:rsidR="00FA57E7" w:rsidRPr="0068681C" w:rsidRDefault="00FA57E7" w:rsidP="002C51D0">
            <w:pPr>
              <w:jc w:val="right"/>
              <w:rPr>
                <w:rFonts w:ascii="Calibri" w:hAnsi="Calibri"/>
                <w:color w:val="000000"/>
              </w:rPr>
            </w:pPr>
            <w:r w:rsidRPr="0068681C">
              <w:rPr>
                <w:rFonts w:ascii="Calibri" w:hAnsi="Calibri"/>
                <w:color w:val="000000"/>
              </w:rPr>
              <w:t>154</w:t>
            </w:r>
          </w:p>
        </w:tc>
        <w:tc>
          <w:tcPr>
            <w:tcW w:w="1617" w:type="dxa"/>
            <w:shd w:val="clear" w:color="auto" w:fill="auto"/>
            <w:noWrap/>
            <w:vAlign w:val="center"/>
          </w:tcPr>
          <w:p w:rsidR="00FA57E7" w:rsidRPr="0068681C" w:rsidRDefault="00FA57E7" w:rsidP="002C51D0">
            <w:pPr>
              <w:jc w:val="right"/>
              <w:rPr>
                <w:rFonts w:ascii="Calibri" w:hAnsi="Calibri"/>
                <w:color w:val="000000"/>
              </w:rPr>
            </w:pPr>
            <w:r w:rsidRPr="0068681C">
              <w:rPr>
                <w:rFonts w:ascii="Calibri" w:hAnsi="Calibri"/>
                <w:color w:val="000000"/>
              </w:rPr>
              <w:t>9.7</w:t>
            </w:r>
          </w:p>
        </w:tc>
      </w:tr>
    </w:tbl>
    <w:p w:rsidR="009E5617" w:rsidRPr="0068681C" w:rsidRDefault="009E5617" w:rsidP="009E5617">
      <w:pPr>
        <w:rPr>
          <w:sz w:val="20"/>
          <w:szCs w:val="20"/>
        </w:rPr>
      </w:pPr>
      <w:r w:rsidRPr="0068681C">
        <w:rPr>
          <w:sz w:val="20"/>
          <w:szCs w:val="20"/>
        </w:rPr>
        <w:t xml:space="preserve">Source: HLFS 2013, Betam update for November 2015 </w:t>
      </w:r>
    </w:p>
    <w:p w:rsidR="00FB3091" w:rsidRPr="0068681C" w:rsidRDefault="00A6277E" w:rsidP="007E0846">
      <w:r w:rsidRPr="0068681C">
        <w:t>Updated wages for each age g</w:t>
      </w:r>
      <w:r w:rsidR="00906BD2" w:rsidRPr="0068681C">
        <w:t>r</w:t>
      </w:r>
      <w:r w:rsidRPr="0068681C">
        <w:t xml:space="preserve">oup are calculated in Table 3. In its second column, </w:t>
      </w:r>
      <w:r w:rsidR="00C176EC" w:rsidRPr="0068681C">
        <w:t xml:space="preserve">average estimated wages </w:t>
      </w:r>
      <w:r w:rsidR="00751D6E" w:rsidRPr="0068681C">
        <w:t>are given</w:t>
      </w:r>
      <w:r w:rsidR="00C176EC" w:rsidRPr="0068681C">
        <w:t xml:space="preserve"> </w:t>
      </w:r>
      <w:r w:rsidR="00751D6E" w:rsidRPr="0068681C">
        <w:t xml:space="preserve">for each age group </w:t>
      </w:r>
      <w:r w:rsidR="00C176EC" w:rsidRPr="0068681C">
        <w:t xml:space="preserve">under the assumption that </w:t>
      </w:r>
      <w:r w:rsidR="00751D6E" w:rsidRPr="0068681C">
        <w:t xml:space="preserve">the earnings lower than 1300TL will increase to the new minimum wage by January of 2016. </w:t>
      </w:r>
      <w:r w:rsidR="008D5DCC" w:rsidRPr="0068681C">
        <w:t xml:space="preserve">The last two columns gives </w:t>
      </w:r>
      <w:r w:rsidR="00A337AD" w:rsidRPr="0068681C">
        <w:t xml:space="preserve">the estimated change in mean of wages in terms of </w:t>
      </w:r>
      <w:r w:rsidR="00487469" w:rsidRPr="0068681C">
        <w:t>amount</w:t>
      </w:r>
      <w:r w:rsidR="00A337AD" w:rsidRPr="0068681C">
        <w:t xml:space="preserve"> and percentage. </w:t>
      </w:r>
    </w:p>
    <w:p w:rsidR="00D80336" w:rsidRPr="0068681C" w:rsidRDefault="002C0451" w:rsidP="00A0281C">
      <w:r w:rsidRPr="0068681C">
        <w:t xml:space="preserve">It is expected that </w:t>
      </w:r>
      <w:r w:rsidR="00EE2C5B" w:rsidRPr="0068681C">
        <w:t xml:space="preserve">the percentage change in the average of wages </w:t>
      </w:r>
      <w:r w:rsidR="00654D61" w:rsidRPr="0068681C">
        <w:t xml:space="preserve">under a strict assumption will be 9.7 percent at the country level. </w:t>
      </w:r>
      <w:r w:rsidR="00D80336" w:rsidRPr="0068681C">
        <w:t xml:space="preserve">Thereby, the increase in the average of wages </w:t>
      </w:r>
      <w:r w:rsidR="004C4DA2" w:rsidRPr="0068681C">
        <w:t xml:space="preserve"> </w:t>
      </w:r>
      <w:r w:rsidR="00A0281C" w:rsidRPr="0068681C">
        <w:t xml:space="preserve">will be lower for those aged 25 years and higher. </w:t>
      </w:r>
      <w:r w:rsidR="00340259" w:rsidRPr="0068681C">
        <w:t xml:space="preserve">On </w:t>
      </w:r>
      <w:r w:rsidR="001708D4" w:rsidRPr="0068681C">
        <w:t>the other</w:t>
      </w:r>
      <w:r w:rsidR="00340259" w:rsidRPr="0068681C">
        <w:t xml:space="preserve"> hand, </w:t>
      </w:r>
      <w:r w:rsidR="00993FB2" w:rsidRPr="0068681C">
        <w:t xml:space="preserve">it is expected that </w:t>
      </w:r>
      <w:r w:rsidR="00BB1096" w:rsidRPr="0068681C">
        <w:t>its increase among the employees</w:t>
      </w:r>
      <w:r w:rsidR="004012F8" w:rsidRPr="0068681C">
        <w:t xml:space="preserve"> (full-time and formal employees in the private sector)</w:t>
      </w:r>
      <w:r w:rsidR="00BB1096" w:rsidRPr="0068681C">
        <w:t xml:space="preserve"> in the age group 15 and 24 years </w:t>
      </w:r>
      <w:r w:rsidR="00143D37" w:rsidRPr="0068681C">
        <w:t xml:space="preserve">will be around 22 percent, </w:t>
      </w:r>
      <w:r w:rsidR="000E38F8" w:rsidRPr="0068681C">
        <w:t>thus</w:t>
      </w:r>
      <w:r w:rsidR="00762B5A" w:rsidRPr="0068681C">
        <w:t>,</w:t>
      </w:r>
      <w:r w:rsidR="00143D37" w:rsidRPr="0068681C">
        <w:t xml:space="preserve"> </w:t>
      </w:r>
      <w:r w:rsidR="00762B5A" w:rsidRPr="0068681C">
        <w:t xml:space="preserve">for this age group, </w:t>
      </w:r>
      <w:r w:rsidR="00143D37" w:rsidRPr="0068681C">
        <w:t>it will be increased by around 250TL.</w:t>
      </w:r>
    </w:p>
    <w:p w:rsidR="00277BF6" w:rsidRPr="0068681C" w:rsidRDefault="005A29BC" w:rsidP="007E0846">
      <w:pPr>
        <w:rPr>
          <w:b/>
          <w:sz w:val="24"/>
          <w:szCs w:val="24"/>
        </w:rPr>
      </w:pPr>
      <w:r w:rsidRPr="0068681C">
        <w:rPr>
          <w:b/>
          <w:sz w:val="24"/>
          <w:szCs w:val="24"/>
        </w:rPr>
        <w:t xml:space="preserve">Minimum wage </w:t>
      </w:r>
      <w:r w:rsidR="006D06D0">
        <w:rPr>
          <w:b/>
          <w:sz w:val="24"/>
          <w:szCs w:val="24"/>
        </w:rPr>
        <w:t>increase</w:t>
      </w:r>
      <w:r w:rsidRPr="0068681C">
        <w:rPr>
          <w:b/>
          <w:sz w:val="24"/>
          <w:szCs w:val="24"/>
        </w:rPr>
        <w:t xml:space="preserve"> may</w:t>
      </w:r>
      <w:r w:rsidR="00367C9E" w:rsidRPr="0068681C">
        <w:rPr>
          <w:b/>
          <w:sz w:val="24"/>
          <w:szCs w:val="24"/>
        </w:rPr>
        <w:t xml:space="preserve"> shrink </w:t>
      </w:r>
      <w:r w:rsidRPr="0068681C">
        <w:rPr>
          <w:b/>
          <w:sz w:val="24"/>
          <w:szCs w:val="24"/>
        </w:rPr>
        <w:t xml:space="preserve">gender wage gap </w:t>
      </w:r>
    </w:p>
    <w:p w:rsidR="000E7E2B" w:rsidRPr="0068681C" w:rsidRDefault="00902A63" w:rsidP="00C47B7F">
      <w:r w:rsidRPr="0068681C">
        <w:t>Gender stands out as a</w:t>
      </w:r>
      <w:r w:rsidR="00820002" w:rsidRPr="0068681C">
        <w:t xml:space="preserve">nother significant </w:t>
      </w:r>
      <w:r w:rsidRPr="0068681C">
        <w:t>determinant</w:t>
      </w:r>
      <w:r w:rsidR="00820002" w:rsidRPr="0068681C">
        <w:t xml:space="preserve"> for wage </w:t>
      </w:r>
      <w:r w:rsidR="000E7E2B" w:rsidRPr="0068681C">
        <w:t>differentials</w:t>
      </w:r>
      <w:r w:rsidR="00941607" w:rsidRPr="0068681C">
        <w:t xml:space="preserve"> and m</w:t>
      </w:r>
      <w:r w:rsidR="001115FB" w:rsidRPr="0068681C">
        <w:t>any multi-dimensional studies about the question of w</w:t>
      </w:r>
      <w:r w:rsidR="00163609" w:rsidRPr="0068681C">
        <w:t>hy women earns lower than men are existed in the literature on economics.</w:t>
      </w:r>
    </w:p>
    <w:p w:rsidR="005B473B" w:rsidRPr="0068681C" w:rsidRDefault="00547406" w:rsidP="000E7E2B">
      <w:r w:rsidRPr="0068681C">
        <w:t xml:space="preserve">In the Table 4 showing the wage distribution by gender, </w:t>
      </w:r>
      <w:r w:rsidR="00D50468" w:rsidRPr="0068681C">
        <w:t xml:space="preserve">it </w:t>
      </w:r>
      <w:r w:rsidR="00FE021F" w:rsidRPr="0068681C">
        <w:t>declares</w:t>
      </w:r>
      <w:r w:rsidR="00D50468" w:rsidRPr="0068681C">
        <w:t xml:space="preserve"> that </w:t>
      </w:r>
      <w:r w:rsidR="006D69B2" w:rsidRPr="0068681C">
        <w:t xml:space="preserve">65.9 of women and 54.6 percent of men earn lower than 1300TL for a month. </w:t>
      </w:r>
    </w:p>
    <w:p w:rsidR="00082E95" w:rsidRPr="0068681C" w:rsidRDefault="00082E95" w:rsidP="002B6304">
      <w:pPr>
        <w:rPr>
          <w:b/>
          <w:sz w:val="20"/>
          <w:szCs w:val="20"/>
        </w:rPr>
      </w:pPr>
      <w:bookmarkStart w:id="6" w:name="_Ref442790604"/>
      <w:r w:rsidRPr="0068681C">
        <w:rPr>
          <w:b/>
        </w:rPr>
        <w:t>Tabl</w:t>
      </w:r>
      <w:r w:rsidR="00D50D2E" w:rsidRPr="0068681C">
        <w:rPr>
          <w:b/>
        </w:rPr>
        <w:t xml:space="preserve">e </w:t>
      </w:r>
      <w:r w:rsidR="00C3763F" w:rsidRPr="0068681C">
        <w:rPr>
          <w:b/>
        </w:rPr>
        <w:fldChar w:fldCharType="begin"/>
      </w:r>
      <w:r w:rsidRPr="0068681C">
        <w:rPr>
          <w:b/>
        </w:rPr>
        <w:instrText xml:space="preserve"> SEQ Tablo \* ARABIC </w:instrText>
      </w:r>
      <w:r w:rsidR="00C3763F" w:rsidRPr="0068681C">
        <w:rPr>
          <w:b/>
        </w:rPr>
        <w:fldChar w:fldCharType="separate"/>
      </w:r>
      <w:r w:rsidR="005551C6" w:rsidRPr="0068681C">
        <w:rPr>
          <w:b/>
        </w:rPr>
        <w:t>4</w:t>
      </w:r>
      <w:r w:rsidR="00C3763F" w:rsidRPr="0068681C">
        <w:rPr>
          <w:b/>
        </w:rPr>
        <w:fldChar w:fldCharType="end"/>
      </w:r>
      <w:bookmarkEnd w:id="6"/>
      <w:r w:rsidR="00F340B6" w:rsidRPr="0068681C">
        <w:rPr>
          <w:b/>
        </w:rPr>
        <w:t xml:space="preserve"> </w:t>
      </w:r>
      <w:r w:rsidR="00D50D2E" w:rsidRPr="0068681C">
        <w:rPr>
          <w:b/>
        </w:rPr>
        <w:t xml:space="preserve">Current wages by gender </w:t>
      </w:r>
    </w:p>
    <w:tbl>
      <w:tblPr>
        <w:tblW w:w="5600" w:type="dxa"/>
        <w:tblInd w:w="57"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960"/>
        <w:gridCol w:w="1293"/>
        <w:gridCol w:w="907"/>
        <w:gridCol w:w="1434"/>
        <w:gridCol w:w="1006"/>
      </w:tblGrid>
      <w:tr w:rsidR="0070051F" w:rsidRPr="0068681C" w:rsidTr="00593878">
        <w:trPr>
          <w:trHeight w:val="315"/>
        </w:trPr>
        <w:tc>
          <w:tcPr>
            <w:tcW w:w="960" w:type="dxa"/>
            <w:shd w:val="clear" w:color="auto" w:fill="auto"/>
            <w:noWrap/>
            <w:vAlign w:val="bottom"/>
            <w:hideMark/>
          </w:tcPr>
          <w:p w:rsidR="0070051F" w:rsidRPr="0068681C" w:rsidRDefault="0070051F" w:rsidP="0070051F">
            <w:pPr>
              <w:spacing w:after="0" w:line="240" w:lineRule="auto"/>
              <w:rPr>
                <w:rFonts w:ascii="Calibri" w:eastAsia="Times New Roman" w:hAnsi="Calibri" w:cs="Times New Roman"/>
                <w:noProof w:val="0"/>
                <w:color w:val="000000"/>
                <w:lang w:eastAsia="tr-TR"/>
              </w:rPr>
            </w:pPr>
          </w:p>
        </w:tc>
        <w:tc>
          <w:tcPr>
            <w:tcW w:w="2200" w:type="dxa"/>
            <w:gridSpan w:val="2"/>
            <w:shd w:val="clear" w:color="auto" w:fill="auto"/>
            <w:noWrap/>
            <w:vAlign w:val="bottom"/>
            <w:hideMark/>
          </w:tcPr>
          <w:p w:rsidR="0070051F" w:rsidRPr="0068681C" w:rsidRDefault="00667383" w:rsidP="0070051F">
            <w:pPr>
              <w:spacing w:after="0" w:line="240" w:lineRule="auto"/>
              <w:jc w:val="center"/>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Men</w:t>
            </w:r>
          </w:p>
        </w:tc>
        <w:tc>
          <w:tcPr>
            <w:tcW w:w="2440" w:type="dxa"/>
            <w:gridSpan w:val="2"/>
            <w:shd w:val="clear" w:color="auto" w:fill="auto"/>
            <w:noWrap/>
            <w:vAlign w:val="bottom"/>
            <w:hideMark/>
          </w:tcPr>
          <w:p w:rsidR="0070051F" w:rsidRPr="0068681C" w:rsidRDefault="00667383" w:rsidP="0070051F">
            <w:pPr>
              <w:spacing w:after="0" w:line="240" w:lineRule="auto"/>
              <w:jc w:val="center"/>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Women</w:t>
            </w:r>
          </w:p>
        </w:tc>
      </w:tr>
      <w:tr w:rsidR="0070051F" w:rsidRPr="0068681C" w:rsidTr="00593878">
        <w:trPr>
          <w:trHeight w:val="315"/>
        </w:trPr>
        <w:tc>
          <w:tcPr>
            <w:tcW w:w="960" w:type="dxa"/>
            <w:shd w:val="clear" w:color="auto" w:fill="auto"/>
            <w:noWrap/>
            <w:vAlign w:val="bottom"/>
            <w:hideMark/>
          </w:tcPr>
          <w:p w:rsidR="0070051F" w:rsidRPr="0068681C" w:rsidRDefault="0070051F" w:rsidP="0070051F">
            <w:pPr>
              <w:spacing w:after="0" w:line="240" w:lineRule="auto"/>
              <w:rPr>
                <w:rFonts w:ascii="Calibri" w:eastAsia="Times New Roman" w:hAnsi="Calibri" w:cs="Times New Roman"/>
                <w:noProof w:val="0"/>
                <w:color w:val="000000"/>
                <w:lang w:eastAsia="tr-TR"/>
              </w:rPr>
            </w:pPr>
          </w:p>
        </w:tc>
        <w:tc>
          <w:tcPr>
            <w:tcW w:w="1293" w:type="dxa"/>
            <w:shd w:val="clear" w:color="auto" w:fill="auto"/>
            <w:noWrap/>
            <w:vAlign w:val="bottom"/>
            <w:hideMark/>
          </w:tcPr>
          <w:p w:rsidR="0070051F" w:rsidRPr="0068681C" w:rsidRDefault="00770C53" w:rsidP="00770C53">
            <w:pPr>
              <w:spacing w:after="0" w:line="240" w:lineRule="auto"/>
              <w:jc w:val="right"/>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Persons</w:t>
            </w:r>
            <w:r w:rsidR="0070051F" w:rsidRPr="0068681C">
              <w:rPr>
                <w:rFonts w:ascii="Calibri" w:eastAsia="Times New Roman" w:hAnsi="Calibri" w:cs="Times New Roman"/>
                <w:b/>
                <w:bCs/>
                <w:noProof w:val="0"/>
                <w:color w:val="000000"/>
                <w:lang w:eastAsia="tr-TR"/>
              </w:rPr>
              <w:t xml:space="preserve"> (</w:t>
            </w:r>
            <w:r w:rsidRPr="0068681C">
              <w:rPr>
                <w:rFonts w:ascii="Calibri" w:eastAsia="Times New Roman" w:hAnsi="Calibri" w:cs="Times New Roman"/>
                <w:b/>
                <w:bCs/>
                <w:noProof w:val="0"/>
                <w:color w:val="000000"/>
                <w:lang w:eastAsia="tr-TR"/>
              </w:rPr>
              <w:t>in thousands</w:t>
            </w:r>
            <w:r w:rsidR="0070051F" w:rsidRPr="0068681C">
              <w:rPr>
                <w:rFonts w:ascii="Calibri" w:eastAsia="Times New Roman" w:hAnsi="Calibri" w:cs="Times New Roman"/>
                <w:b/>
                <w:bCs/>
                <w:noProof w:val="0"/>
                <w:color w:val="000000"/>
                <w:lang w:eastAsia="tr-TR"/>
              </w:rPr>
              <w:t>)</w:t>
            </w:r>
          </w:p>
        </w:tc>
        <w:tc>
          <w:tcPr>
            <w:tcW w:w="907" w:type="dxa"/>
            <w:shd w:val="clear" w:color="auto" w:fill="auto"/>
            <w:noWrap/>
            <w:vAlign w:val="bottom"/>
            <w:hideMark/>
          </w:tcPr>
          <w:p w:rsidR="0070051F" w:rsidRPr="0068681C" w:rsidRDefault="00667383" w:rsidP="0070051F">
            <w:pPr>
              <w:spacing w:after="0" w:line="240" w:lineRule="auto"/>
              <w:jc w:val="right"/>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Percent</w:t>
            </w:r>
          </w:p>
        </w:tc>
        <w:tc>
          <w:tcPr>
            <w:tcW w:w="1434" w:type="dxa"/>
            <w:shd w:val="clear" w:color="auto" w:fill="auto"/>
            <w:noWrap/>
            <w:vAlign w:val="bottom"/>
            <w:hideMark/>
          </w:tcPr>
          <w:p w:rsidR="0070051F" w:rsidRPr="0068681C" w:rsidRDefault="00770C53" w:rsidP="0070051F">
            <w:pPr>
              <w:spacing w:after="0" w:line="240" w:lineRule="auto"/>
              <w:jc w:val="right"/>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Persons (in thousands)</w:t>
            </w:r>
          </w:p>
        </w:tc>
        <w:tc>
          <w:tcPr>
            <w:tcW w:w="1006" w:type="dxa"/>
            <w:shd w:val="clear" w:color="auto" w:fill="auto"/>
            <w:noWrap/>
            <w:vAlign w:val="bottom"/>
            <w:hideMark/>
          </w:tcPr>
          <w:p w:rsidR="0070051F" w:rsidRPr="0068681C" w:rsidRDefault="00667383" w:rsidP="0070051F">
            <w:pPr>
              <w:spacing w:after="0" w:line="240" w:lineRule="auto"/>
              <w:jc w:val="right"/>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Percent</w:t>
            </w:r>
          </w:p>
        </w:tc>
      </w:tr>
      <w:tr w:rsidR="0070051F" w:rsidRPr="0068681C" w:rsidTr="00593878">
        <w:trPr>
          <w:trHeight w:val="315"/>
        </w:trPr>
        <w:tc>
          <w:tcPr>
            <w:tcW w:w="960" w:type="dxa"/>
            <w:shd w:val="clear" w:color="auto" w:fill="auto"/>
            <w:noWrap/>
            <w:vAlign w:val="bottom"/>
            <w:hideMark/>
          </w:tcPr>
          <w:p w:rsidR="0070051F" w:rsidRPr="0068681C" w:rsidRDefault="0070051F" w:rsidP="0070051F">
            <w:pPr>
              <w:spacing w:after="0" w:line="240" w:lineRule="auto"/>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&lt;1300</w:t>
            </w:r>
          </w:p>
        </w:tc>
        <w:tc>
          <w:tcPr>
            <w:tcW w:w="1293" w:type="dxa"/>
            <w:shd w:val="clear" w:color="auto" w:fill="auto"/>
            <w:noWrap/>
            <w:vAlign w:val="bottom"/>
            <w:hideMark/>
          </w:tcPr>
          <w:p w:rsidR="0070051F" w:rsidRPr="0068681C" w:rsidRDefault="0070051F" w:rsidP="00836474">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w:t>
            </w:r>
            <w:r w:rsidR="00836474"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990</w:t>
            </w:r>
          </w:p>
        </w:tc>
        <w:tc>
          <w:tcPr>
            <w:tcW w:w="907" w:type="dxa"/>
            <w:shd w:val="clear" w:color="auto" w:fill="auto"/>
            <w:noWrap/>
            <w:vAlign w:val="bottom"/>
            <w:hideMark/>
          </w:tcPr>
          <w:p w:rsidR="0070051F" w:rsidRPr="0068681C" w:rsidRDefault="00F63ACA"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5</w:t>
            </w:r>
            <w:r w:rsidR="00836474" w:rsidRPr="0068681C">
              <w:rPr>
                <w:rFonts w:ascii="Calibri" w:eastAsia="Times New Roman" w:hAnsi="Calibri" w:cs="Times New Roman"/>
                <w:noProof w:val="0"/>
                <w:color w:val="000000"/>
                <w:lang w:eastAsia="tr-TR"/>
              </w:rPr>
              <w:t>4.</w:t>
            </w:r>
            <w:r w:rsidR="0070051F" w:rsidRPr="0068681C">
              <w:rPr>
                <w:rFonts w:ascii="Calibri" w:eastAsia="Times New Roman" w:hAnsi="Calibri" w:cs="Times New Roman"/>
                <w:noProof w:val="0"/>
                <w:color w:val="000000"/>
                <w:lang w:eastAsia="tr-TR"/>
              </w:rPr>
              <w:t>6</w:t>
            </w:r>
          </w:p>
        </w:tc>
        <w:tc>
          <w:tcPr>
            <w:tcW w:w="1434" w:type="dxa"/>
            <w:shd w:val="clear" w:color="auto" w:fill="auto"/>
            <w:noWrap/>
            <w:vAlign w:val="bottom"/>
            <w:hideMark/>
          </w:tcPr>
          <w:p w:rsidR="0070051F" w:rsidRPr="0068681C" w:rsidRDefault="0070051F"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836474"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494</w:t>
            </w:r>
          </w:p>
        </w:tc>
        <w:tc>
          <w:tcPr>
            <w:tcW w:w="1006" w:type="dxa"/>
            <w:shd w:val="clear" w:color="auto" w:fill="auto"/>
            <w:noWrap/>
            <w:vAlign w:val="bottom"/>
            <w:hideMark/>
          </w:tcPr>
          <w:p w:rsidR="0070051F" w:rsidRPr="0068681C" w:rsidRDefault="00836474"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65.</w:t>
            </w:r>
            <w:r w:rsidR="0070051F" w:rsidRPr="0068681C">
              <w:rPr>
                <w:rFonts w:ascii="Calibri" w:eastAsia="Times New Roman" w:hAnsi="Calibri" w:cs="Times New Roman"/>
                <w:noProof w:val="0"/>
                <w:color w:val="000000"/>
                <w:lang w:eastAsia="tr-TR"/>
              </w:rPr>
              <w:t>9</w:t>
            </w:r>
          </w:p>
        </w:tc>
      </w:tr>
      <w:tr w:rsidR="00593878" w:rsidRPr="0068681C" w:rsidTr="00593878">
        <w:trPr>
          <w:trHeight w:val="315"/>
        </w:trPr>
        <w:tc>
          <w:tcPr>
            <w:tcW w:w="960" w:type="dxa"/>
            <w:shd w:val="clear" w:color="auto" w:fill="auto"/>
            <w:noWrap/>
            <w:vAlign w:val="bottom"/>
          </w:tcPr>
          <w:p w:rsidR="00593878" w:rsidRPr="0068681C" w:rsidRDefault="00593878" w:rsidP="0070051F">
            <w:pPr>
              <w:spacing w:after="0" w:line="240" w:lineRule="auto"/>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&gt;1300</w:t>
            </w:r>
          </w:p>
        </w:tc>
        <w:tc>
          <w:tcPr>
            <w:tcW w:w="1293" w:type="dxa"/>
            <w:shd w:val="clear" w:color="auto" w:fill="auto"/>
            <w:noWrap/>
            <w:vAlign w:val="bottom"/>
          </w:tcPr>
          <w:p w:rsidR="00593878" w:rsidRPr="0068681C" w:rsidRDefault="00593878" w:rsidP="00836474">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w:t>
            </w:r>
            <w:r w:rsidR="00836474"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318</w:t>
            </w:r>
          </w:p>
        </w:tc>
        <w:tc>
          <w:tcPr>
            <w:tcW w:w="907" w:type="dxa"/>
            <w:shd w:val="clear" w:color="auto" w:fill="auto"/>
            <w:noWrap/>
            <w:vAlign w:val="bottom"/>
          </w:tcPr>
          <w:p w:rsidR="00593878" w:rsidRPr="0068681C" w:rsidRDefault="00F63ACA"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4</w:t>
            </w:r>
            <w:r w:rsidR="00836474" w:rsidRPr="0068681C">
              <w:rPr>
                <w:rFonts w:ascii="Calibri" w:eastAsia="Times New Roman" w:hAnsi="Calibri" w:cs="Times New Roman"/>
                <w:noProof w:val="0"/>
                <w:color w:val="000000"/>
                <w:lang w:eastAsia="tr-TR"/>
              </w:rPr>
              <w:t>5.</w:t>
            </w:r>
            <w:r w:rsidR="00593878" w:rsidRPr="0068681C">
              <w:rPr>
                <w:rFonts w:ascii="Calibri" w:eastAsia="Times New Roman" w:hAnsi="Calibri" w:cs="Times New Roman"/>
                <w:noProof w:val="0"/>
                <w:color w:val="000000"/>
                <w:lang w:eastAsia="tr-TR"/>
              </w:rPr>
              <w:t>4</w:t>
            </w:r>
          </w:p>
        </w:tc>
        <w:tc>
          <w:tcPr>
            <w:tcW w:w="1434" w:type="dxa"/>
            <w:shd w:val="clear" w:color="auto" w:fill="auto"/>
            <w:noWrap/>
            <w:vAlign w:val="bottom"/>
          </w:tcPr>
          <w:p w:rsidR="00593878" w:rsidRPr="0068681C" w:rsidRDefault="00593878"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773</w:t>
            </w:r>
          </w:p>
        </w:tc>
        <w:tc>
          <w:tcPr>
            <w:tcW w:w="1006" w:type="dxa"/>
            <w:shd w:val="clear" w:color="auto" w:fill="auto"/>
            <w:noWrap/>
            <w:vAlign w:val="bottom"/>
          </w:tcPr>
          <w:p w:rsidR="00593878" w:rsidRPr="0068681C" w:rsidRDefault="00836474"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34.</w:t>
            </w:r>
            <w:r w:rsidR="00593878" w:rsidRPr="0068681C">
              <w:rPr>
                <w:rFonts w:ascii="Calibri" w:eastAsia="Times New Roman" w:hAnsi="Calibri" w:cs="Times New Roman"/>
                <w:noProof w:val="0"/>
                <w:color w:val="000000"/>
                <w:lang w:eastAsia="tr-TR"/>
              </w:rPr>
              <w:t>1</w:t>
            </w:r>
          </w:p>
        </w:tc>
      </w:tr>
      <w:tr w:rsidR="00F63ACA" w:rsidRPr="0068681C" w:rsidTr="00593878">
        <w:trPr>
          <w:trHeight w:val="315"/>
        </w:trPr>
        <w:tc>
          <w:tcPr>
            <w:tcW w:w="960" w:type="dxa"/>
            <w:shd w:val="clear" w:color="auto" w:fill="auto"/>
            <w:noWrap/>
            <w:vAlign w:val="bottom"/>
          </w:tcPr>
          <w:p w:rsidR="00F63ACA" w:rsidRPr="0068681C" w:rsidRDefault="0019118F" w:rsidP="0070051F">
            <w:pPr>
              <w:spacing w:after="0" w:line="240" w:lineRule="auto"/>
              <w:rPr>
                <w:rFonts w:ascii="Calibri" w:eastAsia="Times New Roman" w:hAnsi="Calibri" w:cs="Times New Roman"/>
                <w:b/>
                <w:bCs/>
                <w:noProof w:val="0"/>
                <w:color w:val="000000"/>
                <w:lang w:eastAsia="tr-TR"/>
              </w:rPr>
            </w:pPr>
            <w:r w:rsidRPr="0068681C">
              <w:rPr>
                <w:rFonts w:ascii="Calibri" w:eastAsia="Times New Roman" w:hAnsi="Calibri" w:cs="Times New Roman"/>
                <w:b/>
                <w:bCs/>
                <w:noProof w:val="0"/>
                <w:color w:val="000000"/>
                <w:lang w:eastAsia="tr-TR"/>
              </w:rPr>
              <w:t>Total</w:t>
            </w:r>
          </w:p>
        </w:tc>
        <w:tc>
          <w:tcPr>
            <w:tcW w:w="1293" w:type="dxa"/>
            <w:shd w:val="clear" w:color="auto" w:fill="auto"/>
            <w:noWrap/>
            <w:vAlign w:val="bottom"/>
          </w:tcPr>
          <w:p w:rsidR="00F63ACA" w:rsidRPr="0068681C" w:rsidRDefault="00F63ACA" w:rsidP="00836474">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7</w:t>
            </w:r>
            <w:r w:rsidR="00836474"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308</w:t>
            </w:r>
          </w:p>
        </w:tc>
        <w:tc>
          <w:tcPr>
            <w:tcW w:w="907" w:type="dxa"/>
            <w:shd w:val="clear" w:color="auto" w:fill="auto"/>
            <w:noWrap/>
            <w:vAlign w:val="bottom"/>
          </w:tcPr>
          <w:p w:rsidR="00F63ACA" w:rsidRPr="0068681C" w:rsidRDefault="00F63ACA" w:rsidP="00836474">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100</w:t>
            </w:r>
            <w:r w:rsidR="00836474"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0</w:t>
            </w:r>
          </w:p>
        </w:tc>
        <w:tc>
          <w:tcPr>
            <w:tcW w:w="1434" w:type="dxa"/>
            <w:shd w:val="clear" w:color="auto" w:fill="auto"/>
            <w:noWrap/>
            <w:vAlign w:val="bottom"/>
          </w:tcPr>
          <w:p w:rsidR="00F63ACA" w:rsidRPr="0068681C" w:rsidRDefault="00F63ACA"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2</w:t>
            </w:r>
            <w:r w:rsidR="00836474"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267</w:t>
            </w:r>
          </w:p>
        </w:tc>
        <w:tc>
          <w:tcPr>
            <w:tcW w:w="1006" w:type="dxa"/>
            <w:shd w:val="clear" w:color="auto" w:fill="auto"/>
            <w:noWrap/>
            <w:vAlign w:val="bottom"/>
          </w:tcPr>
          <w:p w:rsidR="00F63ACA" w:rsidRPr="0068681C" w:rsidRDefault="00836474" w:rsidP="0070051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100.</w:t>
            </w:r>
            <w:r w:rsidR="00F63ACA" w:rsidRPr="0068681C">
              <w:rPr>
                <w:rFonts w:ascii="Calibri" w:eastAsia="Times New Roman" w:hAnsi="Calibri" w:cs="Times New Roman"/>
                <w:noProof w:val="0"/>
                <w:color w:val="000000"/>
                <w:lang w:eastAsia="tr-TR"/>
              </w:rPr>
              <w:t>0</w:t>
            </w:r>
          </w:p>
        </w:tc>
      </w:tr>
    </w:tbl>
    <w:p w:rsidR="009E5617" w:rsidRPr="0068681C" w:rsidRDefault="009E5617" w:rsidP="009E5617">
      <w:pPr>
        <w:rPr>
          <w:sz w:val="20"/>
          <w:szCs w:val="20"/>
        </w:rPr>
      </w:pPr>
      <w:r w:rsidRPr="0068681C">
        <w:rPr>
          <w:sz w:val="20"/>
          <w:szCs w:val="20"/>
        </w:rPr>
        <w:t xml:space="preserve">Source: HLFS 2013, Betam update for November 2015 </w:t>
      </w:r>
    </w:p>
    <w:p w:rsidR="00520D86" w:rsidRPr="0068681C" w:rsidRDefault="00520D86" w:rsidP="007677CA">
      <w:r w:rsidRPr="0068681C">
        <w:lastRenderedPageBreak/>
        <w:t xml:space="preserve">In addition to wage differentials, </w:t>
      </w:r>
      <w:r w:rsidR="00AD1A3C" w:rsidRPr="0068681C">
        <w:t xml:space="preserve">share of females in employment is low. For example, 7 million 308 thousand men are formally working in the private sector under the full-time jobs as wage earners or casual employees, however 2 million 267 thousand women are </w:t>
      </w:r>
      <w:r w:rsidR="00ED2CB1" w:rsidRPr="0068681C">
        <w:t>employed</w:t>
      </w:r>
      <w:r w:rsidR="00AD1A3C" w:rsidRPr="0068681C">
        <w:t xml:space="preserve"> under the same condition</w:t>
      </w:r>
      <w:r w:rsidR="00734E30" w:rsidRPr="0068681C">
        <w:t xml:space="preserve"> (</w:t>
      </w:r>
      <w:r w:rsidR="00734E30" w:rsidRPr="0068681C">
        <w:fldChar w:fldCharType="begin"/>
      </w:r>
      <w:r w:rsidR="00734E30" w:rsidRPr="0068681C">
        <w:instrText xml:space="preserve"> REF _Ref442790604 \h </w:instrText>
      </w:r>
      <w:r w:rsidR="003B64E6" w:rsidRPr="0068681C">
        <w:instrText xml:space="preserve"> \* MERGEFORMAT </w:instrText>
      </w:r>
      <w:r w:rsidR="00734E30" w:rsidRPr="0068681C">
        <w:fldChar w:fldCharType="separate"/>
      </w:r>
      <w:r w:rsidR="00734E30" w:rsidRPr="0068681C">
        <w:t>Table 4</w:t>
      </w:r>
      <w:r w:rsidR="00734E30" w:rsidRPr="0068681C">
        <w:fldChar w:fldCharType="end"/>
      </w:r>
      <w:r w:rsidR="003B64E6" w:rsidRPr="0068681C">
        <w:t>).</w:t>
      </w:r>
    </w:p>
    <w:p w:rsidR="008835AB" w:rsidRPr="0068681C" w:rsidRDefault="0095086F" w:rsidP="008835AB">
      <w:r w:rsidRPr="0068681C">
        <w:t xml:space="preserve">Figure 2 </w:t>
      </w:r>
      <w:r w:rsidR="00766272" w:rsidRPr="0068681C">
        <w:t xml:space="preserve">presents the distributions of those who earn lower than 1300TL and the shares of those who earn 1300TL and higher by gender. </w:t>
      </w:r>
      <w:r w:rsidR="00DA3440" w:rsidRPr="0068681C">
        <w:t xml:space="preserve">72.8 percent and 27.2 percent of the employees earning lower than 1300TL are respectively men and women. In addition, 81.1 percent of those working for 1300TL and higher for a month are men and and only 18.9 percent of them are women. </w:t>
      </w:r>
      <w:r w:rsidR="008835AB" w:rsidRPr="0068681C">
        <w:t xml:space="preserve">Hence, women are less likely to be formally working in the private sector under the full-time jobs as wage earners or casual employees and earn lower wages than men. </w:t>
      </w:r>
      <w:r w:rsidR="00C2663D" w:rsidRPr="0068681C">
        <w:t xml:space="preserve">Looking within this context, in consequence of minimum wage </w:t>
      </w:r>
      <w:r w:rsidR="006D06D0">
        <w:t>increase</w:t>
      </w:r>
      <w:r w:rsidR="00C2663D" w:rsidRPr="0068681C">
        <w:t xml:space="preserve"> affecting the earnings in between the previous minimum wage level and its new one to increase to 1300TL, increase in average earnings of women will be higher than in that of men. </w:t>
      </w:r>
    </w:p>
    <w:p w:rsidR="00052CEE" w:rsidRPr="0068681C" w:rsidRDefault="00C2663D" w:rsidP="00476DB0">
      <w:pPr>
        <w:rPr>
          <w:b/>
        </w:rPr>
      </w:pPr>
      <w:bookmarkStart w:id="7" w:name="_Ref442790796"/>
      <w:bookmarkStart w:id="8" w:name="_Ref442790791"/>
      <w:r w:rsidRPr="0068681C">
        <w:rPr>
          <w:b/>
        </w:rPr>
        <w:t>Figure</w:t>
      </w:r>
      <w:r w:rsidR="00B8023D" w:rsidRPr="0068681C">
        <w:rPr>
          <w:b/>
        </w:rPr>
        <w:t xml:space="preserve"> </w:t>
      </w:r>
      <w:r w:rsidR="00C3763F" w:rsidRPr="0068681C">
        <w:rPr>
          <w:b/>
        </w:rPr>
        <w:fldChar w:fldCharType="begin"/>
      </w:r>
      <w:r w:rsidR="005C69C7" w:rsidRPr="0068681C">
        <w:rPr>
          <w:b/>
        </w:rPr>
        <w:instrText xml:space="preserve"> SEQ Şekil \* ARABIC </w:instrText>
      </w:r>
      <w:r w:rsidR="00C3763F" w:rsidRPr="0068681C">
        <w:rPr>
          <w:b/>
        </w:rPr>
        <w:fldChar w:fldCharType="separate"/>
      </w:r>
      <w:r w:rsidR="005551C6" w:rsidRPr="0068681C">
        <w:rPr>
          <w:b/>
        </w:rPr>
        <w:t>2</w:t>
      </w:r>
      <w:r w:rsidR="00C3763F" w:rsidRPr="0068681C">
        <w:rPr>
          <w:b/>
        </w:rPr>
        <w:fldChar w:fldCharType="end"/>
      </w:r>
      <w:bookmarkEnd w:id="7"/>
      <w:r w:rsidR="00B8023D" w:rsidRPr="0068681C">
        <w:rPr>
          <w:b/>
        </w:rPr>
        <w:t xml:space="preserve"> </w:t>
      </w:r>
      <w:r w:rsidR="00ED1178" w:rsidRPr="0068681C">
        <w:rPr>
          <w:b/>
        </w:rPr>
        <w:t>Gender distribution of those having net earning lower than 1300TL and earning 1300TL and higher</w:t>
      </w:r>
    </w:p>
    <w:bookmarkEnd w:id="8"/>
    <w:p w:rsidR="00595F9B" w:rsidRPr="0068681C" w:rsidRDefault="00052CEE" w:rsidP="00052CEE">
      <w:pPr>
        <w:spacing w:after="0" w:line="240" w:lineRule="auto"/>
      </w:pPr>
      <w:r w:rsidRPr="0068681C">
        <w:drawing>
          <wp:inline distT="0" distB="0" distL="0" distR="0" wp14:anchorId="716E7790" wp14:editId="25B362C6">
            <wp:extent cx="5727247" cy="2743200"/>
            <wp:effectExtent l="0" t="0" r="698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577E" w:rsidRPr="0068681C" w:rsidRDefault="00F2577E" w:rsidP="00052CEE">
      <w:pPr>
        <w:spacing w:after="240" w:line="360" w:lineRule="auto"/>
        <w:rPr>
          <w:sz w:val="20"/>
          <w:szCs w:val="20"/>
        </w:rPr>
      </w:pPr>
      <w:r w:rsidRPr="0068681C">
        <w:rPr>
          <w:sz w:val="20"/>
          <w:szCs w:val="20"/>
        </w:rPr>
        <w:t xml:space="preserve">Source: HLFS 2013, Betam update for November 2015 </w:t>
      </w:r>
    </w:p>
    <w:p w:rsidR="00AD0ADD" w:rsidRPr="0068681C" w:rsidRDefault="00733A05" w:rsidP="00AD0ADD">
      <w:r w:rsidRPr="0068681C">
        <w:t xml:space="preserve">The effect of minimum wage </w:t>
      </w:r>
      <w:r w:rsidR="006D06D0">
        <w:t>increase</w:t>
      </w:r>
      <w:r w:rsidRPr="0068681C">
        <w:t xml:space="preserve"> to average earnings are reported in </w:t>
      </w:r>
      <w:r w:rsidR="00595A8D" w:rsidRPr="0068681C">
        <w:fldChar w:fldCharType="begin"/>
      </w:r>
      <w:r w:rsidR="00595A8D" w:rsidRPr="0068681C">
        <w:instrText xml:space="preserve"> REF _Ref448611413 \h </w:instrText>
      </w:r>
      <w:r w:rsidR="00052CEE" w:rsidRPr="0068681C">
        <w:instrText xml:space="preserve"> \* MERGEFORMAT </w:instrText>
      </w:r>
      <w:r w:rsidR="00595A8D" w:rsidRPr="0068681C">
        <w:fldChar w:fldCharType="separate"/>
      </w:r>
      <w:r w:rsidR="00595A8D" w:rsidRPr="0068681C">
        <w:t>Table 5</w:t>
      </w:r>
      <w:r w:rsidR="00595A8D" w:rsidRPr="0068681C">
        <w:fldChar w:fldCharType="end"/>
      </w:r>
      <w:r w:rsidR="00595A8D" w:rsidRPr="0068681C">
        <w:t xml:space="preserve">. </w:t>
      </w:r>
      <w:r w:rsidR="00BF0C64" w:rsidRPr="0068681C">
        <w:t>The results shows that average earnings of women will increase to 1719TL and average earnings of men will increase to 1758TL.</w:t>
      </w:r>
      <w:r w:rsidR="00CD2B46" w:rsidRPr="0068681C">
        <w:t xml:space="preserve"> In conjunction with wage shock, it is predicted that women’s average earnings will increase </w:t>
      </w:r>
      <w:r w:rsidR="00B5507A" w:rsidRPr="0068681C">
        <w:t xml:space="preserve">around </w:t>
      </w:r>
      <w:r w:rsidR="00CD2B46" w:rsidRPr="0068681C">
        <w:t xml:space="preserve">by 200TL and men’s average earnings will increase </w:t>
      </w:r>
      <w:r w:rsidR="00B5507A" w:rsidRPr="0068681C">
        <w:t xml:space="preserve">around </w:t>
      </w:r>
      <w:r w:rsidR="00CD2B46" w:rsidRPr="0068681C">
        <w:t xml:space="preserve">by 140TL under the assumptions. </w:t>
      </w:r>
      <w:r w:rsidR="002A1CF7" w:rsidRPr="0068681C">
        <w:t xml:space="preserve">In other words, </w:t>
      </w:r>
      <w:r w:rsidR="00AD0ADD" w:rsidRPr="0068681C">
        <w:t xml:space="preserve">it is forecasted that average earnings will increase by 12.9 percent for women and it will increase by 8.6 percent for men. </w:t>
      </w:r>
      <w:r w:rsidR="006453CE" w:rsidRPr="0068681C">
        <w:t xml:space="preserve">Hence, it is expected that </w:t>
      </w:r>
      <w:r w:rsidR="00BC25D5" w:rsidRPr="0068681C">
        <w:t xml:space="preserve">the wage shock due to minimum wage </w:t>
      </w:r>
      <w:r w:rsidR="006D06D0">
        <w:t>increase</w:t>
      </w:r>
      <w:r w:rsidR="00BC25D5" w:rsidRPr="0068681C">
        <w:t xml:space="preserve"> will shrink the gender wage gap. </w:t>
      </w:r>
      <w:r w:rsidR="003369D6" w:rsidRPr="0068681C">
        <w:t xml:space="preserve">Despite this prediction, it is probable the wage shock to labor supply and labor demand to affect. We would like to remind you to consider these effects for the final outcome. </w:t>
      </w:r>
    </w:p>
    <w:p w:rsidR="006D54AC" w:rsidRPr="0068681C" w:rsidRDefault="006D54AC" w:rsidP="00AD0ADD"/>
    <w:p w:rsidR="006D54AC" w:rsidRPr="0068681C" w:rsidRDefault="006D54AC" w:rsidP="00AD0ADD"/>
    <w:p w:rsidR="006C33D0" w:rsidRPr="0068681C" w:rsidRDefault="00733A05" w:rsidP="006C33D0">
      <w:pPr>
        <w:pStyle w:val="ResimYazs"/>
        <w:keepNext/>
        <w:rPr>
          <w:color w:val="auto"/>
          <w:sz w:val="22"/>
          <w:szCs w:val="22"/>
        </w:rPr>
      </w:pPr>
      <w:bookmarkStart w:id="9" w:name="_Ref448611413"/>
      <w:r w:rsidRPr="0068681C">
        <w:rPr>
          <w:color w:val="auto"/>
          <w:sz w:val="22"/>
          <w:szCs w:val="22"/>
        </w:rPr>
        <w:lastRenderedPageBreak/>
        <w:t>Table</w:t>
      </w:r>
      <w:r w:rsidR="00A45CA2" w:rsidRPr="0068681C">
        <w:rPr>
          <w:color w:val="auto"/>
          <w:sz w:val="22"/>
          <w:szCs w:val="22"/>
        </w:rPr>
        <w:t xml:space="preserve"> </w:t>
      </w:r>
      <w:r w:rsidR="00C3763F" w:rsidRPr="0068681C">
        <w:rPr>
          <w:color w:val="auto"/>
          <w:sz w:val="22"/>
          <w:szCs w:val="22"/>
        </w:rPr>
        <w:fldChar w:fldCharType="begin"/>
      </w:r>
      <w:r w:rsidR="00A45CA2" w:rsidRPr="0068681C">
        <w:rPr>
          <w:color w:val="auto"/>
          <w:sz w:val="22"/>
          <w:szCs w:val="22"/>
        </w:rPr>
        <w:instrText xml:space="preserve"> SEQ Tablo \* ARABIC </w:instrText>
      </w:r>
      <w:r w:rsidR="00C3763F" w:rsidRPr="0068681C">
        <w:rPr>
          <w:color w:val="auto"/>
          <w:sz w:val="22"/>
          <w:szCs w:val="22"/>
        </w:rPr>
        <w:fldChar w:fldCharType="separate"/>
      </w:r>
      <w:r w:rsidR="005551C6" w:rsidRPr="0068681C">
        <w:rPr>
          <w:color w:val="auto"/>
          <w:sz w:val="22"/>
          <w:szCs w:val="22"/>
        </w:rPr>
        <w:t>5</w:t>
      </w:r>
      <w:r w:rsidR="00C3763F" w:rsidRPr="0068681C">
        <w:rPr>
          <w:color w:val="auto"/>
          <w:sz w:val="22"/>
          <w:szCs w:val="22"/>
        </w:rPr>
        <w:fldChar w:fldCharType="end"/>
      </w:r>
      <w:bookmarkEnd w:id="9"/>
      <w:r w:rsidR="00A45CA2" w:rsidRPr="0068681C">
        <w:rPr>
          <w:color w:val="auto"/>
          <w:sz w:val="22"/>
          <w:szCs w:val="22"/>
        </w:rPr>
        <w:t xml:space="preserve"> </w:t>
      </w:r>
      <w:r w:rsidR="008948A0" w:rsidRPr="0068681C">
        <w:rPr>
          <w:color w:val="auto"/>
          <w:sz w:val="22"/>
          <w:szCs w:val="22"/>
        </w:rPr>
        <w:t xml:space="preserve">The effects of minimum wage </w:t>
      </w:r>
      <w:r w:rsidR="006D06D0">
        <w:rPr>
          <w:color w:val="auto"/>
          <w:sz w:val="22"/>
          <w:szCs w:val="22"/>
        </w:rPr>
        <w:t>increase</w:t>
      </w:r>
      <w:r w:rsidR="008948A0" w:rsidRPr="0068681C">
        <w:rPr>
          <w:color w:val="auto"/>
          <w:sz w:val="22"/>
          <w:szCs w:val="22"/>
        </w:rPr>
        <w:t xml:space="preserve"> </w:t>
      </w:r>
      <w:r w:rsidR="00426C11" w:rsidRPr="0068681C">
        <w:rPr>
          <w:color w:val="auto"/>
          <w:sz w:val="22"/>
          <w:szCs w:val="22"/>
        </w:rPr>
        <w:t xml:space="preserve">to the wages </w:t>
      </w:r>
      <w:r w:rsidR="008948A0" w:rsidRPr="0068681C">
        <w:rPr>
          <w:color w:val="auto"/>
          <w:sz w:val="22"/>
          <w:szCs w:val="22"/>
        </w:rPr>
        <w:t xml:space="preserve">by gender </w:t>
      </w:r>
    </w:p>
    <w:tbl>
      <w:tblPr>
        <w:tblW w:w="9432" w:type="dxa"/>
        <w:tblInd w:w="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1241"/>
        <w:gridCol w:w="2047"/>
        <w:gridCol w:w="2048"/>
        <w:gridCol w:w="2048"/>
        <w:gridCol w:w="2048"/>
      </w:tblGrid>
      <w:tr w:rsidR="006C33D0" w:rsidRPr="0068681C" w:rsidTr="00FE1F00">
        <w:trPr>
          <w:trHeight w:val="300"/>
        </w:trPr>
        <w:tc>
          <w:tcPr>
            <w:tcW w:w="1241" w:type="dxa"/>
            <w:shd w:val="clear" w:color="auto" w:fill="auto"/>
            <w:noWrap/>
            <w:vAlign w:val="bottom"/>
            <w:hideMark/>
          </w:tcPr>
          <w:p w:rsidR="006C33D0" w:rsidRPr="0068681C" w:rsidRDefault="006C33D0" w:rsidP="006C33D0">
            <w:pPr>
              <w:spacing w:after="0" w:line="240" w:lineRule="auto"/>
              <w:rPr>
                <w:rFonts w:ascii="Calibri" w:eastAsia="Times New Roman" w:hAnsi="Calibri" w:cs="Times New Roman"/>
                <w:noProof w:val="0"/>
                <w:color w:val="000000"/>
                <w:lang w:eastAsia="tr-TR"/>
              </w:rPr>
            </w:pPr>
          </w:p>
        </w:tc>
        <w:tc>
          <w:tcPr>
            <w:tcW w:w="2047" w:type="dxa"/>
            <w:shd w:val="clear" w:color="auto" w:fill="auto"/>
            <w:noWrap/>
            <w:vAlign w:val="bottom"/>
            <w:hideMark/>
          </w:tcPr>
          <w:p w:rsidR="006C33D0" w:rsidRPr="0068681C" w:rsidRDefault="006C33D0" w:rsidP="006C33D0">
            <w:pPr>
              <w:spacing w:after="0" w:line="240" w:lineRule="auto"/>
              <w:jc w:val="right"/>
              <w:rPr>
                <w:rFonts w:ascii="Calibri" w:eastAsia="Times New Roman" w:hAnsi="Calibri" w:cs="Times New Roman"/>
                <w:b/>
                <w:bCs/>
                <w:noProof w:val="0"/>
                <w:color w:val="000000"/>
                <w:lang w:eastAsia="tr-TR"/>
              </w:rPr>
            </w:pPr>
            <w:r w:rsidRPr="0068681C">
              <w:rPr>
                <w:b/>
              </w:rPr>
              <w:t>Mean of wage(TL)</w:t>
            </w:r>
            <w:r w:rsidRPr="0068681C">
              <w:rPr>
                <w:rFonts w:ascii="Calibri" w:eastAsia="Times New Roman" w:hAnsi="Calibri" w:cs="Times New Roman"/>
                <w:b/>
                <w:bCs/>
                <w:noProof w:val="0"/>
                <w:color w:val="000000"/>
                <w:lang w:eastAsia="tr-TR"/>
              </w:rPr>
              <w:t xml:space="preserve"> </w:t>
            </w:r>
          </w:p>
        </w:tc>
        <w:tc>
          <w:tcPr>
            <w:tcW w:w="2048" w:type="dxa"/>
            <w:shd w:val="clear" w:color="auto" w:fill="auto"/>
            <w:noWrap/>
            <w:vAlign w:val="bottom"/>
            <w:hideMark/>
          </w:tcPr>
          <w:p w:rsidR="006C33D0" w:rsidRPr="0068681C" w:rsidRDefault="006C33D0" w:rsidP="006C33D0">
            <w:pPr>
              <w:jc w:val="right"/>
              <w:rPr>
                <w:b/>
              </w:rPr>
            </w:pPr>
            <w:r w:rsidRPr="0068681C">
              <w:rPr>
                <w:b/>
              </w:rPr>
              <w:t xml:space="preserve">Estimated mean wage by 1300TL minimum wage </w:t>
            </w:r>
          </w:p>
          <w:p w:rsidR="006C33D0" w:rsidRPr="0068681C" w:rsidRDefault="006C33D0" w:rsidP="006C33D0">
            <w:pPr>
              <w:jc w:val="right"/>
              <w:rPr>
                <w:b/>
              </w:rPr>
            </w:pPr>
            <w:r w:rsidRPr="0068681C">
              <w:rPr>
                <w:b/>
              </w:rPr>
              <w:t xml:space="preserve"> (TL)</w:t>
            </w:r>
          </w:p>
        </w:tc>
        <w:tc>
          <w:tcPr>
            <w:tcW w:w="2048" w:type="dxa"/>
            <w:shd w:val="clear" w:color="auto" w:fill="auto"/>
            <w:noWrap/>
            <w:vAlign w:val="bottom"/>
            <w:hideMark/>
          </w:tcPr>
          <w:p w:rsidR="006C33D0" w:rsidRPr="0068681C" w:rsidRDefault="006C33D0" w:rsidP="006C33D0">
            <w:pPr>
              <w:jc w:val="right"/>
              <w:rPr>
                <w:b/>
              </w:rPr>
            </w:pPr>
            <w:r w:rsidRPr="0068681C">
              <w:rPr>
                <w:b/>
              </w:rPr>
              <w:t>Amount of increase in mean of wages (TL)</w:t>
            </w:r>
          </w:p>
        </w:tc>
        <w:tc>
          <w:tcPr>
            <w:tcW w:w="2048" w:type="dxa"/>
            <w:shd w:val="clear" w:color="auto" w:fill="auto"/>
            <w:noWrap/>
            <w:vAlign w:val="bottom"/>
            <w:hideMark/>
          </w:tcPr>
          <w:p w:rsidR="006C33D0" w:rsidRPr="0068681C" w:rsidRDefault="006C33D0" w:rsidP="006C33D0">
            <w:pPr>
              <w:jc w:val="right"/>
              <w:rPr>
                <w:b/>
              </w:rPr>
            </w:pPr>
            <w:r w:rsidRPr="0068681C">
              <w:rPr>
                <w:b/>
              </w:rPr>
              <w:t xml:space="preserve">Increase in mean of wages (%) </w:t>
            </w:r>
          </w:p>
        </w:tc>
      </w:tr>
      <w:tr w:rsidR="007E3012" w:rsidRPr="0068681C" w:rsidTr="00FE1F00">
        <w:trPr>
          <w:trHeight w:val="300"/>
        </w:trPr>
        <w:tc>
          <w:tcPr>
            <w:tcW w:w="1241" w:type="dxa"/>
            <w:shd w:val="clear" w:color="auto" w:fill="auto"/>
            <w:noWrap/>
            <w:vAlign w:val="bottom"/>
            <w:hideMark/>
          </w:tcPr>
          <w:p w:rsidR="007E3012" w:rsidRPr="0068681C" w:rsidRDefault="006C33D0" w:rsidP="00FE1F00">
            <w:pPr>
              <w:spacing w:after="0" w:line="240" w:lineRule="auto"/>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Men</w:t>
            </w:r>
          </w:p>
        </w:tc>
        <w:tc>
          <w:tcPr>
            <w:tcW w:w="2047" w:type="dxa"/>
            <w:shd w:val="clear" w:color="auto" w:fill="auto"/>
            <w:noWrap/>
            <w:vAlign w:val="bottom"/>
            <w:hideMark/>
          </w:tcPr>
          <w:p w:rsidR="007E3012" w:rsidRPr="0068681C" w:rsidRDefault="007E3012" w:rsidP="006C33D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6C33D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618</w:t>
            </w:r>
          </w:p>
        </w:tc>
        <w:tc>
          <w:tcPr>
            <w:tcW w:w="2048" w:type="dxa"/>
            <w:shd w:val="clear" w:color="auto" w:fill="auto"/>
            <w:noWrap/>
            <w:vAlign w:val="bottom"/>
            <w:hideMark/>
          </w:tcPr>
          <w:p w:rsidR="007E3012" w:rsidRPr="0068681C" w:rsidRDefault="007E3012" w:rsidP="00FE1F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6C33D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758</w:t>
            </w:r>
          </w:p>
        </w:tc>
        <w:tc>
          <w:tcPr>
            <w:tcW w:w="2048" w:type="dxa"/>
            <w:shd w:val="clear" w:color="auto" w:fill="auto"/>
            <w:noWrap/>
            <w:vAlign w:val="bottom"/>
            <w:hideMark/>
          </w:tcPr>
          <w:p w:rsidR="007E3012" w:rsidRPr="0068681C" w:rsidRDefault="007E3012" w:rsidP="00FE1F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139</w:t>
            </w:r>
          </w:p>
        </w:tc>
        <w:tc>
          <w:tcPr>
            <w:tcW w:w="2048" w:type="dxa"/>
            <w:shd w:val="clear" w:color="auto" w:fill="auto"/>
            <w:noWrap/>
            <w:vAlign w:val="bottom"/>
            <w:hideMark/>
          </w:tcPr>
          <w:p w:rsidR="007E3012" w:rsidRPr="0068681C" w:rsidRDefault="007E3012" w:rsidP="006C33D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8</w:t>
            </w:r>
            <w:r w:rsidR="006C33D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6</w:t>
            </w:r>
          </w:p>
        </w:tc>
      </w:tr>
      <w:tr w:rsidR="007E3012" w:rsidRPr="0068681C" w:rsidTr="00FE1F00">
        <w:trPr>
          <w:trHeight w:val="300"/>
        </w:trPr>
        <w:tc>
          <w:tcPr>
            <w:tcW w:w="1241" w:type="dxa"/>
            <w:shd w:val="clear" w:color="auto" w:fill="auto"/>
            <w:noWrap/>
            <w:vAlign w:val="bottom"/>
            <w:hideMark/>
          </w:tcPr>
          <w:p w:rsidR="007E3012" w:rsidRPr="0068681C" w:rsidRDefault="006C33D0" w:rsidP="00FE1F00">
            <w:pPr>
              <w:spacing w:after="0" w:line="240" w:lineRule="auto"/>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Women</w:t>
            </w:r>
          </w:p>
        </w:tc>
        <w:tc>
          <w:tcPr>
            <w:tcW w:w="2047" w:type="dxa"/>
            <w:shd w:val="clear" w:color="auto" w:fill="auto"/>
            <w:noWrap/>
            <w:vAlign w:val="bottom"/>
            <w:hideMark/>
          </w:tcPr>
          <w:p w:rsidR="007E3012" w:rsidRPr="0068681C" w:rsidRDefault="006C33D0" w:rsidP="00FE1F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7E3012" w:rsidRPr="0068681C">
              <w:rPr>
                <w:rFonts w:ascii="Calibri" w:eastAsia="Times New Roman" w:hAnsi="Calibri" w:cs="Times New Roman"/>
                <w:noProof w:val="0"/>
                <w:color w:val="000000"/>
                <w:lang w:eastAsia="tr-TR"/>
              </w:rPr>
              <w:t>523</w:t>
            </w:r>
          </w:p>
        </w:tc>
        <w:tc>
          <w:tcPr>
            <w:tcW w:w="2048" w:type="dxa"/>
            <w:shd w:val="clear" w:color="auto" w:fill="auto"/>
            <w:noWrap/>
            <w:vAlign w:val="bottom"/>
            <w:hideMark/>
          </w:tcPr>
          <w:p w:rsidR="007E3012" w:rsidRPr="0068681C" w:rsidRDefault="006C33D0" w:rsidP="00FE1F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w:t>
            </w:r>
            <w:r w:rsidR="007E3012" w:rsidRPr="0068681C">
              <w:rPr>
                <w:rFonts w:ascii="Calibri" w:eastAsia="Times New Roman" w:hAnsi="Calibri" w:cs="Times New Roman"/>
                <w:noProof w:val="0"/>
                <w:color w:val="000000"/>
                <w:lang w:eastAsia="tr-TR"/>
              </w:rPr>
              <w:t>719</w:t>
            </w:r>
          </w:p>
        </w:tc>
        <w:tc>
          <w:tcPr>
            <w:tcW w:w="2048" w:type="dxa"/>
            <w:shd w:val="clear" w:color="auto" w:fill="auto"/>
            <w:noWrap/>
            <w:vAlign w:val="bottom"/>
            <w:hideMark/>
          </w:tcPr>
          <w:p w:rsidR="007E3012" w:rsidRPr="0068681C" w:rsidRDefault="007E3012" w:rsidP="00FE1F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196</w:t>
            </w:r>
          </w:p>
        </w:tc>
        <w:tc>
          <w:tcPr>
            <w:tcW w:w="2048" w:type="dxa"/>
            <w:shd w:val="clear" w:color="auto" w:fill="auto"/>
            <w:noWrap/>
            <w:vAlign w:val="bottom"/>
            <w:hideMark/>
          </w:tcPr>
          <w:p w:rsidR="007E3012" w:rsidRPr="0068681C" w:rsidRDefault="006C33D0" w:rsidP="00FE1F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12.</w:t>
            </w:r>
            <w:r w:rsidR="007E3012" w:rsidRPr="0068681C">
              <w:rPr>
                <w:rFonts w:ascii="Calibri" w:eastAsia="Times New Roman" w:hAnsi="Calibri" w:cs="Times New Roman"/>
                <w:noProof w:val="0"/>
                <w:color w:val="000000"/>
                <w:lang w:eastAsia="tr-TR"/>
              </w:rPr>
              <w:t>9</w:t>
            </w:r>
          </w:p>
        </w:tc>
      </w:tr>
    </w:tbl>
    <w:p w:rsidR="00641096" w:rsidRPr="0068681C" w:rsidRDefault="00641096" w:rsidP="00641096">
      <w:pPr>
        <w:rPr>
          <w:sz w:val="20"/>
          <w:szCs w:val="20"/>
        </w:rPr>
      </w:pPr>
      <w:r w:rsidRPr="0068681C">
        <w:rPr>
          <w:sz w:val="20"/>
          <w:szCs w:val="20"/>
        </w:rPr>
        <w:t xml:space="preserve">Source: HLFS 2013, Betam update for November 2015 </w:t>
      </w:r>
    </w:p>
    <w:p w:rsidR="00C73707" w:rsidRPr="0068681C" w:rsidRDefault="00C73707" w:rsidP="004A6A34">
      <w:pPr>
        <w:spacing w:after="0" w:line="240" w:lineRule="auto"/>
      </w:pPr>
    </w:p>
    <w:p w:rsidR="00273253" w:rsidRPr="0068681C" w:rsidRDefault="00273253" w:rsidP="00EB7A7B">
      <w:pPr>
        <w:spacing w:after="0"/>
      </w:pPr>
      <w:r w:rsidRPr="0068681C">
        <w:t xml:space="preserve">Minimum wage </w:t>
      </w:r>
      <w:r w:rsidR="006D06D0">
        <w:t>increase</w:t>
      </w:r>
      <w:r w:rsidRPr="0068681C">
        <w:t xml:space="preserve"> may help increase low rate of female labor force partipation. In other words, minimum wage </w:t>
      </w:r>
      <w:r w:rsidR="006D06D0">
        <w:t>increase</w:t>
      </w:r>
      <w:r w:rsidRPr="0068681C">
        <w:t xml:space="preserve"> by increasing the return of being in labor force may attract the women out of the labor force to participate.</w:t>
      </w:r>
    </w:p>
    <w:p w:rsidR="00273253" w:rsidRPr="0068681C" w:rsidRDefault="00273253" w:rsidP="00EB7A7B">
      <w:pPr>
        <w:spacing w:after="0"/>
      </w:pPr>
    </w:p>
    <w:p w:rsidR="00EB7A7B" w:rsidRPr="0068681C" w:rsidRDefault="00EB7A7B" w:rsidP="00EB7A7B">
      <w:pPr>
        <w:spacing w:after="0"/>
      </w:pPr>
    </w:p>
    <w:p w:rsidR="00EB7A7B" w:rsidRPr="0068681C" w:rsidRDefault="00273253" w:rsidP="00C12C71">
      <w:pPr>
        <w:spacing w:after="0" w:line="480" w:lineRule="auto"/>
        <w:rPr>
          <w:b/>
        </w:rPr>
      </w:pPr>
      <w:r w:rsidRPr="0068681C">
        <w:rPr>
          <w:b/>
        </w:rPr>
        <w:t xml:space="preserve">The youngs, the womens and informality </w:t>
      </w:r>
    </w:p>
    <w:p w:rsidR="007E3012" w:rsidRPr="0068681C" w:rsidRDefault="0026639E" w:rsidP="007D644B">
      <w:r w:rsidRPr="0068681C">
        <w:t xml:space="preserve">The data indicates that the increase in minimum wage will </w:t>
      </w:r>
      <w:r w:rsidR="000A7190" w:rsidRPr="0068681C">
        <w:t xml:space="preserve">be more likely to </w:t>
      </w:r>
      <w:r w:rsidRPr="0068681C">
        <w:t xml:space="preserve">affect </w:t>
      </w:r>
      <w:r w:rsidR="000A7190" w:rsidRPr="0068681C">
        <w:t xml:space="preserve">youngs and women. Since the share of employees working for minimum wage is higher among these groups, then minimum wage </w:t>
      </w:r>
      <w:r w:rsidR="006D06D0">
        <w:t>increase</w:t>
      </w:r>
      <w:r w:rsidR="000A7190" w:rsidRPr="0068681C">
        <w:t xml:space="preserve"> may help close the wage gap in the favour of these groups. </w:t>
      </w:r>
      <w:r w:rsidR="000F662B" w:rsidRPr="0068681C">
        <w:t xml:space="preserve"> However, on the other hand, </w:t>
      </w:r>
      <w:r w:rsidR="00FF32D4" w:rsidRPr="0068681C">
        <w:t xml:space="preserve">both </w:t>
      </w:r>
      <w:r w:rsidR="000F662B" w:rsidRPr="0068681C">
        <w:t xml:space="preserve">unemployment and informality rates </w:t>
      </w:r>
      <w:r w:rsidR="00FF32D4" w:rsidRPr="0068681C">
        <w:t xml:space="preserve">among the youngs and women </w:t>
      </w:r>
      <w:r w:rsidR="000F662B" w:rsidRPr="0068681C">
        <w:t>are higher</w:t>
      </w:r>
      <w:r w:rsidR="00FF32D4" w:rsidRPr="0068681C">
        <w:t xml:space="preserve"> relative to other groups.</w:t>
      </w:r>
      <w:r w:rsidR="00D76407" w:rsidRPr="0068681C">
        <w:t xml:space="preserve"> According to 2013-HLFS data, one out of every five youngs in the ages between 15 and 24 years could not find a job and their informality rates for those working as wage earners/casual workers or salary earners are reaching to 35.3 percent (</w:t>
      </w:r>
      <w:r w:rsidR="000E1A74" w:rsidRPr="0068681C">
        <w:fldChar w:fldCharType="begin"/>
      </w:r>
      <w:r w:rsidR="000E1A74" w:rsidRPr="0068681C">
        <w:instrText xml:space="preserve"> REF _Ref448649927 \h </w:instrText>
      </w:r>
      <w:r w:rsidR="000E1A74" w:rsidRPr="0068681C">
        <w:fldChar w:fldCharType="separate"/>
      </w:r>
      <w:r w:rsidR="000E1A74" w:rsidRPr="0068681C">
        <w:t>Additional Table 1</w:t>
      </w:r>
      <w:r w:rsidR="000E1A74" w:rsidRPr="0068681C">
        <w:fldChar w:fldCharType="end"/>
      </w:r>
      <w:r w:rsidR="000E1A74" w:rsidRPr="0068681C">
        <w:t>)</w:t>
      </w:r>
      <w:r w:rsidR="00346CF7" w:rsidRPr="0068681C">
        <w:t>.</w:t>
      </w:r>
      <w:r w:rsidR="007252F1" w:rsidRPr="0068681C">
        <w:t xml:space="preserve"> According to HLFS data in 2013 shows, 22.2 percent of women and 19.1 percent of men are informally employed in paid jobs</w:t>
      </w:r>
      <w:r w:rsidR="007D644B" w:rsidRPr="0068681C">
        <w:t xml:space="preserve"> (</w:t>
      </w:r>
      <w:r w:rsidR="007D644B" w:rsidRPr="0068681C">
        <w:fldChar w:fldCharType="begin"/>
      </w:r>
      <w:r w:rsidR="007D644B" w:rsidRPr="0068681C">
        <w:instrText xml:space="preserve"> REF _Ref442815148 \h </w:instrText>
      </w:r>
      <w:r w:rsidR="007D644B" w:rsidRPr="0068681C">
        <w:fldChar w:fldCharType="separate"/>
      </w:r>
      <w:r w:rsidR="007D644B" w:rsidRPr="0068681C">
        <w:t>Additional Table 2</w:t>
      </w:r>
      <w:r w:rsidR="007D644B" w:rsidRPr="0068681C">
        <w:fldChar w:fldCharType="end"/>
      </w:r>
      <w:r w:rsidR="007D644B" w:rsidRPr="0068681C">
        <w:t>)</w:t>
      </w:r>
      <w:r w:rsidR="007252F1" w:rsidRPr="0068681C">
        <w:t xml:space="preserve">.  </w:t>
      </w:r>
    </w:p>
    <w:p w:rsidR="009D2424" w:rsidRPr="0068681C" w:rsidRDefault="00EC4463" w:rsidP="00A00302">
      <w:pPr>
        <w:spacing w:after="0"/>
      </w:pPr>
      <w:r w:rsidRPr="0068681C">
        <w:t xml:space="preserve">In consideration of </w:t>
      </w:r>
      <w:r w:rsidR="00A00302" w:rsidRPr="0068681C">
        <w:t xml:space="preserve">the </w:t>
      </w:r>
      <w:r w:rsidR="00A00302" w:rsidRPr="0068681C">
        <w:t xml:space="preserve">regulation </w:t>
      </w:r>
      <w:r w:rsidRPr="0068681C">
        <w:t xml:space="preserve">legally binding to </w:t>
      </w:r>
      <w:r w:rsidR="00A00302" w:rsidRPr="0068681C">
        <w:t xml:space="preserve">the </w:t>
      </w:r>
      <w:r w:rsidRPr="0068681C">
        <w:t xml:space="preserve">firms, their production cost will substantially increase. </w:t>
      </w:r>
      <w:r w:rsidR="00A00302" w:rsidRPr="0068681C">
        <w:t xml:space="preserve">And thereby, it is more likely </w:t>
      </w:r>
      <w:r w:rsidR="00A00302" w:rsidRPr="0068681C">
        <w:t>the firms</w:t>
      </w:r>
      <w:r w:rsidR="00A00302" w:rsidRPr="0068681C">
        <w:t xml:space="preserve"> to incline into the informal market</w:t>
      </w:r>
      <w:r w:rsidR="006A61DB" w:rsidRPr="0068681C">
        <w:t xml:space="preserve"> if no increased </w:t>
      </w:r>
      <w:r w:rsidR="00A00302" w:rsidRPr="0068681C">
        <w:t>comprehensively auditing.</w:t>
      </w:r>
      <w:r w:rsidR="009D2424" w:rsidRPr="0068681C">
        <w:t xml:space="preserve"> Besides, it is predictable that </w:t>
      </w:r>
      <w:r w:rsidR="006B0A8E" w:rsidRPr="0068681C">
        <w:t xml:space="preserve">job creation may have a moderate decrease </w:t>
      </w:r>
    </w:p>
    <w:p w:rsidR="00A00302" w:rsidRPr="0068681C" w:rsidRDefault="009D2424" w:rsidP="00A00302">
      <w:pPr>
        <w:spacing w:after="0"/>
      </w:pPr>
      <w:r w:rsidRPr="0068681C">
        <w:t>along with the increase in labor cost</w:t>
      </w:r>
      <w:r w:rsidR="006B0A8E" w:rsidRPr="0068681C">
        <w:t>.</w:t>
      </w:r>
      <w:r w:rsidR="00454EB8" w:rsidRPr="0068681C">
        <w:t xml:space="preserve"> Thereby, it is likely the effect of minimum wage </w:t>
      </w:r>
      <w:r w:rsidR="006D06D0">
        <w:t>increase</w:t>
      </w:r>
      <w:r w:rsidR="00454EB8" w:rsidRPr="0068681C">
        <w:t xml:space="preserve"> to </w:t>
      </w:r>
      <w:r w:rsidR="00454EB8" w:rsidRPr="0068681C">
        <w:t>the disadvantaged groups in the labor market such as the youngs and the women</w:t>
      </w:r>
      <w:r w:rsidR="00454EB8" w:rsidRPr="0068681C">
        <w:t xml:space="preserve"> </w:t>
      </w:r>
      <w:r w:rsidR="003A4C19" w:rsidRPr="0068681C">
        <w:t>to be worsen</w:t>
      </w:r>
      <w:r w:rsidR="00454EB8" w:rsidRPr="0068681C">
        <w:t>.</w:t>
      </w:r>
    </w:p>
    <w:p w:rsidR="00A00302" w:rsidRPr="0068681C" w:rsidRDefault="00A00302" w:rsidP="00A00302">
      <w:pPr>
        <w:spacing w:after="0"/>
      </w:pPr>
    </w:p>
    <w:p w:rsidR="007E3012" w:rsidRPr="0068681C" w:rsidRDefault="007E3012"/>
    <w:p w:rsidR="007E3012" w:rsidRPr="0068681C" w:rsidRDefault="007E3012" w:rsidP="001A0B19">
      <w:pPr>
        <w:rPr>
          <w:b/>
          <w:bCs/>
          <w:sz w:val="18"/>
          <w:szCs w:val="18"/>
        </w:rPr>
      </w:pPr>
      <w:r w:rsidRPr="0068681C">
        <w:t xml:space="preserve"> </w:t>
      </w:r>
    </w:p>
    <w:p w:rsidR="001A0B19" w:rsidRPr="0068681C" w:rsidRDefault="001A0B19">
      <w:pPr>
        <w:rPr>
          <w:b/>
          <w:bCs/>
        </w:rPr>
      </w:pPr>
      <w:r w:rsidRPr="0068681C">
        <w:br w:type="page"/>
      </w:r>
    </w:p>
    <w:p w:rsidR="004E38FF" w:rsidRPr="0068681C" w:rsidRDefault="00D76407" w:rsidP="004E38FF">
      <w:pPr>
        <w:pStyle w:val="ResimYazs"/>
        <w:keepNext/>
      </w:pPr>
      <w:bookmarkStart w:id="10" w:name="_Ref448649927"/>
      <w:r w:rsidRPr="0068681C">
        <w:rPr>
          <w:color w:val="auto"/>
          <w:sz w:val="22"/>
          <w:szCs w:val="22"/>
        </w:rPr>
        <w:lastRenderedPageBreak/>
        <w:t>Additional</w:t>
      </w:r>
      <w:r w:rsidR="004E38FF" w:rsidRPr="0068681C">
        <w:rPr>
          <w:color w:val="auto"/>
          <w:sz w:val="22"/>
          <w:szCs w:val="22"/>
        </w:rPr>
        <w:t xml:space="preserve"> Tabl</w:t>
      </w:r>
      <w:r w:rsidRPr="0068681C">
        <w:rPr>
          <w:color w:val="auto"/>
          <w:sz w:val="22"/>
          <w:szCs w:val="22"/>
        </w:rPr>
        <w:t>e</w:t>
      </w:r>
      <w:r w:rsidR="004E38FF" w:rsidRPr="0068681C">
        <w:rPr>
          <w:color w:val="auto"/>
          <w:sz w:val="22"/>
          <w:szCs w:val="22"/>
        </w:rPr>
        <w:t xml:space="preserve"> </w:t>
      </w:r>
      <w:r w:rsidR="00C3763F" w:rsidRPr="0068681C">
        <w:rPr>
          <w:color w:val="auto"/>
          <w:sz w:val="22"/>
          <w:szCs w:val="22"/>
        </w:rPr>
        <w:fldChar w:fldCharType="begin"/>
      </w:r>
      <w:r w:rsidR="004E38FF" w:rsidRPr="0068681C">
        <w:rPr>
          <w:color w:val="auto"/>
          <w:sz w:val="22"/>
          <w:szCs w:val="22"/>
        </w:rPr>
        <w:instrText xml:space="preserve"> SEQ Denklem \* ARABIC </w:instrText>
      </w:r>
      <w:r w:rsidR="00C3763F" w:rsidRPr="0068681C">
        <w:rPr>
          <w:color w:val="auto"/>
          <w:sz w:val="22"/>
          <w:szCs w:val="22"/>
        </w:rPr>
        <w:fldChar w:fldCharType="separate"/>
      </w:r>
      <w:r w:rsidR="000E1A74" w:rsidRPr="0068681C">
        <w:rPr>
          <w:color w:val="auto"/>
          <w:sz w:val="22"/>
          <w:szCs w:val="22"/>
        </w:rPr>
        <w:t>1</w:t>
      </w:r>
      <w:r w:rsidR="00C3763F" w:rsidRPr="0068681C">
        <w:rPr>
          <w:color w:val="auto"/>
          <w:sz w:val="22"/>
          <w:szCs w:val="22"/>
        </w:rPr>
        <w:fldChar w:fldCharType="end"/>
      </w:r>
      <w:bookmarkEnd w:id="10"/>
      <w:r w:rsidR="004E38FF" w:rsidRPr="0068681C">
        <w:rPr>
          <w:color w:val="auto"/>
          <w:sz w:val="22"/>
          <w:szCs w:val="22"/>
        </w:rPr>
        <w:t xml:space="preserve"> </w:t>
      </w:r>
      <w:r w:rsidR="008D6625" w:rsidRPr="0068681C">
        <w:rPr>
          <w:color w:val="auto"/>
          <w:sz w:val="22"/>
          <w:szCs w:val="22"/>
        </w:rPr>
        <w:t xml:space="preserve">Unemployent and informality rates in Turkey and in youngs. </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181"/>
        <w:gridCol w:w="2294"/>
        <w:gridCol w:w="1992"/>
      </w:tblGrid>
      <w:tr w:rsidR="00F812A1" w:rsidRPr="0068681C" w:rsidTr="00C01A00">
        <w:trPr>
          <w:trHeight w:val="329"/>
        </w:trPr>
        <w:tc>
          <w:tcPr>
            <w:tcW w:w="0" w:type="auto"/>
            <w:shd w:val="clear" w:color="auto" w:fill="auto"/>
            <w:noWrap/>
            <w:vAlign w:val="bottom"/>
            <w:hideMark/>
          </w:tcPr>
          <w:p w:rsidR="00F812A1" w:rsidRPr="0068681C" w:rsidRDefault="00F812A1" w:rsidP="004E58DC">
            <w:pPr>
              <w:spacing w:after="0" w:line="240" w:lineRule="auto"/>
              <w:rPr>
                <w:rFonts w:ascii="Calibri" w:eastAsia="Times New Roman" w:hAnsi="Calibri" w:cs="Times New Roman"/>
                <w:noProof w:val="0"/>
                <w:color w:val="000000"/>
                <w:lang w:eastAsia="tr-TR"/>
              </w:rPr>
            </w:pPr>
          </w:p>
        </w:tc>
        <w:tc>
          <w:tcPr>
            <w:tcW w:w="0" w:type="auto"/>
            <w:shd w:val="clear" w:color="auto" w:fill="auto"/>
            <w:noWrap/>
            <w:vAlign w:val="bottom"/>
            <w:hideMark/>
          </w:tcPr>
          <w:p w:rsidR="00F812A1" w:rsidRPr="0068681C" w:rsidRDefault="00F812A1" w:rsidP="004E58DC">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Unemployment rate (%)</w:t>
            </w:r>
          </w:p>
        </w:tc>
        <w:tc>
          <w:tcPr>
            <w:tcW w:w="0" w:type="auto"/>
            <w:shd w:val="clear" w:color="auto" w:fill="auto"/>
            <w:noWrap/>
            <w:vAlign w:val="bottom"/>
            <w:hideMark/>
          </w:tcPr>
          <w:p w:rsidR="00F812A1" w:rsidRPr="0068681C" w:rsidRDefault="00F812A1" w:rsidP="004E58DC">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Informality rate* (%)</w:t>
            </w:r>
          </w:p>
        </w:tc>
      </w:tr>
      <w:tr w:rsidR="00F812A1" w:rsidRPr="0068681C" w:rsidTr="00C01A00">
        <w:trPr>
          <w:trHeight w:val="329"/>
        </w:trPr>
        <w:tc>
          <w:tcPr>
            <w:tcW w:w="0" w:type="auto"/>
            <w:shd w:val="clear" w:color="auto" w:fill="auto"/>
            <w:noWrap/>
            <w:vAlign w:val="bottom"/>
            <w:hideMark/>
          </w:tcPr>
          <w:p w:rsidR="00F812A1" w:rsidRPr="0068681C" w:rsidRDefault="00F812A1" w:rsidP="00F812A1">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15-24 years</w:t>
            </w:r>
          </w:p>
        </w:tc>
        <w:tc>
          <w:tcPr>
            <w:tcW w:w="0" w:type="auto"/>
            <w:shd w:val="clear" w:color="auto" w:fill="auto"/>
            <w:noWrap/>
            <w:vAlign w:val="bottom"/>
            <w:hideMark/>
          </w:tcPr>
          <w:p w:rsidR="00F812A1" w:rsidRPr="0068681C" w:rsidRDefault="00F812A1" w:rsidP="00F812A1">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18.7</w:t>
            </w:r>
          </w:p>
        </w:tc>
        <w:tc>
          <w:tcPr>
            <w:tcW w:w="0" w:type="auto"/>
            <w:shd w:val="clear" w:color="auto" w:fill="auto"/>
            <w:noWrap/>
            <w:vAlign w:val="bottom"/>
            <w:hideMark/>
          </w:tcPr>
          <w:p w:rsidR="00F812A1" w:rsidRPr="0068681C" w:rsidRDefault="00F812A1" w:rsidP="004E58DC">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35.3</w:t>
            </w:r>
          </w:p>
        </w:tc>
      </w:tr>
      <w:tr w:rsidR="00F812A1" w:rsidRPr="0068681C" w:rsidTr="00C01A00">
        <w:trPr>
          <w:trHeight w:val="329"/>
        </w:trPr>
        <w:tc>
          <w:tcPr>
            <w:tcW w:w="0" w:type="auto"/>
            <w:shd w:val="clear" w:color="auto" w:fill="auto"/>
            <w:noWrap/>
            <w:vAlign w:val="bottom"/>
            <w:hideMark/>
          </w:tcPr>
          <w:p w:rsidR="00F812A1" w:rsidRPr="0068681C" w:rsidRDefault="00C01A00" w:rsidP="00C01A00">
            <w:pPr>
              <w:spacing w:after="0" w:line="240" w:lineRule="auto"/>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Turkey</w:t>
            </w:r>
          </w:p>
        </w:tc>
        <w:tc>
          <w:tcPr>
            <w:tcW w:w="0" w:type="auto"/>
            <w:shd w:val="clear" w:color="auto" w:fill="auto"/>
            <w:noWrap/>
            <w:vAlign w:val="bottom"/>
            <w:hideMark/>
          </w:tcPr>
          <w:p w:rsidR="00F812A1" w:rsidRPr="0068681C" w:rsidRDefault="00F812A1" w:rsidP="004E58DC">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9.7</w:t>
            </w:r>
          </w:p>
        </w:tc>
        <w:tc>
          <w:tcPr>
            <w:tcW w:w="0" w:type="auto"/>
            <w:shd w:val="clear" w:color="auto" w:fill="auto"/>
            <w:noWrap/>
            <w:vAlign w:val="bottom"/>
            <w:hideMark/>
          </w:tcPr>
          <w:p w:rsidR="00F812A1" w:rsidRPr="0068681C" w:rsidRDefault="00F812A1" w:rsidP="004E58DC">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19.9</w:t>
            </w:r>
          </w:p>
        </w:tc>
      </w:tr>
    </w:tbl>
    <w:p w:rsidR="004E38FF" w:rsidRPr="0068681C" w:rsidRDefault="00E02601" w:rsidP="004E38FF">
      <w:pPr>
        <w:spacing w:after="0" w:line="240" w:lineRule="auto"/>
        <w:rPr>
          <w:sz w:val="20"/>
          <w:szCs w:val="20"/>
        </w:rPr>
      </w:pPr>
      <w:r w:rsidRPr="0068681C">
        <w:rPr>
          <w:sz w:val="20"/>
          <w:szCs w:val="20"/>
        </w:rPr>
        <w:t>Source</w:t>
      </w:r>
      <w:r w:rsidR="004E38FF" w:rsidRPr="0068681C">
        <w:rPr>
          <w:sz w:val="20"/>
          <w:szCs w:val="20"/>
        </w:rPr>
        <w:t xml:space="preserve">: </w:t>
      </w:r>
      <w:r w:rsidR="00D76407" w:rsidRPr="0068681C">
        <w:rPr>
          <w:sz w:val="20"/>
          <w:szCs w:val="20"/>
        </w:rPr>
        <w:t>Household Labor Force Survey(HLFS)</w:t>
      </w:r>
      <w:r w:rsidR="004E38FF" w:rsidRPr="0068681C">
        <w:rPr>
          <w:sz w:val="20"/>
          <w:szCs w:val="20"/>
        </w:rPr>
        <w:t xml:space="preserve"> 2013, Betam</w:t>
      </w:r>
    </w:p>
    <w:p w:rsidR="004E38FF" w:rsidRPr="0068681C" w:rsidRDefault="004E38FF" w:rsidP="004E38FF">
      <w:pPr>
        <w:spacing w:after="0" w:line="240" w:lineRule="auto"/>
        <w:rPr>
          <w:sz w:val="20"/>
          <w:szCs w:val="20"/>
        </w:rPr>
      </w:pPr>
      <w:r w:rsidRPr="0068681C">
        <w:rPr>
          <w:sz w:val="20"/>
          <w:szCs w:val="20"/>
        </w:rPr>
        <w:t>*</w:t>
      </w:r>
      <w:r w:rsidR="00E02601" w:rsidRPr="0068681C">
        <w:rPr>
          <w:sz w:val="20"/>
          <w:szCs w:val="20"/>
        </w:rPr>
        <w:t>Calculated among wage and salary earners and casual employees.</w:t>
      </w:r>
    </w:p>
    <w:p w:rsidR="004E38FF" w:rsidRPr="0068681C" w:rsidRDefault="004E38FF" w:rsidP="004E38FF">
      <w:pPr>
        <w:pStyle w:val="ResimYazs"/>
        <w:keepNext/>
        <w:rPr>
          <w:color w:val="auto"/>
          <w:sz w:val="22"/>
          <w:szCs w:val="22"/>
        </w:rPr>
      </w:pPr>
      <w:bookmarkStart w:id="11" w:name="_Ref442815009"/>
    </w:p>
    <w:p w:rsidR="00334E4B" w:rsidRPr="0068681C" w:rsidRDefault="007252F1" w:rsidP="008D407F">
      <w:pPr>
        <w:pStyle w:val="ResimYazs"/>
        <w:keepNext/>
      </w:pPr>
      <w:bookmarkStart w:id="12" w:name="_Ref442815148"/>
      <w:bookmarkEnd w:id="11"/>
      <w:r w:rsidRPr="0068681C">
        <w:rPr>
          <w:color w:val="auto"/>
          <w:sz w:val="22"/>
          <w:szCs w:val="22"/>
        </w:rPr>
        <w:t xml:space="preserve">Additional Table </w:t>
      </w:r>
      <w:r w:rsidR="00C3763F" w:rsidRPr="0068681C">
        <w:rPr>
          <w:color w:val="auto"/>
          <w:sz w:val="22"/>
          <w:szCs w:val="22"/>
        </w:rPr>
        <w:fldChar w:fldCharType="begin"/>
      </w:r>
      <w:r w:rsidR="00334E4B" w:rsidRPr="0068681C">
        <w:rPr>
          <w:color w:val="auto"/>
          <w:sz w:val="22"/>
          <w:szCs w:val="22"/>
        </w:rPr>
        <w:instrText xml:space="preserve"> SEQ Denklem \* ARABIC </w:instrText>
      </w:r>
      <w:r w:rsidR="00C3763F" w:rsidRPr="0068681C">
        <w:rPr>
          <w:color w:val="auto"/>
          <w:sz w:val="22"/>
          <w:szCs w:val="22"/>
        </w:rPr>
        <w:fldChar w:fldCharType="separate"/>
      </w:r>
      <w:r w:rsidR="005551C6" w:rsidRPr="0068681C">
        <w:rPr>
          <w:color w:val="auto"/>
          <w:sz w:val="22"/>
          <w:szCs w:val="22"/>
        </w:rPr>
        <w:t>2</w:t>
      </w:r>
      <w:r w:rsidR="00C3763F" w:rsidRPr="0068681C">
        <w:rPr>
          <w:color w:val="auto"/>
          <w:sz w:val="22"/>
          <w:szCs w:val="22"/>
        </w:rPr>
        <w:fldChar w:fldCharType="end"/>
      </w:r>
      <w:bookmarkEnd w:id="12"/>
      <w:r w:rsidR="00334E4B" w:rsidRPr="0068681C">
        <w:rPr>
          <w:color w:val="auto"/>
          <w:sz w:val="22"/>
          <w:szCs w:val="22"/>
        </w:rPr>
        <w:t xml:space="preserve"> </w:t>
      </w:r>
      <w:r w:rsidR="002B199F" w:rsidRPr="0068681C">
        <w:rPr>
          <w:color w:val="auto"/>
          <w:sz w:val="22"/>
          <w:szCs w:val="22"/>
        </w:rPr>
        <w:t>Labor market indicators by gender</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853"/>
        <w:gridCol w:w="2294"/>
        <w:gridCol w:w="1992"/>
      </w:tblGrid>
      <w:tr w:rsidR="00C904AA" w:rsidRPr="0068681C" w:rsidTr="00C01A00">
        <w:trPr>
          <w:trHeight w:val="329"/>
        </w:trPr>
        <w:tc>
          <w:tcPr>
            <w:tcW w:w="0" w:type="auto"/>
            <w:shd w:val="clear" w:color="auto" w:fill="auto"/>
            <w:noWrap/>
            <w:vAlign w:val="bottom"/>
            <w:hideMark/>
          </w:tcPr>
          <w:p w:rsidR="00C904AA" w:rsidRPr="0068681C" w:rsidRDefault="00C904AA" w:rsidP="008D407F">
            <w:pPr>
              <w:spacing w:after="0" w:line="240" w:lineRule="auto"/>
              <w:rPr>
                <w:rFonts w:ascii="Calibri" w:eastAsia="Times New Roman" w:hAnsi="Calibri" w:cs="Times New Roman"/>
                <w:noProof w:val="0"/>
                <w:color w:val="000000"/>
                <w:lang w:eastAsia="tr-TR"/>
              </w:rPr>
            </w:pPr>
          </w:p>
        </w:tc>
        <w:tc>
          <w:tcPr>
            <w:tcW w:w="0" w:type="auto"/>
            <w:shd w:val="clear" w:color="auto" w:fill="auto"/>
            <w:noWrap/>
            <w:vAlign w:val="bottom"/>
            <w:hideMark/>
          </w:tcPr>
          <w:p w:rsidR="00C904AA" w:rsidRPr="0068681C" w:rsidRDefault="00C01A00" w:rsidP="008D407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 xml:space="preserve">Unemployment rate </w:t>
            </w:r>
            <w:r w:rsidR="00C904AA" w:rsidRPr="0068681C">
              <w:rPr>
                <w:rFonts w:ascii="Calibri" w:eastAsia="Times New Roman" w:hAnsi="Calibri" w:cs="Times New Roman"/>
                <w:noProof w:val="0"/>
                <w:color w:val="000000"/>
                <w:lang w:eastAsia="tr-TR"/>
              </w:rPr>
              <w:t>(%)</w:t>
            </w:r>
          </w:p>
        </w:tc>
        <w:tc>
          <w:tcPr>
            <w:tcW w:w="0" w:type="auto"/>
            <w:shd w:val="clear" w:color="auto" w:fill="auto"/>
            <w:noWrap/>
            <w:vAlign w:val="bottom"/>
            <w:hideMark/>
          </w:tcPr>
          <w:p w:rsidR="00C904AA" w:rsidRPr="0068681C" w:rsidRDefault="00C01A00" w:rsidP="008D407F">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Informality rate</w:t>
            </w:r>
            <w:r w:rsidR="00AE08F9" w:rsidRPr="0068681C">
              <w:rPr>
                <w:rFonts w:ascii="Calibri" w:eastAsia="Times New Roman" w:hAnsi="Calibri" w:cs="Times New Roman"/>
                <w:noProof w:val="0"/>
                <w:color w:val="000000"/>
                <w:lang w:eastAsia="tr-TR"/>
              </w:rPr>
              <w:t>*</w:t>
            </w:r>
            <w:r w:rsidR="00C904AA" w:rsidRPr="0068681C">
              <w:rPr>
                <w:rFonts w:ascii="Calibri" w:eastAsia="Times New Roman" w:hAnsi="Calibri" w:cs="Times New Roman"/>
                <w:noProof w:val="0"/>
                <w:color w:val="000000"/>
                <w:lang w:eastAsia="tr-TR"/>
              </w:rPr>
              <w:t xml:space="preserve"> (%)</w:t>
            </w:r>
          </w:p>
        </w:tc>
      </w:tr>
      <w:tr w:rsidR="00C904AA" w:rsidRPr="0068681C" w:rsidTr="00C01A00">
        <w:trPr>
          <w:trHeight w:val="329"/>
        </w:trPr>
        <w:tc>
          <w:tcPr>
            <w:tcW w:w="0" w:type="auto"/>
            <w:shd w:val="clear" w:color="auto" w:fill="auto"/>
            <w:noWrap/>
            <w:vAlign w:val="bottom"/>
          </w:tcPr>
          <w:p w:rsidR="00C904AA" w:rsidRPr="0068681C" w:rsidRDefault="00C01A00" w:rsidP="008D407F">
            <w:pPr>
              <w:spacing w:after="0" w:line="240" w:lineRule="auto"/>
              <w:jc w:val="center"/>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Men</w:t>
            </w:r>
          </w:p>
        </w:tc>
        <w:tc>
          <w:tcPr>
            <w:tcW w:w="0" w:type="auto"/>
            <w:shd w:val="clear" w:color="auto" w:fill="auto"/>
            <w:noWrap/>
            <w:vAlign w:val="bottom"/>
          </w:tcPr>
          <w:p w:rsidR="00C904AA" w:rsidRPr="0068681C" w:rsidRDefault="00C904AA" w:rsidP="00C01A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8</w:t>
            </w:r>
            <w:r w:rsidR="00C01A0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7</w:t>
            </w:r>
          </w:p>
        </w:tc>
        <w:tc>
          <w:tcPr>
            <w:tcW w:w="0" w:type="auto"/>
            <w:shd w:val="clear" w:color="auto" w:fill="auto"/>
            <w:noWrap/>
            <w:vAlign w:val="bottom"/>
          </w:tcPr>
          <w:p w:rsidR="00C904AA" w:rsidRPr="0068681C" w:rsidRDefault="008D407F" w:rsidP="00C01A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19</w:t>
            </w:r>
            <w:r w:rsidR="00C01A0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1</w:t>
            </w:r>
          </w:p>
        </w:tc>
      </w:tr>
      <w:tr w:rsidR="00C904AA" w:rsidRPr="0068681C" w:rsidTr="00C01A00">
        <w:trPr>
          <w:trHeight w:val="329"/>
        </w:trPr>
        <w:tc>
          <w:tcPr>
            <w:tcW w:w="0" w:type="auto"/>
            <w:shd w:val="clear" w:color="auto" w:fill="auto"/>
            <w:noWrap/>
            <w:vAlign w:val="bottom"/>
          </w:tcPr>
          <w:p w:rsidR="00C904AA" w:rsidRPr="0068681C" w:rsidRDefault="00C01A00" w:rsidP="008D407F">
            <w:pPr>
              <w:spacing w:after="0" w:line="240" w:lineRule="auto"/>
              <w:jc w:val="center"/>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Women</w:t>
            </w:r>
          </w:p>
        </w:tc>
        <w:tc>
          <w:tcPr>
            <w:tcW w:w="0" w:type="auto"/>
            <w:shd w:val="clear" w:color="auto" w:fill="auto"/>
            <w:noWrap/>
            <w:vAlign w:val="bottom"/>
          </w:tcPr>
          <w:p w:rsidR="00C904AA" w:rsidRPr="0068681C" w:rsidRDefault="00C904AA" w:rsidP="00C01A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11</w:t>
            </w:r>
            <w:r w:rsidR="00C01A0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9</w:t>
            </w:r>
          </w:p>
        </w:tc>
        <w:tc>
          <w:tcPr>
            <w:tcW w:w="0" w:type="auto"/>
            <w:shd w:val="clear" w:color="auto" w:fill="auto"/>
            <w:noWrap/>
            <w:vAlign w:val="bottom"/>
          </w:tcPr>
          <w:p w:rsidR="00C904AA" w:rsidRPr="0068681C" w:rsidRDefault="008D407F" w:rsidP="00C01A00">
            <w:pPr>
              <w:spacing w:after="0" w:line="240" w:lineRule="auto"/>
              <w:jc w:val="right"/>
              <w:rPr>
                <w:rFonts w:ascii="Calibri" w:eastAsia="Times New Roman" w:hAnsi="Calibri" w:cs="Times New Roman"/>
                <w:noProof w:val="0"/>
                <w:color w:val="000000"/>
                <w:lang w:eastAsia="tr-TR"/>
              </w:rPr>
            </w:pPr>
            <w:r w:rsidRPr="0068681C">
              <w:rPr>
                <w:rFonts w:ascii="Calibri" w:eastAsia="Times New Roman" w:hAnsi="Calibri" w:cs="Times New Roman"/>
                <w:noProof w:val="0"/>
                <w:color w:val="000000"/>
                <w:lang w:eastAsia="tr-TR"/>
              </w:rPr>
              <w:t>22</w:t>
            </w:r>
            <w:r w:rsidR="00C01A00" w:rsidRPr="0068681C">
              <w:rPr>
                <w:rFonts w:ascii="Calibri" w:eastAsia="Times New Roman" w:hAnsi="Calibri" w:cs="Times New Roman"/>
                <w:noProof w:val="0"/>
                <w:color w:val="000000"/>
                <w:lang w:eastAsia="tr-TR"/>
              </w:rPr>
              <w:t>.</w:t>
            </w:r>
            <w:r w:rsidRPr="0068681C">
              <w:rPr>
                <w:rFonts w:ascii="Calibri" w:eastAsia="Times New Roman" w:hAnsi="Calibri" w:cs="Times New Roman"/>
                <w:noProof w:val="0"/>
                <w:color w:val="000000"/>
                <w:lang w:eastAsia="tr-TR"/>
              </w:rPr>
              <w:t>2</w:t>
            </w:r>
          </w:p>
        </w:tc>
      </w:tr>
    </w:tbl>
    <w:p w:rsidR="00042BD8" w:rsidRPr="0068681C" w:rsidRDefault="00042BD8" w:rsidP="00042BD8">
      <w:pPr>
        <w:spacing w:after="0" w:line="240" w:lineRule="auto"/>
        <w:rPr>
          <w:sz w:val="20"/>
          <w:szCs w:val="20"/>
        </w:rPr>
      </w:pPr>
      <w:r w:rsidRPr="0068681C">
        <w:rPr>
          <w:sz w:val="20"/>
          <w:szCs w:val="20"/>
        </w:rPr>
        <w:t>Source: Household Labor Force Survey(HLFS) 2013, Betam</w:t>
      </w:r>
    </w:p>
    <w:p w:rsidR="00E02601" w:rsidRPr="0068681C" w:rsidRDefault="00E02601" w:rsidP="00E02601">
      <w:pPr>
        <w:spacing w:after="0" w:line="240" w:lineRule="auto"/>
        <w:rPr>
          <w:sz w:val="20"/>
          <w:szCs w:val="20"/>
        </w:rPr>
      </w:pPr>
      <w:r w:rsidRPr="0068681C">
        <w:rPr>
          <w:sz w:val="20"/>
          <w:szCs w:val="20"/>
        </w:rPr>
        <w:t>*Calculated among wage and salary earners and casual employees.</w:t>
      </w:r>
    </w:p>
    <w:p w:rsidR="00AE08F9" w:rsidRPr="0068681C" w:rsidRDefault="00AE08F9" w:rsidP="00E02601">
      <w:pPr>
        <w:spacing w:after="0" w:line="240" w:lineRule="auto"/>
        <w:rPr>
          <w:sz w:val="20"/>
          <w:szCs w:val="20"/>
        </w:rPr>
      </w:pPr>
    </w:p>
    <w:sectPr w:rsidR="00AE08F9" w:rsidRPr="0068681C" w:rsidSect="00E55BE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8F9" w:rsidRDefault="00A408F9" w:rsidP="00737811">
      <w:pPr>
        <w:spacing w:after="0" w:line="240" w:lineRule="auto"/>
      </w:pPr>
      <w:r>
        <w:separator/>
      </w:r>
    </w:p>
  </w:endnote>
  <w:endnote w:type="continuationSeparator" w:id="0">
    <w:p w:rsidR="00A408F9" w:rsidRDefault="00A408F9" w:rsidP="0073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8F9" w:rsidRDefault="00A408F9" w:rsidP="00737811">
      <w:pPr>
        <w:spacing w:after="0" w:line="240" w:lineRule="auto"/>
      </w:pPr>
      <w:r>
        <w:separator/>
      </w:r>
    </w:p>
  </w:footnote>
  <w:footnote w:type="continuationSeparator" w:id="0">
    <w:p w:rsidR="00A408F9" w:rsidRDefault="00A408F9" w:rsidP="00737811">
      <w:pPr>
        <w:spacing w:after="0" w:line="240" w:lineRule="auto"/>
      </w:pPr>
      <w:r>
        <w:continuationSeparator/>
      </w:r>
    </w:p>
  </w:footnote>
  <w:footnote w:id="1">
    <w:p w:rsidR="00AF6C6F" w:rsidRPr="00F477EA" w:rsidRDefault="00AF6C6F" w:rsidP="00AF6C6F">
      <w:pPr>
        <w:pStyle w:val="DipnotMetni"/>
      </w:pPr>
      <w:r w:rsidRPr="00F477EA">
        <w:rPr>
          <w:rStyle w:val="DipnotBavurusu"/>
          <w:sz w:val="16"/>
          <w:szCs w:val="16"/>
        </w:rPr>
        <w:t>*</w:t>
      </w:r>
      <w:r w:rsidRPr="00F477EA">
        <w:rPr>
          <w:rFonts w:cs="Arial"/>
          <w:sz w:val="16"/>
          <w:szCs w:val="16"/>
        </w:rPr>
        <w:t xml:space="preserve">Prof. Dr. Seyfettin Gürsel, Betam, </w:t>
      </w:r>
      <w:proofErr w:type="spellStart"/>
      <w:r w:rsidRPr="00F477EA">
        <w:rPr>
          <w:rFonts w:cs="Arial"/>
          <w:sz w:val="16"/>
          <w:szCs w:val="16"/>
        </w:rPr>
        <w:t>Dire</w:t>
      </w:r>
      <w:r w:rsidR="00B958CD">
        <w:rPr>
          <w:rFonts w:cs="Arial"/>
          <w:sz w:val="16"/>
          <w:szCs w:val="16"/>
        </w:rPr>
        <w:t>ctor</w:t>
      </w:r>
      <w:proofErr w:type="spellEnd"/>
      <w:r w:rsidRPr="00F477EA">
        <w:rPr>
          <w:rFonts w:cs="Arial"/>
          <w:sz w:val="16"/>
          <w:szCs w:val="16"/>
        </w:rPr>
        <w:t xml:space="preserve">, </w:t>
      </w:r>
      <w:hyperlink r:id="rId1" w:history="1">
        <w:r w:rsidR="00B958CD" w:rsidRPr="00B958CD">
          <w:rPr>
            <w:rStyle w:val="Kpr"/>
            <w:rFonts w:cs="Arial"/>
            <w:sz w:val="16"/>
            <w:szCs w:val="16"/>
          </w:rPr>
          <w:t>seyfettin.gursel@eas.bau.edu.tr</w:t>
        </w:r>
      </w:hyperlink>
    </w:p>
  </w:footnote>
  <w:footnote w:id="2">
    <w:p w:rsidR="00AF6C6F" w:rsidRPr="00F477EA" w:rsidRDefault="00AF6C6F" w:rsidP="00AF6C6F">
      <w:pPr>
        <w:pStyle w:val="DipnotMetni"/>
      </w:pPr>
      <w:r w:rsidRPr="00F477EA">
        <w:rPr>
          <w:rStyle w:val="DipnotBavurusu"/>
          <w:sz w:val="16"/>
          <w:szCs w:val="16"/>
        </w:rPr>
        <w:sym w:font="Symbol" w:char="F02A"/>
      </w:r>
      <w:r w:rsidRPr="00F477EA">
        <w:rPr>
          <w:rStyle w:val="DipnotBavurusu"/>
          <w:sz w:val="16"/>
          <w:szCs w:val="16"/>
        </w:rPr>
        <w:sym w:font="Symbol" w:char="F02A"/>
      </w:r>
      <w:r w:rsidRPr="00F477EA">
        <w:rPr>
          <w:rFonts w:cs="Arial"/>
          <w:sz w:val="16"/>
          <w:szCs w:val="16"/>
        </w:rPr>
        <w:t xml:space="preserve"> </w:t>
      </w:r>
      <w:proofErr w:type="spellStart"/>
      <w:r w:rsidR="00B958CD">
        <w:rPr>
          <w:rFonts w:cs="Arial"/>
          <w:sz w:val="16"/>
          <w:szCs w:val="16"/>
        </w:rPr>
        <w:t>Asst</w:t>
      </w:r>
      <w:proofErr w:type="spellEnd"/>
      <w:r w:rsidR="00B958CD">
        <w:rPr>
          <w:rFonts w:cs="Arial"/>
          <w:sz w:val="16"/>
          <w:szCs w:val="16"/>
        </w:rPr>
        <w:t xml:space="preserve">. Prof. </w:t>
      </w:r>
      <w:r w:rsidRPr="00F477EA">
        <w:rPr>
          <w:rFonts w:cs="Arial"/>
          <w:sz w:val="16"/>
          <w:szCs w:val="16"/>
        </w:rPr>
        <w:t xml:space="preserve">Gökçe Uysal, Betam, </w:t>
      </w:r>
      <w:proofErr w:type="spellStart"/>
      <w:r w:rsidR="00B958CD">
        <w:rPr>
          <w:rFonts w:cs="Arial"/>
          <w:sz w:val="16"/>
          <w:szCs w:val="16"/>
        </w:rPr>
        <w:t>Vice</w:t>
      </w:r>
      <w:proofErr w:type="spellEnd"/>
      <w:r w:rsidR="00B958CD">
        <w:rPr>
          <w:rFonts w:cs="Arial"/>
          <w:sz w:val="16"/>
          <w:szCs w:val="16"/>
        </w:rPr>
        <w:t xml:space="preserve"> </w:t>
      </w:r>
      <w:proofErr w:type="spellStart"/>
      <w:r w:rsidR="00B958CD">
        <w:rPr>
          <w:rFonts w:cs="Arial"/>
          <w:sz w:val="16"/>
          <w:szCs w:val="16"/>
        </w:rPr>
        <w:t>Director</w:t>
      </w:r>
      <w:proofErr w:type="spellEnd"/>
      <w:r w:rsidRPr="00F477EA">
        <w:rPr>
          <w:rFonts w:cs="Arial"/>
          <w:sz w:val="16"/>
          <w:szCs w:val="16"/>
        </w:rPr>
        <w:t xml:space="preserve">, </w:t>
      </w:r>
      <w:hyperlink r:id="rId2" w:history="1">
        <w:r w:rsidR="00B958CD" w:rsidRPr="00B958CD">
          <w:rPr>
            <w:rStyle w:val="Kpr"/>
            <w:rFonts w:cs="Arial"/>
            <w:sz w:val="16"/>
            <w:szCs w:val="16"/>
          </w:rPr>
          <w:t>gokce.uysal@eas.bau.edu.tr</w:t>
        </w:r>
      </w:hyperlink>
    </w:p>
  </w:footnote>
  <w:footnote w:id="3">
    <w:p w:rsidR="00AF6C6F" w:rsidRPr="00F477EA" w:rsidRDefault="00AF6C6F" w:rsidP="00AF6C6F">
      <w:pPr>
        <w:pStyle w:val="DipnotMetni"/>
      </w:pPr>
      <w:r w:rsidRPr="00F477EA">
        <w:rPr>
          <w:rStyle w:val="DipnotBavurusu"/>
          <w:sz w:val="16"/>
          <w:szCs w:val="16"/>
        </w:rPr>
        <w:sym w:font="Symbol" w:char="F02A"/>
      </w:r>
      <w:r w:rsidRPr="00F477EA">
        <w:rPr>
          <w:rStyle w:val="DipnotBavurusu"/>
          <w:sz w:val="16"/>
          <w:szCs w:val="16"/>
        </w:rPr>
        <w:sym w:font="Symbol" w:char="F02A"/>
      </w:r>
      <w:r w:rsidRPr="00F477EA">
        <w:rPr>
          <w:rStyle w:val="DipnotBavurusu"/>
          <w:sz w:val="16"/>
          <w:szCs w:val="16"/>
        </w:rPr>
        <w:sym w:font="Symbol" w:char="F02A"/>
      </w:r>
      <w:r w:rsidRPr="00F477EA">
        <w:rPr>
          <w:rFonts w:cs="Arial"/>
          <w:sz w:val="16"/>
          <w:szCs w:val="16"/>
        </w:rPr>
        <w:t xml:space="preserve">Melike Kökkızıl, Betam, </w:t>
      </w:r>
      <w:proofErr w:type="spellStart"/>
      <w:r w:rsidR="00B958CD">
        <w:rPr>
          <w:rFonts w:cs="Arial"/>
          <w:sz w:val="16"/>
          <w:szCs w:val="16"/>
        </w:rPr>
        <w:t>Research</w:t>
      </w:r>
      <w:proofErr w:type="spellEnd"/>
      <w:r w:rsidR="00B958CD">
        <w:rPr>
          <w:rFonts w:cs="Arial"/>
          <w:sz w:val="16"/>
          <w:szCs w:val="16"/>
        </w:rPr>
        <w:t xml:space="preserve"> </w:t>
      </w:r>
      <w:proofErr w:type="spellStart"/>
      <w:r w:rsidR="00B958CD">
        <w:rPr>
          <w:rFonts w:cs="Arial"/>
          <w:sz w:val="16"/>
          <w:szCs w:val="16"/>
        </w:rPr>
        <w:t>Assistant</w:t>
      </w:r>
      <w:proofErr w:type="spellEnd"/>
      <w:r w:rsidRPr="00F477EA">
        <w:rPr>
          <w:rFonts w:cs="Arial"/>
          <w:sz w:val="16"/>
          <w:szCs w:val="16"/>
        </w:rPr>
        <w:t xml:space="preserve">, </w:t>
      </w:r>
      <w:hyperlink r:id="rId3" w:history="1">
        <w:r w:rsidR="00B958CD" w:rsidRPr="00B958CD">
          <w:rPr>
            <w:rStyle w:val="Kpr"/>
            <w:rFonts w:cs="Arial"/>
            <w:sz w:val="16"/>
            <w:szCs w:val="16"/>
          </w:rPr>
          <w:t>melike.kokkizil@eas.bau.edu.tr</w:t>
        </w:r>
      </w:hyperlink>
    </w:p>
  </w:footnote>
  <w:footnote w:id="4">
    <w:p w:rsidR="00910E14" w:rsidRPr="00F25559" w:rsidRDefault="00910E14" w:rsidP="00910E14">
      <w:pPr>
        <w:pStyle w:val="DipnotMetni"/>
        <w:rPr>
          <w:lang w:val="en-US"/>
        </w:rPr>
      </w:pPr>
      <w:r w:rsidRPr="00F25559">
        <w:rPr>
          <w:rStyle w:val="DipnotBavurusu"/>
          <w:lang w:val="en-US"/>
        </w:rPr>
        <w:footnoteRef/>
      </w:r>
      <w:r w:rsidRPr="00F25559">
        <w:rPr>
          <w:lang w:val="en-US"/>
        </w:rPr>
        <w:t xml:space="preserve"> Please visit </w:t>
      </w:r>
      <w:r>
        <w:rPr>
          <w:lang w:val="en-US"/>
        </w:rPr>
        <w:t xml:space="preserve">the following internet site </w:t>
      </w:r>
      <w:r w:rsidRPr="00F25559">
        <w:rPr>
          <w:lang w:val="en-US"/>
        </w:rPr>
        <w:t xml:space="preserve">for more information on the calculation of minimum wage for the year of 2015: </w:t>
      </w:r>
      <w:hyperlink r:id="rId4" w:history="1">
        <w:r w:rsidRPr="00F25559">
          <w:rPr>
            <w:rStyle w:val="Kpr"/>
            <w:lang w:val="en-US"/>
          </w:rPr>
          <w:t>http://www.turmob.org.tr/arsiv/mbs/pratikBilgiler/asgari_ucret2015.pdf</w:t>
        </w:r>
      </w:hyperlink>
      <w:r w:rsidRPr="00F25559">
        <w:rPr>
          <w:lang w:val="en-US"/>
        </w:rPr>
        <w:t xml:space="preserve"> </w:t>
      </w:r>
      <w:r w:rsidRPr="00F25559">
        <w:rPr>
          <w:i/>
          <w:lang w:val="en-US"/>
        </w:rPr>
        <w:t>(In Turkish)</w:t>
      </w:r>
    </w:p>
  </w:footnote>
  <w:footnote w:id="5">
    <w:p w:rsidR="00910E14" w:rsidRPr="00B958CD" w:rsidRDefault="00910E14" w:rsidP="00910E14">
      <w:pPr>
        <w:pStyle w:val="DipnotMetni"/>
        <w:rPr>
          <w:lang w:val="en-US"/>
        </w:rPr>
      </w:pPr>
      <w:r w:rsidRPr="00B958CD">
        <w:rPr>
          <w:rStyle w:val="DipnotBavurusu"/>
          <w:lang w:val="en-US"/>
        </w:rPr>
        <w:footnoteRef/>
      </w:r>
      <w:r w:rsidRPr="00B958CD">
        <w:rPr>
          <w:sz w:val="18"/>
          <w:szCs w:val="18"/>
          <w:lang w:val="en-US"/>
        </w:rPr>
        <w:t xml:space="preserve"> </w:t>
      </w:r>
      <w:proofErr w:type="spellStart"/>
      <w:r w:rsidRPr="00B958CD">
        <w:rPr>
          <w:sz w:val="18"/>
          <w:szCs w:val="18"/>
          <w:lang w:val="en-US"/>
        </w:rPr>
        <w:t>Seyfettin</w:t>
      </w:r>
      <w:proofErr w:type="spellEnd"/>
      <w:r w:rsidRPr="00B958CD">
        <w:rPr>
          <w:sz w:val="18"/>
          <w:szCs w:val="18"/>
          <w:lang w:val="en-US"/>
        </w:rPr>
        <w:t xml:space="preserve"> </w:t>
      </w:r>
      <w:proofErr w:type="spellStart"/>
      <w:r w:rsidRPr="00B958CD">
        <w:rPr>
          <w:sz w:val="18"/>
          <w:szCs w:val="18"/>
          <w:lang w:val="en-US"/>
        </w:rPr>
        <w:t>Gürsel</w:t>
      </w:r>
      <w:proofErr w:type="spellEnd"/>
      <w:r w:rsidRPr="00B958CD">
        <w:rPr>
          <w:sz w:val="18"/>
          <w:szCs w:val="18"/>
          <w:lang w:val="en-US"/>
        </w:rPr>
        <w:t xml:space="preserve"> </w:t>
      </w:r>
      <w:r w:rsidR="00B958CD" w:rsidRPr="00B958CD">
        <w:rPr>
          <w:sz w:val="18"/>
          <w:szCs w:val="18"/>
          <w:lang w:val="en-US"/>
        </w:rPr>
        <w:t>et al.</w:t>
      </w:r>
      <w:r w:rsidRPr="00B958CD">
        <w:rPr>
          <w:sz w:val="18"/>
          <w:szCs w:val="18"/>
          <w:lang w:val="en-US"/>
        </w:rPr>
        <w:t xml:space="preserve"> 2016</w:t>
      </w:r>
      <w:proofErr w:type="gramStart"/>
      <w:r w:rsidRPr="00B958CD">
        <w:rPr>
          <w:sz w:val="18"/>
          <w:szCs w:val="18"/>
          <w:lang w:val="en-US"/>
        </w:rPr>
        <w:t xml:space="preserve">. </w:t>
      </w:r>
      <w:proofErr w:type="gramEnd"/>
      <w:r w:rsidRPr="00B958CD">
        <w:rPr>
          <w:sz w:val="18"/>
          <w:szCs w:val="18"/>
          <w:lang w:val="en-US"/>
        </w:rPr>
        <w:t>"</w:t>
      </w:r>
      <w:r w:rsidR="00B958CD" w:rsidRPr="00B958CD">
        <w:rPr>
          <w:sz w:val="18"/>
          <w:szCs w:val="18"/>
          <w:lang w:val="en-US"/>
        </w:rPr>
        <w:t>Regional Effects of the Minimum Wage Increase</w:t>
      </w:r>
      <w:r w:rsidRPr="00B958CD">
        <w:rPr>
          <w:sz w:val="18"/>
          <w:szCs w:val="18"/>
          <w:lang w:val="en-US"/>
        </w:rPr>
        <w:t xml:space="preserve">", </w:t>
      </w:r>
      <w:proofErr w:type="spellStart"/>
      <w:r w:rsidRPr="00B958CD">
        <w:rPr>
          <w:sz w:val="18"/>
          <w:szCs w:val="18"/>
          <w:lang w:val="en-US"/>
        </w:rPr>
        <w:t>Betam</w:t>
      </w:r>
      <w:proofErr w:type="spellEnd"/>
      <w:r w:rsidRPr="00B958CD">
        <w:rPr>
          <w:sz w:val="18"/>
          <w:szCs w:val="18"/>
          <w:lang w:val="en-US"/>
        </w:rPr>
        <w:t xml:space="preserve"> </w:t>
      </w:r>
      <w:r w:rsidR="00B958CD" w:rsidRPr="00B958CD">
        <w:rPr>
          <w:sz w:val="18"/>
          <w:szCs w:val="18"/>
          <w:lang w:val="en-US"/>
        </w:rPr>
        <w:t>Research Brief</w:t>
      </w:r>
      <w:r w:rsidRPr="00B958CD">
        <w:rPr>
          <w:sz w:val="18"/>
          <w:szCs w:val="18"/>
          <w:lang w:val="en-US"/>
        </w:rPr>
        <w:t xml:space="preserve"> 16/189.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6CB4"/>
    <w:rsid w:val="00001CA7"/>
    <w:rsid w:val="00002F1D"/>
    <w:rsid w:val="00003CC9"/>
    <w:rsid w:val="000044A2"/>
    <w:rsid w:val="000057B7"/>
    <w:rsid w:val="000062F4"/>
    <w:rsid w:val="00010BFF"/>
    <w:rsid w:val="000111CB"/>
    <w:rsid w:val="0001178B"/>
    <w:rsid w:val="00012B20"/>
    <w:rsid w:val="000131C3"/>
    <w:rsid w:val="000178C3"/>
    <w:rsid w:val="00017D5B"/>
    <w:rsid w:val="000221FB"/>
    <w:rsid w:val="00022C8F"/>
    <w:rsid w:val="000231F4"/>
    <w:rsid w:val="00026C4E"/>
    <w:rsid w:val="0003063B"/>
    <w:rsid w:val="0003097E"/>
    <w:rsid w:val="000340A5"/>
    <w:rsid w:val="00035AA4"/>
    <w:rsid w:val="000367A9"/>
    <w:rsid w:val="00040EFE"/>
    <w:rsid w:val="00040FC1"/>
    <w:rsid w:val="00042BD8"/>
    <w:rsid w:val="00046E13"/>
    <w:rsid w:val="00051C16"/>
    <w:rsid w:val="00051C5E"/>
    <w:rsid w:val="000529E1"/>
    <w:rsid w:val="00052CEE"/>
    <w:rsid w:val="000537A2"/>
    <w:rsid w:val="00054935"/>
    <w:rsid w:val="00054A06"/>
    <w:rsid w:val="0006301B"/>
    <w:rsid w:val="00065473"/>
    <w:rsid w:val="0007105E"/>
    <w:rsid w:val="00073ACB"/>
    <w:rsid w:val="00076343"/>
    <w:rsid w:val="000778D6"/>
    <w:rsid w:val="0008204E"/>
    <w:rsid w:val="00082388"/>
    <w:rsid w:val="00082E95"/>
    <w:rsid w:val="00083688"/>
    <w:rsid w:val="00083891"/>
    <w:rsid w:val="00087157"/>
    <w:rsid w:val="000930BE"/>
    <w:rsid w:val="00094429"/>
    <w:rsid w:val="000952D3"/>
    <w:rsid w:val="000A1C2D"/>
    <w:rsid w:val="000A44A9"/>
    <w:rsid w:val="000A4F19"/>
    <w:rsid w:val="000A570F"/>
    <w:rsid w:val="000A628C"/>
    <w:rsid w:val="000A7190"/>
    <w:rsid w:val="000B0DC8"/>
    <w:rsid w:val="000B0EDA"/>
    <w:rsid w:val="000B2E06"/>
    <w:rsid w:val="000B30BA"/>
    <w:rsid w:val="000B3EE8"/>
    <w:rsid w:val="000B45CD"/>
    <w:rsid w:val="000B52D7"/>
    <w:rsid w:val="000B7367"/>
    <w:rsid w:val="000D33A9"/>
    <w:rsid w:val="000D6A17"/>
    <w:rsid w:val="000D7D54"/>
    <w:rsid w:val="000E1381"/>
    <w:rsid w:val="000E1A74"/>
    <w:rsid w:val="000E2187"/>
    <w:rsid w:val="000E24E4"/>
    <w:rsid w:val="000E38F8"/>
    <w:rsid w:val="000E3E8A"/>
    <w:rsid w:val="000E4D10"/>
    <w:rsid w:val="000E4FDF"/>
    <w:rsid w:val="000E5044"/>
    <w:rsid w:val="000E58B3"/>
    <w:rsid w:val="000E7E2B"/>
    <w:rsid w:val="000F08DC"/>
    <w:rsid w:val="000F1E61"/>
    <w:rsid w:val="000F314D"/>
    <w:rsid w:val="000F662B"/>
    <w:rsid w:val="001005D5"/>
    <w:rsid w:val="001019A3"/>
    <w:rsid w:val="00101B73"/>
    <w:rsid w:val="00101DA3"/>
    <w:rsid w:val="00102421"/>
    <w:rsid w:val="00107819"/>
    <w:rsid w:val="0011113B"/>
    <w:rsid w:val="001115FB"/>
    <w:rsid w:val="00112427"/>
    <w:rsid w:val="00114D5A"/>
    <w:rsid w:val="00116D5E"/>
    <w:rsid w:val="00122903"/>
    <w:rsid w:val="00123024"/>
    <w:rsid w:val="001231CF"/>
    <w:rsid w:val="0012329A"/>
    <w:rsid w:val="00131A0C"/>
    <w:rsid w:val="00131AB2"/>
    <w:rsid w:val="00133D9F"/>
    <w:rsid w:val="00140572"/>
    <w:rsid w:val="0014094B"/>
    <w:rsid w:val="00140991"/>
    <w:rsid w:val="00143D37"/>
    <w:rsid w:val="00144382"/>
    <w:rsid w:val="00147251"/>
    <w:rsid w:val="0015128B"/>
    <w:rsid w:val="00151DD5"/>
    <w:rsid w:val="001526AB"/>
    <w:rsid w:val="001527EF"/>
    <w:rsid w:val="00153063"/>
    <w:rsid w:val="00155302"/>
    <w:rsid w:val="00156194"/>
    <w:rsid w:val="00162D49"/>
    <w:rsid w:val="00163609"/>
    <w:rsid w:val="00164B50"/>
    <w:rsid w:val="001708D4"/>
    <w:rsid w:val="00174354"/>
    <w:rsid w:val="001778E8"/>
    <w:rsid w:val="00183462"/>
    <w:rsid w:val="00187045"/>
    <w:rsid w:val="00187146"/>
    <w:rsid w:val="0019118F"/>
    <w:rsid w:val="00192C37"/>
    <w:rsid w:val="00193EC8"/>
    <w:rsid w:val="001945A1"/>
    <w:rsid w:val="00196506"/>
    <w:rsid w:val="001A0B19"/>
    <w:rsid w:val="001B206C"/>
    <w:rsid w:val="001B724F"/>
    <w:rsid w:val="001C2FE6"/>
    <w:rsid w:val="001C5D69"/>
    <w:rsid w:val="001C77DC"/>
    <w:rsid w:val="001D1443"/>
    <w:rsid w:val="001D38C3"/>
    <w:rsid w:val="001D5D7B"/>
    <w:rsid w:val="001E5772"/>
    <w:rsid w:val="001E5D80"/>
    <w:rsid w:val="001F5B5E"/>
    <w:rsid w:val="001F5C47"/>
    <w:rsid w:val="001F6D4E"/>
    <w:rsid w:val="001F7FE5"/>
    <w:rsid w:val="00202084"/>
    <w:rsid w:val="00203580"/>
    <w:rsid w:val="00204A9D"/>
    <w:rsid w:val="00204CB2"/>
    <w:rsid w:val="00211136"/>
    <w:rsid w:val="00211F15"/>
    <w:rsid w:val="00212FDD"/>
    <w:rsid w:val="002167D1"/>
    <w:rsid w:val="00216991"/>
    <w:rsid w:val="002205D9"/>
    <w:rsid w:val="00223D6E"/>
    <w:rsid w:val="002277F9"/>
    <w:rsid w:val="00227B55"/>
    <w:rsid w:val="0023217A"/>
    <w:rsid w:val="00236A7C"/>
    <w:rsid w:val="00240D57"/>
    <w:rsid w:val="002417CE"/>
    <w:rsid w:val="00242A8F"/>
    <w:rsid w:val="00245C34"/>
    <w:rsid w:val="0025155B"/>
    <w:rsid w:val="0025718F"/>
    <w:rsid w:val="002578BA"/>
    <w:rsid w:val="00263C21"/>
    <w:rsid w:val="00263FA2"/>
    <w:rsid w:val="0026639E"/>
    <w:rsid w:val="00267F74"/>
    <w:rsid w:val="002711DE"/>
    <w:rsid w:val="00271440"/>
    <w:rsid w:val="00272B90"/>
    <w:rsid w:val="00273253"/>
    <w:rsid w:val="002753E4"/>
    <w:rsid w:val="002757B3"/>
    <w:rsid w:val="00275C61"/>
    <w:rsid w:val="0027633B"/>
    <w:rsid w:val="002772C0"/>
    <w:rsid w:val="002779AD"/>
    <w:rsid w:val="00277BF6"/>
    <w:rsid w:val="00290A96"/>
    <w:rsid w:val="00290F3D"/>
    <w:rsid w:val="00291DB3"/>
    <w:rsid w:val="002923AA"/>
    <w:rsid w:val="002948BE"/>
    <w:rsid w:val="002953C4"/>
    <w:rsid w:val="00297E14"/>
    <w:rsid w:val="002A1CF7"/>
    <w:rsid w:val="002A4C15"/>
    <w:rsid w:val="002A51A1"/>
    <w:rsid w:val="002A6E34"/>
    <w:rsid w:val="002B1103"/>
    <w:rsid w:val="002B199F"/>
    <w:rsid w:val="002B2B0E"/>
    <w:rsid w:val="002B5697"/>
    <w:rsid w:val="002B6304"/>
    <w:rsid w:val="002C0451"/>
    <w:rsid w:val="002C12B1"/>
    <w:rsid w:val="002C3E9C"/>
    <w:rsid w:val="002C51D0"/>
    <w:rsid w:val="002C73DB"/>
    <w:rsid w:val="002D2D41"/>
    <w:rsid w:val="002D4C8D"/>
    <w:rsid w:val="002E1FDD"/>
    <w:rsid w:val="002E4230"/>
    <w:rsid w:val="002E5160"/>
    <w:rsid w:val="002E5851"/>
    <w:rsid w:val="002E764C"/>
    <w:rsid w:val="002E7A2F"/>
    <w:rsid w:val="002E7BA7"/>
    <w:rsid w:val="002F04CE"/>
    <w:rsid w:val="002F1A7D"/>
    <w:rsid w:val="002F385F"/>
    <w:rsid w:val="002F73F0"/>
    <w:rsid w:val="00301551"/>
    <w:rsid w:val="003018DB"/>
    <w:rsid w:val="0030390C"/>
    <w:rsid w:val="00307A13"/>
    <w:rsid w:val="003110F7"/>
    <w:rsid w:val="003123B5"/>
    <w:rsid w:val="003136E4"/>
    <w:rsid w:val="003137CA"/>
    <w:rsid w:val="00314B99"/>
    <w:rsid w:val="00317F16"/>
    <w:rsid w:val="0032369F"/>
    <w:rsid w:val="0032388E"/>
    <w:rsid w:val="00323A23"/>
    <w:rsid w:val="00323C90"/>
    <w:rsid w:val="00324FFA"/>
    <w:rsid w:val="00334E4B"/>
    <w:rsid w:val="0033554A"/>
    <w:rsid w:val="003369D6"/>
    <w:rsid w:val="00340259"/>
    <w:rsid w:val="00341A64"/>
    <w:rsid w:val="00344406"/>
    <w:rsid w:val="00345301"/>
    <w:rsid w:val="00346CF7"/>
    <w:rsid w:val="00353621"/>
    <w:rsid w:val="0035528B"/>
    <w:rsid w:val="00356769"/>
    <w:rsid w:val="00366580"/>
    <w:rsid w:val="003668A0"/>
    <w:rsid w:val="00367C9E"/>
    <w:rsid w:val="003704A2"/>
    <w:rsid w:val="00371E32"/>
    <w:rsid w:val="003727B9"/>
    <w:rsid w:val="00374512"/>
    <w:rsid w:val="00375760"/>
    <w:rsid w:val="003800BA"/>
    <w:rsid w:val="0038061A"/>
    <w:rsid w:val="00382312"/>
    <w:rsid w:val="00386F93"/>
    <w:rsid w:val="00386F9E"/>
    <w:rsid w:val="003903D1"/>
    <w:rsid w:val="00395125"/>
    <w:rsid w:val="00396927"/>
    <w:rsid w:val="00396FF7"/>
    <w:rsid w:val="003A126D"/>
    <w:rsid w:val="003A213B"/>
    <w:rsid w:val="003A417C"/>
    <w:rsid w:val="003A4C19"/>
    <w:rsid w:val="003B0A0B"/>
    <w:rsid w:val="003B3DD2"/>
    <w:rsid w:val="003B64E6"/>
    <w:rsid w:val="003C3437"/>
    <w:rsid w:val="003D1920"/>
    <w:rsid w:val="003D2DAC"/>
    <w:rsid w:val="003D457A"/>
    <w:rsid w:val="003E1FD7"/>
    <w:rsid w:val="003E5925"/>
    <w:rsid w:val="003E62BA"/>
    <w:rsid w:val="003F09D9"/>
    <w:rsid w:val="003F0DC8"/>
    <w:rsid w:val="003F270D"/>
    <w:rsid w:val="003F37B4"/>
    <w:rsid w:val="003F7394"/>
    <w:rsid w:val="003F793F"/>
    <w:rsid w:val="004012F8"/>
    <w:rsid w:val="0040149C"/>
    <w:rsid w:val="0040443E"/>
    <w:rsid w:val="00406CE0"/>
    <w:rsid w:val="00410C95"/>
    <w:rsid w:val="00416743"/>
    <w:rsid w:val="004178AF"/>
    <w:rsid w:val="00420D12"/>
    <w:rsid w:val="00422B84"/>
    <w:rsid w:val="00422C83"/>
    <w:rsid w:val="00423AC5"/>
    <w:rsid w:val="00426C11"/>
    <w:rsid w:val="004303B5"/>
    <w:rsid w:val="00430EC5"/>
    <w:rsid w:val="004335D8"/>
    <w:rsid w:val="0044014C"/>
    <w:rsid w:val="004409EE"/>
    <w:rsid w:val="00441DEF"/>
    <w:rsid w:val="004448D0"/>
    <w:rsid w:val="00446505"/>
    <w:rsid w:val="004470F8"/>
    <w:rsid w:val="00452581"/>
    <w:rsid w:val="00454EB8"/>
    <w:rsid w:val="00456758"/>
    <w:rsid w:val="00456D74"/>
    <w:rsid w:val="00457E05"/>
    <w:rsid w:val="00461572"/>
    <w:rsid w:val="00470A43"/>
    <w:rsid w:val="00472E60"/>
    <w:rsid w:val="004743A8"/>
    <w:rsid w:val="004748D4"/>
    <w:rsid w:val="00475166"/>
    <w:rsid w:val="00475B37"/>
    <w:rsid w:val="00476DB0"/>
    <w:rsid w:val="004771DE"/>
    <w:rsid w:val="004843A2"/>
    <w:rsid w:val="00487469"/>
    <w:rsid w:val="00492EB4"/>
    <w:rsid w:val="00494291"/>
    <w:rsid w:val="00496770"/>
    <w:rsid w:val="0049679C"/>
    <w:rsid w:val="00497955"/>
    <w:rsid w:val="00497E55"/>
    <w:rsid w:val="004A0BE9"/>
    <w:rsid w:val="004A19AD"/>
    <w:rsid w:val="004A50E6"/>
    <w:rsid w:val="004A6A34"/>
    <w:rsid w:val="004B0971"/>
    <w:rsid w:val="004B4110"/>
    <w:rsid w:val="004B4ECC"/>
    <w:rsid w:val="004B6E19"/>
    <w:rsid w:val="004B7E86"/>
    <w:rsid w:val="004C4DA2"/>
    <w:rsid w:val="004C51AA"/>
    <w:rsid w:val="004C5964"/>
    <w:rsid w:val="004C5AAE"/>
    <w:rsid w:val="004C77FB"/>
    <w:rsid w:val="004D2227"/>
    <w:rsid w:val="004E104A"/>
    <w:rsid w:val="004E38FF"/>
    <w:rsid w:val="004E3C2D"/>
    <w:rsid w:val="004E71B1"/>
    <w:rsid w:val="004F01BC"/>
    <w:rsid w:val="004F0F1F"/>
    <w:rsid w:val="004F173C"/>
    <w:rsid w:val="004F2666"/>
    <w:rsid w:val="004F4F56"/>
    <w:rsid w:val="004F555E"/>
    <w:rsid w:val="004F6056"/>
    <w:rsid w:val="00502FC0"/>
    <w:rsid w:val="00502FF9"/>
    <w:rsid w:val="00503D43"/>
    <w:rsid w:val="00503EE4"/>
    <w:rsid w:val="00503FF5"/>
    <w:rsid w:val="00504FD3"/>
    <w:rsid w:val="0051466E"/>
    <w:rsid w:val="00514DE6"/>
    <w:rsid w:val="005151E1"/>
    <w:rsid w:val="00516498"/>
    <w:rsid w:val="00516548"/>
    <w:rsid w:val="00520542"/>
    <w:rsid w:val="00520D86"/>
    <w:rsid w:val="00522450"/>
    <w:rsid w:val="005229F7"/>
    <w:rsid w:val="00522B5F"/>
    <w:rsid w:val="00524046"/>
    <w:rsid w:val="00525936"/>
    <w:rsid w:val="00526C24"/>
    <w:rsid w:val="00531AC3"/>
    <w:rsid w:val="005333A8"/>
    <w:rsid w:val="005361D1"/>
    <w:rsid w:val="005377D3"/>
    <w:rsid w:val="00540F6E"/>
    <w:rsid w:val="00541B9F"/>
    <w:rsid w:val="00547156"/>
    <w:rsid w:val="00547406"/>
    <w:rsid w:val="005551C6"/>
    <w:rsid w:val="005567F8"/>
    <w:rsid w:val="005606B0"/>
    <w:rsid w:val="00560C82"/>
    <w:rsid w:val="00561689"/>
    <w:rsid w:val="00562C82"/>
    <w:rsid w:val="0056337C"/>
    <w:rsid w:val="00566F15"/>
    <w:rsid w:val="00571787"/>
    <w:rsid w:val="005777B3"/>
    <w:rsid w:val="00586BEB"/>
    <w:rsid w:val="00587436"/>
    <w:rsid w:val="00593878"/>
    <w:rsid w:val="00594A70"/>
    <w:rsid w:val="00595A8D"/>
    <w:rsid w:val="00595F9B"/>
    <w:rsid w:val="00597819"/>
    <w:rsid w:val="005A0F9B"/>
    <w:rsid w:val="005A29BC"/>
    <w:rsid w:val="005A43B5"/>
    <w:rsid w:val="005B3D4D"/>
    <w:rsid w:val="005B473B"/>
    <w:rsid w:val="005B5D80"/>
    <w:rsid w:val="005B7B2C"/>
    <w:rsid w:val="005C00B1"/>
    <w:rsid w:val="005C30F5"/>
    <w:rsid w:val="005C3450"/>
    <w:rsid w:val="005C407A"/>
    <w:rsid w:val="005C69C7"/>
    <w:rsid w:val="005D0427"/>
    <w:rsid w:val="005D09CB"/>
    <w:rsid w:val="005D1591"/>
    <w:rsid w:val="005D1690"/>
    <w:rsid w:val="005D3DD8"/>
    <w:rsid w:val="005D6AA6"/>
    <w:rsid w:val="005E13F6"/>
    <w:rsid w:val="005E167C"/>
    <w:rsid w:val="005E1818"/>
    <w:rsid w:val="005E388A"/>
    <w:rsid w:val="005E43C3"/>
    <w:rsid w:val="005E5DAB"/>
    <w:rsid w:val="005F2029"/>
    <w:rsid w:val="005F22A6"/>
    <w:rsid w:val="005F2575"/>
    <w:rsid w:val="005F3619"/>
    <w:rsid w:val="005F49F9"/>
    <w:rsid w:val="005F7D2C"/>
    <w:rsid w:val="0060188B"/>
    <w:rsid w:val="00606A0E"/>
    <w:rsid w:val="0060726C"/>
    <w:rsid w:val="00607CC3"/>
    <w:rsid w:val="00610187"/>
    <w:rsid w:val="00613CD2"/>
    <w:rsid w:val="00614FB4"/>
    <w:rsid w:val="00616AC3"/>
    <w:rsid w:val="00616F82"/>
    <w:rsid w:val="006179AD"/>
    <w:rsid w:val="00620441"/>
    <w:rsid w:val="006242DD"/>
    <w:rsid w:val="0063174A"/>
    <w:rsid w:val="0063341F"/>
    <w:rsid w:val="00633DEE"/>
    <w:rsid w:val="00636F3F"/>
    <w:rsid w:val="00641096"/>
    <w:rsid w:val="0064315F"/>
    <w:rsid w:val="00643D8E"/>
    <w:rsid w:val="00644CF9"/>
    <w:rsid w:val="006453CE"/>
    <w:rsid w:val="00645CE4"/>
    <w:rsid w:val="00650357"/>
    <w:rsid w:val="00651D68"/>
    <w:rsid w:val="00654D61"/>
    <w:rsid w:val="00655343"/>
    <w:rsid w:val="00655ACD"/>
    <w:rsid w:val="0066200A"/>
    <w:rsid w:val="00665C59"/>
    <w:rsid w:val="00667383"/>
    <w:rsid w:val="006749F3"/>
    <w:rsid w:val="00674CAC"/>
    <w:rsid w:val="00675D0F"/>
    <w:rsid w:val="006766FC"/>
    <w:rsid w:val="006802A2"/>
    <w:rsid w:val="006845DC"/>
    <w:rsid w:val="0068681C"/>
    <w:rsid w:val="00687B1F"/>
    <w:rsid w:val="00690618"/>
    <w:rsid w:val="00691CAB"/>
    <w:rsid w:val="00694CE1"/>
    <w:rsid w:val="00695891"/>
    <w:rsid w:val="00697B0A"/>
    <w:rsid w:val="006A003B"/>
    <w:rsid w:val="006A22DA"/>
    <w:rsid w:val="006A5806"/>
    <w:rsid w:val="006A61DB"/>
    <w:rsid w:val="006B0A8E"/>
    <w:rsid w:val="006B116C"/>
    <w:rsid w:val="006C01D6"/>
    <w:rsid w:val="006C33D0"/>
    <w:rsid w:val="006C4FBE"/>
    <w:rsid w:val="006C533A"/>
    <w:rsid w:val="006D06D0"/>
    <w:rsid w:val="006D280B"/>
    <w:rsid w:val="006D42B1"/>
    <w:rsid w:val="006D51AE"/>
    <w:rsid w:val="006D54AC"/>
    <w:rsid w:val="006D69B2"/>
    <w:rsid w:val="006D7E5F"/>
    <w:rsid w:val="006E100D"/>
    <w:rsid w:val="006E1C30"/>
    <w:rsid w:val="006E25FA"/>
    <w:rsid w:val="006E6E95"/>
    <w:rsid w:val="006E706A"/>
    <w:rsid w:val="006E791B"/>
    <w:rsid w:val="006F113D"/>
    <w:rsid w:val="006F407D"/>
    <w:rsid w:val="006F4D5D"/>
    <w:rsid w:val="006F5756"/>
    <w:rsid w:val="006F6DC8"/>
    <w:rsid w:val="00700019"/>
    <w:rsid w:val="00700399"/>
    <w:rsid w:val="0070051F"/>
    <w:rsid w:val="0070302C"/>
    <w:rsid w:val="007032C1"/>
    <w:rsid w:val="007067C4"/>
    <w:rsid w:val="00707F23"/>
    <w:rsid w:val="00711319"/>
    <w:rsid w:val="0071264F"/>
    <w:rsid w:val="00720576"/>
    <w:rsid w:val="00720DE7"/>
    <w:rsid w:val="007215DC"/>
    <w:rsid w:val="007226DD"/>
    <w:rsid w:val="00725247"/>
    <w:rsid w:val="007252F1"/>
    <w:rsid w:val="007308D8"/>
    <w:rsid w:val="00733A05"/>
    <w:rsid w:val="00734E30"/>
    <w:rsid w:val="00735987"/>
    <w:rsid w:val="00735E17"/>
    <w:rsid w:val="0073683F"/>
    <w:rsid w:val="00737811"/>
    <w:rsid w:val="00740B09"/>
    <w:rsid w:val="007412EA"/>
    <w:rsid w:val="00751D67"/>
    <w:rsid w:val="00751D6E"/>
    <w:rsid w:val="00752AA6"/>
    <w:rsid w:val="00754159"/>
    <w:rsid w:val="0075424A"/>
    <w:rsid w:val="00754D09"/>
    <w:rsid w:val="0075573A"/>
    <w:rsid w:val="00762B5A"/>
    <w:rsid w:val="007634D4"/>
    <w:rsid w:val="00766272"/>
    <w:rsid w:val="007677CA"/>
    <w:rsid w:val="00770C53"/>
    <w:rsid w:val="007748E9"/>
    <w:rsid w:val="0077585E"/>
    <w:rsid w:val="0077776D"/>
    <w:rsid w:val="007845C0"/>
    <w:rsid w:val="00785349"/>
    <w:rsid w:val="00786682"/>
    <w:rsid w:val="007922D7"/>
    <w:rsid w:val="0079363F"/>
    <w:rsid w:val="00794A25"/>
    <w:rsid w:val="007A1DC1"/>
    <w:rsid w:val="007A3008"/>
    <w:rsid w:val="007A38FD"/>
    <w:rsid w:val="007A5BFD"/>
    <w:rsid w:val="007A74E2"/>
    <w:rsid w:val="007B1649"/>
    <w:rsid w:val="007B2916"/>
    <w:rsid w:val="007B3BCC"/>
    <w:rsid w:val="007B5BA8"/>
    <w:rsid w:val="007B76D0"/>
    <w:rsid w:val="007C7F14"/>
    <w:rsid w:val="007D6015"/>
    <w:rsid w:val="007D644B"/>
    <w:rsid w:val="007D7B40"/>
    <w:rsid w:val="007E0846"/>
    <w:rsid w:val="007E1175"/>
    <w:rsid w:val="007E18AF"/>
    <w:rsid w:val="007E2126"/>
    <w:rsid w:val="007E3012"/>
    <w:rsid w:val="007E555C"/>
    <w:rsid w:val="007E6725"/>
    <w:rsid w:val="007F1353"/>
    <w:rsid w:val="007F265F"/>
    <w:rsid w:val="007F26FC"/>
    <w:rsid w:val="007F274B"/>
    <w:rsid w:val="007F3199"/>
    <w:rsid w:val="007F3F94"/>
    <w:rsid w:val="007F5EA6"/>
    <w:rsid w:val="007F7221"/>
    <w:rsid w:val="007F7C3A"/>
    <w:rsid w:val="00802EEA"/>
    <w:rsid w:val="00803000"/>
    <w:rsid w:val="008042E1"/>
    <w:rsid w:val="00807FA9"/>
    <w:rsid w:val="00810111"/>
    <w:rsid w:val="00815E55"/>
    <w:rsid w:val="00817772"/>
    <w:rsid w:val="00820002"/>
    <w:rsid w:val="0082446E"/>
    <w:rsid w:val="00824E8A"/>
    <w:rsid w:val="00825246"/>
    <w:rsid w:val="00827FEF"/>
    <w:rsid w:val="00832A74"/>
    <w:rsid w:val="00832F31"/>
    <w:rsid w:val="00833705"/>
    <w:rsid w:val="00834026"/>
    <w:rsid w:val="00834FE9"/>
    <w:rsid w:val="00836474"/>
    <w:rsid w:val="00836511"/>
    <w:rsid w:val="00840380"/>
    <w:rsid w:val="0084346D"/>
    <w:rsid w:val="00845570"/>
    <w:rsid w:val="00854582"/>
    <w:rsid w:val="00855948"/>
    <w:rsid w:val="00870BC6"/>
    <w:rsid w:val="00870CAD"/>
    <w:rsid w:val="008736BD"/>
    <w:rsid w:val="00880FE5"/>
    <w:rsid w:val="008835AB"/>
    <w:rsid w:val="008903FD"/>
    <w:rsid w:val="00891895"/>
    <w:rsid w:val="00892039"/>
    <w:rsid w:val="008924B2"/>
    <w:rsid w:val="0089318F"/>
    <w:rsid w:val="00893612"/>
    <w:rsid w:val="00893C00"/>
    <w:rsid w:val="0089441F"/>
    <w:rsid w:val="008948A0"/>
    <w:rsid w:val="008956E8"/>
    <w:rsid w:val="008962CB"/>
    <w:rsid w:val="008978A5"/>
    <w:rsid w:val="008A2C7E"/>
    <w:rsid w:val="008A3671"/>
    <w:rsid w:val="008A3C95"/>
    <w:rsid w:val="008A518B"/>
    <w:rsid w:val="008B5DE9"/>
    <w:rsid w:val="008C0F96"/>
    <w:rsid w:val="008C28E2"/>
    <w:rsid w:val="008C2FC6"/>
    <w:rsid w:val="008C5640"/>
    <w:rsid w:val="008C56EC"/>
    <w:rsid w:val="008C79CD"/>
    <w:rsid w:val="008D339C"/>
    <w:rsid w:val="008D407F"/>
    <w:rsid w:val="008D4522"/>
    <w:rsid w:val="008D5C48"/>
    <w:rsid w:val="008D5DCC"/>
    <w:rsid w:val="008D6625"/>
    <w:rsid w:val="008D76CB"/>
    <w:rsid w:val="008D7AB5"/>
    <w:rsid w:val="008E0847"/>
    <w:rsid w:val="008E0A93"/>
    <w:rsid w:val="008E11F4"/>
    <w:rsid w:val="008E3F23"/>
    <w:rsid w:val="008E5218"/>
    <w:rsid w:val="008F28E3"/>
    <w:rsid w:val="008F4276"/>
    <w:rsid w:val="00902A63"/>
    <w:rsid w:val="00902B65"/>
    <w:rsid w:val="00902EC8"/>
    <w:rsid w:val="009038C2"/>
    <w:rsid w:val="00906BD2"/>
    <w:rsid w:val="0090734C"/>
    <w:rsid w:val="00907986"/>
    <w:rsid w:val="00907AD2"/>
    <w:rsid w:val="00910E14"/>
    <w:rsid w:val="009112B9"/>
    <w:rsid w:val="0091376D"/>
    <w:rsid w:val="009167DA"/>
    <w:rsid w:val="00920FBC"/>
    <w:rsid w:val="0092108F"/>
    <w:rsid w:val="00925BE4"/>
    <w:rsid w:val="00927067"/>
    <w:rsid w:val="009343C6"/>
    <w:rsid w:val="00934A6D"/>
    <w:rsid w:val="00937206"/>
    <w:rsid w:val="00941607"/>
    <w:rsid w:val="00942B7C"/>
    <w:rsid w:val="00942EE1"/>
    <w:rsid w:val="009459CF"/>
    <w:rsid w:val="00946555"/>
    <w:rsid w:val="0095086F"/>
    <w:rsid w:val="00951391"/>
    <w:rsid w:val="00953338"/>
    <w:rsid w:val="00954A88"/>
    <w:rsid w:val="00954BA8"/>
    <w:rsid w:val="00955D20"/>
    <w:rsid w:val="0095741F"/>
    <w:rsid w:val="009649D6"/>
    <w:rsid w:val="00973DC4"/>
    <w:rsid w:val="00983373"/>
    <w:rsid w:val="00987050"/>
    <w:rsid w:val="0099013F"/>
    <w:rsid w:val="00991933"/>
    <w:rsid w:val="00993FB2"/>
    <w:rsid w:val="009A1CC6"/>
    <w:rsid w:val="009A3296"/>
    <w:rsid w:val="009A4930"/>
    <w:rsid w:val="009B10FA"/>
    <w:rsid w:val="009C2A78"/>
    <w:rsid w:val="009C543E"/>
    <w:rsid w:val="009C69DB"/>
    <w:rsid w:val="009D2424"/>
    <w:rsid w:val="009D31FD"/>
    <w:rsid w:val="009D35E2"/>
    <w:rsid w:val="009D5FF4"/>
    <w:rsid w:val="009E0136"/>
    <w:rsid w:val="009E15FC"/>
    <w:rsid w:val="009E5617"/>
    <w:rsid w:val="009F3163"/>
    <w:rsid w:val="009F60BB"/>
    <w:rsid w:val="009F61F6"/>
    <w:rsid w:val="00A00302"/>
    <w:rsid w:val="00A0281C"/>
    <w:rsid w:val="00A04872"/>
    <w:rsid w:val="00A06A76"/>
    <w:rsid w:val="00A1104E"/>
    <w:rsid w:val="00A13EEE"/>
    <w:rsid w:val="00A14AAC"/>
    <w:rsid w:val="00A150AF"/>
    <w:rsid w:val="00A163C0"/>
    <w:rsid w:val="00A228B5"/>
    <w:rsid w:val="00A308B8"/>
    <w:rsid w:val="00A30F61"/>
    <w:rsid w:val="00A320DA"/>
    <w:rsid w:val="00A337AD"/>
    <w:rsid w:val="00A344D5"/>
    <w:rsid w:val="00A349EA"/>
    <w:rsid w:val="00A37C32"/>
    <w:rsid w:val="00A37CB4"/>
    <w:rsid w:val="00A40170"/>
    <w:rsid w:val="00A408F9"/>
    <w:rsid w:val="00A44DE9"/>
    <w:rsid w:val="00A45CA2"/>
    <w:rsid w:val="00A46F4E"/>
    <w:rsid w:val="00A47BF4"/>
    <w:rsid w:val="00A504EB"/>
    <w:rsid w:val="00A55217"/>
    <w:rsid w:val="00A60293"/>
    <w:rsid w:val="00A61EE3"/>
    <w:rsid w:val="00A6277E"/>
    <w:rsid w:val="00A62A68"/>
    <w:rsid w:val="00A64195"/>
    <w:rsid w:val="00A65928"/>
    <w:rsid w:val="00A67C21"/>
    <w:rsid w:val="00A761F4"/>
    <w:rsid w:val="00A86A7C"/>
    <w:rsid w:val="00A92741"/>
    <w:rsid w:val="00A92E26"/>
    <w:rsid w:val="00A94FE4"/>
    <w:rsid w:val="00A95120"/>
    <w:rsid w:val="00A952B2"/>
    <w:rsid w:val="00A954D6"/>
    <w:rsid w:val="00AA2D0E"/>
    <w:rsid w:val="00AA3A99"/>
    <w:rsid w:val="00AA3CB4"/>
    <w:rsid w:val="00AA7AFB"/>
    <w:rsid w:val="00AB0315"/>
    <w:rsid w:val="00AB1B80"/>
    <w:rsid w:val="00AB41D2"/>
    <w:rsid w:val="00AC43E6"/>
    <w:rsid w:val="00AC587B"/>
    <w:rsid w:val="00AD08B3"/>
    <w:rsid w:val="00AD0ADD"/>
    <w:rsid w:val="00AD126E"/>
    <w:rsid w:val="00AD1A3C"/>
    <w:rsid w:val="00AD33DD"/>
    <w:rsid w:val="00AD3453"/>
    <w:rsid w:val="00AE08F9"/>
    <w:rsid w:val="00AE11B4"/>
    <w:rsid w:val="00AE2F52"/>
    <w:rsid w:val="00AE3049"/>
    <w:rsid w:val="00AE512E"/>
    <w:rsid w:val="00AE661A"/>
    <w:rsid w:val="00AE6D17"/>
    <w:rsid w:val="00AE7AAF"/>
    <w:rsid w:val="00AF617A"/>
    <w:rsid w:val="00AF6C6F"/>
    <w:rsid w:val="00B04DAF"/>
    <w:rsid w:val="00B06310"/>
    <w:rsid w:val="00B06C7A"/>
    <w:rsid w:val="00B1045F"/>
    <w:rsid w:val="00B11620"/>
    <w:rsid w:val="00B136E9"/>
    <w:rsid w:val="00B1413D"/>
    <w:rsid w:val="00B154EF"/>
    <w:rsid w:val="00B20B51"/>
    <w:rsid w:val="00B266A2"/>
    <w:rsid w:val="00B27804"/>
    <w:rsid w:val="00B31FC4"/>
    <w:rsid w:val="00B341DF"/>
    <w:rsid w:val="00B36406"/>
    <w:rsid w:val="00B37C9E"/>
    <w:rsid w:val="00B427E5"/>
    <w:rsid w:val="00B44E98"/>
    <w:rsid w:val="00B45D93"/>
    <w:rsid w:val="00B469BA"/>
    <w:rsid w:val="00B46D48"/>
    <w:rsid w:val="00B50315"/>
    <w:rsid w:val="00B50686"/>
    <w:rsid w:val="00B50B68"/>
    <w:rsid w:val="00B5507A"/>
    <w:rsid w:val="00B562DB"/>
    <w:rsid w:val="00B60C9F"/>
    <w:rsid w:val="00B60CB9"/>
    <w:rsid w:val="00B62453"/>
    <w:rsid w:val="00B67AEE"/>
    <w:rsid w:val="00B72926"/>
    <w:rsid w:val="00B75046"/>
    <w:rsid w:val="00B755D9"/>
    <w:rsid w:val="00B76ECE"/>
    <w:rsid w:val="00B77BF7"/>
    <w:rsid w:val="00B8023D"/>
    <w:rsid w:val="00B8071C"/>
    <w:rsid w:val="00B82B20"/>
    <w:rsid w:val="00B83874"/>
    <w:rsid w:val="00B87A8E"/>
    <w:rsid w:val="00B918A5"/>
    <w:rsid w:val="00B919A8"/>
    <w:rsid w:val="00B92B72"/>
    <w:rsid w:val="00B93935"/>
    <w:rsid w:val="00B9506C"/>
    <w:rsid w:val="00B958CD"/>
    <w:rsid w:val="00B96CC7"/>
    <w:rsid w:val="00BA1D61"/>
    <w:rsid w:val="00BA23E6"/>
    <w:rsid w:val="00BA2ABF"/>
    <w:rsid w:val="00BA366D"/>
    <w:rsid w:val="00BB1096"/>
    <w:rsid w:val="00BB4383"/>
    <w:rsid w:val="00BC25D5"/>
    <w:rsid w:val="00BC39BC"/>
    <w:rsid w:val="00BC5814"/>
    <w:rsid w:val="00BC7000"/>
    <w:rsid w:val="00BC7C3D"/>
    <w:rsid w:val="00BD4BAC"/>
    <w:rsid w:val="00BD61EA"/>
    <w:rsid w:val="00BD6B6B"/>
    <w:rsid w:val="00BE2549"/>
    <w:rsid w:val="00BE4882"/>
    <w:rsid w:val="00BE7BC3"/>
    <w:rsid w:val="00BF0C64"/>
    <w:rsid w:val="00BF25F3"/>
    <w:rsid w:val="00BF34B0"/>
    <w:rsid w:val="00BF52C5"/>
    <w:rsid w:val="00BF5B81"/>
    <w:rsid w:val="00BF5DD6"/>
    <w:rsid w:val="00C01A00"/>
    <w:rsid w:val="00C01CB4"/>
    <w:rsid w:val="00C04E5F"/>
    <w:rsid w:val="00C07229"/>
    <w:rsid w:val="00C122BB"/>
    <w:rsid w:val="00C12C71"/>
    <w:rsid w:val="00C16E9E"/>
    <w:rsid w:val="00C16EC1"/>
    <w:rsid w:val="00C176EC"/>
    <w:rsid w:val="00C22317"/>
    <w:rsid w:val="00C237E1"/>
    <w:rsid w:val="00C23D3C"/>
    <w:rsid w:val="00C2663D"/>
    <w:rsid w:val="00C32320"/>
    <w:rsid w:val="00C34A42"/>
    <w:rsid w:val="00C35D6D"/>
    <w:rsid w:val="00C36071"/>
    <w:rsid w:val="00C37037"/>
    <w:rsid w:val="00C3763F"/>
    <w:rsid w:val="00C40573"/>
    <w:rsid w:val="00C40CE9"/>
    <w:rsid w:val="00C42AE3"/>
    <w:rsid w:val="00C42B74"/>
    <w:rsid w:val="00C4385D"/>
    <w:rsid w:val="00C47B7F"/>
    <w:rsid w:val="00C50545"/>
    <w:rsid w:val="00C50FBA"/>
    <w:rsid w:val="00C52FE5"/>
    <w:rsid w:val="00C56D9B"/>
    <w:rsid w:val="00C56DDF"/>
    <w:rsid w:val="00C61A06"/>
    <w:rsid w:val="00C67205"/>
    <w:rsid w:val="00C73707"/>
    <w:rsid w:val="00C74165"/>
    <w:rsid w:val="00C75FA5"/>
    <w:rsid w:val="00C811D1"/>
    <w:rsid w:val="00C83D5C"/>
    <w:rsid w:val="00C87125"/>
    <w:rsid w:val="00C904AA"/>
    <w:rsid w:val="00C91925"/>
    <w:rsid w:val="00C95B46"/>
    <w:rsid w:val="00C968F0"/>
    <w:rsid w:val="00CA270B"/>
    <w:rsid w:val="00CA5BEF"/>
    <w:rsid w:val="00CB096F"/>
    <w:rsid w:val="00CB0FCB"/>
    <w:rsid w:val="00CB6CB4"/>
    <w:rsid w:val="00CB71B8"/>
    <w:rsid w:val="00CB74B0"/>
    <w:rsid w:val="00CB7D70"/>
    <w:rsid w:val="00CC25A9"/>
    <w:rsid w:val="00CD0BC4"/>
    <w:rsid w:val="00CD1100"/>
    <w:rsid w:val="00CD2B46"/>
    <w:rsid w:val="00CD3796"/>
    <w:rsid w:val="00CD4486"/>
    <w:rsid w:val="00CD6109"/>
    <w:rsid w:val="00CD6DC7"/>
    <w:rsid w:val="00CD74E2"/>
    <w:rsid w:val="00CD7A03"/>
    <w:rsid w:val="00CE0771"/>
    <w:rsid w:val="00CE07BD"/>
    <w:rsid w:val="00CE4DF7"/>
    <w:rsid w:val="00CE6A53"/>
    <w:rsid w:val="00CF0EE9"/>
    <w:rsid w:val="00CF1A0C"/>
    <w:rsid w:val="00CF4335"/>
    <w:rsid w:val="00CF7385"/>
    <w:rsid w:val="00CF7EB3"/>
    <w:rsid w:val="00D03F14"/>
    <w:rsid w:val="00D06A28"/>
    <w:rsid w:val="00D100EC"/>
    <w:rsid w:val="00D10B1E"/>
    <w:rsid w:val="00D12E0F"/>
    <w:rsid w:val="00D13377"/>
    <w:rsid w:val="00D21367"/>
    <w:rsid w:val="00D21F7A"/>
    <w:rsid w:val="00D2773D"/>
    <w:rsid w:val="00D313AF"/>
    <w:rsid w:val="00D35159"/>
    <w:rsid w:val="00D3674A"/>
    <w:rsid w:val="00D41A64"/>
    <w:rsid w:val="00D43591"/>
    <w:rsid w:val="00D479CB"/>
    <w:rsid w:val="00D47F71"/>
    <w:rsid w:val="00D50468"/>
    <w:rsid w:val="00D50D2E"/>
    <w:rsid w:val="00D52B5B"/>
    <w:rsid w:val="00D53C36"/>
    <w:rsid w:val="00D572C4"/>
    <w:rsid w:val="00D60157"/>
    <w:rsid w:val="00D71D0C"/>
    <w:rsid w:val="00D7349D"/>
    <w:rsid w:val="00D73E12"/>
    <w:rsid w:val="00D760C2"/>
    <w:rsid w:val="00D76407"/>
    <w:rsid w:val="00D80336"/>
    <w:rsid w:val="00D86BD3"/>
    <w:rsid w:val="00D902EB"/>
    <w:rsid w:val="00D92F16"/>
    <w:rsid w:val="00D95FD0"/>
    <w:rsid w:val="00DA205D"/>
    <w:rsid w:val="00DA3440"/>
    <w:rsid w:val="00DA67DC"/>
    <w:rsid w:val="00DA6AE9"/>
    <w:rsid w:val="00DA6F7E"/>
    <w:rsid w:val="00DA6FC4"/>
    <w:rsid w:val="00DA7D56"/>
    <w:rsid w:val="00DB2A2C"/>
    <w:rsid w:val="00DB438D"/>
    <w:rsid w:val="00DB5462"/>
    <w:rsid w:val="00DC103D"/>
    <w:rsid w:val="00DC2949"/>
    <w:rsid w:val="00DC6015"/>
    <w:rsid w:val="00DD607F"/>
    <w:rsid w:val="00DD77D9"/>
    <w:rsid w:val="00DD7CEB"/>
    <w:rsid w:val="00DE2888"/>
    <w:rsid w:val="00DE7004"/>
    <w:rsid w:val="00DE79DB"/>
    <w:rsid w:val="00DF0D28"/>
    <w:rsid w:val="00DF2881"/>
    <w:rsid w:val="00DF3837"/>
    <w:rsid w:val="00DF7548"/>
    <w:rsid w:val="00E02601"/>
    <w:rsid w:val="00E06538"/>
    <w:rsid w:val="00E15796"/>
    <w:rsid w:val="00E16582"/>
    <w:rsid w:val="00E23D25"/>
    <w:rsid w:val="00E248B8"/>
    <w:rsid w:val="00E273A9"/>
    <w:rsid w:val="00E34658"/>
    <w:rsid w:val="00E34E69"/>
    <w:rsid w:val="00E35C95"/>
    <w:rsid w:val="00E40F9C"/>
    <w:rsid w:val="00E41248"/>
    <w:rsid w:val="00E52DD6"/>
    <w:rsid w:val="00E55BE2"/>
    <w:rsid w:val="00E56FD1"/>
    <w:rsid w:val="00E62033"/>
    <w:rsid w:val="00E670B6"/>
    <w:rsid w:val="00E6796E"/>
    <w:rsid w:val="00E71B1D"/>
    <w:rsid w:val="00E729D2"/>
    <w:rsid w:val="00E732D5"/>
    <w:rsid w:val="00E73AE2"/>
    <w:rsid w:val="00E76FC0"/>
    <w:rsid w:val="00E805ED"/>
    <w:rsid w:val="00E82EAF"/>
    <w:rsid w:val="00E843C0"/>
    <w:rsid w:val="00E865C7"/>
    <w:rsid w:val="00E86BB3"/>
    <w:rsid w:val="00E9394A"/>
    <w:rsid w:val="00E93F97"/>
    <w:rsid w:val="00E96807"/>
    <w:rsid w:val="00EA0749"/>
    <w:rsid w:val="00EA5D36"/>
    <w:rsid w:val="00EB2C34"/>
    <w:rsid w:val="00EB3555"/>
    <w:rsid w:val="00EB45F8"/>
    <w:rsid w:val="00EB70C4"/>
    <w:rsid w:val="00EB7A7B"/>
    <w:rsid w:val="00EC09F9"/>
    <w:rsid w:val="00EC128A"/>
    <w:rsid w:val="00EC1447"/>
    <w:rsid w:val="00EC1DE4"/>
    <w:rsid w:val="00EC23F2"/>
    <w:rsid w:val="00EC2A5D"/>
    <w:rsid w:val="00EC2C6F"/>
    <w:rsid w:val="00EC4463"/>
    <w:rsid w:val="00EC60F0"/>
    <w:rsid w:val="00EC740B"/>
    <w:rsid w:val="00EC7FE6"/>
    <w:rsid w:val="00ED1178"/>
    <w:rsid w:val="00ED138C"/>
    <w:rsid w:val="00ED2CB1"/>
    <w:rsid w:val="00ED2D87"/>
    <w:rsid w:val="00EE2C5B"/>
    <w:rsid w:val="00EE30A0"/>
    <w:rsid w:val="00EE3976"/>
    <w:rsid w:val="00EE577F"/>
    <w:rsid w:val="00EE646F"/>
    <w:rsid w:val="00EE64B9"/>
    <w:rsid w:val="00EE6E34"/>
    <w:rsid w:val="00EF3794"/>
    <w:rsid w:val="00EF5017"/>
    <w:rsid w:val="00EF6100"/>
    <w:rsid w:val="00EF61C7"/>
    <w:rsid w:val="00EF6627"/>
    <w:rsid w:val="00EF7622"/>
    <w:rsid w:val="00F01EB1"/>
    <w:rsid w:val="00F048FF"/>
    <w:rsid w:val="00F05EE6"/>
    <w:rsid w:val="00F07642"/>
    <w:rsid w:val="00F1367C"/>
    <w:rsid w:val="00F14FDC"/>
    <w:rsid w:val="00F159F3"/>
    <w:rsid w:val="00F17284"/>
    <w:rsid w:val="00F2577E"/>
    <w:rsid w:val="00F33444"/>
    <w:rsid w:val="00F33DA3"/>
    <w:rsid w:val="00F340B6"/>
    <w:rsid w:val="00F340EF"/>
    <w:rsid w:val="00F341E0"/>
    <w:rsid w:val="00F371AF"/>
    <w:rsid w:val="00F3778E"/>
    <w:rsid w:val="00F41920"/>
    <w:rsid w:val="00F45137"/>
    <w:rsid w:val="00F4656B"/>
    <w:rsid w:val="00F513BC"/>
    <w:rsid w:val="00F536A5"/>
    <w:rsid w:val="00F56765"/>
    <w:rsid w:val="00F621AD"/>
    <w:rsid w:val="00F63ACA"/>
    <w:rsid w:val="00F63EDF"/>
    <w:rsid w:val="00F64883"/>
    <w:rsid w:val="00F6575C"/>
    <w:rsid w:val="00F6654B"/>
    <w:rsid w:val="00F667AF"/>
    <w:rsid w:val="00F6747C"/>
    <w:rsid w:val="00F67D3A"/>
    <w:rsid w:val="00F70EEE"/>
    <w:rsid w:val="00F70FA4"/>
    <w:rsid w:val="00F72FA3"/>
    <w:rsid w:val="00F73A9B"/>
    <w:rsid w:val="00F751D4"/>
    <w:rsid w:val="00F76160"/>
    <w:rsid w:val="00F80666"/>
    <w:rsid w:val="00F80C57"/>
    <w:rsid w:val="00F812A1"/>
    <w:rsid w:val="00F83CE1"/>
    <w:rsid w:val="00F93BAC"/>
    <w:rsid w:val="00F96BE6"/>
    <w:rsid w:val="00F978BA"/>
    <w:rsid w:val="00FA2CF0"/>
    <w:rsid w:val="00FA4EF5"/>
    <w:rsid w:val="00FA57E7"/>
    <w:rsid w:val="00FA5B34"/>
    <w:rsid w:val="00FA7E5F"/>
    <w:rsid w:val="00FB0236"/>
    <w:rsid w:val="00FB1120"/>
    <w:rsid w:val="00FB3091"/>
    <w:rsid w:val="00FB675D"/>
    <w:rsid w:val="00FC2CD0"/>
    <w:rsid w:val="00FC3982"/>
    <w:rsid w:val="00FD0016"/>
    <w:rsid w:val="00FD0E0C"/>
    <w:rsid w:val="00FD2457"/>
    <w:rsid w:val="00FD2C79"/>
    <w:rsid w:val="00FE021F"/>
    <w:rsid w:val="00FE3A9B"/>
    <w:rsid w:val="00FE5C00"/>
    <w:rsid w:val="00FF07F3"/>
    <w:rsid w:val="00FF12E7"/>
    <w:rsid w:val="00FF32AA"/>
    <w:rsid w:val="00FF32D4"/>
    <w:rsid w:val="00FF3C6E"/>
    <w:rsid w:val="373BAD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0DF3DA-30AC-4B68-A13E-6B19637D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D9F"/>
    <w:rPr>
      <w:noProof/>
      <w:lang w:val="en-US"/>
    </w:rPr>
  </w:style>
  <w:style w:type="paragraph" w:styleId="Balk1">
    <w:name w:val="heading 1"/>
    <w:basedOn w:val="Normal"/>
    <w:next w:val="Normal"/>
    <w:link w:val="Balk1Char"/>
    <w:uiPriority w:val="99"/>
    <w:qFormat/>
    <w:rsid w:val="002953C4"/>
    <w:pPr>
      <w:keepNext/>
      <w:suppressAutoHyphens/>
      <w:spacing w:after="0" w:line="240" w:lineRule="auto"/>
      <w:jc w:val="center"/>
      <w:outlineLvl w:val="0"/>
    </w:pPr>
    <w:rPr>
      <w:rFonts w:ascii="Arial" w:eastAsia="Times New Roman" w:hAnsi="Arial" w:cs="Times New Roman"/>
      <w:b/>
      <w:iCs/>
      <w:noProof w:val="0"/>
      <w:sz w:val="18"/>
      <w:szCs w:val="18"/>
      <w:lang w:val="tr-TR" w:eastAsia="ar-SA"/>
    </w:rPr>
  </w:style>
  <w:style w:type="paragraph" w:styleId="Balk2">
    <w:name w:val="heading 2"/>
    <w:basedOn w:val="Normal"/>
    <w:next w:val="Normal"/>
    <w:link w:val="Balk2Char"/>
    <w:uiPriority w:val="99"/>
    <w:qFormat/>
    <w:rsid w:val="002953C4"/>
    <w:pPr>
      <w:keepNext/>
      <w:suppressAutoHyphens/>
      <w:spacing w:before="240" w:after="60" w:line="240" w:lineRule="auto"/>
      <w:outlineLvl w:val="1"/>
    </w:pPr>
    <w:rPr>
      <w:rFonts w:ascii="Arial" w:eastAsia="Times New Roman" w:hAnsi="Arial" w:cs="Arial"/>
      <w:b/>
      <w:bCs/>
      <w:i/>
      <w:iCs/>
      <w:noProof w:val="0"/>
      <w:sz w:val="28"/>
      <w:szCs w:val="28"/>
      <w:lang w:val="en-GB" w:eastAsia="ar-SA"/>
    </w:rPr>
  </w:style>
  <w:style w:type="paragraph" w:styleId="Balk3">
    <w:name w:val="heading 3"/>
    <w:basedOn w:val="Normal"/>
    <w:next w:val="Normal"/>
    <w:link w:val="Balk3Char"/>
    <w:uiPriority w:val="99"/>
    <w:qFormat/>
    <w:rsid w:val="002953C4"/>
    <w:pPr>
      <w:keepNext/>
      <w:suppressAutoHyphens/>
      <w:spacing w:before="240" w:after="60" w:line="240" w:lineRule="auto"/>
      <w:outlineLvl w:val="2"/>
    </w:pPr>
    <w:rPr>
      <w:rFonts w:ascii="Arial" w:eastAsia="Times New Roman" w:hAnsi="Arial" w:cs="Arial"/>
      <w:b/>
      <w:bCs/>
      <w:noProof w:val="0"/>
      <w:sz w:val="26"/>
      <w:szCs w:val="26"/>
      <w:lang w:val="en-GB"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6C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CB4"/>
    <w:rPr>
      <w:rFonts w:ascii="Tahoma" w:hAnsi="Tahoma" w:cs="Tahoma"/>
      <w:noProof/>
      <w:sz w:val="16"/>
      <w:szCs w:val="16"/>
      <w:lang w:val="en-US"/>
    </w:rPr>
  </w:style>
  <w:style w:type="paragraph" w:styleId="ResimYazs">
    <w:name w:val="caption"/>
    <w:basedOn w:val="Normal"/>
    <w:next w:val="Normal"/>
    <w:uiPriority w:val="35"/>
    <w:unhideWhenUsed/>
    <w:qFormat/>
    <w:rsid w:val="00CB6CB4"/>
    <w:pPr>
      <w:spacing w:line="240" w:lineRule="auto"/>
    </w:pPr>
    <w:rPr>
      <w:b/>
      <w:bCs/>
      <w:color w:val="4F81BD" w:themeColor="accent1"/>
      <w:sz w:val="18"/>
      <w:szCs w:val="18"/>
    </w:rPr>
  </w:style>
  <w:style w:type="paragraph" w:styleId="ListeParagraf">
    <w:name w:val="List Paragraph"/>
    <w:basedOn w:val="Normal"/>
    <w:uiPriority w:val="34"/>
    <w:qFormat/>
    <w:rsid w:val="00F513BC"/>
    <w:pPr>
      <w:ind w:left="720"/>
      <w:contextualSpacing/>
    </w:pPr>
  </w:style>
  <w:style w:type="paragraph" w:styleId="stbilgi">
    <w:name w:val="header"/>
    <w:basedOn w:val="Normal"/>
    <w:link w:val="stbilgiChar"/>
    <w:uiPriority w:val="99"/>
    <w:semiHidden/>
    <w:unhideWhenUsed/>
    <w:rsid w:val="007378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7811"/>
    <w:rPr>
      <w:noProof/>
      <w:lang w:val="en-US"/>
    </w:rPr>
  </w:style>
  <w:style w:type="paragraph" w:styleId="Altbilgi">
    <w:name w:val="footer"/>
    <w:basedOn w:val="Normal"/>
    <w:link w:val="AltbilgiChar"/>
    <w:uiPriority w:val="99"/>
    <w:unhideWhenUsed/>
    <w:rsid w:val="007378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7811"/>
    <w:rPr>
      <w:noProof/>
      <w:lang w:val="en-US"/>
    </w:rPr>
  </w:style>
  <w:style w:type="character" w:styleId="SatrNumaras">
    <w:name w:val="line number"/>
    <w:basedOn w:val="VarsaylanParagrafYazTipi"/>
    <w:uiPriority w:val="99"/>
    <w:semiHidden/>
    <w:unhideWhenUsed/>
    <w:rsid w:val="00737811"/>
  </w:style>
  <w:style w:type="character" w:customStyle="1" w:styleId="Balk1Char">
    <w:name w:val="Başlık 1 Char"/>
    <w:basedOn w:val="VarsaylanParagrafYazTipi"/>
    <w:link w:val="Balk1"/>
    <w:uiPriority w:val="99"/>
    <w:rsid w:val="002953C4"/>
    <w:rPr>
      <w:rFonts w:ascii="Arial" w:eastAsia="Times New Roman" w:hAnsi="Arial" w:cs="Times New Roman"/>
      <w:b/>
      <w:iCs/>
      <w:sz w:val="18"/>
      <w:szCs w:val="18"/>
      <w:lang w:eastAsia="ar-SA"/>
    </w:rPr>
  </w:style>
  <w:style w:type="character" w:customStyle="1" w:styleId="Balk2Char">
    <w:name w:val="Başlık 2 Char"/>
    <w:basedOn w:val="VarsaylanParagrafYazTipi"/>
    <w:link w:val="Balk2"/>
    <w:uiPriority w:val="99"/>
    <w:rsid w:val="002953C4"/>
    <w:rPr>
      <w:rFonts w:ascii="Arial" w:eastAsia="Times New Roman" w:hAnsi="Arial" w:cs="Arial"/>
      <w:b/>
      <w:bCs/>
      <w:i/>
      <w:iCs/>
      <w:sz w:val="28"/>
      <w:szCs w:val="28"/>
      <w:lang w:val="en-GB" w:eastAsia="ar-SA"/>
    </w:rPr>
  </w:style>
  <w:style w:type="character" w:customStyle="1" w:styleId="Balk3Char">
    <w:name w:val="Başlık 3 Char"/>
    <w:basedOn w:val="VarsaylanParagrafYazTipi"/>
    <w:link w:val="Balk3"/>
    <w:uiPriority w:val="99"/>
    <w:rsid w:val="002953C4"/>
    <w:rPr>
      <w:rFonts w:ascii="Arial" w:eastAsia="Times New Roman" w:hAnsi="Arial" w:cs="Arial"/>
      <w:b/>
      <w:bCs/>
      <w:sz w:val="26"/>
      <w:szCs w:val="26"/>
      <w:lang w:val="en-GB" w:eastAsia="ar-SA"/>
    </w:rPr>
  </w:style>
  <w:style w:type="paragraph" w:styleId="DipnotMetni">
    <w:name w:val="footnote text"/>
    <w:basedOn w:val="Normal"/>
    <w:link w:val="DipnotMetniChar"/>
    <w:uiPriority w:val="99"/>
    <w:unhideWhenUsed/>
    <w:rsid w:val="00AF6C6F"/>
    <w:pPr>
      <w:spacing w:after="0" w:line="240" w:lineRule="auto"/>
    </w:pPr>
    <w:rPr>
      <w:rFonts w:eastAsiaTheme="minorEastAsia"/>
      <w:noProof w:val="0"/>
      <w:sz w:val="20"/>
      <w:szCs w:val="20"/>
      <w:lang w:val="tr-TR" w:eastAsia="tr-TR"/>
    </w:rPr>
  </w:style>
  <w:style w:type="character" w:customStyle="1" w:styleId="DipnotMetniChar">
    <w:name w:val="Dipnot Metni Char"/>
    <w:basedOn w:val="VarsaylanParagrafYazTipi"/>
    <w:link w:val="DipnotMetni"/>
    <w:uiPriority w:val="99"/>
    <w:rsid w:val="00AF6C6F"/>
    <w:rPr>
      <w:rFonts w:eastAsiaTheme="minorEastAsia"/>
      <w:sz w:val="20"/>
      <w:szCs w:val="20"/>
      <w:lang w:eastAsia="tr-TR"/>
    </w:rPr>
  </w:style>
  <w:style w:type="character" w:styleId="DipnotBavurusu">
    <w:name w:val="footnote reference"/>
    <w:basedOn w:val="VarsaylanParagrafYazTipi"/>
    <w:uiPriority w:val="99"/>
    <w:unhideWhenUsed/>
    <w:rsid w:val="00AF6C6F"/>
    <w:rPr>
      <w:vertAlign w:val="superscript"/>
    </w:rPr>
  </w:style>
  <w:style w:type="character" w:styleId="Kpr">
    <w:name w:val="Hyperlink"/>
    <w:basedOn w:val="VarsaylanParagrafYazTipi"/>
    <w:uiPriority w:val="99"/>
    <w:unhideWhenUsed/>
    <w:rsid w:val="00AF6C6F"/>
    <w:rPr>
      <w:color w:val="0000FF" w:themeColor="hyperlink"/>
      <w:u w:val="single"/>
    </w:rPr>
  </w:style>
  <w:style w:type="character" w:styleId="AklamaBavurusu">
    <w:name w:val="annotation reference"/>
    <w:basedOn w:val="VarsaylanParagrafYazTipi"/>
    <w:uiPriority w:val="99"/>
    <w:semiHidden/>
    <w:unhideWhenUsed/>
    <w:rsid w:val="00655ACD"/>
    <w:rPr>
      <w:sz w:val="16"/>
      <w:szCs w:val="16"/>
    </w:rPr>
  </w:style>
  <w:style w:type="paragraph" w:styleId="AklamaMetni">
    <w:name w:val="annotation text"/>
    <w:basedOn w:val="Normal"/>
    <w:link w:val="AklamaMetniChar"/>
    <w:uiPriority w:val="99"/>
    <w:semiHidden/>
    <w:unhideWhenUsed/>
    <w:rsid w:val="00655A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5ACD"/>
    <w:rPr>
      <w:noProof/>
      <w:sz w:val="20"/>
      <w:szCs w:val="20"/>
      <w:lang w:val="en-US"/>
    </w:rPr>
  </w:style>
  <w:style w:type="paragraph" w:styleId="AklamaKonusu">
    <w:name w:val="annotation subject"/>
    <w:basedOn w:val="AklamaMetni"/>
    <w:next w:val="AklamaMetni"/>
    <w:link w:val="AklamaKonusuChar"/>
    <w:uiPriority w:val="99"/>
    <w:semiHidden/>
    <w:unhideWhenUsed/>
    <w:rsid w:val="00655ACD"/>
    <w:rPr>
      <w:b/>
      <w:bCs/>
    </w:rPr>
  </w:style>
  <w:style w:type="character" w:customStyle="1" w:styleId="AklamaKonusuChar">
    <w:name w:val="Açıklama Konusu Char"/>
    <w:basedOn w:val="AklamaMetniChar"/>
    <w:link w:val="AklamaKonusu"/>
    <w:uiPriority w:val="99"/>
    <w:semiHidden/>
    <w:rsid w:val="00655ACD"/>
    <w:rPr>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12">
      <w:bodyDiv w:val="1"/>
      <w:marLeft w:val="0"/>
      <w:marRight w:val="0"/>
      <w:marTop w:val="0"/>
      <w:marBottom w:val="0"/>
      <w:divBdr>
        <w:top w:val="none" w:sz="0" w:space="0" w:color="auto"/>
        <w:left w:val="none" w:sz="0" w:space="0" w:color="auto"/>
        <w:bottom w:val="none" w:sz="0" w:space="0" w:color="auto"/>
        <w:right w:val="none" w:sz="0" w:space="0" w:color="auto"/>
      </w:divBdr>
    </w:div>
    <w:div w:id="112677966">
      <w:bodyDiv w:val="1"/>
      <w:marLeft w:val="0"/>
      <w:marRight w:val="0"/>
      <w:marTop w:val="0"/>
      <w:marBottom w:val="0"/>
      <w:divBdr>
        <w:top w:val="none" w:sz="0" w:space="0" w:color="auto"/>
        <w:left w:val="none" w:sz="0" w:space="0" w:color="auto"/>
        <w:bottom w:val="none" w:sz="0" w:space="0" w:color="auto"/>
        <w:right w:val="none" w:sz="0" w:space="0" w:color="auto"/>
      </w:divBdr>
    </w:div>
    <w:div w:id="125704347">
      <w:bodyDiv w:val="1"/>
      <w:marLeft w:val="0"/>
      <w:marRight w:val="0"/>
      <w:marTop w:val="0"/>
      <w:marBottom w:val="0"/>
      <w:divBdr>
        <w:top w:val="none" w:sz="0" w:space="0" w:color="auto"/>
        <w:left w:val="none" w:sz="0" w:space="0" w:color="auto"/>
        <w:bottom w:val="none" w:sz="0" w:space="0" w:color="auto"/>
        <w:right w:val="none" w:sz="0" w:space="0" w:color="auto"/>
      </w:divBdr>
    </w:div>
    <w:div w:id="229341262">
      <w:bodyDiv w:val="1"/>
      <w:marLeft w:val="0"/>
      <w:marRight w:val="0"/>
      <w:marTop w:val="0"/>
      <w:marBottom w:val="0"/>
      <w:divBdr>
        <w:top w:val="none" w:sz="0" w:space="0" w:color="auto"/>
        <w:left w:val="none" w:sz="0" w:space="0" w:color="auto"/>
        <w:bottom w:val="none" w:sz="0" w:space="0" w:color="auto"/>
        <w:right w:val="none" w:sz="0" w:space="0" w:color="auto"/>
      </w:divBdr>
    </w:div>
    <w:div w:id="287013036">
      <w:bodyDiv w:val="1"/>
      <w:marLeft w:val="0"/>
      <w:marRight w:val="0"/>
      <w:marTop w:val="0"/>
      <w:marBottom w:val="0"/>
      <w:divBdr>
        <w:top w:val="none" w:sz="0" w:space="0" w:color="auto"/>
        <w:left w:val="none" w:sz="0" w:space="0" w:color="auto"/>
        <w:bottom w:val="none" w:sz="0" w:space="0" w:color="auto"/>
        <w:right w:val="none" w:sz="0" w:space="0" w:color="auto"/>
      </w:divBdr>
    </w:div>
    <w:div w:id="428622985">
      <w:bodyDiv w:val="1"/>
      <w:marLeft w:val="0"/>
      <w:marRight w:val="0"/>
      <w:marTop w:val="0"/>
      <w:marBottom w:val="0"/>
      <w:divBdr>
        <w:top w:val="none" w:sz="0" w:space="0" w:color="auto"/>
        <w:left w:val="none" w:sz="0" w:space="0" w:color="auto"/>
        <w:bottom w:val="none" w:sz="0" w:space="0" w:color="auto"/>
        <w:right w:val="none" w:sz="0" w:space="0" w:color="auto"/>
      </w:divBdr>
    </w:div>
    <w:div w:id="447352545">
      <w:bodyDiv w:val="1"/>
      <w:marLeft w:val="0"/>
      <w:marRight w:val="0"/>
      <w:marTop w:val="0"/>
      <w:marBottom w:val="0"/>
      <w:divBdr>
        <w:top w:val="none" w:sz="0" w:space="0" w:color="auto"/>
        <w:left w:val="none" w:sz="0" w:space="0" w:color="auto"/>
        <w:bottom w:val="none" w:sz="0" w:space="0" w:color="auto"/>
        <w:right w:val="none" w:sz="0" w:space="0" w:color="auto"/>
      </w:divBdr>
    </w:div>
    <w:div w:id="477308063">
      <w:bodyDiv w:val="1"/>
      <w:marLeft w:val="0"/>
      <w:marRight w:val="0"/>
      <w:marTop w:val="0"/>
      <w:marBottom w:val="0"/>
      <w:divBdr>
        <w:top w:val="none" w:sz="0" w:space="0" w:color="auto"/>
        <w:left w:val="none" w:sz="0" w:space="0" w:color="auto"/>
        <w:bottom w:val="none" w:sz="0" w:space="0" w:color="auto"/>
        <w:right w:val="none" w:sz="0" w:space="0" w:color="auto"/>
      </w:divBdr>
    </w:div>
    <w:div w:id="613832460">
      <w:bodyDiv w:val="1"/>
      <w:marLeft w:val="0"/>
      <w:marRight w:val="0"/>
      <w:marTop w:val="0"/>
      <w:marBottom w:val="0"/>
      <w:divBdr>
        <w:top w:val="none" w:sz="0" w:space="0" w:color="auto"/>
        <w:left w:val="none" w:sz="0" w:space="0" w:color="auto"/>
        <w:bottom w:val="none" w:sz="0" w:space="0" w:color="auto"/>
        <w:right w:val="none" w:sz="0" w:space="0" w:color="auto"/>
      </w:divBdr>
    </w:div>
    <w:div w:id="630405777">
      <w:bodyDiv w:val="1"/>
      <w:marLeft w:val="0"/>
      <w:marRight w:val="0"/>
      <w:marTop w:val="0"/>
      <w:marBottom w:val="0"/>
      <w:divBdr>
        <w:top w:val="none" w:sz="0" w:space="0" w:color="auto"/>
        <w:left w:val="none" w:sz="0" w:space="0" w:color="auto"/>
        <w:bottom w:val="none" w:sz="0" w:space="0" w:color="auto"/>
        <w:right w:val="none" w:sz="0" w:space="0" w:color="auto"/>
      </w:divBdr>
    </w:div>
    <w:div w:id="665133316">
      <w:bodyDiv w:val="1"/>
      <w:marLeft w:val="0"/>
      <w:marRight w:val="0"/>
      <w:marTop w:val="0"/>
      <w:marBottom w:val="0"/>
      <w:divBdr>
        <w:top w:val="none" w:sz="0" w:space="0" w:color="auto"/>
        <w:left w:val="none" w:sz="0" w:space="0" w:color="auto"/>
        <w:bottom w:val="none" w:sz="0" w:space="0" w:color="auto"/>
        <w:right w:val="none" w:sz="0" w:space="0" w:color="auto"/>
      </w:divBdr>
    </w:div>
    <w:div w:id="735470670">
      <w:bodyDiv w:val="1"/>
      <w:marLeft w:val="0"/>
      <w:marRight w:val="0"/>
      <w:marTop w:val="0"/>
      <w:marBottom w:val="0"/>
      <w:divBdr>
        <w:top w:val="none" w:sz="0" w:space="0" w:color="auto"/>
        <w:left w:val="none" w:sz="0" w:space="0" w:color="auto"/>
        <w:bottom w:val="none" w:sz="0" w:space="0" w:color="auto"/>
        <w:right w:val="none" w:sz="0" w:space="0" w:color="auto"/>
      </w:divBdr>
    </w:div>
    <w:div w:id="1049183427">
      <w:bodyDiv w:val="1"/>
      <w:marLeft w:val="0"/>
      <w:marRight w:val="0"/>
      <w:marTop w:val="0"/>
      <w:marBottom w:val="0"/>
      <w:divBdr>
        <w:top w:val="none" w:sz="0" w:space="0" w:color="auto"/>
        <w:left w:val="none" w:sz="0" w:space="0" w:color="auto"/>
        <w:bottom w:val="none" w:sz="0" w:space="0" w:color="auto"/>
        <w:right w:val="none" w:sz="0" w:space="0" w:color="auto"/>
      </w:divBdr>
    </w:div>
    <w:div w:id="1058472809">
      <w:bodyDiv w:val="1"/>
      <w:marLeft w:val="0"/>
      <w:marRight w:val="0"/>
      <w:marTop w:val="0"/>
      <w:marBottom w:val="0"/>
      <w:divBdr>
        <w:top w:val="none" w:sz="0" w:space="0" w:color="auto"/>
        <w:left w:val="none" w:sz="0" w:space="0" w:color="auto"/>
        <w:bottom w:val="none" w:sz="0" w:space="0" w:color="auto"/>
        <w:right w:val="none" w:sz="0" w:space="0" w:color="auto"/>
      </w:divBdr>
    </w:div>
    <w:div w:id="1191990896">
      <w:bodyDiv w:val="1"/>
      <w:marLeft w:val="0"/>
      <w:marRight w:val="0"/>
      <w:marTop w:val="0"/>
      <w:marBottom w:val="0"/>
      <w:divBdr>
        <w:top w:val="none" w:sz="0" w:space="0" w:color="auto"/>
        <w:left w:val="none" w:sz="0" w:space="0" w:color="auto"/>
        <w:bottom w:val="none" w:sz="0" w:space="0" w:color="auto"/>
        <w:right w:val="none" w:sz="0" w:space="0" w:color="auto"/>
      </w:divBdr>
    </w:div>
    <w:div w:id="1283614313">
      <w:bodyDiv w:val="1"/>
      <w:marLeft w:val="0"/>
      <w:marRight w:val="0"/>
      <w:marTop w:val="0"/>
      <w:marBottom w:val="0"/>
      <w:divBdr>
        <w:top w:val="none" w:sz="0" w:space="0" w:color="auto"/>
        <w:left w:val="none" w:sz="0" w:space="0" w:color="auto"/>
        <w:bottom w:val="none" w:sz="0" w:space="0" w:color="auto"/>
        <w:right w:val="none" w:sz="0" w:space="0" w:color="auto"/>
      </w:divBdr>
    </w:div>
    <w:div w:id="1309242794">
      <w:bodyDiv w:val="1"/>
      <w:marLeft w:val="0"/>
      <w:marRight w:val="0"/>
      <w:marTop w:val="0"/>
      <w:marBottom w:val="0"/>
      <w:divBdr>
        <w:top w:val="none" w:sz="0" w:space="0" w:color="auto"/>
        <w:left w:val="none" w:sz="0" w:space="0" w:color="auto"/>
        <w:bottom w:val="none" w:sz="0" w:space="0" w:color="auto"/>
        <w:right w:val="none" w:sz="0" w:space="0" w:color="auto"/>
      </w:divBdr>
    </w:div>
    <w:div w:id="1580366268">
      <w:bodyDiv w:val="1"/>
      <w:marLeft w:val="0"/>
      <w:marRight w:val="0"/>
      <w:marTop w:val="0"/>
      <w:marBottom w:val="0"/>
      <w:divBdr>
        <w:top w:val="none" w:sz="0" w:space="0" w:color="auto"/>
        <w:left w:val="none" w:sz="0" w:space="0" w:color="auto"/>
        <w:bottom w:val="none" w:sz="0" w:space="0" w:color="auto"/>
        <w:right w:val="none" w:sz="0" w:space="0" w:color="auto"/>
      </w:divBdr>
    </w:div>
    <w:div w:id="1630547186">
      <w:bodyDiv w:val="1"/>
      <w:marLeft w:val="0"/>
      <w:marRight w:val="0"/>
      <w:marTop w:val="0"/>
      <w:marBottom w:val="0"/>
      <w:divBdr>
        <w:top w:val="none" w:sz="0" w:space="0" w:color="auto"/>
        <w:left w:val="none" w:sz="0" w:space="0" w:color="auto"/>
        <w:bottom w:val="none" w:sz="0" w:space="0" w:color="auto"/>
        <w:right w:val="none" w:sz="0" w:space="0" w:color="auto"/>
      </w:divBdr>
    </w:div>
    <w:div w:id="1652247715">
      <w:bodyDiv w:val="1"/>
      <w:marLeft w:val="0"/>
      <w:marRight w:val="0"/>
      <w:marTop w:val="0"/>
      <w:marBottom w:val="0"/>
      <w:divBdr>
        <w:top w:val="none" w:sz="0" w:space="0" w:color="auto"/>
        <w:left w:val="none" w:sz="0" w:space="0" w:color="auto"/>
        <w:bottom w:val="none" w:sz="0" w:space="0" w:color="auto"/>
        <w:right w:val="none" w:sz="0" w:space="0" w:color="auto"/>
      </w:divBdr>
    </w:div>
    <w:div w:id="1693799250">
      <w:bodyDiv w:val="1"/>
      <w:marLeft w:val="0"/>
      <w:marRight w:val="0"/>
      <w:marTop w:val="0"/>
      <w:marBottom w:val="0"/>
      <w:divBdr>
        <w:top w:val="none" w:sz="0" w:space="0" w:color="auto"/>
        <w:left w:val="none" w:sz="0" w:space="0" w:color="auto"/>
        <w:bottom w:val="none" w:sz="0" w:space="0" w:color="auto"/>
        <w:right w:val="none" w:sz="0" w:space="0" w:color="auto"/>
      </w:divBdr>
    </w:div>
    <w:div w:id="1742094529">
      <w:bodyDiv w:val="1"/>
      <w:marLeft w:val="0"/>
      <w:marRight w:val="0"/>
      <w:marTop w:val="0"/>
      <w:marBottom w:val="0"/>
      <w:divBdr>
        <w:top w:val="none" w:sz="0" w:space="0" w:color="auto"/>
        <w:left w:val="none" w:sz="0" w:space="0" w:color="auto"/>
        <w:bottom w:val="none" w:sz="0" w:space="0" w:color="auto"/>
        <w:right w:val="none" w:sz="0" w:space="0" w:color="auto"/>
      </w:divBdr>
    </w:div>
    <w:div w:id="1773429534">
      <w:bodyDiv w:val="1"/>
      <w:marLeft w:val="0"/>
      <w:marRight w:val="0"/>
      <w:marTop w:val="0"/>
      <w:marBottom w:val="0"/>
      <w:divBdr>
        <w:top w:val="none" w:sz="0" w:space="0" w:color="auto"/>
        <w:left w:val="none" w:sz="0" w:space="0" w:color="auto"/>
        <w:bottom w:val="none" w:sz="0" w:space="0" w:color="auto"/>
        <w:right w:val="none" w:sz="0" w:space="0" w:color="auto"/>
      </w:divBdr>
    </w:div>
    <w:div w:id="1859535985">
      <w:bodyDiv w:val="1"/>
      <w:marLeft w:val="0"/>
      <w:marRight w:val="0"/>
      <w:marTop w:val="0"/>
      <w:marBottom w:val="0"/>
      <w:divBdr>
        <w:top w:val="none" w:sz="0" w:space="0" w:color="auto"/>
        <w:left w:val="none" w:sz="0" w:space="0" w:color="auto"/>
        <w:bottom w:val="none" w:sz="0" w:space="0" w:color="auto"/>
        <w:right w:val="none" w:sz="0" w:space="0" w:color="auto"/>
      </w:divBdr>
    </w:div>
    <w:div w:id="1884250272">
      <w:bodyDiv w:val="1"/>
      <w:marLeft w:val="0"/>
      <w:marRight w:val="0"/>
      <w:marTop w:val="0"/>
      <w:marBottom w:val="0"/>
      <w:divBdr>
        <w:top w:val="none" w:sz="0" w:space="0" w:color="auto"/>
        <w:left w:val="none" w:sz="0" w:space="0" w:color="auto"/>
        <w:bottom w:val="none" w:sz="0" w:space="0" w:color="auto"/>
        <w:right w:val="none" w:sz="0" w:space="0" w:color="auto"/>
      </w:divBdr>
    </w:div>
    <w:div w:id="1911886571">
      <w:bodyDiv w:val="1"/>
      <w:marLeft w:val="0"/>
      <w:marRight w:val="0"/>
      <w:marTop w:val="0"/>
      <w:marBottom w:val="0"/>
      <w:divBdr>
        <w:top w:val="none" w:sz="0" w:space="0" w:color="auto"/>
        <w:left w:val="none" w:sz="0" w:space="0" w:color="auto"/>
        <w:bottom w:val="none" w:sz="0" w:space="0" w:color="auto"/>
        <w:right w:val="none" w:sz="0" w:space="0" w:color="auto"/>
      </w:divBdr>
    </w:div>
    <w:div w:id="1949846203">
      <w:bodyDiv w:val="1"/>
      <w:marLeft w:val="0"/>
      <w:marRight w:val="0"/>
      <w:marTop w:val="0"/>
      <w:marBottom w:val="0"/>
      <w:divBdr>
        <w:top w:val="none" w:sz="0" w:space="0" w:color="auto"/>
        <w:left w:val="none" w:sz="0" w:space="0" w:color="auto"/>
        <w:bottom w:val="none" w:sz="0" w:space="0" w:color="auto"/>
        <w:right w:val="none" w:sz="0" w:space="0" w:color="auto"/>
      </w:divBdr>
    </w:div>
    <w:div w:id="1956332200">
      <w:bodyDiv w:val="1"/>
      <w:marLeft w:val="0"/>
      <w:marRight w:val="0"/>
      <w:marTop w:val="0"/>
      <w:marBottom w:val="0"/>
      <w:divBdr>
        <w:top w:val="none" w:sz="0" w:space="0" w:color="auto"/>
        <w:left w:val="none" w:sz="0" w:space="0" w:color="auto"/>
        <w:bottom w:val="none" w:sz="0" w:space="0" w:color="auto"/>
        <w:right w:val="none" w:sz="0" w:space="0" w:color="auto"/>
      </w:divBdr>
    </w:div>
    <w:div w:id="1994942216">
      <w:bodyDiv w:val="1"/>
      <w:marLeft w:val="0"/>
      <w:marRight w:val="0"/>
      <w:marTop w:val="0"/>
      <w:marBottom w:val="0"/>
      <w:divBdr>
        <w:top w:val="none" w:sz="0" w:space="0" w:color="auto"/>
        <w:left w:val="none" w:sz="0" w:space="0" w:color="auto"/>
        <w:bottom w:val="none" w:sz="0" w:space="0" w:color="auto"/>
        <w:right w:val="none" w:sz="0" w:space="0" w:color="auto"/>
      </w:divBdr>
    </w:div>
    <w:div w:id="19988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mailto:melike.kokkizil@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www.turmob.org.tr/arsiv/mbs/pratikBilgiler/asgari_ucret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io\Dropbox\AN_AsgariUcret\AN_Asgari%20ucret_Sosyo%20ekonomik%20grupl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io\Dropbox\AN_AsgariUcret\AN_Asgari%20ucret_Sosyo%20ekonomik%20grupl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YAŞ!$C$12</c:f>
              <c:strCache>
                <c:ptCount val="1"/>
                <c:pt idx="0">
                  <c:v>age</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YAŞ!$H$16:$H$21</c:f>
              <c:strCache>
                <c:ptCount val="6"/>
                <c:pt idx="0">
                  <c:v>15-24 years  </c:v>
                </c:pt>
                <c:pt idx="1">
                  <c:v>25-34 years</c:v>
                </c:pt>
                <c:pt idx="2">
                  <c:v>35-44 years</c:v>
                </c:pt>
                <c:pt idx="3">
                  <c:v>45-54 years</c:v>
                </c:pt>
                <c:pt idx="4">
                  <c:v>55-64 years</c:v>
                </c:pt>
                <c:pt idx="5">
                  <c:v>64 and above years</c:v>
                </c:pt>
              </c:strCache>
            </c:strRef>
          </c:cat>
          <c:val>
            <c:numRef>
              <c:f>YAŞ!$J$16:$J$21</c:f>
              <c:numCache>
                <c:formatCode>General</c:formatCode>
                <c:ptCount val="6"/>
                <c:pt idx="0">
                  <c:v>79.790000000000006</c:v>
                </c:pt>
                <c:pt idx="1">
                  <c:v>53.16</c:v>
                </c:pt>
                <c:pt idx="2">
                  <c:v>50.96</c:v>
                </c:pt>
                <c:pt idx="3">
                  <c:v>57.42</c:v>
                </c:pt>
                <c:pt idx="4">
                  <c:v>54.61</c:v>
                </c:pt>
                <c:pt idx="5">
                  <c:v>56.71</c:v>
                </c:pt>
              </c:numCache>
            </c:numRef>
          </c:val>
        </c:ser>
        <c:dLbls>
          <c:showLegendKey val="0"/>
          <c:showVal val="0"/>
          <c:showCatName val="0"/>
          <c:showSerName val="0"/>
          <c:showPercent val="0"/>
          <c:showBubbleSize val="0"/>
        </c:dLbls>
        <c:gapWidth val="150"/>
        <c:axId val="429886312"/>
        <c:axId val="429890624"/>
      </c:barChart>
      <c:catAx>
        <c:axId val="429886312"/>
        <c:scaling>
          <c:orientation val="minMax"/>
        </c:scaling>
        <c:delete val="0"/>
        <c:axPos val="l"/>
        <c:numFmt formatCode="General" sourceLinked="1"/>
        <c:majorTickMark val="out"/>
        <c:minorTickMark val="none"/>
        <c:tickLblPos val="nextTo"/>
        <c:crossAx val="429890624"/>
        <c:crosses val="autoZero"/>
        <c:auto val="1"/>
        <c:lblAlgn val="ctr"/>
        <c:lblOffset val="100"/>
        <c:noMultiLvlLbl val="0"/>
      </c:catAx>
      <c:valAx>
        <c:axId val="429890624"/>
        <c:scaling>
          <c:orientation val="minMax"/>
        </c:scaling>
        <c:delete val="0"/>
        <c:axPos val="b"/>
        <c:numFmt formatCode="General" sourceLinked="1"/>
        <c:majorTickMark val="out"/>
        <c:minorTickMark val="none"/>
        <c:tickLblPos val="nextTo"/>
        <c:crossAx val="429886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CİNSİYET!$H$55</c:f>
              <c:strCache>
                <c:ptCount val="1"/>
                <c:pt idx="0">
                  <c:v>erkek</c:v>
                </c:pt>
              </c:strCache>
            </c:strRef>
          </c:tx>
          <c:invertIfNegative val="0"/>
          <c:dLbls>
            <c:dLbl>
              <c:idx val="0"/>
              <c:tx>
                <c:rich>
                  <a:bodyPr/>
                  <a:lstStyle/>
                  <a:p>
                    <a:r>
                      <a:rPr lang="en-US"/>
                      <a:t>men</a:t>
                    </a:r>
                    <a:r>
                      <a:rPr lang="en-US" baseline="0"/>
                      <a:t>; </a:t>
                    </a:r>
                    <a:fld id="{44341B1D-4821-497D-AE0B-E03BA8674178}" type="VALUE">
                      <a:rPr lang="en-US" baseline="0"/>
                      <a:pPr/>
                      <a:t>[DEĞER]</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dLbl>
              <c:idx val="1"/>
              <c:tx>
                <c:rich>
                  <a:bodyPr/>
                  <a:lstStyle/>
                  <a:p>
                    <a:r>
                      <a:rPr lang="en-US"/>
                      <a:t>men</a:t>
                    </a:r>
                    <a:r>
                      <a:rPr lang="en-US" baseline="0"/>
                      <a:t>; </a:t>
                    </a:r>
                    <a:fld id="{FD5CD4B8-82AF-4AC2-94A4-9B11C17474C8}" type="VALUE">
                      <a:rPr lang="en-US" baseline="0"/>
                      <a:pPr/>
                      <a:t>[DEĞER]</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CİNSİYET!$I$54:$J$54</c:f>
              <c:strCache>
                <c:ptCount val="2"/>
                <c:pt idx="0">
                  <c:v>1300TL and higher</c:v>
                </c:pt>
                <c:pt idx="1">
                  <c:v>lower than 1300TL</c:v>
                </c:pt>
              </c:strCache>
            </c:strRef>
          </c:cat>
          <c:val>
            <c:numRef>
              <c:f>CİNSİYET!$I$55:$J$55</c:f>
              <c:numCache>
                <c:formatCode>#,#00</c:formatCode>
                <c:ptCount val="2"/>
                <c:pt idx="0">
                  <c:v>81.11</c:v>
                </c:pt>
                <c:pt idx="1">
                  <c:v>72.760000000000005</c:v>
                </c:pt>
              </c:numCache>
            </c:numRef>
          </c:val>
        </c:ser>
        <c:ser>
          <c:idx val="1"/>
          <c:order val="1"/>
          <c:tx>
            <c:strRef>
              <c:f>CİNSİYET!$H$56</c:f>
              <c:strCache>
                <c:ptCount val="1"/>
                <c:pt idx="0">
                  <c:v>kadın</c:v>
                </c:pt>
              </c:strCache>
            </c:strRef>
          </c:tx>
          <c:invertIfNegative val="0"/>
          <c:dLbls>
            <c:dLbl>
              <c:idx val="0"/>
              <c:tx>
                <c:rich>
                  <a:bodyPr/>
                  <a:lstStyle/>
                  <a:p>
                    <a:r>
                      <a:rPr lang="en-US"/>
                      <a:t>women</a:t>
                    </a:r>
                    <a:r>
                      <a:rPr lang="en-US" baseline="0"/>
                      <a:t>; </a:t>
                    </a:r>
                    <a:fld id="{4E6F9AC4-4CB6-41E1-9B48-C4DB44CFF2A5}" type="VALUE">
                      <a:rPr lang="en-US" baseline="0"/>
                      <a:pPr/>
                      <a:t>[DEĞER]</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dLbl>
              <c:idx val="1"/>
              <c:tx>
                <c:rich>
                  <a:bodyPr/>
                  <a:lstStyle/>
                  <a:p>
                    <a:r>
                      <a:rPr lang="en-US"/>
                      <a:t>women</a:t>
                    </a:r>
                    <a:r>
                      <a:rPr lang="en-US" baseline="0"/>
                      <a:t>; </a:t>
                    </a:r>
                    <a:fld id="{634D42F4-5E03-4A61-897F-13A63767887A}" type="VALUE">
                      <a:rPr lang="en-US" baseline="0"/>
                      <a:pPr/>
                      <a:t>[DEĞER]</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CİNSİYET!$I$54:$J$54</c:f>
              <c:strCache>
                <c:ptCount val="2"/>
                <c:pt idx="0">
                  <c:v>1300TL and higher</c:v>
                </c:pt>
                <c:pt idx="1">
                  <c:v>lower than 1300TL</c:v>
                </c:pt>
              </c:strCache>
            </c:strRef>
          </c:cat>
          <c:val>
            <c:numRef>
              <c:f>CİNSİYET!$I$56:$J$56</c:f>
              <c:numCache>
                <c:formatCode>#,#00</c:formatCode>
                <c:ptCount val="2"/>
                <c:pt idx="0">
                  <c:v>18.89</c:v>
                </c:pt>
                <c:pt idx="1">
                  <c:v>27.24</c:v>
                </c:pt>
              </c:numCache>
            </c:numRef>
          </c:val>
        </c:ser>
        <c:dLbls>
          <c:showLegendKey val="0"/>
          <c:showVal val="0"/>
          <c:showCatName val="0"/>
          <c:showSerName val="0"/>
          <c:showPercent val="0"/>
          <c:showBubbleSize val="0"/>
        </c:dLbls>
        <c:gapWidth val="55"/>
        <c:overlap val="100"/>
        <c:axId val="429891016"/>
        <c:axId val="429891408"/>
      </c:barChart>
      <c:catAx>
        <c:axId val="429891016"/>
        <c:scaling>
          <c:orientation val="minMax"/>
        </c:scaling>
        <c:delete val="0"/>
        <c:axPos val="l"/>
        <c:numFmt formatCode="#,##0.00" sourceLinked="0"/>
        <c:majorTickMark val="none"/>
        <c:minorTickMark val="none"/>
        <c:tickLblPos val="nextTo"/>
        <c:crossAx val="429891408"/>
        <c:crosses val="autoZero"/>
        <c:auto val="1"/>
        <c:lblAlgn val="ctr"/>
        <c:lblOffset val="100"/>
        <c:noMultiLvlLbl val="0"/>
      </c:catAx>
      <c:valAx>
        <c:axId val="429891408"/>
        <c:scaling>
          <c:orientation val="minMax"/>
          <c:max val="100"/>
        </c:scaling>
        <c:delete val="0"/>
        <c:axPos val="b"/>
        <c:title>
          <c:tx>
            <c:rich>
              <a:bodyPr/>
              <a:lstStyle/>
              <a:p>
                <a:pPr>
                  <a:defRPr/>
                </a:pPr>
                <a:r>
                  <a:rPr lang="tr-TR"/>
                  <a:t>%</a:t>
                </a:r>
              </a:p>
            </c:rich>
          </c:tx>
          <c:overlay val="0"/>
        </c:title>
        <c:numFmt formatCode="#,##0" sourceLinked="0"/>
        <c:majorTickMark val="none"/>
        <c:minorTickMark val="none"/>
        <c:tickLblPos val="nextTo"/>
        <c:crossAx val="42989101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919288-9B87-48DB-9D99-789338A2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2013</Words>
  <Characters>11480</Characters>
  <Application>Microsoft Office Word</Application>
  <DocSecurity>0</DocSecurity>
  <Lines>95</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Melike Kökkızıl</cp:lastModifiedBy>
  <cp:revision>292</cp:revision>
  <cp:lastPrinted>2016-03-03T11:59:00Z</cp:lastPrinted>
  <dcterms:created xsi:type="dcterms:W3CDTF">2016-04-11T07:12:00Z</dcterms:created>
  <dcterms:modified xsi:type="dcterms:W3CDTF">2016-04-17T09:12:00Z</dcterms:modified>
</cp:coreProperties>
</file>