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60" w:rsidRDefault="008B3C2E" w:rsidP="00AE0BBB">
      <w:pPr>
        <w:spacing w:line="288" w:lineRule="auto"/>
        <w:ind w:right="-319"/>
        <w:jc w:val="center"/>
        <w:rPr>
          <w:rFonts w:ascii="Arial" w:hAnsi="Arial" w:cs="Arial"/>
          <w:b/>
          <w:sz w:val="20"/>
          <w:szCs w:val="20"/>
        </w:rPr>
      </w:pPr>
      <w:bookmarkStart w:id="0" w:name="_GoBack"/>
      <w:bookmarkEnd w:id="0"/>
      <w:r>
        <w:rPr>
          <w:rFonts w:ascii="Arial" w:hAnsi="Arial" w:cs="Arial"/>
          <w:b/>
          <w:noProof/>
          <w:sz w:val="20"/>
          <w:szCs w:val="20"/>
        </w:rPr>
        <w:pict>
          <v:shapetype id="_x0000_t202" coordsize="21600,21600" o:spt="202" path="m,l,21600r21600,l21600,xe">
            <v:stroke joinstyle="miter"/>
            <v:path gradientshapeok="t" o:connecttype="rect"/>
          </v:shapetype>
          <v:shape id="Text Box 14" o:spid="_x0000_s1026" type="#_x0000_t202" style="position:absolute;left:0;text-align:left;margin-left:143.1pt;margin-top:2.75pt;width:283.95pt;height:33.0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cg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" stroked="f">
            <v:fill opacity="0"/>
            <v:textbox inset="0,0,0,0">
              <w:txbxContent>
                <w:p w:rsidR="006626C3" w:rsidRPr="009060B6" w:rsidRDefault="006626C3" w:rsidP="007750EF">
                  <w:pPr>
                    <w:pStyle w:val="Heading1"/>
                    <w:rPr>
                      <w:rFonts w:ascii="Times New Roman" w:hAnsi="Times New Roman"/>
                      <w:sz w:val="40"/>
                      <w:szCs w:val="40"/>
                    </w:rPr>
                  </w:pPr>
                  <w:r>
                    <w:rPr>
                      <w:rFonts w:ascii="Times New Roman" w:hAnsi="Times New Roman"/>
                      <w:sz w:val="40"/>
                      <w:szCs w:val="40"/>
                    </w:rPr>
                    <w:t xml:space="preserve">Growth Evaluation: 2015 </w:t>
                  </w:r>
                  <w:r w:rsidRPr="00DC7DF8">
                    <w:rPr>
                      <w:rFonts w:ascii="Times New Roman" w:hAnsi="Times New Roman"/>
                      <w:sz w:val="40"/>
                      <w:szCs w:val="40"/>
                    </w:rPr>
                    <w:t xml:space="preserve"> </w:t>
                  </w:r>
                </w:p>
                <w:p w:rsidR="006626C3" w:rsidRPr="00526178" w:rsidRDefault="006626C3" w:rsidP="007750EF">
                  <w:pPr>
                    <w:pStyle w:val="Heading2"/>
                    <w:rPr>
                      <w:b w:val="0"/>
                      <w:i w:val="0"/>
                    </w:rPr>
                  </w:pPr>
                </w:p>
              </w:txbxContent>
            </v:textbox>
          </v:shape>
        </w:pict>
      </w:r>
      <w:r w:rsidR="00E10719">
        <w:rPr>
          <w:rFonts w:ascii="Arial" w:hAnsi="Arial" w:cs="Arial"/>
          <w:b/>
          <w:noProof/>
          <w:sz w:val="20"/>
          <w:szCs w:val="20"/>
        </w:rPr>
        <w:drawing>
          <wp:anchor distT="0" distB="0" distL="114300" distR="114300" simplePos="0" relativeHeight="251656192" behindDoc="1" locked="0" layoutInCell="1" allowOverlap="1">
            <wp:simplePos x="0" y="0"/>
            <wp:positionH relativeFrom="column">
              <wp:posOffset>-800100</wp:posOffset>
            </wp:positionH>
            <wp:positionV relativeFrom="paragraph">
              <wp:posOffset>-228600</wp:posOffset>
            </wp:positionV>
            <wp:extent cx="7315200" cy="1330325"/>
            <wp:effectExtent l="19050" t="0" r="0" b="0"/>
            <wp:wrapNone/>
            <wp:docPr id="13"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p>
    <w:p w:rsidR="007750EF" w:rsidRDefault="007750EF" w:rsidP="00AE0BBB">
      <w:pPr>
        <w:spacing w:line="288" w:lineRule="auto"/>
        <w:ind w:right="-319"/>
        <w:jc w:val="center"/>
        <w:rPr>
          <w:rFonts w:ascii="Arial" w:hAnsi="Arial" w:cs="Arial"/>
          <w:b/>
          <w:sz w:val="20"/>
          <w:szCs w:val="20"/>
        </w:rPr>
      </w:pPr>
    </w:p>
    <w:p w:rsidR="007750EF" w:rsidRDefault="007750EF" w:rsidP="00AE0BBB">
      <w:pPr>
        <w:spacing w:line="288" w:lineRule="auto"/>
        <w:ind w:right="-319"/>
        <w:jc w:val="center"/>
        <w:rPr>
          <w:rFonts w:ascii="Arial" w:hAnsi="Arial" w:cs="Arial"/>
          <w:b/>
          <w:sz w:val="20"/>
          <w:szCs w:val="20"/>
        </w:rPr>
      </w:pPr>
    </w:p>
    <w:p w:rsidR="007750EF" w:rsidRDefault="008B3C2E" w:rsidP="00AE0BBB">
      <w:pPr>
        <w:spacing w:line="288" w:lineRule="auto"/>
        <w:ind w:right="-319"/>
        <w:jc w:val="center"/>
        <w:rPr>
          <w:rFonts w:ascii="Arial" w:hAnsi="Arial" w:cs="Arial"/>
          <w:b/>
          <w:sz w:val="20"/>
          <w:szCs w:val="20"/>
        </w:rPr>
      </w:pPr>
      <w:r>
        <w:rPr>
          <w:rFonts w:ascii="Arial" w:hAnsi="Arial" w:cs="Arial"/>
          <w:b/>
          <w:noProof/>
          <w:sz w:val="20"/>
          <w:szCs w:val="20"/>
        </w:rPr>
        <w:pict>
          <v:shape id="Text Box 16" o:spid="_x0000_s1027" type="#_x0000_t202" style="position:absolute;left:0;text-align:left;margin-left:399.55pt;margin-top:10.25pt;width:134.8pt;height:35.8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" stroked="f">
            <v:fill opacity="0"/>
            <v:textbox inset="0,0,0,0">
              <w:txbxContent>
                <w:p w:rsidR="006626C3" w:rsidRDefault="006626C3" w:rsidP="007750EF">
                  <w:pPr>
                    <w:pStyle w:val="Heading3"/>
                    <w:rPr>
                      <w:color w:val="FFFFFF"/>
                      <w:sz w:val="22"/>
                      <w:szCs w:val="22"/>
                      <w:lang w:val="tr-TR"/>
                    </w:rPr>
                  </w:pPr>
                  <w:r>
                    <w:rPr>
                      <w:color w:val="FFFFFF"/>
                      <w:sz w:val="22"/>
                      <w:szCs w:val="22"/>
                    </w:rPr>
                    <w:t xml:space="preserve">           31 March 2016</w:t>
                  </w:r>
                </w:p>
                <w:p w:rsidR="006626C3" w:rsidRDefault="006626C3" w:rsidP="007750EF"/>
              </w:txbxContent>
            </v:textbox>
          </v:shape>
        </w:pict>
      </w:r>
    </w:p>
    <w:p w:rsidR="007750EF" w:rsidRPr="0015266B" w:rsidRDefault="007750EF" w:rsidP="00AE0BBB">
      <w:pPr>
        <w:spacing w:line="288" w:lineRule="auto"/>
        <w:ind w:right="-319"/>
        <w:jc w:val="center"/>
        <w:rPr>
          <w:rFonts w:ascii="Arial" w:hAnsi="Arial" w:cs="Arial"/>
          <w:b/>
          <w:sz w:val="20"/>
          <w:szCs w:val="20"/>
        </w:rPr>
      </w:pPr>
    </w:p>
    <w:p w:rsidR="007750EF" w:rsidRDefault="007750EF" w:rsidP="00C805B9">
      <w:pPr>
        <w:spacing w:line="288" w:lineRule="auto"/>
        <w:ind w:right="-319"/>
        <w:jc w:val="center"/>
        <w:outlineLvl w:val="0"/>
        <w:rPr>
          <w:rFonts w:ascii="Arial" w:hAnsi="Arial" w:cs="Arial"/>
          <w:b/>
          <w:sz w:val="28"/>
          <w:szCs w:val="28"/>
        </w:rPr>
      </w:pPr>
    </w:p>
    <w:p w:rsidR="002B7D49" w:rsidRPr="005171AD" w:rsidRDefault="002B7D49" w:rsidP="002B7D49">
      <w:pPr>
        <w:tabs>
          <w:tab w:val="left" w:pos="3029"/>
        </w:tabs>
        <w:spacing w:line="288" w:lineRule="auto"/>
        <w:ind w:right="-319"/>
        <w:outlineLvl w:val="0"/>
        <w:rPr>
          <w:rFonts w:ascii="Arial" w:hAnsi="Arial" w:cs="Arial"/>
          <w:b/>
          <w:sz w:val="28"/>
          <w:szCs w:val="28"/>
        </w:rPr>
      </w:pPr>
    </w:p>
    <w:p w:rsidR="00806083" w:rsidRPr="00806083" w:rsidRDefault="002B7D49" w:rsidP="00806083">
      <w:pPr>
        <w:pStyle w:val="NormalWeb"/>
        <w:spacing w:before="0" w:beforeAutospacing="0" w:after="0" w:afterAutospacing="0" w:line="300" w:lineRule="atLeast"/>
        <w:jc w:val="center"/>
        <w:rPr>
          <w:rFonts w:ascii="Arial" w:hAnsi="Arial" w:cs="Arial"/>
          <w:b/>
          <w:sz w:val="32"/>
          <w:szCs w:val="32"/>
        </w:rPr>
      </w:pPr>
      <w:r>
        <w:rPr>
          <w:rFonts w:ascii="Arial" w:hAnsi="Arial" w:cs="Arial"/>
          <w:b/>
          <w:sz w:val="32"/>
          <w:szCs w:val="32"/>
        </w:rPr>
        <w:t>GROWTH IS DRIVEN BY DOMESTIC DEMAND IN 2015</w:t>
      </w:r>
    </w:p>
    <w:p w:rsidR="005C0522" w:rsidRDefault="005C0522" w:rsidP="002B7D49">
      <w:pPr>
        <w:spacing w:line="288" w:lineRule="auto"/>
        <w:ind w:right="-319"/>
        <w:outlineLvl w:val="0"/>
        <w:rPr>
          <w:rFonts w:ascii="Arial" w:hAnsi="Arial" w:cs="Arial"/>
          <w:b/>
          <w:sz w:val="22"/>
          <w:szCs w:val="22"/>
        </w:rPr>
      </w:pPr>
    </w:p>
    <w:p w:rsidR="00263EF1" w:rsidRPr="002028B0" w:rsidRDefault="00263EF1" w:rsidP="00263EF1">
      <w:pPr>
        <w:spacing w:line="288" w:lineRule="auto"/>
        <w:ind w:right="-319"/>
        <w:jc w:val="center"/>
        <w:outlineLvl w:val="0"/>
        <w:rPr>
          <w:rFonts w:ascii="Arial" w:hAnsi="Arial" w:cs="Arial"/>
          <w:b/>
          <w:bCs/>
          <w:sz w:val="22"/>
          <w:szCs w:val="22"/>
        </w:rPr>
      </w:pPr>
      <w:r w:rsidRPr="002028B0">
        <w:rPr>
          <w:rFonts w:ascii="Arial" w:hAnsi="Arial" w:cs="Arial"/>
          <w:b/>
          <w:bCs/>
          <w:sz w:val="22"/>
          <w:szCs w:val="22"/>
        </w:rPr>
        <w:t>Seyfettin Gürsel</w:t>
      </w:r>
      <w:r w:rsidRPr="002028B0">
        <w:rPr>
          <w:rFonts w:ascii="Arial" w:hAnsi="Arial" w:cs="Arial"/>
          <w:b/>
          <w:bCs/>
          <w:sz w:val="22"/>
          <w:szCs w:val="22"/>
          <w:vertAlign w:val="superscript"/>
        </w:rPr>
        <w:t xml:space="preserve">• </w:t>
      </w:r>
      <w:r w:rsidRPr="002028B0">
        <w:rPr>
          <w:rFonts w:ascii="Arial" w:hAnsi="Arial" w:cs="Arial"/>
          <w:b/>
          <w:bCs/>
          <w:sz w:val="22"/>
          <w:szCs w:val="22"/>
        </w:rPr>
        <w:t>, Mine Durmaz</w:t>
      </w:r>
      <w:r w:rsidRPr="002028B0">
        <w:rPr>
          <w:rFonts w:ascii="Arial" w:hAnsi="Arial" w:cs="Arial"/>
          <w:b/>
          <w:bCs/>
          <w:sz w:val="22"/>
          <w:szCs w:val="22"/>
          <w:vertAlign w:val="superscript"/>
        </w:rPr>
        <w:t xml:space="preserve">‡ </w:t>
      </w:r>
      <w:r w:rsidRPr="002028B0">
        <w:rPr>
          <w:rFonts w:ascii="Arial" w:hAnsi="Arial" w:cs="Arial"/>
          <w:b/>
          <w:bCs/>
          <w:sz w:val="22"/>
          <w:szCs w:val="22"/>
        </w:rPr>
        <w:t>ve Melike Kökkızıl</w:t>
      </w:r>
      <w:r w:rsidRPr="002028B0">
        <w:rPr>
          <w:rFonts w:ascii="Arial" w:hAnsi="Arial" w:cs="Arial"/>
          <w:b/>
          <w:bCs/>
          <w:sz w:val="22"/>
          <w:szCs w:val="22"/>
          <w:vertAlign w:val="superscript"/>
        </w:rPr>
        <w:t>†</w:t>
      </w:r>
    </w:p>
    <w:p w:rsidR="00B00EBD" w:rsidRDefault="00B00EBD" w:rsidP="00AE0BBB">
      <w:pPr>
        <w:spacing w:line="288" w:lineRule="auto"/>
        <w:ind w:right="-318"/>
        <w:jc w:val="both"/>
        <w:rPr>
          <w:rFonts w:ascii="Arial" w:hAnsi="Arial" w:cs="Arial"/>
          <w:b/>
          <w:sz w:val="20"/>
          <w:szCs w:val="20"/>
        </w:rPr>
      </w:pPr>
    </w:p>
    <w:p w:rsidR="00AD49B2" w:rsidRDefault="00AD49B2" w:rsidP="00DC7DF8">
      <w:pPr>
        <w:spacing w:line="360" w:lineRule="auto"/>
        <w:ind w:right="-318"/>
        <w:jc w:val="both"/>
        <w:rPr>
          <w:rFonts w:ascii="Arial" w:hAnsi="Arial" w:cs="Arial"/>
          <w:b/>
          <w:sz w:val="20"/>
          <w:szCs w:val="20"/>
        </w:rPr>
      </w:pPr>
    </w:p>
    <w:p w:rsidR="00AD49B2" w:rsidRPr="0015266B" w:rsidRDefault="00AD49B2" w:rsidP="00DC7DF8">
      <w:pPr>
        <w:spacing w:line="360" w:lineRule="auto"/>
        <w:ind w:right="-318"/>
        <w:jc w:val="both"/>
        <w:rPr>
          <w:rFonts w:ascii="Arial" w:hAnsi="Arial" w:cs="Arial"/>
          <w:b/>
          <w:sz w:val="20"/>
          <w:szCs w:val="20"/>
        </w:rPr>
        <w:sectPr w:rsidR="00AD49B2" w:rsidRPr="0015266B" w:rsidSect="007750EF">
          <w:footerReference w:type="even" r:id="rId10"/>
          <w:footerReference w:type="default" r:id="rId11"/>
          <w:footnotePr>
            <w:numFmt w:val="chicago"/>
          </w:footnotePr>
          <w:pgSz w:w="11906" w:h="16838"/>
          <w:pgMar w:top="719" w:right="1417" w:bottom="1417" w:left="1417" w:header="708" w:footer="708" w:gutter="0"/>
          <w:cols w:space="709"/>
          <w:docGrid w:linePitch="360"/>
        </w:sectPr>
      </w:pPr>
    </w:p>
    <w:p w:rsidR="00B213B6" w:rsidRPr="005F295B" w:rsidRDefault="00C237CD" w:rsidP="00DC7DF8">
      <w:pPr>
        <w:pStyle w:val="NormalWeb"/>
        <w:spacing w:before="0" w:beforeAutospacing="0" w:after="0" w:afterAutospacing="0" w:line="360" w:lineRule="auto"/>
        <w:jc w:val="center"/>
        <w:rPr>
          <w:rFonts w:ascii="Arial" w:hAnsi="Arial" w:cs="Arial"/>
          <w:b/>
          <w:color w:val="000000" w:themeColor="text1"/>
          <w:sz w:val="22"/>
          <w:szCs w:val="22"/>
        </w:rPr>
      </w:pPr>
      <w:r w:rsidRPr="005F295B">
        <w:rPr>
          <w:rFonts w:ascii="Arial" w:hAnsi="Arial" w:cs="Arial"/>
          <w:b/>
          <w:color w:val="000000" w:themeColor="text1"/>
          <w:sz w:val="22"/>
          <w:szCs w:val="22"/>
        </w:rPr>
        <w:lastRenderedPageBreak/>
        <w:t>Executive Summary</w:t>
      </w:r>
    </w:p>
    <w:p w:rsidR="001D6E63" w:rsidRPr="005F295B" w:rsidRDefault="003E3908" w:rsidP="00DC7DF8">
      <w:pPr>
        <w:pStyle w:val="NormalWeb"/>
        <w:spacing w:before="0" w:beforeAutospacing="0" w:after="0" w:afterAutospacing="0" w:line="276" w:lineRule="auto"/>
        <w:jc w:val="both"/>
        <w:rPr>
          <w:rFonts w:ascii="Arial" w:hAnsi="Arial" w:cs="Arial"/>
          <w:color w:val="000000" w:themeColor="text1"/>
          <w:sz w:val="20"/>
          <w:szCs w:val="20"/>
          <w:lang w:val="en-GB"/>
        </w:rPr>
      </w:pPr>
      <w:r w:rsidRPr="005F295B">
        <w:rPr>
          <w:rFonts w:ascii="Arial" w:hAnsi="Arial" w:cs="Arial"/>
          <w:color w:val="000000" w:themeColor="text1"/>
          <w:sz w:val="20"/>
          <w:szCs w:val="20"/>
          <w:lang w:val="en-GB"/>
        </w:rPr>
        <w:t>Tur</w:t>
      </w:r>
      <w:r w:rsidR="00F260CB" w:rsidRPr="005F295B">
        <w:rPr>
          <w:rFonts w:ascii="Arial" w:hAnsi="Arial" w:cs="Arial"/>
          <w:color w:val="000000" w:themeColor="text1"/>
          <w:sz w:val="20"/>
          <w:szCs w:val="20"/>
          <w:lang w:val="en-GB"/>
        </w:rPr>
        <w:t xml:space="preserve">kish economy grew by 4 percent in 2015 in </w:t>
      </w:r>
      <w:r w:rsidR="008C3E1E" w:rsidRPr="005F295B">
        <w:rPr>
          <w:rFonts w:ascii="Arial" w:hAnsi="Arial" w:cs="Arial"/>
          <w:color w:val="000000" w:themeColor="text1"/>
          <w:sz w:val="20"/>
          <w:szCs w:val="20"/>
          <w:lang w:val="en-GB"/>
        </w:rPr>
        <w:t>parallel</w:t>
      </w:r>
      <w:r w:rsidR="00F260CB" w:rsidRPr="005F295B">
        <w:rPr>
          <w:rFonts w:ascii="Arial" w:hAnsi="Arial" w:cs="Arial"/>
          <w:color w:val="000000" w:themeColor="text1"/>
          <w:sz w:val="20"/>
          <w:szCs w:val="20"/>
          <w:lang w:val="en-GB"/>
        </w:rPr>
        <w:t xml:space="preserve"> with </w:t>
      </w:r>
      <w:proofErr w:type="spellStart"/>
      <w:r w:rsidR="00F260CB" w:rsidRPr="005F295B">
        <w:rPr>
          <w:rFonts w:ascii="Arial" w:hAnsi="Arial" w:cs="Arial"/>
          <w:color w:val="000000" w:themeColor="text1"/>
          <w:sz w:val="20"/>
          <w:szCs w:val="20"/>
          <w:lang w:val="en-GB"/>
        </w:rPr>
        <w:t>Betam’s</w:t>
      </w:r>
      <w:proofErr w:type="spellEnd"/>
      <w:r w:rsidR="00F260CB" w:rsidRPr="005F295B">
        <w:rPr>
          <w:rFonts w:ascii="Arial" w:hAnsi="Arial" w:cs="Arial"/>
          <w:color w:val="000000" w:themeColor="text1"/>
          <w:sz w:val="20"/>
          <w:szCs w:val="20"/>
          <w:lang w:val="en-GB"/>
        </w:rPr>
        <w:t xml:space="preserve"> forecast.</w:t>
      </w:r>
      <w:r w:rsidR="001D6E63" w:rsidRPr="005F295B">
        <w:rPr>
          <w:rFonts w:ascii="Arial" w:hAnsi="Arial" w:cs="Arial"/>
          <w:color w:val="000000" w:themeColor="text1"/>
          <w:sz w:val="20"/>
          <w:szCs w:val="20"/>
          <w:lang w:val="en-GB"/>
        </w:rPr>
        <w:t xml:space="preserve"> </w:t>
      </w:r>
      <w:r w:rsidR="005976D2" w:rsidRPr="005F295B">
        <w:rPr>
          <w:rFonts w:ascii="Arial" w:hAnsi="Arial" w:cs="Arial"/>
          <w:color w:val="000000" w:themeColor="text1"/>
          <w:sz w:val="20"/>
          <w:szCs w:val="20"/>
          <w:lang w:val="en-GB"/>
        </w:rPr>
        <w:t>It is relatively higher compared to 2015</w:t>
      </w:r>
      <w:r w:rsidR="00AC45CF">
        <w:rPr>
          <w:rFonts w:ascii="Arial" w:hAnsi="Arial" w:cs="Arial"/>
          <w:color w:val="000000" w:themeColor="text1"/>
          <w:sz w:val="20"/>
          <w:szCs w:val="20"/>
          <w:lang w:val="en-GB"/>
        </w:rPr>
        <w:t xml:space="preserve"> growth rate which </w:t>
      </w:r>
      <w:r w:rsidR="00235267">
        <w:rPr>
          <w:rFonts w:ascii="Arial" w:hAnsi="Arial" w:cs="Arial"/>
          <w:color w:val="000000" w:themeColor="text1"/>
          <w:sz w:val="20"/>
          <w:szCs w:val="20"/>
          <w:lang w:val="en-GB"/>
        </w:rPr>
        <w:t>was</w:t>
      </w:r>
      <w:r w:rsidR="00AC45CF">
        <w:rPr>
          <w:rFonts w:ascii="Arial" w:hAnsi="Arial" w:cs="Arial"/>
          <w:color w:val="000000" w:themeColor="text1"/>
          <w:sz w:val="20"/>
          <w:szCs w:val="20"/>
          <w:lang w:val="en-GB"/>
        </w:rPr>
        <w:t xml:space="preserve"> 2.</w:t>
      </w:r>
      <w:r w:rsidR="005976D2" w:rsidRPr="005F295B">
        <w:rPr>
          <w:rFonts w:ascii="Arial" w:hAnsi="Arial" w:cs="Arial"/>
          <w:color w:val="000000" w:themeColor="text1"/>
          <w:sz w:val="20"/>
          <w:szCs w:val="20"/>
          <w:lang w:val="en-GB"/>
        </w:rPr>
        <w:t>9.</w:t>
      </w:r>
      <w:r w:rsidR="001D6E63" w:rsidRPr="005F295B">
        <w:rPr>
          <w:rFonts w:ascii="Arial" w:hAnsi="Arial" w:cs="Arial"/>
          <w:color w:val="000000" w:themeColor="text1"/>
          <w:sz w:val="20"/>
          <w:szCs w:val="20"/>
          <w:lang w:val="en-GB"/>
        </w:rPr>
        <w:t xml:space="preserve"> </w:t>
      </w:r>
      <w:r w:rsidR="005976D2" w:rsidRPr="005F295B">
        <w:rPr>
          <w:rFonts w:ascii="Arial" w:hAnsi="Arial" w:cs="Arial"/>
          <w:color w:val="000000" w:themeColor="text1"/>
          <w:sz w:val="20"/>
          <w:szCs w:val="20"/>
          <w:lang w:val="en-GB"/>
        </w:rPr>
        <w:t>Also, actual GDP growth rate is consistent with</w:t>
      </w:r>
      <w:r w:rsidR="009F19B8" w:rsidRPr="005F295B">
        <w:rPr>
          <w:rFonts w:ascii="Arial" w:hAnsi="Arial" w:cs="Arial"/>
          <w:color w:val="000000" w:themeColor="text1"/>
          <w:sz w:val="20"/>
          <w:szCs w:val="20"/>
          <w:lang w:val="en-GB"/>
        </w:rPr>
        <w:t xml:space="preserve"> the fore</w:t>
      </w:r>
      <w:r w:rsidR="00235267">
        <w:rPr>
          <w:rFonts w:ascii="Arial" w:hAnsi="Arial" w:cs="Arial"/>
          <w:color w:val="000000" w:themeColor="text1"/>
          <w:sz w:val="20"/>
          <w:szCs w:val="20"/>
          <w:lang w:val="en-GB"/>
        </w:rPr>
        <w:t>casts of the</w:t>
      </w:r>
      <w:r w:rsidR="005976D2" w:rsidRPr="005F295B">
        <w:rPr>
          <w:rFonts w:ascii="Arial" w:hAnsi="Arial" w:cs="Arial"/>
          <w:color w:val="000000" w:themeColor="text1"/>
          <w:sz w:val="20"/>
          <w:szCs w:val="20"/>
          <w:lang w:val="en-GB"/>
        </w:rPr>
        <w:t xml:space="preserve"> </w:t>
      </w:r>
      <w:r w:rsidR="009F19B8" w:rsidRPr="005F295B">
        <w:rPr>
          <w:rFonts w:ascii="Arial" w:hAnsi="Arial" w:cs="Arial"/>
          <w:color w:val="000000" w:themeColor="text1"/>
          <w:sz w:val="20"/>
          <w:szCs w:val="20"/>
          <w:lang w:val="en-GB"/>
        </w:rPr>
        <w:t>Medium Term Programme. However,</w:t>
      </w:r>
      <w:r w:rsidR="00157C09" w:rsidRPr="005F295B">
        <w:rPr>
          <w:rFonts w:ascii="Arial" w:hAnsi="Arial" w:cs="Arial"/>
          <w:color w:val="000000" w:themeColor="text1"/>
          <w:sz w:val="20"/>
          <w:szCs w:val="20"/>
          <w:lang w:val="en-GB"/>
        </w:rPr>
        <w:t xml:space="preserve"> while </w:t>
      </w:r>
      <w:r w:rsidR="00235267">
        <w:rPr>
          <w:rFonts w:ascii="Arial" w:hAnsi="Arial" w:cs="Arial"/>
          <w:color w:val="000000" w:themeColor="text1"/>
          <w:sz w:val="20"/>
          <w:szCs w:val="20"/>
          <w:lang w:val="en-GB"/>
        </w:rPr>
        <w:t xml:space="preserve">the </w:t>
      </w:r>
      <w:r w:rsidR="00157C09" w:rsidRPr="005F295B">
        <w:rPr>
          <w:rFonts w:ascii="Arial" w:hAnsi="Arial" w:cs="Arial"/>
          <w:color w:val="000000" w:themeColor="text1"/>
          <w:sz w:val="20"/>
          <w:szCs w:val="20"/>
          <w:lang w:val="en-GB"/>
        </w:rPr>
        <w:t>Medium Term Programme expected a “balanced” growth (increase in private consumptions and positive contribution of net export), it was realised as unbalanced.</w:t>
      </w:r>
      <w:r w:rsidR="00327358" w:rsidRPr="005F295B">
        <w:rPr>
          <w:rFonts w:ascii="Arial" w:hAnsi="Arial" w:cs="Arial"/>
          <w:color w:val="000000" w:themeColor="text1"/>
          <w:sz w:val="20"/>
          <w:szCs w:val="20"/>
          <w:lang w:val="en-GB"/>
        </w:rPr>
        <w:t xml:space="preserve"> Private consumptions provided</w:t>
      </w:r>
      <w:r w:rsidR="00AC45CF">
        <w:rPr>
          <w:rFonts w:ascii="Arial" w:hAnsi="Arial" w:cs="Arial"/>
          <w:color w:val="000000" w:themeColor="text1"/>
          <w:sz w:val="20"/>
          <w:szCs w:val="20"/>
          <w:lang w:val="en-GB"/>
        </w:rPr>
        <w:t xml:space="preserve"> the highest contribution by 4.</w:t>
      </w:r>
      <w:r w:rsidR="00327358" w:rsidRPr="005F295B">
        <w:rPr>
          <w:rFonts w:ascii="Arial" w:hAnsi="Arial" w:cs="Arial"/>
          <w:color w:val="000000" w:themeColor="text1"/>
          <w:sz w:val="20"/>
          <w:szCs w:val="20"/>
          <w:lang w:val="en-GB"/>
        </w:rPr>
        <w:t xml:space="preserve">5 percent (3 percentage point). Second biggest contribution belongs to government </w:t>
      </w:r>
      <w:r w:rsidR="008C3E1E" w:rsidRPr="005F295B">
        <w:rPr>
          <w:rFonts w:ascii="Arial" w:hAnsi="Arial" w:cs="Arial"/>
          <w:color w:val="000000" w:themeColor="text1"/>
          <w:sz w:val="20"/>
          <w:szCs w:val="20"/>
          <w:lang w:val="en-GB"/>
        </w:rPr>
        <w:t>spending</w:t>
      </w:r>
      <w:r w:rsidR="00327358" w:rsidRPr="005F295B">
        <w:rPr>
          <w:rFonts w:ascii="Arial" w:hAnsi="Arial" w:cs="Arial"/>
          <w:color w:val="000000" w:themeColor="text1"/>
          <w:sz w:val="20"/>
          <w:szCs w:val="20"/>
          <w:lang w:val="en-GB"/>
        </w:rPr>
        <w:t xml:space="preserve">. </w:t>
      </w:r>
      <w:proofErr w:type="gramStart"/>
      <w:r w:rsidR="00327358" w:rsidRPr="005F295B">
        <w:rPr>
          <w:rFonts w:ascii="Arial" w:hAnsi="Arial" w:cs="Arial"/>
          <w:color w:val="000000" w:themeColor="text1"/>
          <w:sz w:val="20"/>
          <w:szCs w:val="20"/>
          <w:lang w:val="en-GB"/>
        </w:rPr>
        <w:t xml:space="preserve">Public </w:t>
      </w:r>
      <w:r w:rsidR="008C3E1E" w:rsidRPr="005F295B">
        <w:rPr>
          <w:rFonts w:ascii="Arial" w:hAnsi="Arial" w:cs="Arial"/>
          <w:color w:val="000000" w:themeColor="text1"/>
          <w:sz w:val="20"/>
          <w:szCs w:val="20"/>
          <w:lang w:val="en-GB"/>
        </w:rPr>
        <w:t>spending</w:t>
      </w:r>
      <w:r w:rsidR="00327358" w:rsidRPr="005F295B">
        <w:rPr>
          <w:rFonts w:ascii="Arial" w:hAnsi="Arial" w:cs="Arial"/>
          <w:color w:val="000000" w:themeColor="text1"/>
          <w:sz w:val="20"/>
          <w:szCs w:val="20"/>
          <w:lang w:val="en-GB"/>
        </w:rPr>
        <w:t xml:space="preserve"> including public investments increased by 7 percent.</w:t>
      </w:r>
      <w:proofErr w:type="gramEnd"/>
      <w:r w:rsidR="00327358" w:rsidRPr="005F295B">
        <w:rPr>
          <w:rFonts w:ascii="Arial" w:hAnsi="Arial" w:cs="Arial"/>
          <w:color w:val="000000" w:themeColor="text1"/>
          <w:sz w:val="20"/>
          <w:szCs w:val="20"/>
          <w:lang w:val="en-GB"/>
        </w:rPr>
        <w:t xml:space="preserve"> Private investme</w:t>
      </w:r>
      <w:r w:rsidR="00AC45CF">
        <w:rPr>
          <w:rFonts w:ascii="Arial" w:hAnsi="Arial" w:cs="Arial"/>
          <w:color w:val="000000" w:themeColor="text1"/>
          <w:sz w:val="20"/>
          <w:szCs w:val="20"/>
          <w:lang w:val="en-GB"/>
        </w:rPr>
        <w:t>nt growth remained limited by 2.</w:t>
      </w:r>
      <w:r w:rsidR="00327358" w:rsidRPr="005F295B">
        <w:rPr>
          <w:rFonts w:ascii="Arial" w:hAnsi="Arial" w:cs="Arial"/>
          <w:color w:val="000000" w:themeColor="text1"/>
          <w:sz w:val="20"/>
          <w:szCs w:val="20"/>
          <w:lang w:val="en-GB"/>
        </w:rPr>
        <w:t>7 percent. On the other hand, net export showed a negative contribu</w:t>
      </w:r>
      <w:r w:rsidR="00AC45CF">
        <w:rPr>
          <w:rFonts w:ascii="Arial" w:hAnsi="Arial" w:cs="Arial"/>
          <w:color w:val="000000" w:themeColor="text1"/>
          <w:sz w:val="20"/>
          <w:szCs w:val="20"/>
          <w:lang w:val="en-GB"/>
        </w:rPr>
        <w:t>tion; export has decreased by 0.</w:t>
      </w:r>
      <w:r w:rsidR="00327358" w:rsidRPr="005F295B">
        <w:rPr>
          <w:rFonts w:ascii="Arial" w:hAnsi="Arial" w:cs="Arial"/>
          <w:color w:val="000000" w:themeColor="text1"/>
          <w:sz w:val="20"/>
          <w:szCs w:val="20"/>
          <w:lang w:val="en-GB"/>
        </w:rPr>
        <w:t>8 perc</w:t>
      </w:r>
      <w:r w:rsidR="00AC45CF">
        <w:rPr>
          <w:rFonts w:ascii="Arial" w:hAnsi="Arial" w:cs="Arial"/>
          <w:color w:val="000000" w:themeColor="text1"/>
          <w:sz w:val="20"/>
          <w:szCs w:val="20"/>
          <w:lang w:val="en-GB"/>
        </w:rPr>
        <w:t>ent while import increased by 0.</w:t>
      </w:r>
      <w:r w:rsidR="00327358" w:rsidRPr="005F295B">
        <w:rPr>
          <w:rFonts w:ascii="Arial" w:hAnsi="Arial" w:cs="Arial"/>
          <w:color w:val="000000" w:themeColor="text1"/>
          <w:sz w:val="20"/>
          <w:szCs w:val="20"/>
          <w:lang w:val="en-GB"/>
        </w:rPr>
        <w:t>3 percent.</w:t>
      </w:r>
      <w:r w:rsidR="001D6E63" w:rsidRPr="005F295B">
        <w:rPr>
          <w:rFonts w:ascii="Arial" w:hAnsi="Arial" w:cs="Arial"/>
          <w:color w:val="000000" w:themeColor="text1"/>
          <w:sz w:val="20"/>
          <w:szCs w:val="20"/>
          <w:lang w:val="en-GB"/>
        </w:rPr>
        <w:t xml:space="preserve"> </w:t>
      </w:r>
    </w:p>
    <w:p w:rsidR="006F1199" w:rsidRPr="005F295B" w:rsidRDefault="006F1199" w:rsidP="00DC7DF8">
      <w:pPr>
        <w:pStyle w:val="NormalWeb"/>
        <w:spacing w:before="0" w:beforeAutospacing="0" w:after="0" w:afterAutospacing="0" w:line="276" w:lineRule="auto"/>
        <w:jc w:val="both"/>
        <w:rPr>
          <w:rFonts w:ascii="Arial" w:hAnsi="Arial" w:cs="Arial"/>
          <w:color w:val="000000" w:themeColor="text1"/>
          <w:sz w:val="20"/>
          <w:szCs w:val="20"/>
          <w:lang w:val="en-GB"/>
        </w:rPr>
      </w:pPr>
    </w:p>
    <w:p w:rsidR="006F1199" w:rsidRPr="005F295B" w:rsidRDefault="00AC45CF" w:rsidP="00DC7DF8">
      <w:pPr>
        <w:pStyle w:val="NormalWeb"/>
        <w:spacing w:before="0" w:beforeAutospacing="0" w:after="0" w:afterAutospacing="0" w:line="276" w:lineRule="auto"/>
        <w:jc w:val="both"/>
        <w:rPr>
          <w:rFonts w:ascii="Arial" w:hAnsi="Arial" w:cs="Arial"/>
          <w:color w:val="000000" w:themeColor="text1"/>
          <w:sz w:val="20"/>
          <w:szCs w:val="20"/>
          <w:lang w:val="en-GB"/>
        </w:rPr>
      </w:pPr>
      <w:r>
        <w:rPr>
          <w:rFonts w:ascii="Arial" w:hAnsi="Arial" w:cs="Arial"/>
          <w:color w:val="000000" w:themeColor="text1"/>
          <w:sz w:val="20"/>
          <w:szCs w:val="20"/>
          <w:lang w:val="en-GB"/>
        </w:rPr>
        <w:t>In 4th quarter, GDP grew by 0.</w:t>
      </w:r>
      <w:r w:rsidR="00327358" w:rsidRPr="005F295B">
        <w:rPr>
          <w:rFonts w:ascii="Arial" w:hAnsi="Arial" w:cs="Arial"/>
          <w:color w:val="000000" w:themeColor="text1"/>
          <w:sz w:val="20"/>
          <w:szCs w:val="20"/>
          <w:lang w:val="en-GB"/>
        </w:rPr>
        <w:t>7 percent compared to previous quarte</w:t>
      </w:r>
      <w:r>
        <w:rPr>
          <w:rFonts w:ascii="Arial" w:hAnsi="Arial" w:cs="Arial"/>
          <w:color w:val="000000" w:themeColor="text1"/>
          <w:sz w:val="20"/>
          <w:szCs w:val="20"/>
          <w:lang w:val="en-GB"/>
        </w:rPr>
        <w:t xml:space="preserve">r which </w:t>
      </w:r>
      <w:proofErr w:type="spellStart"/>
      <w:r>
        <w:rPr>
          <w:rFonts w:ascii="Arial" w:hAnsi="Arial" w:cs="Arial"/>
          <w:color w:val="000000" w:themeColor="text1"/>
          <w:sz w:val="20"/>
          <w:szCs w:val="20"/>
          <w:lang w:val="en-GB"/>
        </w:rPr>
        <w:t>Betam</w:t>
      </w:r>
      <w:proofErr w:type="spellEnd"/>
      <w:r>
        <w:rPr>
          <w:rFonts w:ascii="Arial" w:hAnsi="Arial" w:cs="Arial"/>
          <w:color w:val="000000" w:themeColor="text1"/>
          <w:sz w:val="20"/>
          <w:szCs w:val="20"/>
          <w:lang w:val="en-GB"/>
        </w:rPr>
        <w:t xml:space="preserve"> predicted as 0.</w:t>
      </w:r>
      <w:r w:rsidR="00B813E0" w:rsidRPr="005F295B">
        <w:rPr>
          <w:rFonts w:ascii="Arial" w:hAnsi="Arial" w:cs="Arial"/>
          <w:color w:val="000000" w:themeColor="text1"/>
          <w:sz w:val="20"/>
          <w:szCs w:val="20"/>
          <w:lang w:val="en-GB"/>
        </w:rPr>
        <w:t xml:space="preserve">8 percent. Main source of 4th quarter’s growth is the positive inventory investment. While private consumptions recorded a limited growth, a significant recovery </w:t>
      </w:r>
      <w:r w:rsidR="008C3E1E" w:rsidRPr="005F295B">
        <w:rPr>
          <w:rFonts w:ascii="Arial" w:hAnsi="Arial" w:cs="Arial"/>
          <w:color w:val="000000" w:themeColor="text1"/>
          <w:sz w:val="20"/>
          <w:szCs w:val="20"/>
          <w:lang w:val="en-GB"/>
        </w:rPr>
        <w:t>occurred</w:t>
      </w:r>
      <w:r w:rsidR="00B813E0" w:rsidRPr="005F295B">
        <w:rPr>
          <w:rFonts w:ascii="Arial" w:hAnsi="Arial" w:cs="Arial"/>
          <w:color w:val="000000" w:themeColor="text1"/>
          <w:sz w:val="20"/>
          <w:szCs w:val="20"/>
          <w:lang w:val="en-GB"/>
        </w:rPr>
        <w:t xml:space="preserve"> in investments. After the recent elections, we observe a severe </w:t>
      </w:r>
      <w:r w:rsidR="008C3E1E" w:rsidRPr="005F295B">
        <w:rPr>
          <w:rFonts w:ascii="Arial" w:hAnsi="Arial" w:cs="Arial"/>
          <w:color w:val="000000" w:themeColor="text1"/>
          <w:sz w:val="20"/>
          <w:szCs w:val="20"/>
          <w:lang w:val="en-GB"/>
        </w:rPr>
        <w:t>deceleration</w:t>
      </w:r>
      <w:r w:rsidR="00B813E0" w:rsidRPr="005F295B">
        <w:rPr>
          <w:rFonts w:ascii="Arial" w:hAnsi="Arial" w:cs="Arial"/>
          <w:color w:val="000000" w:themeColor="text1"/>
          <w:sz w:val="20"/>
          <w:szCs w:val="20"/>
          <w:lang w:val="en-GB"/>
        </w:rPr>
        <w:t xml:space="preserve"> in growth of public </w:t>
      </w:r>
      <w:r w:rsidR="008C3E1E" w:rsidRPr="005F295B">
        <w:rPr>
          <w:rFonts w:ascii="Arial" w:hAnsi="Arial" w:cs="Arial"/>
          <w:color w:val="000000" w:themeColor="text1"/>
          <w:sz w:val="20"/>
          <w:szCs w:val="20"/>
          <w:lang w:val="en-GB"/>
        </w:rPr>
        <w:t>spending</w:t>
      </w:r>
      <w:r w:rsidR="00B813E0" w:rsidRPr="005F295B">
        <w:rPr>
          <w:rFonts w:ascii="Arial" w:hAnsi="Arial" w:cs="Arial"/>
          <w:color w:val="000000" w:themeColor="text1"/>
          <w:sz w:val="20"/>
          <w:szCs w:val="20"/>
          <w:lang w:val="en-GB"/>
        </w:rPr>
        <w:t>. On the contrary,</w:t>
      </w:r>
      <w:r w:rsidR="00E168F5" w:rsidRPr="005F295B">
        <w:rPr>
          <w:rFonts w:ascii="Arial" w:hAnsi="Arial" w:cs="Arial"/>
          <w:color w:val="000000" w:themeColor="text1"/>
          <w:sz w:val="20"/>
          <w:szCs w:val="20"/>
          <w:lang w:val="en-GB"/>
        </w:rPr>
        <w:t xml:space="preserve"> net export contributed negatively due to the declining export and the extensively increasing import (Table 1)</w:t>
      </w:r>
      <w:r w:rsidR="00E168F5" w:rsidRPr="005F295B">
        <w:rPr>
          <w:color w:val="000000" w:themeColor="text1"/>
          <w:sz w:val="22"/>
          <w:szCs w:val="22"/>
          <w:lang w:val="en-GB"/>
        </w:rPr>
        <w:t>.</w:t>
      </w:r>
    </w:p>
    <w:p w:rsidR="00A75D44" w:rsidRPr="005F295B" w:rsidRDefault="00A75D44" w:rsidP="002028B0">
      <w:pPr>
        <w:pStyle w:val="NormalWeb"/>
        <w:spacing w:before="0" w:beforeAutospacing="0" w:after="0" w:afterAutospacing="0" w:line="276" w:lineRule="auto"/>
        <w:jc w:val="both"/>
        <w:rPr>
          <w:rFonts w:ascii="Arial" w:hAnsi="Arial" w:cs="Arial"/>
          <w:color w:val="000000" w:themeColor="text1"/>
          <w:sz w:val="20"/>
          <w:szCs w:val="20"/>
          <w:lang w:val="en-GB"/>
        </w:rPr>
      </w:pPr>
    </w:p>
    <w:p w:rsidR="002028B0" w:rsidRDefault="002028B0" w:rsidP="002028B0">
      <w:pPr>
        <w:pStyle w:val="NormalWeb"/>
        <w:spacing w:before="0" w:beforeAutospacing="0" w:after="0" w:afterAutospacing="0" w:line="276" w:lineRule="auto"/>
        <w:jc w:val="both"/>
        <w:rPr>
          <w:rFonts w:ascii="Arial" w:hAnsi="Arial" w:cs="Arial"/>
          <w:color w:val="000000" w:themeColor="text1"/>
          <w:sz w:val="22"/>
          <w:szCs w:val="22"/>
          <w:lang w:val="en-GB"/>
        </w:rPr>
      </w:pPr>
    </w:p>
    <w:p w:rsidR="005539D1" w:rsidRDefault="005539D1" w:rsidP="002028B0">
      <w:pPr>
        <w:pStyle w:val="NormalWeb"/>
        <w:spacing w:before="0" w:beforeAutospacing="0" w:after="0" w:afterAutospacing="0" w:line="276" w:lineRule="auto"/>
        <w:jc w:val="both"/>
        <w:rPr>
          <w:rFonts w:ascii="Arial" w:hAnsi="Arial" w:cs="Arial"/>
          <w:color w:val="000000" w:themeColor="text1"/>
          <w:sz w:val="22"/>
          <w:szCs w:val="22"/>
          <w:lang w:val="en-GB"/>
        </w:rPr>
      </w:pPr>
    </w:p>
    <w:p w:rsidR="005539D1" w:rsidRPr="005F295B" w:rsidRDefault="005539D1" w:rsidP="002028B0">
      <w:pPr>
        <w:pStyle w:val="NormalWeb"/>
        <w:spacing w:before="0" w:beforeAutospacing="0" w:after="0" w:afterAutospacing="0" w:line="276" w:lineRule="auto"/>
        <w:jc w:val="both"/>
        <w:rPr>
          <w:rFonts w:ascii="Arial" w:hAnsi="Arial" w:cs="Arial"/>
          <w:color w:val="000000" w:themeColor="text1"/>
          <w:sz w:val="22"/>
          <w:szCs w:val="22"/>
          <w:lang w:val="en-GB"/>
        </w:rPr>
      </w:pPr>
    </w:p>
    <w:p w:rsidR="009575C3" w:rsidRPr="005F295B" w:rsidRDefault="008B3C2E" w:rsidP="009575C3">
      <w:pPr>
        <w:pStyle w:val="NormalWeb"/>
        <w:spacing w:before="0" w:beforeAutospacing="0" w:after="0" w:afterAutospacing="0"/>
        <w:jc w:val="both"/>
        <w:rPr>
          <w:color w:val="000000" w:themeColor="text1"/>
          <w:sz w:val="22"/>
          <w:szCs w:val="22"/>
          <w:lang w:val="en-GB"/>
        </w:rPr>
      </w:pPr>
      <w:r>
        <w:rPr>
          <w:noProof/>
          <w:color w:val="000000" w:themeColor="text1"/>
          <w:sz w:val="22"/>
          <w:szCs w:val="22"/>
        </w:rPr>
        <w:pict>
          <v:line id="Line 40" o:spid="_x0000_s1031" style="position:absolute;left:0;text-align:left;z-index:251659264;visibility:visible;mso-wrap-distance-top:-1e-4mm;mso-wrap-distance-bottom:-1e-4mm" from="-3.85pt,3.65pt" to="230.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Eu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jaXrjCoio1M6G5OhZvZitpt8dUrpqiTrwSPH1YuBeFoqZvLkSNs7AA/v+s2YQQ45exzqd&#10;G9sFSKgAOkc5Lnc5+NkjCoeTxVM2T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"/>
        </w:pict>
      </w:r>
    </w:p>
    <w:p w:rsidR="009575C3" w:rsidRPr="005F295B" w:rsidRDefault="009575C3" w:rsidP="009575C3">
      <w:pPr>
        <w:pStyle w:val="NormalWeb"/>
        <w:spacing w:before="0" w:beforeAutospacing="0" w:after="0" w:afterAutospacing="0"/>
        <w:jc w:val="both"/>
        <w:rPr>
          <w:color w:val="000000" w:themeColor="text1"/>
          <w:sz w:val="16"/>
          <w:szCs w:val="16"/>
          <w:lang w:val="en-GB"/>
        </w:rPr>
      </w:pPr>
      <w:r w:rsidRPr="005F295B">
        <w:rPr>
          <w:color w:val="000000" w:themeColor="text1"/>
          <w:sz w:val="20"/>
          <w:szCs w:val="20"/>
          <w:lang w:val="en-GB"/>
        </w:rPr>
        <w:t xml:space="preserve">* </w:t>
      </w:r>
      <w:r w:rsidRPr="005F295B">
        <w:rPr>
          <w:rFonts w:ascii="Arial" w:hAnsi="Arial" w:cs="Arial"/>
          <w:color w:val="000000" w:themeColor="text1"/>
          <w:sz w:val="16"/>
          <w:szCs w:val="16"/>
          <w:lang w:val="en-GB"/>
        </w:rPr>
        <w:t xml:space="preserve">Prof. Dr. Seyfettin </w:t>
      </w:r>
      <w:proofErr w:type="spellStart"/>
      <w:r w:rsidRPr="005F295B">
        <w:rPr>
          <w:rFonts w:ascii="Arial" w:hAnsi="Arial" w:cs="Arial"/>
          <w:color w:val="000000" w:themeColor="text1"/>
          <w:sz w:val="16"/>
          <w:szCs w:val="16"/>
          <w:lang w:val="en-GB"/>
        </w:rPr>
        <w:t>Gürsel</w:t>
      </w:r>
      <w:proofErr w:type="spellEnd"/>
      <w:r w:rsidRPr="005F295B">
        <w:rPr>
          <w:rFonts w:ascii="Arial" w:hAnsi="Arial" w:cs="Arial"/>
          <w:color w:val="000000" w:themeColor="text1"/>
          <w:sz w:val="16"/>
          <w:szCs w:val="16"/>
          <w:lang w:val="en-GB"/>
        </w:rPr>
        <w:t xml:space="preserve">, </w:t>
      </w:r>
      <w:proofErr w:type="spellStart"/>
      <w:r w:rsidRPr="005F295B">
        <w:rPr>
          <w:rFonts w:ascii="Arial" w:hAnsi="Arial" w:cs="Arial"/>
          <w:color w:val="000000" w:themeColor="text1"/>
          <w:sz w:val="16"/>
          <w:szCs w:val="16"/>
          <w:lang w:val="en-GB"/>
        </w:rPr>
        <w:t>Betam</w:t>
      </w:r>
      <w:proofErr w:type="spellEnd"/>
      <w:r w:rsidRPr="005F295B">
        <w:rPr>
          <w:rFonts w:ascii="Arial" w:hAnsi="Arial" w:cs="Arial"/>
          <w:color w:val="000000" w:themeColor="text1"/>
          <w:sz w:val="16"/>
          <w:szCs w:val="16"/>
          <w:lang w:val="en-GB"/>
        </w:rPr>
        <w:t>, Dire</w:t>
      </w:r>
      <w:r w:rsidR="00C80CF4" w:rsidRPr="005F295B">
        <w:rPr>
          <w:rFonts w:ascii="Arial" w:hAnsi="Arial" w:cs="Arial"/>
          <w:color w:val="000000" w:themeColor="text1"/>
          <w:sz w:val="16"/>
          <w:szCs w:val="16"/>
          <w:lang w:val="en-GB"/>
        </w:rPr>
        <w:t>ctor</w:t>
      </w:r>
    </w:p>
    <w:p w:rsidR="009575C3" w:rsidRPr="005F295B" w:rsidRDefault="00263EF1" w:rsidP="009575C3">
      <w:pPr>
        <w:spacing w:line="288" w:lineRule="auto"/>
        <w:ind w:right="-318"/>
        <w:jc w:val="both"/>
        <w:rPr>
          <w:rStyle w:val="Hyperlink"/>
          <w:color w:val="000000" w:themeColor="text1"/>
          <w:lang w:val="en-GB"/>
        </w:rPr>
      </w:pPr>
      <w:r w:rsidRPr="005F295B">
        <w:rPr>
          <w:rFonts w:ascii="Arial" w:hAnsi="Arial" w:cs="Arial"/>
          <w:color w:val="000000" w:themeColor="text1"/>
          <w:sz w:val="16"/>
          <w:szCs w:val="16"/>
          <w:lang w:val="en-GB"/>
        </w:rPr>
        <w:t xml:space="preserve">  </w:t>
      </w:r>
      <w:hyperlink r:id="rId12" w:history="1">
        <w:r w:rsidR="00C80CF4" w:rsidRPr="005F295B">
          <w:rPr>
            <w:rStyle w:val="Hyperlink"/>
            <w:rFonts w:ascii="Arial" w:hAnsi="Arial" w:cs="Arial"/>
            <w:color w:val="000000" w:themeColor="text1"/>
            <w:sz w:val="16"/>
            <w:szCs w:val="16"/>
            <w:lang w:val="en-GB"/>
          </w:rPr>
          <w:t>seyfettin.gursel@eas.bau.edu.tr</w:t>
        </w:r>
      </w:hyperlink>
    </w:p>
    <w:p w:rsidR="009575C3" w:rsidRPr="005F295B" w:rsidRDefault="00263EF1" w:rsidP="009575C3">
      <w:pPr>
        <w:spacing w:line="288" w:lineRule="auto"/>
        <w:ind w:right="-318"/>
        <w:jc w:val="both"/>
        <w:rPr>
          <w:rFonts w:ascii="Arial" w:hAnsi="Arial" w:cs="Arial"/>
          <w:color w:val="000000" w:themeColor="text1"/>
          <w:sz w:val="16"/>
          <w:szCs w:val="16"/>
          <w:lang w:val="en-GB"/>
        </w:rPr>
      </w:pPr>
      <w:r w:rsidRPr="005F295B">
        <w:rPr>
          <w:rFonts w:ascii="Arial" w:hAnsi="Arial" w:cs="Arial"/>
          <w:color w:val="000000" w:themeColor="text1"/>
          <w:sz w:val="16"/>
          <w:szCs w:val="16"/>
          <w:vertAlign w:val="superscript"/>
          <w:lang w:val="en-GB"/>
        </w:rPr>
        <w:t xml:space="preserve">‡ </w:t>
      </w:r>
      <w:r w:rsidRPr="005F295B">
        <w:rPr>
          <w:rFonts w:ascii="Arial" w:hAnsi="Arial" w:cs="Arial"/>
          <w:color w:val="000000" w:themeColor="text1"/>
          <w:sz w:val="16"/>
          <w:szCs w:val="16"/>
          <w:lang w:val="en-GB"/>
        </w:rPr>
        <w:t>Mine Durmaz</w:t>
      </w:r>
      <w:r w:rsidR="00C80CF4" w:rsidRPr="005F295B">
        <w:rPr>
          <w:rFonts w:ascii="Arial" w:hAnsi="Arial" w:cs="Arial"/>
          <w:color w:val="000000" w:themeColor="text1"/>
          <w:sz w:val="16"/>
          <w:szCs w:val="16"/>
          <w:lang w:val="en-GB"/>
        </w:rPr>
        <w:t xml:space="preserve">, </w:t>
      </w:r>
      <w:proofErr w:type="spellStart"/>
      <w:r w:rsidR="00C80CF4" w:rsidRPr="005F295B">
        <w:rPr>
          <w:rFonts w:ascii="Arial" w:hAnsi="Arial" w:cs="Arial"/>
          <w:color w:val="000000" w:themeColor="text1"/>
          <w:sz w:val="16"/>
          <w:szCs w:val="16"/>
          <w:lang w:val="en-GB"/>
        </w:rPr>
        <w:t>Betam</w:t>
      </w:r>
      <w:proofErr w:type="spellEnd"/>
      <w:r w:rsidR="00C80CF4" w:rsidRPr="005F295B">
        <w:rPr>
          <w:rFonts w:ascii="Arial" w:hAnsi="Arial" w:cs="Arial"/>
          <w:color w:val="000000" w:themeColor="text1"/>
          <w:sz w:val="16"/>
          <w:szCs w:val="16"/>
          <w:lang w:val="en-GB"/>
        </w:rPr>
        <w:t>, Research Assistant</w:t>
      </w:r>
      <w:r w:rsidRPr="005F295B">
        <w:rPr>
          <w:rFonts w:ascii="Arial" w:hAnsi="Arial" w:cs="Arial"/>
          <w:color w:val="000000" w:themeColor="text1"/>
          <w:sz w:val="16"/>
          <w:szCs w:val="16"/>
          <w:lang w:val="en-GB"/>
        </w:rPr>
        <w:t>,</w:t>
      </w:r>
    </w:p>
    <w:p w:rsidR="009575C3" w:rsidRPr="005F295B" w:rsidRDefault="00263EF1" w:rsidP="009575C3">
      <w:pPr>
        <w:spacing w:line="288" w:lineRule="auto"/>
        <w:ind w:right="-318"/>
        <w:jc w:val="both"/>
        <w:rPr>
          <w:rStyle w:val="Hyperlink"/>
          <w:color w:val="000000" w:themeColor="text1"/>
          <w:lang w:val="en-GB"/>
        </w:rPr>
      </w:pPr>
      <w:r w:rsidRPr="005F295B">
        <w:rPr>
          <w:rFonts w:ascii="Arial" w:hAnsi="Arial" w:cs="Arial"/>
          <w:color w:val="000000" w:themeColor="text1"/>
          <w:sz w:val="16"/>
          <w:szCs w:val="16"/>
          <w:lang w:val="en-GB"/>
        </w:rPr>
        <w:t xml:space="preserve"> </w:t>
      </w:r>
      <w:hyperlink r:id="rId13" w:history="1">
        <w:r w:rsidR="00C80CF4" w:rsidRPr="005F295B">
          <w:rPr>
            <w:rStyle w:val="Hyperlink"/>
            <w:rFonts w:ascii="Arial" w:hAnsi="Arial" w:cs="Arial"/>
            <w:color w:val="000000" w:themeColor="text1"/>
            <w:sz w:val="16"/>
            <w:szCs w:val="16"/>
            <w:lang w:val="en-GB"/>
          </w:rPr>
          <w:t>mine.durmaz@eas.bau.edu.tr</w:t>
        </w:r>
      </w:hyperlink>
    </w:p>
    <w:p w:rsidR="002B7D49" w:rsidRPr="005F295B" w:rsidRDefault="00263EF1" w:rsidP="009575C3">
      <w:pPr>
        <w:spacing w:line="288" w:lineRule="auto"/>
        <w:ind w:right="-318"/>
        <w:jc w:val="both"/>
        <w:rPr>
          <w:rFonts w:ascii="Arial" w:hAnsi="Arial" w:cs="Arial"/>
          <w:color w:val="000000" w:themeColor="text1"/>
          <w:sz w:val="16"/>
          <w:szCs w:val="16"/>
          <w:lang w:val="en-GB"/>
        </w:rPr>
      </w:pPr>
      <w:r w:rsidRPr="005F295B">
        <w:rPr>
          <w:rFonts w:ascii="Arial" w:hAnsi="Arial" w:cs="Arial"/>
          <w:color w:val="000000" w:themeColor="text1"/>
          <w:sz w:val="16"/>
          <w:szCs w:val="16"/>
          <w:vertAlign w:val="superscript"/>
          <w:lang w:val="en-GB"/>
        </w:rPr>
        <w:t xml:space="preserve">† </w:t>
      </w:r>
      <w:r w:rsidRPr="005F295B">
        <w:rPr>
          <w:rFonts w:ascii="Arial" w:hAnsi="Arial" w:cs="Arial"/>
          <w:color w:val="000000" w:themeColor="text1"/>
          <w:sz w:val="16"/>
          <w:szCs w:val="16"/>
          <w:lang w:val="en-GB"/>
        </w:rPr>
        <w:t xml:space="preserve">Melike </w:t>
      </w:r>
      <w:proofErr w:type="spellStart"/>
      <w:r w:rsidRPr="005F295B">
        <w:rPr>
          <w:rFonts w:ascii="Arial" w:hAnsi="Arial" w:cs="Arial"/>
          <w:color w:val="000000" w:themeColor="text1"/>
          <w:sz w:val="16"/>
          <w:szCs w:val="16"/>
          <w:lang w:val="en-GB"/>
        </w:rPr>
        <w:t>Kökkızıl</w:t>
      </w:r>
      <w:proofErr w:type="spellEnd"/>
      <w:r w:rsidR="009575C3" w:rsidRPr="005F295B">
        <w:rPr>
          <w:rFonts w:ascii="Arial" w:hAnsi="Arial" w:cs="Arial"/>
          <w:color w:val="000000" w:themeColor="text1"/>
          <w:sz w:val="16"/>
          <w:szCs w:val="16"/>
          <w:lang w:val="en-GB"/>
        </w:rPr>
        <w:t xml:space="preserve">, </w:t>
      </w:r>
      <w:proofErr w:type="spellStart"/>
      <w:r w:rsidR="009575C3" w:rsidRPr="005F295B">
        <w:rPr>
          <w:rFonts w:ascii="Arial" w:hAnsi="Arial" w:cs="Arial"/>
          <w:color w:val="000000" w:themeColor="text1"/>
          <w:sz w:val="16"/>
          <w:szCs w:val="16"/>
          <w:lang w:val="en-GB"/>
        </w:rPr>
        <w:t>Betam</w:t>
      </w:r>
      <w:proofErr w:type="spellEnd"/>
      <w:r w:rsidR="009575C3" w:rsidRPr="005F295B">
        <w:rPr>
          <w:rFonts w:ascii="Arial" w:hAnsi="Arial" w:cs="Arial"/>
          <w:color w:val="000000" w:themeColor="text1"/>
          <w:sz w:val="16"/>
          <w:szCs w:val="16"/>
          <w:lang w:val="en-GB"/>
        </w:rPr>
        <w:t xml:space="preserve">, </w:t>
      </w:r>
      <w:r w:rsidR="00C80CF4" w:rsidRPr="005F295B">
        <w:rPr>
          <w:rFonts w:ascii="Arial" w:hAnsi="Arial" w:cs="Arial"/>
          <w:color w:val="000000" w:themeColor="text1"/>
          <w:sz w:val="16"/>
          <w:szCs w:val="16"/>
          <w:lang w:val="en-GB"/>
        </w:rPr>
        <w:t>Research Assistant</w:t>
      </w:r>
    </w:p>
    <w:p w:rsidR="00A75D44" w:rsidRPr="005F295B" w:rsidRDefault="008B3C2E" w:rsidP="002B7D49">
      <w:pPr>
        <w:spacing w:line="288" w:lineRule="auto"/>
        <w:ind w:right="-318"/>
        <w:jc w:val="both"/>
        <w:rPr>
          <w:rFonts w:ascii="Arial" w:hAnsi="Arial" w:cs="Arial"/>
          <w:color w:val="000000" w:themeColor="text1"/>
          <w:sz w:val="16"/>
          <w:szCs w:val="16"/>
          <w:lang w:val="en-GB"/>
        </w:rPr>
      </w:pPr>
      <w:hyperlink r:id="rId14" w:history="1">
        <w:r w:rsidR="00C80CF4" w:rsidRPr="005F295B">
          <w:rPr>
            <w:rStyle w:val="Hyperlink"/>
            <w:rFonts w:ascii="Arial" w:hAnsi="Arial" w:cs="Arial"/>
            <w:color w:val="000000" w:themeColor="text1"/>
            <w:sz w:val="16"/>
            <w:szCs w:val="16"/>
            <w:lang w:val="en-GB"/>
          </w:rPr>
          <w:t>melike.kokkizil@eas.bau.edu.tr</w:t>
        </w:r>
      </w:hyperlink>
    </w:p>
    <w:p w:rsidR="00F260CB" w:rsidRPr="005F295B" w:rsidRDefault="00F260CB" w:rsidP="00C335E9">
      <w:pPr>
        <w:spacing w:line="288" w:lineRule="auto"/>
        <w:ind w:right="77"/>
        <w:jc w:val="both"/>
        <w:rPr>
          <w:rFonts w:ascii="Arial" w:hAnsi="Arial" w:cs="Arial"/>
          <w:b/>
          <w:color w:val="000000" w:themeColor="text1"/>
          <w:sz w:val="20"/>
          <w:szCs w:val="20"/>
          <w:lang w:val="en-GB"/>
        </w:rPr>
      </w:pPr>
    </w:p>
    <w:p w:rsidR="00C335E9" w:rsidRPr="005F295B" w:rsidRDefault="00E168F5" w:rsidP="00C335E9">
      <w:pPr>
        <w:spacing w:line="288" w:lineRule="auto"/>
        <w:ind w:right="77"/>
        <w:jc w:val="both"/>
        <w:rPr>
          <w:rFonts w:ascii="Arial" w:hAnsi="Arial" w:cs="Arial"/>
          <w:b/>
          <w:color w:val="000000" w:themeColor="text1"/>
          <w:sz w:val="20"/>
          <w:szCs w:val="20"/>
          <w:lang w:val="en-GB"/>
        </w:rPr>
      </w:pPr>
      <w:r w:rsidRPr="005F295B">
        <w:rPr>
          <w:rFonts w:ascii="Arial" w:hAnsi="Arial" w:cs="Arial"/>
          <w:b/>
          <w:color w:val="000000" w:themeColor="text1"/>
          <w:sz w:val="20"/>
          <w:szCs w:val="20"/>
          <w:lang w:val="en-GB"/>
        </w:rPr>
        <w:t>Figure</w:t>
      </w:r>
      <w:r w:rsidR="00C335E9" w:rsidRPr="005F295B">
        <w:rPr>
          <w:rFonts w:ascii="Arial" w:hAnsi="Arial" w:cs="Arial"/>
          <w:b/>
          <w:color w:val="000000" w:themeColor="text1"/>
          <w:sz w:val="20"/>
          <w:szCs w:val="20"/>
          <w:lang w:val="en-GB"/>
        </w:rPr>
        <w:t xml:space="preserve"> 1: </w:t>
      </w:r>
      <w:r w:rsidR="002B7D49" w:rsidRPr="005F295B">
        <w:rPr>
          <w:rFonts w:ascii="Arial" w:hAnsi="Arial" w:cs="Arial"/>
          <w:b/>
          <w:color w:val="000000" w:themeColor="text1"/>
          <w:sz w:val="20"/>
          <w:szCs w:val="20"/>
          <w:lang w:val="en-GB"/>
        </w:rPr>
        <w:t>Annual change in GDP components (2014-2015)</w:t>
      </w:r>
    </w:p>
    <w:p w:rsidR="00C335E9" w:rsidRPr="005F295B" w:rsidRDefault="005539D1" w:rsidP="00C335E9">
      <w:pPr>
        <w:spacing w:line="288" w:lineRule="auto"/>
        <w:ind w:right="77"/>
        <w:jc w:val="both"/>
        <w:rPr>
          <w:rFonts w:ascii="Arial" w:hAnsi="Arial" w:cs="Arial"/>
          <w:color w:val="000000" w:themeColor="text1"/>
          <w:sz w:val="20"/>
          <w:szCs w:val="20"/>
          <w:lang w:val="en-GB"/>
        </w:rPr>
      </w:pPr>
      <w:r>
        <w:rPr>
          <w:noProof/>
        </w:rPr>
        <w:drawing>
          <wp:inline distT="0" distB="0" distL="0" distR="0">
            <wp:extent cx="3329796" cy="2087592"/>
            <wp:effectExtent l="0" t="0" r="23495" b="273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35E9" w:rsidRPr="005F295B" w:rsidRDefault="00E168F5" w:rsidP="00C335E9">
      <w:pPr>
        <w:spacing w:line="288" w:lineRule="auto"/>
        <w:ind w:right="77"/>
        <w:jc w:val="both"/>
        <w:rPr>
          <w:rFonts w:ascii="Arial" w:hAnsi="Arial" w:cs="Arial"/>
          <w:color w:val="000000" w:themeColor="text1"/>
          <w:sz w:val="16"/>
          <w:szCs w:val="16"/>
          <w:lang w:val="en-GB"/>
        </w:rPr>
      </w:pPr>
      <w:proofErr w:type="gramStart"/>
      <w:r w:rsidRPr="005F295B">
        <w:rPr>
          <w:rFonts w:ascii="Arial" w:hAnsi="Arial" w:cs="Arial"/>
          <w:color w:val="000000" w:themeColor="text1"/>
          <w:sz w:val="16"/>
          <w:szCs w:val="16"/>
          <w:lang w:val="en-GB"/>
        </w:rPr>
        <w:t>Source :</w:t>
      </w:r>
      <w:proofErr w:type="gramEnd"/>
      <w:r w:rsidRPr="005F295B">
        <w:rPr>
          <w:rFonts w:ascii="Arial" w:hAnsi="Arial" w:cs="Arial"/>
          <w:color w:val="000000" w:themeColor="text1"/>
          <w:sz w:val="16"/>
          <w:szCs w:val="16"/>
          <w:lang w:val="en-GB"/>
        </w:rPr>
        <w:t xml:space="preserve"> </w:t>
      </w:r>
      <w:proofErr w:type="spellStart"/>
      <w:r w:rsidRPr="005F295B">
        <w:rPr>
          <w:rFonts w:ascii="Arial" w:hAnsi="Arial" w:cs="Arial"/>
          <w:color w:val="000000" w:themeColor="text1"/>
          <w:sz w:val="16"/>
          <w:szCs w:val="16"/>
          <w:lang w:val="en-GB"/>
        </w:rPr>
        <w:t>Turkstat</w:t>
      </w:r>
      <w:proofErr w:type="spellEnd"/>
    </w:p>
    <w:p w:rsidR="005539D1" w:rsidRDefault="005539D1" w:rsidP="00726749">
      <w:pPr>
        <w:spacing w:line="288" w:lineRule="auto"/>
        <w:ind w:right="77"/>
        <w:jc w:val="both"/>
        <w:rPr>
          <w:rFonts w:ascii="Arial" w:hAnsi="Arial" w:cs="Arial"/>
          <w:b/>
          <w:color w:val="000000" w:themeColor="text1"/>
          <w:sz w:val="20"/>
          <w:szCs w:val="20"/>
          <w:lang w:val="en-GB"/>
        </w:rPr>
      </w:pPr>
    </w:p>
    <w:p w:rsidR="00726749" w:rsidRPr="005F295B" w:rsidRDefault="00E168F5" w:rsidP="00726749">
      <w:pPr>
        <w:spacing w:line="288" w:lineRule="auto"/>
        <w:ind w:right="77"/>
        <w:jc w:val="both"/>
        <w:rPr>
          <w:rFonts w:ascii="Arial" w:hAnsi="Arial" w:cs="Arial"/>
          <w:b/>
          <w:color w:val="000000" w:themeColor="text1"/>
          <w:sz w:val="20"/>
          <w:szCs w:val="20"/>
          <w:lang w:val="en-GB"/>
        </w:rPr>
      </w:pPr>
      <w:r w:rsidRPr="005F295B">
        <w:rPr>
          <w:rFonts w:ascii="Arial" w:hAnsi="Arial" w:cs="Arial"/>
          <w:b/>
          <w:color w:val="000000" w:themeColor="text1"/>
          <w:sz w:val="20"/>
          <w:szCs w:val="20"/>
          <w:lang w:val="en-GB"/>
        </w:rPr>
        <w:t>Figure</w:t>
      </w:r>
      <w:r w:rsidR="00726749" w:rsidRPr="005F295B">
        <w:rPr>
          <w:rFonts w:ascii="Arial" w:hAnsi="Arial" w:cs="Arial"/>
          <w:b/>
          <w:color w:val="000000" w:themeColor="text1"/>
          <w:sz w:val="20"/>
          <w:szCs w:val="20"/>
          <w:lang w:val="en-GB"/>
        </w:rPr>
        <w:t xml:space="preserve"> 2: </w:t>
      </w:r>
      <w:r w:rsidR="003E3908" w:rsidRPr="005F295B">
        <w:rPr>
          <w:rFonts w:ascii="Arial" w:hAnsi="Arial" w:cs="Arial"/>
          <w:b/>
          <w:color w:val="000000" w:themeColor="text1"/>
          <w:sz w:val="20"/>
          <w:szCs w:val="20"/>
          <w:lang w:val="en-GB"/>
        </w:rPr>
        <w:t>Contributions of GDP components to annual growth (2015)</w:t>
      </w:r>
    </w:p>
    <w:p w:rsidR="00726749" w:rsidRPr="005F295B" w:rsidRDefault="008B3C2E" w:rsidP="00726749">
      <w:pPr>
        <w:spacing w:line="288" w:lineRule="auto"/>
        <w:ind w:right="77"/>
        <w:jc w:val="both"/>
        <w:rPr>
          <w:rFonts w:ascii="Arial" w:hAnsi="Arial" w:cs="Arial"/>
          <w:color w:val="000000" w:themeColor="text1"/>
          <w:sz w:val="20"/>
          <w:szCs w:val="20"/>
          <w:lang w:val="en-GB"/>
        </w:rPr>
      </w:pPr>
      <w:r>
        <w:rPr>
          <w:noProof/>
        </w:rPr>
        <w:pict>
          <v:group id="Group 7" o:spid="_x0000_s1028" style="position:absolute;left:0;text-align:left;margin-left:-1.05pt;margin-top:.3pt;width:268.9pt;height:189.45pt;z-index:251661312;mso-width-relative:margin;mso-height-relative:margin" coordorigin="35725,52803" coordsize="32744,22320" o:gfxdata="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8" o:spid="_x0000_s1029" type="#_x0000_t75" style="position:absolute;left:35725;top:52803;width:32791;height:2239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">
              <v:imagedata r:id="rId16" o:title=""/>
              <o:lock v:ext="edit" aspectratio="f"/>
            </v:shape>
            <v:shape id="Text Box 17" o:spid="_x0000_s1030" type="#_x0000_t202" style="position:absolute;left:53396;top:69364;width:13326;height:1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WzMMA&#10;AADaAAAADwAAAGRycy9kb3ducmV2LnhtbESPzWrDMBCE74W8g9hAbrXcHkrtRjGhENJDIcQu+LpY&#10;W9uNtTKW/JM8fVQo9DjMzDfMNltMJyYaXGtZwVMUgyCurG65VvBVHB5fQTiPrLGzTAqu5CDbrR62&#10;mGo785mm3NciQNilqKDxvk+ldFVDBl1ke+LgfdvBoA9yqKUecA5w08nnOH6RBlsOCw329N5QdclH&#10;o8DOkzsmpdGfVc63sr4W5/H0o9RmvezfQHha/H/4r/2hFSTweyXc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lWzMMAAADaAAAADwAAAAAAAAAAAAAAAACYAgAAZHJzL2Rv&#10;d25yZXYueG1sUEsFBgAAAAAEAAQA9QAAAIgDAAAAAA==&#10;" filled="f" stroked="f">
              <v:textbox inset="2.16pt,1.8pt,0,0">
                <w:txbxContent>
                  <w:p w:rsidR="005539D1" w:rsidRDefault="005539D1" w:rsidP="005539D1">
                    <w:pPr>
                      <w:pStyle w:val="NormalWeb"/>
                      <w:bidi/>
                      <w:spacing w:before="0" w:beforeAutospacing="0" w:after="0" w:afterAutospacing="0"/>
                      <w:jc w:val="right"/>
                    </w:pPr>
                    <w:r>
                      <w:rPr>
                        <w:rFonts w:ascii="Arial TUR" w:hAnsi="Arial TUR" w:cstheme="minorBidi"/>
                        <w:b/>
                        <w:bCs/>
                        <w:color w:val="000000"/>
                        <w:sz w:val="16"/>
                        <w:szCs w:val="16"/>
                        <w:lang w:val="en-US"/>
                      </w:rPr>
                      <w:t>To</w:t>
                    </w:r>
                    <w:r>
                      <w:rPr>
                        <w:rFonts w:ascii="Arial TUR" w:hAnsi="Arial TUR" w:cstheme="minorBidi"/>
                        <w:b/>
                        <w:bCs/>
                        <w:color w:val="000000"/>
                        <w:sz w:val="16"/>
                        <w:szCs w:val="16"/>
                      </w:rPr>
                      <w:t>tal Growth</w:t>
                    </w:r>
                    <w:r>
                      <w:rPr>
                        <w:rFonts w:ascii="Arial TUR" w:hAnsi="Arial TUR" w:cstheme="minorBidi"/>
                        <w:b/>
                        <w:bCs/>
                        <w:color w:val="000000"/>
                        <w:sz w:val="16"/>
                        <w:szCs w:val="16"/>
                        <w:lang w:val="en-US"/>
                      </w:rPr>
                      <w:t xml:space="preserve">: </w:t>
                    </w:r>
                    <w:r>
                      <w:rPr>
                        <w:rFonts w:ascii="Arial TUR" w:hAnsi="Arial TUR" w:cstheme="minorBidi"/>
                        <w:b/>
                        <w:bCs/>
                        <w:color w:val="000000"/>
                        <w:sz w:val="16"/>
                        <w:szCs w:val="16"/>
                      </w:rPr>
                      <w:t>%4</w:t>
                    </w:r>
                    <w:proofErr w:type="gramStart"/>
                    <w:r>
                      <w:rPr>
                        <w:rFonts w:ascii="Arial TUR" w:hAnsi="Arial TUR" w:cstheme="minorBidi"/>
                        <w:b/>
                        <w:bCs/>
                        <w:color w:val="000000"/>
                        <w:sz w:val="16"/>
                        <w:szCs w:val="16"/>
                      </w:rPr>
                      <w:t>,0</w:t>
                    </w:r>
                    <w:proofErr w:type="gramEnd"/>
                  </w:p>
                </w:txbxContent>
              </v:textbox>
            </v:shape>
          </v:group>
        </w:pict>
      </w:r>
    </w:p>
    <w:p w:rsidR="005539D1" w:rsidRDefault="005539D1" w:rsidP="00633C51">
      <w:pPr>
        <w:spacing w:line="288" w:lineRule="auto"/>
        <w:ind w:right="77"/>
        <w:jc w:val="both"/>
        <w:rPr>
          <w:rFonts w:ascii="Arial" w:hAnsi="Arial" w:cs="Arial"/>
          <w:color w:val="000000" w:themeColor="text1"/>
          <w:sz w:val="16"/>
          <w:szCs w:val="16"/>
          <w:lang w:val="en-GB"/>
        </w:rPr>
      </w:pPr>
    </w:p>
    <w:p w:rsidR="005539D1" w:rsidRDefault="005539D1" w:rsidP="00633C51">
      <w:pPr>
        <w:spacing w:line="288" w:lineRule="auto"/>
        <w:ind w:right="77"/>
        <w:jc w:val="both"/>
        <w:rPr>
          <w:rFonts w:ascii="Arial" w:hAnsi="Arial" w:cs="Arial"/>
          <w:color w:val="000000" w:themeColor="text1"/>
          <w:sz w:val="16"/>
          <w:szCs w:val="16"/>
          <w:lang w:val="en-GB"/>
        </w:rPr>
      </w:pPr>
    </w:p>
    <w:p w:rsidR="005539D1" w:rsidRDefault="005539D1" w:rsidP="00633C51">
      <w:pPr>
        <w:spacing w:line="288" w:lineRule="auto"/>
        <w:ind w:right="77"/>
        <w:jc w:val="both"/>
        <w:rPr>
          <w:rFonts w:ascii="Arial" w:hAnsi="Arial" w:cs="Arial"/>
          <w:color w:val="000000" w:themeColor="text1"/>
          <w:sz w:val="16"/>
          <w:szCs w:val="16"/>
          <w:lang w:val="en-GB"/>
        </w:rPr>
      </w:pPr>
    </w:p>
    <w:p w:rsidR="005539D1" w:rsidRDefault="005539D1" w:rsidP="00633C51">
      <w:pPr>
        <w:spacing w:line="288" w:lineRule="auto"/>
        <w:ind w:right="77"/>
        <w:jc w:val="both"/>
        <w:rPr>
          <w:rFonts w:ascii="Arial" w:hAnsi="Arial" w:cs="Arial"/>
          <w:color w:val="000000" w:themeColor="text1"/>
          <w:sz w:val="16"/>
          <w:szCs w:val="16"/>
          <w:lang w:val="en-GB"/>
        </w:rPr>
      </w:pPr>
    </w:p>
    <w:p w:rsidR="005539D1" w:rsidRDefault="005539D1" w:rsidP="00633C51">
      <w:pPr>
        <w:spacing w:line="288" w:lineRule="auto"/>
        <w:ind w:right="77"/>
        <w:jc w:val="both"/>
        <w:rPr>
          <w:rFonts w:ascii="Arial" w:hAnsi="Arial" w:cs="Arial"/>
          <w:color w:val="000000" w:themeColor="text1"/>
          <w:sz w:val="16"/>
          <w:szCs w:val="16"/>
          <w:lang w:val="en-GB"/>
        </w:rPr>
      </w:pPr>
    </w:p>
    <w:p w:rsidR="005539D1" w:rsidRDefault="005539D1" w:rsidP="00633C51">
      <w:pPr>
        <w:spacing w:line="288" w:lineRule="auto"/>
        <w:ind w:right="77"/>
        <w:jc w:val="both"/>
        <w:rPr>
          <w:rFonts w:ascii="Arial" w:hAnsi="Arial" w:cs="Arial"/>
          <w:color w:val="000000" w:themeColor="text1"/>
          <w:sz w:val="16"/>
          <w:szCs w:val="16"/>
          <w:lang w:val="en-GB"/>
        </w:rPr>
      </w:pPr>
    </w:p>
    <w:p w:rsidR="005539D1" w:rsidRDefault="005539D1" w:rsidP="00633C51">
      <w:pPr>
        <w:spacing w:line="288" w:lineRule="auto"/>
        <w:ind w:right="77"/>
        <w:jc w:val="both"/>
        <w:rPr>
          <w:rFonts w:ascii="Arial" w:hAnsi="Arial" w:cs="Arial"/>
          <w:color w:val="000000" w:themeColor="text1"/>
          <w:sz w:val="16"/>
          <w:szCs w:val="16"/>
          <w:lang w:val="en-GB"/>
        </w:rPr>
      </w:pPr>
    </w:p>
    <w:p w:rsidR="005539D1" w:rsidRDefault="005539D1" w:rsidP="00633C51">
      <w:pPr>
        <w:spacing w:line="288" w:lineRule="auto"/>
        <w:ind w:right="77"/>
        <w:jc w:val="both"/>
        <w:rPr>
          <w:rFonts w:ascii="Arial" w:hAnsi="Arial" w:cs="Arial"/>
          <w:color w:val="000000" w:themeColor="text1"/>
          <w:sz w:val="16"/>
          <w:szCs w:val="16"/>
          <w:lang w:val="en-GB"/>
        </w:rPr>
      </w:pPr>
    </w:p>
    <w:p w:rsidR="005539D1" w:rsidRDefault="005539D1" w:rsidP="00633C51">
      <w:pPr>
        <w:spacing w:line="288" w:lineRule="auto"/>
        <w:ind w:right="77"/>
        <w:jc w:val="both"/>
        <w:rPr>
          <w:rFonts w:ascii="Arial" w:hAnsi="Arial" w:cs="Arial"/>
          <w:color w:val="000000" w:themeColor="text1"/>
          <w:sz w:val="16"/>
          <w:szCs w:val="16"/>
          <w:lang w:val="en-GB"/>
        </w:rPr>
      </w:pPr>
    </w:p>
    <w:p w:rsidR="005539D1" w:rsidRDefault="005539D1" w:rsidP="00633C51">
      <w:pPr>
        <w:spacing w:line="288" w:lineRule="auto"/>
        <w:ind w:right="77"/>
        <w:jc w:val="both"/>
        <w:rPr>
          <w:rFonts w:ascii="Arial" w:hAnsi="Arial" w:cs="Arial"/>
          <w:color w:val="000000" w:themeColor="text1"/>
          <w:sz w:val="16"/>
          <w:szCs w:val="16"/>
          <w:lang w:val="en-GB"/>
        </w:rPr>
      </w:pPr>
    </w:p>
    <w:p w:rsidR="005539D1" w:rsidRDefault="005539D1" w:rsidP="00633C51">
      <w:pPr>
        <w:spacing w:line="288" w:lineRule="auto"/>
        <w:ind w:right="77"/>
        <w:jc w:val="both"/>
        <w:rPr>
          <w:rFonts w:ascii="Arial" w:hAnsi="Arial" w:cs="Arial"/>
          <w:color w:val="000000" w:themeColor="text1"/>
          <w:sz w:val="16"/>
          <w:szCs w:val="16"/>
          <w:lang w:val="en-GB"/>
        </w:rPr>
      </w:pPr>
    </w:p>
    <w:p w:rsidR="005539D1" w:rsidRDefault="005539D1" w:rsidP="00633C51">
      <w:pPr>
        <w:spacing w:line="288" w:lineRule="auto"/>
        <w:ind w:right="77"/>
        <w:jc w:val="both"/>
        <w:rPr>
          <w:rFonts w:ascii="Arial" w:hAnsi="Arial" w:cs="Arial"/>
          <w:color w:val="000000" w:themeColor="text1"/>
          <w:sz w:val="16"/>
          <w:szCs w:val="16"/>
          <w:lang w:val="en-GB"/>
        </w:rPr>
      </w:pPr>
    </w:p>
    <w:p w:rsidR="005539D1" w:rsidRDefault="005539D1" w:rsidP="00633C51">
      <w:pPr>
        <w:spacing w:line="288" w:lineRule="auto"/>
        <w:ind w:right="77"/>
        <w:jc w:val="both"/>
        <w:rPr>
          <w:rFonts w:ascii="Arial" w:hAnsi="Arial" w:cs="Arial"/>
          <w:color w:val="000000" w:themeColor="text1"/>
          <w:sz w:val="16"/>
          <w:szCs w:val="16"/>
          <w:lang w:val="en-GB"/>
        </w:rPr>
      </w:pPr>
    </w:p>
    <w:p w:rsidR="005539D1" w:rsidRDefault="005539D1" w:rsidP="00633C51">
      <w:pPr>
        <w:spacing w:line="288" w:lineRule="auto"/>
        <w:ind w:right="77"/>
        <w:jc w:val="both"/>
        <w:rPr>
          <w:rFonts w:ascii="Arial" w:hAnsi="Arial" w:cs="Arial"/>
          <w:color w:val="000000" w:themeColor="text1"/>
          <w:sz w:val="16"/>
          <w:szCs w:val="16"/>
          <w:lang w:val="en-GB"/>
        </w:rPr>
      </w:pPr>
    </w:p>
    <w:p w:rsidR="005539D1" w:rsidRDefault="005539D1" w:rsidP="00633C51">
      <w:pPr>
        <w:spacing w:line="288" w:lineRule="auto"/>
        <w:ind w:right="77"/>
        <w:jc w:val="both"/>
        <w:rPr>
          <w:rFonts w:ascii="Arial" w:hAnsi="Arial" w:cs="Arial"/>
          <w:color w:val="000000" w:themeColor="text1"/>
          <w:sz w:val="16"/>
          <w:szCs w:val="16"/>
          <w:lang w:val="en-GB"/>
        </w:rPr>
      </w:pPr>
    </w:p>
    <w:p w:rsidR="005539D1" w:rsidRDefault="005539D1" w:rsidP="00633C51">
      <w:pPr>
        <w:spacing w:line="288" w:lineRule="auto"/>
        <w:ind w:right="77"/>
        <w:jc w:val="both"/>
        <w:rPr>
          <w:rFonts w:ascii="Arial" w:hAnsi="Arial" w:cs="Arial"/>
          <w:color w:val="000000" w:themeColor="text1"/>
          <w:sz w:val="16"/>
          <w:szCs w:val="16"/>
          <w:lang w:val="en-GB"/>
        </w:rPr>
      </w:pPr>
    </w:p>
    <w:p w:rsidR="005539D1" w:rsidRDefault="005539D1" w:rsidP="00633C51">
      <w:pPr>
        <w:spacing w:line="288" w:lineRule="auto"/>
        <w:ind w:right="77"/>
        <w:jc w:val="both"/>
        <w:rPr>
          <w:rFonts w:ascii="Arial" w:hAnsi="Arial" w:cs="Arial"/>
          <w:color w:val="000000" w:themeColor="text1"/>
          <w:sz w:val="16"/>
          <w:szCs w:val="16"/>
          <w:lang w:val="en-GB"/>
        </w:rPr>
      </w:pPr>
    </w:p>
    <w:p w:rsidR="00C402A3" w:rsidRPr="005F295B" w:rsidRDefault="00E168F5" w:rsidP="00633C51">
      <w:pPr>
        <w:spacing w:line="288" w:lineRule="auto"/>
        <w:ind w:right="77"/>
        <w:jc w:val="both"/>
        <w:rPr>
          <w:rFonts w:ascii="Arial" w:hAnsi="Arial" w:cs="Arial"/>
          <w:color w:val="000000" w:themeColor="text1"/>
          <w:sz w:val="16"/>
          <w:szCs w:val="16"/>
          <w:lang w:val="en-GB"/>
        </w:rPr>
      </w:pPr>
      <w:r w:rsidRPr="005F295B">
        <w:rPr>
          <w:rFonts w:ascii="Arial" w:hAnsi="Arial" w:cs="Arial"/>
          <w:color w:val="000000" w:themeColor="text1"/>
          <w:sz w:val="16"/>
          <w:szCs w:val="16"/>
          <w:lang w:val="en-GB"/>
        </w:rPr>
        <w:t xml:space="preserve">Source: </w:t>
      </w:r>
      <w:proofErr w:type="spellStart"/>
      <w:r w:rsidRPr="005F295B">
        <w:rPr>
          <w:rFonts w:ascii="Arial" w:hAnsi="Arial" w:cs="Arial"/>
          <w:color w:val="000000" w:themeColor="text1"/>
          <w:sz w:val="16"/>
          <w:szCs w:val="16"/>
          <w:lang w:val="en-GB"/>
        </w:rPr>
        <w:t>Turkstat</w:t>
      </w:r>
      <w:proofErr w:type="spellEnd"/>
    </w:p>
    <w:p w:rsidR="00E333BE" w:rsidRPr="005F295B" w:rsidRDefault="00E333BE" w:rsidP="009575C3">
      <w:pPr>
        <w:pStyle w:val="NormalWeb"/>
        <w:spacing w:before="0" w:beforeAutospacing="0" w:after="0" w:afterAutospacing="0"/>
        <w:jc w:val="both"/>
        <w:rPr>
          <w:b/>
          <w:color w:val="000000" w:themeColor="text1"/>
          <w:sz w:val="22"/>
          <w:szCs w:val="22"/>
          <w:lang w:val="en-GB"/>
        </w:rPr>
      </w:pPr>
    </w:p>
    <w:p w:rsidR="002B7D49" w:rsidRPr="005F295B" w:rsidRDefault="002B7D49" w:rsidP="00B207BA">
      <w:pPr>
        <w:pStyle w:val="NormalWeb"/>
        <w:spacing w:before="0" w:beforeAutospacing="0" w:after="0" w:afterAutospacing="0" w:line="300" w:lineRule="atLeast"/>
        <w:jc w:val="center"/>
        <w:rPr>
          <w:b/>
          <w:color w:val="000000" w:themeColor="text1"/>
          <w:sz w:val="22"/>
          <w:szCs w:val="22"/>
          <w:lang w:val="en-GB"/>
        </w:rPr>
      </w:pPr>
    </w:p>
    <w:p w:rsidR="002B7D49" w:rsidRPr="005F295B" w:rsidRDefault="002B7D49" w:rsidP="00B207BA">
      <w:pPr>
        <w:pStyle w:val="NormalWeb"/>
        <w:spacing w:before="0" w:beforeAutospacing="0" w:after="0" w:afterAutospacing="0" w:line="300" w:lineRule="atLeast"/>
        <w:jc w:val="center"/>
        <w:rPr>
          <w:b/>
          <w:color w:val="000000" w:themeColor="text1"/>
          <w:sz w:val="22"/>
          <w:szCs w:val="22"/>
          <w:lang w:val="en-GB"/>
        </w:rPr>
      </w:pPr>
    </w:p>
    <w:p w:rsidR="005539D1" w:rsidRDefault="005539D1" w:rsidP="005539D1">
      <w:pPr>
        <w:pStyle w:val="NormalWeb"/>
        <w:spacing w:before="0" w:beforeAutospacing="0" w:after="0" w:afterAutospacing="0" w:line="300" w:lineRule="atLeast"/>
        <w:rPr>
          <w:b/>
          <w:color w:val="000000" w:themeColor="text1"/>
          <w:sz w:val="22"/>
          <w:szCs w:val="22"/>
          <w:lang w:val="en-GB"/>
        </w:rPr>
      </w:pPr>
    </w:p>
    <w:p w:rsidR="009575C3" w:rsidRPr="005F295B" w:rsidRDefault="003E3908" w:rsidP="005539D1">
      <w:pPr>
        <w:pStyle w:val="NormalWeb"/>
        <w:spacing w:before="0" w:beforeAutospacing="0" w:after="0" w:afterAutospacing="0" w:line="300" w:lineRule="atLeast"/>
        <w:jc w:val="center"/>
        <w:rPr>
          <w:rFonts w:ascii="Arial" w:hAnsi="Arial" w:cs="Arial"/>
          <w:b/>
          <w:color w:val="000000" w:themeColor="text1"/>
          <w:sz w:val="20"/>
          <w:szCs w:val="20"/>
          <w:lang w:val="en-GB"/>
        </w:rPr>
      </w:pPr>
      <w:r w:rsidRPr="005F295B">
        <w:rPr>
          <w:rFonts w:ascii="Arial" w:hAnsi="Arial" w:cs="Arial"/>
          <w:b/>
          <w:color w:val="000000" w:themeColor="text1"/>
          <w:sz w:val="20"/>
          <w:szCs w:val="20"/>
          <w:lang w:val="en-GB"/>
        </w:rPr>
        <w:lastRenderedPageBreak/>
        <w:t>Significant increase in Domestic Demand</w:t>
      </w:r>
    </w:p>
    <w:p w:rsidR="009575C3" w:rsidRPr="005F295B" w:rsidRDefault="009575C3" w:rsidP="00B207BA">
      <w:pPr>
        <w:pStyle w:val="NormalWeb"/>
        <w:spacing w:before="0" w:beforeAutospacing="0" w:after="0" w:afterAutospacing="0" w:line="300" w:lineRule="atLeast"/>
        <w:rPr>
          <w:rFonts w:ascii="Arial" w:hAnsi="Arial" w:cs="Arial"/>
          <w:color w:val="000000" w:themeColor="text1"/>
          <w:sz w:val="20"/>
          <w:szCs w:val="20"/>
          <w:highlight w:val="yellow"/>
          <w:lang w:val="en-GB"/>
        </w:rPr>
      </w:pPr>
    </w:p>
    <w:p w:rsidR="007A2A39" w:rsidRPr="005F295B" w:rsidRDefault="00B3653E" w:rsidP="002028B0">
      <w:pPr>
        <w:pStyle w:val="NormalWeb"/>
        <w:spacing w:before="0" w:beforeAutospacing="0" w:after="0" w:afterAutospacing="0" w:line="360" w:lineRule="auto"/>
        <w:jc w:val="both"/>
        <w:rPr>
          <w:rFonts w:ascii="Arial" w:hAnsi="Arial" w:cs="Arial"/>
          <w:color w:val="000000" w:themeColor="text1"/>
          <w:sz w:val="20"/>
          <w:szCs w:val="20"/>
          <w:lang w:val="en-GB"/>
        </w:rPr>
      </w:pPr>
      <w:r w:rsidRPr="005F295B">
        <w:rPr>
          <w:rFonts w:ascii="Arial" w:hAnsi="Arial" w:cs="Arial"/>
          <w:color w:val="000000" w:themeColor="text1"/>
          <w:sz w:val="20"/>
          <w:szCs w:val="20"/>
          <w:lang w:val="en-GB"/>
        </w:rPr>
        <w:t>Private consumption which showed a ve</w:t>
      </w:r>
      <w:r w:rsidR="00AC45CF">
        <w:rPr>
          <w:rFonts w:ascii="Arial" w:hAnsi="Arial" w:cs="Arial"/>
          <w:color w:val="000000" w:themeColor="text1"/>
          <w:sz w:val="20"/>
          <w:szCs w:val="20"/>
          <w:lang w:val="en-GB"/>
        </w:rPr>
        <w:t>ry moderate increase in 2014 (1.</w:t>
      </w:r>
      <w:r w:rsidRPr="005F295B">
        <w:rPr>
          <w:rFonts w:ascii="Arial" w:hAnsi="Arial" w:cs="Arial"/>
          <w:color w:val="000000" w:themeColor="text1"/>
          <w:sz w:val="20"/>
          <w:szCs w:val="20"/>
          <w:lang w:val="en-GB"/>
        </w:rPr>
        <w:t>3 percent), rec</w:t>
      </w:r>
      <w:r w:rsidR="00AC45CF">
        <w:rPr>
          <w:rFonts w:ascii="Arial" w:hAnsi="Arial" w:cs="Arial"/>
          <w:color w:val="000000" w:themeColor="text1"/>
          <w:sz w:val="20"/>
          <w:szCs w:val="20"/>
          <w:lang w:val="en-GB"/>
        </w:rPr>
        <w:t>orded an unexpected growth by 4.</w:t>
      </w:r>
      <w:r w:rsidRPr="005F295B">
        <w:rPr>
          <w:rFonts w:ascii="Arial" w:hAnsi="Arial" w:cs="Arial"/>
          <w:color w:val="000000" w:themeColor="text1"/>
          <w:sz w:val="20"/>
          <w:szCs w:val="20"/>
          <w:lang w:val="en-GB"/>
        </w:rPr>
        <w:t>5 percent despite political uncertainties and became the leading GDP component.</w:t>
      </w:r>
      <w:r w:rsidR="008C3E1E" w:rsidRPr="005F295B">
        <w:rPr>
          <w:rFonts w:ascii="Arial" w:hAnsi="Arial" w:cs="Arial"/>
          <w:color w:val="000000" w:themeColor="text1"/>
          <w:sz w:val="20"/>
          <w:szCs w:val="20"/>
          <w:lang w:val="en-GB"/>
        </w:rPr>
        <w:t xml:space="preserve"> Another remarkable point is that private consumption </w:t>
      </w:r>
      <w:r w:rsidR="003D28C1" w:rsidRPr="005F295B">
        <w:rPr>
          <w:rFonts w:ascii="Arial" w:hAnsi="Arial" w:cs="Arial"/>
          <w:color w:val="000000" w:themeColor="text1"/>
          <w:sz w:val="20"/>
          <w:szCs w:val="20"/>
          <w:lang w:val="en-GB"/>
        </w:rPr>
        <w:t>continued</w:t>
      </w:r>
      <w:r w:rsidR="008C3E1E" w:rsidRPr="005F295B">
        <w:rPr>
          <w:rFonts w:ascii="Arial" w:hAnsi="Arial" w:cs="Arial"/>
          <w:color w:val="000000" w:themeColor="text1"/>
          <w:sz w:val="20"/>
          <w:szCs w:val="20"/>
          <w:lang w:val="en-GB"/>
        </w:rPr>
        <w:t xml:space="preserve"> to grow in spite of the decline of consumer confidence index in between two elections.</w:t>
      </w:r>
    </w:p>
    <w:p w:rsidR="00884058" w:rsidRPr="005F295B" w:rsidRDefault="00756FAD" w:rsidP="00B207BA">
      <w:pPr>
        <w:pStyle w:val="NormalWeb"/>
        <w:spacing w:before="0" w:beforeAutospacing="0" w:after="0" w:afterAutospacing="0" w:line="300" w:lineRule="atLeast"/>
        <w:jc w:val="both"/>
        <w:rPr>
          <w:rFonts w:ascii="Arial" w:hAnsi="Arial" w:cs="Arial"/>
          <w:color w:val="000000" w:themeColor="text1"/>
          <w:sz w:val="20"/>
          <w:szCs w:val="20"/>
          <w:lang w:val="en-GB"/>
        </w:rPr>
      </w:pPr>
      <w:r w:rsidRPr="005F295B">
        <w:rPr>
          <w:rFonts w:ascii="Arial" w:hAnsi="Arial" w:cs="Arial"/>
          <w:color w:val="000000" w:themeColor="text1"/>
          <w:sz w:val="20"/>
          <w:szCs w:val="20"/>
          <w:lang w:val="en-GB"/>
        </w:rPr>
        <w:t>Government spending which majorly consists of consumption expenses (staff and material) also has a remarkable effect on domestic demand by recording relative</w:t>
      </w:r>
      <w:r w:rsidR="00AC45CF">
        <w:rPr>
          <w:rFonts w:ascii="Arial" w:hAnsi="Arial" w:cs="Arial"/>
          <w:color w:val="000000" w:themeColor="text1"/>
          <w:sz w:val="20"/>
          <w:szCs w:val="20"/>
          <w:lang w:val="en-GB"/>
        </w:rPr>
        <w:t>ly higher increase than 2014 (0.</w:t>
      </w:r>
      <w:r w:rsidRPr="005F295B">
        <w:rPr>
          <w:rFonts w:ascii="Arial" w:hAnsi="Arial" w:cs="Arial"/>
          <w:color w:val="000000" w:themeColor="text1"/>
          <w:sz w:val="20"/>
          <w:szCs w:val="20"/>
          <w:lang w:val="en-GB"/>
        </w:rPr>
        <w:t>5 percent in 2014, 7 percent in 2</w:t>
      </w:r>
      <w:r w:rsidR="006B6155" w:rsidRPr="005F295B">
        <w:rPr>
          <w:rFonts w:ascii="Arial" w:hAnsi="Arial" w:cs="Arial"/>
          <w:color w:val="000000" w:themeColor="text1"/>
          <w:sz w:val="20"/>
          <w:szCs w:val="20"/>
          <w:lang w:val="en-GB"/>
        </w:rPr>
        <w:t xml:space="preserve">015). </w:t>
      </w:r>
      <w:r w:rsidRPr="005F295B">
        <w:rPr>
          <w:rFonts w:ascii="Arial" w:hAnsi="Arial" w:cs="Arial"/>
          <w:color w:val="000000" w:themeColor="text1"/>
          <w:sz w:val="20"/>
          <w:szCs w:val="20"/>
          <w:lang w:val="en-GB"/>
        </w:rPr>
        <w:t>Th</w:t>
      </w:r>
      <w:r w:rsidR="003D28C1" w:rsidRPr="005F295B">
        <w:rPr>
          <w:rFonts w:ascii="Arial" w:hAnsi="Arial" w:cs="Arial"/>
          <w:color w:val="000000" w:themeColor="text1"/>
          <w:sz w:val="20"/>
          <w:szCs w:val="20"/>
          <w:lang w:val="en-GB"/>
        </w:rPr>
        <w:t>e share of govern</w:t>
      </w:r>
      <w:r w:rsidRPr="005F295B">
        <w:rPr>
          <w:rFonts w:ascii="Arial" w:hAnsi="Arial" w:cs="Arial"/>
          <w:color w:val="000000" w:themeColor="text1"/>
          <w:sz w:val="20"/>
          <w:szCs w:val="20"/>
          <w:lang w:val="en-GB"/>
        </w:rPr>
        <w:t xml:space="preserve">ment spending in </w:t>
      </w:r>
      <w:r w:rsidR="00AC45CF">
        <w:rPr>
          <w:rFonts w:ascii="Arial" w:hAnsi="Arial" w:cs="Arial"/>
          <w:color w:val="000000" w:themeColor="text1"/>
          <w:sz w:val="20"/>
          <w:szCs w:val="20"/>
          <w:lang w:val="en-GB"/>
        </w:rPr>
        <w:t>total GDP growth was measured</w:t>
      </w:r>
      <w:r w:rsidR="00235267">
        <w:rPr>
          <w:rFonts w:ascii="Arial" w:hAnsi="Arial" w:cs="Arial"/>
          <w:color w:val="000000" w:themeColor="text1"/>
          <w:sz w:val="20"/>
          <w:szCs w:val="20"/>
          <w:lang w:val="en-GB"/>
        </w:rPr>
        <w:t xml:space="preserve"> to be</w:t>
      </w:r>
      <w:r w:rsidR="00AC45CF">
        <w:rPr>
          <w:rFonts w:ascii="Arial" w:hAnsi="Arial" w:cs="Arial"/>
          <w:color w:val="000000" w:themeColor="text1"/>
          <w:sz w:val="20"/>
          <w:szCs w:val="20"/>
          <w:lang w:val="en-GB"/>
        </w:rPr>
        <w:t xml:space="preserve"> 1.1</w:t>
      </w:r>
      <w:r w:rsidRPr="005F295B">
        <w:rPr>
          <w:rFonts w:ascii="Arial" w:hAnsi="Arial" w:cs="Arial"/>
          <w:color w:val="000000" w:themeColor="text1"/>
          <w:sz w:val="20"/>
          <w:szCs w:val="20"/>
          <w:lang w:val="en-GB"/>
        </w:rPr>
        <w:t xml:space="preserve"> percent. Taking into account of recent elections, t</w:t>
      </w:r>
      <w:r w:rsidR="008C3E1E" w:rsidRPr="005F295B">
        <w:rPr>
          <w:rFonts w:ascii="Arial" w:hAnsi="Arial" w:cs="Arial"/>
          <w:color w:val="000000" w:themeColor="text1"/>
          <w:sz w:val="20"/>
          <w:szCs w:val="20"/>
          <w:lang w:val="en-GB"/>
        </w:rPr>
        <w:t xml:space="preserve">his significant increase is not </w:t>
      </w:r>
      <w:r w:rsidRPr="005F295B">
        <w:rPr>
          <w:rFonts w:ascii="Arial" w:hAnsi="Arial" w:cs="Arial"/>
          <w:color w:val="000000" w:themeColor="text1"/>
          <w:sz w:val="20"/>
          <w:szCs w:val="20"/>
          <w:lang w:val="en-GB"/>
        </w:rPr>
        <w:t>surprising.</w:t>
      </w:r>
    </w:p>
    <w:p w:rsidR="00770105" w:rsidRPr="005F295B" w:rsidRDefault="00770105" w:rsidP="00B207BA">
      <w:pPr>
        <w:pStyle w:val="NormalWeb"/>
        <w:spacing w:before="0" w:beforeAutospacing="0" w:after="0" w:afterAutospacing="0" w:line="300" w:lineRule="atLeast"/>
        <w:jc w:val="both"/>
        <w:rPr>
          <w:rFonts w:ascii="Arial" w:hAnsi="Arial" w:cs="Arial"/>
          <w:color w:val="000000" w:themeColor="text1"/>
          <w:sz w:val="20"/>
          <w:szCs w:val="20"/>
          <w:lang w:val="en-GB"/>
        </w:rPr>
      </w:pPr>
    </w:p>
    <w:p w:rsidR="007A2A39" w:rsidRPr="005F295B" w:rsidRDefault="008E6506" w:rsidP="00656F4F">
      <w:pPr>
        <w:pStyle w:val="NormalWeb"/>
        <w:spacing w:before="0" w:beforeAutospacing="0" w:after="0" w:afterAutospacing="0" w:line="300" w:lineRule="atLeast"/>
        <w:jc w:val="both"/>
        <w:rPr>
          <w:rFonts w:ascii="Arial" w:hAnsi="Arial" w:cs="Arial"/>
          <w:color w:val="000000" w:themeColor="text1"/>
          <w:sz w:val="20"/>
          <w:szCs w:val="20"/>
          <w:highlight w:val="yellow"/>
          <w:lang w:val="en-GB"/>
        </w:rPr>
      </w:pPr>
      <w:r w:rsidRPr="005F295B">
        <w:rPr>
          <w:rFonts w:ascii="Arial" w:hAnsi="Arial" w:cs="Arial"/>
          <w:color w:val="000000" w:themeColor="text1"/>
          <w:sz w:val="20"/>
          <w:szCs w:val="20"/>
          <w:lang w:val="en-GB"/>
        </w:rPr>
        <w:t>In addition to that, we don’t observe a substantial change in terms of sources of growth in 2015’s last quarter.</w:t>
      </w:r>
      <w:r w:rsidR="00884058" w:rsidRPr="005F295B">
        <w:rPr>
          <w:rFonts w:ascii="Arial" w:hAnsi="Arial" w:cs="Arial"/>
          <w:color w:val="000000" w:themeColor="text1"/>
          <w:sz w:val="20"/>
          <w:szCs w:val="20"/>
          <w:lang w:val="en-GB"/>
        </w:rPr>
        <w:t xml:space="preserve"> </w:t>
      </w:r>
      <w:r w:rsidRPr="005F295B">
        <w:rPr>
          <w:rFonts w:ascii="Arial" w:hAnsi="Arial" w:cs="Arial"/>
          <w:color w:val="000000" w:themeColor="text1"/>
          <w:sz w:val="20"/>
          <w:szCs w:val="20"/>
          <w:lang w:val="en-GB"/>
        </w:rPr>
        <w:t>On quarterly basis, private consumption and government sp</w:t>
      </w:r>
      <w:r w:rsidR="00AC45CF">
        <w:rPr>
          <w:rFonts w:ascii="Arial" w:hAnsi="Arial" w:cs="Arial"/>
          <w:color w:val="000000" w:themeColor="text1"/>
          <w:sz w:val="20"/>
          <w:szCs w:val="20"/>
          <w:lang w:val="en-GB"/>
        </w:rPr>
        <w:t>ending both remain limited by 0.</w:t>
      </w:r>
      <w:r w:rsidRPr="005F295B">
        <w:rPr>
          <w:rFonts w:ascii="Arial" w:hAnsi="Arial" w:cs="Arial"/>
          <w:color w:val="000000" w:themeColor="text1"/>
          <w:sz w:val="20"/>
          <w:szCs w:val="20"/>
          <w:lang w:val="en-GB"/>
        </w:rPr>
        <w:t>3 percent</w:t>
      </w:r>
      <w:r w:rsidR="00235267">
        <w:rPr>
          <w:rFonts w:ascii="Arial" w:hAnsi="Arial" w:cs="Arial"/>
          <w:color w:val="000000" w:themeColor="text1"/>
          <w:sz w:val="20"/>
          <w:szCs w:val="20"/>
          <w:lang w:val="en-GB"/>
        </w:rPr>
        <w:t xml:space="preserve"> and 0.</w:t>
      </w:r>
      <w:r w:rsidRPr="005F295B">
        <w:rPr>
          <w:rFonts w:ascii="Arial" w:hAnsi="Arial" w:cs="Arial"/>
          <w:color w:val="000000" w:themeColor="text1"/>
          <w:sz w:val="20"/>
          <w:szCs w:val="20"/>
          <w:lang w:val="en-GB"/>
        </w:rPr>
        <w:t xml:space="preserve">2 percent </w:t>
      </w:r>
      <w:r w:rsidR="00656F4F" w:rsidRPr="005F295B">
        <w:rPr>
          <w:rFonts w:ascii="Arial" w:hAnsi="Arial" w:cs="Arial"/>
          <w:color w:val="000000" w:themeColor="text1"/>
          <w:sz w:val="20"/>
          <w:szCs w:val="20"/>
          <w:lang w:val="en-GB"/>
        </w:rPr>
        <w:t>respectively.</w:t>
      </w:r>
      <w:r w:rsidR="00722BF0" w:rsidRPr="005F295B">
        <w:rPr>
          <w:rFonts w:ascii="Arial" w:hAnsi="Arial" w:cs="Arial"/>
          <w:color w:val="000000" w:themeColor="text1"/>
          <w:sz w:val="20"/>
          <w:szCs w:val="20"/>
          <w:lang w:val="en-GB"/>
        </w:rPr>
        <w:t xml:space="preserve"> </w:t>
      </w:r>
      <w:r w:rsidR="00656F4F" w:rsidRPr="005F295B">
        <w:rPr>
          <w:rFonts w:ascii="Arial" w:hAnsi="Arial" w:cs="Arial"/>
          <w:color w:val="000000" w:themeColor="text1"/>
          <w:sz w:val="20"/>
          <w:szCs w:val="20"/>
          <w:lang w:val="en-GB"/>
        </w:rPr>
        <w:t xml:space="preserve">These </w:t>
      </w:r>
      <w:r w:rsidR="00AC45CF">
        <w:rPr>
          <w:rFonts w:ascii="Arial" w:hAnsi="Arial" w:cs="Arial"/>
          <w:color w:val="000000" w:themeColor="text1"/>
          <w:sz w:val="20"/>
          <w:szCs w:val="20"/>
          <w:lang w:val="en-GB"/>
        </w:rPr>
        <w:t>two components contributed by 0.</w:t>
      </w:r>
      <w:r w:rsidR="00656F4F" w:rsidRPr="005F295B">
        <w:rPr>
          <w:rFonts w:ascii="Arial" w:hAnsi="Arial" w:cs="Arial"/>
          <w:color w:val="000000" w:themeColor="text1"/>
          <w:sz w:val="20"/>
          <w:szCs w:val="20"/>
          <w:lang w:val="en-GB"/>
        </w:rPr>
        <w:t>2 percent to quarterly GDP growth rate (Table 1).</w:t>
      </w:r>
      <w:r w:rsidR="007A2A39" w:rsidRPr="005F295B">
        <w:rPr>
          <w:rFonts w:ascii="Arial" w:hAnsi="Arial" w:cs="Arial"/>
          <w:color w:val="000000" w:themeColor="text1"/>
          <w:sz w:val="20"/>
          <w:szCs w:val="20"/>
          <w:highlight w:val="yellow"/>
          <w:lang w:val="en-GB"/>
        </w:rPr>
        <w:t xml:space="preserve"> </w:t>
      </w:r>
    </w:p>
    <w:p w:rsidR="00637B8E" w:rsidRPr="005F295B" w:rsidRDefault="00637B8E" w:rsidP="00B207BA">
      <w:pPr>
        <w:pStyle w:val="NormalWeb"/>
        <w:spacing w:before="0" w:beforeAutospacing="0" w:after="0" w:afterAutospacing="0" w:line="300" w:lineRule="atLeast"/>
        <w:jc w:val="both"/>
        <w:rPr>
          <w:rFonts w:ascii="Arial" w:hAnsi="Arial" w:cs="Arial"/>
          <w:color w:val="000000" w:themeColor="text1"/>
          <w:sz w:val="20"/>
          <w:szCs w:val="20"/>
          <w:highlight w:val="yellow"/>
          <w:lang w:val="en-GB"/>
        </w:rPr>
      </w:pPr>
    </w:p>
    <w:p w:rsidR="00E51E5A" w:rsidRPr="005F295B" w:rsidRDefault="003E3908" w:rsidP="00E51E5A">
      <w:pPr>
        <w:pStyle w:val="NormalWeb"/>
        <w:spacing w:before="0" w:beforeAutospacing="0" w:after="0" w:afterAutospacing="0" w:line="300" w:lineRule="atLeast"/>
        <w:jc w:val="center"/>
        <w:rPr>
          <w:rFonts w:ascii="Arial" w:hAnsi="Arial" w:cs="Arial"/>
          <w:b/>
          <w:color w:val="000000" w:themeColor="text1"/>
          <w:sz w:val="20"/>
          <w:szCs w:val="20"/>
          <w:lang w:val="en-GB"/>
        </w:rPr>
      </w:pPr>
      <w:r w:rsidRPr="005F295B">
        <w:rPr>
          <w:rFonts w:ascii="Arial" w:hAnsi="Arial" w:cs="Arial"/>
          <w:b/>
          <w:color w:val="000000" w:themeColor="text1"/>
          <w:sz w:val="20"/>
          <w:szCs w:val="20"/>
          <w:lang w:val="en-GB"/>
        </w:rPr>
        <w:t>Recovery in Private Investments</w:t>
      </w:r>
    </w:p>
    <w:p w:rsidR="00622927" w:rsidRPr="005F295B" w:rsidRDefault="00622927" w:rsidP="00E51E5A">
      <w:pPr>
        <w:pStyle w:val="NormalWeb"/>
        <w:spacing w:before="0" w:beforeAutospacing="0" w:after="0" w:afterAutospacing="0" w:line="300" w:lineRule="atLeast"/>
        <w:jc w:val="center"/>
        <w:rPr>
          <w:rFonts w:ascii="Arial" w:hAnsi="Arial" w:cs="Arial"/>
          <w:b/>
          <w:color w:val="000000" w:themeColor="text1"/>
          <w:sz w:val="20"/>
          <w:szCs w:val="20"/>
          <w:lang w:val="en-GB"/>
        </w:rPr>
      </w:pPr>
    </w:p>
    <w:p w:rsidR="002C7632" w:rsidRDefault="00656F4F" w:rsidP="00770105">
      <w:pPr>
        <w:pStyle w:val="NormalWeb"/>
        <w:spacing w:before="0" w:beforeAutospacing="0" w:after="0" w:afterAutospacing="0" w:line="300" w:lineRule="atLeast"/>
        <w:jc w:val="both"/>
        <w:rPr>
          <w:rFonts w:ascii="Arial" w:hAnsi="Arial" w:cs="Arial"/>
          <w:color w:val="000000" w:themeColor="text1"/>
          <w:sz w:val="20"/>
          <w:szCs w:val="20"/>
          <w:lang w:val="en-GB"/>
        </w:rPr>
      </w:pPr>
      <w:r w:rsidRPr="005F295B">
        <w:rPr>
          <w:rFonts w:ascii="Arial" w:hAnsi="Arial" w:cs="Arial"/>
          <w:color w:val="000000" w:themeColor="text1"/>
          <w:sz w:val="20"/>
          <w:szCs w:val="20"/>
          <w:lang w:val="en-GB"/>
        </w:rPr>
        <w:t xml:space="preserve">The only positive characteristic of 2015 growth in terms of quality is that the modest recovery </w:t>
      </w:r>
      <w:r w:rsidR="00235267">
        <w:rPr>
          <w:rFonts w:ascii="Arial" w:hAnsi="Arial" w:cs="Arial"/>
          <w:color w:val="000000" w:themeColor="text1"/>
          <w:sz w:val="20"/>
          <w:szCs w:val="20"/>
          <w:lang w:val="en-GB"/>
        </w:rPr>
        <w:t>of</w:t>
      </w:r>
      <w:r w:rsidRPr="005F295B">
        <w:rPr>
          <w:rFonts w:ascii="Arial" w:hAnsi="Arial" w:cs="Arial"/>
          <w:color w:val="000000" w:themeColor="text1"/>
          <w:sz w:val="20"/>
          <w:szCs w:val="20"/>
          <w:lang w:val="en-GB"/>
        </w:rPr>
        <w:t xml:space="preserve"> private investments.</w:t>
      </w:r>
      <w:r w:rsidR="00235267">
        <w:rPr>
          <w:rFonts w:ascii="Arial" w:hAnsi="Arial" w:cs="Arial"/>
          <w:color w:val="000000" w:themeColor="text1"/>
          <w:sz w:val="20"/>
          <w:szCs w:val="20"/>
          <w:lang w:val="en-GB"/>
        </w:rPr>
        <w:t xml:space="preserve"> </w:t>
      </w:r>
      <w:r w:rsidR="002C7632" w:rsidRPr="005F295B">
        <w:rPr>
          <w:rFonts w:ascii="Arial" w:hAnsi="Arial" w:cs="Arial"/>
          <w:color w:val="000000" w:themeColor="text1"/>
          <w:sz w:val="20"/>
          <w:szCs w:val="20"/>
          <w:lang w:val="en-GB"/>
        </w:rPr>
        <w:t>Private investments recorded 2</w:t>
      </w:r>
      <w:proofErr w:type="gramStart"/>
      <w:r w:rsidR="002C7632" w:rsidRPr="005F295B">
        <w:rPr>
          <w:rFonts w:ascii="Arial" w:hAnsi="Arial" w:cs="Arial"/>
          <w:color w:val="000000" w:themeColor="text1"/>
          <w:sz w:val="20"/>
          <w:szCs w:val="20"/>
          <w:lang w:val="en-GB"/>
        </w:rPr>
        <w:t>,7</w:t>
      </w:r>
      <w:proofErr w:type="gramEnd"/>
      <w:r w:rsidR="002C7632" w:rsidRPr="005F295B">
        <w:rPr>
          <w:rFonts w:ascii="Arial" w:hAnsi="Arial" w:cs="Arial"/>
          <w:color w:val="000000" w:themeColor="text1"/>
          <w:sz w:val="20"/>
          <w:szCs w:val="20"/>
          <w:lang w:val="en-GB"/>
        </w:rPr>
        <w:t xml:space="preserve"> percent growth and contributed by 0,5 percentage point to total growth in 2015 in return to its weak </w:t>
      </w:r>
      <w:r w:rsidR="00235267">
        <w:rPr>
          <w:rFonts w:ascii="Arial" w:hAnsi="Arial" w:cs="Arial"/>
          <w:color w:val="000000" w:themeColor="text1"/>
          <w:sz w:val="20"/>
          <w:szCs w:val="20"/>
          <w:lang w:val="en-GB"/>
        </w:rPr>
        <w:t>growth</w:t>
      </w:r>
      <w:r w:rsidR="002C7632" w:rsidRPr="005F295B">
        <w:rPr>
          <w:rFonts w:ascii="Arial" w:hAnsi="Arial" w:cs="Arial"/>
          <w:color w:val="000000" w:themeColor="text1"/>
          <w:sz w:val="20"/>
          <w:szCs w:val="20"/>
          <w:lang w:val="en-GB"/>
        </w:rPr>
        <w:t xml:space="preserve"> and contribution in 2014. </w:t>
      </w:r>
    </w:p>
    <w:p w:rsidR="005539D1" w:rsidRPr="005F295B" w:rsidRDefault="005539D1" w:rsidP="00770105">
      <w:pPr>
        <w:pStyle w:val="NormalWeb"/>
        <w:spacing w:before="0" w:beforeAutospacing="0" w:after="0" w:afterAutospacing="0" w:line="300" w:lineRule="atLeast"/>
        <w:jc w:val="both"/>
        <w:rPr>
          <w:rFonts w:ascii="Arial" w:hAnsi="Arial" w:cs="Arial"/>
          <w:color w:val="000000" w:themeColor="text1"/>
          <w:sz w:val="20"/>
          <w:szCs w:val="20"/>
          <w:lang w:val="en-GB"/>
        </w:rPr>
      </w:pPr>
    </w:p>
    <w:p w:rsidR="00C32691" w:rsidRPr="005F295B" w:rsidRDefault="002C7632" w:rsidP="00770105">
      <w:pPr>
        <w:pStyle w:val="NormalWeb"/>
        <w:spacing w:before="0" w:beforeAutospacing="0" w:after="0" w:afterAutospacing="0" w:line="300" w:lineRule="atLeast"/>
        <w:jc w:val="both"/>
        <w:rPr>
          <w:rFonts w:ascii="Arial" w:hAnsi="Arial" w:cs="Arial"/>
          <w:color w:val="000000" w:themeColor="text1"/>
          <w:sz w:val="20"/>
          <w:szCs w:val="20"/>
          <w:lang w:val="en-GB"/>
        </w:rPr>
      </w:pPr>
      <w:r w:rsidRPr="005F295B">
        <w:rPr>
          <w:rFonts w:ascii="Arial" w:hAnsi="Arial" w:cs="Arial"/>
          <w:color w:val="000000" w:themeColor="text1"/>
          <w:sz w:val="20"/>
          <w:szCs w:val="20"/>
          <w:lang w:val="en-GB"/>
        </w:rPr>
        <w:t>Recovery in pr</w:t>
      </w:r>
      <w:r w:rsidR="00442492" w:rsidRPr="005F295B">
        <w:rPr>
          <w:rFonts w:ascii="Arial" w:hAnsi="Arial" w:cs="Arial"/>
          <w:color w:val="000000" w:themeColor="text1"/>
          <w:sz w:val="20"/>
          <w:szCs w:val="20"/>
          <w:lang w:val="en-GB"/>
        </w:rPr>
        <w:t>ivate investments persists whil</w:t>
      </w:r>
      <w:r w:rsidRPr="005F295B">
        <w:rPr>
          <w:rFonts w:ascii="Arial" w:hAnsi="Arial" w:cs="Arial"/>
          <w:color w:val="000000" w:themeColor="text1"/>
          <w:sz w:val="20"/>
          <w:szCs w:val="20"/>
          <w:lang w:val="en-GB"/>
        </w:rPr>
        <w:t xml:space="preserve">st significant </w:t>
      </w:r>
      <w:r w:rsidR="003D28C1" w:rsidRPr="005F295B">
        <w:rPr>
          <w:rFonts w:ascii="Arial" w:hAnsi="Arial" w:cs="Arial"/>
          <w:color w:val="000000" w:themeColor="text1"/>
          <w:sz w:val="20"/>
          <w:szCs w:val="20"/>
          <w:lang w:val="en-GB"/>
        </w:rPr>
        <w:t>slowdowns</w:t>
      </w:r>
      <w:r w:rsidRPr="005F295B">
        <w:rPr>
          <w:rFonts w:ascii="Arial" w:hAnsi="Arial" w:cs="Arial"/>
          <w:color w:val="000000" w:themeColor="text1"/>
          <w:sz w:val="20"/>
          <w:szCs w:val="20"/>
          <w:lang w:val="en-GB"/>
        </w:rPr>
        <w:t xml:space="preserve"> occur in private consumption and government spending in the last quarter of 2015. From third quarter to </w:t>
      </w:r>
      <w:r w:rsidR="003D28C1" w:rsidRPr="005F295B">
        <w:rPr>
          <w:rFonts w:ascii="Arial" w:hAnsi="Arial" w:cs="Arial"/>
          <w:color w:val="000000" w:themeColor="text1"/>
          <w:sz w:val="20"/>
          <w:szCs w:val="20"/>
          <w:lang w:val="en-GB"/>
        </w:rPr>
        <w:t>fourth</w:t>
      </w:r>
      <w:r w:rsidRPr="005F295B">
        <w:rPr>
          <w:rFonts w:ascii="Arial" w:hAnsi="Arial" w:cs="Arial"/>
          <w:color w:val="000000" w:themeColor="text1"/>
          <w:sz w:val="20"/>
          <w:szCs w:val="20"/>
          <w:lang w:val="en-GB"/>
        </w:rPr>
        <w:t xml:space="preserve"> quarter</w:t>
      </w:r>
      <w:r w:rsidR="00AC45CF">
        <w:rPr>
          <w:rFonts w:ascii="Arial" w:hAnsi="Arial" w:cs="Arial"/>
          <w:color w:val="000000" w:themeColor="text1"/>
          <w:sz w:val="20"/>
          <w:szCs w:val="20"/>
          <w:lang w:val="en-GB"/>
        </w:rPr>
        <w:t>, private investments rose by 2.</w:t>
      </w:r>
      <w:r w:rsidRPr="005F295B">
        <w:rPr>
          <w:rFonts w:ascii="Arial" w:hAnsi="Arial" w:cs="Arial"/>
          <w:color w:val="000000" w:themeColor="text1"/>
          <w:sz w:val="20"/>
          <w:szCs w:val="20"/>
          <w:lang w:val="en-GB"/>
        </w:rPr>
        <w:t>6</w:t>
      </w:r>
      <w:r w:rsidR="00235267">
        <w:rPr>
          <w:rFonts w:ascii="Arial" w:hAnsi="Arial" w:cs="Arial"/>
          <w:color w:val="000000" w:themeColor="text1"/>
          <w:sz w:val="20"/>
          <w:szCs w:val="20"/>
          <w:lang w:val="en-GB"/>
        </w:rPr>
        <w:t xml:space="preserve"> percentage points</w:t>
      </w:r>
      <w:r w:rsidR="006B6155" w:rsidRPr="005F295B">
        <w:rPr>
          <w:rFonts w:ascii="Arial" w:hAnsi="Arial" w:cs="Arial"/>
          <w:color w:val="000000" w:themeColor="text1"/>
          <w:sz w:val="20"/>
          <w:szCs w:val="20"/>
          <w:lang w:val="en-GB"/>
        </w:rPr>
        <w:t xml:space="preserve">. Also it </w:t>
      </w:r>
      <w:r w:rsidR="003D28C1" w:rsidRPr="005F295B">
        <w:rPr>
          <w:rFonts w:ascii="Arial" w:hAnsi="Arial" w:cs="Arial"/>
          <w:color w:val="000000" w:themeColor="text1"/>
          <w:sz w:val="20"/>
          <w:szCs w:val="20"/>
          <w:lang w:val="en-GB"/>
        </w:rPr>
        <w:t>remarkably</w:t>
      </w:r>
      <w:r w:rsidR="006B6155" w:rsidRPr="005F295B">
        <w:rPr>
          <w:rFonts w:ascii="Arial" w:hAnsi="Arial" w:cs="Arial"/>
          <w:color w:val="000000" w:themeColor="text1"/>
          <w:sz w:val="20"/>
          <w:szCs w:val="20"/>
          <w:lang w:val="en-GB"/>
        </w:rPr>
        <w:t xml:space="preserve"> contributes to </w:t>
      </w:r>
      <w:r w:rsidR="003D28C1" w:rsidRPr="005F295B">
        <w:rPr>
          <w:rFonts w:ascii="Arial" w:hAnsi="Arial" w:cs="Arial"/>
          <w:color w:val="000000" w:themeColor="text1"/>
          <w:sz w:val="20"/>
          <w:szCs w:val="20"/>
          <w:lang w:val="en-GB"/>
        </w:rPr>
        <w:t>quarterly</w:t>
      </w:r>
      <w:r w:rsidR="00AC45CF">
        <w:rPr>
          <w:rFonts w:ascii="Arial" w:hAnsi="Arial" w:cs="Arial"/>
          <w:color w:val="000000" w:themeColor="text1"/>
          <w:sz w:val="20"/>
          <w:szCs w:val="20"/>
          <w:lang w:val="en-GB"/>
        </w:rPr>
        <w:t xml:space="preserve"> growth by 0.</w:t>
      </w:r>
      <w:r w:rsidR="006B6155" w:rsidRPr="005F295B">
        <w:rPr>
          <w:rFonts w:ascii="Arial" w:hAnsi="Arial" w:cs="Arial"/>
          <w:color w:val="000000" w:themeColor="text1"/>
          <w:sz w:val="20"/>
          <w:szCs w:val="20"/>
          <w:lang w:val="en-GB"/>
        </w:rPr>
        <w:t>5 percentage point.</w:t>
      </w:r>
      <w:r w:rsidR="00C32691" w:rsidRPr="005F295B">
        <w:rPr>
          <w:rFonts w:ascii="Arial" w:hAnsi="Arial" w:cs="Arial"/>
          <w:color w:val="000000" w:themeColor="text1"/>
          <w:sz w:val="20"/>
          <w:szCs w:val="20"/>
          <w:lang w:val="en-GB"/>
        </w:rPr>
        <w:t xml:space="preserve"> </w:t>
      </w:r>
    </w:p>
    <w:p w:rsidR="00C32691" w:rsidRPr="005F295B" w:rsidRDefault="00C32691" w:rsidP="00622927">
      <w:pPr>
        <w:pStyle w:val="NormalWeb"/>
        <w:spacing w:before="0" w:beforeAutospacing="0" w:after="0" w:afterAutospacing="0" w:line="300" w:lineRule="atLeast"/>
        <w:rPr>
          <w:rFonts w:ascii="Arial" w:hAnsi="Arial" w:cs="Arial"/>
          <w:color w:val="000000" w:themeColor="text1"/>
          <w:sz w:val="20"/>
          <w:szCs w:val="20"/>
          <w:lang w:val="en-GB"/>
        </w:rPr>
      </w:pPr>
    </w:p>
    <w:p w:rsidR="002B7D49" w:rsidRPr="005F295B" w:rsidRDefault="002B7D49" w:rsidP="00770105">
      <w:pPr>
        <w:pStyle w:val="NormalWeb"/>
        <w:spacing w:before="0" w:beforeAutospacing="0" w:after="0" w:afterAutospacing="0" w:line="300" w:lineRule="atLeast"/>
        <w:jc w:val="both"/>
        <w:rPr>
          <w:rFonts w:ascii="Arial" w:hAnsi="Arial" w:cs="Arial"/>
          <w:color w:val="000000" w:themeColor="text1"/>
          <w:sz w:val="20"/>
          <w:szCs w:val="20"/>
          <w:lang w:val="en-GB"/>
        </w:rPr>
      </w:pPr>
    </w:p>
    <w:p w:rsidR="002B7D49" w:rsidRPr="005F295B" w:rsidRDefault="002B7D49" w:rsidP="00770105">
      <w:pPr>
        <w:pStyle w:val="NormalWeb"/>
        <w:spacing w:before="0" w:beforeAutospacing="0" w:after="0" w:afterAutospacing="0" w:line="300" w:lineRule="atLeast"/>
        <w:jc w:val="both"/>
        <w:rPr>
          <w:rFonts w:ascii="Arial" w:hAnsi="Arial" w:cs="Arial"/>
          <w:color w:val="000000" w:themeColor="text1"/>
          <w:sz w:val="20"/>
          <w:szCs w:val="20"/>
          <w:lang w:val="en-GB"/>
        </w:rPr>
      </w:pPr>
    </w:p>
    <w:p w:rsidR="002B7D49" w:rsidRPr="005F295B" w:rsidRDefault="002B7D49" w:rsidP="00770105">
      <w:pPr>
        <w:pStyle w:val="NormalWeb"/>
        <w:spacing w:before="0" w:beforeAutospacing="0" w:after="0" w:afterAutospacing="0" w:line="300" w:lineRule="atLeast"/>
        <w:jc w:val="both"/>
        <w:rPr>
          <w:rFonts w:ascii="Arial" w:hAnsi="Arial" w:cs="Arial"/>
          <w:color w:val="000000" w:themeColor="text1"/>
          <w:sz w:val="20"/>
          <w:szCs w:val="20"/>
          <w:lang w:val="en-GB"/>
        </w:rPr>
      </w:pPr>
    </w:p>
    <w:p w:rsidR="00E51E5A" w:rsidRPr="005539D1" w:rsidRDefault="006B6155" w:rsidP="005539D1">
      <w:pPr>
        <w:pStyle w:val="NormalWeb"/>
        <w:spacing w:before="0" w:beforeAutospacing="0" w:after="0" w:afterAutospacing="0" w:line="300" w:lineRule="atLeast"/>
        <w:jc w:val="both"/>
        <w:rPr>
          <w:rFonts w:ascii="Arial" w:hAnsi="Arial" w:cs="Arial"/>
          <w:color w:val="000000" w:themeColor="text1"/>
          <w:sz w:val="20"/>
          <w:szCs w:val="20"/>
          <w:lang w:val="en-GB"/>
        </w:rPr>
      </w:pPr>
      <w:r w:rsidRPr="005F295B">
        <w:rPr>
          <w:rFonts w:ascii="Arial" w:hAnsi="Arial" w:cs="Arial"/>
          <w:color w:val="000000" w:themeColor="text1"/>
          <w:sz w:val="20"/>
          <w:szCs w:val="20"/>
          <w:lang w:val="en-GB"/>
        </w:rPr>
        <w:t>Lastly, we would like to mention th</w:t>
      </w:r>
      <w:r w:rsidR="003D28C1" w:rsidRPr="005F295B">
        <w:rPr>
          <w:rFonts w:ascii="Arial" w:hAnsi="Arial" w:cs="Arial"/>
          <w:color w:val="000000" w:themeColor="text1"/>
          <w:sz w:val="20"/>
          <w:szCs w:val="20"/>
          <w:lang w:val="en-GB"/>
        </w:rPr>
        <w:t>at inventory investment measured moderately negative for 2015, whil</w:t>
      </w:r>
      <w:r w:rsidR="00235267">
        <w:rPr>
          <w:rFonts w:ascii="Arial" w:hAnsi="Arial" w:cs="Arial"/>
          <w:color w:val="000000" w:themeColor="text1"/>
          <w:sz w:val="20"/>
          <w:szCs w:val="20"/>
          <w:lang w:val="en-GB"/>
        </w:rPr>
        <w:t xml:space="preserve">e </w:t>
      </w:r>
      <w:r w:rsidR="003D28C1" w:rsidRPr="005F295B">
        <w:rPr>
          <w:rFonts w:ascii="Arial" w:hAnsi="Arial" w:cs="Arial"/>
          <w:color w:val="000000" w:themeColor="text1"/>
          <w:sz w:val="20"/>
          <w:szCs w:val="20"/>
          <w:lang w:val="en-GB"/>
        </w:rPr>
        <w:t>it has 2 percent contribution to quarterly growth (Table 1).</w:t>
      </w:r>
    </w:p>
    <w:p w:rsidR="00C32691" w:rsidRPr="005F295B" w:rsidRDefault="003E3908" w:rsidP="009D28F7">
      <w:pPr>
        <w:pStyle w:val="NormalWeb"/>
        <w:spacing w:before="0" w:beforeAutospacing="0" w:after="0" w:afterAutospacing="0" w:line="300" w:lineRule="atLeast"/>
        <w:jc w:val="center"/>
        <w:rPr>
          <w:rFonts w:ascii="Arial" w:hAnsi="Arial" w:cs="Arial"/>
          <w:b/>
          <w:color w:val="000000" w:themeColor="text1"/>
          <w:sz w:val="20"/>
          <w:szCs w:val="20"/>
          <w:lang w:val="en-GB"/>
        </w:rPr>
      </w:pPr>
      <w:r w:rsidRPr="005F295B">
        <w:rPr>
          <w:rFonts w:ascii="Arial" w:hAnsi="Arial" w:cs="Arial"/>
          <w:b/>
          <w:color w:val="000000" w:themeColor="text1"/>
          <w:sz w:val="20"/>
          <w:szCs w:val="20"/>
          <w:lang w:val="en-GB"/>
        </w:rPr>
        <w:t>Unbalanced Growth</w:t>
      </w:r>
    </w:p>
    <w:p w:rsidR="009D28F7" w:rsidRPr="005F295B" w:rsidRDefault="009D28F7" w:rsidP="00B207BA">
      <w:pPr>
        <w:pStyle w:val="NormalWeb"/>
        <w:spacing w:before="0" w:beforeAutospacing="0" w:after="0" w:afterAutospacing="0" w:line="300" w:lineRule="atLeast"/>
        <w:jc w:val="both"/>
        <w:rPr>
          <w:rFonts w:ascii="Arial" w:hAnsi="Arial" w:cs="Arial"/>
          <w:color w:val="000000" w:themeColor="text1"/>
          <w:sz w:val="20"/>
          <w:szCs w:val="20"/>
          <w:lang w:val="en-GB"/>
        </w:rPr>
      </w:pPr>
    </w:p>
    <w:p w:rsidR="005F295B" w:rsidRPr="005F295B" w:rsidRDefault="005F295B" w:rsidP="005F295B">
      <w:pPr>
        <w:spacing w:line="360" w:lineRule="auto"/>
        <w:jc w:val="both"/>
        <w:rPr>
          <w:rFonts w:ascii="Arial" w:hAnsi="Arial" w:cs="Arial"/>
          <w:color w:val="000000" w:themeColor="text1"/>
          <w:sz w:val="20"/>
          <w:szCs w:val="20"/>
          <w:lang w:val="en-GB"/>
        </w:rPr>
      </w:pPr>
      <w:r w:rsidRPr="005F295B">
        <w:rPr>
          <w:rFonts w:ascii="Arial" w:hAnsi="Arial" w:cs="Arial"/>
          <w:color w:val="000000" w:themeColor="text1"/>
          <w:sz w:val="20"/>
          <w:szCs w:val="20"/>
          <w:lang w:val="en-GB"/>
        </w:rPr>
        <w:t xml:space="preserve">The negative contribution of next exports to growth (decline in exports while limited increase in exports) can be perceived as the cost of relatively high 2015 GDP growth rate based upon domestic demand. </w:t>
      </w:r>
    </w:p>
    <w:p w:rsidR="009C4C69" w:rsidRPr="005F295B" w:rsidRDefault="00AC45CF" w:rsidP="005539D1">
      <w:pPr>
        <w:spacing w:line="360" w:lineRule="auto"/>
        <w:jc w:val="both"/>
        <w:rPr>
          <w:rFonts w:ascii="Arial" w:hAnsi="Arial" w:cs="Arial"/>
          <w:color w:val="000000" w:themeColor="text1"/>
          <w:sz w:val="20"/>
          <w:szCs w:val="20"/>
          <w:lang w:val="en-GB"/>
        </w:rPr>
      </w:pPr>
      <w:r>
        <w:rPr>
          <w:rFonts w:ascii="Arial" w:hAnsi="Arial" w:cs="Arial"/>
          <w:color w:val="000000" w:themeColor="text1"/>
          <w:sz w:val="20"/>
          <w:szCs w:val="20"/>
          <w:lang w:val="en-GB"/>
        </w:rPr>
        <w:t>As a result of 0.</w:t>
      </w:r>
      <w:r w:rsidR="003D28C1" w:rsidRPr="005F295B">
        <w:rPr>
          <w:rFonts w:ascii="Arial" w:hAnsi="Arial" w:cs="Arial"/>
          <w:color w:val="000000" w:themeColor="text1"/>
          <w:sz w:val="20"/>
          <w:szCs w:val="20"/>
          <w:lang w:val="en-GB"/>
        </w:rPr>
        <w:t>8 percent decline in export</w:t>
      </w:r>
      <w:r w:rsidR="00E45302" w:rsidRPr="005F295B">
        <w:rPr>
          <w:rFonts w:ascii="Arial" w:hAnsi="Arial" w:cs="Arial"/>
          <w:color w:val="000000" w:themeColor="text1"/>
          <w:sz w:val="20"/>
          <w:szCs w:val="20"/>
          <w:lang w:val="en-GB"/>
        </w:rPr>
        <w:t>s</w:t>
      </w:r>
      <w:r w:rsidR="003D28C1" w:rsidRPr="005F295B">
        <w:rPr>
          <w:rFonts w:ascii="Arial" w:hAnsi="Arial" w:cs="Arial"/>
          <w:color w:val="000000" w:themeColor="text1"/>
          <w:sz w:val="20"/>
          <w:szCs w:val="20"/>
          <w:lang w:val="en-GB"/>
        </w:rPr>
        <w:t xml:space="preserve"> and 0</w:t>
      </w:r>
      <w:r>
        <w:rPr>
          <w:rFonts w:ascii="Arial" w:hAnsi="Arial" w:cs="Arial"/>
          <w:color w:val="000000" w:themeColor="text1"/>
          <w:sz w:val="20"/>
          <w:szCs w:val="20"/>
          <w:lang w:val="en-GB"/>
        </w:rPr>
        <w:t>.</w:t>
      </w:r>
      <w:r w:rsidR="003D28C1" w:rsidRPr="005F295B">
        <w:rPr>
          <w:rFonts w:ascii="Arial" w:hAnsi="Arial" w:cs="Arial"/>
          <w:color w:val="000000" w:themeColor="text1"/>
          <w:sz w:val="20"/>
          <w:szCs w:val="20"/>
          <w:lang w:val="en-GB"/>
        </w:rPr>
        <w:t>3 percent increase in</w:t>
      </w:r>
      <w:r w:rsidR="00D771ED" w:rsidRPr="005F295B">
        <w:rPr>
          <w:rFonts w:ascii="Arial" w:hAnsi="Arial" w:cs="Arial"/>
          <w:color w:val="000000" w:themeColor="text1"/>
          <w:sz w:val="20"/>
          <w:szCs w:val="20"/>
          <w:lang w:val="en-GB"/>
        </w:rPr>
        <w:t xml:space="preserve"> import</w:t>
      </w:r>
      <w:r w:rsidR="00E45302" w:rsidRPr="005F295B">
        <w:rPr>
          <w:rFonts w:ascii="Arial" w:hAnsi="Arial" w:cs="Arial"/>
          <w:color w:val="000000" w:themeColor="text1"/>
          <w:sz w:val="20"/>
          <w:szCs w:val="20"/>
          <w:lang w:val="en-GB"/>
        </w:rPr>
        <w:t>s</w:t>
      </w:r>
      <w:r w:rsidR="00D771ED" w:rsidRPr="005F295B">
        <w:rPr>
          <w:rFonts w:ascii="Arial" w:hAnsi="Arial" w:cs="Arial"/>
          <w:color w:val="000000" w:themeColor="text1"/>
          <w:sz w:val="20"/>
          <w:szCs w:val="20"/>
          <w:lang w:val="en-GB"/>
        </w:rPr>
        <w:t>, net export</w:t>
      </w:r>
      <w:r w:rsidR="00235267">
        <w:rPr>
          <w:rFonts w:ascii="Arial" w:hAnsi="Arial" w:cs="Arial"/>
          <w:color w:val="000000" w:themeColor="text1"/>
          <w:sz w:val="20"/>
          <w:szCs w:val="20"/>
          <w:lang w:val="en-GB"/>
        </w:rPr>
        <w:t>s</w:t>
      </w:r>
      <w:r w:rsidR="00D771ED" w:rsidRPr="005F295B">
        <w:rPr>
          <w:rFonts w:ascii="Arial" w:hAnsi="Arial" w:cs="Arial"/>
          <w:color w:val="000000" w:themeColor="text1"/>
          <w:sz w:val="20"/>
          <w:szCs w:val="20"/>
          <w:lang w:val="en-GB"/>
        </w:rPr>
        <w:t xml:space="preserve"> contribute</w:t>
      </w:r>
      <w:r w:rsidR="003D28C1" w:rsidRPr="005F295B">
        <w:rPr>
          <w:rFonts w:ascii="Arial" w:hAnsi="Arial" w:cs="Arial"/>
          <w:color w:val="000000" w:themeColor="text1"/>
          <w:sz w:val="20"/>
          <w:szCs w:val="20"/>
          <w:lang w:val="en-GB"/>
        </w:rPr>
        <w:t xml:space="preserve"> negatively </w:t>
      </w:r>
      <w:r>
        <w:rPr>
          <w:rFonts w:ascii="Arial" w:hAnsi="Arial" w:cs="Arial"/>
          <w:color w:val="000000" w:themeColor="text1"/>
          <w:sz w:val="20"/>
          <w:szCs w:val="20"/>
          <w:lang w:val="en-GB"/>
        </w:rPr>
        <w:t>to annual growth (0.</w:t>
      </w:r>
      <w:r w:rsidR="00D771ED" w:rsidRPr="005F295B">
        <w:rPr>
          <w:rFonts w:ascii="Arial" w:hAnsi="Arial" w:cs="Arial"/>
          <w:color w:val="000000" w:themeColor="text1"/>
          <w:sz w:val="20"/>
          <w:szCs w:val="20"/>
          <w:lang w:val="en-GB"/>
        </w:rPr>
        <w:t>3 percentage point).</w:t>
      </w:r>
      <w:r w:rsidR="003D28C1" w:rsidRPr="005F295B">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 xml:space="preserve">It should be noted that </w:t>
      </w:r>
      <w:r w:rsidR="00235267">
        <w:rPr>
          <w:rFonts w:ascii="Arial" w:hAnsi="Arial" w:cs="Arial"/>
          <w:color w:val="000000" w:themeColor="text1"/>
          <w:sz w:val="20"/>
          <w:szCs w:val="20"/>
          <w:lang w:val="en-GB"/>
        </w:rPr>
        <w:t>reduction</w:t>
      </w:r>
      <w:r w:rsidR="00D771ED" w:rsidRPr="005F295B">
        <w:rPr>
          <w:rFonts w:ascii="Arial" w:hAnsi="Arial" w:cs="Arial"/>
          <w:color w:val="000000" w:themeColor="text1"/>
          <w:sz w:val="20"/>
          <w:szCs w:val="20"/>
          <w:lang w:val="en-GB"/>
        </w:rPr>
        <w:t xml:space="preserve"> in export</w:t>
      </w:r>
      <w:r w:rsidR="00235267">
        <w:rPr>
          <w:rFonts w:ascii="Arial" w:hAnsi="Arial" w:cs="Arial"/>
          <w:color w:val="000000" w:themeColor="text1"/>
          <w:sz w:val="20"/>
          <w:szCs w:val="20"/>
          <w:lang w:val="en-GB"/>
        </w:rPr>
        <w:t>s</w:t>
      </w:r>
      <w:r w:rsidR="00D771ED" w:rsidRPr="005F295B">
        <w:rPr>
          <w:rFonts w:ascii="Arial" w:hAnsi="Arial" w:cs="Arial"/>
          <w:color w:val="000000" w:themeColor="text1"/>
          <w:sz w:val="20"/>
          <w:szCs w:val="20"/>
          <w:lang w:val="en-GB"/>
        </w:rPr>
        <w:t xml:space="preserve"> originated from weakening </w:t>
      </w:r>
      <w:r w:rsidR="00235267">
        <w:rPr>
          <w:rFonts w:ascii="Arial" w:hAnsi="Arial" w:cs="Arial"/>
          <w:color w:val="000000" w:themeColor="text1"/>
          <w:sz w:val="20"/>
          <w:szCs w:val="20"/>
          <w:lang w:val="en-GB"/>
        </w:rPr>
        <w:t xml:space="preserve">of </w:t>
      </w:r>
      <w:r w:rsidR="00D771ED" w:rsidRPr="005F295B">
        <w:rPr>
          <w:rFonts w:ascii="Arial" w:hAnsi="Arial" w:cs="Arial"/>
          <w:color w:val="000000" w:themeColor="text1"/>
          <w:sz w:val="20"/>
          <w:szCs w:val="20"/>
          <w:lang w:val="en-GB"/>
        </w:rPr>
        <w:t>foreign demand.</w:t>
      </w:r>
      <w:r w:rsidR="00E45302" w:rsidRPr="005F295B">
        <w:rPr>
          <w:rFonts w:ascii="Arial" w:hAnsi="Arial" w:cs="Arial"/>
          <w:color w:val="000000" w:themeColor="text1"/>
          <w:sz w:val="20"/>
          <w:szCs w:val="20"/>
          <w:lang w:val="en-GB"/>
        </w:rPr>
        <w:t xml:space="preserve"> </w:t>
      </w:r>
      <w:r w:rsidR="002C6D4E" w:rsidRPr="005F295B">
        <w:rPr>
          <w:rFonts w:ascii="Arial" w:hAnsi="Arial" w:cs="Arial"/>
          <w:color w:val="000000" w:themeColor="text1"/>
          <w:sz w:val="20"/>
          <w:szCs w:val="20"/>
          <w:lang w:val="en-GB"/>
        </w:rPr>
        <w:t>Exports to Iraq, second biggest export market of Turkey, decreased by half</w:t>
      </w:r>
      <w:r w:rsidR="00235267">
        <w:rPr>
          <w:rFonts w:ascii="Arial" w:hAnsi="Arial" w:cs="Arial"/>
          <w:color w:val="000000" w:themeColor="text1"/>
          <w:sz w:val="20"/>
          <w:szCs w:val="20"/>
          <w:lang w:val="en-GB"/>
        </w:rPr>
        <w:t>. E</w:t>
      </w:r>
      <w:r w:rsidR="002C6D4E" w:rsidRPr="005F295B">
        <w:rPr>
          <w:rFonts w:ascii="Arial" w:hAnsi="Arial" w:cs="Arial"/>
          <w:color w:val="000000" w:themeColor="text1"/>
          <w:sz w:val="20"/>
          <w:szCs w:val="20"/>
          <w:lang w:val="en-GB"/>
        </w:rPr>
        <w:t xml:space="preserve">xports to Russia </w:t>
      </w:r>
      <w:r w:rsidR="00913AF3">
        <w:rPr>
          <w:rFonts w:ascii="Arial" w:hAnsi="Arial" w:cs="Arial"/>
          <w:color w:val="000000" w:themeColor="text1"/>
          <w:sz w:val="20"/>
          <w:szCs w:val="20"/>
          <w:lang w:val="en-GB"/>
        </w:rPr>
        <w:t>declined</w:t>
      </w:r>
      <w:r w:rsidR="002C6D4E" w:rsidRPr="005F295B">
        <w:rPr>
          <w:rFonts w:ascii="Arial" w:hAnsi="Arial" w:cs="Arial"/>
          <w:color w:val="000000" w:themeColor="text1"/>
          <w:sz w:val="20"/>
          <w:szCs w:val="20"/>
          <w:lang w:val="en-GB"/>
        </w:rPr>
        <w:t xml:space="preserve"> </w:t>
      </w:r>
      <w:r w:rsidR="00913AF3">
        <w:rPr>
          <w:rFonts w:ascii="Arial" w:hAnsi="Arial" w:cs="Arial"/>
          <w:color w:val="000000" w:themeColor="text1"/>
          <w:sz w:val="20"/>
          <w:szCs w:val="20"/>
          <w:lang w:val="en-GB"/>
        </w:rPr>
        <w:t>because of</w:t>
      </w:r>
      <w:r w:rsidR="005F295B">
        <w:rPr>
          <w:rFonts w:ascii="Arial" w:hAnsi="Arial" w:cs="Arial"/>
          <w:color w:val="000000" w:themeColor="text1"/>
          <w:sz w:val="20"/>
          <w:szCs w:val="20"/>
          <w:lang w:val="en-GB"/>
        </w:rPr>
        <w:t xml:space="preserve"> current economic crisis </w:t>
      </w:r>
      <w:r w:rsidR="002C6D4E" w:rsidRPr="005F295B">
        <w:rPr>
          <w:rFonts w:ascii="Arial" w:hAnsi="Arial" w:cs="Arial"/>
          <w:color w:val="000000" w:themeColor="text1"/>
          <w:sz w:val="20"/>
          <w:szCs w:val="20"/>
          <w:lang w:val="en-GB"/>
        </w:rPr>
        <w:t>and political conflict between two countries.</w:t>
      </w:r>
      <w:r w:rsidR="00675593" w:rsidRPr="005F295B">
        <w:rPr>
          <w:rFonts w:ascii="Arial" w:hAnsi="Arial" w:cs="Arial"/>
          <w:color w:val="000000" w:themeColor="text1"/>
          <w:sz w:val="20"/>
          <w:szCs w:val="20"/>
          <w:lang w:val="en-GB"/>
        </w:rPr>
        <w:t xml:space="preserve"> </w:t>
      </w:r>
      <w:r w:rsidR="002C6D4E" w:rsidRPr="005F295B">
        <w:rPr>
          <w:rFonts w:ascii="Arial" w:hAnsi="Arial" w:cs="Arial"/>
          <w:color w:val="000000" w:themeColor="text1"/>
          <w:sz w:val="20"/>
          <w:szCs w:val="20"/>
          <w:lang w:val="en-GB"/>
        </w:rPr>
        <w:t xml:space="preserve">On the other hand, limited recovery in European markets </w:t>
      </w:r>
      <w:r w:rsidR="00913AF3">
        <w:rPr>
          <w:rFonts w:ascii="Arial" w:hAnsi="Arial" w:cs="Arial"/>
          <w:color w:val="000000" w:themeColor="text1"/>
          <w:sz w:val="20"/>
          <w:szCs w:val="20"/>
          <w:lang w:val="en-GB"/>
        </w:rPr>
        <w:t>were n</w:t>
      </w:r>
      <w:r w:rsidR="002C6D4E" w:rsidRPr="005F295B">
        <w:rPr>
          <w:rFonts w:ascii="Arial" w:hAnsi="Arial" w:cs="Arial"/>
          <w:color w:val="000000" w:themeColor="text1"/>
          <w:sz w:val="20"/>
          <w:szCs w:val="20"/>
          <w:lang w:val="en-GB"/>
        </w:rPr>
        <w:t xml:space="preserve">ot be sufficient for compensating export loss in Iraq and Russia markets. </w:t>
      </w:r>
    </w:p>
    <w:p w:rsidR="00B207BA" w:rsidRPr="005F295B" w:rsidRDefault="002C6D4E" w:rsidP="00B207BA">
      <w:pPr>
        <w:pStyle w:val="NormalWeb"/>
        <w:spacing w:before="0" w:beforeAutospacing="0" w:after="0" w:afterAutospacing="0" w:line="300" w:lineRule="atLeast"/>
        <w:jc w:val="both"/>
        <w:rPr>
          <w:rFonts w:ascii="Arial" w:hAnsi="Arial" w:cs="Arial"/>
          <w:color w:val="000000" w:themeColor="text1"/>
          <w:sz w:val="20"/>
          <w:szCs w:val="20"/>
          <w:highlight w:val="yellow"/>
          <w:lang w:val="en-GB"/>
        </w:rPr>
      </w:pPr>
      <w:r w:rsidRPr="005F295B">
        <w:rPr>
          <w:rFonts w:ascii="Arial" w:hAnsi="Arial" w:cs="Arial"/>
          <w:color w:val="000000" w:themeColor="text1"/>
          <w:sz w:val="20"/>
          <w:szCs w:val="20"/>
          <w:lang w:val="en-GB"/>
        </w:rPr>
        <w:t>We would like to point out that</w:t>
      </w:r>
      <w:r w:rsidR="009C4C69" w:rsidRPr="005F295B">
        <w:rPr>
          <w:rFonts w:ascii="Arial" w:hAnsi="Arial" w:cs="Arial"/>
          <w:color w:val="000000" w:themeColor="text1"/>
          <w:sz w:val="20"/>
          <w:szCs w:val="20"/>
          <w:lang w:val="en-GB"/>
        </w:rPr>
        <w:t xml:space="preserve"> negative progress of ne</w:t>
      </w:r>
      <w:r w:rsidRPr="005F295B">
        <w:rPr>
          <w:rFonts w:ascii="Arial" w:hAnsi="Arial" w:cs="Arial"/>
          <w:color w:val="000000" w:themeColor="text1"/>
          <w:sz w:val="20"/>
          <w:szCs w:val="20"/>
          <w:lang w:val="en-GB"/>
        </w:rPr>
        <w:t>t exports throughout</w:t>
      </w:r>
      <w:r w:rsidR="009C4C69" w:rsidRPr="005F295B">
        <w:rPr>
          <w:rFonts w:ascii="Arial" w:hAnsi="Arial" w:cs="Arial"/>
          <w:color w:val="000000" w:themeColor="text1"/>
          <w:sz w:val="20"/>
          <w:szCs w:val="20"/>
          <w:lang w:val="en-GB"/>
        </w:rPr>
        <w:t xml:space="preserve"> 2015 even worsened during the last quarter.</w:t>
      </w:r>
      <w:r w:rsidR="00EE0D52" w:rsidRPr="005F295B">
        <w:rPr>
          <w:rFonts w:ascii="Arial" w:hAnsi="Arial" w:cs="Arial"/>
          <w:color w:val="000000" w:themeColor="text1"/>
          <w:sz w:val="20"/>
          <w:szCs w:val="20"/>
          <w:lang w:val="en-GB"/>
        </w:rPr>
        <w:t xml:space="preserve"> </w:t>
      </w:r>
      <w:r w:rsidR="009C4C69" w:rsidRPr="005F295B">
        <w:rPr>
          <w:rFonts w:ascii="Arial" w:hAnsi="Arial" w:cs="Arial"/>
          <w:color w:val="000000" w:themeColor="text1"/>
          <w:sz w:val="20"/>
          <w:szCs w:val="20"/>
          <w:lang w:val="en-GB"/>
        </w:rPr>
        <w:t>It shoul</w:t>
      </w:r>
      <w:r w:rsidR="00C47F6A" w:rsidRPr="005F295B">
        <w:rPr>
          <w:rFonts w:ascii="Arial" w:hAnsi="Arial" w:cs="Arial"/>
          <w:color w:val="000000" w:themeColor="text1"/>
          <w:sz w:val="20"/>
          <w:szCs w:val="20"/>
          <w:lang w:val="en-GB"/>
        </w:rPr>
        <w:t>d be noted that exports declined</w:t>
      </w:r>
      <w:r w:rsidR="00AC45CF">
        <w:rPr>
          <w:rFonts w:ascii="Arial" w:hAnsi="Arial" w:cs="Arial"/>
          <w:color w:val="000000" w:themeColor="text1"/>
          <w:sz w:val="20"/>
          <w:szCs w:val="20"/>
          <w:lang w:val="en-GB"/>
        </w:rPr>
        <w:t xml:space="preserve"> by 1.</w:t>
      </w:r>
      <w:r w:rsidR="009C4C69" w:rsidRPr="005F295B">
        <w:rPr>
          <w:rFonts w:ascii="Arial" w:hAnsi="Arial" w:cs="Arial"/>
          <w:color w:val="000000" w:themeColor="text1"/>
          <w:sz w:val="20"/>
          <w:szCs w:val="20"/>
          <w:lang w:val="en-GB"/>
        </w:rPr>
        <w:t>2 per</w:t>
      </w:r>
      <w:r w:rsidR="00AC45CF">
        <w:rPr>
          <w:rFonts w:ascii="Arial" w:hAnsi="Arial" w:cs="Arial"/>
          <w:color w:val="000000" w:themeColor="text1"/>
          <w:sz w:val="20"/>
          <w:szCs w:val="20"/>
          <w:lang w:val="en-GB"/>
        </w:rPr>
        <w:t>cent and imports increased by 6.</w:t>
      </w:r>
      <w:r w:rsidR="009C4C69" w:rsidRPr="005F295B">
        <w:rPr>
          <w:rFonts w:ascii="Arial" w:hAnsi="Arial" w:cs="Arial"/>
          <w:color w:val="000000" w:themeColor="text1"/>
          <w:sz w:val="20"/>
          <w:szCs w:val="20"/>
          <w:lang w:val="en-GB"/>
        </w:rPr>
        <w:t xml:space="preserve">5 percent on quarterly basis </w:t>
      </w:r>
      <w:r w:rsidR="00F067D8" w:rsidRPr="005F295B">
        <w:rPr>
          <w:rFonts w:ascii="Arial" w:hAnsi="Arial" w:cs="Arial"/>
          <w:color w:val="000000" w:themeColor="text1"/>
          <w:sz w:val="20"/>
          <w:szCs w:val="20"/>
          <w:lang w:val="en-GB"/>
        </w:rPr>
        <w:t xml:space="preserve">(from 3rd to 4th quarter). </w:t>
      </w:r>
      <w:r w:rsidR="00EE0D52" w:rsidRPr="005F295B">
        <w:rPr>
          <w:rFonts w:ascii="Arial" w:hAnsi="Arial" w:cs="Arial"/>
          <w:color w:val="000000" w:themeColor="text1"/>
          <w:sz w:val="20"/>
          <w:szCs w:val="20"/>
          <w:lang w:val="en-GB"/>
        </w:rPr>
        <w:t xml:space="preserve"> </w:t>
      </w:r>
      <w:r w:rsidR="009515D2" w:rsidRPr="005F295B">
        <w:rPr>
          <w:rFonts w:ascii="Arial" w:hAnsi="Arial" w:cs="Arial"/>
          <w:color w:val="000000" w:themeColor="text1"/>
          <w:sz w:val="20"/>
          <w:szCs w:val="20"/>
          <w:lang w:val="en-GB"/>
        </w:rPr>
        <w:t xml:space="preserve">Finally, net </w:t>
      </w:r>
      <w:r w:rsidR="005F295B" w:rsidRPr="005F295B">
        <w:rPr>
          <w:rFonts w:ascii="Arial" w:hAnsi="Arial" w:cs="Arial"/>
          <w:color w:val="000000" w:themeColor="text1"/>
          <w:sz w:val="20"/>
          <w:szCs w:val="20"/>
          <w:lang w:val="en-GB"/>
        </w:rPr>
        <w:t>export wipes</w:t>
      </w:r>
      <w:r w:rsidR="005F295B">
        <w:rPr>
          <w:rFonts w:ascii="Arial" w:hAnsi="Arial" w:cs="Arial"/>
          <w:color w:val="000000" w:themeColor="text1"/>
          <w:sz w:val="20"/>
          <w:szCs w:val="20"/>
          <w:lang w:val="en-GB"/>
        </w:rPr>
        <w:t xml:space="preserve"> out</w:t>
      </w:r>
      <w:r w:rsidR="009515D2" w:rsidRPr="005F295B">
        <w:rPr>
          <w:rFonts w:ascii="Arial" w:hAnsi="Arial" w:cs="Arial"/>
          <w:color w:val="000000" w:themeColor="text1"/>
          <w:sz w:val="20"/>
          <w:szCs w:val="20"/>
          <w:lang w:val="en-GB"/>
        </w:rPr>
        <w:t xml:space="preserve"> the contribution of inventory investments</w:t>
      </w:r>
      <w:r w:rsidR="00C47F6A" w:rsidRPr="005F295B">
        <w:rPr>
          <w:rFonts w:ascii="Arial" w:hAnsi="Arial" w:cs="Arial"/>
          <w:color w:val="000000" w:themeColor="text1"/>
          <w:sz w:val="20"/>
          <w:szCs w:val="20"/>
          <w:lang w:val="en-GB"/>
        </w:rPr>
        <w:t xml:space="preserve"> via bringing growth rate down by 2 percentage points (Table 1).</w:t>
      </w:r>
      <w:r w:rsidR="00C47F6A" w:rsidRPr="005F295B">
        <w:rPr>
          <w:rFonts w:ascii="Arial" w:hAnsi="Arial" w:cs="Arial"/>
          <w:color w:val="000000" w:themeColor="text1"/>
          <w:sz w:val="20"/>
          <w:szCs w:val="20"/>
          <w:highlight w:val="yellow"/>
          <w:lang w:val="en-GB"/>
        </w:rPr>
        <w:t xml:space="preserve"> </w:t>
      </w:r>
    </w:p>
    <w:p w:rsidR="00B207BA" w:rsidRPr="005F295B" w:rsidRDefault="00B207BA" w:rsidP="00B207BA">
      <w:pPr>
        <w:pStyle w:val="NormalWeb"/>
        <w:spacing w:before="0" w:beforeAutospacing="0" w:after="0" w:afterAutospacing="0" w:line="300" w:lineRule="atLeast"/>
        <w:jc w:val="both"/>
        <w:rPr>
          <w:rFonts w:ascii="Arial" w:hAnsi="Arial" w:cs="Arial"/>
          <w:color w:val="000000" w:themeColor="text1"/>
          <w:sz w:val="20"/>
          <w:szCs w:val="20"/>
          <w:highlight w:val="yellow"/>
          <w:lang w:val="en-GB"/>
        </w:rPr>
      </w:pPr>
    </w:p>
    <w:p w:rsidR="0055334A" w:rsidRPr="005F295B" w:rsidRDefault="003E3908" w:rsidP="00337278">
      <w:pPr>
        <w:pStyle w:val="NormalWeb"/>
        <w:spacing w:before="0" w:beforeAutospacing="0" w:after="0" w:afterAutospacing="0" w:line="300" w:lineRule="atLeast"/>
        <w:jc w:val="center"/>
        <w:rPr>
          <w:rFonts w:ascii="Arial" w:hAnsi="Arial" w:cs="Arial"/>
          <w:color w:val="000000" w:themeColor="text1"/>
          <w:sz w:val="20"/>
          <w:szCs w:val="20"/>
          <w:lang w:val="en-GB"/>
        </w:rPr>
      </w:pPr>
      <w:r w:rsidRPr="005F295B">
        <w:rPr>
          <w:rFonts w:ascii="Arial" w:hAnsi="Arial" w:cs="Arial"/>
          <w:b/>
          <w:color w:val="000000" w:themeColor="text1"/>
          <w:sz w:val="20"/>
          <w:szCs w:val="20"/>
          <w:lang w:val="en-GB"/>
        </w:rPr>
        <w:t>Essential Tendencies in Economic Growth</w:t>
      </w:r>
    </w:p>
    <w:p w:rsidR="00DA6EB1" w:rsidRPr="005F295B" w:rsidRDefault="00DA6EB1" w:rsidP="00B207BA">
      <w:pPr>
        <w:pStyle w:val="NormalWeb"/>
        <w:spacing w:before="0" w:beforeAutospacing="0" w:after="0" w:afterAutospacing="0" w:line="300" w:lineRule="atLeast"/>
        <w:jc w:val="both"/>
        <w:rPr>
          <w:rFonts w:ascii="Arial" w:hAnsi="Arial" w:cs="Arial"/>
          <w:color w:val="000000" w:themeColor="text1"/>
          <w:sz w:val="20"/>
          <w:szCs w:val="20"/>
          <w:highlight w:val="yellow"/>
          <w:lang w:val="en-GB"/>
        </w:rPr>
      </w:pPr>
    </w:p>
    <w:p w:rsidR="006626C3" w:rsidRPr="005F295B" w:rsidRDefault="00B1291C" w:rsidP="004161CB">
      <w:pPr>
        <w:spacing w:line="360" w:lineRule="auto"/>
        <w:jc w:val="both"/>
        <w:rPr>
          <w:rFonts w:ascii="Arial" w:hAnsi="Arial" w:cs="Arial"/>
          <w:color w:val="000000" w:themeColor="text1"/>
          <w:sz w:val="20"/>
          <w:szCs w:val="20"/>
          <w:lang w:val="en-GB"/>
        </w:rPr>
      </w:pPr>
      <w:r w:rsidRPr="005F295B">
        <w:rPr>
          <w:rFonts w:ascii="Arial" w:hAnsi="Arial" w:cs="Arial"/>
          <w:color w:val="000000" w:themeColor="text1"/>
          <w:sz w:val="20"/>
          <w:szCs w:val="20"/>
          <w:lang w:val="en-GB"/>
        </w:rPr>
        <w:t xml:space="preserve">Even though we observe high growth performance throughout 2015, its quality should be examined. </w:t>
      </w:r>
      <w:r w:rsidR="00020B6A" w:rsidRPr="005F295B">
        <w:rPr>
          <w:rFonts w:ascii="Arial" w:hAnsi="Arial" w:cs="Arial"/>
          <w:color w:val="000000" w:themeColor="text1"/>
          <w:sz w:val="20"/>
          <w:szCs w:val="20"/>
          <w:lang w:val="en-GB"/>
        </w:rPr>
        <w:t xml:space="preserve">4 percent growth rate is mainly driven by private consumption and </w:t>
      </w:r>
      <w:r w:rsidR="00442492" w:rsidRPr="005F295B">
        <w:rPr>
          <w:rFonts w:ascii="Arial" w:hAnsi="Arial" w:cs="Arial"/>
          <w:color w:val="000000" w:themeColor="text1"/>
          <w:sz w:val="20"/>
          <w:szCs w:val="20"/>
          <w:lang w:val="en-GB"/>
        </w:rPr>
        <w:t>govern</w:t>
      </w:r>
      <w:r w:rsidR="00020B6A" w:rsidRPr="005F295B">
        <w:rPr>
          <w:rFonts w:ascii="Arial" w:hAnsi="Arial" w:cs="Arial"/>
          <w:color w:val="000000" w:themeColor="text1"/>
          <w:sz w:val="20"/>
          <w:szCs w:val="20"/>
          <w:lang w:val="en-GB"/>
        </w:rPr>
        <w:t>m</w:t>
      </w:r>
      <w:r w:rsidR="00442492" w:rsidRPr="005F295B">
        <w:rPr>
          <w:rFonts w:ascii="Arial" w:hAnsi="Arial" w:cs="Arial"/>
          <w:color w:val="000000" w:themeColor="text1"/>
          <w:sz w:val="20"/>
          <w:szCs w:val="20"/>
          <w:lang w:val="en-GB"/>
        </w:rPr>
        <w:t>e</w:t>
      </w:r>
      <w:r w:rsidR="00DF781F">
        <w:rPr>
          <w:rFonts w:ascii="Arial" w:hAnsi="Arial" w:cs="Arial"/>
          <w:color w:val="000000" w:themeColor="text1"/>
          <w:sz w:val="20"/>
          <w:szCs w:val="20"/>
          <w:lang w:val="en-GB"/>
        </w:rPr>
        <w:t>nt spending while</w:t>
      </w:r>
      <w:r w:rsidR="00020B6A" w:rsidRPr="005F295B">
        <w:rPr>
          <w:rFonts w:ascii="Arial" w:hAnsi="Arial" w:cs="Arial"/>
          <w:color w:val="000000" w:themeColor="text1"/>
          <w:sz w:val="20"/>
          <w:szCs w:val="20"/>
          <w:lang w:val="en-GB"/>
        </w:rPr>
        <w:t xml:space="preserve"> net export</w:t>
      </w:r>
      <w:r w:rsidR="00442492" w:rsidRPr="005F295B">
        <w:rPr>
          <w:rFonts w:ascii="Arial" w:hAnsi="Arial" w:cs="Arial"/>
          <w:color w:val="000000" w:themeColor="text1"/>
          <w:sz w:val="20"/>
          <w:szCs w:val="20"/>
          <w:lang w:val="en-GB"/>
        </w:rPr>
        <w:t>’s negative contribution</w:t>
      </w:r>
      <w:r w:rsidR="00020B6A" w:rsidRPr="005F295B">
        <w:rPr>
          <w:rFonts w:ascii="Arial" w:hAnsi="Arial" w:cs="Arial"/>
          <w:color w:val="000000" w:themeColor="text1"/>
          <w:sz w:val="20"/>
          <w:szCs w:val="20"/>
          <w:lang w:val="en-GB"/>
        </w:rPr>
        <w:t xml:space="preserve"> overshadows</w:t>
      </w:r>
      <w:r w:rsidR="00442492" w:rsidRPr="005F295B">
        <w:rPr>
          <w:rFonts w:ascii="Arial" w:hAnsi="Arial" w:cs="Arial"/>
          <w:color w:val="000000" w:themeColor="text1"/>
          <w:sz w:val="20"/>
          <w:szCs w:val="20"/>
          <w:lang w:val="en-GB"/>
        </w:rPr>
        <w:t xml:space="preserve"> the strategy of “balanced growth”. </w:t>
      </w:r>
      <w:r w:rsidR="00E30B42" w:rsidRPr="005F295B">
        <w:rPr>
          <w:rFonts w:ascii="Arial" w:hAnsi="Arial" w:cs="Arial"/>
          <w:color w:val="000000" w:themeColor="text1"/>
          <w:sz w:val="20"/>
          <w:szCs w:val="20"/>
          <w:lang w:val="en-GB"/>
        </w:rPr>
        <w:t xml:space="preserve"> </w:t>
      </w:r>
      <w:r w:rsidR="00442492" w:rsidRPr="005F295B">
        <w:rPr>
          <w:rFonts w:ascii="Arial" w:hAnsi="Arial" w:cs="Arial"/>
          <w:color w:val="000000" w:themeColor="text1"/>
          <w:sz w:val="20"/>
          <w:szCs w:val="20"/>
          <w:lang w:val="en-GB"/>
        </w:rPr>
        <w:t>Another noteworthy point is that growth in the last quarter relatively slowed down compared to first three quarters.</w:t>
      </w:r>
      <w:r w:rsidR="006626C3" w:rsidRPr="005F295B">
        <w:rPr>
          <w:rFonts w:ascii="Arial" w:hAnsi="Arial" w:cs="Arial"/>
          <w:color w:val="000000" w:themeColor="text1"/>
          <w:sz w:val="20"/>
          <w:szCs w:val="20"/>
          <w:lang w:val="en-GB"/>
        </w:rPr>
        <w:t xml:space="preserve"> </w:t>
      </w:r>
      <w:r w:rsidR="00DF781F">
        <w:rPr>
          <w:rFonts w:ascii="Arial" w:hAnsi="Arial" w:cs="Arial"/>
          <w:color w:val="000000" w:themeColor="text1"/>
          <w:sz w:val="20"/>
          <w:szCs w:val="20"/>
          <w:lang w:val="en-GB"/>
        </w:rPr>
        <w:t xml:space="preserve">As a </w:t>
      </w:r>
      <w:r w:rsidR="00DF781F">
        <w:rPr>
          <w:rFonts w:ascii="Arial" w:hAnsi="Arial" w:cs="Arial"/>
          <w:color w:val="000000" w:themeColor="text1"/>
          <w:sz w:val="20"/>
          <w:szCs w:val="20"/>
          <w:lang w:val="en-GB"/>
        </w:rPr>
        <w:lastRenderedPageBreak/>
        <w:t xml:space="preserve">result of </w:t>
      </w:r>
      <w:r w:rsidR="006626C3" w:rsidRPr="005F295B">
        <w:rPr>
          <w:rFonts w:ascii="Arial" w:hAnsi="Arial" w:cs="Arial"/>
          <w:color w:val="000000" w:themeColor="text1"/>
          <w:sz w:val="20"/>
          <w:szCs w:val="20"/>
          <w:lang w:val="en-GB"/>
        </w:rPr>
        <w:t xml:space="preserve">negative contribution of </w:t>
      </w:r>
      <w:r w:rsidR="005F295B">
        <w:rPr>
          <w:rFonts w:ascii="Arial" w:hAnsi="Arial" w:cs="Arial"/>
          <w:color w:val="000000" w:themeColor="text1"/>
          <w:sz w:val="20"/>
          <w:szCs w:val="20"/>
          <w:lang w:val="en-GB"/>
        </w:rPr>
        <w:t>net export</w:t>
      </w:r>
      <w:r w:rsidR="00DF781F">
        <w:rPr>
          <w:rFonts w:ascii="Arial" w:hAnsi="Arial" w:cs="Arial"/>
          <w:color w:val="000000" w:themeColor="text1"/>
          <w:sz w:val="20"/>
          <w:szCs w:val="20"/>
          <w:lang w:val="en-GB"/>
        </w:rPr>
        <w:t>s</w:t>
      </w:r>
      <w:r w:rsidR="005F295B">
        <w:rPr>
          <w:rFonts w:ascii="Arial" w:hAnsi="Arial" w:cs="Arial"/>
          <w:color w:val="000000" w:themeColor="text1"/>
          <w:sz w:val="20"/>
          <w:szCs w:val="20"/>
          <w:lang w:val="en-GB"/>
        </w:rPr>
        <w:t xml:space="preserve"> and significant slow</w:t>
      </w:r>
      <w:r w:rsidR="006626C3" w:rsidRPr="005F295B">
        <w:rPr>
          <w:rFonts w:ascii="Arial" w:hAnsi="Arial" w:cs="Arial"/>
          <w:color w:val="000000" w:themeColor="text1"/>
          <w:sz w:val="20"/>
          <w:szCs w:val="20"/>
          <w:lang w:val="en-GB"/>
        </w:rPr>
        <w:t xml:space="preserve">downs occurred in private consumption and government </w:t>
      </w:r>
      <w:r w:rsidR="005F295B" w:rsidRPr="005F295B">
        <w:rPr>
          <w:rFonts w:ascii="Arial" w:hAnsi="Arial" w:cs="Arial"/>
          <w:color w:val="000000" w:themeColor="text1"/>
          <w:sz w:val="20"/>
          <w:szCs w:val="20"/>
          <w:lang w:val="en-GB"/>
        </w:rPr>
        <w:t>spending</w:t>
      </w:r>
      <w:r w:rsidR="006626C3" w:rsidRPr="005F295B">
        <w:rPr>
          <w:rFonts w:ascii="Arial" w:hAnsi="Arial" w:cs="Arial"/>
          <w:color w:val="000000" w:themeColor="text1"/>
          <w:sz w:val="20"/>
          <w:szCs w:val="20"/>
          <w:lang w:val="en-GB"/>
        </w:rPr>
        <w:t>, we observe a deceleration in quarterly growth rate. Recovery in private investments can be mentioned as the only positive news in term 4th quarter results.</w:t>
      </w:r>
    </w:p>
    <w:p w:rsidR="00E30B42" w:rsidRPr="005F295B" w:rsidRDefault="006626C3" w:rsidP="004161CB">
      <w:pPr>
        <w:pStyle w:val="NormalWeb"/>
        <w:spacing w:before="0" w:beforeAutospacing="0" w:after="0" w:afterAutospacing="0" w:line="300" w:lineRule="atLeast"/>
        <w:jc w:val="both"/>
        <w:rPr>
          <w:rFonts w:ascii="Arial" w:hAnsi="Arial" w:cs="Arial"/>
          <w:color w:val="000000" w:themeColor="text1"/>
          <w:sz w:val="20"/>
          <w:szCs w:val="20"/>
          <w:lang w:val="en-GB"/>
        </w:rPr>
      </w:pPr>
      <w:r w:rsidRPr="005F295B">
        <w:rPr>
          <w:rFonts w:ascii="Arial" w:hAnsi="Arial" w:cs="Arial"/>
          <w:color w:val="000000" w:themeColor="text1"/>
          <w:sz w:val="20"/>
          <w:szCs w:val="20"/>
          <w:lang w:val="en-GB"/>
        </w:rPr>
        <w:t xml:space="preserve">We would like to remind that </w:t>
      </w:r>
      <w:proofErr w:type="spellStart"/>
      <w:r w:rsidRPr="005F295B">
        <w:rPr>
          <w:rFonts w:ascii="Arial" w:hAnsi="Arial" w:cs="Arial"/>
          <w:color w:val="000000" w:themeColor="text1"/>
          <w:sz w:val="20"/>
          <w:szCs w:val="20"/>
          <w:lang w:val="en-GB"/>
        </w:rPr>
        <w:t>Betam</w:t>
      </w:r>
      <w:proofErr w:type="spellEnd"/>
      <w:r w:rsidRPr="005F295B">
        <w:rPr>
          <w:rFonts w:ascii="Arial" w:hAnsi="Arial" w:cs="Arial"/>
          <w:color w:val="000000" w:themeColor="text1"/>
          <w:sz w:val="20"/>
          <w:szCs w:val="20"/>
          <w:lang w:val="en-GB"/>
        </w:rPr>
        <w:t xml:space="preserve"> have already mentioned about the slowdown observed in last quarter growth </w:t>
      </w:r>
      <w:r w:rsidR="004161CB" w:rsidRPr="005F295B">
        <w:rPr>
          <w:rFonts w:ascii="Arial" w:hAnsi="Arial" w:cs="Arial"/>
          <w:color w:val="000000" w:themeColor="text1"/>
          <w:sz w:val="20"/>
          <w:szCs w:val="20"/>
          <w:lang w:val="en-GB"/>
        </w:rPr>
        <w:t>in “2016 1st Quarter Economic Outlook” research brief. Also, we would like to underline that our growth forecast for first quarter 2016</w:t>
      </w:r>
      <w:r w:rsidRPr="005F295B">
        <w:rPr>
          <w:rFonts w:ascii="Arial" w:hAnsi="Arial" w:cs="Arial"/>
          <w:color w:val="000000" w:themeColor="text1"/>
          <w:sz w:val="20"/>
          <w:szCs w:val="20"/>
          <w:lang w:val="en-GB"/>
        </w:rPr>
        <w:t xml:space="preserve"> </w:t>
      </w:r>
      <w:r w:rsidR="00AC45CF">
        <w:rPr>
          <w:rFonts w:ascii="Arial" w:hAnsi="Arial" w:cs="Arial"/>
          <w:color w:val="000000" w:themeColor="text1"/>
          <w:sz w:val="20"/>
          <w:szCs w:val="20"/>
          <w:lang w:val="en-GB"/>
        </w:rPr>
        <w:t>is 0.</w:t>
      </w:r>
      <w:r w:rsidR="004161CB" w:rsidRPr="005F295B">
        <w:rPr>
          <w:rFonts w:ascii="Arial" w:hAnsi="Arial" w:cs="Arial"/>
          <w:color w:val="000000" w:themeColor="text1"/>
          <w:sz w:val="20"/>
          <w:szCs w:val="20"/>
          <w:lang w:val="en-GB"/>
        </w:rPr>
        <w:t>5 percent.</w:t>
      </w:r>
    </w:p>
    <w:p w:rsidR="00E30B42" w:rsidRPr="006626C3" w:rsidRDefault="00E30B42" w:rsidP="004161CB">
      <w:pPr>
        <w:pStyle w:val="NormalWeb"/>
        <w:spacing w:before="0" w:beforeAutospacing="0" w:after="0" w:afterAutospacing="0" w:line="300" w:lineRule="atLeast"/>
        <w:jc w:val="both"/>
        <w:rPr>
          <w:rFonts w:ascii="Arial" w:hAnsi="Arial" w:cs="Arial"/>
          <w:color w:val="FF0000"/>
          <w:sz w:val="20"/>
          <w:szCs w:val="20"/>
          <w:lang w:val="en-GB"/>
        </w:rPr>
      </w:pPr>
    </w:p>
    <w:p w:rsidR="00CD1FF9" w:rsidRPr="006626C3" w:rsidRDefault="00CD1FF9" w:rsidP="009575C3">
      <w:pPr>
        <w:pStyle w:val="NormalWeb"/>
        <w:spacing w:before="0" w:beforeAutospacing="0" w:after="0" w:afterAutospacing="0"/>
        <w:jc w:val="both"/>
        <w:rPr>
          <w:rFonts w:ascii="Arial" w:hAnsi="Arial" w:cs="Arial"/>
          <w:color w:val="FF0000"/>
          <w:sz w:val="20"/>
          <w:szCs w:val="20"/>
          <w:lang w:val="en-GB"/>
        </w:rPr>
      </w:pPr>
    </w:p>
    <w:p w:rsidR="00CD1FF9" w:rsidRPr="006626C3" w:rsidRDefault="00CD1FF9" w:rsidP="009575C3">
      <w:pPr>
        <w:pStyle w:val="NormalWeb"/>
        <w:spacing w:before="0" w:beforeAutospacing="0" w:after="0" w:afterAutospacing="0"/>
        <w:jc w:val="both"/>
        <w:rPr>
          <w:rFonts w:ascii="Arial" w:hAnsi="Arial" w:cs="Arial"/>
          <w:color w:val="FF0000"/>
          <w:sz w:val="20"/>
          <w:szCs w:val="20"/>
          <w:lang w:val="en-GB"/>
        </w:rPr>
      </w:pPr>
    </w:p>
    <w:p w:rsidR="00CD1FF9" w:rsidRPr="006626C3" w:rsidRDefault="00CD1FF9" w:rsidP="009575C3">
      <w:pPr>
        <w:pStyle w:val="NormalWeb"/>
        <w:spacing w:before="0" w:beforeAutospacing="0" w:after="0" w:afterAutospacing="0"/>
        <w:jc w:val="both"/>
        <w:rPr>
          <w:rFonts w:ascii="Arial" w:hAnsi="Arial" w:cs="Arial"/>
          <w:color w:val="FF0000"/>
          <w:sz w:val="20"/>
          <w:szCs w:val="20"/>
          <w:lang w:val="en-GB"/>
        </w:rPr>
      </w:pPr>
    </w:p>
    <w:p w:rsidR="00CD1FF9" w:rsidRPr="006626C3" w:rsidRDefault="00CD1FF9" w:rsidP="009575C3">
      <w:pPr>
        <w:pStyle w:val="NormalWeb"/>
        <w:spacing w:before="0" w:beforeAutospacing="0" w:after="0" w:afterAutospacing="0"/>
        <w:jc w:val="both"/>
        <w:rPr>
          <w:rFonts w:ascii="Arial" w:hAnsi="Arial" w:cs="Arial"/>
          <w:color w:val="FF0000"/>
          <w:sz w:val="20"/>
          <w:szCs w:val="20"/>
          <w:lang w:val="en-GB"/>
        </w:rPr>
      </w:pPr>
    </w:p>
    <w:p w:rsidR="00CD1FF9" w:rsidRPr="006626C3" w:rsidRDefault="00CD1FF9" w:rsidP="009575C3">
      <w:pPr>
        <w:pStyle w:val="NormalWeb"/>
        <w:spacing w:before="0" w:beforeAutospacing="0" w:after="0" w:afterAutospacing="0"/>
        <w:jc w:val="both"/>
        <w:rPr>
          <w:rFonts w:ascii="Arial" w:hAnsi="Arial" w:cs="Arial"/>
          <w:color w:val="FF0000"/>
          <w:sz w:val="20"/>
          <w:szCs w:val="20"/>
          <w:lang w:val="en-GB"/>
        </w:rPr>
      </w:pPr>
    </w:p>
    <w:p w:rsidR="00E333BE" w:rsidRPr="006626C3" w:rsidRDefault="00E333BE" w:rsidP="009575C3">
      <w:pPr>
        <w:pStyle w:val="NormalWeb"/>
        <w:spacing w:before="0" w:beforeAutospacing="0" w:after="0" w:afterAutospacing="0"/>
        <w:jc w:val="both"/>
        <w:rPr>
          <w:rFonts w:ascii="Arial" w:hAnsi="Arial" w:cs="Arial"/>
          <w:color w:val="FF0000"/>
          <w:sz w:val="20"/>
          <w:szCs w:val="20"/>
          <w:lang w:val="en-GB"/>
        </w:rPr>
      </w:pPr>
    </w:p>
    <w:p w:rsidR="00B207BA" w:rsidRPr="006626C3" w:rsidRDefault="00B207BA" w:rsidP="00EA32A9">
      <w:pPr>
        <w:pStyle w:val="NormalWeb"/>
        <w:spacing w:before="0" w:beforeAutospacing="0" w:after="0" w:afterAutospacing="0"/>
        <w:rPr>
          <w:rFonts w:ascii="Arial" w:hAnsi="Arial" w:cs="Arial"/>
          <w:color w:val="FF0000"/>
          <w:sz w:val="20"/>
          <w:szCs w:val="20"/>
          <w:lang w:val="en-GB"/>
        </w:rPr>
      </w:pPr>
    </w:p>
    <w:p w:rsidR="00EF6749" w:rsidRPr="006626C3" w:rsidRDefault="00EF6749" w:rsidP="00C335E9">
      <w:pPr>
        <w:pStyle w:val="NormalWeb"/>
        <w:spacing w:before="0" w:beforeAutospacing="0" w:after="0" w:afterAutospacing="0"/>
        <w:ind w:right="77"/>
        <w:rPr>
          <w:rFonts w:ascii="Arial" w:hAnsi="Arial" w:cs="Arial"/>
          <w:color w:val="FF0000"/>
          <w:sz w:val="20"/>
          <w:szCs w:val="20"/>
          <w:lang w:val="en-GB"/>
        </w:rPr>
      </w:pPr>
    </w:p>
    <w:p w:rsidR="00EF6749" w:rsidRPr="006626C3" w:rsidRDefault="00EF6749" w:rsidP="00C335E9">
      <w:pPr>
        <w:pStyle w:val="NormalWeb"/>
        <w:spacing w:before="0" w:beforeAutospacing="0" w:after="0" w:afterAutospacing="0"/>
        <w:ind w:right="77"/>
        <w:rPr>
          <w:rFonts w:ascii="Arial" w:hAnsi="Arial" w:cs="Arial"/>
          <w:color w:val="FF0000"/>
          <w:sz w:val="20"/>
          <w:szCs w:val="20"/>
          <w:lang w:val="en-GB"/>
        </w:rPr>
      </w:pPr>
    </w:p>
    <w:p w:rsidR="00EF6749" w:rsidRPr="006626C3" w:rsidRDefault="00EF6749" w:rsidP="00C335E9">
      <w:pPr>
        <w:pStyle w:val="NormalWeb"/>
        <w:spacing w:before="0" w:beforeAutospacing="0" w:after="0" w:afterAutospacing="0"/>
        <w:ind w:right="77"/>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6626C3" w:rsidRDefault="00983DBF" w:rsidP="00915B9C">
      <w:pPr>
        <w:pStyle w:val="NormalWeb"/>
        <w:spacing w:before="0" w:beforeAutospacing="0" w:after="0" w:afterAutospacing="0"/>
        <w:ind w:right="77"/>
        <w:jc w:val="both"/>
        <w:rPr>
          <w:rFonts w:ascii="Arial" w:hAnsi="Arial" w:cs="Arial"/>
          <w:color w:val="FF0000"/>
          <w:sz w:val="20"/>
          <w:szCs w:val="20"/>
          <w:lang w:val="en-GB"/>
        </w:rPr>
      </w:pPr>
    </w:p>
    <w:p w:rsidR="00983DBF" w:rsidRPr="003D28C1"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770105" w:rsidRDefault="00770105"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D30CE0" w:rsidRDefault="00826E3D" w:rsidP="008E45CA">
      <w:pPr>
        <w:pStyle w:val="NormalWeb"/>
        <w:spacing w:before="0" w:beforeAutospacing="0" w:after="0" w:afterAutospacing="0" w:line="360" w:lineRule="auto"/>
        <w:ind w:right="77"/>
        <w:rPr>
          <w:rFonts w:ascii="Arial" w:hAnsi="Arial" w:cs="Arial"/>
          <w:b/>
          <w:bCs/>
          <w:sz w:val="20"/>
          <w:szCs w:val="20"/>
          <w:u w:val="single"/>
          <w:lang w:val="en-US"/>
        </w:rPr>
      </w:pPr>
      <w:r w:rsidRPr="00826E3D">
        <w:rPr>
          <w:rFonts w:ascii="Arial" w:hAnsi="Arial" w:cs="Arial"/>
          <w:b/>
          <w:bCs/>
          <w:sz w:val="20"/>
          <w:szCs w:val="20"/>
          <w:lang w:val="en-US"/>
        </w:rPr>
        <w:lastRenderedPageBreak/>
        <w:t xml:space="preserve">Table 1.Changes in and contributions of GDP components for 2015Q4 and 2015Q3, </w:t>
      </w:r>
      <w:r w:rsidRPr="00826E3D">
        <w:rPr>
          <w:rFonts w:ascii="Arial" w:hAnsi="Arial" w:cs="Arial"/>
          <w:b/>
          <w:bCs/>
          <w:sz w:val="20"/>
          <w:szCs w:val="20"/>
          <w:u w:val="single"/>
          <w:lang w:val="en-US"/>
        </w:rPr>
        <w:t>compared to the previous quarter.</w:t>
      </w:r>
    </w:p>
    <w:p w:rsidR="008E45CA" w:rsidRPr="008E45CA" w:rsidRDefault="008E45CA" w:rsidP="008E45CA">
      <w:pPr>
        <w:pStyle w:val="NormalWeb"/>
        <w:spacing w:before="0" w:beforeAutospacing="0" w:after="0" w:afterAutospacing="0" w:line="360" w:lineRule="auto"/>
        <w:ind w:right="77"/>
        <w:rPr>
          <w:rFonts w:ascii="Arial" w:hAnsi="Arial" w:cs="Arial"/>
          <w:b/>
          <w:bCs/>
          <w:sz w:val="20"/>
          <w:szCs w:val="20"/>
          <w:u w:val="single"/>
          <w:lang w:val="en-US"/>
        </w:rPr>
      </w:pPr>
    </w:p>
    <w:tbl>
      <w:tblPr>
        <w:tblW w:w="4749" w:type="dxa"/>
        <w:tblInd w:w="70" w:type="dxa"/>
        <w:tblLayout w:type="fixed"/>
        <w:tblCellMar>
          <w:left w:w="70" w:type="dxa"/>
          <w:right w:w="70" w:type="dxa"/>
        </w:tblCellMar>
        <w:tblLook w:val="0000" w:firstRow="0" w:lastRow="0" w:firstColumn="0" w:lastColumn="0" w:noHBand="0" w:noVBand="0"/>
      </w:tblPr>
      <w:tblGrid>
        <w:gridCol w:w="2009"/>
        <w:gridCol w:w="1110"/>
        <w:gridCol w:w="1630"/>
      </w:tblGrid>
      <w:tr w:rsidR="00915B9C" w:rsidTr="005A7BB0">
        <w:trPr>
          <w:trHeight w:val="254"/>
        </w:trPr>
        <w:tc>
          <w:tcPr>
            <w:tcW w:w="2009" w:type="dxa"/>
            <w:tcBorders>
              <w:top w:val="single" w:sz="4" w:space="0" w:color="auto"/>
              <w:left w:val="single" w:sz="4" w:space="0" w:color="auto"/>
              <w:bottom w:val="single" w:sz="4" w:space="0" w:color="auto"/>
              <w:right w:val="single" w:sz="4" w:space="0" w:color="auto"/>
            </w:tcBorders>
            <w:noWrap/>
            <w:vAlign w:val="bottom"/>
          </w:tcPr>
          <w:p w:rsidR="00915B9C" w:rsidRDefault="00263EF1" w:rsidP="00B16336">
            <w:pPr>
              <w:rPr>
                <w:rFonts w:ascii="Arial TUR" w:hAnsi="Arial TUR" w:cs="Arial TUR"/>
                <w:b/>
                <w:bCs/>
                <w:sz w:val="20"/>
                <w:szCs w:val="20"/>
              </w:rPr>
            </w:pPr>
            <w:r>
              <w:rPr>
                <w:rFonts w:ascii="Arial TUR" w:hAnsi="Arial TUR" w:cs="Arial TUR"/>
                <w:b/>
                <w:bCs/>
                <w:sz w:val="20"/>
                <w:szCs w:val="20"/>
              </w:rPr>
              <w:t>2015</w:t>
            </w:r>
            <w:r w:rsidR="00826E3D">
              <w:rPr>
                <w:rFonts w:ascii="Arial TUR" w:hAnsi="Arial TUR" w:cs="Arial TUR"/>
                <w:b/>
                <w:bCs/>
                <w:sz w:val="20"/>
                <w:szCs w:val="20"/>
              </w:rPr>
              <w:t xml:space="preserve"> – Q4</w:t>
            </w:r>
          </w:p>
        </w:tc>
        <w:tc>
          <w:tcPr>
            <w:tcW w:w="1110" w:type="dxa"/>
            <w:tcBorders>
              <w:top w:val="single" w:sz="4" w:space="0" w:color="auto"/>
              <w:left w:val="nil"/>
              <w:bottom w:val="single" w:sz="4" w:space="0" w:color="auto"/>
              <w:right w:val="single" w:sz="4" w:space="0" w:color="auto"/>
            </w:tcBorders>
            <w:noWrap/>
            <w:vAlign w:val="bottom"/>
          </w:tcPr>
          <w:p w:rsidR="00915B9C" w:rsidRDefault="00826E3D" w:rsidP="00B16336">
            <w:pPr>
              <w:jc w:val="center"/>
              <w:rPr>
                <w:rFonts w:ascii="Arial TUR" w:hAnsi="Arial TUR" w:cs="Arial TUR"/>
                <w:b/>
                <w:bCs/>
                <w:sz w:val="20"/>
                <w:szCs w:val="20"/>
              </w:rPr>
            </w:pPr>
            <w:r>
              <w:rPr>
                <w:rFonts w:ascii="Arial TUR" w:hAnsi="Arial TUR" w:cs="Arial TUR"/>
                <w:b/>
                <w:bCs/>
                <w:sz w:val="20"/>
                <w:szCs w:val="20"/>
              </w:rPr>
              <w:t>Change</w:t>
            </w:r>
          </w:p>
        </w:tc>
        <w:tc>
          <w:tcPr>
            <w:tcW w:w="1630" w:type="dxa"/>
            <w:tcBorders>
              <w:top w:val="single" w:sz="4" w:space="0" w:color="auto"/>
              <w:left w:val="nil"/>
              <w:bottom w:val="single" w:sz="4" w:space="0" w:color="auto"/>
              <w:right w:val="single" w:sz="4" w:space="0" w:color="auto"/>
            </w:tcBorders>
            <w:noWrap/>
            <w:vAlign w:val="bottom"/>
          </w:tcPr>
          <w:p w:rsidR="00915B9C" w:rsidRDefault="00826E3D" w:rsidP="00B16336">
            <w:pPr>
              <w:jc w:val="center"/>
              <w:rPr>
                <w:rFonts w:ascii="Arial TUR" w:hAnsi="Arial TUR" w:cs="Arial TUR"/>
                <w:b/>
                <w:bCs/>
                <w:sz w:val="20"/>
                <w:szCs w:val="20"/>
              </w:rPr>
            </w:pPr>
            <w:r>
              <w:rPr>
                <w:rFonts w:ascii="Arial TUR" w:hAnsi="Arial TUR" w:cs="Arial TUR"/>
                <w:b/>
                <w:bCs/>
                <w:sz w:val="20"/>
                <w:szCs w:val="20"/>
              </w:rPr>
              <w:t>Contributions   (pp</w:t>
            </w:r>
            <w:r w:rsidR="005A7BB0">
              <w:rPr>
                <w:rFonts w:ascii="Arial TUR" w:hAnsi="Arial TUR" w:cs="Arial TUR"/>
                <w:b/>
                <w:bCs/>
                <w:sz w:val="20"/>
                <w:szCs w:val="20"/>
              </w:rPr>
              <w:t>)</w:t>
            </w:r>
          </w:p>
        </w:tc>
      </w:tr>
      <w:tr w:rsidR="00263EF1"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263EF1" w:rsidRDefault="0087659C" w:rsidP="00B16336">
            <w:pPr>
              <w:rPr>
                <w:rFonts w:ascii="Arial TUR" w:hAnsi="Arial TUR" w:cs="Arial TUR"/>
                <w:b/>
                <w:bCs/>
                <w:sz w:val="20"/>
                <w:szCs w:val="20"/>
              </w:rPr>
            </w:pPr>
            <w:r>
              <w:rPr>
                <w:rFonts w:ascii="Arial TUR" w:hAnsi="Arial TUR" w:cs="Arial TUR"/>
                <w:b/>
                <w:bCs/>
                <w:sz w:val="20"/>
                <w:szCs w:val="20"/>
              </w:rPr>
              <w:t>Consumption</w:t>
            </w:r>
          </w:p>
        </w:tc>
        <w:tc>
          <w:tcPr>
            <w:tcW w:w="1110" w:type="dxa"/>
            <w:tcBorders>
              <w:top w:val="nil"/>
              <w:left w:val="nil"/>
              <w:bottom w:val="single" w:sz="4" w:space="0" w:color="auto"/>
              <w:right w:val="single" w:sz="4" w:space="0" w:color="auto"/>
            </w:tcBorders>
            <w:noWrap/>
            <w:vAlign w:val="bottom"/>
          </w:tcPr>
          <w:p w:rsidR="00263EF1" w:rsidRDefault="00263EF1">
            <w:pPr>
              <w:jc w:val="right"/>
              <w:rPr>
                <w:rFonts w:ascii="Arial" w:hAnsi="Arial" w:cs="Arial"/>
                <w:sz w:val="20"/>
                <w:szCs w:val="20"/>
              </w:rPr>
            </w:pPr>
            <w:r>
              <w:rPr>
                <w:rFonts w:ascii="Arial" w:hAnsi="Arial" w:cs="Arial"/>
                <w:sz w:val="20"/>
                <w:szCs w:val="20"/>
              </w:rPr>
              <w:t>0.3%</w:t>
            </w:r>
          </w:p>
        </w:tc>
        <w:tc>
          <w:tcPr>
            <w:tcW w:w="1630" w:type="dxa"/>
            <w:tcBorders>
              <w:top w:val="nil"/>
              <w:left w:val="nil"/>
              <w:bottom w:val="single" w:sz="4" w:space="0" w:color="auto"/>
              <w:right w:val="single" w:sz="4" w:space="0" w:color="auto"/>
            </w:tcBorders>
            <w:noWrap/>
            <w:vAlign w:val="bottom"/>
          </w:tcPr>
          <w:p w:rsidR="00263EF1" w:rsidRPr="005A7BB0" w:rsidRDefault="00263EF1" w:rsidP="005A7BB0">
            <w:pPr>
              <w:jc w:val="right"/>
              <w:rPr>
                <w:rFonts w:ascii="Arial" w:hAnsi="Arial" w:cs="Arial"/>
                <w:sz w:val="20"/>
                <w:szCs w:val="20"/>
              </w:rPr>
            </w:pPr>
            <w:r w:rsidRPr="005A7BB0">
              <w:rPr>
                <w:rFonts w:ascii="Arial" w:hAnsi="Arial" w:cs="Arial"/>
                <w:sz w:val="20"/>
                <w:szCs w:val="20"/>
              </w:rPr>
              <w:t>0.2</w:t>
            </w:r>
          </w:p>
        </w:tc>
      </w:tr>
      <w:tr w:rsidR="00263EF1"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263EF1" w:rsidRDefault="008E45CA" w:rsidP="00B16336">
            <w:pPr>
              <w:rPr>
                <w:rFonts w:ascii="Arial TUR" w:hAnsi="Arial TUR" w:cs="Arial TUR"/>
                <w:b/>
                <w:bCs/>
                <w:sz w:val="20"/>
                <w:szCs w:val="20"/>
              </w:rPr>
            </w:pPr>
            <w:r>
              <w:rPr>
                <w:rFonts w:ascii="Arial TUR" w:hAnsi="Arial TUR" w:cs="Arial TUR"/>
                <w:b/>
                <w:bCs/>
                <w:sz w:val="20"/>
                <w:szCs w:val="20"/>
              </w:rPr>
              <w:t>Private Consumption</w:t>
            </w:r>
          </w:p>
        </w:tc>
        <w:tc>
          <w:tcPr>
            <w:tcW w:w="1110" w:type="dxa"/>
            <w:tcBorders>
              <w:top w:val="nil"/>
              <w:left w:val="nil"/>
              <w:bottom w:val="single" w:sz="4" w:space="0" w:color="auto"/>
              <w:right w:val="single" w:sz="4" w:space="0" w:color="auto"/>
            </w:tcBorders>
            <w:noWrap/>
            <w:vAlign w:val="bottom"/>
          </w:tcPr>
          <w:p w:rsidR="00263EF1" w:rsidRDefault="00263EF1">
            <w:pPr>
              <w:jc w:val="right"/>
              <w:rPr>
                <w:rFonts w:ascii="Arial" w:hAnsi="Arial" w:cs="Arial"/>
                <w:sz w:val="20"/>
                <w:szCs w:val="20"/>
              </w:rPr>
            </w:pPr>
            <w:r>
              <w:rPr>
                <w:rFonts w:ascii="Arial" w:hAnsi="Arial" w:cs="Arial"/>
                <w:sz w:val="20"/>
                <w:szCs w:val="20"/>
              </w:rPr>
              <w:t>2.6%</w:t>
            </w:r>
          </w:p>
        </w:tc>
        <w:tc>
          <w:tcPr>
            <w:tcW w:w="1630" w:type="dxa"/>
            <w:tcBorders>
              <w:top w:val="nil"/>
              <w:left w:val="nil"/>
              <w:bottom w:val="single" w:sz="4" w:space="0" w:color="auto"/>
              <w:right w:val="single" w:sz="4" w:space="0" w:color="auto"/>
            </w:tcBorders>
            <w:noWrap/>
            <w:vAlign w:val="bottom"/>
          </w:tcPr>
          <w:p w:rsidR="00263EF1" w:rsidRPr="005A7BB0" w:rsidRDefault="00263EF1">
            <w:pPr>
              <w:jc w:val="right"/>
              <w:rPr>
                <w:rFonts w:ascii="Arial" w:hAnsi="Arial" w:cs="Arial"/>
                <w:sz w:val="20"/>
                <w:szCs w:val="20"/>
              </w:rPr>
            </w:pPr>
            <w:r w:rsidRPr="005A7BB0">
              <w:rPr>
                <w:rFonts w:ascii="Arial" w:hAnsi="Arial" w:cs="Arial"/>
                <w:sz w:val="20"/>
                <w:szCs w:val="20"/>
              </w:rPr>
              <w:t>0.5</w:t>
            </w:r>
          </w:p>
        </w:tc>
      </w:tr>
      <w:tr w:rsidR="00263EF1"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263EF1" w:rsidRDefault="008E45CA" w:rsidP="00B16336">
            <w:pPr>
              <w:rPr>
                <w:rFonts w:ascii="Arial TUR" w:hAnsi="Arial TUR" w:cs="Arial TUR"/>
                <w:b/>
                <w:bCs/>
                <w:sz w:val="20"/>
                <w:szCs w:val="20"/>
              </w:rPr>
            </w:pPr>
            <w:r>
              <w:rPr>
                <w:rFonts w:ascii="Arial TUR" w:hAnsi="Arial TUR" w:cs="Arial TUR"/>
                <w:b/>
                <w:bCs/>
                <w:sz w:val="20"/>
                <w:szCs w:val="20"/>
              </w:rPr>
              <w:t>Public Spendings</w:t>
            </w:r>
          </w:p>
        </w:tc>
        <w:tc>
          <w:tcPr>
            <w:tcW w:w="1110" w:type="dxa"/>
            <w:tcBorders>
              <w:top w:val="nil"/>
              <w:left w:val="nil"/>
              <w:bottom w:val="single" w:sz="4" w:space="0" w:color="auto"/>
              <w:right w:val="single" w:sz="4" w:space="0" w:color="auto"/>
            </w:tcBorders>
            <w:noWrap/>
            <w:vAlign w:val="bottom"/>
          </w:tcPr>
          <w:p w:rsidR="00263EF1" w:rsidRDefault="00263EF1">
            <w:pPr>
              <w:jc w:val="right"/>
              <w:rPr>
                <w:rFonts w:ascii="Arial" w:hAnsi="Arial" w:cs="Arial"/>
                <w:sz w:val="20"/>
                <w:szCs w:val="20"/>
              </w:rPr>
            </w:pPr>
            <w:r>
              <w:rPr>
                <w:rFonts w:ascii="Arial" w:hAnsi="Arial" w:cs="Arial"/>
                <w:sz w:val="20"/>
                <w:szCs w:val="20"/>
              </w:rPr>
              <w:t>0.2%</w:t>
            </w:r>
          </w:p>
        </w:tc>
        <w:tc>
          <w:tcPr>
            <w:tcW w:w="1630" w:type="dxa"/>
            <w:tcBorders>
              <w:top w:val="nil"/>
              <w:left w:val="nil"/>
              <w:bottom w:val="single" w:sz="4" w:space="0" w:color="auto"/>
              <w:right w:val="single" w:sz="4" w:space="0" w:color="auto"/>
            </w:tcBorders>
            <w:noWrap/>
            <w:vAlign w:val="bottom"/>
          </w:tcPr>
          <w:p w:rsidR="00263EF1" w:rsidRPr="005A7BB0" w:rsidRDefault="00263EF1">
            <w:pPr>
              <w:jc w:val="right"/>
              <w:rPr>
                <w:rFonts w:ascii="Arial" w:hAnsi="Arial" w:cs="Arial"/>
                <w:sz w:val="20"/>
                <w:szCs w:val="20"/>
              </w:rPr>
            </w:pPr>
            <w:r w:rsidRPr="005A7BB0">
              <w:rPr>
                <w:rFonts w:ascii="Arial" w:hAnsi="Arial" w:cs="Arial"/>
                <w:sz w:val="20"/>
                <w:szCs w:val="20"/>
              </w:rPr>
              <w:t>0.0</w:t>
            </w:r>
          </w:p>
        </w:tc>
      </w:tr>
      <w:tr w:rsidR="00263EF1"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263EF1" w:rsidRDefault="008E45CA" w:rsidP="00B16336">
            <w:pPr>
              <w:rPr>
                <w:rFonts w:ascii="Arial TUR" w:hAnsi="Arial TUR" w:cs="Arial TUR"/>
                <w:b/>
                <w:bCs/>
                <w:sz w:val="20"/>
                <w:szCs w:val="20"/>
              </w:rPr>
            </w:pPr>
            <w:r>
              <w:rPr>
                <w:rFonts w:ascii="Arial TUR" w:hAnsi="Arial TUR" w:cs="Arial TUR"/>
                <w:b/>
                <w:bCs/>
                <w:sz w:val="20"/>
                <w:szCs w:val="20"/>
              </w:rPr>
              <w:t>Inventory Investment</w:t>
            </w:r>
          </w:p>
        </w:tc>
        <w:tc>
          <w:tcPr>
            <w:tcW w:w="1110" w:type="dxa"/>
            <w:tcBorders>
              <w:top w:val="nil"/>
              <w:left w:val="nil"/>
              <w:bottom w:val="single" w:sz="4" w:space="0" w:color="auto"/>
              <w:right w:val="single" w:sz="4" w:space="0" w:color="auto"/>
            </w:tcBorders>
            <w:noWrap/>
            <w:vAlign w:val="bottom"/>
          </w:tcPr>
          <w:p w:rsidR="00263EF1" w:rsidRDefault="00263EF1">
            <w:pPr>
              <w:rPr>
                <w:rFonts w:ascii="Arial" w:hAnsi="Arial" w:cs="Arial"/>
                <w:sz w:val="20"/>
                <w:szCs w:val="20"/>
              </w:rPr>
            </w:pPr>
            <w:r>
              <w:rPr>
                <w:rFonts w:ascii="Arial" w:hAnsi="Arial" w:cs="Arial"/>
                <w:sz w:val="20"/>
                <w:szCs w:val="20"/>
              </w:rPr>
              <w:t> </w:t>
            </w:r>
          </w:p>
        </w:tc>
        <w:tc>
          <w:tcPr>
            <w:tcW w:w="1630" w:type="dxa"/>
            <w:tcBorders>
              <w:top w:val="nil"/>
              <w:left w:val="nil"/>
              <w:bottom w:val="single" w:sz="4" w:space="0" w:color="auto"/>
              <w:right w:val="single" w:sz="4" w:space="0" w:color="auto"/>
            </w:tcBorders>
            <w:noWrap/>
            <w:vAlign w:val="bottom"/>
          </w:tcPr>
          <w:p w:rsidR="00263EF1" w:rsidRPr="005A7BB0" w:rsidRDefault="00263EF1">
            <w:pPr>
              <w:jc w:val="right"/>
              <w:rPr>
                <w:rFonts w:ascii="Arial" w:hAnsi="Arial" w:cs="Arial"/>
                <w:sz w:val="20"/>
                <w:szCs w:val="20"/>
              </w:rPr>
            </w:pPr>
            <w:r w:rsidRPr="005A7BB0">
              <w:rPr>
                <w:rFonts w:ascii="Arial" w:hAnsi="Arial" w:cs="Arial"/>
                <w:sz w:val="20"/>
                <w:szCs w:val="20"/>
              </w:rPr>
              <w:t>2.0</w:t>
            </w:r>
          </w:p>
        </w:tc>
      </w:tr>
      <w:tr w:rsidR="00263EF1"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263EF1" w:rsidRDefault="008E45CA" w:rsidP="00B16336">
            <w:pPr>
              <w:rPr>
                <w:rFonts w:ascii="Arial TUR" w:hAnsi="Arial TUR" w:cs="Arial TUR"/>
                <w:b/>
                <w:bCs/>
                <w:sz w:val="20"/>
                <w:szCs w:val="20"/>
              </w:rPr>
            </w:pPr>
            <w:r>
              <w:rPr>
                <w:rFonts w:ascii="Arial TUR" w:hAnsi="Arial TUR" w:cs="Arial TUR"/>
                <w:b/>
                <w:bCs/>
                <w:sz w:val="20"/>
                <w:szCs w:val="20"/>
              </w:rPr>
              <w:t>Export</w:t>
            </w:r>
          </w:p>
        </w:tc>
        <w:tc>
          <w:tcPr>
            <w:tcW w:w="1110" w:type="dxa"/>
            <w:tcBorders>
              <w:top w:val="nil"/>
              <w:left w:val="nil"/>
              <w:bottom w:val="single" w:sz="4" w:space="0" w:color="auto"/>
              <w:right w:val="single" w:sz="4" w:space="0" w:color="auto"/>
            </w:tcBorders>
            <w:noWrap/>
            <w:vAlign w:val="bottom"/>
          </w:tcPr>
          <w:p w:rsidR="00263EF1" w:rsidRDefault="00263EF1">
            <w:pPr>
              <w:jc w:val="right"/>
              <w:rPr>
                <w:rFonts w:ascii="Arial" w:hAnsi="Arial" w:cs="Arial"/>
                <w:sz w:val="20"/>
                <w:szCs w:val="20"/>
              </w:rPr>
            </w:pPr>
            <w:r>
              <w:rPr>
                <w:rFonts w:ascii="Arial" w:hAnsi="Arial" w:cs="Arial"/>
                <w:sz w:val="20"/>
                <w:szCs w:val="20"/>
              </w:rPr>
              <w:t>-1.2%</w:t>
            </w:r>
          </w:p>
        </w:tc>
        <w:tc>
          <w:tcPr>
            <w:tcW w:w="1630" w:type="dxa"/>
            <w:tcBorders>
              <w:top w:val="nil"/>
              <w:left w:val="nil"/>
              <w:bottom w:val="single" w:sz="4" w:space="0" w:color="auto"/>
              <w:right w:val="single" w:sz="4" w:space="0" w:color="auto"/>
            </w:tcBorders>
            <w:noWrap/>
            <w:vAlign w:val="bottom"/>
          </w:tcPr>
          <w:p w:rsidR="00263EF1" w:rsidRPr="005A7BB0" w:rsidRDefault="00263EF1">
            <w:pPr>
              <w:jc w:val="right"/>
              <w:rPr>
                <w:rFonts w:ascii="Arial" w:hAnsi="Arial" w:cs="Arial"/>
                <w:sz w:val="20"/>
                <w:szCs w:val="20"/>
              </w:rPr>
            </w:pPr>
            <w:r w:rsidRPr="005A7BB0">
              <w:rPr>
                <w:rFonts w:ascii="Arial" w:hAnsi="Arial" w:cs="Arial"/>
                <w:sz w:val="20"/>
                <w:szCs w:val="20"/>
              </w:rPr>
              <w:t>-0.3</w:t>
            </w:r>
          </w:p>
        </w:tc>
      </w:tr>
      <w:tr w:rsidR="00263EF1"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263EF1" w:rsidRDefault="008E45CA" w:rsidP="00B16336">
            <w:pPr>
              <w:rPr>
                <w:rFonts w:ascii="Arial TUR" w:hAnsi="Arial TUR" w:cs="Arial TUR"/>
                <w:b/>
                <w:bCs/>
                <w:sz w:val="20"/>
                <w:szCs w:val="20"/>
              </w:rPr>
            </w:pPr>
            <w:r>
              <w:rPr>
                <w:rFonts w:ascii="Arial TUR" w:hAnsi="Arial TUR" w:cs="Arial TUR"/>
                <w:b/>
                <w:bCs/>
                <w:sz w:val="20"/>
                <w:szCs w:val="20"/>
              </w:rPr>
              <w:t>Import</w:t>
            </w:r>
          </w:p>
        </w:tc>
        <w:tc>
          <w:tcPr>
            <w:tcW w:w="1110" w:type="dxa"/>
            <w:tcBorders>
              <w:top w:val="nil"/>
              <w:left w:val="nil"/>
              <w:bottom w:val="single" w:sz="4" w:space="0" w:color="auto"/>
              <w:right w:val="single" w:sz="4" w:space="0" w:color="auto"/>
            </w:tcBorders>
            <w:noWrap/>
            <w:vAlign w:val="bottom"/>
          </w:tcPr>
          <w:p w:rsidR="00263EF1" w:rsidRDefault="00263EF1">
            <w:pPr>
              <w:jc w:val="right"/>
              <w:rPr>
                <w:rFonts w:ascii="Arial" w:hAnsi="Arial" w:cs="Arial"/>
                <w:sz w:val="20"/>
                <w:szCs w:val="20"/>
              </w:rPr>
            </w:pPr>
            <w:r>
              <w:rPr>
                <w:rFonts w:ascii="Arial" w:hAnsi="Arial" w:cs="Arial"/>
                <w:sz w:val="20"/>
                <w:szCs w:val="20"/>
              </w:rPr>
              <w:t>6.5%</w:t>
            </w:r>
          </w:p>
        </w:tc>
        <w:tc>
          <w:tcPr>
            <w:tcW w:w="1630" w:type="dxa"/>
            <w:tcBorders>
              <w:top w:val="nil"/>
              <w:left w:val="nil"/>
              <w:bottom w:val="single" w:sz="4" w:space="0" w:color="auto"/>
              <w:right w:val="single" w:sz="4" w:space="0" w:color="auto"/>
            </w:tcBorders>
            <w:noWrap/>
            <w:vAlign w:val="bottom"/>
          </w:tcPr>
          <w:p w:rsidR="00263EF1" w:rsidRPr="005A7BB0" w:rsidRDefault="00263EF1">
            <w:pPr>
              <w:jc w:val="right"/>
              <w:rPr>
                <w:rFonts w:ascii="Arial" w:hAnsi="Arial" w:cs="Arial"/>
                <w:sz w:val="20"/>
                <w:szCs w:val="20"/>
              </w:rPr>
            </w:pPr>
            <w:r w:rsidRPr="005A7BB0">
              <w:rPr>
                <w:rFonts w:ascii="Arial" w:hAnsi="Arial" w:cs="Arial"/>
                <w:sz w:val="20"/>
                <w:szCs w:val="20"/>
              </w:rPr>
              <w:t>-1.7</w:t>
            </w:r>
          </w:p>
        </w:tc>
      </w:tr>
      <w:tr w:rsidR="00263EF1"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263EF1" w:rsidRPr="00915B9C" w:rsidRDefault="00263EF1" w:rsidP="00B16336">
            <w:pPr>
              <w:rPr>
                <w:rFonts w:ascii="Arial" w:hAnsi="Arial" w:cs="Arial"/>
                <w:b/>
                <w:sz w:val="20"/>
                <w:szCs w:val="20"/>
              </w:rPr>
            </w:pPr>
            <w:r w:rsidRPr="00915B9C">
              <w:rPr>
                <w:rFonts w:ascii="Arial" w:hAnsi="Arial" w:cs="Arial"/>
                <w:b/>
                <w:sz w:val="20"/>
                <w:szCs w:val="20"/>
              </w:rPr>
              <w:t>GSYH </w:t>
            </w:r>
          </w:p>
        </w:tc>
        <w:tc>
          <w:tcPr>
            <w:tcW w:w="1110" w:type="dxa"/>
            <w:tcBorders>
              <w:top w:val="nil"/>
              <w:left w:val="nil"/>
              <w:bottom w:val="single" w:sz="4" w:space="0" w:color="auto"/>
              <w:right w:val="single" w:sz="4" w:space="0" w:color="auto"/>
            </w:tcBorders>
            <w:noWrap/>
            <w:vAlign w:val="bottom"/>
          </w:tcPr>
          <w:p w:rsidR="00263EF1" w:rsidRDefault="005E5EF0">
            <w:pPr>
              <w:jc w:val="right"/>
              <w:rPr>
                <w:rFonts w:ascii="Arial" w:hAnsi="Arial" w:cs="Arial"/>
                <w:sz w:val="20"/>
                <w:szCs w:val="20"/>
              </w:rPr>
            </w:pPr>
            <w:r>
              <w:rPr>
                <w:rFonts w:ascii="Arial" w:hAnsi="Arial" w:cs="Arial"/>
                <w:sz w:val="20"/>
                <w:szCs w:val="20"/>
              </w:rPr>
              <w:t>0.7%</w:t>
            </w:r>
          </w:p>
        </w:tc>
        <w:tc>
          <w:tcPr>
            <w:tcW w:w="1630" w:type="dxa"/>
            <w:tcBorders>
              <w:top w:val="nil"/>
              <w:left w:val="nil"/>
              <w:bottom w:val="single" w:sz="4" w:space="0" w:color="auto"/>
              <w:right w:val="single" w:sz="4" w:space="0" w:color="auto"/>
            </w:tcBorders>
            <w:noWrap/>
            <w:vAlign w:val="bottom"/>
          </w:tcPr>
          <w:p w:rsidR="00263EF1" w:rsidRPr="005A7BB0" w:rsidRDefault="00263EF1">
            <w:pPr>
              <w:jc w:val="right"/>
              <w:rPr>
                <w:rFonts w:ascii="Arial" w:hAnsi="Arial" w:cs="Arial"/>
                <w:sz w:val="20"/>
                <w:szCs w:val="20"/>
              </w:rPr>
            </w:pPr>
          </w:p>
        </w:tc>
      </w:tr>
      <w:tr w:rsidR="00915B9C"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915B9C" w:rsidRDefault="00915B9C" w:rsidP="00B16336">
            <w:pPr>
              <w:rPr>
                <w:rFonts w:ascii="Arial" w:hAnsi="Arial" w:cs="Arial"/>
                <w:sz w:val="20"/>
                <w:szCs w:val="20"/>
              </w:rPr>
            </w:pPr>
          </w:p>
        </w:tc>
        <w:tc>
          <w:tcPr>
            <w:tcW w:w="1110" w:type="dxa"/>
            <w:tcBorders>
              <w:top w:val="nil"/>
              <w:left w:val="nil"/>
              <w:bottom w:val="single" w:sz="4" w:space="0" w:color="auto"/>
              <w:right w:val="single" w:sz="4" w:space="0" w:color="auto"/>
            </w:tcBorders>
            <w:noWrap/>
            <w:vAlign w:val="bottom"/>
          </w:tcPr>
          <w:p w:rsidR="00915B9C" w:rsidRDefault="00915B9C" w:rsidP="00B16336">
            <w:pPr>
              <w:rPr>
                <w:rFonts w:ascii="Arial" w:hAnsi="Arial" w:cs="Arial"/>
                <w:sz w:val="20"/>
                <w:szCs w:val="20"/>
              </w:rPr>
            </w:pPr>
          </w:p>
        </w:tc>
        <w:tc>
          <w:tcPr>
            <w:tcW w:w="1630" w:type="dxa"/>
            <w:tcBorders>
              <w:top w:val="nil"/>
              <w:left w:val="nil"/>
              <w:bottom w:val="single" w:sz="4" w:space="0" w:color="auto"/>
              <w:right w:val="single" w:sz="4" w:space="0" w:color="auto"/>
            </w:tcBorders>
            <w:noWrap/>
            <w:vAlign w:val="bottom"/>
          </w:tcPr>
          <w:p w:rsidR="00915B9C" w:rsidRDefault="00915B9C" w:rsidP="00B16336">
            <w:pPr>
              <w:rPr>
                <w:rFonts w:ascii="Arial" w:hAnsi="Arial" w:cs="Arial"/>
                <w:sz w:val="20"/>
                <w:szCs w:val="20"/>
              </w:rPr>
            </w:pPr>
          </w:p>
        </w:tc>
      </w:tr>
      <w:tr w:rsidR="00915B9C"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915B9C" w:rsidRDefault="00263EF1" w:rsidP="00B16336">
            <w:pPr>
              <w:rPr>
                <w:rFonts w:ascii="Arial TUR" w:hAnsi="Arial TUR" w:cs="Arial TUR"/>
                <w:b/>
                <w:bCs/>
                <w:sz w:val="20"/>
                <w:szCs w:val="20"/>
              </w:rPr>
            </w:pPr>
            <w:r>
              <w:rPr>
                <w:rFonts w:ascii="Arial TUR" w:hAnsi="Arial TUR" w:cs="Arial TUR"/>
                <w:b/>
                <w:bCs/>
                <w:sz w:val="20"/>
                <w:szCs w:val="20"/>
              </w:rPr>
              <w:t>201</w:t>
            </w:r>
            <w:r w:rsidR="00B16336">
              <w:rPr>
                <w:rFonts w:ascii="Arial TUR" w:hAnsi="Arial TUR" w:cs="Arial TUR"/>
                <w:b/>
                <w:bCs/>
                <w:sz w:val="20"/>
                <w:szCs w:val="20"/>
              </w:rPr>
              <w:t>5</w:t>
            </w:r>
            <w:r w:rsidR="00915B9C">
              <w:rPr>
                <w:rFonts w:ascii="Arial TUR" w:hAnsi="Arial TUR" w:cs="Arial TUR"/>
                <w:b/>
                <w:bCs/>
                <w:sz w:val="20"/>
                <w:szCs w:val="20"/>
              </w:rPr>
              <w:t xml:space="preserve"> – </w:t>
            </w:r>
            <w:r w:rsidR="00826E3D">
              <w:rPr>
                <w:rFonts w:ascii="Arial TUR" w:hAnsi="Arial TUR" w:cs="Arial TUR"/>
                <w:b/>
                <w:bCs/>
                <w:sz w:val="20"/>
                <w:szCs w:val="20"/>
              </w:rPr>
              <w:t>Q3</w:t>
            </w:r>
          </w:p>
        </w:tc>
        <w:tc>
          <w:tcPr>
            <w:tcW w:w="1110" w:type="dxa"/>
            <w:tcBorders>
              <w:top w:val="nil"/>
              <w:left w:val="nil"/>
              <w:bottom w:val="single" w:sz="4" w:space="0" w:color="auto"/>
              <w:right w:val="single" w:sz="4" w:space="0" w:color="auto"/>
            </w:tcBorders>
            <w:noWrap/>
            <w:vAlign w:val="bottom"/>
          </w:tcPr>
          <w:p w:rsidR="00915B9C" w:rsidRDefault="00826E3D" w:rsidP="00B16336">
            <w:pPr>
              <w:jc w:val="center"/>
              <w:rPr>
                <w:rFonts w:ascii="Arial TUR" w:hAnsi="Arial TUR" w:cs="Arial TUR"/>
                <w:b/>
                <w:bCs/>
                <w:sz w:val="20"/>
                <w:szCs w:val="20"/>
              </w:rPr>
            </w:pPr>
            <w:r>
              <w:rPr>
                <w:rFonts w:ascii="Arial TUR" w:hAnsi="Arial TUR" w:cs="Arial TUR"/>
                <w:b/>
                <w:bCs/>
                <w:sz w:val="20"/>
                <w:szCs w:val="20"/>
              </w:rPr>
              <w:t>Change</w:t>
            </w:r>
          </w:p>
        </w:tc>
        <w:tc>
          <w:tcPr>
            <w:tcW w:w="1630" w:type="dxa"/>
            <w:tcBorders>
              <w:top w:val="nil"/>
              <w:left w:val="nil"/>
              <w:bottom w:val="single" w:sz="4" w:space="0" w:color="auto"/>
              <w:right w:val="single" w:sz="4" w:space="0" w:color="auto"/>
            </w:tcBorders>
            <w:noWrap/>
            <w:vAlign w:val="bottom"/>
          </w:tcPr>
          <w:p w:rsidR="00915B9C" w:rsidRDefault="00826E3D" w:rsidP="00B16336">
            <w:pPr>
              <w:jc w:val="center"/>
              <w:rPr>
                <w:rFonts w:ascii="Arial TUR" w:hAnsi="Arial TUR" w:cs="Arial TUR"/>
                <w:b/>
                <w:bCs/>
                <w:sz w:val="20"/>
                <w:szCs w:val="20"/>
              </w:rPr>
            </w:pPr>
            <w:r>
              <w:rPr>
                <w:rFonts w:ascii="Arial TUR" w:hAnsi="Arial TUR" w:cs="Arial TUR"/>
                <w:b/>
                <w:bCs/>
                <w:sz w:val="20"/>
                <w:szCs w:val="20"/>
              </w:rPr>
              <w:t>Contributions   (pp)</w:t>
            </w:r>
          </w:p>
        </w:tc>
      </w:tr>
      <w:tr w:rsidR="008E45CA"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8E45CA" w:rsidRDefault="008E45CA" w:rsidP="00327358">
            <w:pPr>
              <w:rPr>
                <w:rFonts w:ascii="Arial TUR" w:hAnsi="Arial TUR" w:cs="Arial TUR"/>
                <w:b/>
                <w:bCs/>
                <w:sz w:val="20"/>
                <w:szCs w:val="20"/>
              </w:rPr>
            </w:pPr>
            <w:r>
              <w:rPr>
                <w:rFonts w:ascii="Arial TUR" w:hAnsi="Arial TUR" w:cs="Arial TUR"/>
                <w:b/>
                <w:bCs/>
                <w:sz w:val="20"/>
                <w:szCs w:val="20"/>
              </w:rPr>
              <w:t>Consumption</w:t>
            </w:r>
          </w:p>
        </w:tc>
        <w:tc>
          <w:tcPr>
            <w:tcW w:w="1110" w:type="dxa"/>
            <w:tcBorders>
              <w:top w:val="nil"/>
              <w:left w:val="nil"/>
              <w:bottom w:val="single" w:sz="4" w:space="0" w:color="auto"/>
              <w:right w:val="single" w:sz="4" w:space="0" w:color="auto"/>
            </w:tcBorders>
            <w:noWrap/>
            <w:vAlign w:val="bottom"/>
          </w:tcPr>
          <w:p w:rsidR="008E45CA" w:rsidRDefault="008E45CA">
            <w:pPr>
              <w:jc w:val="right"/>
              <w:rPr>
                <w:rFonts w:ascii="Arial" w:hAnsi="Arial" w:cs="Arial"/>
                <w:sz w:val="20"/>
                <w:szCs w:val="20"/>
              </w:rPr>
            </w:pPr>
            <w:r>
              <w:rPr>
                <w:rFonts w:ascii="Arial" w:hAnsi="Arial" w:cs="Arial"/>
                <w:sz w:val="20"/>
                <w:szCs w:val="20"/>
              </w:rPr>
              <w:t>1.4%</w:t>
            </w:r>
          </w:p>
        </w:tc>
        <w:tc>
          <w:tcPr>
            <w:tcW w:w="1630" w:type="dxa"/>
            <w:tcBorders>
              <w:top w:val="nil"/>
              <w:left w:val="nil"/>
              <w:bottom w:val="single" w:sz="4" w:space="0" w:color="auto"/>
              <w:right w:val="single" w:sz="4" w:space="0" w:color="auto"/>
            </w:tcBorders>
            <w:noWrap/>
            <w:vAlign w:val="bottom"/>
          </w:tcPr>
          <w:p w:rsidR="008E45CA" w:rsidRPr="005A7BB0" w:rsidRDefault="008E45CA" w:rsidP="005A7BB0">
            <w:pPr>
              <w:jc w:val="right"/>
              <w:rPr>
                <w:rFonts w:ascii="Arial" w:hAnsi="Arial" w:cs="Arial"/>
                <w:sz w:val="20"/>
                <w:szCs w:val="20"/>
              </w:rPr>
            </w:pPr>
            <w:r w:rsidRPr="005A7BB0">
              <w:rPr>
                <w:rFonts w:ascii="Arial" w:hAnsi="Arial" w:cs="Arial"/>
                <w:sz w:val="20"/>
                <w:szCs w:val="20"/>
              </w:rPr>
              <w:t>0.9</w:t>
            </w:r>
          </w:p>
        </w:tc>
      </w:tr>
      <w:tr w:rsidR="008E45CA"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8E45CA" w:rsidRDefault="008E45CA" w:rsidP="00327358">
            <w:pPr>
              <w:rPr>
                <w:rFonts w:ascii="Arial TUR" w:hAnsi="Arial TUR" w:cs="Arial TUR"/>
                <w:b/>
                <w:bCs/>
                <w:sz w:val="20"/>
                <w:szCs w:val="20"/>
              </w:rPr>
            </w:pPr>
            <w:r>
              <w:rPr>
                <w:rFonts w:ascii="Arial TUR" w:hAnsi="Arial TUR" w:cs="Arial TUR"/>
                <w:b/>
                <w:bCs/>
                <w:sz w:val="20"/>
                <w:szCs w:val="20"/>
              </w:rPr>
              <w:t>Private Consumption</w:t>
            </w:r>
          </w:p>
        </w:tc>
        <w:tc>
          <w:tcPr>
            <w:tcW w:w="1110" w:type="dxa"/>
            <w:tcBorders>
              <w:top w:val="nil"/>
              <w:left w:val="nil"/>
              <w:bottom w:val="single" w:sz="4" w:space="0" w:color="auto"/>
              <w:right w:val="single" w:sz="4" w:space="0" w:color="auto"/>
            </w:tcBorders>
            <w:noWrap/>
            <w:vAlign w:val="bottom"/>
          </w:tcPr>
          <w:p w:rsidR="008E45CA" w:rsidRDefault="008E45CA">
            <w:pPr>
              <w:jc w:val="right"/>
              <w:rPr>
                <w:rFonts w:ascii="Arial" w:hAnsi="Arial" w:cs="Arial"/>
                <w:sz w:val="20"/>
                <w:szCs w:val="20"/>
              </w:rPr>
            </w:pPr>
            <w:r>
              <w:rPr>
                <w:rFonts w:ascii="Arial" w:hAnsi="Arial" w:cs="Arial"/>
                <w:sz w:val="20"/>
                <w:szCs w:val="20"/>
              </w:rPr>
              <w:t>-6.3%</w:t>
            </w:r>
          </w:p>
        </w:tc>
        <w:tc>
          <w:tcPr>
            <w:tcW w:w="1630" w:type="dxa"/>
            <w:tcBorders>
              <w:top w:val="nil"/>
              <w:left w:val="nil"/>
              <w:bottom w:val="single" w:sz="4" w:space="0" w:color="auto"/>
              <w:right w:val="single" w:sz="4" w:space="0" w:color="auto"/>
            </w:tcBorders>
            <w:noWrap/>
            <w:vAlign w:val="bottom"/>
          </w:tcPr>
          <w:p w:rsidR="008E45CA" w:rsidRPr="005A7BB0" w:rsidRDefault="008E45CA">
            <w:pPr>
              <w:jc w:val="right"/>
              <w:rPr>
                <w:rFonts w:ascii="Arial" w:hAnsi="Arial" w:cs="Arial"/>
                <w:sz w:val="20"/>
                <w:szCs w:val="20"/>
              </w:rPr>
            </w:pPr>
            <w:r w:rsidRPr="005A7BB0">
              <w:rPr>
                <w:rFonts w:ascii="Arial" w:hAnsi="Arial" w:cs="Arial"/>
                <w:sz w:val="20"/>
                <w:szCs w:val="20"/>
              </w:rPr>
              <w:t>-1.3</w:t>
            </w:r>
          </w:p>
        </w:tc>
      </w:tr>
      <w:tr w:rsidR="008E45CA"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8E45CA" w:rsidRDefault="008E45CA" w:rsidP="00327358">
            <w:pPr>
              <w:rPr>
                <w:rFonts w:ascii="Arial TUR" w:hAnsi="Arial TUR" w:cs="Arial TUR"/>
                <w:b/>
                <w:bCs/>
                <w:sz w:val="20"/>
                <w:szCs w:val="20"/>
              </w:rPr>
            </w:pPr>
            <w:r>
              <w:rPr>
                <w:rFonts w:ascii="Arial TUR" w:hAnsi="Arial TUR" w:cs="Arial TUR"/>
                <w:b/>
                <w:bCs/>
                <w:sz w:val="20"/>
                <w:szCs w:val="20"/>
              </w:rPr>
              <w:t>Public Spendings</w:t>
            </w:r>
          </w:p>
        </w:tc>
        <w:tc>
          <w:tcPr>
            <w:tcW w:w="1110" w:type="dxa"/>
            <w:tcBorders>
              <w:top w:val="nil"/>
              <w:left w:val="nil"/>
              <w:bottom w:val="single" w:sz="4" w:space="0" w:color="auto"/>
              <w:right w:val="single" w:sz="4" w:space="0" w:color="auto"/>
            </w:tcBorders>
            <w:noWrap/>
            <w:vAlign w:val="bottom"/>
          </w:tcPr>
          <w:p w:rsidR="008E45CA" w:rsidRDefault="008E45CA">
            <w:pPr>
              <w:jc w:val="right"/>
              <w:rPr>
                <w:rFonts w:ascii="Arial" w:hAnsi="Arial" w:cs="Arial"/>
                <w:sz w:val="20"/>
                <w:szCs w:val="20"/>
              </w:rPr>
            </w:pPr>
            <w:r>
              <w:rPr>
                <w:rFonts w:ascii="Arial" w:hAnsi="Arial" w:cs="Arial"/>
                <w:sz w:val="20"/>
                <w:szCs w:val="20"/>
              </w:rPr>
              <w:t>2.2%</w:t>
            </w:r>
          </w:p>
        </w:tc>
        <w:tc>
          <w:tcPr>
            <w:tcW w:w="1630" w:type="dxa"/>
            <w:tcBorders>
              <w:top w:val="nil"/>
              <w:left w:val="nil"/>
              <w:bottom w:val="single" w:sz="4" w:space="0" w:color="auto"/>
              <w:right w:val="single" w:sz="4" w:space="0" w:color="auto"/>
            </w:tcBorders>
            <w:noWrap/>
            <w:vAlign w:val="bottom"/>
          </w:tcPr>
          <w:p w:rsidR="008E45CA" w:rsidRPr="005A7BB0" w:rsidRDefault="008E45CA">
            <w:pPr>
              <w:jc w:val="right"/>
              <w:rPr>
                <w:rFonts w:ascii="Arial" w:hAnsi="Arial" w:cs="Arial"/>
                <w:sz w:val="20"/>
                <w:szCs w:val="20"/>
              </w:rPr>
            </w:pPr>
            <w:r w:rsidRPr="005A7BB0">
              <w:rPr>
                <w:rFonts w:ascii="Arial" w:hAnsi="Arial" w:cs="Arial"/>
                <w:sz w:val="20"/>
                <w:szCs w:val="20"/>
              </w:rPr>
              <w:t>0.3</w:t>
            </w:r>
          </w:p>
        </w:tc>
      </w:tr>
      <w:tr w:rsidR="008E45CA"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8E45CA" w:rsidRDefault="008E45CA" w:rsidP="00327358">
            <w:pPr>
              <w:rPr>
                <w:rFonts w:ascii="Arial TUR" w:hAnsi="Arial TUR" w:cs="Arial TUR"/>
                <w:b/>
                <w:bCs/>
                <w:sz w:val="20"/>
                <w:szCs w:val="20"/>
              </w:rPr>
            </w:pPr>
            <w:r>
              <w:rPr>
                <w:rFonts w:ascii="Arial TUR" w:hAnsi="Arial TUR" w:cs="Arial TUR"/>
                <w:b/>
                <w:bCs/>
                <w:sz w:val="20"/>
                <w:szCs w:val="20"/>
              </w:rPr>
              <w:t>Inventory Investment</w:t>
            </w:r>
          </w:p>
        </w:tc>
        <w:tc>
          <w:tcPr>
            <w:tcW w:w="1110" w:type="dxa"/>
            <w:tcBorders>
              <w:top w:val="nil"/>
              <w:left w:val="nil"/>
              <w:bottom w:val="single" w:sz="4" w:space="0" w:color="auto"/>
              <w:right w:val="single" w:sz="4" w:space="0" w:color="auto"/>
            </w:tcBorders>
            <w:noWrap/>
            <w:vAlign w:val="bottom"/>
          </w:tcPr>
          <w:p w:rsidR="008E45CA" w:rsidRDefault="008E45CA">
            <w:pPr>
              <w:rPr>
                <w:rFonts w:ascii="Arial" w:hAnsi="Arial" w:cs="Arial"/>
                <w:sz w:val="20"/>
                <w:szCs w:val="20"/>
              </w:rPr>
            </w:pPr>
            <w:r>
              <w:rPr>
                <w:rFonts w:ascii="Arial" w:hAnsi="Arial" w:cs="Arial"/>
                <w:sz w:val="20"/>
                <w:szCs w:val="20"/>
              </w:rPr>
              <w:t> </w:t>
            </w:r>
          </w:p>
        </w:tc>
        <w:tc>
          <w:tcPr>
            <w:tcW w:w="1630" w:type="dxa"/>
            <w:tcBorders>
              <w:top w:val="nil"/>
              <w:left w:val="nil"/>
              <w:bottom w:val="single" w:sz="4" w:space="0" w:color="auto"/>
              <w:right w:val="single" w:sz="4" w:space="0" w:color="auto"/>
            </w:tcBorders>
            <w:noWrap/>
            <w:vAlign w:val="bottom"/>
          </w:tcPr>
          <w:p w:rsidR="008E45CA" w:rsidRPr="005A7BB0" w:rsidRDefault="008E45CA">
            <w:pPr>
              <w:jc w:val="right"/>
              <w:rPr>
                <w:rFonts w:ascii="Arial" w:hAnsi="Arial" w:cs="Arial"/>
                <w:sz w:val="20"/>
                <w:szCs w:val="20"/>
              </w:rPr>
            </w:pPr>
            <w:r w:rsidRPr="005A7BB0">
              <w:rPr>
                <w:rFonts w:ascii="Arial" w:hAnsi="Arial" w:cs="Arial"/>
                <w:sz w:val="20"/>
                <w:szCs w:val="20"/>
              </w:rPr>
              <w:t>-0.5</w:t>
            </w:r>
          </w:p>
        </w:tc>
      </w:tr>
      <w:tr w:rsidR="008E45CA"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8E45CA" w:rsidRDefault="008E45CA" w:rsidP="00327358">
            <w:pPr>
              <w:rPr>
                <w:rFonts w:ascii="Arial TUR" w:hAnsi="Arial TUR" w:cs="Arial TUR"/>
                <w:b/>
                <w:bCs/>
                <w:sz w:val="20"/>
                <w:szCs w:val="20"/>
              </w:rPr>
            </w:pPr>
            <w:r>
              <w:rPr>
                <w:rFonts w:ascii="Arial TUR" w:hAnsi="Arial TUR" w:cs="Arial TUR"/>
                <w:b/>
                <w:bCs/>
                <w:sz w:val="20"/>
                <w:szCs w:val="20"/>
              </w:rPr>
              <w:t>Export</w:t>
            </w:r>
          </w:p>
        </w:tc>
        <w:tc>
          <w:tcPr>
            <w:tcW w:w="1110" w:type="dxa"/>
            <w:tcBorders>
              <w:top w:val="nil"/>
              <w:left w:val="nil"/>
              <w:bottom w:val="single" w:sz="4" w:space="0" w:color="auto"/>
              <w:right w:val="single" w:sz="4" w:space="0" w:color="auto"/>
            </w:tcBorders>
            <w:noWrap/>
            <w:vAlign w:val="bottom"/>
          </w:tcPr>
          <w:p w:rsidR="008E45CA" w:rsidRDefault="008E45CA">
            <w:pPr>
              <w:jc w:val="right"/>
              <w:rPr>
                <w:rFonts w:ascii="Arial" w:hAnsi="Arial" w:cs="Arial"/>
                <w:sz w:val="20"/>
                <w:szCs w:val="20"/>
              </w:rPr>
            </w:pPr>
            <w:r>
              <w:rPr>
                <w:rFonts w:ascii="Arial" w:hAnsi="Arial" w:cs="Arial"/>
                <w:sz w:val="20"/>
                <w:szCs w:val="20"/>
              </w:rPr>
              <w:t>1.6%</w:t>
            </w:r>
          </w:p>
        </w:tc>
        <w:tc>
          <w:tcPr>
            <w:tcW w:w="1630" w:type="dxa"/>
            <w:tcBorders>
              <w:top w:val="nil"/>
              <w:left w:val="nil"/>
              <w:bottom w:val="single" w:sz="4" w:space="0" w:color="auto"/>
              <w:right w:val="single" w:sz="4" w:space="0" w:color="auto"/>
            </w:tcBorders>
            <w:noWrap/>
            <w:vAlign w:val="bottom"/>
          </w:tcPr>
          <w:p w:rsidR="008E45CA" w:rsidRPr="005A7BB0" w:rsidRDefault="008E45CA">
            <w:pPr>
              <w:jc w:val="right"/>
              <w:rPr>
                <w:rFonts w:ascii="Arial" w:hAnsi="Arial" w:cs="Arial"/>
                <w:sz w:val="20"/>
                <w:szCs w:val="20"/>
              </w:rPr>
            </w:pPr>
            <w:r w:rsidRPr="005A7BB0">
              <w:rPr>
                <w:rFonts w:ascii="Arial" w:hAnsi="Arial" w:cs="Arial"/>
                <w:sz w:val="20"/>
                <w:szCs w:val="20"/>
              </w:rPr>
              <w:t>0.4</w:t>
            </w:r>
          </w:p>
        </w:tc>
      </w:tr>
      <w:tr w:rsidR="008E45CA" w:rsidTr="005A7BB0">
        <w:trPr>
          <w:trHeight w:val="254"/>
        </w:trPr>
        <w:tc>
          <w:tcPr>
            <w:tcW w:w="2009" w:type="dxa"/>
            <w:tcBorders>
              <w:top w:val="nil"/>
              <w:left w:val="single" w:sz="4" w:space="0" w:color="auto"/>
              <w:bottom w:val="single" w:sz="4" w:space="0" w:color="auto"/>
              <w:right w:val="single" w:sz="4" w:space="0" w:color="auto"/>
            </w:tcBorders>
            <w:noWrap/>
            <w:vAlign w:val="bottom"/>
          </w:tcPr>
          <w:p w:rsidR="008E45CA" w:rsidRDefault="008E45CA" w:rsidP="00327358">
            <w:pPr>
              <w:rPr>
                <w:rFonts w:ascii="Arial TUR" w:hAnsi="Arial TUR" w:cs="Arial TUR"/>
                <w:b/>
                <w:bCs/>
                <w:sz w:val="20"/>
                <w:szCs w:val="20"/>
              </w:rPr>
            </w:pPr>
            <w:r>
              <w:rPr>
                <w:rFonts w:ascii="Arial TUR" w:hAnsi="Arial TUR" w:cs="Arial TUR"/>
                <w:b/>
                <w:bCs/>
                <w:sz w:val="20"/>
                <w:szCs w:val="20"/>
              </w:rPr>
              <w:t>Import</w:t>
            </w:r>
          </w:p>
        </w:tc>
        <w:tc>
          <w:tcPr>
            <w:tcW w:w="1110" w:type="dxa"/>
            <w:tcBorders>
              <w:top w:val="nil"/>
              <w:left w:val="nil"/>
              <w:bottom w:val="single" w:sz="4" w:space="0" w:color="auto"/>
              <w:right w:val="single" w:sz="4" w:space="0" w:color="auto"/>
            </w:tcBorders>
            <w:noWrap/>
            <w:vAlign w:val="bottom"/>
          </w:tcPr>
          <w:p w:rsidR="008E45CA" w:rsidRDefault="008E45CA">
            <w:pPr>
              <w:jc w:val="right"/>
              <w:rPr>
                <w:rFonts w:ascii="Arial" w:hAnsi="Arial" w:cs="Arial"/>
                <w:sz w:val="20"/>
                <w:szCs w:val="20"/>
              </w:rPr>
            </w:pPr>
            <w:r>
              <w:rPr>
                <w:rFonts w:ascii="Arial" w:hAnsi="Arial" w:cs="Arial"/>
                <w:sz w:val="20"/>
                <w:szCs w:val="20"/>
              </w:rPr>
              <w:t>-4.6%</w:t>
            </w:r>
          </w:p>
        </w:tc>
        <w:tc>
          <w:tcPr>
            <w:tcW w:w="1630" w:type="dxa"/>
            <w:tcBorders>
              <w:top w:val="nil"/>
              <w:left w:val="nil"/>
              <w:bottom w:val="single" w:sz="4" w:space="0" w:color="auto"/>
              <w:right w:val="single" w:sz="4" w:space="0" w:color="auto"/>
            </w:tcBorders>
            <w:noWrap/>
            <w:vAlign w:val="bottom"/>
          </w:tcPr>
          <w:p w:rsidR="008E45CA" w:rsidRPr="005A7BB0" w:rsidRDefault="008E45CA">
            <w:pPr>
              <w:jc w:val="right"/>
              <w:rPr>
                <w:rFonts w:ascii="Arial" w:hAnsi="Arial" w:cs="Arial"/>
                <w:sz w:val="20"/>
                <w:szCs w:val="20"/>
              </w:rPr>
            </w:pPr>
            <w:r w:rsidRPr="005A7BB0">
              <w:rPr>
                <w:rFonts w:ascii="Arial" w:hAnsi="Arial" w:cs="Arial"/>
                <w:sz w:val="20"/>
                <w:szCs w:val="20"/>
              </w:rPr>
              <w:t>1.3</w:t>
            </w:r>
          </w:p>
        </w:tc>
      </w:tr>
      <w:tr w:rsidR="008E45CA" w:rsidTr="005A7BB0">
        <w:trPr>
          <w:trHeight w:val="254"/>
        </w:trPr>
        <w:tc>
          <w:tcPr>
            <w:tcW w:w="2009" w:type="dxa"/>
            <w:tcBorders>
              <w:top w:val="single" w:sz="4" w:space="0" w:color="auto"/>
              <w:left w:val="single" w:sz="4" w:space="0" w:color="auto"/>
              <w:bottom w:val="single" w:sz="4" w:space="0" w:color="auto"/>
              <w:right w:val="single" w:sz="4" w:space="0" w:color="auto"/>
            </w:tcBorders>
            <w:noWrap/>
            <w:vAlign w:val="bottom"/>
          </w:tcPr>
          <w:p w:rsidR="008E45CA" w:rsidRPr="00915B9C" w:rsidRDefault="008E45CA" w:rsidP="00327358">
            <w:pPr>
              <w:rPr>
                <w:rFonts w:ascii="Arial" w:hAnsi="Arial" w:cs="Arial"/>
                <w:b/>
                <w:sz w:val="20"/>
                <w:szCs w:val="20"/>
              </w:rPr>
            </w:pPr>
            <w:r w:rsidRPr="00915B9C">
              <w:rPr>
                <w:rFonts w:ascii="Arial" w:hAnsi="Arial" w:cs="Arial"/>
                <w:b/>
                <w:sz w:val="20"/>
                <w:szCs w:val="20"/>
              </w:rPr>
              <w:t>GSYH </w:t>
            </w:r>
          </w:p>
        </w:tc>
        <w:tc>
          <w:tcPr>
            <w:tcW w:w="1110" w:type="dxa"/>
            <w:tcBorders>
              <w:top w:val="single" w:sz="4" w:space="0" w:color="auto"/>
              <w:left w:val="nil"/>
              <w:bottom w:val="single" w:sz="4" w:space="0" w:color="auto"/>
              <w:right w:val="single" w:sz="4" w:space="0" w:color="auto"/>
            </w:tcBorders>
            <w:noWrap/>
            <w:vAlign w:val="bottom"/>
          </w:tcPr>
          <w:p w:rsidR="008E45CA" w:rsidRDefault="008E45CA" w:rsidP="00B16336">
            <w:pPr>
              <w:jc w:val="right"/>
              <w:rPr>
                <w:rFonts w:ascii="Arial" w:hAnsi="Arial" w:cs="Arial"/>
                <w:sz w:val="20"/>
                <w:szCs w:val="20"/>
              </w:rPr>
            </w:pPr>
            <w:r>
              <w:rPr>
                <w:rFonts w:ascii="Arial" w:hAnsi="Arial" w:cs="Arial"/>
                <w:sz w:val="20"/>
                <w:szCs w:val="20"/>
              </w:rPr>
              <w:t>1.2%</w:t>
            </w:r>
          </w:p>
        </w:tc>
        <w:tc>
          <w:tcPr>
            <w:tcW w:w="1630" w:type="dxa"/>
            <w:tcBorders>
              <w:top w:val="single" w:sz="4" w:space="0" w:color="auto"/>
              <w:left w:val="nil"/>
              <w:bottom w:val="single" w:sz="4" w:space="0" w:color="auto"/>
              <w:right w:val="single" w:sz="4" w:space="0" w:color="auto"/>
            </w:tcBorders>
            <w:noWrap/>
            <w:vAlign w:val="bottom"/>
          </w:tcPr>
          <w:p w:rsidR="008E45CA" w:rsidRDefault="008E45CA" w:rsidP="00B16336">
            <w:pPr>
              <w:jc w:val="right"/>
              <w:rPr>
                <w:rFonts w:ascii="Arial" w:hAnsi="Arial" w:cs="Arial"/>
                <w:sz w:val="20"/>
                <w:szCs w:val="20"/>
              </w:rPr>
            </w:pPr>
          </w:p>
        </w:tc>
      </w:tr>
    </w:tbl>
    <w:p w:rsidR="00915B9C" w:rsidRDefault="00C237CD" w:rsidP="00915B9C">
      <w:pPr>
        <w:pStyle w:val="NormalWeb"/>
        <w:spacing w:before="0" w:beforeAutospacing="0" w:after="0" w:afterAutospacing="0"/>
        <w:jc w:val="both"/>
        <w:rPr>
          <w:rFonts w:ascii="Arial" w:hAnsi="Arial" w:cs="Arial"/>
          <w:sz w:val="20"/>
          <w:szCs w:val="20"/>
        </w:rPr>
      </w:pPr>
      <w:r>
        <w:rPr>
          <w:rFonts w:ascii="Arial" w:hAnsi="Arial" w:cs="Arial"/>
          <w:sz w:val="16"/>
          <w:szCs w:val="16"/>
        </w:rPr>
        <w:t>Source</w:t>
      </w:r>
      <w:r w:rsidR="00915B9C" w:rsidRPr="00660DE2">
        <w:rPr>
          <w:rFonts w:ascii="Arial" w:hAnsi="Arial" w:cs="Arial"/>
          <w:sz w:val="16"/>
          <w:szCs w:val="16"/>
        </w:rPr>
        <w:t xml:space="preserve"> : </w:t>
      </w:r>
      <w:r>
        <w:rPr>
          <w:rFonts w:ascii="Arial" w:hAnsi="Arial" w:cs="Arial"/>
          <w:sz w:val="16"/>
          <w:szCs w:val="16"/>
        </w:rPr>
        <w:t>Turkstat</w:t>
      </w:r>
      <w:r w:rsidR="00915B9C" w:rsidRPr="00660DE2">
        <w:rPr>
          <w:rFonts w:ascii="Arial" w:hAnsi="Arial" w:cs="Arial"/>
          <w:sz w:val="16"/>
          <w:szCs w:val="16"/>
        </w:rPr>
        <w:t>.</w:t>
      </w:r>
    </w:p>
    <w:p w:rsidR="008E45CA" w:rsidRPr="00D771ED" w:rsidRDefault="00915B9C" w:rsidP="00826E3D">
      <w:pPr>
        <w:pStyle w:val="NormalWeb"/>
        <w:spacing w:before="0" w:beforeAutospacing="0" w:after="0" w:afterAutospacing="0" w:line="276" w:lineRule="auto"/>
        <w:ind w:right="77"/>
        <w:rPr>
          <w:b/>
          <w:bCs/>
          <w:sz w:val="22"/>
          <w:szCs w:val="22"/>
        </w:rPr>
      </w:pPr>
      <w:r>
        <w:rPr>
          <w:b/>
          <w:bCs/>
          <w:sz w:val="22"/>
          <w:szCs w:val="22"/>
        </w:rPr>
        <w:br w:type="column"/>
      </w:r>
      <w:r w:rsidR="00826E3D" w:rsidRPr="00826E3D">
        <w:rPr>
          <w:rFonts w:ascii="Arial" w:hAnsi="Arial" w:cs="Arial"/>
          <w:b/>
          <w:bCs/>
          <w:sz w:val="20"/>
          <w:szCs w:val="20"/>
          <w:lang w:val="en-US"/>
        </w:rPr>
        <w:lastRenderedPageBreak/>
        <w:t>Table 2.Changes in and contributions of GDP components for 2015Q4 and 2015Q3,</w:t>
      </w:r>
      <w:r w:rsidR="00826E3D" w:rsidRPr="0036710C">
        <w:rPr>
          <w:b/>
          <w:sz w:val="22"/>
          <w:szCs w:val="22"/>
          <w:lang w:val="en-US"/>
        </w:rPr>
        <w:t xml:space="preserve"> </w:t>
      </w:r>
      <w:r w:rsidR="00826E3D" w:rsidRPr="00826E3D">
        <w:rPr>
          <w:rFonts w:ascii="Arial" w:hAnsi="Arial" w:cs="Arial"/>
          <w:b/>
          <w:bCs/>
          <w:sz w:val="20"/>
          <w:szCs w:val="20"/>
          <w:u w:val="single"/>
          <w:lang w:val="en-US"/>
        </w:rPr>
        <w:t>compared to the same quarter of previous year</w:t>
      </w:r>
    </w:p>
    <w:p w:rsidR="008E45CA" w:rsidRDefault="008E45CA" w:rsidP="00826E3D">
      <w:pPr>
        <w:pStyle w:val="NormalWeb"/>
        <w:spacing w:before="0" w:beforeAutospacing="0" w:after="0" w:afterAutospacing="0" w:line="276" w:lineRule="auto"/>
        <w:ind w:right="77"/>
        <w:rPr>
          <w:b/>
          <w:sz w:val="22"/>
          <w:szCs w:val="22"/>
          <w:lang w:val="en-US"/>
        </w:rPr>
      </w:pPr>
    </w:p>
    <w:p w:rsidR="00D771ED" w:rsidRPr="00826E3D" w:rsidRDefault="00D771ED" w:rsidP="00826E3D">
      <w:pPr>
        <w:pStyle w:val="NormalWeb"/>
        <w:spacing w:before="0" w:beforeAutospacing="0" w:after="0" w:afterAutospacing="0" w:line="276" w:lineRule="auto"/>
        <w:ind w:right="77"/>
        <w:rPr>
          <w:b/>
          <w:sz w:val="22"/>
          <w:szCs w:val="22"/>
          <w:lang w:val="en-US"/>
        </w:rPr>
      </w:pPr>
    </w:p>
    <w:tbl>
      <w:tblPr>
        <w:tblW w:w="5010" w:type="dxa"/>
        <w:tblInd w:w="70" w:type="dxa"/>
        <w:tblLayout w:type="fixed"/>
        <w:tblCellMar>
          <w:left w:w="70" w:type="dxa"/>
          <w:right w:w="70" w:type="dxa"/>
        </w:tblCellMar>
        <w:tblLook w:val="0000" w:firstRow="0" w:lastRow="0" w:firstColumn="0" w:lastColumn="0" w:noHBand="0" w:noVBand="0"/>
      </w:tblPr>
      <w:tblGrid>
        <w:gridCol w:w="2152"/>
        <w:gridCol w:w="1237"/>
        <w:gridCol w:w="1621"/>
      </w:tblGrid>
      <w:tr w:rsidR="00915B9C" w:rsidTr="00D771ED">
        <w:trPr>
          <w:trHeight w:val="312"/>
        </w:trPr>
        <w:tc>
          <w:tcPr>
            <w:tcW w:w="2152" w:type="dxa"/>
            <w:tcBorders>
              <w:top w:val="single" w:sz="4" w:space="0" w:color="auto"/>
              <w:left w:val="single" w:sz="4" w:space="0" w:color="auto"/>
              <w:bottom w:val="single" w:sz="4" w:space="0" w:color="auto"/>
              <w:right w:val="single" w:sz="4" w:space="0" w:color="auto"/>
            </w:tcBorders>
            <w:noWrap/>
            <w:vAlign w:val="bottom"/>
          </w:tcPr>
          <w:p w:rsidR="00915B9C" w:rsidRPr="005E763B" w:rsidRDefault="00915B9C" w:rsidP="00B16336">
            <w:pPr>
              <w:rPr>
                <w:rFonts w:ascii="Arial" w:hAnsi="Arial" w:cs="Arial"/>
                <w:b/>
                <w:bCs/>
                <w:sz w:val="20"/>
                <w:szCs w:val="20"/>
              </w:rPr>
            </w:pPr>
            <w:r>
              <w:rPr>
                <w:rFonts w:ascii="Arial" w:hAnsi="Arial" w:cs="Arial"/>
                <w:b/>
                <w:bCs/>
                <w:sz w:val="20"/>
                <w:szCs w:val="20"/>
              </w:rPr>
              <w:t>201</w:t>
            </w:r>
            <w:r w:rsidR="00B16336">
              <w:rPr>
                <w:rFonts w:ascii="Arial" w:hAnsi="Arial" w:cs="Arial"/>
                <w:b/>
                <w:bCs/>
                <w:sz w:val="20"/>
                <w:szCs w:val="20"/>
              </w:rPr>
              <w:t>5</w:t>
            </w:r>
            <w:r>
              <w:rPr>
                <w:rFonts w:ascii="Arial" w:hAnsi="Arial" w:cs="Arial"/>
                <w:b/>
                <w:bCs/>
                <w:sz w:val="20"/>
                <w:szCs w:val="20"/>
              </w:rPr>
              <w:t xml:space="preserve"> – </w:t>
            </w:r>
            <w:r w:rsidR="00826E3D">
              <w:rPr>
                <w:rFonts w:ascii="Arial" w:hAnsi="Arial" w:cs="Arial"/>
                <w:b/>
                <w:bCs/>
                <w:sz w:val="20"/>
                <w:szCs w:val="20"/>
              </w:rPr>
              <w:t>Q4</w:t>
            </w:r>
          </w:p>
        </w:tc>
        <w:tc>
          <w:tcPr>
            <w:tcW w:w="1237" w:type="dxa"/>
            <w:tcBorders>
              <w:top w:val="single" w:sz="4" w:space="0" w:color="auto"/>
              <w:left w:val="nil"/>
              <w:bottom w:val="single" w:sz="4" w:space="0" w:color="auto"/>
              <w:right w:val="single" w:sz="4" w:space="0" w:color="auto"/>
            </w:tcBorders>
            <w:noWrap/>
            <w:vAlign w:val="bottom"/>
          </w:tcPr>
          <w:p w:rsidR="00915B9C" w:rsidRPr="005E763B" w:rsidRDefault="00826E3D" w:rsidP="00B16336">
            <w:pPr>
              <w:jc w:val="center"/>
              <w:rPr>
                <w:rFonts w:ascii="Arial" w:hAnsi="Arial" w:cs="Arial"/>
                <w:b/>
                <w:bCs/>
                <w:sz w:val="20"/>
                <w:szCs w:val="20"/>
              </w:rPr>
            </w:pPr>
            <w:r>
              <w:rPr>
                <w:rFonts w:ascii="Arial" w:hAnsi="Arial" w:cs="Arial"/>
                <w:b/>
                <w:bCs/>
                <w:sz w:val="20"/>
                <w:szCs w:val="20"/>
              </w:rPr>
              <w:t>Change</w:t>
            </w:r>
          </w:p>
        </w:tc>
        <w:tc>
          <w:tcPr>
            <w:tcW w:w="1621" w:type="dxa"/>
            <w:tcBorders>
              <w:top w:val="single" w:sz="4" w:space="0" w:color="auto"/>
              <w:left w:val="nil"/>
              <w:bottom w:val="single" w:sz="4" w:space="0" w:color="auto"/>
              <w:right w:val="single" w:sz="4" w:space="0" w:color="auto"/>
            </w:tcBorders>
            <w:noWrap/>
            <w:vAlign w:val="bottom"/>
          </w:tcPr>
          <w:p w:rsidR="00915B9C" w:rsidRPr="005E763B" w:rsidRDefault="00826E3D" w:rsidP="00826E3D">
            <w:pPr>
              <w:jc w:val="center"/>
              <w:rPr>
                <w:rFonts w:ascii="Arial" w:hAnsi="Arial" w:cs="Arial"/>
                <w:b/>
                <w:bCs/>
                <w:sz w:val="20"/>
                <w:szCs w:val="20"/>
              </w:rPr>
            </w:pPr>
            <w:r>
              <w:rPr>
                <w:rFonts w:ascii="Arial TUR" w:hAnsi="Arial TUR" w:cs="Arial TUR"/>
                <w:b/>
                <w:bCs/>
                <w:sz w:val="20"/>
                <w:szCs w:val="20"/>
              </w:rPr>
              <w:t>Contributions   (pp)</w:t>
            </w:r>
          </w:p>
        </w:tc>
      </w:tr>
      <w:tr w:rsidR="008E45CA" w:rsidTr="00D771ED">
        <w:trPr>
          <w:trHeight w:val="312"/>
        </w:trPr>
        <w:tc>
          <w:tcPr>
            <w:tcW w:w="2152" w:type="dxa"/>
            <w:tcBorders>
              <w:top w:val="nil"/>
              <w:left w:val="single" w:sz="4" w:space="0" w:color="auto"/>
              <w:bottom w:val="single" w:sz="4" w:space="0" w:color="auto"/>
              <w:right w:val="single" w:sz="4" w:space="0" w:color="auto"/>
            </w:tcBorders>
            <w:noWrap/>
            <w:vAlign w:val="bottom"/>
          </w:tcPr>
          <w:p w:rsidR="008E45CA" w:rsidRDefault="008E45CA" w:rsidP="00327358">
            <w:pPr>
              <w:rPr>
                <w:rFonts w:ascii="Arial TUR" w:hAnsi="Arial TUR" w:cs="Arial TUR"/>
                <w:b/>
                <w:bCs/>
                <w:sz w:val="20"/>
                <w:szCs w:val="20"/>
              </w:rPr>
            </w:pPr>
            <w:r>
              <w:rPr>
                <w:rFonts w:ascii="Arial TUR" w:hAnsi="Arial TUR" w:cs="Arial TUR"/>
                <w:b/>
                <w:bCs/>
                <w:sz w:val="20"/>
                <w:szCs w:val="20"/>
              </w:rPr>
              <w:t>Consumption</w:t>
            </w:r>
          </w:p>
        </w:tc>
        <w:tc>
          <w:tcPr>
            <w:tcW w:w="1237" w:type="dxa"/>
            <w:tcBorders>
              <w:top w:val="nil"/>
              <w:left w:val="nil"/>
              <w:bottom w:val="single" w:sz="4" w:space="0" w:color="auto"/>
              <w:right w:val="single" w:sz="4" w:space="0" w:color="auto"/>
            </w:tcBorders>
            <w:noWrap/>
            <w:vAlign w:val="bottom"/>
          </w:tcPr>
          <w:p w:rsidR="008E45CA" w:rsidRDefault="008E45CA">
            <w:pPr>
              <w:jc w:val="right"/>
              <w:rPr>
                <w:rFonts w:ascii="Arial" w:hAnsi="Arial" w:cs="Arial"/>
                <w:sz w:val="20"/>
                <w:szCs w:val="20"/>
              </w:rPr>
            </w:pPr>
            <w:r>
              <w:rPr>
                <w:rFonts w:ascii="Arial" w:hAnsi="Arial" w:cs="Arial"/>
                <w:sz w:val="20"/>
                <w:szCs w:val="20"/>
              </w:rPr>
              <w:t>4.7%</w:t>
            </w:r>
          </w:p>
        </w:tc>
        <w:tc>
          <w:tcPr>
            <w:tcW w:w="1621" w:type="dxa"/>
            <w:tcBorders>
              <w:top w:val="nil"/>
              <w:left w:val="nil"/>
              <w:bottom w:val="single" w:sz="4" w:space="0" w:color="auto"/>
              <w:right w:val="single" w:sz="4" w:space="0" w:color="auto"/>
            </w:tcBorders>
            <w:noWrap/>
            <w:vAlign w:val="bottom"/>
          </w:tcPr>
          <w:p w:rsidR="008E45CA" w:rsidRPr="005A7BB0" w:rsidRDefault="008E45CA" w:rsidP="005A7BB0">
            <w:pPr>
              <w:jc w:val="right"/>
              <w:rPr>
                <w:rFonts w:ascii="Arial" w:hAnsi="Arial" w:cs="Arial"/>
                <w:sz w:val="20"/>
                <w:szCs w:val="20"/>
              </w:rPr>
            </w:pPr>
            <w:r w:rsidRPr="005A7BB0">
              <w:rPr>
                <w:rFonts w:ascii="Arial" w:hAnsi="Arial" w:cs="Arial"/>
                <w:sz w:val="20"/>
                <w:szCs w:val="20"/>
              </w:rPr>
              <w:t>3.2</w:t>
            </w:r>
          </w:p>
        </w:tc>
      </w:tr>
      <w:tr w:rsidR="008E45CA" w:rsidTr="00D771ED">
        <w:trPr>
          <w:trHeight w:val="312"/>
        </w:trPr>
        <w:tc>
          <w:tcPr>
            <w:tcW w:w="2152" w:type="dxa"/>
            <w:tcBorders>
              <w:top w:val="nil"/>
              <w:left w:val="single" w:sz="4" w:space="0" w:color="auto"/>
              <w:bottom w:val="single" w:sz="4" w:space="0" w:color="auto"/>
              <w:right w:val="single" w:sz="4" w:space="0" w:color="auto"/>
            </w:tcBorders>
            <w:noWrap/>
            <w:vAlign w:val="bottom"/>
          </w:tcPr>
          <w:p w:rsidR="008E45CA" w:rsidRDefault="008E45CA" w:rsidP="00327358">
            <w:pPr>
              <w:rPr>
                <w:rFonts w:ascii="Arial TUR" w:hAnsi="Arial TUR" w:cs="Arial TUR"/>
                <w:b/>
                <w:bCs/>
                <w:sz w:val="20"/>
                <w:szCs w:val="20"/>
              </w:rPr>
            </w:pPr>
            <w:r>
              <w:rPr>
                <w:rFonts w:ascii="Arial TUR" w:hAnsi="Arial TUR" w:cs="Arial TUR"/>
                <w:b/>
                <w:bCs/>
                <w:sz w:val="20"/>
                <w:szCs w:val="20"/>
              </w:rPr>
              <w:t>Private Consumption</w:t>
            </w:r>
          </w:p>
        </w:tc>
        <w:tc>
          <w:tcPr>
            <w:tcW w:w="1237" w:type="dxa"/>
            <w:tcBorders>
              <w:top w:val="nil"/>
              <w:left w:val="nil"/>
              <w:bottom w:val="single" w:sz="4" w:space="0" w:color="auto"/>
              <w:right w:val="single" w:sz="4" w:space="0" w:color="auto"/>
            </w:tcBorders>
            <w:noWrap/>
            <w:vAlign w:val="bottom"/>
          </w:tcPr>
          <w:p w:rsidR="008E45CA" w:rsidRDefault="008E45CA">
            <w:pPr>
              <w:jc w:val="right"/>
              <w:rPr>
                <w:rFonts w:ascii="Arial" w:hAnsi="Arial" w:cs="Arial"/>
                <w:sz w:val="20"/>
                <w:szCs w:val="20"/>
              </w:rPr>
            </w:pPr>
            <w:r>
              <w:rPr>
                <w:rFonts w:ascii="Arial" w:hAnsi="Arial" w:cs="Arial"/>
                <w:sz w:val="20"/>
                <w:szCs w:val="20"/>
              </w:rPr>
              <w:t>1.7%</w:t>
            </w:r>
          </w:p>
        </w:tc>
        <w:tc>
          <w:tcPr>
            <w:tcW w:w="1621" w:type="dxa"/>
            <w:tcBorders>
              <w:top w:val="nil"/>
              <w:left w:val="nil"/>
              <w:bottom w:val="single" w:sz="4" w:space="0" w:color="auto"/>
              <w:right w:val="single" w:sz="4" w:space="0" w:color="auto"/>
            </w:tcBorders>
            <w:noWrap/>
            <w:vAlign w:val="bottom"/>
          </w:tcPr>
          <w:p w:rsidR="008E45CA" w:rsidRPr="005A7BB0" w:rsidRDefault="008E45CA">
            <w:pPr>
              <w:jc w:val="right"/>
              <w:rPr>
                <w:rFonts w:ascii="Arial" w:hAnsi="Arial" w:cs="Arial"/>
                <w:sz w:val="20"/>
                <w:szCs w:val="20"/>
              </w:rPr>
            </w:pPr>
            <w:r w:rsidRPr="005A7BB0">
              <w:rPr>
                <w:rFonts w:ascii="Arial" w:hAnsi="Arial" w:cs="Arial"/>
                <w:sz w:val="20"/>
                <w:szCs w:val="20"/>
              </w:rPr>
              <w:t>0.3</w:t>
            </w:r>
          </w:p>
        </w:tc>
      </w:tr>
      <w:tr w:rsidR="008E45CA" w:rsidTr="00D771ED">
        <w:trPr>
          <w:trHeight w:val="312"/>
        </w:trPr>
        <w:tc>
          <w:tcPr>
            <w:tcW w:w="2152" w:type="dxa"/>
            <w:tcBorders>
              <w:top w:val="nil"/>
              <w:left w:val="single" w:sz="4" w:space="0" w:color="auto"/>
              <w:bottom w:val="single" w:sz="4" w:space="0" w:color="auto"/>
              <w:right w:val="single" w:sz="4" w:space="0" w:color="auto"/>
            </w:tcBorders>
            <w:noWrap/>
            <w:vAlign w:val="bottom"/>
          </w:tcPr>
          <w:p w:rsidR="008E45CA" w:rsidRDefault="008E45CA" w:rsidP="00327358">
            <w:pPr>
              <w:rPr>
                <w:rFonts w:ascii="Arial TUR" w:hAnsi="Arial TUR" w:cs="Arial TUR"/>
                <w:b/>
                <w:bCs/>
                <w:sz w:val="20"/>
                <w:szCs w:val="20"/>
              </w:rPr>
            </w:pPr>
            <w:r>
              <w:rPr>
                <w:rFonts w:ascii="Arial TUR" w:hAnsi="Arial TUR" w:cs="Arial TUR"/>
                <w:b/>
                <w:bCs/>
                <w:sz w:val="20"/>
                <w:szCs w:val="20"/>
              </w:rPr>
              <w:t>Public Spendings</w:t>
            </w:r>
          </w:p>
        </w:tc>
        <w:tc>
          <w:tcPr>
            <w:tcW w:w="1237" w:type="dxa"/>
            <w:tcBorders>
              <w:top w:val="nil"/>
              <w:left w:val="nil"/>
              <w:bottom w:val="single" w:sz="4" w:space="0" w:color="auto"/>
              <w:right w:val="single" w:sz="4" w:space="0" w:color="auto"/>
            </w:tcBorders>
            <w:noWrap/>
            <w:vAlign w:val="bottom"/>
          </w:tcPr>
          <w:p w:rsidR="008E45CA" w:rsidRDefault="008E45CA">
            <w:pPr>
              <w:jc w:val="right"/>
              <w:rPr>
                <w:rFonts w:ascii="Arial" w:hAnsi="Arial" w:cs="Arial"/>
                <w:sz w:val="20"/>
                <w:szCs w:val="20"/>
              </w:rPr>
            </w:pPr>
            <w:r>
              <w:rPr>
                <w:rFonts w:ascii="Arial" w:hAnsi="Arial" w:cs="Arial"/>
                <w:sz w:val="20"/>
                <w:szCs w:val="20"/>
              </w:rPr>
              <w:t>8.7%</w:t>
            </w:r>
          </w:p>
        </w:tc>
        <w:tc>
          <w:tcPr>
            <w:tcW w:w="1621" w:type="dxa"/>
            <w:tcBorders>
              <w:top w:val="nil"/>
              <w:left w:val="nil"/>
              <w:bottom w:val="single" w:sz="4" w:space="0" w:color="auto"/>
              <w:right w:val="single" w:sz="4" w:space="0" w:color="auto"/>
            </w:tcBorders>
            <w:noWrap/>
            <w:vAlign w:val="bottom"/>
          </w:tcPr>
          <w:p w:rsidR="008E45CA" w:rsidRPr="005A7BB0" w:rsidRDefault="008E45CA">
            <w:pPr>
              <w:jc w:val="right"/>
              <w:rPr>
                <w:rFonts w:ascii="Arial" w:hAnsi="Arial" w:cs="Arial"/>
                <w:sz w:val="20"/>
                <w:szCs w:val="20"/>
              </w:rPr>
            </w:pPr>
            <w:r w:rsidRPr="005A7BB0">
              <w:rPr>
                <w:rFonts w:ascii="Arial" w:hAnsi="Arial" w:cs="Arial"/>
                <w:sz w:val="20"/>
                <w:szCs w:val="20"/>
              </w:rPr>
              <w:t>1.6</w:t>
            </w:r>
          </w:p>
        </w:tc>
      </w:tr>
      <w:tr w:rsidR="008E45CA" w:rsidTr="00D771ED">
        <w:trPr>
          <w:trHeight w:val="312"/>
        </w:trPr>
        <w:tc>
          <w:tcPr>
            <w:tcW w:w="2152" w:type="dxa"/>
            <w:tcBorders>
              <w:top w:val="nil"/>
              <w:left w:val="single" w:sz="4" w:space="0" w:color="auto"/>
              <w:bottom w:val="single" w:sz="4" w:space="0" w:color="auto"/>
              <w:right w:val="single" w:sz="4" w:space="0" w:color="auto"/>
            </w:tcBorders>
            <w:noWrap/>
            <w:vAlign w:val="bottom"/>
          </w:tcPr>
          <w:p w:rsidR="008E45CA" w:rsidRDefault="008E45CA" w:rsidP="00327358">
            <w:pPr>
              <w:rPr>
                <w:rFonts w:ascii="Arial TUR" w:hAnsi="Arial TUR" w:cs="Arial TUR"/>
                <w:b/>
                <w:bCs/>
                <w:sz w:val="20"/>
                <w:szCs w:val="20"/>
              </w:rPr>
            </w:pPr>
            <w:r>
              <w:rPr>
                <w:rFonts w:ascii="Arial TUR" w:hAnsi="Arial TUR" w:cs="Arial TUR"/>
                <w:b/>
                <w:bCs/>
                <w:sz w:val="20"/>
                <w:szCs w:val="20"/>
              </w:rPr>
              <w:t>Inventory Investment</w:t>
            </w:r>
          </w:p>
        </w:tc>
        <w:tc>
          <w:tcPr>
            <w:tcW w:w="1237" w:type="dxa"/>
            <w:tcBorders>
              <w:top w:val="nil"/>
              <w:left w:val="nil"/>
              <w:bottom w:val="single" w:sz="4" w:space="0" w:color="auto"/>
              <w:right w:val="single" w:sz="4" w:space="0" w:color="auto"/>
            </w:tcBorders>
            <w:noWrap/>
            <w:vAlign w:val="bottom"/>
          </w:tcPr>
          <w:p w:rsidR="008E45CA" w:rsidRDefault="008E45CA">
            <w:pPr>
              <w:rPr>
                <w:rFonts w:ascii="Arial" w:hAnsi="Arial" w:cs="Arial"/>
                <w:sz w:val="20"/>
                <w:szCs w:val="20"/>
              </w:rPr>
            </w:pPr>
            <w:r>
              <w:rPr>
                <w:rFonts w:ascii="Arial" w:hAnsi="Arial" w:cs="Arial"/>
                <w:sz w:val="20"/>
                <w:szCs w:val="20"/>
              </w:rPr>
              <w:t> </w:t>
            </w:r>
          </w:p>
        </w:tc>
        <w:tc>
          <w:tcPr>
            <w:tcW w:w="1621" w:type="dxa"/>
            <w:tcBorders>
              <w:top w:val="nil"/>
              <w:left w:val="nil"/>
              <w:bottom w:val="single" w:sz="4" w:space="0" w:color="auto"/>
              <w:right w:val="single" w:sz="4" w:space="0" w:color="auto"/>
            </w:tcBorders>
            <w:noWrap/>
            <w:vAlign w:val="bottom"/>
          </w:tcPr>
          <w:p w:rsidR="008E45CA" w:rsidRPr="005A7BB0" w:rsidRDefault="008E45CA">
            <w:pPr>
              <w:jc w:val="right"/>
              <w:rPr>
                <w:rFonts w:ascii="Arial" w:hAnsi="Arial" w:cs="Arial"/>
                <w:sz w:val="20"/>
                <w:szCs w:val="20"/>
              </w:rPr>
            </w:pPr>
            <w:r w:rsidRPr="005A7BB0">
              <w:rPr>
                <w:rFonts w:ascii="Arial" w:hAnsi="Arial" w:cs="Arial"/>
                <w:sz w:val="20"/>
                <w:szCs w:val="20"/>
              </w:rPr>
              <w:t>-0.7</w:t>
            </w:r>
          </w:p>
        </w:tc>
      </w:tr>
      <w:tr w:rsidR="008E45CA" w:rsidTr="00D771ED">
        <w:trPr>
          <w:trHeight w:val="312"/>
        </w:trPr>
        <w:tc>
          <w:tcPr>
            <w:tcW w:w="2152" w:type="dxa"/>
            <w:tcBorders>
              <w:top w:val="nil"/>
              <w:left w:val="single" w:sz="4" w:space="0" w:color="auto"/>
              <w:bottom w:val="single" w:sz="4" w:space="0" w:color="auto"/>
              <w:right w:val="single" w:sz="4" w:space="0" w:color="auto"/>
            </w:tcBorders>
            <w:noWrap/>
            <w:vAlign w:val="bottom"/>
          </w:tcPr>
          <w:p w:rsidR="008E45CA" w:rsidRDefault="008E45CA" w:rsidP="00327358">
            <w:pPr>
              <w:rPr>
                <w:rFonts w:ascii="Arial TUR" w:hAnsi="Arial TUR" w:cs="Arial TUR"/>
                <w:b/>
                <w:bCs/>
                <w:sz w:val="20"/>
                <w:szCs w:val="20"/>
              </w:rPr>
            </w:pPr>
            <w:r>
              <w:rPr>
                <w:rFonts w:ascii="Arial TUR" w:hAnsi="Arial TUR" w:cs="Arial TUR"/>
                <w:b/>
                <w:bCs/>
                <w:sz w:val="20"/>
                <w:szCs w:val="20"/>
              </w:rPr>
              <w:t>Export</w:t>
            </w:r>
          </w:p>
        </w:tc>
        <w:tc>
          <w:tcPr>
            <w:tcW w:w="1237" w:type="dxa"/>
            <w:tcBorders>
              <w:top w:val="nil"/>
              <w:left w:val="nil"/>
              <w:bottom w:val="single" w:sz="4" w:space="0" w:color="auto"/>
              <w:right w:val="single" w:sz="4" w:space="0" w:color="auto"/>
            </w:tcBorders>
            <w:noWrap/>
            <w:vAlign w:val="bottom"/>
          </w:tcPr>
          <w:p w:rsidR="008E45CA" w:rsidRDefault="008E45CA">
            <w:pPr>
              <w:jc w:val="right"/>
              <w:rPr>
                <w:rFonts w:ascii="Arial" w:hAnsi="Arial" w:cs="Arial"/>
                <w:sz w:val="20"/>
                <w:szCs w:val="20"/>
              </w:rPr>
            </w:pPr>
            <w:r>
              <w:rPr>
                <w:rFonts w:ascii="Arial" w:hAnsi="Arial" w:cs="Arial"/>
                <w:sz w:val="20"/>
                <w:szCs w:val="20"/>
              </w:rPr>
              <w:t>2.1%</w:t>
            </w:r>
          </w:p>
        </w:tc>
        <w:tc>
          <w:tcPr>
            <w:tcW w:w="1621" w:type="dxa"/>
            <w:tcBorders>
              <w:top w:val="nil"/>
              <w:left w:val="nil"/>
              <w:bottom w:val="single" w:sz="4" w:space="0" w:color="auto"/>
              <w:right w:val="single" w:sz="4" w:space="0" w:color="auto"/>
            </w:tcBorders>
            <w:noWrap/>
            <w:vAlign w:val="bottom"/>
          </w:tcPr>
          <w:p w:rsidR="008E45CA" w:rsidRPr="005A7BB0" w:rsidRDefault="008E45CA">
            <w:pPr>
              <w:jc w:val="right"/>
              <w:rPr>
                <w:rFonts w:ascii="Arial" w:hAnsi="Arial" w:cs="Arial"/>
                <w:sz w:val="20"/>
                <w:szCs w:val="20"/>
              </w:rPr>
            </w:pPr>
            <w:r w:rsidRPr="005A7BB0">
              <w:rPr>
                <w:rFonts w:ascii="Arial" w:hAnsi="Arial" w:cs="Arial"/>
                <w:sz w:val="20"/>
                <w:szCs w:val="20"/>
              </w:rPr>
              <w:t>0.6</w:t>
            </w:r>
          </w:p>
        </w:tc>
      </w:tr>
      <w:tr w:rsidR="008E45CA" w:rsidTr="00D771ED">
        <w:trPr>
          <w:trHeight w:val="312"/>
        </w:trPr>
        <w:tc>
          <w:tcPr>
            <w:tcW w:w="2152" w:type="dxa"/>
            <w:tcBorders>
              <w:top w:val="nil"/>
              <w:left w:val="single" w:sz="4" w:space="0" w:color="auto"/>
              <w:bottom w:val="single" w:sz="4" w:space="0" w:color="auto"/>
              <w:right w:val="single" w:sz="4" w:space="0" w:color="auto"/>
            </w:tcBorders>
            <w:noWrap/>
            <w:vAlign w:val="bottom"/>
          </w:tcPr>
          <w:p w:rsidR="008E45CA" w:rsidRDefault="008E45CA" w:rsidP="00327358">
            <w:pPr>
              <w:rPr>
                <w:rFonts w:ascii="Arial TUR" w:hAnsi="Arial TUR" w:cs="Arial TUR"/>
                <w:b/>
                <w:bCs/>
                <w:sz w:val="20"/>
                <w:szCs w:val="20"/>
              </w:rPr>
            </w:pPr>
            <w:r>
              <w:rPr>
                <w:rFonts w:ascii="Arial TUR" w:hAnsi="Arial TUR" w:cs="Arial TUR"/>
                <w:b/>
                <w:bCs/>
                <w:sz w:val="20"/>
                <w:szCs w:val="20"/>
              </w:rPr>
              <w:t>Import</w:t>
            </w:r>
          </w:p>
        </w:tc>
        <w:tc>
          <w:tcPr>
            <w:tcW w:w="1237" w:type="dxa"/>
            <w:tcBorders>
              <w:top w:val="nil"/>
              <w:left w:val="nil"/>
              <w:bottom w:val="single" w:sz="4" w:space="0" w:color="auto"/>
              <w:right w:val="single" w:sz="4" w:space="0" w:color="auto"/>
            </w:tcBorders>
            <w:noWrap/>
            <w:vAlign w:val="bottom"/>
          </w:tcPr>
          <w:p w:rsidR="008E45CA" w:rsidRDefault="008E45CA">
            <w:pPr>
              <w:jc w:val="right"/>
              <w:rPr>
                <w:rFonts w:ascii="Arial" w:hAnsi="Arial" w:cs="Arial"/>
                <w:sz w:val="20"/>
                <w:szCs w:val="20"/>
              </w:rPr>
            </w:pPr>
            <w:r>
              <w:rPr>
                <w:rFonts w:ascii="Arial" w:hAnsi="Arial" w:cs="Arial"/>
                <w:sz w:val="20"/>
                <w:szCs w:val="20"/>
              </w:rPr>
              <w:t>-2.6%</w:t>
            </w:r>
          </w:p>
        </w:tc>
        <w:tc>
          <w:tcPr>
            <w:tcW w:w="1621" w:type="dxa"/>
            <w:tcBorders>
              <w:top w:val="nil"/>
              <w:left w:val="nil"/>
              <w:bottom w:val="single" w:sz="4" w:space="0" w:color="auto"/>
              <w:right w:val="single" w:sz="4" w:space="0" w:color="auto"/>
            </w:tcBorders>
            <w:noWrap/>
            <w:vAlign w:val="bottom"/>
          </w:tcPr>
          <w:p w:rsidR="008E45CA" w:rsidRPr="005A7BB0" w:rsidRDefault="008E45CA">
            <w:pPr>
              <w:jc w:val="right"/>
              <w:rPr>
                <w:rFonts w:ascii="Arial" w:hAnsi="Arial" w:cs="Arial"/>
                <w:sz w:val="20"/>
                <w:szCs w:val="20"/>
              </w:rPr>
            </w:pPr>
            <w:r w:rsidRPr="005A7BB0">
              <w:rPr>
                <w:rFonts w:ascii="Arial" w:hAnsi="Arial" w:cs="Arial"/>
                <w:sz w:val="20"/>
                <w:szCs w:val="20"/>
              </w:rPr>
              <w:t>0.8</w:t>
            </w:r>
          </w:p>
        </w:tc>
      </w:tr>
      <w:tr w:rsidR="008E45CA" w:rsidTr="00D771ED">
        <w:trPr>
          <w:trHeight w:val="312"/>
        </w:trPr>
        <w:tc>
          <w:tcPr>
            <w:tcW w:w="2152" w:type="dxa"/>
            <w:tcBorders>
              <w:top w:val="nil"/>
              <w:left w:val="single" w:sz="4" w:space="0" w:color="auto"/>
              <w:bottom w:val="single" w:sz="4" w:space="0" w:color="auto"/>
              <w:right w:val="single" w:sz="4" w:space="0" w:color="auto"/>
            </w:tcBorders>
            <w:noWrap/>
            <w:vAlign w:val="bottom"/>
          </w:tcPr>
          <w:p w:rsidR="008E45CA" w:rsidRPr="00915B9C" w:rsidRDefault="008E45CA" w:rsidP="00327358">
            <w:pPr>
              <w:rPr>
                <w:rFonts w:ascii="Arial" w:hAnsi="Arial" w:cs="Arial"/>
                <w:b/>
                <w:sz w:val="20"/>
                <w:szCs w:val="20"/>
              </w:rPr>
            </w:pPr>
            <w:r w:rsidRPr="00915B9C">
              <w:rPr>
                <w:rFonts w:ascii="Arial" w:hAnsi="Arial" w:cs="Arial"/>
                <w:b/>
                <w:sz w:val="20"/>
                <w:szCs w:val="20"/>
              </w:rPr>
              <w:t>GSYH </w:t>
            </w:r>
          </w:p>
        </w:tc>
        <w:tc>
          <w:tcPr>
            <w:tcW w:w="1237" w:type="dxa"/>
            <w:tcBorders>
              <w:top w:val="nil"/>
              <w:left w:val="nil"/>
              <w:bottom w:val="single" w:sz="4" w:space="0" w:color="auto"/>
              <w:right w:val="single" w:sz="4" w:space="0" w:color="auto"/>
            </w:tcBorders>
            <w:noWrap/>
            <w:vAlign w:val="bottom"/>
          </w:tcPr>
          <w:p w:rsidR="008E45CA" w:rsidRDefault="008E45CA" w:rsidP="00B16336">
            <w:pPr>
              <w:jc w:val="right"/>
              <w:rPr>
                <w:rFonts w:ascii="Arial" w:hAnsi="Arial" w:cs="Arial"/>
                <w:sz w:val="20"/>
                <w:szCs w:val="20"/>
              </w:rPr>
            </w:pPr>
            <w:r>
              <w:rPr>
                <w:rFonts w:ascii="Arial" w:hAnsi="Arial" w:cs="Arial"/>
                <w:sz w:val="20"/>
                <w:szCs w:val="20"/>
              </w:rPr>
              <w:t> 5.7%</w:t>
            </w:r>
          </w:p>
        </w:tc>
        <w:tc>
          <w:tcPr>
            <w:tcW w:w="1621" w:type="dxa"/>
            <w:tcBorders>
              <w:top w:val="nil"/>
              <w:left w:val="nil"/>
              <w:bottom w:val="single" w:sz="4" w:space="0" w:color="auto"/>
              <w:right w:val="single" w:sz="4" w:space="0" w:color="auto"/>
            </w:tcBorders>
            <w:noWrap/>
            <w:vAlign w:val="bottom"/>
          </w:tcPr>
          <w:p w:rsidR="008E45CA" w:rsidRDefault="008E45CA" w:rsidP="00915B9C">
            <w:pPr>
              <w:jc w:val="right"/>
              <w:rPr>
                <w:rFonts w:ascii="Arial" w:hAnsi="Arial" w:cs="Arial"/>
                <w:sz w:val="20"/>
                <w:szCs w:val="20"/>
              </w:rPr>
            </w:pPr>
          </w:p>
        </w:tc>
      </w:tr>
      <w:tr w:rsidR="00915B9C" w:rsidTr="00D771ED">
        <w:trPr>
          <w:trHeight w:val="312"/>
        </w:trPr>
        <w:tc>
          <w:tcPr>
            <w:tcW w:w="2152" w:type="dxa"/>
            <w:tcBorders>
              <w:top w:val="nil"/>
              <w:left w:val="single" w:sz="4" w:space="0" w:color="auto"/>
              <w:bottom w:val="single" w:sz="4" w:space="0" w:color="auto"/>
              <w:right w:val="single" w:sz="4" w:space="0" w:color="auto"/>
            </w:tcBorders>
            <w:noWrap/>
            <w:vAlign w:val="bottom"/>
          </w:tcPr>
          <w:p w:rsidR="00915B9C" w:rsidRPr="005E763B" w:rsidRDefault="00915B9C" w:rsidP="00B16336">
            <w:pPr>
              <w:rPr>
                <w:rFonts w:ascii="Arial" w:hAnsi="Arial" w:cs="Arial"/>
                <w:b/>
                <w:bCs/>
                <w:sz w:val="20"/>
                <w:szCs w:val="20"/>
              </w:rPr>
            </w:pPr>
          </w:p>
        </w:tc>
        <w:tc>
          <w:tcPr>
            <w:tcW w:w="1237" w:type="dxa"/>
            <w:tcBorders>
              <w:top w:val="nil"/>
              <w:left w:val="nil"/>
              <w:bottom w:val="single" w:sz="4" w:space="0" w:color="auto"/>
              <w:right w:val="single" w:sz="4" w:space="0" w:color="auto"/>
            </w:tcBorders>
            <w:noWrap/>
            <w:vAlign w:val="bottom"/>
          </w:tcPr>
          <w:p w:rsidR="00915B9C" w:rsidRDefault="00915B9C" w:rsidP="00B16336">
            <w:pPr>
              <w:rPr>
                <w:rFonts w:ascii="Arial" w:hAnsi="Arial" w:cs="Arial"/>
                <w:sz w:val="20"/>
                <w:szCs w:val="20"/>
              </w:rPr>
            </w:pPr>
          </w:p>
        </w:tc>
        <w:tc>
          <w:tcPr>
            <w:tcW w:w="1621" w:type="dxa"/>
            <w:tcBorders>
              <w:top w:val="nil"/>
              <w:left w:val="nil"/>
              <w:bottom w:val="single" w:sz="4" w:space="0" w:color="auto"/>
              <w:right w:val="single" w:sz="4" w:space="0" w:color="auto"/>
            </w:tcBorders>
            <w:noWrap/>
            <w:vAlign w:val="bottom"/>
          </w:tcPr>
          <w:p w:rsidR="00915B9C" w:rsidRDefault="00915B9C" w:rsidP="00B16336">
            <w:pPr>
              <w:rPr>
                <w:rFonts w:ascii="Arial" w:hAnsi="Arial" w:cs="Arial"/>
                <w:sz w:val="20"/>
                <w:szCs w:val="20"/>
              </w:rPr>
            </w:pPr>
          </w:p>
        </w:tc>
      </w:tr>
      <w:tr w:rsidR="00915B9C" w:rsidTr="00D771ED">
        <w:trPr>
          <w:trHeight w:val="312"/>
        </w:trPr>
        <w:tc>
          <w:tcPr>
            <w:tcW w:w="2152" w:type="dxa"/>
            <w:tcBorders>
              <w:top w:val="nil"/>
              <w:left w:val="single" w:sz="4" w:space="0" w:color="auto"/>
              <w:bottom w:val="single" w:sz="4" w:space="0" w:color="auto"/>
              <w:right w:val="single" w:sz="4" w:space="0" w:color="auto"/>
            </w:tcBorders>
            <w:noWrap/>
            <w:vAlign w:val="bottom"/>
          </w:tcPr>
          <w:p w:rsidR="00915B9C" w:rsidRPr="005E763B" w:rsidRDefault="00915B9C" w:rsidP="00B16336">
            <w:pPr>
              <w:rPr>
                <w:rFonts w:ascii="Arial" w:hAnsi="Arial" w:cs="Arial"/>
                <w:b/>
                <w:bCs/>
                <w:sz w:val="20"/>
                <w:szCs w:val="20"/>
              </w:rPr>
            </w:pPr>
            <w:r>
              <w:rPr>
                <w:rFonts w:ascii="Arial" w:hAnsi="Arial" w:cs="Arial"/>
                <w:b/>
                <w:bCs/>
                <w:sz w:val="20"/>
                <w:szCs w:val="20"/>
              </w:rPr>
              <w:t>201</w:t>
            </w:r>
            <w:r w:rsidR="00B16336">
              <w:rPr>
                <w:rFonts w:ascii="Arial" w:hAnsi="Arial" w:cs="Arial"/>
                <w:b/>
                <w:bCs/>
                <w:sz w:val="20"/>
                <w:szCs w:val="20"/>
              </w:rPr>
              <w:t>5</w:t>
            </w:r>
            <w:r>
              <w:rPr>
                <w:rFonts w:ascii="Arial" w:hAnsi="Arial" w:cs="Arial"/>
                <w:b/>
                <w:bCs/>
                <w:sz w:val="20"/>
                <w:szCs w:val="20"/>
              </w:rPr>
              <w:t xml:space="preserve"> – </w:t>
            </w:r>
            <w:r w:rsidR="00826E3D">
              <w:rPr>
                <w:rFonts w:ascii="Arial" w:hAnsi="Arial" w:cs="Arial"/>
                <w:b/>
                <w:bCs/>
                <w:sz w:val="20"/>
                <w:szCs w:val="20"/>
              </w:rPr>
              <w:t>Q3</w:t>
            </w:r>
          </w:p>
        </w:tc>
        <w:tc>
          <w:tcPr>
            <w:tcW w:w="1237" w:type="dxa"/>
            <w:tcBorders>
              <w:top w:val="nil"/>
              <w:left w:val="nil"/>
              <w:bottom w:val="single" w:sz="4" w:space="0" w:color="auto"/>
              <w:right w:val="single" w:sz="4" w:space="0" w:color="auto"/>
            </w:tcBorders>
            <w:noWrap/>
            <w:vAlign w:val="bottom"/>
          </w:tcPr>
          <w:p w:rsidR="00915B9C" w:rsidRPr="005E763B" w:rsidRDefault="00826E3D" w:rsidP="00B16336">
            <w:pPr>
              <w:jc w:val="center"/>
              <w:rPr>
                <w:rFonts w:ascii="Arial" w:hAnsi="Arial" w:cs="Arial"/>
                <w:b/>
                <w:bCs/>
                <w:sz w:val="20"/>
                <w:szCs w:val="20"/>
              </w:rPr>
            </w:pPr>
            <w:r>
              <w:rPr>
                <w:rFonts w:ascii="Arial" w:hAnsi="Arial" w:cs="Arial"/>
                <w:b/>
                <w:bCs/>
                <w:sz w:val="20"/>
                <w:szCs w:val="20"/>
              </w:rPr>
              <w:t>Change</w:t>
            </w:r>
          </w:p>
        </w:tc>
        <w:tc>
          <w:tcPr>
            <w:tcW w:w="1621" w:type="dxa"/>
            <w:tcBorders>
              <w:top w:val="nil"/>
              <w:left w:val="nil"/>
              <w:bottom w:val="single" w:sz="4" w:space="0" w:color="auto"/>
              <w:right w:val="single" w:sz="4" w:space="0" w:color="auto"/>
            </w:tcBorders>
            <w:noWrap/>
            <w:vAlign w:val="bottom"/>
          </w:tcPr>
          <w:p w:rsidR="00915B9C" w:rsidRPr="005E763B" w:rsidRDefault="00826E3D" w:rsidP="00B16336">
            <w:pPr>
              <w:jc w:val="center"/>
              <w:rPr>
                <w:rFonts w:ascii="Arial" w:hAnsi="Arial" w:cs="Arial"/>
                <w:b/>
                <w:bCs/>
                <w:sz w:val="20"/>
                <w:szCs w:val="20"/>
              </w:rPr>
            </w:pPr>
            <w:r>
              <w:rPr>
                <w:rFonts w:ascii="Arial TUR" w:hAnsi="Arial TUR" w:cs="Arial TUR"/>
                <w:b/>
                <w:bCs/>
                <w:sz w:val="20"/>
                <w:szCs w:val="20"/>
              </w:rPr>
              <w:t>Contributions   (pp)</w:t>
            </w:r>
          </w:p>
        </w:tc>
      </w:tr>
      <w:tr w:rsidR="008E45CA" w:rsidTr="00D771ED">
        <w:trPr>
          <w:trHeight w:val="312"/>
        </w:trPr>
        <w:tc>
          <w:tcPr>
            <w:tcW w:w="2152" w:type="dxa"/>
            <w:tcBorders>
              <w:top w:val="nil"/>
              <w:left w:val="single" w:sz="4" w:space="0" w:color="auto"/>
              <w:bottom w:val="single" w:sz="4" w:space="0" w:color="auto"/>
              <w:right w:val="single" w:sz="4" w:space="0" w:color="auto"/>
            </w:tcBorders>
            <w:noWrap/>
            <w:vAlign w:val="bottom"/>
          </w:tcPr>
          <w:p w:rsidR="008E45CA" w:rsidRDefault="008E45CA" w:rsidP="00327358">
            <w:pPr>
              <w:rPr>
                <w:rFonts w:ascii="Arial TUR" w:hAnsi="Arial TUR" w:cs="Arial TUR"/>
                <w:b/>
                <w:bCs/>
                <w:sz w:val="20"/>
                <w:szCs w:val="20"/>
              </w:rPr>
            </w:pPr>
            <w:r>
              <w:rPr>
                <w:rFonts w:ascii="Arial TUR" w:hAnsi="Arial TUR" w:cs="Arial TUR"/>
                <w:b/>
                <w:bCs/>
                <w:sz w:val="20"/>
                <w:szCs w:val="20"/>
              </w:rPr>
              <w:t>Consumption</w:t>
            </w:r>
          </w:p>
        </w:tc>
        <w:tc>
          <w:tcPr>
            <w:tcW w:w="1237" w:type="dxa"/>
            <w:tcBorders>
              <w:top w:val="nil"/>
              <w:left w:val="nil"/>
              <w:bottom w:val="single" w:sz="4" w:space="0" w:color="auto"/>
              <w:right w:val="single" w:sz="4" w:space="0" w:color="auto"/>
            </w:tcBorders>
            <w:noWrap/>
            <w:vAlign w:val="bottom"/>
          </w:tcPr>
          <w:p w:rsidR="008E45CA" w:rsidRDefault="008E45CA">
            <w:pPr>
              <w:jc w:val="right"/>
              <w:rPr>
                <w:rFonts w:ascii="Arial" w:hAnsi="Arial" w:cs="Arial"/>
                <w:sz w:val="20"/>
                <w:szCs w:val="20"/>
              </w:rPr>
            </w:pPr>
            <w:r>
              <w:rPr>
                <w:rFonts w:ascii="Arial" w:hAnsi="Arial" w:cs="Arial"/>
                <w:sz w:val="20"/>
                <w:szCs w:val="20"/>
              </w:rPr>
              <w:t>3.6%</w:t>
            </w:r>
          </w:p>
        </w:tc>
        <w:tc>
          <w:tcPr>
            <w:tcW w:w="1621" w:type="dxa"/>
            <w:tcBorders>
              <w:top w:val="nil"/>
              <w:left w:val="nil"/>
              <w:bottom w:val="single" w:sz="4" w:space="0" w:color="auto"/>
              <w:right w:val="single" w:sz="4" w:space="0" w:color="auto"/>
            </w:tcBorders>
            <w:noWrap/>
            <w:vAlign w:val="bottom"/>
          </w:tcPr>
          <w:p w:rsidR="008E45CA" w:rsidRPr="005A7BB0" w:rsidRDefault="008E45CA" w:rsidP="005A7BB0">
            <w:pPr>
              <w:jc w:val="right"/>
              <w:rPr>
                <w:rFonts w:ascii="Arial" w:hAnsi="Arial" w:cs="Arial"/>
                <w:sz w:val="20"/>
                <w:szCs w:val="20"/>
              </w:rPr>
            </w:pPr>
            <w:r w:rsidRPr="005A7BB0">
              <w:rPr>
                <w:rFonts w:ascii="Arial" w:hAnsi="Arial" w:cs="Arial"/>
                <w:sz w:val="20"/>
                <w:szCs w:val="20"/>
              </w:rPr>
              <w:t>2.3</w:t>
            </w:r>
          </w:p>
        </w:tc>
      </w:tr>
      <w:tr w:rsidR="008E45CA" w:rsidTr="00D771ED">
        <w:trPr>
          <w:trHeight w:val="312"/>
        </w:trPr>
        <w:tc>
          <w:tcPr>
            <w:tcW w:w="2152" w:type="dxa"/>
            <w:tcBorders>
              <w:top w:val="nil"/>
              <w:left w:val="single" w:sz="4" w:space="0" w:color="auto"/>
              <w:bottom w:val="single" w:sz="4" w:space="0" w:color="auto"/>
              <w:right w:val="single" w:sz="4" w:space="0" w:color="auto"/>
            </w:tcBorders>
            <w:noWrap/>
            <w:vAlign w:val="bottom"/>
          </w:tcPr>
          <w:p w:rsidR="008E45CA" w:rsidRDefault="008E45CA" w:rsidP="00327358">
            <w:pPr>
              <w:rPr>
                <w:rFonts w:ascii="Arial TUR" w:hAnsi="Arial TUR" w:cs="Arial TUR"/>
                <w:b/>
                <w:bCs/>
                <w:sz w:val="20"/>
                <w:szCs w:val="20"/>
              </w:rPr>
            </w:pPr>
            <w:r>
              <w:rPr>
                <w:rFonts w:ascii="Arial TUR" w:hAnsi="Arial TUR" w:cs="Arial TUR"/>
                <w:b/>
                <w:bCs/>
                <w:sz w:val="20"/>
                <w:szCs w:val="20"/>
              </w:rPr>
              <w:t>Private Consumption</w:t>
            </w:r>
          </w:p>
        </w:tc>
        <w:tc>
          <w:tcPr>
            <w:tcW w:w="1237" w:type="dxa"/>
            <w:tcBorders>
              <w:top w:val="nil"/>
              <w:left w:val="nil"/>
              <w:bottom w:val="single" w:sz="4" w:space="0" w:color="auto"/>
              <w:right w:val="single" w:sz="4" w:space="0" w:color="auto"/>
            </w:tcBorders>
            <w:noWrap/>
            <w:vAlign w:val="bottom"/>
          </w:tcPr>
          <w:p w:rsidR="008E45CA" w:rsidRDefault="008E45CA">
            <w:pPr>
              <w:jc w:val="right"/>
              <w:rPr>
                <w:rFonts w:ascii="Arial" w:hAnsi="Arial" w:cs="Arial"/>
                <w:sz w:val="20"/>
                <w:szCs w:val="20"/>
              </w:rPr>
            </w:pPr>
            <w:r>
              <w:rPr>
                <w:rFonts w:ascii="Arial" w:hAnsi="Arial" w:cs="Arial"/>
                <w:sz w:val="20"/>
                <w:szCs w:val="20"/>
              </w:rPr>
              <w:t>-2.1%</w:t>
            </w:r>
          </w:p>
        </w:tc>
        <w:tc>
          <w:tcPr>
            <w:tcW w:w="1621" w:type="dxa"/>
            <w:tcBorders>
              <w:top w:val="nil"/>
              <w:left w:val="nil"/>
              <w:bottom w:val="single" w:sz="4" w:space="0" w:color="auto"/>
              <w:right w:val="single" w:sz="4" w:space="0" w:color="auto"/>
            </w:tcBorders>
            <w:noWrap/>
            <w:vAlign w:val="bottom"/>
          </w:tcPr>
          <w:p w:rsidR="008E45CA" w:rsidRPr="005A7BB0" w:rsidRDefault="008E45CA">
            <w:pPr>
              <w:jc w:val="right"/>
              <w:rPr>
                <w:rFonts w:ascii="Arial" w:hAnsi="Arial" w:cs="Arial"/>
                <w:sz w:val="20"/>
                <w:szCs w:val="20"/>
              </w:rPr>
            </w:pPr>
            <w:r w:rsidRPr="005A7BB0">
              <w:rPr>
                <w:rFonts w:ascii="Arial" w:hAnsi="Arial" w:cs="Arial"/>
                <w:sz w:val="20"/>
                <w:szCs w:val="20"/>
              </w:rPr>
              <w:t>-0.4</w:t>
            </w:r>
          </w:p>
        </w:tc>
      </w:tr>
      <w:tr w:rsidR="008E45CA" w:rsidTr="00D771ED">
        <w:trPr>
          <w:trHeight w:val="312"/>
        </w:trPr>
        <w:tc>
          <w:tcPr>
            <w:tcW w:w="2152" w:type="dxa"/>
            <w:tcBorders>
              <w:top w:val="nil"/>
              <w:left w:val="single" w:sz="4" w:space="0" w:color="auto"/>
              <w:bottom w:val="single" w:sz="4" w:space="0" w:color="auto"/>
              <w:right w:val="single" w:sz="4" w:space="0" w:color="auto"/>
            </w:tcBorders>
            <w:noWrap/>
            <w:vAlign w:val="bottom"/>
          </w:tcPr>
          <w:p w:rsidR="008E45CA" w:rsidRDefault="008E45CA" w:rsidP="00327358">
            <w:pPr>
              <w:rPr>
                <w:rFonts w:ascii="Arial TUR" w:hAnsi="Arial TUR" w:cs="Arial TUR"/>
                <w:b/>
                <w:bCs/>
                <w:sz w:val="20"/>
                <w:szCs w:val="20"/>
              </w:rPr>
            </w:pPr>
            <w:r>
              <w:rPr>
                <w:rFonts w:ascii="Arial TUR" w:hAnsi="Arial TUR" w:cs="Arial TUR"/>
                <w:b/>
                <w:bCs/>
                <w:sz w:val="20"/>
                <w:szCs w:val="20"/>
              </w:rPr>
              <w:t>Public Spendings</w:t>
            </w:r>
          </w:p>
        </w:tc>
        <w:tc>
          <w:tcPr>
            <w:tcW w:w="1237" w:type="dxa"/>
            <w:tcBorders>
              <w:top w:val="nil"/>
              <w:left w:val="nil"/>
              <w:bottom w:val="single" w:sz="4" w:space="0" w:color="auto"/>
              <w:right w:val="single" w:sz="4" w:space="0" w:color="auto"/>
            </w:tcBorders>
            <w:noWrap/>
            <w:vAlign w:val="bottom"/>
          </w:tcPr>
          <w:p w:rsidR="008E45CA" w:rsidRDefault="008E45CA">
            <w:pPr>
              <w:jc w:val="right"/>
              <w:rPr>
                <w:rFonts w:ascii="Arial" w:hAnsi="Arial" w:cs="Arial"/>
                <w:sz w:val="20"/>
                <w:szCs w:val="20"/>
              </w:rPr>
            </w:pPr>
            <w:r>
              <w:rPr>
                <w:rFonts w:ascii="Arial" w:hAnsi="Arial" w:cs="Arial"/>
                <w:sz w:val="20"/>
                <w:szCs w:val="20"/>
              </w:rPr>
              <w:t>8.3%</w:t>
            </w:r>
          </w:p>
        </w:tc>
        <w:tc>
          <w:tcPr>
            <w:tcW w:w="1621" w:type="dxa"/>
            <w:tcBorders>
              <w:top w:val="nil"/>
              <w:left w:val="nil"/>
              <w:bottom w:val="single" w:sz="4" w:space="0" w:color="auto"/>
              <w:right w:val="single" w:sz="4" w:space="0" w:color="auto"/>
            </w:tcBorders>
            <w:noWrap/>
            <w:vAlign w:val="bottom"/>
          </w:tcPr>
          <w:p w:rsidR="008E45CA" w:rsidRPr="005A7BB0" w:rsidRDefault="008E45CA">
            <w:pPr>
              <w:jc w:val="right"/>
              <w:rPr>
                <w:rFonts w:ascii="Arial" w:hAnsi="Arial" w:cs="Arial"/>
                <w:sz w:val="20"/>
                <w:szCs w:val="20"/>
              </w:rPr>
            </w:pPr>
            <w:r w:rsidRPr="005A7BB0">
              <w:rPr>
                <w:rFonts w:ascii="Arial" w:hAnsi="Arial" w:cs="Arial"/>
                <w:sz w:val="20"/>
                <w:szCs w:val="20"/>
              </w:rPr>
              <w:t>1.1</w:t>
            </w:r>
          </w:p>
        </w:tc>
      </w:tr>
      <w:tr w:rsidR="008E45CA" w:rsidTr="00D771ED">
        <w:trPr>
          <w:trHeight w:val="312"/>
        </w:trPr>
        <w:tc>
          <w:tcPr>
            <w:tcW w:w="2152" w:type="dxa"/>
            <w:tcBorders>
              <w:top w:val="nil"/>
              <w:left w:val="single" w:sz="4" w:space="0" w:color="auto"/>
              <w:bottom w:val="single" w:sz="4" w:space="0" w:color="auto"/>
              <w:right w:val="single" w:sz="4" w:space="0" w:color="auto"/>
            </w:tcBorders>
            <w:noWrap/>
            <w:vAlign w:val="bottom"/>
          </w:tcPr>
          <w:p w:rsidR="008E45CA" w:rsidRDefault="008E45CA" w:rsidP="00327358">
            <w:pPr>
              <w:rPr>
                <w:rFonts w:ascii="Arial TUR" w:hAnsi="Arial TUR" w:cs="Arial TUR"/>
                <w:b/>
                <w:bCs/>
                <w:sz w:val="20"/>
                <w:szCs w:val="20"/>
              </w:rPr>
            </w:pPr>
            <w:r>
              <w:rPr>
                <w:rFonts w:ascii="Arial TUR" w:hAnsi="Arial TUR" w:cs="Arial TUR"/>
                <w:b/>
                <w:bCs/>
                <w:sz w:val="20"/>
                <w:szCs w:val="20"/>
              </w:rPr>
              <w:t>Inventory Investment</w:t>
            </w:r>
          </w:p>
        </w:tc>
        <w:tc>
          <w:tcPr>
            <w:tcW w:w="1237" w:type="dxa"/>
            <w:tcBorders>
              <w:top w:val="nil"/>
              <w:left w:val="nil"/>
              <w:bottom w:val="single" w:sz="4" w:space="0" w:color="auto"/>
              <w:right w:val="single" w:sz="4" w:space="0" w:color="auto"/>
            </w:tcBorders>
            <w:noWrap/>
            <w:vAlign w:val="bottom"/>
          </w:tcPr>
          <w:p w:rsidR="008E45CA" w:rsidRDefault="008E45CA">
            <w:pPr>
              <w:jc w:val="right"/>
              <w:rPr>
                <w:rFonts w:ascii="Arial" w:hAnsi="Arial" w:cs="Arial"/>
                <w:sz w:val="20"/>
                <w:szCs w:val="20"/>
              </w:rPr>
            </w:pPr>
            <w:r>
              <w:rPr>
                <w:rFonts w:ascii="Arial" w:hAnsi="Arial" w:cs="Arial"/>
                <w:sz w:val="20"/>
                <w:szCs w:val="20"/>
              </w:rPr>
              <w:t>47.0%</w:t>
            </w:r>
          </w:p>
        </w:tc>
        <w:tc>
          <w:tcPr>
            <w:tcW w:w="1621" w:type="dxa"/>
            <w:tcBorders>
              <w:top w:val="nil"/>
              <w:left w:val="nil"/>
              <w:bottom w:val="single" w:sz="4" w:space="0" w:color="auto"/>
              <w:right w:val="single" w:sz="4" w:space="0" w:color="auto"/>
            </w:tcBorders>
            <w:noWrap/>
            <w:vAlign w:val="bottom"/>
          </w:tcPr>
          <w:p w:rsidR="008E45CA" w:rsidRPr="005A7BB0" w:rsidRDefault="008E45CA">
            <w:pPr>
              <w:jc w:val="right"/>
              <w:rPr>
                <w:rFonts w:ascii="Arial" w:hAnsi="Arial" w:cs="Arial"/>
                <w:sz w:val="20"/>
                <w:szCs w:val="20"/>
              </w:rPr>
            </w:pPr>
            <w:r w:rsidRPr="005A7BB0">
              <w:rPr>
                <w:rFonts w:ascii="Arial" w:hAnsi="Arial" w:cs="Arial"/>
                <w:sz w:val="20"/>
                <w:szCs w:val="20"/>
              </w:rPr>
              <w:t>0.9</w:t>
            </w:r>
          </w:p>
        </w:tc>
      </w:tr>
      <w:tr w:rsidR="008E45CA" w:rsidTr="00D771ED">
        <w:trPr>
          <w:trHeight w:val="312"/>
        </w:trPr>
        <w:tc>
          <w:tcPr>
            <w:tcW w:w="2152" w:type="dxa"/>
            <w:tcBorders>
              <w:top w:val="nil"/>
              <w:left w:val="single" w:sz="4" w:space="0" w:color="auto"/>
              <w:bottom w:val="single" w:sz="4" w:space="0" w:color="auto"/>
              <w:right w:val="single" w:sz="4" w:space="0" w:color="auto"/>
            </w:tcBorders>
            <w:noWrap/>
            <w:vAlign w:val="bottom"/>
          </w:tcPr>
          <w:p w:rsidR="008E45CA" w:rsidRDefault="008E45CA" w:rsidP="00327358">
            <w:pPr>
              <w:rPr>
                <w:rFonts w:ascii="Arial TUR" w:hAnsi="Arial TUR" w:cs="Arial TUR"/>
                <w:b/>
                <w:bCs/>
                <w:sz w:val="20"/>
                <w:szCs w:val="20"/>
              </w:rPr>
            </w:pPr>
            <w:r>
              <w:rPr>
                <w:rFonts w:ascii="Arial TUR" w:hAnsi="Arial TUR" w:cs="Arial TUR"/>
                <w:b/>
                <w:bCs/>
                <w:sz w:val="20"/>
                <w:szCs w:val="20"/>
              </w:rPr>
              <w:t>Export</w:t>
            </w:r>
          </w:p>
        </w:tc>
        <w:tc>
          <w:tcPr>
            <w:tcW w:w="1237" w:type="dxa"/>
            <w:tcBorders>
              <w:top w:val="nil"/>
              <w:left w:val="nil"/>
              <w:bottom w:val="single" w:sz="4" w:space="0" w:color="auto"/>
              <w:right w:val="single" w:sz="4" w:space="0" w:color="auto"/>
            </w:tcBorders>
            <w:noWrap/>
            <w:vAlign w:val="bottom"/>
          </w:tcPr>
          <w:p w:rsidR="008E45CA" w:rsidRDefault="008E45CA">
            <w:pPr>
              <w:jc w:val="right"/>
              <w:rPr>
                <w:rFonts w:ascii="Arial" w:hAnsi="Arial" w:cs="Arial"/>
                <w:sz w:val="20"/>
                <w:szCs w:val="20"/>
              </w:rPr>
            </w:pPr>
            <w:r>
              <w:rPr>
                <w:rFonts w:ascii="Arial" w:hAnsi="Arial" w:cs="Arial"/>
                <w:sz w:val="20"/>
                <w:szCs w:val="20"/>
              </w:rPr>
              <w:t>-1.4%</w:t>
            </w:r>
          </w:p>
        </w:tc>
        <w:tc>
          <w:tcPr>
            <w:tcW w:w="1621" w:type="dxa"/>
            <w:tcBorders>
              <w:top w:val="nil"/>
              <w:left w:val="nil"/>
              <w:bottom w:val="single" w:sz="4" w:space="0" w:color="auto"/>
              <w:right w:val="single" w:sz="4" w:space="0" w:color="auto"/>
            </w:tcBorders>
            <w:noWrap/>
            <w:vAlign w:val="bottom"/>
          </w:tcPr>
          <w:p w:rsidR="008E45CA" w:rsidRPr="005A7BB0" w:rsidRDefault="008E45CA">
            <w:pPr>
              <w:jc w:val="right"/>
              <w:rPr>
                <w:rFonts w:ascii="Arial" w:hAnsi="Arial" w:cs="Arial"/>
                <w:sz w:val="20"/>
                <w:szCs w:val="20"/>
              </w:rPr>
            </w:pPr>
            <w:r w:rsidRPr="005A7BB0">
              <w:rPr>
                <w:rFonts w:ascii="Arial" w:hAnsi="Arial" w:cs="Arial"/>
                <w:sz w:val="20"/>
                <w:szCs w:val="20"/>
              </w:rPr>
              <w:t>-0.4</w:t>
            </w:r>
          </w:p>
        </w:tc>
      </w:tr>
      <w:tr w:rsidR="008E45CA" w:rsidTr="00D771ED">
        <w:trPr>
          <w:trHeight w:val="312"/>
        </w:trPr>
        <w:tc>
          <w:tcPr>
            <w:tcW w:w="2152" w:type="dxa"/>
            <w:tcBorders>
              <w:top w:val="nil"/>
              <w:left w:val="single" w:sz="4" w:space="0" w:color="auto"/>
              <w:bottom w:val="single" w:sz="4" w:space="0" w:color="auto"/>
              <w:right w:val="single" w:sz="4" w:space="0" w:color="auto"/>
            </w:tcBorders>
            <w:noWrap/>
            <w:vAlign w:val="bottom"/>
          </w:tcPr>
          <w:p w:rsidR="008E45CA" w:rsidRDefault="008E45CA" w:rsidP="00327358">
            <w:pPr>
              <w:rPr>
                <w:rFonts w:ascii="Arial TUR" w:hAnsi="Arial TUR" w:cs="Arial TUR"/>
                <w:b/>
                <w:bCs/>
                <w:sz w:val="20"/>
                <w:szCs w:val="20"/>
              </w:rPr>
            </w:pPr>
            <w:r>
              <w:rPr>
                <w:rFonts w:ascii="Arial TUR" w:hAnsi="Arial TUR" w:cs="Arial TUR"/>
                <w:b/>
                <w:bCs/>
                <w:sz w:val="20"/>
                <w:szCs w:val="20"/>
              </w:rPr>
              <w:t>Import</w:t>
            </w:r>
          </w:p>
        </w:tc>
        <w:tc>
          <w:tcPr>
            <w:tcW w:w="1237" w:type="dxa"/>
            <w:tcBorders>
              <w:top w:val="nil"/>
              <w:left w:val="nil"/>
              <w:bottom w:val="single" w:sz="4" w:space="0" w:color="auto"/>
              <w:right w:val="single" w:sz="4" w:space="0" w:color="auto"/>
            </w:tcBorders>
            <w:noWrap/>
            <w:vAlign w:val="bottom"/>
          </w:tcPr>
          <w:p w:rsidR="008E45CA" w:rsidRDefault="008E45CA">
            <w:pPr>
              <w:jc w:val="right"/>
              <w:rPr>
                <w:rFonts w:ascii="Arial" w:hAnsi="Arial" w:cs="Arial"/>
                <w:sz w:val="20"/>
                <w:szCs w:val="20"/>
              </w:rPr>
            </w:pPr>
            <w:r>
              <w:rPr>
                <w:rFonts w:ascii="Arial" w:hAnsi="Arial" w:cs="Arial"/>
                <w:sz w:val="20"/>
                <w:szCs w:val="20"/>
              </w:rPr>
              <w:t>-1.2%</w:t>
            </w:r>
          </w:p>
        </w:tc>
        <w:tc>
          <w:tcPr>
            <w:tcW w:w="1621" w:type="dxa"/>
            <w:tcBorders>
              <w:top w:val="nil"/>
              <w:left w:val="nil"/>
              <w:bottom w:val="single" w:sz="4" w:space="0" w:color="auto"/>
              <w:right w:val="single" w:sz="4" w:space="0" w:color="auto"/>
            </w:tcBorders>
            <w:noWrap/>
            <w:vAlign w:val="bottom"/>
          </w:tcPr>
          <w:p w:rsidR="008E45CA" w:rsidRPr="005A7BB0" w:rsidRDefault="008E45CA">
            <w:pPr>
              <w:jc w:val="right"/>
              <w:rPr>
                <w:rFonts w:ascii="Arial" w:hAnsi="Arial" w:cs="Arial"/>
                <w:sz w:val="20"/>
                <w:szCs w:val="20"/>
              </w:rPr>
            </w:pPr>
            <w:r w:rsidRPr="005A7BB0">
              <w:rPr>
                <w:rFonts w:ascii="Arial" w:hAnsi="Arial" w:cs="Arial"/>
                <w:sz w:val="20"/>
                <w:szCs w:val="20"/>
              </w:rPr>
              <w:t>0.3</w:t>
            </w:r>
          </w:p>
        </w:tc>
      </w:tr>
      <w:tr w:rsidR="008E45CA" w:rsidTr="00D771ED">
        <w:trPr>
          <w:trHeight w:val="312"/>
        </w:trPr>
        <w:tc>
          <w:tcPr>
            <w:tcW w:w="2152" w:type="dxa"/>
            <w:tcBorders>
              <w:top w:val="single" w:sz="4" w:space="0" w:color="auto"/>
              <w:left w:val="single" w:sz="4" w:space="0" w:color="auto"/>
              <w:bottom w:val="single" w:sz="4" w:space="0" w:color="auto"/>
              <w:right w:val="single" w:sz="4" w:space="0" w:color="auto"/>
            </w:tcBorders>
            <w:noWrap/>
            <w:vAlign w:val="bottom"/>
          </w:tcPr>
          <w:p w:rsidR="008E45CA" w:rsidRPr="00915B9C" w:rsidRDefault="008E45CA" w:rsidP="00327358">
            <w:pPr>
              <w:rPr>
                <w:rFonts w:ascii="Arial" w:hAnsi="Arial" w:cs="Arial"/>
                <w:b/>
                <w:sz w:val="20"/>
                <w:szCs w:val="20"/>
              </w:rPr>
            </w:pPr>
            <w:r w:rsidRPr="00915B9C">
              <w:rPr>
                <w:rFonts w:ascii="Arial" w:hAnsi="Arial" w:cs="Arial"/>
                <w:b/>
                <w:sz w:val="20"/>
                <w:szCs w:val="20"/>
              </w:rPr>
              <w:t>GSYH </w:t>
            </w:r>
          </w:p>
        </w:tc>
        <w:tc>
          <w:tcPr>
            <w:tcW w:w="1237" w:type="dxa"/>
            <w:tcBorders>
              <w:top w:val="single" w:sz="4" w:space="0" w:color="auto"/>
              <w:left w:val="nil"/>
              <w:bottom w:val="single" w:sz="4" w:space="0" w:color="auto"/>
              <w:right w:val="single" w:sz="4" w:space="0" w:color="auto"/>
            </w:tcBorders>
            <w:noWrap/>
            <w:vAlign w:val="bottom"/>
          </w:tcPr>
          <w:p w:rsidR="008E45CA" w:rsidRDefault="008E45CA" w:rsidP="00B16336">
            <w:pPr>
              <w:jc w:val="right"/>
              <w:rPr>
                <w:rFonts w:ascii="Arial" w:hAnsi="Arial" w:cs="Arial"/>
                <w:sz w:val="20"/>
                <w:szCs w:val="20"/>
              </w:rPr>
            </w:pPr>
            <w:r>
              <w:rPr>
                <w:rFonts w:ascii="Arial" w:hAnsi="Arial" w:cs="Arial"/>
                <w:sz w:val="20"/>
                <w:szCs w:val="20"/>
              </w:rPr>
              <w:t>3.9%</w:t>
            </w:r>
          </w:p>
        </w:tc>
        <w:tc>
          <w:tcPr>
            <w:tcW w:w="1621" w:type="dxa"/>
            <w:tcBorders>
              <w:top w:val="single" w:sz="4" w:space="0" w:color="auto"/>
              <w:left w:val="nil"/>
              <w:bottom w:val="single" w:sz="4" w:space="0" w:color="auto"/>
              <w:right w:val="single" w:sz="4" w:space="0" w:color="auto"/>
            </w:tcBorders>
            <w:noWrap/>
            <w:vAlign w:val="bottom"/>
          </w:tcPr>
          <w:p w:rsidR="008E45CA" w:rsidRPr="005A7BB0" w:rsidRDefault="008E45CA" w:rsidP="00B16336">
            <w:pPr>
              <w:jc w:val="right"/>
              <w:rPr>
                <w:rFonts w:ascii="Arial" w:hAnsi="Arial" w:cs="Arial"/>
                <w:sz w:val="20"/>
                <w:szCs w:val="20"/>
              </w:rPr>
            </w:pPr>
          </w:p>
        </w:tc>
      </w:tr>
    </w:tbl>
    <w:p w:rsidR="00DD06A2" w:rsidRPr="0087659C" w:rsidRDefault="00C237CD" w:rsidP="0087659C">
      <w:pPr>
        <w:pStyle w:val="NormalWeb"/>
        <w:spacing w:before="0" w:beforeAutospacing="0" w:after="0" w:afterAutospacing="0"/>
        <w:jc w:val="both"/>
        <w:rPr>
          <w:rFonts w:ascii="Arial" w:hAnsi="Arial" w:cs="Arial"/>
          <w:sz w:val="20"/>
          <w:szCs w:val="20"/>
        </w:rPr>
        <w:sectPr w:rsidR="00DD06A2" w:rsidRPr="0087659C" w:rsidSect="00C335E9">
          <w:type w:val="continuous"/>
          <w:pgSz w:w="11906" w:h="16838"/>
          <w:pgMar w:top="1417" w:right="1106" w:bottom="1417" w:left="900" w:header="708" w:footer="708" w:gutter="0"/>
          <w:cols w:num="2" w:space="386"/>
          <w:docGrid w:linePitch="360"/>
        </w:sectPr>
      </w:pPr>
      <w:r>
        <w:rPr>
          <w:rFonts w:ascii="Arial" w:hAnsi="Arial" w:cs="Arial"/>
          <w:sz w:val="16"/>
          <w:szCs w:val="16"/>
        </w:rPr>
        <w:t>Source</w:t>
      </w:r>
      <w:r w:rsidR="0087659C">
        <w:rPr>
          <w:rFonts w:ascii="Arial" w:hAnsi="Arial" w:cs="Arial"/>
          <w:sz w:val="16"/>
          <w:szCs w:val="16"/>
        </w:rPr>
        <w:t>:</w:t>
      </w:r>
      <w:r>
        <w:rPr>
          <w:rFonts w:ascii="Arial" w:hAnsi="Arial" w:cs="Arial"/>
          <w:sz w:val="16"/>
          <w:szCs w:val="16"/>
        </w:rPr>
        <w:t>Turkst</w:t>
      </w:r>
      <w:r w:rsidR="008E45CA">
        <w:rPr>
          <w:rFonts w:ascii="Arial" w:hAnsi="Arial" w:cs="Arial"/>
          <w:sz w:val="16"/>
          <w:szCs w:val="16"/>
        </w:rPr>
        <w:t>at</w:t>
      </w:r>
    </w:p>
    <w:tbl>
      <w:tblPr>
        <w:tblpPr w:leftFromText="141" w:rightFromText="141" w:vertAnchor="text" w:horzAnchor="margin" w:tblpY="592"/>
        <w:tblW w:w="9371" w:type="dxa"/>
        <w:tblCellMar>
          <w:left w:w="70" w:type="dxa"/>
          <w:right w:w="70" w:type="dxa"/>
        </w:tblCellMar>
        <w:tblLook w:val="04A0" w:firstRow="1" w:lastRow="0" w:firstColumn="1" w:lastColumn="0" w:noHBand="0" w:noVBand="1"/>
      </w:tblPr>
      <w:tblGrid>
        <w:gridCol w:w="1205"/>
        <w:gridCol w:w="1429"/>
        <w:gridCol w:w="1196"/>
        <w:gridCol w:w="1319"/>
        <w:gridCol w:w="1196"/>
        <w:gridCol w:w="885"/>
        <w:gridCol w:w="885"/>
        <w:gridCol w:w="874"/>
        <w:gridCol w:w="819"/>
      </w:tblGrid>
      <w:tr w:rsidR="00915B9C" w:rsidRPr="008E5192" w:rsidTr="002B7D49">
        <w:trPr>
          <w:trHeight w:val="664"/>
        </w:trPr>
        <w:tc>
          <w:tcPr>
            <w:tcW w:w="9371" w:type="dxa"/>
            <w:gridSpan w:val="9"/>
            <w:tcBorders>
              <w:bottom w:val="single" w:sz="4" w:space="0" w:color="auto"/>
            </w:tcBorders>
            <w:shd w:val="clear" w:color="auto" w:fill="auto"/>
            <w:noWrap/>
            <w:vAlign w:val="bottom"/>
            <w:hideMark/>
          </w:tcPr>
          <w:p w:rsidR="00915B9C" w:rsidRPr="00826E3D" w:rsidRDefault="00826E3D" w:rsidP="002A2231">
            <w:pPr>
              <w:pStyle w:val="NormalWeb"/>
              <w:spacing w:before="0" w:beforeAutospacing="0" w:after="0" w:afterAutospacing="0"/>
              <w:ind w:right="79"/>
              <w:rPr>
                <w:rFonts w:ascii="Arial" w:hAnsi="Arial" w:cs="Arial"/>
                <w:b/>
                <w:bCs/>
                <w:sz w:val="20"/>
                <w:szCs w:val="20"/>
                <w:lang w:val="en-US"/>
              </w:rPr>
            </w:pPr>
            <w:r w:rsidRPr="0036710C">
              <w:rPr>
                <w:rFonts w:ascii="Arial" w:hAnsi="Arial" w:cs="Arial"/>
                <w:b/>
                <w:bCs/>
                <w:sz w:val="20"/>
                <w:szCs w:val="20"/>
                <w:lang w:val="en-US"/>
              </w:rPr>
              <w:t>Table 3. C</w:t>
            </w:r>
            <w:r w:rsidRPr="00826E3D">
              <w:rPr>
                <w:rFonts w:ascii="Arial" w:hAnsi="Arial" w:cs="Arial"/>
                <w:b/>
                <w:bCs/>
                <w:sz w:val="20"/>
                <w:szCs w:val="20"/>
                <w:lang w:val="en-US"/>
              </w:rPr>
              <w:t>ontributions of GDP components compared to the previous quarter</w:t>
            </w:r>
            <w:r>
              <w:rPr>
                <w:rFonts w:ascii="Arial" w:hAnsi="Arial" w:cs="Arial"/>
                <w:b/>
                <w:bCs/>
                <w:sz w:val="20"/>
                <w:szCs w:val="20"/>
                <w:lang w:val="en-US"/>
              </w:rPr>
              <w:t xml:space="preserve"> and total growth</w:t>
            </w:r>
          </w:p>
        </w:tc>
      </w:tr>
      <w:tr w:rsidR="002B7D49" w:rsidRPr="008E5192" w:rsidTr="002B7D49">
        <w:trPr>
          <w:trHeight w:val="664"/>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59C" w:rsidRPr="008E5192" w:rsidRDefault="0087659C" w:rsidP="00B16336">
            <w:pPr>
              <w:rPr>
                <w:rFonts w:ascii="Arial" w:hAnsi="Arial" w:cs="Arial"/>
                <w:sz w:val="20"/>
                <w:szCs w:val="20"/>
              </w:rPr>
            </w:pPr>
            <w:r w:rsidRPr="008E5192">
              <w:rPr>
                <w:rFonts w:ascii="Arial" w:hAnsi="Arial" w:cs="Arial"/>
                <w:sz w:val="20"/>
                <w:szCs w:val="20"/>
              </w:rPr>
              <w:t> </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87659C" w:rsidRPr="00B123F5" w:rsidRDefault="0087659C" w:rsidP="00983DBF">
            <w:pPr>
              <w:jc w:val="center"/>
              <w:rPr>
                <w:rFonts w:ascii="Arial" w:hAnsi="Arial" w:cs="Arial"/>
                <w:b/>
                <w:sz w:val="20"/>
                <w:szCs w:val="20"/>
              </w:rPr>
            </w:pPr>
            <w:r>
              <w:rPr>
                <w:rFonts w:ascii="Arial" w:hAnsi="Arial" w:cs="Arial"/>
                <w:b/>
                <w:sz w:val="20"/>
                <w:szCs w:val="20"/>
              </w:rPr>
              <w:t>Consumption</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87659C" w:rsidRPr="0036710C" w:rsidRDefault="0087659C" w:rsidP="00327358">
            <w:pPr>
              <w:jc w:val="center"/>
              <w:rPr>
                <w:rFonts w:ascii="Arial" w:hAnsi="Arial" w:cs="Arial"/>
                <w:b/>
                <w:sz w:val="20"/>
                <w:szCs w:val="20"/>
                <w:lang w:val="en-US"/>
              </w:rPr>
            </w:pPr>
            <w:r w:rsidRPr="0036710C">
              <w:rPr>
                <w:rFonts w:ascii="Arial" w:hAnsi="Arial" w:cs="Arial"/>
                <w:b/>
                <w:sz w:val="20"/>
                <w:szCs w:val="20"/>
                <w:lang w:val="en-US"/>
              </w:rPr>
              <w:t>Private Investment</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7659C" w:rsidRPr="0036710C" w:rsidRDefault="0087659C" w:rsidP="00327358">
            <w:pPr>
              <w:jc w:val="center"/>
              <w:rPr>
                <w:rFonts w:ascii="Arial" w:hAnsi="Arial" w:cs="Arial"/>
                <w:b/>
                <w:sz w:val="20"/>
                <w:szCs w:val="20"/>
                <w:lang w:val="en-US"/>
              </w:rPr>
            </w:pPr>
            <w:r w:rsidRPr="0036710C">
              <w:rPr>
                <w:rFonts w:ascii="Arial" w:hAnsi="Arial" w:cs="Arial"/>
                <w:b/>
                <w:sz w:val="20"/>
                <w:szCs w:val="20"/>
                <w:lang w:val="en-US"/>
              </w:rPr>
              <w:t>Government Spending</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87659C" w:rsidRPr="0036710C" w:rsidRDefault="0087659C" w:rsidP="00327358">
            <w:pPr>
              <w:jc w:val="center"/>
              <w:rPr>
                <w:rFonts w:ascii="Arial" w:hAnsi="Arial" w:cs="Arial"/>
                <w:b/>
                <w:sz w:val="20"/>
                <w:szCs w:val="20"/>
                <w:lang w:val="en-US"/>
              </w:rPr>
            </w:pPr>
            <w:r w:rsidRPr="0036710C">
              <w:rPr>
                <w:rFonts w:ascii="Arial" w:hAnsi="Arial" w:cs="Arial"/>
                <w:b/>
                <w:sz w:val="20"/>
                <w:szCs w:val="20"/>
                <w:lang w:val="en-US"/>
              </w:rPr>
              <w:t>Inventory Investment</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87659C" w:rsidRPr="0036710C" w:rsidRDefault="0087659C" w:rsidP="00327358">
            <w:pPr>
              <w:jc w:val="center"/>
              <w:rPr>
                <w:rFonts w:ascii="Arial" w:hAnsi="Arial" w:cs="Arial"/>
                <w:b/>
                <w:sz w:val="20"/>
                <w:szCs w:val="20"/>
                <w:lang w:val="en-US"/>
              </w:rPr>
            </w:pPr>
            <w:r w:rsidRPr="0036710C">
              <w:rPr>
                <w:rFonts w:ascii="Arial" w:hAnsi="Arial" w:cs="Arial"/>
                <w:b/>
                <w:sz w:val="20"/>
                <w:szCs w:val="20"/>
                <w:lang w:val="en-US"/>
              </w:rPr>
              <w:t>Net Exports</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87659C" w:rsidRPr="0036710C" w:rsidRDefault="0087659C" w:rsidP="00327358">
            <w:pPr>
              <w:jc w:val="center"/>
              <w:rPr>
                <w:rFonts w:ascii="Arial" w:hAnsi="Arial" w:cs="Arial"/>
                <w:b/>
                <w:sz w:val="20"/>
                <w:szCs w:val="20"/>
                <w:lang w:val="en-US"/>
              </w:rPr>
            </w:pPr>
            <w:r w:rsidRPr="0036710C">
              <w:rPr>
                <w:rFonts w:ascii="Arial" w:hAnsi="Arial" w:cs="Arial"/>
                <w:b/>
                <w:sz w:val="20"/>
                <w:szCs w:val="20"/>
                <w:lang w:val="en-US"/>
              </w:rPr>
              <w:t>Exports</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87659C" w:rsidRPr="0036710C" w:rsidRDefault="0087659C" w:rsidP="00327358">
            <w:pPr>
              <w:jc w:val="center"/>
              <w:rPr>
                <w:rFonts w:ascii="Arial" w:hAnsi="Arial" w:cs="Arial"/>
                <w:b/>
                <w:sz w:val="20"/>
                <w:szCs w:val="20"/>
                <w:lang w:val="en-US"/>
              </w:rPr>
            </w:pPr>
            <w:r w:rsidRPr="0036710C">
              <w:rPr>
                <w:rFonts w:ascii="Arial" w:hAnsi="Arial" w:cs="Arial"/>
                <w:b/>
                <w:sz w:val="20"/>
                <w:szCs w:val="20"/>
                <w:lang w:val="en-US"/>
              </w:rPr>
              <w:t>Imports</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87659C" w:rsidRPr="0036710C" w:rsidRDefault="0087659C" w:rsidP="00327358">
            <w:pPr>
              <w:jc w:val="center"/>
              <w:rPr>
                <w:rFonts w:ascii="Arial" w:hAnsi="Arial" w:cs="Arial"/>
                <w:b/>
                <w:sz w:val="20"/>
                <w:szCs w:val="20"/>
                <w:lang w:val="en-US"/>
              </w:rPr>
            </w:pPr>
            <w:r w:rsidRPr="0036710C">
              <w:rPr>
                <w:rFonts w:ascii="Arial" w:hAnsi="Arial" w:cs="Arial"/>
                <w:b/>
                <w:sz w:val="20"/>
                <w:szCs w:val="20"/>
                <w:lang w:val="en-US"/>
              </w:rPr>
              <w:t>Sum</w:t>
            </w:r>
          </w:p>
        </w:tc>
      </w:tr>
      <w:tr w:rsidR="002B7D49" w:rsidRPr="008E5192" w:rsidTr="002B7D49">
        <w:trPr>
          <w:trHeight w:val="228"/>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87659C" w:rsidRPr="008E5192" w:rsidRDefault="0087659C" w:rsidP="00B16336">
            <w:pPr>
              <w:rPr>
                <w:rFonts w:ascii="Arial" w:hAnsi="Arial" w:cs="Arial"/>
                <w:b/>
                <w:bCs/>
                <w:sz w:val="20"/>
                <w:szCs w:val="20"/>
              </w:rPr>
            </w:pPr>
            <w:r w:rsidRPr="008E5192">
              <w:rPr>
                <w:rFonts w:ascii="Arial" w:hAnsi="Arial" w:cs="Arial"/>
                <w:b/>
                <w:bCs/>
                <w:sz w:val="20"/>
                <w:szCs w:val="20"/>
              </w:rPr>
              <w:t>2012(1)</w:t>
            </w:r>
          </w:p>
        </w:tc>
        <w:tc>
          <w:tcPr>
            <w:tcW w:w="134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-0.5%</w:t>
            </w:r>
          </w:p>
        </w:tc>
        <w:tc>
          <w:tcPr>
            <w:tcW w:w="112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0.3%</w:t>
            </w:r>
          </w:p>
        </w:tc>
        <w:tc>
          <w:tcPr>
            <w:tcW w:w="124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-0.3%</w:t>
            </w:r>
          </w:p>
        </w:tc>
        <w:tc>
          <w:tcPr>
            <w:tcW w:w="83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-0.1%</w:t>
            </w:r>
          </w:p>
        </w:tc>
        <w:tc>
          <w:tcPr>
            <w:tcW w:w="83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1.4%</w:t>
            </w:r>
          </w:p>
        </w:tc>
        <w:tc>
          <w:tcPr>
            <w:tcW w:w="82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-1.5%</w:t>
            </w:r>
          </w:p>
        </w:tc>
        <w:tc>
          <w:tcPr>
            <w:tcW w:w="81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-0.3%</w:t>
            </w:r>
          </w:p>
        </w:tc>
      </w:tr>
      <w:tr w:rsidR="002B7D49" w:rsidRPr="008E5192" w:rsidTr="002B7D49">
        <w:trPr>
          <w:trHeight w:val="228"/>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87659C" w:rsidRPr="008E5192" w:rsidRDefault="0087659C" w:rsidP="00B16336">
            <w:pPr>
              <w:rPr>
                <w:rFonts w:ascii="Arial" w:hAnsi="Arial" w:cs="Arial"/>
                <w:b/>
                <w:bCs/>
                <w:sz w:val="20"/>
                <w:szCs w:val="20"/>
              </w:rPr>
            </w:pPr>
            <w:r w:rsidRPr="008E5192">
              <w:rPr>
                <w:rFonts w:ascii="Arial" w:hAnsi="Arial" w:cs="Arial"/>
                <w:b/>
                <w:bCs/>
                <w:sz w:val="20"/>
                <w:szCs w:val="20"/>
              </w:rPr>
              <w:t>2012(2)</w:t>
            </w:r>
          </w:p>
        </w:tc>
        <w:tc>
          <w:tcPr>
            <w:tcW w:w="134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-0.7%</w:t>
            </w:r>
          </w:p>
        </w:tc>
        <w:tc>
          <w:tcPr>
            <w:tcW w:w="112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-0.8%</w:t>
            </w:r>
          </w:p>
        </w:tc>
        <w:tc>
          <w:tcPr>
            <w:tcW w:w="124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0.8%</w:t>
            </w:r>
          </w:p>
        </w:tc>
        <w:tc>
          <w:tcPr>
            <w:tcW w:w="112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0.3%</w:t>
            </w:r>
          </w:p>
        </w:tc>
        <w:tc>
          <w:tcPr>
            <w:tcW w:w="83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1.6%</w:t>
            </w:r>
          </w:p>
        </w:tc>
        <w:tc>
          <w:tcPr>
            <w:tcW w:w="83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2.1%</w:t>
            </w:r>
          </w:p>
        </w:tc>
        <w:tc>
          <w:tcPr>
            <w:tcW w:w="82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-0.5%</w:t>
            </w:r>
          </w:p>
        </w:tc>
        <w:tc>
          <w:tcPr>
            <w:tcW w:w="81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1.2%</w:t>
            </w:r>
          </w:p>
        </w:tc>
      </w:tr>
      <w:tr w:rsidR="002B7D49" w:rsidRPr="008E5192" w:rsidTr="002B7D49">
        <w:trPr>
          <w:trHeight w:val="228"/>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87659C" w:rsidRPr="008E5192" w:rsidRDefault="0087659C" w:rsidP="00B16336">
            <w:pPr>
              <w:rPr>
                <w:rFonts w:ascii="Arial" w:hAnsi="Arial" w:cs="Arial"/>
                <w:b/>
                <w:bCs/>
                <w:sz w:val="20"/>
                <w:szCs w:val="20"/>
              </w:rPr>
            </w:pPr>
            <w:r w:rsidRPr="008E5192">
              <w:rPr>
                <w:rFonts w:ascii="Arial" w:hAnsi="Arial" w:cs="Arial"/>
                <w:b/>
                <w:bCs/>
                <w:sz w:val="20"/>
                <w:szCs w:val="20"/>
              </w:rPr>
              <w:t>2012(3)</w:t>
            </w:r>
          </w:p>
        </w:tc>
        <w:tc>
          <w:tcPr>
            <w:tcW w:w="134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1.1%</w:t>
            </w:r>
          </w:p>
        </w:tc>
        <w:tc>
          <w:tcPr>
            <w:tcW w:w="112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-0.7%</w:t>
            </w:r>
          </w:p>
        </w:tc>
        <w:tc>
          <w:tcPr>
            <w:tcW w:w="124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0.0%</w:t>
            </w:r>
          </w:p>
        </w:tc>
        <w:tc>
          <w:tcPr>
            <w:tcW w:w="83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-0.7%</w:t>
            </w:r>
          </w:p>
        </w:tc>
        <w:tc>
          <w:tcPr>
            <w:tcW w:w="83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-0.2%</w:t>
            </w:r>
          </w:p>
        </w:tc>
        <w:tc>
          <w:tcPr>
            <w:tcW w:w="82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-0.5%</w:t>
            </w:r>
          </w:p>
        </w:tc>
        <w:tc>
          <w:tcPr>
            <w:tcW w:w="81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0.2%</w:t>
            </w:r>
          </w:p>
        </w:tc>
      </w:tr>
      <w:tr w:rsidR="002B7D49" w:rsidRPr="008E5192" w:rsidTr="002B7D49">
        <w:trPr>
          <w:trHeight w:val="228"/>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87659C" w:rsidRPr="008E5192" w:rsidRDefault="0087659C" w:rsidP="00B16336">
            <w:pPr>
              <w:rPr>
                <w:rFonts w:ascii="Arial" w:hAnsi="Arial" w:cs="Arial"/>
                <w:b/>
                <w:bCs/>
                <w:sz w:val="20"/>
                <w:szCs w:val="20"/>
              </w:rPr>
            </w:pPr>
            <w:r w:rsidRPr="008E5192">
              <w:rPr>
                <w:rFonts w:ascii="Arial" w:hAnsi="Arial" w:cs="Arial"/>
                <w:b/>
                <w:bCs/>
                <w:sz w:val="20"/>
                <w:szCs w:val="20"/>
              </w:rPr>
              <w:t>2012(4)</w:t>
            </w:r>
          </w:p>
        </w:tc>
        <w:tc>
          <w:tcPr>
            <w:tcW w:w="134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-0.3%</w:t>
            </w:r>
          </w:p>
        </w:tc>
        <w:tc>
          <w:tcPr>
            <w:tcW w:w="124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-0.3%</w:t>
            </w:r>
          </w:p>
        </w:tc>
        <w:tc>
          <w:tcPr>
            <w:tcW w:w="83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1.2%</w:t>
            </w:r>
          </w:p>
        </w:tc>
        <w:tc>
          <w:tcPr>
            <w:tcW w:w="83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0.2%</w:t>
            </w:r>
          </w:p>
        </w:tc>
        <w:tc>
          <w:tcPr>
            <w:tcW w:w="82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0.9%</w:t>
            </w:r>
          </w:p>
        </w:tc>
        <w:tc>
          <w:tcPr>
            <w:tcW w:w="81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0.4%</w:t>
            </w:r>
          </w:p>
        </w:tc>
      </w:tr>
      <w:tr w:rsidR="002B7D49" w:rsidRPr="008E5192" w:rsidTr="002B7D49">
        <w:trPr>
          <w:trHeight w:val="228"/>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87659C" w:rsidRPr="008E5192" w:rsidRDefault="0087659C" w:rsidP="00B16336">
            <w:pPr>
              <w:rPr>
                <w:rFonts w:ascii="Arial" w:hAnsi="Arial" w:cs="Arial"/>
                <w:b/>
                <w:bCs/>
                <w:sz w:val="20"/>
                <w:szCs w:val="20"/>
              </w:rPr>
            </w:pPr>
            <w:r w:rsidRPr="008E5192">
              <w:rPr>
                <w:rFonts w:ascii="Arial" w:hAnsi="Arial" w:cs="Arial"/>
                <w:b/>
                <w:bCs/>
                <w:sz w:val="20"/>
                <w:szCs w:val="20"/>
              </w:rPr>
              <w:t>2013(1)</w:t>
            </w:r>
          </w:p>
        </w:tc>
        <w:tc>
          <w:tcPr>
            <w:tcW w:w="134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1.7%</w:t>
            </w:r>
          </w:p>
        </w:tc>
        <w:tc>
          <w:tcPr>
            <w:tcW w:w="112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0.6%</w:t>
            </w:r>
          </w:p>
        </w:tc>
        <w:tc>
          <w:tcPr>
            <w:tcW w:w="124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1.1%</w:t>
            </w:r>
          </w:p>
        </w:tc>
        <w:tc>
          <w:tcPr>
            <w:tcW w:w="112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1.4%</w:t>
            </w:r>
          </w:p>
        </w:tc>
        <w:tc>
          <w:tcPr>
            <w:tcW w:w="83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-3.1%</w:t>
            </w:r>
          </w:p>
        </w:tc>
        <w:tc>
          <w:tcPr>
            <w:tcW w:w="83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-1.2%</w:t>
            </w:r>
          </w:p>
        </w:tc>
        <w:tc>
          <w:tcPr>
            <w:tcW w:w="82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-1.9%</w:t>
            </w:r>
          </w:p>
        </w:tc>
        <w:tc>
          <w:tcPr>
            <w:tcW w:w="81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1.6%</w:t>
            </w:r>
          </w:p>
        </w:tc>
      </w:tr>
      <w:tr w:rsidR="002B7D49" w:rsidRPr="008E5192" w:rsidTr="002B7D49">
        <w:trPr>
          <w:trHeight w:val="228"/>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87659C" w:rsidRPr="008E5192" w:rsidRDefault="0087659C" w:rsidP="00B16336">
            <w:pPr>
              <w:rPr>
                <w:rFonts w:ascii="Arial" w:hAnsi="Arial" w:cs="Arial"/>
                <w:b/>
                <w:bCs/>
                <w:sz w:val="20"/>
                <w:szCs w:val="20"/>
              </w:rPr>
            </w:pPr>
            <w:r w:rsidRPr="008E5192">
              <w:rPr>
                <w:rFonts w:ascii="Arial" w:hAnsi="Arial" w:cs="Arial"/>
                <w:b/>
                <w:bCs/>
                <w:sz w:val="20"/>
                <w:szCs w:val="20"/>
              </w:rPr>
              <w:t>2013(2)</w:t>
            </w:r>
          </w:p>
        </w:tc>
        <w:tc>
          <w:tcPr>
            <w:tcW w:w="134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1.2%</w:t>
            </w:r>
          </w:p>
        </w:tc>
        <w:tc>
          <w:tcPr>
            <w:tcW w:w="112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0.2%</w:t>
            </w:r>
          </w:p>
        </w:tc>
        <w:tc>
          <w:tcPr>
            <w:tcW w:w="124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1.7%</w:t>
            </w:r>
          </w:p>
        </w:tc>
        <w:tc>
          <w:tcPr>
            <w:tcW w:w="83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-1.2%</w:t>
            </w:r>
          </w:p>
        </w:tc>
        <w:tc>
          <w:tcPr>
            <w:tcW w:w="83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0.8%</w:t>
            </w:r>
          </w:p>
        </w:tc>
        <w:tc>
          <w:tcPr>
            <w:tcW w:w="82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-2.0%</w:t>
            </w:r>
          </w:p>
        </w:tc>
        <w:tc>
          <w:tcPr>
            <w:tcW w:w="81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2.0%</w:t>
            </w:r>
          </w:p>
        </w:tc>
      </w:tr>
      <w:tr w:rsidR="002B7D49" w:rsidRPr="008E5192" w:rsidTr="002B7D49">
        <w:trPr>
          <w:trHeight w:val="228"/>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87659C" w:rsidRPr="008E5192" w:rsidRDefault="0087659C" w:rsidP="00B16336">
            <w:pPr>
              <w:rPr>
                <w:rFonts w:ascii="Arial" w:hAnsi="Arial" w:cs="Arial"/>
                <w:b/>
                <w:bCs/>
                <w:sz w:val="20"/>
                <w:szCs w:val="20"/>
              </w:rPr>
            </w:pPr>
            <w:r w:rsidRPr="008E5192">
              <w:rPr>
                <w:rFonts w:ascii="Arial" w:hAnsi="Arial" w:cs="Arial"/>
                <w:b/>
                <w:bCs/>
                <w:sz w:val="20"/>
                <w:szCs w:val="20"/>
              </w:rPr>
              <w:t>2013(3)</w:t>
            </w:r>
          </w:p>
        </w:tc>
        <w:tc>
          <w:tcPr>
            <w:tcW w:w="134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1.0%</w:t>
            </w:r>
          </w:p>
        </w:tc>
        <w:tc>
          <w:tcPr>
            <w:tcW w:w="112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0.1%</w:t>
            </w:r>
          </w:p>
        </w:tc>
        <w:tc>
          <w:tcPr>
            <w:tcW w:w="124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-1.4%</w:t>
            </w:r>
          </w:p>
        </w:tc>
        <w:tc>
          <w:tcPr>
            <w:tcW w:w="83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0.8%</w:t>
            </w:r>
          </w:p>
        </w:tc>
        <w:tc>
          <w:tcPr>
            <w:tcW w:w="83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-0.7%</w:t>
            </w:r>
          </w:p>
        </w:tc>
        <w:tc>
          <w:tcPr>
            <w:tcW w:w="82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1.5%</w:t>
            </w:r>
          </w:p>
        </w:tc>
        <w:tc>
          <w:tcPr>
            <w:tcW w:w="81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0.2%</w:t>
            </w:r>
          </w:p>
        </w:tc>
      </w:tr>
      <w:tr w:rsidR="002B7D49" w:rsidRPr="008E5192" w:rsidTr="002B7D49">
        <w:trPr>
          <w:trHeight w:val="228"/>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87659C" w:rsidRPr="008E5192" w:rsidRDefault="0087659C" w:rsidP="00B16336">
            <w:pPr>
              <w:rPr>
                <w:rFonts w:ascii="Arial" w:hAnsi="Arial" w:cs="Arial"/>
                <w:b/>
                <w:bCs/>
                <w:sz w:val="20"/>
                <w:szCs w:val="20"/>
              </w:rPr>
            </w:pPr>
            <w:r w:rsidRPr="008E5192">
              <w:rPr>
                <w:rFonts w:ascii="Arial" w:hAnsi="Arial" w:cs="Arial"/>
                <w:b/>
                <w:bCs/>
                <w:sz w:val="20"/>
                <w:szCs w:val="20"/>
              </w:rPr>
              <w:t>2013(4)</w:t>
            </w:r>
          </w:p>
        </w:tc>
        <w:tc>
          <w:tcPr>
            <w:tcW w:w="134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0.0%</w:t>
            </w:r>
          </w:p>
        </w:tc>
        <w:tc>
          <w:tcPr>
            <w:tcW w:w="112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0.2%</w:t>
            </w:r>
          </w:p>
        </w:tc>
        <w:tc>
          <w:tcPr>
            <w:tcW w:w="124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0.7%</w:t>
            </w:r>
          </w:p>
        </w:tc>
        <w:tc>
          <w:tcPr>
            <w:tcW w:w="112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-1.0%</w:t>
            </w:r>
          </w:p>
        </w:tc>
        <w:tc>
          <w:tcPr>
            <w:tcW w:w="83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0.8%</w:t>
            </w:r>
          </w:p>
        </w:tc>
        <w:tc>
          <w:tcPr>
            <w:tcW w:w="83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1.3%</w:t>
            </w:r>
          </w:p>
        </w:tc>
        <w:tc>
          <w:tcPr>
            <w:tcW w:w="82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-0.5%</w:t>
            </w:r>
          </w:p>
        </w:tc>
        <w:tc>
          <w:tcPr>
            <w:tcW w:w="81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0.7%</w:t>
            </w:r>
          </w:p>
        </w:tc>
      </w:tr>
      <w:tr w:rsidR="002B7D49" w:rsidRPr="008E5192" w:rsidTr="002B7D49">
        <w:trPr>
          <w:trHeight w:val="228"/>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87659C" w:rsidRPr="008E5192" w:rsidRDefault="0087659C" w:rsidP="00B16336">
            <w:pPr>
              <w:rPr>
                <w:rFonts w:ascii="Arial" w:hAnsi="Arial" w:cs="Arial"/>
                <w:b/>
                <w:bCs/>
                <w:sz w:val="20"/>
                <w:szCs w:val="20"/>
              </w:rPr>
            </w:pPr>
            <w:r w:rsidRPr="008E5192">
              <w:rPr>
                <w:rFonts w:ascii="Arial" w:hAnsi="Arial" w:cs="Arial"/>
                <w:b/>
                <w:bCs/>
                <w:sz w:val="20"/>
                <w:szCs w:val="20"/>
              </w:rPr>
              <w:t>2014(1)</w:t>
            </w:r>
          </w:p>
        </w:tc>
        <w:tc>
          <w:tcPr>
            <w:tcW w:w="134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-0.7%</w:t>
            </w:r>
          </w:p>
        </w:tc>
        <w:tc>
          <w:tcPr>
            <w:tcW w:w="112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-0.4%</w:t>
            </w:r>
          </w:p>
        </w:tc>
        <w:tc>
          <w:tcPr>
            <w:tcW w:w="124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0.0%</w:t>
            </w:r>
          </w:p>
        </w:tc>
        <w:tc>
          <w:tcPr>
            <w:tcW w:w="112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0.4%</w:t>
            </w:r>
          </w:p>
        </w:tc>
        <w:tc>
          <w:tcPr>
            <w:tcW w:w="83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2.3%</w:t>
            </w:r>
          </w:p>
        </w:tc>
        <w:tc>
          <w:tcPr>
            <w:tcW w:w="83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1.5%</w:t>
            </w:r>
          </w:p>
        </w:tc>
        <w:tc>
          <w:tcPr>
            <w:tcW w:w="825"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0.8%</w:t>
            </w:r>
          </w:p>
        </w:tc>
        <w:tc>
          <w:tcPr>
            <w:tcW w:w="819" w:type="dxa"/>
            <w:tcBorders>
              <w:top w:val="nil"/>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1.6%</w:t>
            </w:r>
          </w:p>
        </w:tc>
      </w:tr>
      <w:tr w:rsidR="002B7D49" w:rsidRPr="008E5192" w:rsidTr="002B7D49">
        <w:trPr>
          <w:trHeight w:val="228"/>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59C" w:rsidRPr="008E5192" w:rsidRDefault="0087659C" w:rsidP="00B16336">
            <w:pPr>
              <w:rPr>
                <w:rFonts w:ascii="Arial" w:hAnsi="Arial" w:cs="Arial"/>
                <w:b/>
                <w:bCs/>
                <w:sz w:val="20"/>
                <w:szCs w:val="20"/>
              </w:rPr>
            </w:pPr>
            <w:r>
              <w:rPr>
                <w:rFonts w:ascii="Arial" w:hAnsi="Arial" w:cs="Arial"/>
                <w:b/>
                <w:bCs/>
                <w:sz w:val="20"/>
                <w:szCs w:val="20"/>
              </w:rPr>
              <w:t>2014(2)</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0.0%</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-0.3%</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-0.6%</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1.3%</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-0.6%</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-0.2%</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-0.4%</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-0.3%</w:t>
            </w:r>
          </w:p>
        </w:tc>
      </w:tr>
      <w:tr w:rsidR="002B7D49" w:rsidRPr="008E5192" w:rsidTr="002B7D49">
        <w:trPr>
          <w:trHeight w:val="228"/>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59C" w:rsidRDefault="0087659C" w:rsidP="00B16336">
            <w:pPr>
              <w:rPr>
                <w:rFonts w:ascii="Arial" w:hAnsi="Arial" w:cs="Arial"/>
                <w:b/>
                <w:bCs/>
                <w:sz w:val="20"/>
                <w:szCs w:val="20"/>
              </w:rPr>
            </w:pPr>
            <w:r>
              <w:rPr>
                <w:rFonts w:ascii="Arial" w:hAnsi="Arial" w:cs="Arial"/>
                <w:b/>
                <w:bCs/>
                <w:sz w:val="20"/>
                <w:szCs w:val="20"/>
              </w:rPr>
              <w:t>2014(3)</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1.1%</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1.0%</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0.2%</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-2.2%</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0.2%</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-0.4%</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0.6%</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0.2%</w:t>
            </w:r>
          </w:p>
        </w:tc>
      </w:tr>
      <w:tr w:rsidR="002B7D49" w:rsidRPr="008E5192" w:rsidTr="002B7D49">
        <w:trPr>
          <w:trHeight w:val="228"/>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59C" w:rsidRDefault="0087659C" w:rsidP="00B16336">
            <w:pPr>
              <w:rPr>
                <w:rFonts w:ascii="Arial" w:hAnsi="Arial" w:cs="Arial"/>
                <w:b/>
                <w:bCs/>
                <w:sz w:val="20"/>
                <w:szCs w:val="20"/>
              </w:rPr>
            </w:pPr>
            <w:r>
              <w:rPr>
                <w:rFonts w:ascii="Arial" w:hAnsi="Arial" w:cs="Arial"/>
                <w:b/>
                <w:bCs/>
                <w:sz w:val="20"/>
                <w:szCs w:val="20"/>
              </w:rPr>
              <w:t>2014(4)</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1.2%</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-0.2%</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0.4%</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2.5%</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-2.5%</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-0.2%</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-2.2%</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1.4%</w:t>
            </w:r>
          </w:p>
        </w:tc>
      </w:tr>
      <w:tr w:rsidR="002B7D49" w:rsidRPr="008E5192" w:rsidTr="002B7D49">
        <w:trPr>
          <w:trHeight w:val="228"/>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59C" w:rsidRPr="008E5192" w:rsidRDefault="0087659C" w:rsidP="00B16336">
            <w:pPr>
              <w:rPr>
                <w:rFonts w:ascii="Arial" w:hAnsi="Arial" w:cs="Arial"/>
                <w:b/>
                <w:bCs/>
                <w:sz w:val="20"/>
                <w:szCs w:val="20"/>
              </w:rPr>
            </w:pPr>
            <w:r>
              <w:rPr>
                <w:rFonts w:ascii="Arial" w:hAnsi="Arial" w:cs="Arial"/>
                <w:b/>
                <w:bCs/>
                <w:sz w:val="20"/>
                <w:szCs w:val="20"/>
              </w:rPr>
              <w:t>2015</w:t>
            </w:r>
            <w:r w:rsidRPr="008E5192">
              <w:rPr>
                <w:rFonts w:ascii="Arial" w:hAnsi="Arial" w:cs="Arial"/>
                <w:b/>
                <w:bCs/>
                <w:sz w:val="20"/>
                <w:szCs w:val="20"/>
              </w:rPr>
              <w:t>(1)</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0.6%</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-0.2%</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0.4%</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-1.1%</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1.5%</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0.4%</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1.1%</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1.1%</w:t>
            </w:r>
          </w:p>
        </w:tc>
      </w:tr>
      <w:tr w:rsidR="002B7D49" w:rsidRPr="008E5192" w:rsidTr="002B7D49">
        <w:trPr>
          <w:trHeight w:val="228"/>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59C" w:rsidRPr="008E5192" w:rsidRDefault="0087659C" w:rsidP="00B16336">
            <w:pPr>
              <w:rPr>
                <w:rFonts w:ascii="Arial" w:hAnsi="Arial" w:cs="Arial"/>
                <w:b/>
                <w:bCs/>
                <w:sz w:val="20"/>
                <w:szCs w:val="20"/>
              </w:rPr>
            </w:pPr>
            <w:r>
              <w:rPr>
                <w:rFonts w:ascii="Arial" w:hAnsi="Arial" w:cs="Arial"/>
                <w:b/>
                <w:bCs/>
                <w:sz w:val="20"/>
                <w:szCs w:val="20"/>
              </w:rPr>
              <w:t>2015(2)</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0.5%</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1.4%</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0.4%</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-0.7%</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-0.3%</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-0.5%</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0.1%</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1.3%</w:t>
            </w:r>
          </w:p>
        </w:tc>
      </w:tr>
      <w:tr w:rsidR="002B7D49" w:rsidRPr="008E5192" w:rsidTr="002B7D49">
        <w:trPr>
          <w:trHeight w:val="228"/>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59C" w:rsidRDefault="0087659C" w:rsidP="00B16336">
            <w:pPr>
              <w:rPr>
                <w:rFonts w:ascii="Arial" w:hAnsi="Arial" w:cs="Arial"/>
                <w:b/>
                <w:bCs/>
                <w:sz w:val="20"/>
                <w:szCs w:val="20"/>
              </w:rPr>
            </w:pPr>
            <w:r>
              <w:rPr>
                <w:rFonts w:ascii="Arial" w:hAnsi="Arial" w:cs="Arial"/>
                <w:b/>
                <w:bCs/>
                <w:sz w:val="20"/>
                <w:szCs w:val="20"/>
              </w:rPr>
              <w:t>2015(3)</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0.9%</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-1.3%</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0.3%</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-0.5%</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1.7%</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0.4%</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1.3%</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1.2%</w:t>
            </w:r>
          </w:p>
        </w:tc>
      </w:tr>
      <w:tr w:rsidR="002B7D49" w:rsidRPr="008E5192" w:rsidTr="002B7D49">
        <w:trPr>
          <w:trHeight w:val="228"/>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59C" w:rsidRDefault="0087659C" w:rsidP="00B16336">
            <w:pPr>
              <w:rPr>
                <w:rFonts w:ascii="Arial" w:hAnsi="Arial" w:cs="Arial"/>
                <w:b/>
                <w:bCs/>
                <w:sz w:val="20"/>
                <w:szCs w:val="20"/>
              </w:rPr>
            </w:pPr>
            <w:r>
              <w:rPr>
                <w:rFonts w:ascii="Arial" w:hAnsi="Arial" w:cs="Arial"/>
                <w:b/>
                <w:bCs/>
                <w:sz w:val="20"/>
                <w:szCs w:val="20"/>
              </w:rPr>
              <w:t>2015(4)</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0.2%</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0.5%</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0.0%</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2.0%</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-2.0%</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-0.3%</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-1.7%</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87659C" w:rsidRDefault="0087659C" w:rsidP="00B16336">
            <w:pPr>
              <w:jc w:val="center"/>
              <w:rPr>
                <w:rFonts w:ascii="Arial" w:hAnsi="Arial" w:cs="Arial"/>
                <w:sz w:val="20"/>
                <w:szCs w:val="20"/>
              </w:rPr>
            </w:pPr>
            <w:r>
              <w:rPr>
                <w:rFonts w:ascii="Arial" w:hAnsi="Arial" w:cs="Arial"/>
                <w:sz w:val="20"/>
                <w:szCs w:val="20"/>
              </w:rPr>
              <w:t>0.7%</w:t>
            </w:r>
          </w:p>
        </w:tc>
      </w:tr>
    </w:tbl>
    <w:p w:rsidR="0087659C" w:rsidRDefault="0087659C" w:rsidP="00C237CD">
      <w:pPr>
        <w:pStyle w:val="NormalWeb"/>
        <w:spacing w:before="0" w:beforeAutospacing="0" w:after="0" w:afterAutospacing="0"/>
        <w:jc w:val="both"/>
        <w:rPr>
          <w:rFonts w:ascii="Arial" w:hAnsi="Arial" w:cs="Arial"/>
          <w:b/>
          <w:bCs/>
          <w:sz w:val="20"/>
          <w:szCs w:val="20"/>
        </w:rPr>
      </w:pPr>
    </w:p>
    <w:p w:rsidR="002B7D49" w:rsidRDefault="002B7D49" w:rsidP="00C237CD">
      <w:pPr>
        <w:pStyle w:val="NormalWeb"/>
        <w:spacing w:before="0" w:beforeAutospacing="0" w:after="0" w:afterAutospacing="0"/>
        <w:jc w:val="both"/>
        <w:rPr>
          <w:rFonts w:ascii="Arial" w:hAnsi="Arial" w:cs="Arial"/>
          <w:b/>
          <w:bCs/>
          <w:sz w:val="20"/>
          <w:szCs w:val="20"/>
        </w:rPr>
      </w:pPr>
    </w:p>
    <w:p w:rsidR="00C237CD" w:rsidRDefault="00C237CD" w:rsidP="00C237CD">
      <w:pPr>
        <w:pStyle w:val="NormalWeb"/>
        <w:spacing w:before="0" w:beforeAutospacing="0" w:after="0" w:afterAutospacing="0"/>
        <w:jc w:val="both"/>
        <w:rPr>
          <w:rFonts w:ascii="Arial" w:hAnsi="Arial" w:cs="Arial"/>
          <w:sz w:val="20"/>
          <w:szCs w:val="20"/>
        </w:rPr>
      </w:pPr>
      <w:r>
        <w:rPr>
          <w:rFonts w:ascii="Arial" w:hAnsi="Arial" w:cs="Arial"/>
          <w:sz w:val="16"/>
          <w:szCs w:val="16"/>
        </w:rPr>
        <w:t>Source</w:t>
      </w:r>
      <w:r w:rsidRPr="00660DE2">
        <w:rPr>
          <w:rFonts w:ascii="Arial" w:hAnsi="Arial" w:cs="Arial"/>
          <w:sz w:val="16"/>
          <w:szCs w:val="16"/>
        </w:rPr>
        <w:t xml:space="preserve"> : </w:t>
      </w:r>
      <w:r>
        <w:rPr>
          <w:rFonts w:ascii="Arial" w:hAnsi="Arial" w:cs="Arial"/>
          <w:sz w:val="16"/>
          <w:szCs w:val="16"/>
        </w:rPr>
        <w:t>Turkstat</w:t>
      </w:r>
      <w:r w:rsidRPr="00660DE2">
        <w:rPr>
          <w:rFonts w:ascii="Arial" w:hAnsi="Arial" w:cs="Arial"/>
          <w:sz w:val="16"/>
          <w:szCs w:val="16"/>
        </w:rPr>
        <w:t>.</w:t>
      </w:r>
    </w:p>
    <w:p w:rsidR="00C237CD" w:rsidRDefault="00C237CD" w:rsidP="00983DBF">
      <w:pPr>
        <w:pStyle w:val="NormalWeb"/>
        <w:spacing w:before="0" w:beforeAutospacing="0" w:after="0" w:afterAutospacing="0"/>
        <w:ind w:right="79"/>
        <w:rPr>
          <w:rFonts w:ascii="Arial" w:hAnsi="Arial" w:cs="Arial"/>
          <w:b/>
          <w:bCs/>
          <w:sz w:val="20"/>
          <w:szCs w:val="20"/>
        </w:rPr>
      </w:pPr>
    </w:p>
    <w:p w:rsidR="00C237CD" w:rsidRDefault="00C237CD" w:rsidP="00983DBF">
      <w:pPr>
        <w:pStyle w:val="NormalWeb"/>
        <w:spacing w:before="0" w:beforeAutospacing="0" w:after="0" w:afterAutospacing="0"/>
        <w:ind w:right="79"/>
        <w:rPr>
          <w:rFonts w:ascii="Arial" w:hAnsi="Arial" w:cs="Arial"/>
          <w:b/>
          <w:bCs/>
          <w:sz w:val="20"/>
          <w:szCs w:val="20"/>
        </w:rPr>
      </w:pPr>
    </w:p>
    <w:p w:rsidR="00C237CD" w:rsidRDefault="00C237CD" w:rsidP="00983DBF">
      <w:pPr>
        <w:pStyle w:val="NormalWeb"/>
        <w:spacing w:before="0" w:beforeAutospacing="0" w:after="0" w:afterAutospacing="0"/>
        <w:ind w:right="79"/>
        <w:rPr>
          <w:rFonts w:ascii="Arial" w:hAnsi="Arial" w:cs="Arial"/>
          <w:b/>
          <w:bCs/>
          <w:sz w:val="20"/>
          <w:szCs w:val="20"/>
        </w:rPr>
      </w:pPr>
    </w:p>
    <w:p w:rsidR="00C237CD" w:rsidRDefault="00C237CD" w:rsidP="00983DBF">
      <w:pPr>
        <w:pStyle w:val="NormalWeb"/>
        <w:spacing w:before="0" w:beforeAutospacing="0" w:after="0" w:afterAutospacing="0"/>
        <w:ind w:right="79"/>
        <w:rPr>
          <w:rFonts w:ascii="Arial" w:hAnsi="Arial" w:cs="Arial"/>
          <w:b/>
          <w:bCs/>
          <w:sz w:val="20"/>
          <w:szCs w:val="20"/>
        </w:rPr>
      </w:pPr>
    </w:p>
    <w:p w:rsidR="00826E3D" w:rsidRPr="0036710C" w:rsidRDefault="00826E3D" w:rsidP="00826E3D">
      <w:pPr>
        <w:pStyle w:val="NormalWeb"/>
        <w:spacing w:before="0" w:beforeAutospacing="0" w:after="0" w:afterAutospacing="0" w:line="360" w:lineRule="auto"/>
        <w:ind w:right="77"/>
        <w:rPr>
          <w:rFonts w:ascii="Arial" w:hAnsi="Arial" w:cs="Arial"/>
          <w:b/>
          <w:bCs/>
          <w:sz w:val="20"/>
          <w:szCs w:val="20"/>
          <w:lang w:val="en-US"/>
        </w:rPr>
      </w:pPr>
      <w:r w:rsidRPr="00826E3D">
        <w:rPr>
          <w:rFonts w:ascii="Arial" w:hAnsi="Arial" w:cs="Arial"/>
          <w:b/>
          <w:bCs/>
          <w:sz w:val="20"/>
          <w:szCs w:val="20"/>
          <w:lang w:val="en-US"/>
        </w:rPr>
        <w:t>Table4 :</w:t>
      </w:r>
      <w:r>
        <w:rPr>
          <w:rFonts w:ascii="Arial" w:hAnsi="Arial" w:cs="Arial"/>
          <w:b/>
          <w:bCs/>
          <w:sz w:val="20"/>
          <w:szCs w:val="20"/>
          <w:lang w:val="en-US"/>
        </w:rPr>
        <w:t>Growth</w:t>
      </w:r>
      <w:r w:rsidRPr="00826E3D">
        <w:rPr>
          <w:rFonts w:ascii="Arial" w:hAnsi="Arial" w:cs="Arial"/>
          <w:b/>
          <w:bCs/>
          <w:sz w:val="20"/>
          <w:szCs w:val="20"/>
          <w:lang w:val="en-US"/>
        </w:rPr>
        <w:t xml:space="preserve"> of GDP components compared to the previous quarter</w:t>
      </w:r>
    </w:p>
    <w:p w:rsidR="00983DBF" w:rsidRDefault="00983DBF" w:rsidP="00983DBF">
      <w:pPr>
        <w:pStyle w:val="NormalWeb"/>
        <w:spacing w:before="0" w:beforeAutospacing="0" w:after="0" w:afterAutospacing="0"/>
        <w:ind w:right="79"/>
        <w:rPr>
          <w:rFonts w:ascii="Arial" w:hAnsi="Arial" w:cs="Arial"/>
          <w:b/>
          <w:bCs/>
          <w:sz w:val="20"/>
          <w:szCs w:val="20"/>
        </w:rPr>
      </w:pPr>
    </w:p>
    <w:tbl>
      <w:tblPr>
        <w:tblStyle w:val="TableGrid"/>
        <w:tblW w:w="0" w:type="auto"/>
        <w:tblLook w:val="04A0" w:firstRow="1" w:lastRow="0" w:firstColumn="1" w:lastColumn="0" w:noHBand="0" w:noVBand="1"/>
      </w:tblPr>
      <w:tblGrid>
        <w:gridCol w:w="1064"/>
        <w:gridCol w:w="1810"/>
        <w:gridCol w:w="1810"/>
        <w:gridCol w:w="1811"/>
        <w:gridCol w:w="1810"/>
        <w:gridCol w:w="1811"/>
      </w:tblGrid>
      <w:tr w:rsidR="00983DBF" w:rsidTr="00B16336">
        <w:tc>
          <w:tcPr>
            <w:tcW w:w="1064" w:type="dxa"/>
          </w:tcPr>
          <w:p w:rsidR="00983DBF" w:rsidRDefault="00983DBF" w:rsidP="00983DBF">
            <w:pPr>
              <w:pStyle w:val="NormalWeb"/>
              <w:spacing w:before="0" w:beforeAutospacing="0" w:after="0" w:afterAutospacing="0" w:line="360" w:lineRule="auto"/>
              <w:ind w:right="77"/>
              <w:rPr>
                <w:rFonts w:ascii="Arial" w:hAnsi="Arial" w:cs="Arial"/>
                <w:b/>
                <w:bCs/>
                <w:sz w:val="20"/>
                <w:szCs w:val="20"/>
              </w:rPr>
            </w:pPr>
          </w:p>
        </w:tc>
        <w:tc>
          <w:tcPr>
            <w:tcW w:w="1810" w:type="dxa"/>
            <w:vAlign w:val="center"/>
          </w:tcPr>
          <w:p w:rsidR="00983DBF" w:rsidRPr="00B123F5" w:rsidRDefault="0087659C" w:rsidP="00983DBF">
            <w:pPr>
              <w:jc w:val="center"/>
              <w:rPr>
                <w:rFonts w:ascii="Arial" w:hAnsi="Arial" w:cs="Arial"/>
                <w:b/>
                <w:sz w:val="20"/>
                <w:szCs w:val="20"/>
              </w:rPr>
            </w:pPr>
            <w:r>
              <w:rPr>
                <w:rFonts w:ascii="Arial" w:hAnsi="Arial" w:cs="Arial"/>
                <w:b/>
                <w:sz w:val="20"/>
                <w:szCs w:val="20"/>
              </w:rPr>
              <w:t>Consumption</w:t>
            </w:r>
          </w:p>
        </w:tc>
        <w:tc>
          <w:tcPr>
            <w:tcW w:w="1810" w:type="dxa"/>
            <w:vAlign w:val="center"/>
          </w:tcPr>
          <w:p w:rsidR="00983DBF" w:rsidRPr="00B123F5" w:rsidRDefault="0087659C" w:rsidP="00983DBF">
            <w:pPr>
              <w:jc w:val="center"/>
              <w:rPr>
                <w:rFonts w:ascii="Arial" w:hAnsi="Arial" w:cs="Arial"/>
                <w:b/>
                <w:sz w:val="20"/>
                <w:szCs w:val="20"/>
              </w:rPr>
            </w:pPr>
            <w:r>
              <w:rPr>
                <w:rFonts w:ascii="Arial" w:hAnsi="Arial" w:cs="Arial"/>
                <w:b/>
                <w:sz w:val="20"/>
                <w:szCs w:val="20"/>
              </w:rPr>
              <w:t>Private Investment</w:t>
            </w:r>
          </w:p>
        </w:tc>
        <w:tc>
          <w:tcPr>
            <w:tcW w:w="1811" w:type="dxa"/>
            <w:vAlign w:val="center"/>
          </w:tcPr>
          <w:p w:rsidR="00983DBF" w:rsidRPr="00B123F5" w:rsidRDefault="0087659C" w:rsidP="00983DBF">
            <w:pPr>
              <w:jc w:val="center"/>
              <w:rPr>
                <w:rFonts w:ascii="Arial" w:hAnsi="Arial" w:cs="Arial"/>
                <w:b/>
                <w:sz w:val="20"/>
                <w:szCs w:val="20"/>
              </w:rPr>
            </w:pPr>
            <w:r>
              <w:rPr>
                <w:rFonts w:ascii="Arial" w:hAnsi="Arial" w:cs="Arial"/>
                <w:b/>
                <w:sz w:val="20"/>
                <w:szCs w:val="20"/>
              </w:rPr>
              <w:t>Government Spending</w:t>
            </w:r>
          </w:p>
        </w:tc>
        <w:tc>
          <w:tcPr>
            <w:tcW w:w="1810" w:type="dxa"/>
            <w:vAlign w:val="center"/>
          </w:tcPr>
          <w:p w:rsidR="00983DBF" w:rsidRPr="00B123F5" w:rsidRDefault="0087659C" w:rsidP="00983DBF">
            <w:pPr>
              <w:jc w:val="center"/>
              <w:rPr>
                <w:rFonts w:ascii="Arial" w:hAnsi="Arial" w:cs="Arial"/>
                <w:b/>
                <w:sz w:val="20"/>
                <w:szCs w:val="20"/>
              </w:rPr>
            </w:pPr>
            <w:r>
              <w:rPr>
                <w:rFonts w:ascii="Arial" w:hAnsi="Arial" w:cs="Arial"/>
                <w:b/>
                <w:sz w:val="20"/>
                <w:szCs w:val="20"/>
              </w:rPr>
              <w:t>Export</w:t>
            </w:r>
          </w:p>
        </w:tc>
        <w:tc>
          <w:tcPr>
            <w:tcW w:w="1811" w:type="dxa"/>
            <w:vAlign w:val="center"/>
          </w:tcPr>
          <w:p w:rsidR="00983DBF" w:rsidRPr="00B123F5" w:rsidRDefault="0087659C" w:rsidP="00983DBF">
            <w:pPr>
              <w:jc w:val="center"/>
              <w:rPr>
                <w:rFonts w:ascii="Arial" w:hAnsi="Arial" w:cs="Arial"/>
                <w:b/>
                <w:sz w:val="20"/>
                <w:szCs w:val="20"/>
              </w:rPr>
            </w:pPr>
            <w:r>
              <w:rPr>
                <w:rFonts w:ascii="Arial" w:hAnsi="Arial" w:cs="Arial"/>
                <w:b/>
                <w:sz w:val="20"/>
                <w:szCs w:val="20"/>
              </w:rPr>
              <w:t>Import</w:t>
            </w:r>
          </w:p>
        </w:tc>
      </w:tr>
      <w:tr w:rsidR="00B16336" w:rsidTr="00B16336">
        <w:tc>
          <w:tcPr>
            <w:tcW w:w="1064" w:type="dxa"/>
            <w:vAlign w:val="bottom"/>
          </w:tcPr>
          <w:p w:rsidR="00B16336" w:rsidRPr="008E5192" w:rsidRDefault="00B16336" w:rsidP="00983DBF">
            <w:pPr>
              <w:rPr>
                <w:rFonts w:ascii="Arial" w:hAnsi="Arial" w:cs="Arial"/>
                <w:b/>
                <w:bCs/>
                <w:sz w:val="20"/>
                <w:szCs w:val="20"/>
              </w:rPr>
            </w:pPr>
            <w:r w:rsidRPr="008E5192">
              <w:rPr>
                <w:rFonts w:ascii="Arial" w:hAnsi="Arial" w:cs="Arial"/>
                <w:b/>
                <w:bCs/>
                <w:sz w:val="20"/>
                <w:szCs w:val="20"/>
              </w:rPr>
              <w:t>2012(1)</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-0.8%</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1.5%</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2.2%</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5.9%</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5.9%</w:t>
            </w:r>
          </w:p>
        </w:tc>
      </w:tr>
      <w:tr w:rsidR="00B16336" w:rsidTr="00B16336">
        <w:tc>
          <w:tcPr>
            <w:tcW w:w="1064" w:type="dxa"/>
            <w:vAlign w:val="bottom"/>
          </w:tcPr>
          <w:p w:rsidR="00B16336" w:rsidRPr="008E5192" w:rsidRDefault="00B16336" w:rsidP="00983DBF">
            <w:pPr>
              <w:rPr>
                <w:rFonts w:ascii="Arial" w:hAnsi="Arial" w:cs="Arial"/>
                <w:b/>
                <w:bCs/>
                <w:sz w:val="20"/>
                <w:szCs w:val="20"/>
              </w:rPr>
            </w:pPr>
            <w:r w:rsidRPr="008E5192">
              <w:rPr>
                <w:rFonts w:ascii="Arial" w:hAnsi="Arial" w:cs="Arial"/>
                <w:b/>
                <w:bCs/>
                <w:sz w:val="20"/>
                <w:szCs w:val="20"/>
              </w:rPr>
              <w:t>2012(2)</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-1.1%</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-3.5%</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5.5%</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8.2%</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1.9%</w:t>
            </w:r>
          </w:p>
        </w:tc>
      </w:tr>
      <w:tr w:rsidR="00B16336" w:rsidTr="00B16336">
        <w:tc>
          <w:tcPr>
            <w:tcW w:w="1064" w:type="dxa"/>
            <w:vAlign w:val="bottom"/>
          </w:tcPr>
          <w:p w:rsidR="00B16336" w:rsidRPr="008E5192" w:rsidRDefault="00B16336" w:rsidP="00983DBF">
            <w:pPr>
              <w:rPr>
                <w:rFonts w:ascii="Arial" w:hAnsi="Arial" w:cs="Arial"/>
                <w:b/>
                <w:bCs/>
                <w:sz w:val="20"/>
                <w:szCs w:val="20"/>
              </w:rPr>
            </w:pPr>
            <w:r w:rsidRPr="008E5192">
              <w:rPr>
                <w:rFonts w:ascii="Arial" w:hAnsi="Arial" w:cs="Arial"/>
                <w:b/>
                <w:bCs/>
                <w:sz w:val="20"/>
                <w:szCs w:val="20"/>
              </w:rPr>
              <w:t>2012(3)</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1.6%</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-3.5%</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3.8%</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-0.7%</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1.8%</w:t>
            </w:r>
          </w:p>
        </w:tc>
      </w:tr>
      <w:tr w:rsidR="00B16336" w:rsidTr="00B16336">
        <w:tc>
          <w:tcPr>
            <w:tcW w:w="1064" w:type="dxa"/>
            <w:vAlign w:val="bottom"/>
          </w:tcPr>
          <w:p w:rsidR="00B16336" w:rsidRPr="008E5192" w:rsidRDefault="00B16336" w:rsidP="00983DBF">
            <w:pPr>
              <w:rPr>
                <w:rFonts w:ascii="Arial" w:hAnsi="Arial" w:cs="Arial"/>
                <w:b/>
                <w:bCs/>
                <w:sz w:val="20"/>
                <w:szCs w:val="20"/>
              </w:rPr>
            </w:pPr>
            <w:r w:rsidRPr="008E5192">
              <w:rPr>
                <w:rFonts w:ascii="Arial" w:hAnsi="Arial" w:cs="Arial"/>
                <w:b/>
                <w:bCs/>
                <w:sz w:val="20"/>
                <w:szCs w:val="20"/>
              </w:rPr>
              <w:t>2012(4)</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-0.2%</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-1.4%</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-0.5%</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0.8%</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-3.3%</w:t>
            </w:r>
          </w:p>
        </w:tc>
      </w:tr>
      <w:tr w:rsidR="00B16336" w:rsidTr="00B16336">
        <w:tc>
          <w:tcPr>
            <w:tcW w:w="1064" w:type="dxa"/>
            <w:vAlign w:val="bottom"/>
          </w:tcPr>
          <w:p w:rsidR="00B16336" w:rsidRPr="008E5192" w:rsidRDefault="00B16336" w:rsidP="00983DBF">
            <w:pPr>
              <w:rPr>
                <w:rFonts w:ascii="Arial" w:hAnsi="Arial" w:cs="Arial"/>
                <w:b/>
                <w:bCs/>
                <w:sz w:val="20"/>
                <w:szCs w:val="20"/>
              </w:rPr>
            </w:pPr>
            <w:r w:rsidRPr="008E5192">
              <w:rPr>
                <w:rFonts w:ascii="Arial" w:hAnsi="Arial" w:cs="Arial"/>
                <w:b/>
                <w:bCs/>
                <w:sz w:val="20"/>
                <w:szCs w:val="20"/>
              </w:rPr>
              <w:t>2013(1)</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2.6%</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3.0%</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7.3%</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-4.4%</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7.1%</w:t>
            </w:r>
          </w:p>
        </w:tc>
      </w:tr>
      <w:tr w:rsidR="00B16336" w:rsidTr="00B16336">
        <w:tc>
          <w:tcPr>
            <w:tcW w:w="1064" w:type="dxa"/>
            <w:vAlign w:val="bottom"/>
          </w:tcPr>
          <w:p w:rsidR="00B16336" w:rsidRPr="008E5192" w:rsidRDefault="00B16336" w:rsidP="00983DBF">
            <w:pPr>
              <w:rPr>
                <w:rFonts w:ascii="Arial" w:hAnsi="Arial" w:cs="Arial"/>
                <w:b/>
                <w:bCs/>
                <w:sz w:val="20"/>
                <w:szCs w:val="20"/>
              </w:rPr>
            </w:pPr>
            <w:r w:rsidRPr="008E5192">
              <w:rPr>
                <w:rFonts w:ascii="Arial" w:hAnsi="Arial" w:cs="Arial"/>
                <w:b/>
                <w:bCs/>
                <w:sz w:val="20"/>
                <w:szCs w:val="20"/>
              </w:rPr>
              <w:t>2013(2)</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1.7%</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1.1%</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1.0%</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3.0%</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6.9%</w:t>
            </w:r>
          </w:p>
        </w:tc>
      </w:tr>
      <w:tr w:rsidR="00B16336" w:rsidTr="00B16336">
        <w:tc>
          <w:tcPr>
            <w:tcW w:w="1064" w:type="dxa"/>
            <w:vAlign w:val="bottom"/>
          </w:tcPr>
          <w:p w:rsidR="00B16336" w:rsidRPr="008E5192" w:rsidRDefault="00B16336" w:rsidP="00983DBF">
            <w:pPr>
              <w:rPr>
                <w:rFonts w:ascii="Arial" w:hAnsi="Arial" w:cs="Arial"/>
                <w:b/>
                <w:bCs/>
                <w:sz w:val="20"/>
                <w:szCs w:val="20"/>
              </w:rPr>
            </w:pPr>
            <w:r w:rsidRPr="008E5192">
              <w:rPr>
                <w:rFonts w:ascii="Arial" w:hAnsi="Arial" w:cs="Arial"/>
                <w:b/>
                <w:bCs/>
                <w:sz w:val="20"/>
                <w:szCs w:val="20"/>
              </w:rPr>
              <w:t>2013(3)</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1.6%</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0.7%</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-1.9%</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-2.7%</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-4.9%</w:t>
            </w:r>
          </w:p>
        </w:tc>
      </w:tr>
      <w:tr w:rsidR="00B16336" w:rsidTr="00B16336">
        <w:tc>
          <w:tcPr>
            <w:tcW w:w="1064" w:type="dxa"/>
            <w:vAlign w:val="bottom"/>
          </w:tcPr>
          <w:p w:rsidR="00B16336" w:rsidRPr="008E5192" w:rsidRDefault="00B16336" w:rsidP="00983DBF">
            <w:pPr>
              <w:rPr>
                <w:rFonts w:ascii="Arial" w:hAnsi="Arial" w:cs="Arial"/>
                <w:b/>
                <w:bCs/>
                <w:sz w:val="20"/>
                <w:szCs w:val="20"/>
              </w:rPr>
            </w:pPr>
            <w:r w:rsidRPr="008E5192">
              <w:rPr>
                <w:rFonts w:ascii="Arial" w:hAnsi="Arial" w:cs="Arial"/>
                <w:b/>
                <w:bCs/>
                <w:sz w:val="20"/>
                <w:szCs w:val="20"/>
              </w:rPr>
              <w:t>2013(4)</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0.0%</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0.9%</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4.7%</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5.0%</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1.6%</w:t>
            </w:r>
          </w:p>
        </w:tc>
      </w:tr>
      <w:tr w:rsidR="00B16336" w:rsidTr="00B16336">
        <w:tc>
          <w:tcPr>
            <w:tcW w:w="1064" w:type="dxa"/>
            <w:vAlign w:val="bottom"/>
          </w:tcPr>
          <w:p w:rsidR="00B16336" w:rsidRPr="008E5192" w:rsidRDefault="00B16336" w:rsidP="00983DBF">
            <w:pPr>
              <w:rPr>
                <w:rFonts w:ascii="Arial" w:hAnsi="Arial" w:cs="Arial"/>
                <w:b/>
                <w:bCs/>
                <w:sz w:val="20"/>
                <w:szCs w:val="20"/>
              </w:rPr>
            </w:pPr>
            <w:r w:rsidRPr="008E5192">
              <w:rPr>
                <w:rFonts w:ascii="Arial" w:hAnsi="Arial" w:cs="Arial"/>
                <w:b/>
                <w:bCs/>
                <w:sz w:val="20"/>
                <w:szCs w:val="20"/>
              </w:rPr>
              <w:t>2014(1)</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-1.1%</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-1.8%</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-0.1%</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5.6%</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-2.7%</w:t>
            </w:r>
          </w:p>
        </w:tc>
      </w:tr>
      <w:tr w:rsidR="00B16336" w:rsidTr="00B16336">
        <w:tc>
          <w:tcPr>
            <w:tcW w:w="1064" w:type="dxa"/>
            <w:vAlign w:val="bottom"/>
          </w:tcPr>
          <w:p w:rsidR="00B16336" w:rsidRPr="008E5192" w:rsidRDefault="00B16336" w:rsidP="00983DBF">
            <w:pPr>
              <w:rPr>
                <w:rFonts w:ascii="Arial" w:hAnsi="Arial" w:cs="Arial"/>
                <w:b/>
                <w:bCs/>
                <w:sz w:val="20"/>
                <w:szCs w:val="20"/>
              </w:rPr>
            </w:pPr>
            <w:r>
              <w:rPr>
                <w:rFonts w:ascii="Arial" w:hAnsi="Arial" w:cs="Arial"/>
                <w:b/>
                <w:bCs/>
                <w:sz w:val="20"/>
                <w:szCs w:val="20"/>
              </w:rPr>
              <w:t>2014(2)</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0.0%</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-1.8%</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-3.9%</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-0.6%</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1.5%</w:t>
            </w:r>
          </w:p>
        </w:tc>
      </w:tr>
      <w:tr w:rsidR="00B16336" w:rsidTr="00B16336">
        <w:tc>
          <w:tcPr>
            <w:tcW w:w="1064" w:type="dxa"/>
            <w:vAlign w:val="bottom"/>
          </w:tcPr>
          <w:p w:rsidR="00B16336" w:rsidRDefault="00B16336" w:rsidP="00983DBF">
            <w:pPr>
              <w:rPr>
                <w:rFonts w:ascii="Arial" w:hAnsi="Arial" w:cs="Arial"/>
                <w:b/>
                <w:bCs/>
                <w:sz w:val="20"/>
                <w:szCs w:val="20"/>
              </w:rPr>
            </w:pPr>
            <w:r>
              <w:rPr>
                <w:rFonts w:ascii="Arial" w:hAnsi="Arial" w:cs="Arial"/>
                <w:b/>
                <w:bCs/>
                <w:sz w:val="20"/>
                <w:szCs w:val="20"/>
              </w:rPr>
              <w:t>2014(3)</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1.6%</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5.1%</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1.1%</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-1.3%</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-2.1%</w:t>
            </w:r>
          </w:p>
        </w:tc>
      </w:tr>
      <w:tr w:rsidR="00B16336" w:rsidTr="00B16336">
        <w:trPr>
          <w:trHeight w:val="53"/>
        </w:trPr>
        <w:tc>
          <w:tcPr>
            <w:tcW w:w="1064" w:type="dxa"/>
            <w:vAlign w:val="bottom"/>
          </w:tcPr>
          <w:p w:rsidR="00B16336" w:rsidRDefault="00B16336" w:rsidP="00983DBF">
            <w:pPr>
              <w:rPr>
                <w:rFonts w:ascii="Arial" w:hAnsi="Arial" w:cs="Arial"/>
                <w:b/>
                <w:bCs/>
                <w:sz w:val="20"/>
                <w:szCs w:val="20"/>
              </w:rPr>
            </w:pPr>
            <w:r>
              <w:rPr>
                <w:rFonts w:ascii="Arial" w:hAnsi="Arial" w:cs="Arial"/>
                <w:b/>
                <w:bCs/>
                <w:sz w:val="20"/>
                <w:szCs w:val="20"/>
              </w:rPr>
              <w:t>2014(4)</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1.8%</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-1.0%</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2.4%</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-0.8%</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8.2%</w:t>
            </w:r>
          </w:p>
        </w:tc>
      </w:tr>
      <w:tr w:rsidR="00B16336" w:rsidTr="00B16336">
        <w:trPr>
          <w:trHeight w:val="53"/>
        </w:trPr>
        <w:tc>
          <w:tcPr>
            <w:tcW w:w="1064" w:type="dxa"/>
            <w:vAlign w:val="bottom"/>
          </w:tcPr>
          <w:p w:rsidR="00B16336" w:rsidRPr="008E5192" w:rsidRDefault="00B16336" w:rsidP="00B16336">
            <w:pPr>
              <w:rPr>
                <w:rFonts w:ascii="Arial" w:hAnsi="Arial" w:cs="Arial"/>
                <w:b/>
                <w:bCs/>
                <w:sz w:val="20"/>
                <w:szCs w:val="20"/>
              </w:rPr>
            </w:pPr>
            <w:r>
              <w:rPr>
                <w:rFonts w:ascii="Arial" w:hAnsi="Arial" w:cs="Arial"/>
                <w:b/>
                <w:bCs/>
                <w:sz w:val="20"/>
                <w:szCs w:val="20"/>
              </w:rPr>
              <w:t>2015</w:t>
            </w:r>
            <w:r w:rsidRPr="008E5192">
              <w:rPr>
                <w:rFonts w:ascii="Arial" w:hAnsi="Arial" w:cs="Arial"/>
                <w:b/>
                <w:bCs/>
                <w:sz w:val="20"/>
                <w:szCs w:val="20"/>
              </w:rPr>
              <w:t>(1)</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1.0%</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-1.3%</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2.3%</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1.5%</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-3.7%</w:t>
            </w:r>
          </w:p>
        </w:tc>
      </w:tr>
      <w:tr w:rsidR="00B16336" w:rsidTr="00B16336">
        <w:trPr>
          <w:trHeight w:val="53"/>
        </w:trPr>
        <w:tc>
          <w:tcPr>
            <w:tcW w:w="1064" w:type="dxa"/>
            <w:vAlign w:val="bottom"/>
          </w:tcPr>
          <w:p w:rsidR="00B16336" w:rsidRPr="008E5192" w:rsidRDefault="00B16336" w:rsidP="00B16336">
            <w:pPr>
              <w:rPr>
                <w:rFonts w:ascii="Arial" w:hAnsi="Arial" w:cs="Arial"/>
                <w:b/>
                <w:bCs/>
                <w:sz w:val="20"/>
                <w:szCs w:val="20"/>
              </w:rPr>
            </w:pPr>
            <w:r>
              <w:rPr>
                <w:rFonts w:ascii="Arial" w:hAnsi="Arial" w:cs="Arial"/>
                <w:b/>
                <w:bCs/>
                <w:sz w:val="20"/>
                <w:szCs w:val="20"/>
              </w:rPr>
              <w:t>2015(2)</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0.7%</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7.3%</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2.7%</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-1.8%</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-0.5%</w:t>
            </w:r>
          </w:p>
        </w:tc>
      </w:tr>
      <w:tr w:rsidR="00B16336" w:rsidTr="00B16336">
        <w:trPr>
          <w:trHeight w:val="53"/>
        </w:trPr>
        <w:tc>
          <w:tcPr>
            <w:tcW w:w="1064" w:type="dxa"/>
            <w:vAlign w:val="bottom"/>
          </w:tcPr>
          <w:p w:rsidR="00B16336" w:rsidRDefault="00B16336" w:rsidP="00B16336">
            <w:pPr>
              <w:rPr>
                <w:rFonts w:ascii="Arial" w:hAnsi="Arial" w:cs="Arial"/>
                <w:b/>
                <w:bCs/>
                <w:sz w:val="20"/>
                <w:szCs w:val="20"/>
              </w:rPr>
            </w:pPr>
            <w:r>
              <w:rPr>
                <w:rFonts w:ascii="Arial" w:hAnsi="Arial" w:cs="Arial"/>
                <w:b/>
                <w:bCs/>
                <w:sz w:val="20"/>
                <w:szCs w:val="20"/>
              </w:rPr>
              <w:t>2015(3)</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1.4%</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-6.3%</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2.2%</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1.6%</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-4.6%</w:t>
            </w:r>
          </w:p>
        </w:tc>
      </w:tr>
      <w:tr w:rsidR="00B16336" w:rsidTr="00B16336">
        <w:trPr>
          <w:trHeight w:val="53"/>
        </w:trPr>
        <w:tc>
          <w:tcPr>
            <w:tcW w:w="1064" w:type="dxa"/>
            <w:vAlign w:val="bottom"/>
          </w:tcPr>
          <w:p w:rsidR="00B16336" w:rsidRDefault="00B16336" w:rsidP="00B16336">
            <w:pPr>
              <w:rPr>
                <w:rFonts w:ascii="Arial" w:hAnsi="Arial" w:cs="Arial"/>
                <w:b/>
                <w:bCs/>
                <w:sz w:val="20"/>
                <w:szCs w:val="20"/>
              </w:rPr>
            </w:pPr>
            <w:r>
              <w:rPr>
                <w:rFonts w:ascii="Arial" w:hAnsi="Arial" w:cs="Arial"/>
                <w:b/>
                <w:bCs/>
                <w:sz w:val="20"/>
                <w:szCs w:val="20"/>
              </w:rPr>
              <w:t>2015(4)</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0.3%</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2.6%</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0.2%</w:t>
            </w:r>
          </w:p>
        </w:tc>
        <w:tc>
          <w:tcPr>
            <w:tcW w:w="1810" w:type="dxa"/>
            <w:vAlign w:val="bottom"/>
          </w:tcPr>
          <w:p w:rsidR="00B16336" w:rsidRDefault="00B16336" w:rsidP="00B16336">
            <w:pPr>
              <w:jc w:val="center"/>
              <w:rPr>
                <w:rFonts w:ascii="Arial" w:hAnsi="Arial" w:cs="Arial"/>
                <w:sz w:val="20"/>
                <w:szCs w:val="20"/>
              </w:rPr>
            </w:pPr>
            <w:r>
              <w:rPr>
                <w:rFonts w:ascii="Arial" w:hAnsi="Arial" w:cs="Arial"/>
                <w:sz w:val="20"/>
                <w:szCs w:val="20"/>
              </w:rPr>
              <w:t>-1.2%</w:t>
            </w:r>
          </w:p>
        </w:tc>
        <w:tc>
          <w:tcPr>
            <w:tcW w:w="1811" w:type="dxa"/>
            <w:vAlign w:val="bottom"/>
          </w:tcPr>
          <w:p w:rsidR="00B16336" w:rsidRDefault="00B16336" w:rsidP="00B16336">
            <w:pPr>
              <w:jc w:val="center"/>
              <w:rPr>
                <w:rFonts w:ascii="Arial" w:hAnsi="Arial" w:cs="Arial"/>
                <w:sz w:val="20"/>
                <w:szCs w:val="20"/>
              </w:rPr>
            </w:pPr>
            <w:r>
              <w:rPr>
                <w:rFonts w:ascii="Arial" w:hAnsi="Arial" w:cs="Arial"/>
                <w:sz w:val="20"/>
                <w:szCs w:val="20"/>
              </w:rPr>
              <w:t>6.5%</w:t>
            </w:r>
          </w:p>
        </w:tc>
      </w:tr>
    </w:tbl>
    <w:p w:rsidR="00C237CD" w:rsidRDefault="00C237CD" w:rsidP="00C237CD">
      <w:pPr>
        <w:pStyle w:val="NormalWeb"/>
        <w:spacing w:before="0" w:beforeAutospacing="0" w:after="0" w:afterAutospacing="0"/>
        <w:jc w:val="both"/>
        <w:rPr>
          <w:rFonts w:ascii="Arial" w:hAnsi="Arial" w:cs="Arial"/>
          <w:sz w:val="20"/>
          <w:szCs w:val="20"/>
        </w:rPr>
      </w:pPr>
      <w:r>
        <w:rPr>
          <w:rFonts w:ascii="Arial" w:hAnsi="Arial" w:cs="Arial"/>
          <w:sz w:val="16"/>
          <w:szCs w:val="16"/>
        </w:rPr>
        <w:t>Source</w:t>
      </w:r>
      <w:r w:rsidRPr="00660DE2">
        <w:rPr>
          <w:rFonts w:ascii="Arial" w:hAnsi="Arial" w:cs="Arial"/>
          <w:sz w:val="16"/>
          <w:szCs w:val="16"/>
        </w:rPr>
        <w:t xml:space="preserve"> : </w:t>
      </w:r>
      <w:r>
        <w:rPr>
          <w:rFonts w:ascii="Arial" w:hAnsi="Arial" w:cs="Arial"/>
          <w:sz w:val="16"/>
          <w:szCs w:val="16"/>
        </w:rPr>
        <w:t>Turkstat</w:t>
      </w:r>
      <w:r w:rsidRPr="00660DE2">
        <w:rPr>
          <w:rFonts w:ascii="Arial" w:hAnsi="Arial" w:cs="Arial"/>
          <w:sz w:val="16"/>
          <w:szCs w:val="16"/>
        </w:rPr>
        <w:t>.</w:t>
      </w:r>
    </w:p>
    <w:p w:rsidR="00B16336" w:rsidRDefault="00B16336" w:rsidP="00915B9C">
      <w:pPr>
        <w:pStyle w:val="NormalWeb"/>
        <w:spacing w:before="0" w:beforeAutospacing="0" w:after="0" w:afterAutospacing="0" w:line="360" w:lineRule="auto"/>
        <w:ind w:right="77"/>
        <w:rPr>
          <w:rFonts w:ascii="Arial" w:hAnsi="Arial" w:cs="Arial"/>
          <w:bCs/>
          <w:sz w:val="16"/>
          <w:szCs w:val="16"/>
        </w:rPr>
      </w:pPr>
    </w:p>
    <w:p w:rsidR="00B16336" w:rsidRPr="00983DBF" w:rsidRDefault="00B16336" w:rsidP="00915B9C">
      <w:pPr>
        <w:pStyle w:val="NormalWeb"/>
        <w:spacing w:before="0" w:beforeAutospacing="0" w:after="0" w:afterAutospacing="0" w:line="360" w:lineRule="auto"/>
        <w:ind w:right="77"/>
        <w:rPr>
          <w:rFonts w:ascii="Arial" w:hAnsi="Arial" w:cs="Arial"/>
          <w:bCs/>
          <w:sz w:val="16"/>
          <w:szCs w:val="16"/>
        </w:rPr>
      </w:pPr>
    </w:p>
    <w:sectPr w:rsidR="00B16336" w:rsidRPr="00983DBF" w:rsidSect="00C237CD">
      <w:type w:val="continuous"/>
      <w:pgSz w:w="11906" w:h="16838"/>
      <w:pgMar w:top="1417" w:right="1106" w:bottom="1417" w:left="900" w:header="708" w:footer="708" w:gutter="0"/>
      <w:cols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2E" w:rsidRDefault="008B3C2E">
      <w:r>
        <w:separator/>
      </w:r>
    </w:p>
  </w:endnote>
  <w:endnote w:type="continuationSeparator" w:id="0">
    <w:p w:rsidR="008B3C2E" w:rsidRDefault="008B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C3" w:rsidRDefault="00EB23BB" w:rsidP="007344A9">
    <w:pPr>
      <w:pStyle w:val="Footer"/>
      <w:framePr w:wrap="around" w:vAnchor="text" w:hAnchor="margin" w:xAlign="right" w:y="1"/>
      <w:rPr>
        <w:rStyle w:val="PageNumber"/>
      </w:rPr>
    </w:pPr>
    <w:r>
      <w:rPr>
        <w:rStyle w:val="PageNumber"/>
      </w:rPr>
      <w:fldChar w:fldCharType="begin"/>
    </w:r>
    <w:r w:rsidR="006626C3">
      <w:rPr>
        <w:rStyle w:val="PageNumber"/>
      </w:rPr>
      <w:instrText xml:space="preserve">PAGE  </w:instrText>
    </w:r>
    <w:r>
      <w:rPr>
        <w:rStyle w:val="PageNumber"/>
      </w:rPr>
      <w:fldChar w:fldCharType="end"/>
    </w:r>
  </w:p>
  <w:p w:rsidR="006626C3" w:rsidRDefault="006626C3" w:rsidP="00B723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C3" w:rsidRDefault="00EB23BB" w:rsidP="007344A9">
    <w:pPr>
      <w:pStyle w:val="Footer"/>
      <w:framePr w:wrap="around" w:vAnchor="text" w:hAnchor="margin" w:xAlign="right" w:y="1"/>
      <w:rPr>
        <w:rStyle w:val="PageNumber"/>
      </w:rPr>
    </w:pPr>
    <w:r>
      <w:rPr>
        <w:rStyle w:val="PageNumber"/>
      </w:rPr>
      <w:fldChar w:fldCharType="begin"/>
    </w:r>
    <w:r w:rsidR="006626C3">
      <w:rPr>
        <w:rStyle w:val="PageNumber"/>
      </w:rPr>
      <w:instrText xml:space="preserve">PAGE  </w:instrText>
    </w:r>
    <w:r>
      <w:rPr>
        <w:rStyle w:val="PageNumber"/>
      </w:rPr>
      <w:fldChar w:fldCharType="separate"/>
    </w:r>
    <w:r w:rsidR="008D2CE4">
      <w:rPr>
        <w:rStyle w:val="PageNumber"/>
        <w:noProof/>
      </w:rPr>
      <w:t>1</w:t>
    </w:r>
    <w:r>
      <w:rPr>
        <w:rStyle w:val="PageNumber"/>
      </w:rPr>
      <w:fldChar w:fldCharType="end"/>
    </w:r>
  </w:p>
  <w:p w:rsidR="006626C3" w:rsidRPr="007750EF" w:rsidRDefault="006626C3" w:rsidP="00017426">
    <w:pPr>
      <w:pStyle w:val="Footer"/>
      <w:ind w:right="360"/>
      <w:jc w:val="center"/>
      <w:rPr>
        <w:rFonts w:ascii="Arial" w:hAnsi="Arial" w:cs="Arial"/>
        <w:b/>
        <w:i/>
        <w:sz w:val="20"/>
        <w:szCs w:val="20"/>
      </w:rPr>
    </w:pPr>
    <w:r w:rsidRPr="007750EF">
      <w:rPr>
        <w:rFonts w:ascii="Arial" w:hAnsi="Arial" w:cs="Arial"/>
        <w:b/>
        <w:i/>
        <w:sz w:val="20"/>
        <w:szCs w:val="20"/>
      </w:rPr>
      <w:t>www.betam.bahcesehir.edu.tr</w:t>
    </w:r>
  </w:p>
  <w:p w:rsidR="006626C3" w:rsidRDefault="006626C3" w:rsidP="00B723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2E" w:rsidRDefault="008B3C2E">
      <w:r>
        <w:separator/>
      </w:r>
    </w:p>
  </w:footnote>
  <w:footnote w:type="continuationSeparator" w:id="0">
    <w:p w:rsidR="008B3C2E" w:rsidRDefault="008B3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F5F4EC5"/>
    <w:multiLevelType w:val="hybridMultilevel"/>
    <w:tmpl w:val="5A30769A"/>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CCE1052"/>
    <w:multiLevelType w:val="multilevel"/>
    <w:tmpl w:val="4C40BD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DF506F2"/>
    <w:multiLevelType w:val="hybridMultilevel"/>
    <w:tmpl w:val="4C40B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AE0BBB"/>
    <w:rsid w:val="00002CEE"/>
    <w:rsid w:val="0000598D"/>
    <w:rsid w:val="00017426"/>
    <w:rsid w:val="00020B6A"/>
    <w:rsid w:val="00022A70"/>
    <w:rsid w:val="000301E5"/>
    <w:rsid w:val="00034ECF"/>
    <w:rsid w:val="0003542C"/>
    <w:rsid w:val="00046455"/>
    <w:rsid w:val="000511DE"/>
    <w:rsid w:val="00052687"/>
    <w:rsid w:val="00052C71"/>
    <w:rsid w:val="00054DF2"/>
    <w:rsid w:val="00055872"/>
    <w:rsid w:val="00075070"/>
    <w:rsid w:val="00075E9D"/>
    <w:rsid w:val="00086F83"/>
    <w:rsid w:val="000A3710"/>
    <w:rsid w:val="000A4010"/>
    <w:rsid w:val="000A4BD1"/>
    <w:rsid w:val="000A701D"/>
    <w:rsid w:val="000B2FDA"/>
    <w:rsid w:val="000B6E76"/>
    <w:rsid w:val="000B7349"/>
    <w:rsid w:val="000B79EF"/>
    <w:rsid w:val="000C16A7"/>
    <w:rsid w:val="000C5B7E"/>
    <w:rsid w:val="000C5C8B"/>
    <w:rsid w:val="000D4F14"/>
    <w:rsid w:val="000E10A3"/>
    <w:rsid w:val="000F4941"/>
    <w:rsid w:val="00107363"/>
    <w:rsid w:val="0010795F"/>
    <w:rsid w:val="001105B2"/>
    <w:rsid w:val="00110EBA"/>
    <w:rsid w:val="00111AD6"/>
    <w:rsid w:val="00120C00"/>
    <w:rsid w:val="00121E7C"/>
    <w:rsid w:val="00131052"/>
    <w:rsid w:val="00141A2F"/>
    <w:rsid w:val="0014589B"/>
    <w:rsid w:val="0015047E"/>
    <w:rsid w:val="00150C5D"/>
    <w:rsid w:val="0015266B"/>
    <w:rsid w:val="00157C09"/>
    <w:rsid w:val="0016522D"/>
    <w:rsid w:val="00165491"/>
    <w:rsid w:val="001660A6"/>
    <w:rsid w:val="00176C3C"/>
    <w:rsid w:val="00177D70"/>
    <w:rsid w:val="00177FE1"/>
    <w:rsid w:val="00177FE3"/>
    <w:rsid w:val="00183A9B"/>
    <w:rsid w:val="00196F0F"/>
    <w:rsid w:val="00197E61"/>
    <w:rsid w:val="001A0A58"/>
    <w:rsid w:val="001A2B1E"/>
    <w:rsid w:val="001B0683"/>
    <w:rsid w:val="001B2067"/>
    <w:rsid w:val="001D2A83"/>
    <w:rsid w:val="001D6E63"/>
    <w:rsid w:val="001E1BE7"/>
    <w:rsid w:val="001E5D74"/>
    <w:rsid w:val="001F0A81"/>
    <w:rsid w:val="002028B0"/>
    <w:rsid w:val="002040C5"/>
    <w:rsid w:val="00206831"/>
    <w:rsid w:val="002111EE"/>
    <w:rsid w:val="0022018E"/>
    <w:rsid w:val="002304FE"/>
    <w:rsid w:val="002317D2"/>
    <w:rsid w:val="00235267"/>
    <w:rsid w:val="00240B3E"/>
    <w:rsid w:val="0024217A"/>
    <w:rsid w:val="00251F2F"/>
    <w:rsid w:val="00254B09"/>
    <w:rsid w:val="00256199"/>
    <w:rsid w:val="00263147"/>
    <w:rsid w:val="00263EF1"/>
    <w:rsid w:val="00271677"/>
    <w:rsid w:val="00271F72"/>
    <w:rsid w:val="00280275"/>
    <w:rsid w:val="002829AF"/>
    <w:rsid w:val="0029115A"/>
    <w:rsid w:val="00293567"/>
    <w:rsid w:val="0029571B"/>
    <w:rsid w:val="002A2231"/>
    <w:rsid w:val="002A66ED"/>
    <w:rsid w:val="002A6FA1"/>
    <w:rsid w:val="002B57E2"/>
    <w:rsid w:val="002B63ED"/>
    <w:rsid w:val="002B7D49"/>
    <w:rsid w:val="002B7DE6"/>
    <w:rsid w:val="002C0A44"/>
    <w:rsid w:val="002C46D7"/>
    <w:rsid w:val="002C5230"/>
    <w:rsid w:val="002C6D4E"/>
    <w:rsid w:val="002C7632"/>
    <w:rsid w:val="002D0E73"/>
    <w:rsid w:val="002D2C9F"/>
    <w:rsid w:val="002E4EBB"/>
    <w:rsid w:val="002F27AE"/>
    <w:rsid w:val="002F5134"/>
    <w:rsid w:val="00303668"/>
    <w:rsid w:val="00305165"/>
    <w:rsid w:val="00306448"/>
    <w:rsid w:val="0031043B"/>
    <w:rsid w:val="003119E8"/>
    <w:rsid w:val="003142BA"/>
    <w:rsid w:val="00325CF1"/>
    <w:rsid w:val="00327358"/>
    <w:rsid w:val="00335046"/>
    <w:rsid w:val="00337278"/>
    <w:rsid w:val="00341A51"/>
    <w:rsid w:val="003425CC"/>
    <w:rsid w:val="0034543C"/>
    <w:rsid w:val="00350F40"/>
    <w:rsid w:val="0035437A"/>
    <w:rsid w:val="00354A04"/>
    <w:rsid w:val="0038631C"/>
    <w:rsid w:val="003956CB"/>
    <w:rsid w:val="00396382"/>
    <w:rsid w:val="00397F47"/>
    <w:rsid w:val="003A04BD"/>
    <w:rsid w:val="003A0ECD"/>
    <w:rsid w:val="003A4BEE"/>
    <w:rsid w:val="003B0931"/>
    <w:rsid w:val="003B0B5A"/>
    <w:rsid w:val="003C09C7"/>
    <w:rsid w:val="003C0C43"/>
    <w:rsid w:val="003C6611"/>
    <w:rsid w:val="003D248E"/>
    <w:rsid w:val="003D28C1"/>
    <w:rsid w:val="003D7E7F"/>
    <w:rsid w:val="003E3634"/>
    <w:rsid w:val="003E3908"/>
    <w:rsid w:val="003E4461"/>
    <w:rsid w:val="00405EC6"/>
    <w:rsid w:val="0041456D"/>
    <w:rsid w:val="004161CB"/>
    <w:rsid w:val="00421BC8"/>
    <w:rsid w:val="004254C3"/>
    <w:rsid w:val="00425883"/>
    <w:rsid w:val="004332BF"/>
    <w:rsid w:val="004409F6"/>
    <w:rsid w:val="00440EBC"/>
    <w:rsid w:val="00442492"/>
    <w:rsid w:val="004458F8"/>
    <w:rsid w:val="00450ACD"/>
    <w:rsid w:val="00457D4E"/>
    <w:rsid w:val="004626B7"/>
    <w:rsid w:val="00485423"/>
    <w:rsid w:val="004947B8"/>
    <w:rsid w:val="004A3A86"/>
    <w:rsid w:val="004A4704"/>
    <w:rsid w:val="004A5222"/>
    <w:rsid w:val="004B781D"/>
    <w:rsid w:val="004D2545"/>
    <w:rsid w:val="004D3CAD"/>
    <w:rsid w:val="004E272F"/>
    <w:rsid w:val="004E36FD"/>
    <w:rsid w:val="004F2B3D"/>
    <w:rsid w:val="00512FC3"/>
    <w:rsid w:val="00514BF6"/>
    <w:rsid w:val="0051655D"/>
    <w:rsid w:val="005171AD"/>
    <w:rsid w:val="00517CBA"/>
    <w:rsid w:val="00522EDB"/>
    <w:rsid w:val="005267B9"/>
    <w:rsid w:val="00542058"/>
    <w:rsid w:val="00544885"/>
    <w:rsid w:val="00545DA9"/>
    <w:rsid w:val="00552CE8"/>
    <w:rsid w:val="0055334A"/>
    <w:rsid w:val="005539D1"/>
    <w:rsid w:val="00553F87"/>
    <w:rsid w:val="00562D56"/>
    <w:rsid w:val="005632F3"/>
    <w:rsid w:val="00576353"/>
    <w:rsid w:val="0058720D"/>
    <w:rsid w:val="005976D2"/>
    <w:rsid w:val="005A7BB0"/>
    <w:rsid w:val="005B3336"/>
    <w:rsid w:val="005C0522"/>
    <w:rsid w:val="005C759E"/>
    <w:rsid w:val="005D00D5"/>
    <w:rsid w:val="005D2927"/>
    <w:rsid w:val="005D47AA"/>
    <w:rsid w:val="005E13DC"/>
    <w:rsid w:val="005E4EF0"/>
    <w:rsid w:val="005E5EF0"/>
    <w:rsid w:val="005E763B"/>
    <w:rsid w:val="005F1597"/>
    <w:rsid w:val="005F295B"/>
    <w:rsid w:val="005F2EE5"/>
    <w:rsid w:val="005F31BE"/>
    <w:rsid w:val="005F50B6"/>
    <w:rsid w:val="005F51ED"/>
    <w:rsid w:val="00603643"/>
    <w:rsid w:val="00603DB9"/>
    <w:rsid w:val="006103C7"/>
    <w:rsid w:val="00615FF6"/>
    <w:rsid w:val="00622927"/>
    <w:rsid w:val="00624FC0"/>
    <w:rsid w:val="00633C51"/>
    <w:rsid w:val="00637B8E"/>
    <w:rsid w:val="006404AD"/>
    <w:rsid w:val="006442EA"/>
    <w:rsid w:val="00651F13"/>
    <w:rsid w:val="00656F4F"/>
    <w:rsid w:val="006626C3"/>
    <w:rsid w:val="00663B4C"/>
    <w:rsid w:val="006640A7"/>
    <w:rsid w:val="00675593"/>
    <w:rsid w:val="0067660D"/>
    <w:rsid w:val="0067731E"/>
    <w:rsid w:val="006878CD"/>
    <w:rsid w:val="006908F6"/>
    <w:rsid w:val="006955AD"/>
    <w:rsid w:val="00695EB7"/>
    <w:rsid w:val="006B6155"/>
    <w:rsid w:val="006C64A0"/>
    <w:rsid w:val="006C7D7F"/>
    <w:rsid w:val="006C7FF7"/>
    <w:rsid w:val="006D3857"/>
    <w:rsid w:val="006E0CBB"/>
    <w:rsid w:val="006E1C9F"/>
    <w:rsid w:val="006E3682"/>
    <w:rsid w:val="006F1199"/>
    <w:rsid w:val="006F3223"/>
    <w:rsid w:val="006F432C"/>
    <w:rsid w:val="006F4A63"/>
    <w:rsid w:val="00700658"/>
    <w:rsid w:val="007041DF"/>
    <w:rsid w:val="00704A5C"/>
    <w:rsid w:val="007065C1"/>
    <w:rsid w:val="00710DCF"/>
    <w:rsid w:val="00712EDE"/>
    <w:rsid w:val="00714E6F"/>
    <w:rsid w:val="00716BBE"/>
    <w:rsid w:val="00717B60"/>
    <w:rsid w:val="00720EA3"/>
    <w:rsid w:val="00722BF0"/>
    <w:rsid w:val="00726749"/>
    <w:rsid w:val="0072762E"/>
    <w:rsid w:val="007344A9"/>
    <w:rsid w:val="00737B23"/>
    <w:rsid w:val="00743F70"/>
    <w:rsid w:val="0074601C"/>
    <w:rsid w:val="0075696F"/>
    <w:rsid w:val="00756FAD"/>
    <w:rsid w:val="00757335"/>
    <w:rsid w:val="007619A4"/>
    <w:rsid w:val="0076354F"/>
    <w:rsid w:val="00766199"/>
    <w:rsid w:val="0076688A"/>
    <w:rsid w:val="00770105"/>
    <w:rsid w:val="007750EF"/>
    <w:rsid w:val="007777F0"/>
    <w:rsid w:val="0078038A"/>
    <w:rsid w:val="007818BA"/>
    <w:rsid w:val="00784E13"/>
    <w:rsid w:val="007868A5"/>
    <w:rsid w:val="00787484"/>
    <w:rsid w:val="007972B3"/>
    <w:rsid w:val="007A2A39"/>
    <w:rsid w:val="007A35F3"/>
    <w:rsid w:val="007A4941"/>
    <w:rsid w:val="007A7A86"/>
    <w:rsid w:val="007B5709"/>
    <w:rsid w:val="007B71AC"/>
    <w:rsid w:val="007B75C5"/>
    <w:rsid w:val="007C2C17"/>
    <w:rsid w:val="007C6915"/>
    <w:rsid w:val="007D27BC"/>
    <w:rsid w:val="007E62B1"/>
    <w:rsid w:val="007E773F"/>
    <w:rsid w:val="007F4650"/>
    <w:rsid w:val="007F50E5"/>
    <w:rsid w:val="00806083"/>
    <w:rsid w:val="00814181"/>
    <w:rsid w:val="008178BE"/>
    <w:rsid w:val="00817902"/>
    <w:rsid w:val="008231D3"/>
    <w:rsid w:val="00826E3D"/>
    <w:rsid w:val="008372E2"/>
    <w:rsid w:val="008517F6"/>
    <w:rsid w:val="00855C13"/>
    <w:rsid w:val="008664F4"/>
    <w:rsid w:val="0086684B"/>
    <w:rsid w:val="0086687F"/>
    <w:rsid w:val="0087093F"/>
    <w:rsid w:val="00872BDE"/>
    <w:rsid w:val="0087659C"/>
    <w:rsid w:val="00880504"/>
    <w:rsid w:val="00884058"/>
    <w:rsid w:val="008870E7"/>
    <w:rsid w:val="00893ED6"/>
    <w:rsid w:val="008A2487"/>
    <w:rsid w:val="008A461F"/>
    <w:rsid w:val="008B2AB7"/>
    <w:rsid w:val="008B3C2E"/>
    <w:rsid w:val="008B5D75"/>
    <w:rsid w:val="008C2E84"/>
    <w:rsid w:val="008C35D8"/>
    <w:rsid w:val="008C3E1E"/>
    <w:rsid w:val="008C5984"/>
    <w:rsid w:val="008D0D43"/>
    <w:rsid w:val="008D1844"/>
    <w:rsid w:val="008D2CE4"/>
    <w:rsid w:val="008D5294"/>
    <w:rsid w:val="008D711C"/>
    <w:rsid w:val="008E45CA"/>
    <w:rsid w:val="008E6506"/>
    <w:rsid w:val="008F4857"/>
    <w:rsid w:val="00901601"/>
    <w:rsid w:val="009060B6"/>
    <w:rsid w:val="00913AF3"/>
    <w:rsid w:val="0091445B"/>
    <w:rsid w:val="00914B3D"/>
    <w:rsid w:val="00915A8A"/>
    <w:rsid w:val="00915B9C"/>
    <w:rsid w:val="009177F6"/>
    <w:rsid w:val="00923AE7"/>
    <w:rsid w:val="00925014"/>
    <w:rsid w:val="00930D19"/>
    <w:rsid w:val="009334C7"/>
    <w:rsid w:val="009344D3"/>
    <w:rsid w:val="009377F5"/>
    <w:rsid w:val="00937D5B"/>
    <w:rsid w:val="009443ED"/>
    <w:rsid w:val="009515D2"/>
    <w:rsid w:val="00952256"/>
    <w:rsid w:val="00952683"/>
    <w:rsid w:val="009575C3"/>
    <w:rsid w:val="009622F6"/>
    <w:rsid w:val="00970251"/>
    <w:rsid w:val="00981AF5"/>
    <w:rsid w:val="00983059"/>
    <w:rsid w:val="00983DBF"/>
    <w:rsid w:val="009876C6"/>
    <w:rsid w:val="009920D0"/>
    <w:rsid w:val="00995F40"/>
    <w:rsid w:val="009A105E"/>
    <w:rsid w:val="009A3A23"/>
    <w:rsid w:val="009A5CBE"/>
    <w:rsid w:val="009A76B4"/>
    <w:rsid w:val="009B6A34"/>
    <w:rsid w:val="009C4C69"/>
    <w:rsid w:val="009D28F7"/>
    <w:rsid w:val="009D2F64"/>
    <w:rsid w:val="009D6D8E"/>
    <w:rsid w:val="009E0021"/>
    <w:rsid w:val="009E0068"/>
    <w:rsid w:val="009E3EA5"/>
    <w:rsid w:val="009F1285"/>
    <w:rsid w:val="009F19B8"/>
    <w:rsid w:val="009F5135"/>
    <w:rsid w:val="009F61FA"/>
    <w:rsid w:val="00A06590"/>
    <w:rsid w:val="00A106CE"/>
    <w:rsid w:val="00A13AC7"/>
    <w:rsid w:val="00A208D0"/>
    <w:rsid w:val="00A27158"/>
    <w:rsid w:val="00A31015"/>
    <w:rsid w:val="00A3171E"/>
    <w:rsid w:val="00A54173"/>
    <w:rsid w:val="00A57199"/>
    <w:rsid w:val="00A610C8"/>
    <w:rsid w:val="00A70CB2"/>
    <w:rsid w:val="00A75D44"/>
    <w:rsid w:val="00A76BDF"/>
    <w:rsid w:val="00A800E9"/>
    <w:rsid w:val="00A94AA1"/>
    <w:rsid w:val="00A950AE"/>
    <w:rsid w:val="00A96520"/>
    <w:rsid w:val="00AA5EC7"/>
    <w:rsid w:val="00AB4A1C"/>
    <w:rsid w:val="00AC45CF"/>
    <w:rsid w:val="00AD49B2"/>
    <w:rsid w:val="00AE0BBB"/>
    <w:rsid w:val="00AE2554"/>
    <w:rsid w:val="00AE40FB"/>
    <w:rsid w:val="00AF26BD"/>
    <w:rsid w:val="00AF2D7A"/>
    <w:rsid w:val="00B00EBD"/>
    <w:rsid w:val="00B010E1"/>
    <w:rsid w:val="00B02ED5"/>
    <w:rsid w:val="00B10A46"/>
    <w:rsid w:val="00B1291C"/>
    <w:rsid w:val="00B14F53"/>
    <w:rsid w:val="00B16336"/>
    <w:rsid w:val="00B207BA"/>
    <w:rsid w:val="00B213B6"/>
    <w:rsid w:val="00B23C9A"/>
    <w:rsid w:val="00B276E9"/>
    <w:rsid w:val="00B30B41"/>
    <w:rsid w:val="00B3427A"/>
    <w:rsid w:val="00B34AC5"/>
    <w:rsid w:val="00B3653E"/>
    <w:rsid w:val="00B7120C"/>
    <w:rsid w:val="00B72337"/>
    <w:rsid w:val="00B741A8"/>
    <w:rsid w:val="00B7456E"/>
    <w:rsid w:val="00B75A4B"/>
    <w:rsid w:val="00B813E0"/>
    <w:rsid w:val="00B818B6"/>
    <w:rsid w:val="00BB00EA"/>
    <w:rsid w:val="00BB10F4"/>
    <w:rsid w:val="00BC2E4D"/>
    <w:rsid w:val="00BC55DB"/>
    <w:rsid w:val="00BC704B"/>
    <w:rsid w:val="00BD3858"/>
    <w:rsid w:val="00BF356F"/>
    <w:rsid w:val="00BF5C6A"/>
    <w:rsid w:val="00C22912"/>
    <w:rsid w:val="00C237CD"/>
    <w:rsid w:val="00C23A83"/>
    <w:rsid w:val="00C258F7"/>
    <w:rsid w:val="00C2731D"/>
    <w:rsid w:val="00C32546"/>
    <w:rsid w:val="00C32691"/>
    <w:rsid w:val="00C32712"/>
    <w:rsid w:val="00C335E9"/>
    <w:rsid w:val="00C33984"/>
    <w:rsid w:val="00C402A3"/>
    <w:rsid w:val="00C411C6"/>
    <w:rsid w:val="00C47F6A"/>
    <w:rsid w:val="00C5094B"/>
    <w:rsid w:val="00C6121C"/>
    <w:rsid w:val="00C61305"/>
    <w:rsid w:val="00C6738C"/>
    <w:rsid w:val="00C67C65"/>
    <w:rsid w:val="00C7235A"/>
    <w:rsid w:val="00C72659"/>
    <w:rsid w:val="00C76F10"/>
    <w:rsid w:val="00C805B9"/>
    <w:rsid w:val="00C80CF4"/>
    <w:rsid w:val="00C8511A"/>
    <w:rsid w:val="00C91E59"/>
    <w:rsid w:val="00C928E2"/>
    <w:rsid w:val="00C9454F"/>
    <w:rsid w:val="00CA4FAE"/>
    <w:rsid w:val="00CA5BA6"/>
    <w:rsid w:val="00CC1349"/>
    <w:rsid w:val="00CD1FF9"/>
    <w:rsid w:val="00CD6206"/>
    <w:rsid w:val="00CE0A0D"/>
    <w:rsid w:val="00CE6B6D"/>
    <w:rsid w:val="00CF1794"/>
    <w:rsid w:val="00CF233F"/>
    <w:rsid w:val="00D04A88"/>
    <w:rsid w:val="00D06FDE"/>
    <w:rsid w:val="00D139DF"/>
    <w:rsid w:val="00D15352"/>
    <w:rsid w:val="00D230EB"/>
    <w:rsid w:val="00D258E0"/>
    <w:rsid w:val="00D30CE0"/>
    <w:rsid w:val="00D43078"/>
    <w:rsid w:val="00D43D57"/>
    <w:rsid w:val="00D46FA0"/>
    <w:rsid w:val="00D51AB2"/>
    <w:rsid w:val="00D550A5"/>
    <w:rsid w:val="00D705E1"/>
    <w:rsid w:val="00D74F52"/>
    <w:rsid w:val="00D76E36"/>
    <w:rsid w:val="00D771C3"/>
    <w:rsid w:val="00D771ED"/>
    <w:rsid w:val="00D77718"/>
    <w:rsid w:val="00D83EEA"/>
    <w:rsid w:val="00D87146"/>
    <w:rsid w:val="00D87EC4"/>
    <w:rsid w:val="00D92377"/>
    <w:rsid w:val="00D97362"/>
    <w:rsid w:val="00DA4A6D"/>
    <w:rsid w:val="00DA6169"/>
    <w:rsid w:val="00DA6EB1"/>
    <w:rsid w:val="00DB1158"/>
    <w:rsid w:val="00DB6657"/>
    <w:rsid w:val="00DC7DF8"/>
    <w:rsid w:val="00DD06A2"/>
    <w:rsid w:val="00DD425E"/>
    <w:rsid w:val="00DE1039"/>
    <w:rsid w:val="00DE3FDF"/>
    <w:rsid w:val="00DF6453"/>
    <w:rsid w:val="00DF781F"/>
    <w:rsid w:val="00E04A42"/>
    <w:rsid w:val="00E06534"/>
    <w:rsid w:val="00E10719"/>
    <w:rsid w:val="00E10BEB"/>
    <w:rsid w:val="00E159A6"/>
    <w:rsid w:val="00E168F5"/>
    <w:rsid w:val="00E172A0"/>
    <w:rsid w:val="00E172B6"/>
    <w:rsid w:val="00E20174"/>
    <w:rsid w:val="00E21416"/>
    <w:rsid w:val="00E2274D"/>
    <w:rsid w:val="00E30B42"/>
    <w:rsid w:val="00E329B7"/>
    <w:rsid w:val="00E333BE"/>
    <w:rsid w:val="00E37281"/>
    <w:rsid w:val="00E416B0"/>
    <w:rsid w:val="00E45302"/>
    <w:rsid w:val="00E51E5A"/>
    <w:rsid w:val="00E663A9"/>
    <w:rsid w:val="00E6776F"/>
    <w:rsid w:val="00E74CCB"/>
    <w:rsid w:val="00E82AB6"/>
    <w:rsid w:val="00E831DE"/>
    <w:rsid w:val="00E864F7"/>
    <w:rsid w:val="00E96583"/>
    <w:rsid w:val="00EA32A9"/>
    <w:rsid w:val="00EA55F1"/>
    <w:rsid w:val="00EB23BB"/>
    <w:rsid w:val="00EB2FE3"/>
    <w:rsid w:val="00EB5E9B"/>
    <w:rsid w:val="00EC2603"/>
    <w:rsid w:val="00EC57EE"/>
    <w:rsid w:val="00ED17CA"/>
    <w:rsid w:val="00ED3519"/>
    <w:rsid w:val="00ED759D"/>
    <w:rsid w:val="00EE0D52"/>
    <w:rsid w:val="00EE5804"/>
    <w:rsid w:val="00EF6749"/>
    <w:rsid w:val="00F04250"/>
    <w:rsid w:val="00F067D8"/>
    <w:rsid w:val="00F13CED"/>
    <w:rsid w:val="00F260CB"/>
    <w:rsid w:val="00F26121"/>
    <w:rsid w:val="00F27DE2"/>
    <w:rsid w:val="00F36524"/>
    <w:rsid w:val="00F428BE"/>
    <w:rsid w:val="00F50073"/>
    <w:rsid w:val="00F562D3"/>
    <w:rsid w:val="00F6636F"/>
    <w:rsid w:val="00F66727"/>
    <w:rsid w:val="00F70C3E"/>
    <w:rsid w:val="00F83F3C"/>
    <w:rsid w:val="00F8470C"/>
    <w:rsid w:val="00F86020"/>
    <w:rsid w:val="00FA01C6"/>
    <w:rsid w:val="00FA0645"/>
    <w:rsid w:val="00FA07D1"/>
    <w:rsid w:val="00FB3BC1"/>
    <w:rsid w:val="00FB6EAF"/>
    <w:rsid w:val="00FC532D"/>
    <w:rsid w:val="00FD70DC"/>
    <w:rsid w:val="00FE4186"/>
    <w:rsid w:val="00FF0FE7"/>
    <w:rsid w:val="00FF1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FDE"/>
    <w:rPr>
      <w:sz w:val="24"/>
      <w:szCs w:val="24"/>
      <w:lang w:val="tr-TR" w:eastAsia="tr-TR"/>
    </w:rPr>
  </w:style>
  <w:style w:type="paragraph" w:styleId="Heading1">
    <w:name w:val="heading 1"/>
    <w:basedOn w:val="Normal"/>
    <w:next w:val="Normal"/>
    <w:qFormat/>
    <w:rsid w:val="007750EF"/>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0A81"/>
    <w:rPr>
      <w:color w:val="0000FF"/>
      <w:u w:val="single"/>
    </w:rPr>
  </w:style>
  <w:style w:type="paragraph" w:styleId="DocumentMap">
    <w:name w:val="Document Map"/>
    <w:basedOn w:val="Normal"/>
    <w:semiHidden/>
    <w:rsid w:val="00C805B9"/>
    <w:pPr>
      <w:shd w:val="clear" w:color="auto" w:fill="000080"/>
    </w:pPr>
    <w:rPr>
      <w:rFonts w:ascii="Tahoma" w:hAnsi="Tahoma" w:cs="Tahoma"/>
      <w:sz w:val="20"/>
      <w:szCs w:val="20"/>
    </w:rPr>
  </w:style>
  <w:style w:type="paragraph" w:styleId="Footer">
    <w:name w:val="footer"/>
    <w:basedOn w:val="Normal"/>
    <w:rsid w:val="00B72337"/>
    <w:pPr>
      <w:tabs>
        <w:tab w:val="center" w:pos="4536"/>
        <w:tab w:val="right" w:pos="9072"/>
      </w:tabs>
    </w:pPr>
  </w:style>
  <w:style w:type="character" w:styleId="PageNumber">
    <w:name w:val="page number"/>
    <w:basedOn w:val="DefaultParagraphFont"/>
    <w:rsid w:val="00B72337"/>
  </w:style>
  <w:style w:type="paragraph" w:styleId="Header">
    <w:name w:val="header"/>
    <w:basedOn w:val="Normal"/>
    <w:rsid w:val="00017426"/>
    <w:pPr>
      <w:tabs>
        <w:tab w:val="center" w:pos="4536"/>
        <w:tab w:val="right" w:pos="9072"/>
      </w:tabs>
    </w:pPr>
  </w:style>
  <w:style w:type="character" w:customStyle="1" w:styleId="EmailStyle20">
    <w:name w:val="EmailStyle20"/>
    <w:basedOn w:val="DefaultParagraphFont"/>
    <w:semiHidden/>
    <w:rsid w:val="005171AD"/>
    <w:rPr>
      <w:rFonts w:ascii="Arial" w:hAnsi="Arial" w:cs="Arial"/>
      <w:color w:val="auto"/>
      <w:sz w:val="20"/>
      <w:szCs w:val="20"/>
    </w:rPr>
  </w:style>
  <w:style w:type="paragraph" w:styleId="FootnoteText">
    <w:name w:val="footnote text"/>
    <w:basedOn w:val="Normal"/>
    <w:semiHidden/>
    <w:rsid w:val="000C5C8B"/>
    <w:rPr>
      <w:sz w:val="20"/>
      <w:szCs w:val="20"/>
    </w:rPr>
  </w:style>
  <w:style w:type="character" w:styleId="FootnoteReference">
    <w:name w:val="footnote reference"/>
    <w:basedOn w:val="DefaultParagraphFont"/>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rsid w:val="00AE40FB"/>
    <w:rPr>
      <w:rFonts w:ascii="Tahoma" w:hAnsi="Tahoma" w:cs="Tahoma"/>
      <w:sz w:val="16"/>
      <w:szCs w:val="16"/>
    </w:rPr>
  </w:style>
  <w:style w:type="character" w:customStyle="1" w:styleId="BalloonTextChar">
    <w:name w:val="Balloon Text Char"/>
    <w:basedOn w:val="DefaultParagraphFont"/>
    <w:link w:val="BalloonText"/>
    <w:rsid w:val="00AE40FB"/>
    <w:rPr>
      <w:rFonts w:ascii="Tahoma" w:hAnsi="Tahoma" w:cs="Tahoma"/>
      <w:sz w:val="16"/>
      <w:szCs w:val="16"/>
      <w:lang w:val="tr-TR" w:eastAsia="tr-TR"/>
    </w:rPr>
  </w:style>
  <w:style w:type="table" w:styleId="TableGrid">
    <w:name w:val="Table Grid"/>
    <w:basedOn w:val="TableNormal"/>
    <w:rsid w:val="00983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FDE"/>
    <w:rPr>
      <w:sz w:val="24"/>
      <w:szCs w:val="24"/>
      <w:lang w:val="tr-TR" w:eastAsia="tr-TR"/>
    </w:rPr>
  </w:style>
  <w:style w:type="paragraph" w:styleId="Heading1">
    <w:name w:val="heading 1"/>
    <w:basedOn w:val="Normal"/>
    <w:next w:val="Normal"/>
    <w:qFormat/>
    <w:rsid w:val="007750EF"/>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0A81"/>
    <w:rPr>
      <w:color w:val="0000FF"/>
      <w:u w:val="single"/>
    </w:rPr>
  </w:style>
  <w:style w:type="paragraph" w:styleId="DocumentMap">
    <w:name w:val="Document Map"/>
    <w:basedOn w:val="Normal"/>
    <w:semiHidden/>
    <w:rsid w:val="00C805B9"/>
    <w:pPr>
      <w:shd w:val="clear" w:color="auto" w:fill="000080"/>
    </w:pPr>
    <w:rPr>
      <w:rFonts w:ascii="Tahoma" w:hAnsi="Tahoma" w:cs="Tahoma"/>
      <w:sz w:val="20"/>
      <w:szCs w:val="20"/>
    </w:rPr>
  </w:style>
  <w:style w:type="paragraph" w:styleId="Footer">
    <w:name w:val="footer"/>
    <w:basedOn w:val="Normal"/>
    <w:rsid w:val="00B72337"/>
    <w:pPr>
      <w:tabs>
        <w:tab w:val="center" w:pos="4536"/>
        <w:tab w:val="right" w:pos="9072"/>
      </w:tabs>
    </w:pPr>
  </w:style>
  <w:style w:type="character" w:styleId="PageNumber">
    <w:name w:val="page number"/>
    <w:basedOn w:val="DefaultParagraphFont"/>
    <w:rsid w:val="00B72337"/>
  </w:style>
  <w:style w:type="paragraph" w:styleId="Header">
    <w:name w:val="header"/>
    <w:basedOn w:val="Normal"/>
    <w:rsid w:val="00017426"/>
    <w:pPr>
      <w:tabs>
        <w:tab w:val="center" w:pos="4536"/>
        <w:tab w:val="right" w:pos="9072"/>
      </w:tabs>
    </w:pPr>
  </w:style>
  <w:style w:type="character" w:customStyle="1" w:styleId="EmailStyle20">
    <w:name w:val="EmailStyle20"/>
    <w:basedOn w:val="DefaultParagraphFont"/>
    <w:semiHidden/>
    <w:rsid w:val="005171AD"/>
    <w:rPr>
      <w:rFonts w:ascii="Arial" w:hAnsi="Arial" w:cs="Arial"/>
      <w:color w:val="auto"/>
      <w:sz w:val="20"/>
      <w:szCs w:val="20"/>
    </w:rPr>
  </w:style>
  <w:style w:type="paragraph" w:styleId="FootnoteText">
    <w:name w:val="footnote text"/>
    <w:basedOn w:val="Normal"/>
    <w:semiHidden/>
    <w:rsid w:val="000C5C8B"/>
    <w:rPr>
      <w:sz w:val="20"/>
      <w:szCs w:val="20"/>
    </w:rPr>
  </w:style>
  <w:style w:type="character" w:styleId="FootnoteReference">
    <w:name w:val="footnote reference"/>
    <w:basedOn w:val="DefaultParagraphFont"/>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rsid w:val="00AE40FB"/>
    <w:rPr>
      <w:rFonts w:ascii="Tahoma" w:hAnsi="Tahoma" w:cs="Tahoma"/>
      <w:sz w:val="16"/>
      <w:szCs w:val="16"/>
    </w:rPr>
  </w:style>
  <w:style w:type="character" w:customStyle="1" w:styleId="BalloonTextChar">
    <w:name w:val="Balloon Text Char"/>
    <w:basedOn w:val="DefaultParagraphFont"/>
    <w:link w:val="BalloonText"/>
    <w:rsid w:val="00AE40FB"/>
    <w:rPr>
      <w:rFonts w:ascii="Tahoma" w:hAnsi="Tahoma" w:cs="Tahoma"/>
      <w:sz w:val="16"/>
      <w:szCs w:val="16"/>
      <w:lang w:val="tr-TR" w:eastAsia="tr-TR"/>
    </w:rPr>
  </w:style>
  <w:style w:type="table" w:styleId="TableGrid">
    <w:name w:val="Table Grid"/>
    <w:basedOn w:val="TableNormal"/>
    <w:rsid w:val="00983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778">
      <w:bodyDiv w:val="1"/>
      <w:marLeft w:val="0"/>
      <w:marRight w:val="0"/>
      <w:marTop w:val="0"/>
      <w:marBottom w:val="0"/>
      <w:divBdr>
        <w:top w:val="none" w:sz="0" w:space="0" w:color="auto"/>
        <w:left w:val="none" w:sz="0" w:space="0" w:color="auto"/>
        <w:bottom w:val="none" w:sz="0" w:space="0" w:color="auto"/>
        <w:right w:val="none" w:sz="0" w:space="0" w:color="auto"/>
      </w:divBdr>
    </w:div>
    <w:div w:id="27684325">
      <w:bodyDiv w:val="1"/>
      <w:marLeft w:val="0"/>
      <w:marRight w:val="0"/>
      <w:marTop w:val="0"/>
      <w:marBottom w:val="0"/>
      <w:divBdr>
        <w:top w:val="none" w:sz="0" w:space="0" w:color="auto"/>
        <w:left w:val="none" w:sz="0" w:space="0" w:color="auto"/>
        <w:bottom w:val="none" w:sz="0" w:space="0" w:color="auto"/>
        <w:right w:val="none" w:sz="0" w:space="0" w:color="auto"/>
      </w:divBdr>
    </w:div>
    <w:div w:id="39013648">
      <w:bodyDiv w:val="1"/>
      <w:marLeft w:val="0"/>
      <w:marRight w:val="0"/>
      <w:marTop w:val="0"/>
      <w:marBottom w:val="0"/>
      <w:divBdr>
        <w:top w:val="none" w:sz="0" w:space="0" w:color="auto"/>
        <w:left w:val="none" w:sz="0" w:space="0" w:color="auto"/>
        <w:bottom w:val="none" w:sz="0" w:space="0" w:color="auto"/>
        <w:right w:val="none" w:sz="0" w:space="0" w:color="auto"/>
      </w:divBdr>
    </w:div>
    <w:div w:id="178545549">
      <w:bodyDiv w:val="1"/>
      <w:marLeft w:val="0"/>
      <w:marRight w:val="0"/>
      <w:marTop w:val="0"/>
      <w:marBottom w:val="0"/>
      <w:divBdr>
        <w:top w:val="none" w:sz="0" w:space="0" w:color="auto"/>
        <w:left w:val="none" w:sz="0" w:space="0" w:color="auto"/>
        <w:bottom w:val="none" w:sz="0" w:space="0" w:color="auto"/>
        <w:right w:val="none" w:sz="0" w:space="0" w:color="auto"/>
      </w:divBdr>
    </w:div>
    <w:div w:id="1002779988">
      <w:bodyDiv w:val="1"/>
      <w:marLeft w:val="0"/>
      <w:marRight w:val="0"/>
      <w:marTop w:val="0"/>
      <w:marBottom w:val="0"/>
      <w:divBdr>
        <w:top w:val="none" w:sz="0" w:space="0" w:color="auto"/>
        <w:left w:val="none" w:sz="0" w:space="0" w:color="auto"/>
        <w:bottom w:val="none" w:sz="0" w:space="0" w:color="auto"/>
        <w:right w:val="none" w:sz="0" w:space="0" w:color="auto"/>
      </w:divBdr>
    </w:div>
    <w:div w:id="1067342627">
      <w:bodyDiv w:val="1"/>
      <w:marLeft w:val="0"/>
      <w:marRight w:val="0"/>
      <w:marTop w:val="0"/>
      <w:marBottom w:val="0"/>
      <w:divBdr>
        <w:top w:val="none" w:sz="0" w:space="0" w:color="auto"/>
        <w:left w:val="none" w:sz="0" w:space="0" w:color="auto"/>
        <w:bottom w:val="none" w:sz="0" w:space="0" w:color="auto"/>
        <w:right w:val="none" w:sz="0" w:space="0" w:color="auto"/>
      </w:divBdr>
    </w:div>
    <w:div w:id="1185825825">
      <w:bodyDiv w:val="1"/>
      <w:marLeft w:val="0"/>
      <w:marRight w:val="0"/>
      <w:marTop w:val="0"/>
      <w:marBottom w:val="0"/>
      <w:divBdr>
        <w:top w:val="none" w:sz="0" w:space="0" w:color="auto"/>
        <w:left w:val="none" w:sz="0" w:space="0" w:color="auto"/>
        <w:bottom w:val="none" w:sz="0" w:space="0" w:color="auto"/>
        <w:right w:val="none" w:sz="0" w:space="0" w:color="auto"/>
      </w:divBdr>
    </w:div>
    <w:div w:id="1372457704">
      <w:bodyDiv w:val="1"/>
      <w:marLeft w:val="0"/>
      <w:marRight w:val="0"/>
      <w:marTop w:val="0"/>
      <w:marBottom w:val="0"/>
      <w:divBdr>
        <w:top w:val="none" w:sz="0" w:space="0" w:color="auto"/>
        <w:left w:val="none" w:sz="0" w:space="0" w:color="auto"/>
        <w:bottom w:val="none" w:sz="0" w:space="0" w:color="auto"/>
        <w:right w:val="none" w:sz="0" w:space="0" w:color="auto"/>
      </w:divBdr>
    </w:div>
    <w:div w:id="1727098738">
      <w:bodyDiv w:val="1"/>
      <w:marLeft w:val="0"/>
      <w:marRight w:val="0"/>
      <w:marTop w:val="0"/>
      <w:marBottom w:val="0"/>
      <w:divBdr>
        <w:top w:val="none" w:sz="0" w:space="0" w:color="auto"/>
        <w:left w:val="none" w:sz="0" w:space="0" w:color="auto"/>
        <w:bottom w:val="none" w:sz="0" w:space="0" w:color="auto"/>
        <w:right w:val="none" w:sz="0" w:space="0" w:color="auto"/>
      </w:divBdr>
    </w:div>
    <w:div w:id="21064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ne.durmaz@eas.bau.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yfettin.gursel@eas.bau.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elike.kokkizil@eas.bau.edu.tr"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elin.koksal\AppData\Local\Temp\Rar$DIa0.398\Quarterly%20GDP%20(versi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336994272110849E-2"/>
          <c:y val="8.7066670737219909E-2"/>
          <c:w val="0.88856304985335977"/>
          <c:h val="0.71962781019051414"/>
        </c:manualLayout>
      </c:layout>
      <c:barChart>
        <c:barDir val="bar"/>
        <c:grouping val="clustered"/>
        <c:varyColors val="0"/>
        <c:ser>
          <c:idx val="3"/>
          <c:order val="0"/>
          <c:spPr>
            <a:solidFill>
              <a:srgbClr val="0000FF"/>
            </a:solidFill>
            <a:ln w="25400">
              <a:noFill/>
            </a:ln>
          </c:spPr>
          <c:invertIfNegative val="0"/>
          <c:dLbls>
            <c:dLbl>
              <c:idx val="0"/>
              <c:layout>
                <c:manualLayout>
                  <c:x val="3.883120459123166E-3"/>
                  <c:y val="-2.7230031228364963E-4"/>
                </c:manualLayout>
              </c:layout>
              <c:tx>
                <c:rich>
                  <a:bodyPr/>
                  <a:lstStyle/>
                  <a:p>
                    <a:r>
                      <a:rPr lang="tr-TR"/>
                      <a:t>Import</a:t>
                    </a:r>
                    <a:endParaRPr lang="en-US"/>
                  </a:p>
                </c:rich>
              </c:tx>
              <c:dLblPos val="outEnd"/>
              <c:showLegendKey val="0"/>
              <c:showVal val="0"/>
              <c:showCatName val="0"/>
              <c:showSerName val="1"/>
              <c:showPercent val="0"/>
              <c:showBubbleSize val="0"/>
            </c:dLbl>
            <c:spPr>
              <a:noFill/>
              <a:ln w="25400">
                <a:noFill/>
              </a:ln>
            </c:spPr>
            <c:txPr>
              <a:bodyPr/>
              <a:lstStyle/>
              <a:p>
                <a:pPr>
                  <a:defRPr lang="en-US" sz="800" b="0" i="0" u="none" strike="noStrike" baseline="0">
                    <a:solidFill>
                      <a:srgbClr val="000000"/>
                    </a:solidFill>
                    <a:latin typeface="Arial"/>
                    <a:ea typeface="Arial"/>
                    <a:cs typeface="Arial"/>
                  </a:defRPr>
                </a:pPr>
                <a:endParaRPr lang="tr-TR"/>
              </a:p>
            </c:txPr>
            <c:dLblPos val="outEnd"/>
            <c:showLegendKey val="0"/>
            <c:showVal val="0"/>
            <c:showCatName val="0"/>
            <c:showSerName val="1"/>
            <c:showPercent val="0"/>
            <c:showBubbleSize val="0"/>
            <c:showLeaderLines val="0"/>
          </c:dLbls>
          <c:val>
            <c:numRef>
              <c:f>Yearly!$C$111</c:f>
              <c:numCache>
                <c:formatCode>0.0%</c:formatCode>
                <c:ptCount val="1"/>
                <c:pt idx="0">
                  <c:v>2.7233709552745311E-3</c:v>
                </c:pt>
              </c:numCache>
            </c:numRef>
          </c:val>
        </c:ser>
        <c:ser>
          <c:idx val="2"/>
          <c:order val="1"/>
          <c:spPr>
            <a:solidFill>
              <a:srgbClr val="0000FF"/>
            </a:solidFill>
            <a:ln w="25400">
              <a:noFill/>
            </a:ln>
          </c:spPr>
          <c:invertIfNegative val="0"/>
          <c:dLbls>
            <c:dLbl>
              <c:idx val="0"/>
              <c:layout>
                <c:manualLayout>
                  <c:x val="-1.1729897399188872E-2"/>
                  <c:y val="0"/>
                </c:manualLayout>
              </c:layout>
              <c:tx>
                <c:rich>
                  <a:bodyPr/>
                  <a:lstStyle/>
                  <a:p>
                    <a:r>
                      <a:rPr lang="tr-TR"/>
                      <a:t>Export</a:t>
                    </a:r>
                    <a:endParaRPr lang="en-US"/>
                  </a:p>
                </c:rich>
              </c:tx>
              <c:dLblPos val="outEnd"/>
              <c:showLegendKey val="0"/>
              <c:showVal val="0"/>
              <c:showCatName val="0"/>
              <c:showSerName val="1"/>
              <c:showPercent val="0"/>
              <c:showBubbleSize val="0"/>
            </c:dLbl>
            <c:spPr>
              <a:noFill/>
              <a:ln w="25400">
                <a:noFill/>
              </a:ln>
            </c:spPr>
            <c:txPr>
              <a:bodyPr/>
              <a:lstStyle/>
              <a:p>
                <a:pPr>
                  <a:defRPr lang="en-US" sz="800" b="0" i="0" u="none" strike="noStrike" baseline="0">
                    <a:solidFill>
                      <a:srgbClr val="000000"/>
                    </a:solidFill>
                    <a:latin typeface="Arial"/>
                    <a:ea typeface="Arial"/>
                    <a:cs typeface="Arial"/>
                  </a:defRPr>
                </a:pPr>
                <a:endParaRPr lang="tr-TR"/>
              </a:p>
            </c:txPr>
            <c:dLblPos val="outEnd"/>
            <c:showLegendKey val="0"/>
            <c:showVal val="0"/>
            <c:showCatName val="0"/>
            <c:showSerName val="1"/>
            <c:showPercent val="0"/>
            <c:showBubbleSize val="0"/>
            <c:showLeaderLines val="0"/>
          </c:dLbls>
          <c:val>
            <c:numRef>
              <c:f>Yearly!$C$110</c:f>
              <c:numCache>
                <c:formatCode>0.0%</c:formatCode>
                <c:ptCount val="1"/>
                <c:pt idx="0">
                  <c:v>-8.2515185413081227E-3</c:v>
                </c:pt>
              </c:numCache>
            </c:numRef>
          </c:val>
        </c:ser>
        <c:ser>
          <c:idx val="4"/>
          <c:order val="2"/>
          <c:spPr>
            <a:solidFill>
              <a:srgbClr val="0000FF"/>
            </a:solidFill>
            <a:ln w="12700">
              <a:solidFill>
                <a:srgbClr val="000000"/>
              </a:solidFill>
              <a:prstDash val="solid"/>
            </a:ln>
          </c:spPr>
          <c:invertIfNegative val="0"/>
          <c:dLbls>
            <c:dLbl>
              <c:idx val="0"/>
              <c:layout>
                <c:manualLayout>
                  <c:x val="-5.4528521178254484E-3"/>
                  <c:y val="-3.4341501704810307E-4"/>
                </c:manualLayout>
              </c:layout>
              <c:tx>
                <c:rich>
                  <a:bodyPr/>
                  <a:lstStyle/>
                  <a:p>
                    <a:r>
                      <a:rPr lang="tr-TR"/>
                      <a:t>Government</a:t>
                    </a:r>
                    <a:r>
                      <a:rPr lang="tr-TR" baseline="0"/>
                      <a:t> Spending</a:t>
                    </a:r>
                    <a:endParaRPr lang="en-US"/>
                  </a:p>
                </c:rich>
              </c:tx>
              <c:dLblPos val="outEnd"/>
              <c:showLegendKey val="0"/>
              <c:showVal val="0"/>
              <c:showCatName val="0"/>
              <c:showSerName val="1"/>
              <c:showPercent val="0"/>
              <c:showBubbleSize val="0"/>
            </c:dLbl>
            <c:spPr>
              <a:noFill/>
              <a:ln w="25400">
                <a:noFill/>
              </a:ln>
            </c:spPr>
            <c:txPr>
              <a:bodyPr/>
              <a:lstStyle/>
              <a:p>
                <a:pPr>
                  <a:defRPr lang="en-US" sz="800" b="0" i="0" u="none" strike="noStrike" baseline="0">
                    <a:solidFill>
                      <a:srgbClr val="000000"/>
                    </a:solidFill>
                    <a:latin typeface="Arial"/>
                    <a:ea typeface="Arial"/>
                    <a:cs typeface="Arial"/>
                  </a:defRPr>
                </a:pPr>
                <a:endParaRPr lang="tr-TR"/>
              </a:p>
            </c:txPr>
            <c:dLblPos val="outEnd"/>
            <c:showLegendKey val="0"/>
            <c:showVal val="0"/>
            <c:showCatName val="0"/>
            <c:showSerName val="1"/>
            <c:showPercent val="0"/>
            <c:showBubbleSize val="0"/>
            <c:showLeaderLines val="0"/>
          </c:dLbls>
          <c:val>
            <c:numRef>
              <c:f>Yearly!$C$108</c:f>
              <c:numCache>
                <c:formatCode>0.0%</c:formatCode>
                <c:ptCount val="1"/>
                <c:pt idx="0">
                  <c:v>6.9617018707935283E-2</c:v>
                </c:pt>
              </c:numCache>
            </c:numRef>
          </c:val>
        </c:ser>
        <c:ser>
          <c:idx val="0"/>
          <c:order val="3"/>
          <c:spPr>
            <a:solidFill>
              <a:srgbClr val="0000FF"/>
            </a:solidFill>
            <a:ln w="25400">
              <a:noFill/>
            </a:ln>
          </c:spPr>
          <c:invertIfNegative val="0"/>
          <c:dLbls>
            <c:dLbl>
              <c:idx val="0"/>
              <c:layout>
                <c:manualLayout>
                  <c:x val="1.40497907909617E-2"/>
                  <c:y val="9.3798348077599302E-3"/>
                </c:manualLayout>
              </c:layout>
              <c:tx>
                <c:rich>
                  <a:bodyPr/>
                  <a:lstStyle/>
                  <a:p>
                    <a:r>
                      <a:rPr lang="tr-TR"/>
                      <a:t>Private</a:t>
                    </a:r>
                    <a:r>
                      <a:rPr lang="tr-TR" baseline="0"/>
                      <a:t> Investment</a:t>
                    </a:r>
                    <a:endParaRPr lang="en-US"/>
                  </a:p>
                </c:rich>
              </c:tx>
              <c:dLblPos val="outEnd"/>
              <c:showLegendKey val="0"/>
              <c:showVal val="1"/>
              <c:showCatName val="0"/>
              <c:showSerName val="0"/>
              <c:showPercent val="0"/>
              <c:showBubbleSize val="0"/>
            </c:dLbl>
            <c:spPr>
              <a:noFill/>
              <a:ln w="25400">
                <a:noFill/>
              </a:ln>
            </c:spPr>
            <c:txPr>
              <a:bodyPr/>
              <a:lstStyle/>
              <a:p>
                <a:pPr>
                  <a:defRPr lang="en-US" sz="800" b="0" i="0" u="none" strike="noStrike" baseline="0">
                    <a:solidFill>
                      <a:srgbClr val="000000"/>
                    </a:solidFill>
                    <a:latin typeface="Arial"/>
                    <a:ea typeface="Arial"/>
                    <a:cs typeface="Arial"/>
                  </a:defRPr>
                </a:pPr>
                <a:endParaRPr lang="tr-TR"/>
              </a:p>
            </c:txPr>
            <c:dLblPos val="outEnd"/>
            <c:showLegendKey val="0"/>
            <c:showVal val="1"/>
            <c:showCatName val="0"/>
            <c:showSerName val="1"/>
            <c:showPercent val="0"/>
            <c:showBubbleSize val="0"/>
            <c:showLeaderLines val="0"/>
          </c:dLbls>
          <c:val>
            <c:numRef>
              <c:f>Yearly!$C$107</c:f>
              <c:numCache>
                <c:formatCode>0.0%</c:formatCode>
                <c:ptCount val="1"/>
                <c:pt idx="0">
                  <c:v>2.7199553594383641E-2</c:v>
                </c:pt>
              </c:numCache>
            </c:numRef>
          </c:val>
        </c:ser>
        <c:ser>
          <c:idx val="1"/>
          <c:order val="4"/>
          <c:spPr>
            <a:solidFill>
              <a:srgbClr val="0000FF"/>
            </a:solidFill>
            <a:ln w="25400">
              <a:noFill/>
            </a:ln>
          </c:spPr>
          <c:invertIfNegative val="0"/>
          <c:val>
            <c:numRef>
              <c:f>Yearly!$C$106</c:f>
              <c:numCache>
                <c:formatCode>0.0%</c:formatCode>
                <c:ptCount val="1"/>
                <c:pt idx="0">
                  <c:v>4.5007483828559493E-2</c:v>
                </c:pt>
              </c:numCache>
            </c:numRef>
          </c:val>
        </c:ser>
        <c:dLbls>
          <c:showLegendKey val="0"/>
          <c:showVal val="0"/>
          <c:showCatName val="0"/>
          <c:showSerName val="0"/>
          <c:showPercent val="0"/>
          <c:showBubbleSize val="0"/>
        </c:dLbls>
        <c:gapWidth val="410"/>
        <c:overlap val="-100"/>
        <c:axId val="90092288"/>
        <c:axId val="90093824"/>
      </c:barChart>
      <c:catAx>
        <c:axId val="90092288"/>
        <c:scaling>
          <c:orientation val="minMax"/>
        </c:scaling>
        <c:delete val="0"/>
        <c:axPos val="l"/>
        <c:majorTickMark val="out"/>
        <c:minorTickMark val="none"/>
        <c:tickLblPos val="none"/>
        <c:spPr>
          <a:ln w="3175">
            <a:solidFill>
              <a:srgbClr val="000000"/>
            </a:solidFill>
            <a:prstDash val="solid"/>
          </a:ln>
        </c:spPr>
        <c:txPr>
          <a:bodyPr/>
          <a:lstStyle/>
          <a:p>
            <a:pPr>
              <a:defRPr lang="en-US"/>
            </a:pPr>
            <a:endParaRPr lang="tr-TR"/>
          </a:p>
        </c:txPr>
        <c:crossAx val="90093824"/>
        <c:crosses val="autoZero"/>
        <c:auto val="0"/>
        <c:lblAlgn val="ctr"/>
        <c:lblOffset val="100"/>
        <c:tickLblSkip val="1"/>
        <c:tickMarkSkip val="1"/>
        <c:noMultiLvlLbl val="0"/>
      </c:catAx>
      <c:valAx>
        <c:axId val="90093824"/>
        <c:scaling>
          <c:orientation val="minMax"/>
          <c:max val="0.1"/>
          <c:min val="-4.0000000000000029E-2"/>
        </c:scaling>
        <c:delete val="0"/>
        <c:axPos val="b"/>
        <c:numFmt formatCode="%0" sourceLinked="0"/>
        <c:majorTickMark val="out"/>
        <c:minorTickMark val="none"/>
        <c:tickLblPos val="nextTo"/>
        <c:spPr>
          <a:ln w="3175">
            <a:solidFill>
              <a:srgbClr val="000000"/>
            </a:solidFill>
            <a:prstDash val="solid"/>
          </a:ln>
        </c:spPr>
        <c:txPr>
          <a:bodyPr rot="0" vert="horz"/>
          <a:lstStyle/>
          <a:p>
            <a:pPr>
              <a:defRPr lang="en-US" sz="800" b="0" i="0" u="none" strike="noStrike" baseline="0">
                <a:solidFill>
                  <a:srgbClr val="000000"/>
                </a:solidFill>
                <a:latin typeface="Arial"/>
                <a:ea typeface="Arial"/>
                <a:cs typeface="Arial"/>
              </a:defRPr>
            </a:pPr>
            <a:endParaRPr lang="tr-TR"/>
          </a:p>
        </c:txPr>
        <c:crossAx val="90092288"/>
        <c:crosses val="autoZero"/>
        <c:crossBetween val="between"/>
        <c:majorUnit val="2.0000000000000014E-2"/>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tr-T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0.60533</cdr:x>
      <cdr:y>0.13388</cdr:y>
    </cdr:from>
    <cdr:to>
      <cdr:x>0.92717</cdr:x>
      <cdr:y>0.30443</cdr:y>
    </cdr:to>
    <cdr:sp macro="" textlink="">
      <cdr:nvSpPr>
        <cdr:cNvPr id="2" name="TextBox 1"/>
        <cdr:cNvSpPr txBox="1"/>
      </cdr:nvSpPr>
      <cdr:spPr>
        <a:xfrm xmlns:a="http://schemas.openxmlformats.org/drawingml/2006/main">
          <a:off x="1954357" y="271897"/>
          <a:ext cx="1039090" cy="3463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800">
              <a:latin typeface="Arial Tur" panose="020B0604020202020204" pitchFamily="34" charset="0"/>
              <a:cs typeface="Arial Tur" panose="020B0604020202020204" pitchFamily="34" charset="0"/>
            </a:rPr>
            <a:t>Private Consumption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2745E-7429-4A25-8C37-E2969C17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baris.soybilgen</dc:creator>
  <cp:lastModifiedBy>Selin KOKSAL</cp:lastModifiedBy>
  <cp:revision>2</cp:revision>
  <cp:lastPrinted>2016-04-19T08:24:00Z</cp:lastPrinted>
  <dcterms:created xsi:type="dcterms:W3CDTF">2016-04-25T11:25:00Z</dcterms:created>
  <dcterms:modified xsi:type="dcterms:W3CDTF">2016-04-25T11:25:00Z</dcterms:modified>
</cp:coreProperties>
</file>