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D3" w:rsidRPr="00F247C3" w:rsidRDefault="005E3ECE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-809625</wp:posOffset>
            </wp:positionV>
            <wp:extent cx="7258050" cy="1390650"/>
            <wp:effectExtent l="19050" t="0" r="0" b="0"/>
            <wp:wrapNone/>
            <wp:docPr id="8" name="Picture 1" descr="Description: 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9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7.05pt;margin-top:-51.45pt;width:346.2pt;height:44.8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" stroked="f">
            <v:fill opacity="0"/>
            <v:textbox style="mso-next-textbox:#Text Box 3" inset="0,0,0,0">
              <w:txbxContent>
                <w:p w:rsidR="00A00D29" w:rsidRPr="0026114C" w:rsidRDefault="00A00D29" w:rsidP="00A00D29">
                  <w:pPr>
                    <w:pStyle w:val="Heading1"/>
                    <w:jc w:val="left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Economic Outlook and Forecast: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ab/>
                    <w:t>March 2016</w:t>
                  </w:r>
                </w:p>
                <w:p w:rsidR="00C76E90" w:rsidRPr="00A75A46" w:rsidRDefault="00C76E90" w:rsidP="00E57928">
                  <w:pPr>
                    <w:pStyle w:val="Heading2"/>
                    <w:rPr>
                      <w:b w:val="0"/>
                      <w:bCs w:val="0"/>
                      <w:i w:val="0"/>
                      <w:iCs w:val="0"/>
                      <w:lang w:val="nl-NL"/>
                    </w:rPr>
                  </w:pPr>
                </w:p>
              </w:txbxContent>
            </v:textbox>
          </v:shape>
        </w:pict>
      </w:r>
    </w:p>
    <w:p w:rsidR="00054BD3" w:rsidRPr="00F247C3" w:rsidRDefault="00054BD3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F0372" w:rsidRPr="00F247C3" w:rsidRDefault="00234351" w:rsidP="000F0372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SLOWDOWN IN FIRST QUARTER’S GROWTH</w:t>
      </w:r>
    </w:p>
    <w:p w:rsidR="00EB408D" w:rsidRPr="00F247C3" w:rsidRDefault="00EB408D" w:rsidP="00EB408D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</w:p>
    <w:p w:rsidR="00EB408D" w:rsidRPr="00F247C3" w:rsidRDefault="005319AA" w:rsidP="00EB408D">
      <w:pPr>
        <w:ind w:right="-317"/>
        <w:jc w:val="center"/>
        <w:outlineLvl w:val="0"/>
        <w:rPr>
          <w:rFonts w:ascii="Arial" w:hAnsi="Arial" w:cs="Arial"/>
          <w:b/>
          <w:bCs/>
          <w:sz w:val="21"/>
          <w:szCs w:val="21"/>
          <w:vertAlign w:val="superscript"/>
        </w:rPr>
      </w:pPr>
      <w:r>
        <w:rPr>
          <w:rFonts w:ascii="Arial" w:hAnsi="Arial" w:cs="Arial"/>
          <w:b/>
          <w:bCs/>
          <w:noProof/>
          <w:sz w:val="21"/>
          <w:szCs w:val="21"/>
        </w:rPr>
        <w:pict>
          <v:shape id="Text Box 4" o:spid="_x0000_s1027" type="#_x0000_t202" style="position:absolute;left:0;text-align:left;margin-left:406.25pt;margin-top:-72.45pt;width:172.25pt;height:27.4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ckjwIAACM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" stroked="f">
            <v:fill opacity="0"/>
            <v:textbox style="mso-next-textbox:#Text Box 4" inset="0,0,0,0">
              <w:txbxContent>
                <w:p w:rsidR="005E3ECE" w:rsidRPr="00DB7229" w:rsidRDefault="005E3ECE" w:rsidP="005E3ECE">
                  <w:pPr>
                    <w:pStyle w:val="Heading3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color w:val="FFFFFF"/>
                      <w:sz w:val="22"/>
                      <w:szCs w:val="22"/>
                    </w:rPr>
                    <w:t xml:space="preserve">   2</w:t>
                  </w:r>
                  <w:r w:rsidR="00886932">
                    <w:rPr>
                      <w:color w:val="FFFFFF"/>
                      <w:sz w:val="22"/>
                      <w:szCs w:val="22"/>
                    </w:rPr>
                    <w:t>5</w:t>
                  </w:r>
                  <w:r>
                    <w:rPr>
                      <w:color w:val="FFFFFF"/>
                      <w:sz w:val="22"/>
                      <w:szCs w:val="22"/>
                    </w:rPr>
                    <w:t xml:space="preserve"> </w:t>
                  </w:r>
                  <w:r w:rsidR="00A00D29">
                    <w:rPr>
                      <w:color w:val="FFFFFF"/>
                      <w:sz w:val="22"/>
                      <w:szCs w:val="22"/>
                    </w:rPr>
                    <w:t>March</w:t>
                  </w:r>
                  <w:r>
                    <w:rPr>
                      <w:color w:val="FFFFFF"/>
                      <w:sz w:val="22"/>
                      <w:szCs w:val="22"/>
                    </w:rPr>
                    <w:t xml:space="preserve"> 201</w:t>
                  </w:r>
                  <w:r w:rsidR="00886932">
                    <w:rPr>
                      <w:color w:val="FFFFFF"/>
                      <w:sz w:val="22"/>
                      <w:szCs w:val="22"/>
                    </w:rPr>
                    <w:t>6</w:t>
                  </w:r>
                </w:p>
                <w:p w:rsidR="005E3ECE" w:rsidRDefault="005E3ECE" w:rsidP="005E3ECE"/>
              </w:txbxContent>
            </v:textbox>
          </v:shape>
        </w:pict>
      </w:r>
      <w:r w:rsidR="000F0372" w:rsidRPr="00F247C3">
        <w:rPr>
          <w:rFonts w:ascii="Arial" w:hAnsi="Arial" w:cs="Arial"/>
          <w:b/>
          <w:bCs/>
          <w:sz w:val="21"/>
          <w:szCs w:val="21"/>
        </w:rPr>
        <w:t>Seyfettin Gürsel*,</w:t>
      </w:r>
      <w:r w:rsidR="00EB408D" w:rsidRPr="00F247C3">
        <w:rPr>
          <w:rFonts w:ascii="Arial" w:hAnsi="Arial" w:cs="Arial"/>
          <w:b/>
          <w:bCs/>
          <w:sz w:val="21"/>
          <w:szCs w:val="21"/>
        </w:rPr>
        <w:t xml:space="preserve"> </w:t>
      </w:r>
      <w:r w:rsidR="000F0372" w:rsidRPr="00F247C3">
        <w:rPr>
          <w:rFonts w:ascii="Arial" w:hAnsi="Arial" w:cs="Arial"/>
          <w:b/>
          <w:bCs/>
          <w:sz w:val="21"/>
          <w:szCs w:val="21"/>
        </w:rPr>
        <w:t>Mine Durmaz</w:t>
      </w:r>
      <w:r w:rsidR="000F0372" w:rsidRPr="00F247C3">
        <w:rPr>
          <w:rFonts w:ascii="Arial" w:hAnsi="Arial" w:cs="Arial"/>
          <w:b/>
          <w:bCs/>
          <w:sz w:val="21"/>
          <w:szCs w:val="21"/>
          <w:vertAlign w:val="superscript"/>
        </w:rPr>
        <w:t>**</w:t>
      </w:r>
      <w:r w:rsidR="000F0372" w:rsidRPr="00F247C3">
        <w:rPr>
          <w:rFonts w:ascii="Arial" w:hAnsi="Arial" w:cs="Arial"/>
          <w:b/>
          <w:bCs/>
          <w:sz w:val="21"/>
          <w:szCs w:val="21"/>
        </w:rPr>
        <w:t>, Melike Kökkızıl***</w:t>
      </w:r>
    </w:p>
    <w:p w:rsidR="00EB408D" w:rsidRPr="00656D66" w:rsidRDefault="00EB408D" w:rsidP="00EB408D">
      <w:pPr>
        <w:spacing w:line="360" w:lineRule="auto"/>
        <w:ind w:right="-319"/>
        <w:jc w:val="center"/>
        <w:outlineLvl w:val="0"/>
        <w:rPr>
          <w:rFonts w:ascii="Arial" w:hAnsi="Arial" w:cs="Arial"/>
          <w:sz w:val="22"/>
          <w:szCs w:val="22"/>
          <w:vertAlign w:val="superscript"/>
          <w:lang w:val="en-GB"/>
        </w:rPr>
      </w:pPr>
    </w:p>
    <w:p w:rsidR="00EB408D" w:rsidRPr="00656D66" w:rsidRDefault="00EB408D" w:rsidP="00EB408D">
      <w:pPr>
        <w:spacing w:line="360" w:lineRule="auto"/>
        <w:ind w:right="-319"/>
        <w:jc w:val="center"/>
        <w:outlineLvl w:val="0"/>
        <w:rPr>
          <w:rFonts w:ascii="Arial" w:hAnsi="Arial" w:cs="Arial"/>
          <w:sz w:val="22"/>
          <w:szCs w:val="22"/>
          <w:vertAlign w:val="superscript"/>
          <w:lang w:val="en-GB"/>
        </w:rPr>
        <w:sectPr w:rsidR="00EB408D" w:rsidRPr="00656D66" w:rsidSect="008651A8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3E0B" w:rsidRPr="00184CFD" w:rsidRDefault="00A00D29" w:rsidP="000B5E24">
      <w:pPr>
        <w:spacing w:line="360" w:lineRule="auto"/>
        <w:ind w:left="-360" w:right="42" w:firstLine="360"/>
        <w:jc w:val="center"/>
        <w:rPr>
          <w:b/>
          <w:bCs/>
          <w:sz w:val="22"/>
          <w:szCs w:val="22"/>
          <w:lang w:val="en-GB"/>
        </w:rPr>
      </w:pPr>
      <w:r w:rsidRPr="00184CFD">
        <w:rPr>
          <w:b/>
          <w:bCs/>
          <w:sz w:val="22"/>
          <w:szCs w:val="22"/>
          <w:lang w:val="en-GB"/>
        </w:rPr>
        <w:lastRenderedPageBreak/>
        <w:t>Executive Summary</w:t>
      </w:r>
    </w:p>
    <w:p w:rsidR="000B5E24" w:rsidRPr="00184CFD" w:rsidRDefault="00E4243E" w:rsidP="000B5E24">
      <w:pPr>
        <w:spacing w:line="360" w:lineRule="auto"/>
        <w:ind w:left="-360" w:right="40"/>
        <w:jc w:val="both"/>
        <w:rPr>
          <w:color w:val="000000" w:themeColor="text1"/>
          <w:sz w:val="22"/>
          <w:szCs w:val="22"/>
          <w:lang w:val="en-GB"/>
        </w:rPr>
      </w:pPr>
      <w:bookmarkStart w:id="0" w:name="_GoBack"/>
      <w:r>
        <w:rPr>
          <w:color w:val="000000" w:themeColor="text1"/>
          <w:sz w:val="22"/>
          <w:szCs w:val="22"/>
          <w:lang w:val="en-GB"/>
        </w:rPr>
        <w:t>Following to the completion of December 2015 data</w:t>
      </w:r>
      <w:r w:rsidR="00104A71" w:rsidRPr="00184CFD">
        <w:rPr>
          <w:color w:val="000000" w:themeColor="text1"/>
          <w:sz w:val="22"/>
          <w:szCs w:val="22"/>
          <w:lang w:val="en-GB"/>
        </w:rPr>
        <w:t>, we present our 2016 1.</w:t>
      </w:r>
      <w:r w:rsidR="00815C51" w:rsidRPr="00184CFD">
        <w:rPr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815C51" w:rsidRPr="00184CFD">
        <w:rPr>
          <w:color w:val="000000" w:themeColor="text1"/>
          <w:sz w:val="22"/>
          <w:szCs w:val="22"/>
          <w:lang w:val="en-GB"/>
        </w:rPr>
        <w:t>quarter</w:t>
      </w:r>
      <w:proofErr w:type="gramEnd"/>
      <w:r w:rsidR="00815C51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104A71" w:rsidRPr="00184CFD">
        <w:rPr>
          <w:color w:val="000000" w:themeColor="text1"/>
          <w:sz w:val="22"/>
          <w:szCs w:val="22"/>
          <w:lang w:val="en-GB"/>
        </w:rPr>
        <w:t>growth rate</w:t>
      </w:r>
      <w:r w:rsidR="00815C51" w:rsidRPr="00184CFD">
        <w:rPr>
          <w:color w:val="000000" w:themeColor="text1"/>
          <w:sz w:val="22"/>
          <w:szCs w:val="22"/>
          <w:lang w:val="en-GB"/>
        </w:rPr>
        <w:t xml:space="preserve"> forecast </w:t>
      </w:r>
      <w:r>
        <w:rPr>
          <w:color w:val="000000" w:themeColor="text1"/>
          <w:sz w:val="22"/>
          <w:szCs w:val="22"/>
          <w:lang w:val="en-GB"/>
        </w:rPr>
        <w:t>along</w:t>
      </w:r>
      <w:r w:rsidR="00815C51" w:rsidRPr="00184CFD">
        <w:rPr>
          <w:color w:val="000000" w:themeColor="text1"/>
          <w:sz w:val="22"/>
          <w:szCs w:val="22"/>
          <w:lang w:val="en-GB"/>
        </w:rPr>
        <w:t xml:space="preserve"> w</w:t>
      </w:r>
      <w:r w:rsidR="00104A71" w:rsidRPr="00184CFD">
        <w:rPr>
          <w:color w:val="000000" w:themeColor="text1"/>
          <w:sz w:val="22"/>
          <w:szCs w:val="22"/>
          <w:lang w:val="en-GB"/>
        </w:rPr>
        <w:t>ith our final 2015 4.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proofErr w:type="gramStart"/>
      <w:r>
        <w:rPr>
          <w:color w:val="000000" w:themeColor="text1"/>
          <w:sz w:val="22"/>
          <w:szCs w:val="22"/>
          <w:lang w:val="en-GB"/>
        </w:rPr>
        <w:t>quarter</w:t>
      </w:r>
      <w:proofErr w:type="gramEnd"/>
      <w:r>
        <w:rPr>
          <w:color w:val="000000" w:themeColor="text1"/>
          <w:sz w:val="22"/>
          <w:szCs w:val="22"/>
          <w:lang w:val="en-GB"/>
        </w:rPr>
        <w:t xml:space="preserve"> growth rate estimation i</w:t>
      </w:r>
      <w:r w:rsidRPr="00184CFD">
        <w:rPr>
          <w:color w:val="000000" w:themeColor="text1"/>
          <w:sz w:val="22"/>
          <w:szCs w:val="22"/>
          <w:lang w:val="en-GB"/>
        </w:rPr>
        <w:t>n this month’s report</w:t>
      </w:r>
      <w:r w:rsidR="00104A71" w:rsidRPr="00184CFD">
        <w:rPr>
          <w:color w:val="000000" w:themeColor="text1"/>
          <w:sz w:val="22"/>
          <w:szCs w:val="22"/>
          <w:lang w:val="en-GB"/>
        </w:rPr>
        <w:t>.</w:t>
      </w:r>
      <w:r w:rsidR="00815C51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0B5E24" w:rsidRPr="00184CFD">
        <w:rPr>
          <w:color w:val="000000" w:themeColor="text1"/>
          <w:sz w:val="22"/>
          <w:szCs w:val="22"/>
          <w:lang w:val="en-GB"/>
        </w:rPr>
        <w:t xml:space="preserve">For the last quarter of </w:t>
      </w:r>
      <w:r w:rsidR="00104A71" w:rsidRPr="00184CFD">
        <w:rPr>
          <w:color w:val="000000" w:themeColor="text1"/>
          <w:sz w:val="22"/>
          <w:szCs w:val="22"/>
          <w:lang w:val="en-GB"/>
        </w:rPr>
        <w:t>2015, we revise up our gro</w:t>
      </w:r>
      <w:r w:rsidR="0003031B">
        <w:rPr>
          <w:color w:val="000000" w:themeColor="text1"/>
          <w:sz w:val="22"/>
          <w:szCs w:val="22"/>
          <w:lang w:val="en-GB"/>
        </w:rPr>
        <w:t>wth rate forecast from 0.6 to 0.</w:t>
      </w:r>
      <w:r w:rsidR="00104A71" w:rsidRPr="00184CFD">
        <w:rPr>
          <w:color w:val="000000" w:themeColor="text1"/>
          <w:sz w:val="22"/>
          <w:szCs w:val="22"/>
          <w:lang w:val="en-GB"/>
        </w:rPr>
        <w:t>8 due to the increase in industrial production.</w:t>
      </w:r>
      <w:r w:rsidR="00B92002" w:rsidRPr="00184CFD">
        <w:rPr>
          <w:color w:val="000000" w:themeColor="text1"/>
          <w:sz w:val="22"/>
          <w:szCs w:val="22"/>
          <w:lang w:val="en-GB"/>
        </w:rPr>
        <w:t xml:space="preserve">  Taking into consideration of </w:t>
      </w:r>
      <w:r w:rsidR="00184CFD" w:rsidRPr="00184CFD">
        <w:rPr>
          <w:color w:val="000000" w:themeColor="text1"/>
          <w:sz w:val="22"/>
          <w:szCs w:val="22"/>
          <w:lang w:val="en-GB"/>
        </w:rPr>
        <w:t xml:space="preserve">the actual GDP </w:t>
      </w:r>
      <w:r w:rsidR="00104A71" w:rsidRPr="00184CFD">
        <w:rPr>
          <w:color w:val="000000" w:themeColor="text1"/>
          <w:sz w:val="22"/>
          <w:szCs w:val="22"/>
          <w:lang w:val="en-GB"/>
        </w:rPr>
        <w:t>announced in fi</w:t>
      </w:r>
      <w:r w:rsidR="009E7BF9" w:rsidRPr="00184CFD">
        <w:rPr>
          <w:color w:val="000000" w:themeColor="text1"/>
          <w:sz w:val="22"/>
          <w:szCs w:val="22"/>
          <w:lang w:val="en-GB"/>
        </w:rPr>
        <w:t>rst three quarters and our GD</w:t>
      </w:r>
      <w:r w:rsidR="00D16551" w:rsidRPr="00184CFD">
        <w:rPr>
          <w:color w:val="000000" w:themeColor="text1"/>
          <w:sz w:val="22"/>
          <w:szCs w:val="22"/>
          <w:lang w:val="en-GB"/>
        </w:rPr>
        <w:t>P</w:t>
      </w:r>
      <w:r w:rsidR="00D16551" w:rsidRPr="00184CFD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D16551" w:rsidRPr="00184CFD">
        <w:rPr>
          <w:color w:val="000000" w:themeColor="text1"/>
          <w:sz w:val="22"/>
          <w:szCs w:val="22"/>
          <w:lang w:val="en-GB"/>
        </w:rPr>
        <w:t>growth estimation for</w:t>
      </w:r>
      <w:r w:rsidR="009E7BF9" w:rsidRPr="00184CFD">
        <w:rPr>
          <w:color w:val="000000" w:themeColor="text1"/>
          <w:sz w:val="22"/>
          <w:szCs w:val="22"/>
          <w:lang w:val="en-GB"/>
        </w:rPr>
        <w:t xml:space="preserve"> the fourth quarter, we expect</w:t>
      </w:r>
      <w:r>
        <w:rPr>
          <w:color w:val="000000" w:themeColor="text1"/>
          <w:sz w:val="22"/>
          <w:szCs w:val="22"/>
          <w:lang w:val="en-GB"/>
        </w:rPr>
        <w:t xml:space="preserve"> that year</w:t>
      </w:r>
      <w:r w:rsidR="00596A3E">
        <w:rPr>
          <w:color w:val="000000" w:themeColor="text1"/>
          <w:sz w:val="22"/>
          <w:szCs w:val="22"/>
          <w:lang w:val="en-GB"/>
        </w:rPr>
        <w:t>-on-</w:t>
      </w:r>
      <w:r>
        <w:rPr>
          <w:color w:val="000000" w:themeColor="text1"/>
          <w:sz w:val="22"/>
          <w:szCs w:val="22"/>
          <w:lang w:val="en-GB"/>
        </w:rPr>
        <w:t>year GDP growth will</w:t>
      </w:r>
      <w:r w:rsidR="00D16551" w:rsidRPr="00184CFD">
        <w:rPr>
          <w:color w:val="000000" w:themeColor="text1"/>
          <w:sz w:val="22"/>
          <w:szCs w:val="22"/>
          <w:lang w:val="en-GB"/>
        </w:rPr>
        <w:t xml:space="preserve"> be slightly over 4 percent. Moreover, we predict the current account deficit to GDP ratio to be 4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D16551" w:rsidRPr="00184CFD">
        <w:rPr>
          <w:color w:val="000000" w:themeColor="text1"/>
          <w:sz w:val="22"/>
          <w:szCs w:val="22"/>
          <w:lang w:val="en-GB"/>
        </w:rPr>
        <w:t>5 percent.</w:t>
      </w:r>
    </w:p>
    <w:p w:rsidR="00FB0FBD" w:rsidRPr="00184CFD" w:rsidRDefault="00AC3EA9" w:rsidP="00693E0B">
      <w:pPr>
        <w:spacing w:line="360" w:lineRule="auto"/>
        <w:ind w:left="-360" w:right="40"/>
        <w:jc w:val="both"/>
        <w:rPr>
          <w:color w:val="000000" w:themeColor="text1"/>
          <w:sz w:val="22"/>
          <w:szCs w:val="22"/>
          <w:lang w:val="en-GB"/>
        </w:rPr>
      </w:pPr>
      <w:r w:rsidRPr="00184CFD">
        <w:rPr>
          <w:color w:val="000000" w:themeColor="text1"/>
          <w:sz w:val="22"/>
          <w:szCs w:val="22"/>
          <w:lang w:val="en-GB"/>
        </w:rPr>
        <w:t xml:space="preserve">We estimate </w:t>
      </w:r>
      <w:r w:rsidR="000B5E24" w:rsidRPr="00184CFD">
        <w:rPr>
          <w:color w:val="000000" w:themeColor="text1"/>
          <w:sz w:val="22"/>
          <w:szCs w:val="22"/>
          <w:lang w:val="en-GB"/>
        </w:rPr>
        <w:t xml:space="preserve">quarterly </w:t>
      </w:r>
      <w:r w:rsidRPr="00184CFD">
        <w:rPr>
          <w:color w:val="000000" w:themeColor="text1"/>
          <w:sz w:val="22"/>
          <w:szCs w:val="22"/>
          <w:lang w:val="en-GB"/>
        </w:rPr>
        <w:t>growth to be 0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Pr="00184CFD">
        <w:rPr>
          <w:color w:val="000000" w:themeColor="text1"/>
          <w:sz w:val="22"/>
          <w:szCs w:val="22"/>
          <w:lang w:val="en-GB"/>
        </w:rPr>
        <w:t xml:space="preserve">5 for the 1. </w:t>
      </w:r>
      <w:proofErr w:type="gramStart"/>
      <w:r w:rsidRPr="00184CFD">
        <w:rPr>
          <w:color w:val="000000" w:themeColor="text1"/>
          <w:sz w:val="22"/>
          <w:szCs w:val="22"/>
          <w:lang w:val="en-GB"/>
        </w:rPr>
        <w:t>quarter</w:t>
      </w:r>
      <w:proofErr w:type="gramEnd"/>
      <w:r w:rsidRPr="00184CFD">
        <w:rPr>
          <w:color w:val="000000" w:themeColor="text1"/>
          <w:sz w:val="22"/>
          <w:szCs w:val="22"/>
          <w:lang w:val="en-GB"/>
        </w:rPr>
        <w:t xml:space="preserve"> of 2016.</w:t>
      </w:r>
      <w:r w:rsidR="00D9364A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Pr="00184CFD">
        <w:rPr>
          <w:color w:val="000000" w:themeColor="text1"/>
          <w:sz w:val="22"/>
          <w:szCs w:val="22"/>
          <w:lang w:val="en-GB"/>
        </w:rPr>
        <w:t xml:space="preserve">Also, we </w:t>
      </w:r>
      <w:r w:rsidR="000633EE" w:rsidRPr="00184CFD">
        <w:rPr>
          <w:color w:val="000000" w:themeColor="text1"/>
          <w:sz w:val="22"/>
          <w:szCs w:val="22"/>
          <w:lang w:val="en-GB"/>
        </w:rPr>
        <w:t>expect 2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0633EE" w:rsidRPr="00184CFD">
        <w:rPr>
          <w:color w:val="000000" w:themeColor="text1"/>
          <w:sz w:val="22"/>
          <w:szCs w:val="22"/>
          <w:lang w:val="en-GB"/>
        </w:rPr>
        <w:t>3 percent of decline in annual growth due to base effect.</w:t>
      </w:r>
      <w:r w:rsidR="000B5E24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0633EE" w:rsidRPr="00184CFD">
        <w:rPr>
          <w:color w:val="000000" w:themeColor="text1"/>
          <w:sz w:val="22"/>
          <w:szCs w:val="22"/>
          <w:lang w:val="en-GB"/>
        </w:rPr>
        <w:t xml:space="preserve">Leading indicators of January and February point out that the rise in private consumption has </w:t>
      </w:r>
      <w:r w:rsidR="00E135C9" w:rsidRPr="00184CFD">
        <w:rPr>
          <w:color w:val="000000" w:themeColor="text1"/>
          <w:sz w:val="22"/>
          <w:szCs w:val="22"/>
          <w:lang w:val="en-GB"/>
        </w:rPr>
        <w:t>weakened</w:t>
      </w:r>
      <w:r w:rsidR="000633EE" w:rsidRPr="00184CFD">
        <w:rPr>
          <w:color w:val="000000" w:themeColor="text1"/>
          <w:sz w:val="22"/>
          <w:szCs w:val="22"/>
          <w:lang w:val="en-GB"/>
        </w:rPr>
        <w:t>. Also, it is indicated that the relative stagnation of investments persists.</w:t>
      </w:r>
      <w:r w:rsidR="000B5E24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1B69E7" w:rsidRPr="00184CFD">
        <w:rPr>
          <w:color w:val="000000" w:themeColor="text1"/>
          <w:sz w:val="22"/>
          <w:szCs w:val="22"/>
          <w:lang w:val="en-GB"/>
        </w:rPr>
        <w:t>Net exports contribute</w:t>
      </w:r>
      <w:r w:rsidR="000B5E24" w:rsidRPr="00184CFD">
        <w:rPr>
          <w:color w:val="000000" w:themeColor="text1"/>
          <w:sz w:val="22"/>
          <w:szCs w:val="22"/>
          <w:lang w:val="en-GB"/>
        </w:rPr>
        <w:t xml:space="preserve"> negatively whereas public expenditures </w:t>
      </w:r>
      <w:r w:rsidR="00E4243E">
        <w:rPr>
          <w:color w:val="000000" w:themeColor="text1"/>
          <w:sz w:val="22"/>
          <w:szCs w:val="22"/>
          <w:lang w:val="en-GB"/>
        </w:rPr>
        <w:t>contribute positively</w:t>
      </w:r>
      <w:r w:rsidR="000B5E24" w:rsidRPr="00184CFD">
        <w:rPr>
          <w:color w:val="000000" w:themeColor="text1"/>
          <w:sz w:val="22"/>
          <w:szCs w:val="22"/>
          <w:lang w:val="en-GB"/>
        </w:rPr>
        <w:t xml:space="preserve"> to GDP growth. Finally, we expect a decline in </w:t>
      </w:r>
      <w:r w:rsidR="00596A3E">
        <w:rPr>
          <w:color w:val="000000" w:themeColor="text1"/>
          <w:sz w:val="22"/>
          <w:szCs w:val="22"/>
          <w:lang w:val="en-GB"/>
        </w:rPr>
        <w:t xml:space="preserve">the </w:t>
      </w:r>
      <w:r w:rsidR="000B5E24" w:rsidRPr="00184CFD">
        <w:rPr>
          <w:color w:val="000000" w:themeColor="text1"/>
          <w:sz w:val="22"/>
          <w:szCs w:val="22"/>
          <w:lang w:val="en-GB"/>
        </w:rPr>
        <w:t>current account deficit to GDP ratio for the first quarter of 2016.</w:t>
      </w:r>
      <w:r w:rsidR="000633EE" w:rsidRPr="00184CFD">
        <w:rPr>
          <w:color w:val="000000" w:themeColor="text1"/>
          <w:sz w:val="22"/>
          <w:szCs w:val="22"/>
          <w:lang w:val="en-GB"/>
        </w:rPr>
        <w:t xml:space="preserve">  </w:t>
      </w:r>
    </w:p>
    <w:bookmarkEnd w:id="0"/>
    <w:p w:rsidR="00EB408D" w:rsidRPr="00184CFD" w:rsidRDefault="005319AA" w:rsidP="00EB408D">
      <w:pPr>
        <w:spacing w:line="288" w:lineRule="auto"/>
        <w:ind w:right="-318"/>
        <w:jc w:val="both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>
        <w:rPr>
          <w:noProof/>
          <w:color w:val="000000" w:themeColor="text1"/>
        </w:rPr>
        <w:pict>
          <v:line id="Line 11" o:spid="_x0000_s1030" style="position:absolute;left:0;text-align:left;z-index:251666432;visibility:visible" from="-17.25pt,5.35pt" to="18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P5FQIAACs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"/>
        </w:pict>
      </w:r>
      <w:r>
        <w:rPr>
          <w:rFonts w:ascii="Arial" w:hAnsi="Arial" w:cs="Arial"/>
          <w:noProof/>
          <w:color w:val="000000" w:themeColor="text1"/>
          <w:sz w:val="16"/>
          <w:szCs w:val="16"/>
        </w:rPr>
      </w:r>
      <w:r>
        <w:rPr>
          <w:rFonts w:ascii="Arial" w:hAnsi="Arial" w:cs="Arial"/>
          <w:noProof/>
          <w:color w:val="000000" w:themeColor="text1"/>
          <w:sz w:val="16"/>
          <w:szCs w:val="16"/>
        </w:rPr>
        <w:pict>
          <v:group id="Canvas 9" o:spid="_x0000_s1028" editas="canvas" style="width:198pt;height:3.6pt;mso-position-horizontal-relative:char;mso-position-vertical-relative:line" coordsize="25146,4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5146;height:457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5C2DB7" w:rsidRPr="00184CFD" w:rsidRDefault="005C2DB7" w:rsidP="005C2DB7">
      <w:pPr>
        <w:spacing w:line="288" w:lineRule="auto"/>
        <w:ind w:left="-360" w:right="-318"/>
        <w:jc w:val="both"/>
        <w:rPr>
          <w:color w:val="000000" w:themeColor="text1"/>
          <w:sz w:val="16"/>
          <w:szCs w:val="16"/>
          <w:lang w:val="en-GB"/>
        </w:rPr>
      </w:pPr>
      <w:r w:rsidRPr="00184CFD">
        <w:rPr>
          <w:color w:val="000000" w:themeColor="text1"/>
          <w:sz w:val="16"/>
          <w:szCs w:val="16"/>
          <w:lang w:val="en-GB"/>
        </w:rPr>
        <w:t xml:space="preserve">* Prof. Dr. Seyfettin </w:t>
      </w:r>
      <w:proofErr w:type="spellStart"/>
      <w:r w:rsidRPr="00184CFD">
        <w:rPr>
          <w:color w:val="000000" w:themeColor="text1"/>
          <w:sz w:val="16"/>
          <w:szCs w:val="16"/>
          <w:lang w:val="en-GB"/>
        </w:rPr>
        <w:t>Gürsel</w:t>
      </w:r>
      <w:proofErr w:type="spellEnd"/>
      <w:r w:rsidRPr="00184CFD">
        <w:rPr>
          <w:color w:val="000000" w:themeColor="text1"/>
          <w:sz w:val="16"/>
          <w:szCs w:val="16"/>
          <w:lang w:val="en-GB"/>
        </w:rPr>
        <w:t xml:space="preserve">, Betam Director, </w:t>
      </w:r>
    </w:p>
    <w:p w:rsidR="005C2DB7" w:rsidRPr="00184CFD" w:rsidRDefault="005319AA" w:rsidP="005C2DB7">
      <w:pPr>
        <w:spacing w:line="288" w:lineRule="auto"/>
        <w:ind w:left="-360" w:right="-318"/>
        <w:jc w:val="both"/>
        <w:rPr>
          <w:rStyle w:val="Hyperlink"/>
          <w:color w:val="000000" w:themeColor="text1"/>
          <w:lang w:val="en-GB"/>
        </w:rPr>
      </w:pPr>
      <w:hyperlink r:id="rId11" w:history="1">
        <w:r w:rsidR="005C2DB7" w:rsidRPr="00184CFD">
          <w:rPr>
            <w:rStyle w:val="Hyperlink"/>
            <w:color w:val="000000" w:themeColor="text1"/>
            <w:sz w:val="16"/>
            <w:szCs w:val="16"/>
            <w:lang w:val="en-GB"/>
          </w:rPr>
          <w:t>seyfettin.gursel@eas.bahcesehir.edu.tr</w:t>
        </w:r>
      </w:hyperlink>
    </w:p>
    <w:p w:rsidR="005C2DB7" w:rsidRPr="00184CFD" w:rsidRDefault="005C2DB7" w:rsidP="005C2DB7">
      <w:pPr>
        <w:spacing w:line="288" w:lineRule="auto"/>
        <w:ind w:left="-360" w:right="-318"/>
        <w:jc w:val="both"/>
        <w:rPr>
          <w:color w:val="000000" w:themeColor="text1"/>
          <w:sz w:val="16"/>
          <w:szCs w:val="16"/>
          <w:lang w:val="en-GB"/>
        </w:rPr>
      </w:pPr>
      <w:r w:rsidRPr="00184CFD">
        <w:rPr>
          <w:color w:val="000000" w:themeColor="text1"/>
          <w:sz w:val="16"/>
          <w:szCs w:val="16"/>
          <w:lang w:val="en-GB"/>
        </w:rPr>
        <w:t>** Mine Durmaz, Betam, Research Assistant</w:t>
      </w:r>
    </w:p>
    <w:p w:rsidR="005C2DB7" w:rsidRPr="00184CFD" w:rsidRDefault="005319AA" w:rsidP="005C2DB7">
      <w:pPr>
        <w:ind w:left="-360"/>
        <w:rPr>
          <w:color w:val="000000" w:themeColor="text1"/>
          <w:lang w:val="en-GB"/>
        </w:rPr>
      </w:pPr>
      <w:hyperlink r:id="rId12" w:history="1">
        <w:r w:rsidR="005C2DB7" w:rsidRPr="00184CFD">
          <w:rPr>
            <w:rStyle w:val="Hyperlink"/>
            <w:color w:val="000000" w:themeColor="text1"/>
            <w:sz w:val="16"/>
            <w:szCs w:val="16"/>
            <w:lang w:val="en-GB"/>
          </w:rPr>
          <w:t>mine.durmaz@eas.bahcesehir.edu.tr</w:t>
        </w:r>
      </w:hyperlink>
    </w:p>
    <w:p w:rsidR="005C2DB7" w:rsidRPr="00184CFD" w:rsidRDefault="005C2DB7" w:rsidP="005C2DB7">
      <w:pPr>
        <w:ind w:left="-360"/>
        <w:rPr>
          <w:color w:val="000000" w:themeColor="text1"/>
          <w:sz w:val="16"/>
          <w:szCs w:val="16"/>
          <w:lang w:val="en-GB"/>
        </w:rPr>
      </w:pPr>
      <w:r w:rsidRPr="00184CFD">
        <w:rPr>
          <w:color w:val="000000" w:themeColor="text1"/>
          <w:sz w:val="16"/>
          <w:szCs w:val="16"/>
          <w:lang w:val="en-GB"/>
        </w:rPr>
        <w:t xml:space="preserve">***Melike </w:t>
      </w:r>
      <w:proofErr w:type="spellStart"/>
      <w:r w:rsidRPr="00184CFD">
        <w:rPr>
          <w:color w:val="000000" w:themeColor="text1"/>
          <w:sz w:val="16"/>
          <w:szCs w:val="16"/>
          <w:lang w:val="en-GB"/>
        </w:rPr>
        <w:t>Kökkızıl</w:t>
      </w:r>
      <w:proofErr w:type="spellEnd"/>
      <w:r w:rsidRPr="00184CFD">
        <w:rPr>
          <w:color w:val="000000" w:themeColor="text1"/>
          <w:sz w:val="16"/>
          <w:szCs w:val="16"/>
          <w:lang w:val="en-GB"/>
        </w:rPr>
        <w:t>, Betam, Research Assistant</w:t>
      </w:r>
    </w:p>
    <w:p w:rsidR="005C2DB7" w:rsidRPr="00184CFD" w:rsidRDefault="005319AA" w:rsidP="005C2DB7">
      <w:pPr>
        <w:ind w:left="-360"/>
        <w:rPr>
          <w:color w:val="000000" w:themeColor="text1"/>
          <w:sz w:val="16"/>
          <w:szCs w:val="16"/>
          <w:lang w:val="en-GB"/>
        </w:rPr>
      </w:pPr>
      <w:hyperlink r:id="rId13" w:history="1">
        <w:r w:rsidR="005C2DB7" w:rsidRPr="00184CFD">
          <w:rPr>
            <w:rStyle w:val="Hyperlink"/>
            <w:color w:val="000000" w:themeColor="text1"/>
            <w:sz w:val="16"/>
            <w:szCs w:val="16"/>
            <w:lang w:val="en-GB"/>
          </w:rPr>
          <w:t>melike.kokkızıl@eas.bahcsehir.edu.tr</w:t>
        </w:r>
      </w:hyperlink>
    </w:p>
    <w:p w:rsidR="00FB0FBD" w:rsidRPr="00184CFD" w:rsidRDefault="00FB0FBD" w:rsidP="000B100E">
      <w:pPr>
        <w:spacing w:line="360" w:lineRule="auto"/>
        <w:ind w:left="-360" w:right="40"/>
        <w:jc w:val="both"/>
        <w:rPr>
          <w:color w:val="000000" w:themeColor="text1"/>
          <w:sz w:val="22"/>
          <w:szCs w:val="22"/>
          <w:lang w:val="en-GB"/>
        </w:rPr>
      </w:pPr>
    </w:p>
    <w:p w:rsidR="00A00D29" w:rsidRPr="00184CFD" w:rsidRDefault="00A00D29" w:rsidP="001B69E7">
      <w:pPr>
        <w:ind w:right="-71"/>
        <w:outlineLvl w:val="0"/>
        <w:rPr>
          <w:b/>
          <w:bCs/>
          <w:color w:val="000000" w:themeColor="text1"/>
          <w:sz w:val="22"/>
          <w:szCs w:val="22"/>
          <w:lang w:val="en-GB"/>
        </w:rPr>
      </w:pPr>
      <w:proofErr w:type="gramStart"/>
      <w:r w:rsidRPr="00184CFD">
        <w:rPr>
          <w:b/>
          <w:bCs/>
          <w:color w:val="000000" w:themeColor="text1"/>
          <w:sz w:val="22"/>
          <w:szCs w:val="22"/>
          <w:lang w:val="en-GB"/>
        </w:rPr>
        <w:lastRenderedPageBreak/>
        <w:t>Table 1.</w:t>
      </w:r>
      <w:proofErr w:type="gramEnd"/>
      <w:r w:rsidRPr="00184CFD"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84CFD">
        <w:rPr>
          <w:b/>
          <w:bCs/>
          <w:color w:val="000000" w:themeColor="text1"/>
          <w:sz w:val="22"/>
          <w:szCs w:val="22"/>
          <w:lang w:val="en-GB"/>
        </w:rPr>
        <w:t>Betam's</w:t>
      </w:r>
      <w:proofErr w:type="spellEnd"/>
      <w:r w:rsidRPr="00184CFD">
        <w:rPr>
          <w:b/>
          <w:bCs/>
          <w:color w:val="000000" w:themeColor="text1"/>
          <w:sz w:val="22"/>
          <w:szCs w:val="22"/>
          <w:lang w:val="en-GB"/>
        </w:rPr>
        <w:t xml:space="preserve"> quarterly growth rate forecast</w:t>
      </w:r>
    </w:p>
    <w:tbl>
      <w:tblPr>
        <w:tblpPr w:leftFromText="141" w:rightFromText="141" w:vertAnchor="text" w:horzAnchor="margin" w:tblpXSpec="right" w:tblpY="129"/>
        <w:tblW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276"/>
        <w:gridCol w:w="1152"/>
      </w:tblGrid>
      <w:tr w:rsidR="00184CFD" w:rsidRPr="00184CFD" w:rsidTr="00EF4AF8">
        <w:trPr>
          <w:trHeight w:val="842"/>
        </w:trPr>
        <w:tc>
          <w:tcPr>
            <w:tcW w:w="2240" w:type="dxa"/>
            <w:tcMar>
              <w:left w:w="28" w:type="dxa"/>
              <w:right w:w="28" w:type="dxa"/>
            </w:tcMar>
            <w:vAlign w:val="center"/>
          </w:tcPr>
          <w:p w:rsidR="00D13DB7" w:rsidRPr="00184CFD" w:rsidRDefault="00D13DB7" w:rsidP="001763E1">
            <w:pPr>
              <w:ind w:right="42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00D29" w:rsidRPr="00184CFD" w:rsidRDefault="00A00D29" w:rsidP="00A00D29">
            <w:pPr>
              <w:ind w:right="4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2015</w:t>
            </w:r>
          </w:p>
          <w:p w:rsidR="00A00D29" w:rsidRPr="00184CFD" w:rsidRDefault="00A00D29" w:rsidP="00A00D29">
            <w:pPr>
              <w:ind w:right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184CFD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4. Quarter</w:t>
            </w:r>
          </w:p>
          <w:p w:rsidR="00D13DB7" w:rsidRPr="00184CFD" w:rsidRDefault="00A00D29" w:rsidP="00A00D29">
            <w:pPr>
              <w:ind w:right="4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(%)</w:t>
            </w:r>
          </w:p>
        </w:tc>
        <w:tc>
          <w:tcPr>
            <w:tcW w:w="1152" w:type="dxa"/>
          </w:tcPr>
          <w:p w:rsidR="00A00D29" w:rsidRPr="00184CFD" w:rsidRDefault="00A00D29" w:rsidP="006F284C">
            <w:pPr>
              <w:ind w:right="4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2016</w:t>
            </w:r>
          </w:p>
          <w:p w:rsidR="00A00D29" w:rsidRPr="00184CFD" w:rsidRDefault="00A00D29" w:rsidP="006F284C">
            <w:pPr>
              <w:spacing w:line="276" w:lineRule="auto"/>
              <w:ind w:right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184CFD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1.Quarter</w:t>
            </w:r>
          </w:p>
          <w:p w:rsidR="00D13DB7" w:rsidRPr="00184CFD" w:rsidRDefault="00A00D29" w:rsidP="006F284C">
            <w:pPr>
              <w:spacing w:line="276" w:lineRule="auto"/>
              <w:ind w:right="4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(%)</w:t>
            </w:r>
          </w:p>
        </w:tc>
      </w:tr>
      <w:tr w:rsidR="00184CFD" w:rsidRPr="00184CFD" w:rsidTr="00EF4AF8">
        <w:trPr>
          <w:trHeight w:val="659"/>
        </w:trPr>
        <w:tc>
          <w:tcPr>
            <w:tcW w:w="2240" w:type="dxa"/>
            <w:tcMar>
              <w:left w:w="28" w:type="dxa"/>
              <w:right w:w="28" w:type="dxa"/>
            </w:tcMar>
            <w:vAlign w:val="center"/>
          </w:tcPr>
          <w:p w:rsidR="00A00D29" w:rsidRPr="00184CFD" w:rsidRDefault="00A00D29" w:rsidP="00A00D29">
            <w:pPr>
              <w:spacing w:line="360" w:lineRule="auto"/>
              <w:ind w:right="42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b/>
                <w:color w:val="000000" w:themeColor="text1"/>
                <w:sz w:val="20"/>
                <w:szCs w:val="20"/>
                <w:lang w:val="en-GB"/>
              </w:rPr>
              <w:t>Real GDP growth</w:t>
            </w:r>
          </w:p>
          <w:p w:rsidR="00D13DB7" w:rsidRPr="00184CFD" w:rsidRDefault="00A00D29" w:rsidP="00A00D29">
            <w:pPr>
              <w:ind w:right="42"/>
              <w:rPr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color w:val="000000" w:themeColor="text1"/>
                <w:sz w:val="20"/>
                <w:szCs w:val="20"/>
                <w:lang w:val="en-GB"/>
              </w:rPr>
              <w:t xml:space="preserve">(quarter on quarter, </w:t>
            </w:r>
            <w:proofErr w:type="spellStart"/>
            <w:r w:rsidRPr="00184CFD">
              <w:rPr>
                <w:color w:val="000000" w:themeColor="text1"/>
                <w:sz w:val="20"/>
                <w:szCs w:val="20"/>
                <w:lang w:val="en-GB"/>
              </w:rPr>
              <w:t>sa</w:t>
            </w:r>
            <w:proofErr w:type="spellEnd"/>
            <w:r w:rsidRPr="00184CFD">
              <w:rPr>
                <w:color w:val="000000" w:themeColor="text1"/>
                <w:sz w:val="20"/>
                <w:szCs w:val="20"/>
                <w:lang w:val="en-GB"/>
              </w:rPr>
              <w:t>*)</w:t>
            </w:r>
          </w:p>
        </w:tc>
        <w:tc>
          <w:tcPr>
            <w:tcW w:w="1276" w:type="dxa"/>
            <w:vAlign w:val="center"/>
          </w:tcPr>
          <w:p w:rsidR="00D13DB7" w:rsidRPr="00184CFD" w:rsidRDefault="00FB1C6F" w:rsidP="00991315">
            <w:pPr>
              <w:ind w:right="42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</w:t>
            </w:r>
            <w:r w:rsidR="00F81C11" w:rsidRPr="00184CFD"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152" w:type="dxa"/>
          </w:tcPr>
          <w:p w:rsidR="00D13DB7" w:rsidRPr="00184CFD" w:rsidRDefault="00D13DB7" w:rsidP="00991315">
            <w:pPr>
              <w:ind w:right="42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F81C11" w:rsidRPr="00184CFD" w:rsidRDefault="00FB1C6F" w:rsidP="00991315">
            <w:pPr>
              <w:ind w:right="42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0.</w:t>
            </w:r>
            <w:r w:rsidR="00F81C11" w:rsidRPr="00184CFD"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</w:tr>
      <w:tr w:rsidR="00184CFD" w:rsidRPr="00184CFD" w:rsidTr="00F81C11">
        <w:trPr>
          <w:trHeight w:val="498"/>
        </w:trPr>
        <w:tc>
          <w:tcPr>
            <w:tcW w:w="2240" w:type="dxa"/>
            <w:tcMar>
              <w:left w:w="28" w:type="dxa"/>
              <w:right w:w="28" w:type="dxa"/>
            </w:tcMar>
            <w:vAlign w:val="center"/>
          </w:tcPr>
          <w:p w:rsidR="00A00D29" w:rsidRPr="00184CFD" w:rsidRDefault="00A00D29" w:rsidP="00A00D29">
            <w:pPr>
              <w:spacing w:line="360" w:lineRule="auto"/>
              <w:ind w:right="42"/>
              <w:rPr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b/>
                <w:color w:val="000000" w:themeColor="text1"/>
                <w:sz w:val="20"/>
                <w:szCs w:val="20"/>
                <w:lang w:val="en-GB"/>
              </w:rPr>
              <w:t>Current account deficit</w:t>
            </w:r>
          </w:p>
          <w:p w:rsidR="00D13DB7" w:rsidRPr="00184CFD" w:rsidRDefault="00A00D29" w:rsidP="00A00D29">
            <w:pPr>
              <w:ind w:right="40"/>
              <w:rPr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color w:val="000000" w:themeColor="text1"/>
                <w:sz w:val="20"/>
                <w:szCs w:val="20"/>
                <w:lang w:val="en-GB"/>
              </w:rPr>
              <w:t>(% of GDP, annual)</w:t>
            </w:r>
          </w:p>
        </w:tc>
        <w:tc>
          <w:tcPr>
            <w:tcW w:w="1276" w:type="dxa"/>
            <w:vAlign w:val="center"/>
          </w:tcPr>
          <w:p w:rsidR="00D13DB7" w:rsidRPr="00184CFD" w:rsidRDefault="00FB1C6F" w:rsidP="00F81C11">
            <w:pPr>
              <w:ind w:right="4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</w:t>
            </w:r>
            <w:r w:rsidR="00F81C11" w:rsidRPr="00184CFD"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152" w:type="dxa"/>
            <w:vAlign w:val="center"/>
          </w:tcPr>
          <w:p w:rsidR="00F81C11" w:rsidRPr="00184CFD" w:rsidRDefault="00FB1C6F" w:rsidP="00F81C11">
            <w:pPr>
              <w:ind w:right="4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</w:t>
            </w:r>
            <w:r w:rsidR="00F81C11" w:rsidRPr="00184CFD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</w:tr>
      <w:tr w:rsidR="00184CFD" w:rsidRPr="00184CFD" w:rsidTr="00F81C11">
        <w:trPr>
          <w:trHeight w:val="498"/>
        </w:trPr>
        <w:tc>
          <w:tcPr>
            <w:tcW w:w="2240" w:type="dxa"/>
            <w:tcMar>
              <w:left w:w="28" w:type="dxa"/>
              <w:right w:w="28" w:type="dxa"/>
            </w:tcMar>
            <w:vAlign w:val="center"/>
          </w:tcPr>
          <w:p w:rsidR="00A00D29" w:rsidRPr="00184CFD" w:rsidRDefault="00A00D29" w:rsidP="00A00D29">
            <w:pPr>
              <w:ind w:right="4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Gold excluded current </w:t>
            </w:r>
          </w:p>
          <w:p w:rsidR="00D13DB7" w:rsidRPr="00184CFD" w:rsidRDefault="00A00D29" w:rsidP="00A00D29">
            <w:pPr>
              <w:ind w:right="40"/>
              <w:rPr>
                <w:color w:val="000000" w:themeColor="text1"/>
                <w:sz w:val="20"/>
                <w:szCs w:val="20"/>
                <w:lang w:val="en-GB"/>
              </w:rPr>
            </w:pPr>
            <w:r w:rsidRPr="00184CFD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account deficit </w:t>
            </w:r>
            <w:r w:rsidRPr="00184CFD">
              <w:rPr>
                <w:color w:val="000000" w:themeColor="text1"/>
                <w:sz w:val="20"/>
                <w:szCs w:val="20"/>
                <w:lang w:val="en-GB"/>
              </w:rPr>
              <w:t>(% of GDP, annual)</w:t>
            </w:r>
          </w:p>
        </w:tc>
        <w:tc>
          <w:tcPr>
            <w:tcW w:w="1276" w:type="dxa"/>
            <w:vAlign w:val="center"/>
          </w:tcPr>
          <w:p w:rsidR="00D13DB7" w:rsidRPr="00184CFD" w:rsidRDefault="00FB1C6F" w:rsidP="00F81C11">
            <w:pPr>
              <w:ind w:right="4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5.</w:t>
            </w:r>
            <w:r w:rsidR="00F81C11" w:rsidRPr="00184CFD"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52" w:type="dxa"/>
            <w:vAlign w:val="center"/>
          </w:tcPr>
          <w:p w:rsidR="00D13DB7" w:rsidRPr="00184CFD" w:rsidRDefault="00FB1C6F" w:rsidP="00F81C11">
            <w:pPr>
              <w:ind w:right="4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4.</w:t>
            </w:r>
            <w:r w:rsidR="00F81C11" w:rsidRPr="00184CFD"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</w:tbl>
    <w:p w:rsidR="00EB408D" w:rsidRPr="00184CFD" w:rsidRDefault="00EB408D" w:rsidP="00EB408D">
      <w:pPr>
        <w:ind w:left="-360" w:right="40"/>
        <w:rPr>
          <w:color w:val="000000" w:themeColor="text1"/>
          <w:sz w:val="4"/>
          <w:szCs w:val="4"/>
          <w:lang w:val="en-GB"/>
        </w:rPr>
      </w:pPr>
    </w:p>
    <w:p w:rsidR="00F43211" w:rsidRPr="00184CFD" w:rsidRDefault="006F284C" w:rsidP="00EB408D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highlight w:val="yellow"/>
          <w:lang w:val="en-GB"/>
        </w:rPr>
      </w:pPr>
      <w:r w:rsidRPr="00184CFD">
        <w:rPr>
          <w:color w:val="000000" w:themeColor="text1"/>
          <w:sz w:val="18"/>
          <w:szCs w:val="18"/>
          <w:lang w:val="en-GB"/>
        </w:rPr>
        <w:t>Source: Betam.*</w:t>
      </w:r>
      <w:proofErr w:type="gramStart"/>
      <w:r w:rsidRPr="00184CFD">
        <w:rPr>
          <w:color w:val="000000" w:themeColor="text1"/>
          <w:sz w:val="18"/>
          <w:szCs w:val="18"/>
          <w:lang w:val="en-GB"/>
        </w:rPr>
        <w:t>sa</w:t>
      </w:r>
      <w:proofErr w:type="gramEnd"/>
      <w:r w:rsidRPr="00184CFD">
        <w:rPr>
          <w:color w:val="000000" w:themeColor="text1"/>
          <w:sz w:val="18"/>
          <w:szCs w:val="18"/>
          <w:lang w:val="en-GB"/>
        </w:rPr>
        <w:t>: seasonally and calendar day adjusted.</w:t>
      </w:r>
    </w:p>
    <w:p w:rsidR="00681378" w:rsidRDefault="00681378" w:rsidP="00F43211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GB"/>
        </w:rPr>
      </w:pPr>
    </w:p>
    <w:p w:rsidR="00F43211" w:rsidRPr="00184CFD" w:rsidRDefault="009659EE" w:rsidP="00F43211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GB"/>
        </w:rPr>
      </w:pPr>
      <w:r w:rsidRPr="00184CFD">
        <w:rPr>
          <w:b/>
          <w:color w:val="000000" w:themeColor="text1"/>
          <w:sz w:val="22"/>
          <w:szCs w:val="22"/>
          <w:lang w:val="en-GB"/>
        </w:rPr>
        <w:t>Increase in Industrial Production</w:t>
      </w:r>
    </w:p>
    <w:p w:rsidR="009659EE" w:rsidRPr="00184CFD" w:rsidRDefault="009659EE" w:rsidP="00F43211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GB"/>
        </w:rPr>
      </w:pPr>
    </w:p>
    <w:p w:rsidR="00DA21FB" w:rsidRPr="00184CFD" w:rsidRDefault="000B5E24" w:rsidP="003E3D21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  <w:r w:rsidRPr="00184CFD">
        <w:rPr>
          <w:color w:val="000000" w:themeColor="text1"/>
          <w:sz w:val="22"/>
          <w:szCs w:val="22"/>
          <w:lang w:val="en-GB"/>
        </w:rPr>
        <w:t xml:space="preserve">In the pursuit of 0.8 percent increase </w:t>
      </w:r>
      <w:r w:rsidR="00687BC8" w:rsidRPr="00184CFD">
        <w:rPr>
          <w:color w:val="000000" w:themeColor="text1"/>
          <w:sz w:val="22"/>
          <w:szCs w:val="22"/>
          <w:lang w:val="en-GB"/>
        </w:rPr>
        <w:t>in December, Industrial Production I</w:t>
      </w:r>
      <w:r w:rsidR="0003031B">
        <w:rPr>
          <w:color w:val="000000" w:themeColor="text1"/>
          <w:sz w:val="22"/>
          <w:szCs w:val="22"/>
          <w:lang w:val="en-GB"/>
        </w:rPr>
        <w:t>ndex continued to increase by 1.</w:t>
      </w:r>
      <w:r w:rsidR="00687BC8" w:rsidRPr="00184CFD">
        <w:rPr>
          <w:color w:val="000000" w:themeColor="text1"/>
          <w:sz w:val="22"/>
          <w:szCs w:val="22"/>
          <w:lang w:val="en-GB"/>
        </w:rPr>
        <w:t xml:space="preserve">0 percent in January 2016. In the same period, the production of intermediate goods and nondurable </w:t>
      </w:r>
      <w:r w:rsidR="00C725BD" w:rsidRPr="00184CFD">
        <w:rPr>
          <w:color w:val="000000" w:themeColor="text1"/>
          <w:sz w:val="22"/>
          <w:szCs w:val="22"/>
          <w:lang w:val="en-GB"/>
        </w:rPr>
        <w:t xml:space="preserve">consumer </w:t>
      </w:r>
      <w:r w:rsidR="00687BC8" w:rsidRPr="00184CFD">
        <w:rPr>
          <w:color w:val="000000" w:themeColor="text1"/>
          <w:sz w:val="22"/>
          <w:szCs w:val="22"/>
          <w:lang w:val="en-GB"/>
        </w:rPr>
        <w:t xml:space="preserve">goods </w:t>
      </w:r>
      <w:r w:rsidR="0003031B">
        <w:rPr>
          <w:color w:val="000000" w:themeColor="text1"/>
          <w:sz w:val="22"/>
          <w:szCs w:val="22"/>
          <w:lang w:val="en-GB"/>
        </w:rPr>
        <w:t>increased respectively by 0.9 and 4.</w:t>
      </w:r>
      <w:r w:rsidR="00687BC8" w:rsidRPr="00184CFD">
        <w:rPr>
          <w:color w:val="000000" w:themeColor="text1"/>
          <w:sz w:val="22"/>
          <w:szCs w:val="22"/>
          <w:lang w:val="en-GB"/>
        </w:rPr>
        <w:t>3 percent.</w:t>
      </w:r>
      <w:r w:rsidR="00C725BD" w:rsidRPr="00184CFD">
        <w:rPr>
          <w:color w:val="000000" w:themeColor="text1"/>
          <w:sz w:val="22"/>
          <w:szCs w:val="22"/>
          <w:lang w:val="en-GB"/>
        </w:rPr>
        <w:t xml:space="preserve"> The production of investment goods and durable consumer goods declined</w:t>
      </w:r>
      <w:r w:rsidR="0003031B">
        <w:rPr>
          <w:color w:val="000000" w:themeColor="text1"/>
          <w:sz w:val="22"/>
          <w:szCs w:val="22"/>
          <w:lang w:val="en-GB"/>
        </w:rPr>
        <w:t>,</w:t>
      </w:r>
      <w:r w:rsidR="00C725BD" w:rsidRPr="00184CFD">
        <w:rPr>
          <w:color w:val="000000" w:themeColor="text1"/>
          <w:sz w:val="22"/>
          <w:szCs w:val="22"/>
          <w:lang w:val="en-GB"/>
        </w:rPr>
        <w:t xml:space="preserve"> respectively</w:t>
      </w:r>
      <w:r w:rsidR="0003031B">
        <w:rPr>
          <w:color w:val="000000" w:themeColor="text1"/>
          <w:sz w:val="22"/>
          <w:szCs w:val="22"/>
          <w:lang w:val="en-GB"/>
        </w:rPr>
        <w:t>,</w:t>
      </w:r>
      <w:r w:rsidR="00C725BD" w:rsidRPr="00184CFD">
        <w:rPr>
          <w:color w:val="000000" w:themeColor="text1"/>
          <w:sz w:val="22"/>
          <w:szCs w:val="22"/>
          <w:lang w:val="en-GB"/>
        </w:rPr>
        <w:t xml:space="preserve"> by 0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C725BD" w:rsidRPr="00184CFD">
        <w:rPr>
          <w:color w:val="000000" w:themeColor="text1"/>
          <w:sz w:val="22"/>
          <w:szCs w:val="22"/>
          <w:lang w:val="en-GB"/>
        </w:rPr>
        <w:t>4 and 3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C725BD" w:rsidRPr="00184CFD">
        <w:rPr>
          <w:color w:val="000000" w:themeColor="text1"/>
          <w:sz w:val="22"/>
          <w:szCs w:val="22"/>
          <w:lang w:val="en-GB"/>
        </w:rPr>
        <w:t>4 percent.</w:t>
      </w:r>
    </w:p>
    <w:p w:rsidR="00DA21FB" w:rsidRPr="00184CFD" w:rsidRDefault="00DA21FB" w:rsidP="003E3D21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BA3A88" w:rsidRPr="00184CFD" w:rsidRDefault="00E135C9" w:rsidP="00BA3A88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GB"/>
        </w:rPr>
      </w:pPr>
      <w:r w:rsidRPr="00184CFD">
        <w:rPr>
          <w:b/>
          <w:bCs/>
          <w:color w:val="000000" w:themeColor="text1"/>
          <w:sz w:val="22"/>
          <w:szCs w:val="22"/>
          <w:lang w:val="en-GB"/>
        </w:rPr>
        <w:t>Weakening</w:t>
      </w:r>
      <w:r w:rsidR="009659EE" w:rsidRPr="00184CFD">
        <w:rPr>
          <w:b/>
          <w:bCs/>
          <w:color w:val="000000" w:themeColor="text1"/>
          <w:sz w:val="22"/>
          <w:szCs w:val="22"/>
          <w:lang w:val="en-GB"/>
        </w:rPr>
        <w:t xml:space="preserve"> in Private Consumption</w:t>
      </w:r>
    </w:p>
    <w:p w:rsidR="00BA3A88" w:rsidRPr="00184CFD" w:rsidRDefault="00BA3A88" w:rsidP="00BA3A88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GB"/>
        </w:rPr>
      </w:pPr>
    </w:p>
    <w:p w:rsidR="00BA3A88" w:rsidRPr="00184CFD" w:rsidRDefault="001C1C7D" w:rsidP="00E337E7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  <w:r w:rsidRPr="00184CFD">
        <w:rPr>
          <w:color w:val="000000" w:themeColor="text1"/>
          <w:sz w:val="22"/>
          <w:szCs w:val="22"/>
          <w:lang w:val="en-GB"/>
        </w:rPr>
        <w:t>In January,</w:t>
      </w:r>
      <w:r w:rsidR="001B69E7" w:rsidRPr="00184CFD">
        <w:rPr>
          <w:color w:val="000000" w:themeColor="text1"/>
          <w:sz w:val="22"/>
          <w:szCs w:val="22"/>
          <w:lang w:val="en-GB"/>
        </w:rPr>
        <w:t xml:space="preserve"> import of consumer goods and the production of durable goods decreased by</w:t>
      </w:r>
      <w:r w:rsidR="001E7327" w:rsidRPr="00184CFD">
        <w:rPr>
          <w:color w:val="000000" w:themeColor="text1"/>
          <w:sz w:val="22"/>
          <w:szCs w:val="22"/>
          <w:lang w:val="en-GB"/>
        </w:rPr>
        <w:t xml:space="preserve"> respectively</w:t>
      </w:r>
      <w:r w:rsidR="001B69E7" w:rsidRPr="00184CFD">
        <w:rPr>
          <w:color w:val="000000" w:themeColor="text1"/>
          <w:sz w:val="22"/>
          <w:szCs w:val="22"/>
          <w:lang w:val="en-GB"/>
        </w:rPr>
        <w:t xml:space="preserve"> 1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1B69E7" w:rsidRPr="00184CFD">
        <w:rPr>
          <w:color w:val="000000" w:themeColor="text1"/>
          <w:sz w:val="22"/>
          <w:szCs w:val="22"/>
          <w:lang w:val="en-GB"/>
        </w:rPr>
        <w:t>9 and 3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1B69E7" w:rsidRPr="00184CFD">
        <w:rPr>
          <w:color w:val="000000" w:themeColor="text1"/>
          <w:sz w:val="22"/>
          <w:szCs w:val="22"/>
          <w:lang w:val="en-GB"/>
        </w:rPr>
        <w:t>4 percent</w:t>
      </w:r>
      <w:r w:rsidR="001E7327" w:rsidRPr="00184CFD">
        <w:rPr>
          <w:color w:val="000000" w:themeColor="text1"/>
          <w:sz w:val="22"/>
          <w:szCs w:val="22"/>
          <w:lang w:val="en-GB"/>
        </w:rPr>
        <w:t xml:space="preserve"> whereas the production of nondurable consumer</w:t>
      </w:r>
      <w:r w:rsidR="00E4243E">
        <w:rPr>
          <w:color w:val="000000" w:themeColor="text1"/>
          <w:sz w:val="22"/>
          <w:szCs w:val="22"/>
          <w:lang w:val="en-GB"/>
        </w:rPr>
        <w:t xml:space="preserve"> goods increased by 4.3 percent </w:t>
      </w:r>
      <w:r w:rsidR="001E7327" w:rsidRPr="00184CFD">
        <w:rPr>
          <w:color w:val="000000" w:themeColor="text1"/>
          <w:sz w:val="22"/>
          <w:szCs w:val="22"/>
          <w:lang w:val="en-GB"/>
        </w:rPr>
        <w:t xml:space="preserve">(Table 2). </w:t>
      </w:r>
      <w:r w:rsidR="00494DDD">
        <w:rPr>
          <w:color w:val="000000" w:themeColor="text1"/>
          <w:sz w:val="22"/>
          <w:szCs w:val="22"/>
          <w:lang w:val="en-GB"/>
        </w:rPr>
        <w:t>C</w:t>
      </w:r>
      <w:r w:rsidR="00B455B5" w:rsidRPr="00184CFD">
        <w:rPr>
          <w:color w:val="000000" w:themeColor="text1"/>
          <w:sz w:val="22"/>
          <w:szCs w:val="22"/>
          <w:lang w:val="en-GB"/>
        </w:rPr>
        <w:t xml:space="preserve">onsumer confidence index </w:t>
      </w:r>
      <w:r w:rsidR="001E7327" w:rsidRPr="00184CFD">
        <w:rPr>
          <w:color w:val="000000" w:themeColor="text1"/>
          <w:sz w:val="22"/>
          <w:szCs w:val="22"/>
          <w:lang w:val="en-GB"/>
        </w:rPr>
        <w:t>continued to decline both in January and February by 3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1E7327" w:rsidRPr="00184CFD">
        <w:rPr>
          <w:color w:val="000000" w:themeColor="text1"/>
          <w:sz w:val="22"/>
          <w:szCs w:val="22"/>
          <w:lang w:val="en-GB"/>
        </w:rPr>
        <w:t>0 and 7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1E7327" w:rsidRPr="00184CFD">
        <w:rPr>
          <w:color w:val="000000" w:themeColor="text1"/>
          <w:sz w:val="22"/>
          <w:szCs w:val="22"/>
          <w:lang w:val="en-GB"/>
        </w:rPr>
        <w:t xml:space="preserve">7 percent </w:t>
      </w:r>
      <w:r w:rsidR="001E7327" w:rsidRPr="00184CFD">
        <w:rPr>
          <w:color w:val="000000" w:themeColor="text1"/>
          <w:sz w:val="22"/>
          <w:szCs w:val="22"/>
          <w:lang w:val="en-GB"/>
        </w:rPr>
        <w:lastRenderedPageBreak/>
        <w:t>respectively</w:t>
      </w:r>
      <w:r w:rsidR="00494DDD">
        <w:rPr>
          <w:color w:val="000000" w:themeColor="text1"/>
          <w:sz w:val="22"/>
          <w:szCs w:val="22"/>
          <w:lang w:val="en-GB"/>
        </w:rPr>
        <w:t>, following an increase right after t</w:t>
      </w:r>
      <w:r w:rsidR="00494DDD" w:rsidRPr="00184CFD">
        <w:rPr>
          <w:color w:val="000000" w:themeColor="text1"/>
          <w:sz w:val="22"/>
          <w:szCs w:val="22"/>
          <w:lang w:val="en-GB"/>
        </w:rPr>
        <w:t>he election results</w:t>
      </w:r>
      <w:r w:rsidR="001E7327" w:rsidRPr="00184CFD">
        <w:rPr>
          <w:color w:val="000000" w:themeColor="text1"/>
          <w:sz w:val="22"/>
          <w:szCs w:val="22"/>
          <w:lang w:val="en-GB"/>
        </w:rPr>
        <w:t>.</w:t>
      </w:r>
      <w:r w:rsidR="00B455B5" w:rsidRPr="00184CFD">
        <w:rPr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B455B5" w:rsidRPr="00184CFD">
        <w:rPr>
          <w:color w:val="000000" w:themeColor="text1"/>
          <w:sz w:val="22"/>
          <w:szCs w:val="22"/>
          <w:lang w:val="en-GB"/>
        </w:rPr>
        <w:t>Speci</w:t>
      </w:r>
      <w:r w:rsidR="0003031B">
        <w:rPr>
          <w:color w:val="000000" w:themeColor="text1"/>
          <w:sz w:val="22"/>
          <w:szCs w:val="22"/>
          <w:lang w:val="en-GB"/>
        </w:rPr>
        <w:t>al consumer tax which grew by 4.</w:t>
      </w:r>
      <w:r w:rsidR="00B455B5" w:rsidRPr="00184CFD">
        <w:rPr>
          <w:color w:val="000000" w:themeColor="text1"/>
          <w:sz w:val="22"/>
          <w:szCs w:val="22"/>
          <w:lang w:val="en-GB"/>
        </w:rPr>
        <w:t>3 perc</w:t>
      </w:r>
      <w:r w:rsidR="0003031B">
        <w:rPr>
          <w:color w:val="000000" w:themeColor="text1"/>
          <w:sz w:val="22"/>
          <w:szCs w:val="22"/>
          <w:lang w:val="en-GB"/>
        </w:rPr>
        <w:t>ent in January, decreased by 11.</w:t>
      </w:r>
      <w:r w:rsidR="00B455B5" w:rsidRPr="00184CFD">
        <w:rPr>
          <w:color w:val="000000" w:themeColor="text1"/>
          <w:sz w:val="22"/>
          <w:szCs w:val="22"/>
          <w:lang w:val="en-GB"/>
        </w:rPr>
        <w:t>7</w:t>
      </w:r>
      <w:r w:rsidR="00BA3A88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B455B5" w:rsidRPr="00184CFD">
        <w:rPr>
          <w:color w:val="000000" w:themeColor="text1"/>
          <w:sz w:val="22"/>
          <w:szCs w:val="22"/>
          <w:lang w:val="en-GB"/>
        </w:rPr>
        <w:t xml:space="preserve">percent in </w:t>
      </w:r>
      <w:r w:rsidR="00184CFD" w:rsidRPr="00184CFD">
        <w:rPr>
          <w:color w:val="000000" w:themeColor="text1"/>
          <w:sz w:val="22"/>
          <w:szCs w:val="22"/>
          <w:lang w:val="en-GB"/>
        </w:rPr>
        <w:t>February.</w:t>
      </w:r>
      <w:proofErr w:type="gramEnd"/>
      <w:r w:rsidR="00184CFD" w:rsidRPr="00184CFD">
        <w:rPr>
          <w:color w:val="000000" w:themeColor="text1"/>
          <w:sz w:val="22"/>
          <w:szCs w:val="22"/>
          <w:lang w:val="en-GB"/>
        </w:rPr>
        <w:t xml:space="preserve"> In addition to that, </w:t>
      </w:r>
      <w:r w:rsidR="00B455B5" w:rsidRPr="00184CFD">
        <w:rPr>
          <w:color w:val="000000" w:themeColor="text1"/>
          <w:sz w:val="22"/>
          <w:szCs w:val="22"/>
          <w:lang w:val="en-GB"/>
        </w:rPr>
        <w:t>we calculate</w:t>
      </w:r>
      <w:r w:rsidR="00E4243E">
        <w:rPr>
          <w:color w:val="000000" w:themeColor="text1"/>
          <w:sz w:val="22"/>
          <w:szCs w:val="22"/>
          <w:lang w:val="en-GB"/>
        </w:rPr>
        <w:t xml:space="preserve"> the</w:t>
      </w:r>
      <w:r w:rsidR="00B455B5" w:rsidRPr="00184CFD">
        <w:rPr>
          <w:color w:val="000000" w:themeColor="text1"/>
          <w:sz w:val="22"/>
          <w:szCs w:val="22"/>
          <w:lang w:val="en-GB"/>
        </w:rPr>
        <w:t xml:space="preserve"> q</w:t>
      </w:r>
      <w:r w:rsidR="0003031B">
        <w:rPr>
          <w:color w:val="000000" w:themeColor="text1"/>
          <w:sz w:val="22"/>
          <w:szCs w:val="22"/>
          <w:lang w:val="en-GB"/>
        </w:rPr>
        <w:t>uarter on quarter increase as 1.</w:t>
      </w:r>
      <w:r w:rsidR="00B455B5" w:rsidRPr="00184CFD">
        <w:rPr>
          <w:color w:val="000000" w:themeColor="text1"/>
          <w:sz w:val="22"/>
          <w:szCs w:val="22"/>
          <w:lang w:val="en-GB"/>
        </w:rPr>
        <w:t xml:space="preserve">4 percent in </w:t>
      </w:r>
      <w:r w:rsidR="0003031B" w:rsidRPr="00184CFD">
        <w:rPr>
          <w:color w:val="000000" w:themeColor="text1"/>
          <w:sz w:val="22"/>
          <w:szCs w:val="22"/>
          <w:lang w:val="en-GB"/>
        </w:rPr>
        <w:t>this component</w:t>
      </w:r>
      <w:r w:rsidR="00B455B5" w:rsidRPr="00184CFD">
        <w:rPr>
          <w:color w:val="000000" w:themeColor="text1"/>
          <w:sz w:val="22"/>
          <w:szCs w:val="22"/>
          <w:lang w:val="en-GB"/>
        </w:rPr>
        <w:t xml:space="preserve">. </w:t>
      </w:r>
      <w:r w:rsidR="005A4EAB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B455B5" w:rsidRPr="00184CFD">
        <w:rPr>
          <w:color w:val="000000" w:themeColor="text1"/>
          <w:sz w:val="22"/>
          <w:szCs w:val="22"/>
          <w:lang w:val="en-GB"/>
        </w:rPr>
        <w:t xml:space="preserve">On the other hand, </w:t>
      </w:r>
      <w:r w:rsidR="00184CFD" w:rsidRPr="00184CFD">
        <w:rPr>
          <w:color w:val="000000" w:themeColor="text1"/>
          <w:sz w:val="22"/>
          <w:szCs w:val="22"/>
          <w:lang w:val="en-GB"/>
        </w:rPr>
        <w:t>production</w:t>
      </w:r>
      <w:r w:rsidR="00A96213" w:rsidRPr="00184CFD">
        <w:rPr>
          <w:color w:val="000000" w:themeColor="text1"/>
          <w:sz w:val="22"/>
          <w:szCs w:val="22"/>
          <w:lang w:val="en-GB"/>
        </w:rPr>
        <w:t xml:space="preserve"> of passenger cars that recorded a sharp decline in January</w:t>
      </w:r>
      <w:r w:rsidR="0003031B">
        <w:rPr>
          <w:color w:val="000000" w:themeColor="text1"/>
          <w:sz w:val="22"/>
          <w:szCs w:val="22"/>
          <w:lang w:val="en-GB"/>
        </w:rPr>
        <w:t xml:space="preserve"> by 8.8 percent, increased by 3.</w:t>
      </w:r>
      <w:r w:rsidR="00A96213" w:rsidRPr="00184CFD">
        <w:rPr>
          <w:color w:val="000000" w:themeColor="text1"/>
          <w:sz w:val="22"/>
          <w:szCs w:val="22"/>
          <w:lang w:val="en-GB"/>
        </w:rPr>
        <w:t>7 percent in February. In this component we measure the quarter</w:t>
      </w:r>
      <w:r w:rsidR="0003031B">
        <w:rPr>
          <w:color w:val="000000" w:themeColor="text1"/>
          <w:sz w:val="22"/>
          <w:szCs w:val="22"/>
          <w:lang w:val="en-GB"/>
        </w:rPr>
        <w:t>-</w:t>
      </w:r>
      <w:r w:rsidR="00A96213" w:rsidRPr="00184CFD">
        <w:rPr>
          <w:color w:val="000000" w:themeColor="text1"/>
          <w:sz w:val="22"/>
          <w:szCs w:val="22"/>
          <w:lang w:val="en-GB"/>
        </w:rPr>
        <w:t>on</w:t>
      </w:r>
      <w:r w:rsidR="0003031B">
        <w:rPr>
          <w:color w:val="000000" w:themeColor="text1"/>
          <w:sz w:val="22"/>
          <w:szCs w:val="22"/>
          <w:lang w:val="en-GB"/>
        </w:rPr>
        <w:t>-</w:t>
      </w:r>
      <w:r w:rsidR="00A96213" w:rsidRPr="00184CFD">
        <w:rPr>
          <w:color w:val="000000" w:themeColor="text1"/>
          <w:sz w:val="22"/>
          <w:szCs w:val="22"/>
          <w:lang w:val="en-GB"/>
        </w:rPr>
        <w:t>quarter change as minus 4 percent (Table 2). In the light of above-mentioned indicators, we expect a limited increase in private consumptions from the 4th quarter of 2015 to 1st quarter of 2016.</w:t>
      </w:r>
    </w:p>
    <w:p w:rsidR="00307494" w:rsidRPr="00184CFD" w:rsidRDefault="00307494" w:rsidP="004403F0">
      <w:pPr>
        <w:spacing w:line="360" w:lineRule="auto"/>
        <w:ind w:left="-360" w:right="42"/>
        <w:rPr>
          <w:b/>
          <w:bCs/>
          <w:color w:val="000000" w:themeColor="text1"/>
          <w:sz w:val="22"/>
          <w:szCs w:val="22"/>
          <w:highlight w:val="yellow"/>
          <w:lang w:val="en-GB"/>
        </w:rPr>
      </w:pPr>
    </w:p>
    <w:p w:rsidR="005C2DB7" w:rsidRPr="00184CFD" w:rsidRDefault="005C2DB7" w:rsidP="005C2DB7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GB"/>
        </w:rPr>
      </w:pPr>
      <w:r w:rsidRPr="00184CFD">
        <w:rPr>
          <w:b/>
          <w:color w:val="000000" w:themeColor="text1"/>
          <w:sz w:val="22"/>
          <w:szCs w:val="22"/>
          <w:lang w:val="en-GB"/>
        </w:rPr>
        <w:t>Negative contribution of net export</w:t>
      </w:r>
    </w:p>
    <w:p w:rsidR="00BA3A88" w:rsidRPr="00184CFD" w:rsidRDefault="00BA3A88" w:rsidP="00BA3A88">
      <w:pPr>
        <w:spacing w:line="360" w:lineRule="auto"/>
        <w:ind w:left="-360" w:right="42"/>
        <w:jc w:val="center"/>
        <w:rPr>
          <w:color w:val="000000" w:themeColor="text1"/>
          <w:sz w:val="22"/>
          <w:szCs w:val="22"/>
          <w:lang w:val="en-GB"/>
        </w:rPr>
      </w:pPr>
    </w:p>
    <w:p w:rsidR="00BA3A88" w:rsidRPr="00184CFD" w:rsidRDefault="00A96213" w:rsidP="00BA3A88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  <w:r w:rsidRPr="00184CFD">
        <w:rPr>
          <w:color w:val="000000" w:themeColor="text1"/>
          <w:sz w:val="22"/>
          <w:szCs w:val="22"/>
          <w:lang w:val="en-GB"/>
        </w:rPr>
        <w:t xml:space="preserve">Foreign trade progress in January points out a </w:t>
      </w:r>
      <w:r w:rsidR="00184CFD" w:rsidRPr="00184CFD">
        <w:rPr>
          <w:color w:val="000000" w:themeColor="text1"/>
          <w:sz w:val="22"/>
          <w:szCs w:val="22"/>
          <w:lang w:val="en-GB"/>
        </w:rPr>
        <w:t>limited negative</w:t>
      </w:r>
      <w:r w:rsidRPr="00184CFD">
        <w:rPr>
          <w:color w:val="000000" w:themeColor="text1"/>
          <w:sz w:val="22"/>
          <w:szCs w:val="22"/>
          <w:lang w:val="en-GB"/>
        </w:rPr>
        <w:t xml:space="preserve"> contribution of n</w:t>
      </w:r>
      <w:r w:rsidR="00184CFD" w:rsidRPr="00184CFD">
        <w:rPr>
          <w:color w:val="000000" w:themeColor="text1"/>
          <w:sz w:val="22"/>
          <w:szCs w:val="22"/>
          <w:lang w:val="en-GB"/>
        </w:rPr>
        <w:t>et</w:t>
      </w:r>
      <w:r w:rsidRPr="00184CFD">
        <w:rPr>
          <w:color w:val="000000" w:themeColor="text1"/>
          <w:sz w:val="22"/>
          <w:szCs w:val="22"/>
          <w:lang w:val="en-GB"/>
        </w:rPr>
        <w:t xml:space="preserve"> export to th</w:t>
      </w:r>
      <w:r w:rsidR="00E4243E">
        <w:rPr>
          <w:color w:val="000000" w:themeColor="text1"/>
          <w:sz w:val="22"/>
          <w:szCs w:val="22"/>
          <w:lang w:val="en-GB"/>
        </w:rPr>
        <w:t xml:space="preserve">e growth rate. We calculate </w:t>
      </w:r>
      <w:r w:rsidRPr="00184CFD">
        <w:rPr>
          <w:color w:val="000000" w:themeColor="text1"/>
          <w:sz w:val="22"/>
          <w:szCs w:val="22"/>
          <w:lang w:val="en-GB"/>
        </w:rPr>
        <w:t>quarterly cha</w:t>
      </w:r>
      <w:r w:rsidR="00184CFD" w:rsidRPr="00184CFD">
        <w:rPr>
          <w:color w:val="000000" w:themeColor="text1"/>
          <w:sz w:val="22"/>
          <w:szCs w:val="22"/>
          <w:lang w:val="en-GB"/>
        </w:rPr>
        <w:t xml:space="preserve">nge of gold-excluded export as </w:t>
      </w:r>
      <w:r w:rsidR="0003031B">
        <w:rPr>
          <w:color w:val="000000" w:themeColor="text1"/>
          <w:sz w:val="22"/>
          <w:szCs w:val="22"/>
          <w:lang w:val="en-GB"/>
        </w:rPr>
        <w:t>minus 2.</w:t>
      </w:r>
      <w:r w:rsidRPr="00184CFD">
        <w:rPr>
          <w:color w:val="000000" w:themeColor="text1"/>
          <w:sz w:val="22"/>
          <w:szCs w:val="22"/>
          <w:lang w:val="en-GB"/>
        </w:rPr>
        <w:t>5 and gold-excluded import as minus 1 (Table 2).</w:t>
      </w:r>
      <w:r w:rsidR="0064070D" w:rsidRPr="00184CFD">
        <w:rPr>
          <w:color w:val="000000" w:themeColor="text1"/>
          <w:sz w:val="22"/>
          <w:szCs w:val="22"/>
          <w:lang w:val="en-GB"/>
        </w:rPr>
        <w:t xml:space="preserve"> </w:t>
      </w:r>
    </w:p>
    <w:p w:rsidR="00BA3A88" w:rsidRPr="00184CFD" w:rsidRDefault="00BA3A88" w:rsidP="00307494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GB"/>
        </w:rPr>
      </w:pPr>
    </w:p>
    <w:p w:rsidR="00307494" w:rsidRPr="00184CFD" w:rsidRDefault="005C2DB7" w:rsidP="00307494">
      <w:pPr>
        <w:spacing w:line="360" w:lineRule="auto"/>
        <w:ind w:left="-360" w:right="42"/>
        <w:jc w:val="center"/>
        <w:rPr>
          <w:b/>
          <w:bCs/>
          <w:color w:val="000000" w:themeColor="text1"/>
          <w:sz w:val="22"/>
          <w:szCs w:val="22"/>
          <w:lang w:val="en-GB"/>
        </w:rPr>
      </w:pPr>
      <w:r w:rsidRPr="00184CFD">
        <w:rPr>
          <w:b/>
          <w:bCs/>
          <w:color w:val="000000" w:themeColor="text1"/>
          <w:sz w:val="22"/>
          <w:szCs w:val="22"/>
          <w:lang w:val="en-GB"/>
        </w:rPr>
        <w:t>Stagnation persists in private investments</w:t>
      </w:r>
    </w:p>
    <w:p w:rsidR="001C1C7D" w:rsidRPr="00184CFD" w:rsidRDefault="001C1C7D" w:rsidP="0033675F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8558C2" w:rsidRPr="00184CFD" w:rsidRDefault="001C1C7D" w:rsidP="0033675F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  <w:r w:rsidRPr="00184CFD">
        <w:rPr>
          <w:color w:val="000000" w:themeColor="text1"/>
          <w:sz w:val="22"/>
          <w:szCs w:val="22"/>
          <w:lang w:val="en-GB"/>
        </w:rPr>
        <w:t>Following fluctuation</w:t>
      </w:r>
      <w:r w:rsidR="00E4243E">
        <w:rPr>
          <w:color w:val="000000" w:themeColor="text1"/>
          <w:sz w:val="22"/>
          <w:szCs w:val="22"/>
          <w:lang w:val="en-GB"/>
        </w:rPr>
        <w:t>s</w:t>
      </w:r>
      <w:r w:rsidRPr="00184CFD">
        <w:rPr>
          <w:color w:val="000000" w:themeColor="text1"/>
          <w:sz w:val="22"/>
          <w:szCs w:val="22"/>
          <w:lang w:val="en-GB"/>
        </w:rPr>
        <w:t xml:space="preserve"> of investment indicators during the fourth quarter of 2015, reverse progress of private investments also persists in the first quarter of 2016. </w:t>
      </w:r>
      <w:r w:rsidR="00E4243E">
        <w:rPr>
          <w:color w:val="000000" w:themeColor="text1"/>
          <w:sz w:val="22"/>
          <w:szCs w:val="22"/>
          <w:lang w:val="en-GB"/>
        </w:rPr>
        <w:t xml:space="preserve">Even though production of </w:t>
      </w:r>
      <w:r w:rsidR="0003031B">
        <w:rPr>
          <w:color w:val="000000" w:themeColor="text1"/>
          <w:sz w:val="22"/>
          <w:szCs w:val="22"/>
          <w:lang w:val="en-GB"/>
        </w:rPr>
        <w:t>investment goods increased by 6.</w:t>
      </w:r>
      <w:r w:rsidR="00E4243E">
        <w:rPr>
          <w:color w:val="000000" w:themeColor="text1"/>
          <w:sz w:val="22"/>
          <w:szCs w:val="22"/>
          <w:lang w:val="en-GB"/>
        </w:rPr>
        <w:t>7 pe</w:t>
      </w:r>
      <w:r w:rsidR="0003031B">
        <w:rPr>
          <w:color w:val="000000" w:themeColor="text1"/>
          <w:sz w:val="22"/>
          <w:szCs w:val="22"/>
          <w:lang w:val="en-GB"/>
        </w:rPr>
        <w:t>rcent in January, it recorded 0.</w:t>
      </w:r>
      <w:r w:rsidR="00E4243E">
        <w:rPr>
          <w:color w:val="000000" w:themeColor="text1"/>
          <w:sz w:val="22"/>
          <w:szCs w:val="22"/>
          <w:lang w:val="en-GB"/>
        </w:rPr>
        <w:t>4 percent decline in February.</w:t>
      </w:r>
      <w:r w:rsidR="00696ABF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Pr="00184CFD">
        <w:rPr>
          <w:color w:val="000000" w:themeColor="text1"/>
          <w:sz w:val="22"/>
          <w:szCs w:val="22"/>
          <w:lang w:val="en-GB"/>
        </w:rPr>
        <w:t xml:space="preserve">Besides, real sector </w:t>
      </w:r>
      <w:r w:rsidR="0003031B">
        <w:rPr>
          <w:color w:val="000000" w:themeColor="text1"/>
          <w:sz w:val="22"/>
          <w:szCs w:val="22"/>
          <w:lang w:val="en-GB"/>
        </w:rPr>
        <w:t>confidence index decreased by 0.</w:t>
      </w:r>
      <w:r w:rsidRPr="00184CFD">
        <w:rPr>
          <w:color w:val="000000" w:themeColor="text1"/>
          <w:sz w:val="22"/>
          <w:szCs w:val="22"/>
          <w:lang w:val="en-GB"/>
        </w:rPr>
        <w:t xml:space="preserve">7 percent in February </w:t>
      </w:r>
      <w:r w:rsidR="00E4243E">
        <w:rPr>
          <w:color w:val="000000" w:themeColor="text1"/>
          <w:sz w:val="22"/>
          <w:szCs w:val="22"/>
          <w:lang w:val="en-GB"/>
        </w:rPr>
        <w:t>although</w:t>
      </w:r>
      <w:r w:rsidRPr="00184CFD">
        <w:rPr>
          <w:color w:val="000000" w:themeColor="text1"/>
          <w:sz w:val="22"/>
          <w:szCs w:val="22"/>
          <w:lang w:val="en-GB"/>
        </w:rPr>
        <w:t xml:space="preserve"> it ha</w:t>
      </w:r>
      <w:r w:rsidR="0003031B">
        <w:rPr>
          <w:color w:val="000000" w:themeColor="text1"/>
          <w:sz w:val="22"/>
          <w:szCs w:val="22"/>
          <w:lang w:val="en-GB"/>
        </w:rPr>
        <w:t>d increased by 2.</w:t>
      </w:r>
      <w:r w:rsidR="00E135C9" w:rsidRPr="00184CFD">
        <w:rPr>
          <w:color w:val="000000" w:themeColor="text1"/>
          <w:sz w:val="22"/>
          <w:szCs w:val="22"/>
          <w:lang w:val="en-GB"/>
        </w:rPr>
        <w:t>7 percent in January.</w:t>
      </w:r>
      <w:r w:rsidR="00987429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E135C9" w:rsidRPr="00184CFD">
        <w:rPr>
          <w:color w:val="000000" w:themeColor="text1"/>
          <w:sz w:val="22"/>
          <w:szCs w:val="22"/>
          <w:lang w:val="en-GB"/>
        </w:rPr>
        <w:t xml:space="preserve">In terms of production of commercial vehicles, we observe </w:t>
      </w:r>
      <w:r w:rsidR="00E135C9" w:rsidRPr="00184CFD">
        <w:rPr>
          <w:color w:val="000000" w:themeColor="text1"/>
          <w:sz w:val="22"/>
          <w:szCs w:val="22"/>
          <w:lang w:val="en-GB"/>
        </w:rPr>
        <w:lastRenderedPageBreak/>
        <w:t>a sharp decline in January and a recovery in February. Considering this component, we calculate a remarkable decline by 12</w:t>
      </w:r>
      <w:r w:rsidR="0003031B">
        <w:rPr>
          <w:color w:val="000000" w:themeColor="text1"/>
          <w:sz w:val="22"/>
          <w:szCs w:val="22"/>
          <w:lang w:val="en-GB"/>
        </w:rPr>
        <w:t xml:space="preserve"> </w:t>
      </w:r>
      <w:r w:rsidR="00E135C9" w:rsidRPr="00184CFD">
        <w:rPr>
          <w:color w:val="000000" w:themeColor="text1"/>
          <w:sz w:val="22"/>
          <w:szCs w:val="22"/>
          <w:lang w:val="en-GB"/>
        </w:rPr>
        <w:t>percent compared to the previous quarter.</w:t>
      </w:r>
      <w:r w:rsidR="00987429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B92002" w:rsidRPr="00184CFD">
        <w:rPr>
          <w:color w:val="000000" w:themeColor="text1"/>
          <w:sz w:val="22"/>
          <w:szCs w:val="22"/>
          <w:lang w:val="en-GB"/>
        </w:rPr>
        <w:t xml:space="preserve">As a result of mostly shrinking indicators, we predict that private investments will </w:t>
      </w:r>
      <w:r w:rsidR="00184CFD" w:rsidRPr="00184CFD">
        <w:rPr>
          <w:color w:val="000000" w:themeColor="text1"/>
          <w:sz w:val="22"/>
          <w:szCs w:val="22"/>
          <w:lang w:val="en-GB"/>
        </w:rPr>
        <w:t>negatively</w:t>
      </w:r>
      <w:r w:rsidR="00B92002" w:rsidRPr="00184CFD">
        <w:rPr>
          <w:color w:val="000000" w:themeColor="text1"/>
          <w:sz w:val="22"/>
          <w:szCs w:val="22"/>
          <w:lang w:val="en-GB"/>
        </w:rPr>
        <w:t xml:space="preserve"> contribute to first quarter GDP growth forecast.</w:t>
      </w:r>
    </w:p>
    <w:p w:rsidR="004A4431" w:rsidRPr="00184CFD" w:rsidRDefault="008558C2" w:rsidP="001510B5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  <w:r w:rsidRPr="00184CFD">
        <w:rPr>
          <w:color w:val="000000" w:themeColor="text1"/>
          <w:sz w:val="22"/>
          <w:szCs w:val="22"/>
          <w:lang w:val="en-GB"/>
        </w:rPr>
        <w:t xml:space="preserve"> </w:t>
      </w:r>
    </w:p>
    <w:p w:rsidR="00A70678" w:rsidRPr="00184CFD" w:rsidRDefault="005C2DB7" w:rsidP="008558C2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GB"/>
        </w:rPr>
      </w:pPr>
      <w:r w:rsidRPr="00184CFD">
        <w:rPr>
          <w:b/>
          <w:color w:val="000000" w:themeColor="text1"/>
          <w:sz w:val="22"/>
          <w:szCs w:val="22"/>
          <w:lang w:val="en-GB"/>
        </w:rPr>
        <w:t>Contribution of public expenditures continues</w:t>
      </w:r>
    </w:p>
    <w:p w:rsidR="005C2DB7" w:rsidRPr="00184CFD" w:rsidRDefault="005C2DB7" w:rsidP="008558C2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GB"/>
        </w:rPr>
      </w:pPr>
    </w:p>
    <w:p w:rsidR="00917FE8" w:rsidRPr="00184CFD" w:rsidRDefault="00076F3D" w:rsidP="00F43211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  <w:r w:rsidRPr="00184CFD">
        <w:rPr>
          <w:color w:val="000000" w:themeColor="text1"/>
          <w:sz w:val="22"/>
          <w:szCs w:val="22"/>
          <w:lang w:val="en-GB"/>
        </w:rPr>
        <w:t>After the limited increase by 0.2 percent in January, we observe a revi</w:t>
      </w:r>
      <w:r w:rsidR="0003031B">
        <w:rPr>
          <w:color w:val="000000" w:themeColor="text1"/>
          <w:sz w:val="22"/>
          <w:szCs w:val="22"/>
          <w:lang w:val="en-GB"/>
        </w:rPr>
        <w:t>val in public expenditures by 4.</w:t>
      </w:r>
      <w:r w:rsidRPr="00184CFD">
        <w:rPr>
          <w:color w:val="000000" w:themeColor="text1"/>
          <w:sz w:val="22"/>
          <w:szCs w:val="22"/>
          <w:lang w:val="en-GB"/>
        </w:rPr>
        <w:t>3 percent increase in February. Government expenditures preserve its positive course also in the first quarter of 2016; we calculate its increase as 2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Pr="00184CFD">
        <w:rPr>
          <w:color w:val="000000" w:themeColor="text1"/>
          <w:sz w:val="22"/>
          <w:szCs w:val="22"/>
          <w:lang w:val="en-GB"/>
        </w:rPr>
        <w:t>9 percent.</w:t>
      </w:r>
    </w:p>
    <w:p w:rsidR="00A27CA3" w:rsidRPr="00184CFD" w:rsidRDefault="00A27CA3" w:rsidP="00357DEF">
      <w:pPr>
        <w:spacing w:line="360" w:lineRule="auto"/>
        <w:ind w:right="42"/>
        <w:jc w:val="both"/>
        <w:rPr>
          <w:color w:val="000000" w:themeColor="text1"/>
          <w:sz w:val="22"/>
          <w:szCs w:val="22"/>
          <w:lang w:val="en-GB"/>
        </w:rPr>
      </w:pPr>
    </w:p>
    <w:p w:rsidR="00E17FAA" w:rsidRPr="00184CFD" w:rsidRDefault="00184CFD" w:rsidP="00A87DBD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GB"/>
        </w:rPr>
      </w:pPr>
      <w:r w:rsidRPr="00184CFD">
        <w:rPr>
          <w:b/>
          <w:color w:val="000000" w:themeColor="text1"/>
          <w:sz w:val="22"/>
          <w:szCs w:val="22"/>
          <w:lang w:val="en-GB"/>
        </w:rPr>
        <w:t>Slowdown</w:t>
      </w:r>
      <w:r w:rsidR="005C2DB7" w:rsidRPr="00184CFD">
        <w:rPr>
          <w:b/>
          <w:color w:val="000000" w:themeColor="text1"/>
          <w:sz w:val="22"/>
          <w:szCs w:val="22"/>
          <w:lang w:val="en-GB"/>
        </w:rPr>
        <w:t xml:space="preserve"> in growth performance</w:t>
      </w:r>
    </w:p>
    <w:p w:rsidR="00184CFD" w:rsidRPr="00184CFD" w:rsidRDefault="00184CFD" w:rsidP="00A87DBD">
      <w:pPr>
        <w:spacing w:line="360" w:lineRule="auto"/>
        <w:ind w:left="-360" w:right="42"/>
        <w:jc w:val="center"/>
        <w:rPr>
          <w:b/>
          <w:color w:val="000000" w:themeColor="text1"/>
          <w:sz w:val="22"/>
          <w:szCs w:val="22"/>
          <w:lang w:val="en-GB"/>
        </w:rPr>
      </w:pPr>
    </w:p>
    <w:p w:rsidR="001F1FC1" w:rsidRPr="00184CFD" w:rsidRDefault="008D2811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highlight w:val="yellow"/>
          <w:lang w:val="en-GB"/>
        </w:rPr>
      </w:pPr>
      <w:proofErr w:type="gramStart"/>
      <w:r w:rsidRPr="00184CFD">
        <w:rPr>
          <w:color w:val="000000" w:themeColor="text1"/>
          <w:sz w:val="22"/>
          <w:szCs w:val="22"/>
          <w:lang w:val="en-GB"/>
        </w:rPr>
        <w:t>After obta</w:t>
      </w:r>
      <w:r w:rsidR="00184CFD" w:rsidRPr="00184CFD">
        <w:rPr>
          <w:color w:val="000000" w:themeColor="text1"/>
          <w:sz w:val="22"/>
          <w:szCs w:val="22"/>
          <w:lang w:val="en-GB"/>
        </w:rPr>
        <w:t>i</w:t>
      </w:r>
      <w:r w:rsidRPr="00184CFD">
        <w:rPr>
          <w:color w:val="000000" w:themeColor="text1"/>
          <w:sz w:val="22"/>
          <w:szCs w:val="22"/>
          <w:lang w:val="en-GB"/>
        </w:rPr>
        <w:t>ning relatively high economic growth results in 2015, leading indicators of 2016 point</w:t>
      </w:r>
      <w:r w:rsidR="00184CFD"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Pr="00184CFD">
        <w:rPr>
          <w:color w:val="000000" w:themeColor="text1"/>
          <w:sz w:val="22"/>
          <w:szCs w:val="22"/>
          <w:lang w:val="en-GB"/>
        </w:rPr>
        <w:t>out a weak commencement.</w:t>
      </w:r>
      <w:proofErr w:type="gramEnd"/>
      <w:r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03031B">
        <w:rPr>
          <w:color w:val="000000" w:themeColor="text1"/>
          <w:sz w:val="22"/>
          <w:szCs w:val="22"/>
          <w:lang w:val="en-GB"/>
        </w:rPr>
        <w:t>Using</w:t>
      </w:r>
      <w:r w:rsidRPr="00184CFD">
        <w:rPr>
          <w:color w:val="000000" w:themeColor="text1"/>
          <w:sz w:val="22"/>
          <w:szCs w:val="22"/>
          <w:lang w:val="en-GB"/>
        </w:rPr>
        <w:t xml:space="preserve"> seasonally adjusted GDP series, we revise down our</w:t>
      </w:r>
      <w:r w:rsidR="00BF6F51" w:rsidRPr="00184CFD">
        <w:rPr>
          <w:color w:val="000000" w:themeColor="text1"/>
          <w:sz w:val="22"/>
          <w:szCs w:val="22"/>
          <w:lang w:val="en-GB"/>
        </w:rPr>
        <w:t xml:space="preserve"> first quarter growth rate forecast to 0</w:t>
      </w:r>
      <w:r w:rsidR="0003031B">
        <w:rPr>
          <w:color w:val="000000" w:themeColor="text1"/>
          <w:sz w:val="22"/>
          <w:szCs w:val="22"/>
          <w:lang w:val="en-GB"/>
        </w:rPr>
        <w:t>.</w:t>
      </w:r>
      <w:r w:rsidR="00BF6F51" w:rsidRPr="00184CFD">
        <w:rPr>
          <w:color w:val="000000" w:themeColor="text1"/>
          <w:sz w:val="22"/>
          <w:szCs w:val="22"/>
          <w:lang w:val="en-GB"/>
        </w:rPr>
        <w:t>5 percent</w:t>
      </w:r>
      <w:r w:rsidRPr="00184CFD">
        <w:rPr>
          <w:color w:val="000000" w:themeColor="text1"/>
          <w:sz w:val="22"/>
          <w:szCs w:val="22"/>
          <w:lang w:val="en-GB"/>
        </w:rPr>
        <w:t xml:space="preserve"> </w:t>
      </w:r>
      <w:r w:rsidR="0003031B">
        <w:rPr>
          <w:color w:val="000000" w:themeColor="text1"/>
          <w:sz w:val="22"/>
          <w:szCs w:val="22"/>
          <w:lang w:val="en-GB"/>
        </w:rPr>
        <w:t>which was 1.</w:t>
      </w:r>
      <w:r w:rsidR="00BF6F51" w:rsidRPr="00184CFD">
        <w:rPr>
          <w:color w:val="000000" w:themeColor="text1"/>
          <w:sz w:val="22"/>
          <w:szCs w:val="22"/>
          <w:lang w:val="en-GB"/>
        </w:rPr>
        <w:t xml:space="preserve">5 percent in 2015. Under these circumstances, we expect that annual growth performance </w:t>
      </w:r>
      <w:r w:rsidR="0003031B">
        <w:rPr>
          <w:color w:val="000000" w:themeColor="text1"/>
          <w:sz w:val="22"/>
          <w:szCs w:val="22"/>
          <w:lang w:val="en-GB"/>
        </w:rPr>
        <w:t>will slow down and regress to 2.</w:t>
      </w:r>
      <w:r w:rsidR="00BF6F51" w:rsidRPr="00184CFD">
        <w:rPr>
          <w:color w:val="000000" w:themeColor="text1"/>
          <w:sz w:val="22"/>
          <w:szCs w:val="22"/>
          <w:lang w:val="en-GB"/>
        </w:rPr>
        <w:t>3 percent.</w:t>
      </w:r>
      <w:r w:rsidRPr="00184CFD">
        <w:rPr>
          <w:color w:val="000000" w:themeColor="text1"/>
          <w:sz w:val="22"/>
          <w:szCs w:val="22"/>
          <w:lang w:val="en-GB"/>
        </w:rPr>
        <w:t xml:space="preserve">  </w:t>
      </w:r>
    </w:p>
    <w:p w:rsidR="00A978BD" w:rsidRPr="00184CFD" w:rsidRDefault="00A978BD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F87CB7" w:rsidRPr="00184CFD" w:rsidRDefault="00F87CB7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F87CB7" w:rsidRPr="00184CFD" w:rsidRDefault="00F87CB7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F87CB7" w:rsidRPr="00184CFD" w:rsidRDefault="00F87CB7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F87CB7" w:rsidRPr="00184CFD" w:rsidRDefault="00F87CB7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434AAB" w:rsidRPr="00184CFD" w:rsidRDefault="00434AAB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434AAB" w:rsidRPr="00184CFD" w:rsidRDefault="00434AAB" w:rsidP="00A87DBD">
      <w:pPr>
        <w:spacing w:line="360" w:lineRule="auto"/>
        <w:ind w:left="-360" w:right="42"/>
        <w:jc w:val="both"/>
        <w:rPr>
          <w:color w:val="000000" w:themeColor="text1"/>
          <w:sz w:val="22"/>
          <w:szCs w:val="22"/>
          <w:lang w:val="en-GB"/>
        </w:rPr>
      </w:pPr>
    </w:p>
    <w:p w:rsidR="00FA4290" w:rsidRPr="00A87DBD" w:rsidRDefault="00FA4290" w:rsidP="00A87DBD">
      <w:pPr>
        <w:spacing w:line="360" w:lineRule="auto"/>
        <w:ind w:left="-360" w:right="42"/>
        <w:jc w:val="both"/>
        <w:rPr>
          <w:sz w:val="22"/>
          <w:szCs w:val="22"/>
        </w:rPr>
        <w:sectPr w:rsidR="00FA4290" w:rsidRPr="00A87DBD" w:rsidSect="00D850C9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3E0B" w:rsidRDefault="00693E0B" w:rsidP="00197085">
      <w:pPr>
        <w:spacing w:line="360" w:lineRule="auto"/>
        <w:ind w:right="42"/>
        <w:jc w:val="both"/>
        <w:rPr>
          <w:b/>
          <w:bCs/>
          <w:sz w:val="22"/>
          <w:szCs w:val="22"/>
        </w:rPr>
      </w:pPr>
    </w:p>
    <w:p w:rsidR="00693E0B" w:rsidRDefault="00693E0B" w:rsidP="00197085">
      <w:pPr>
        <w:spacing w:line="360" w:lineRule="auto"/>
        <w:ind w:right="42"/>
        <w:jc w:val="both"/>
        <w:rPr>
          <w:b/>
          <w:bCs/>
          <w:sz w:val="22"/>
          <w:szCs w:val="22"/>
        </w:rPr>
      </w:pPr>
    </w:p>
    <w:p w:rsidR="005C2DB7" w:rsidRDefault="005C2DB7" w:rsidP="006F284C">
      <w:pPr>
        <w:spacing w:line="360" w:lineRule="auto"/>
        <w:ind w:right="42"/>
        <w:jc w:val="both"/>
        <w:rPr>
          <w:b/>
          <w:bCs/>
          <w:sz w:val="22"/>
          <w:szCs w:val="22"/>
          <w:lang w:val="en-US"/>
        </w:rPr>
      </w:pPr>
    </w:p>
    <w:p w:rsidR="006F284C" w:rsidRPr="007170B7" w:rsidRDefault="006F284C" w:rsidP="006F284C">
      <w:pPr>
        <w:spacing w:line="360" w:lineRule="auto"/>
        <w:ind w:right="42"/>
        <w:jc w:val="both"/>
        <w:rPr>
          <w:sz w:val="22"/>
          <w:szCs w:val="22"/>
          <w:lang w:val="en-US"/>
        </w:rPr>
      </w:pPr>
      <w:proofErr w:type="gramStart"/>
      <w:r w:rsidRPr="007170B7">
        <w:rPr>
          <w:b/>
          <w:bCs/>
          <w:sz w:val="22"/>
          <w:szCs w:val="22"/>
          <w:lang w:val="en-US"/>
        </w:rPr>
        <w:t>Table 2.</w:t>
      </w:r>
      <w:proofErr w:type="gramEnd"/>
      <w:r w:rsidRPr="007170B7">
        <w:rPr>
          <w:b/>
          <w:bCs/>
          <w:sz w:val="22"/>
          <w:szCs w:val="22"/>
          <w:lang w:val="en-US"/>
        </w:rPr>
        <w:t xml:space="preserve"> </w:t>
      </w:r>
      <w:r w:rsidRPr="007170B7">
        <w:rPr>
          <w:b/>
          <w:sz w:val="22"/>
          <w:szCs w:val="22"/>
          <w:lang w:val="en-US"/>
        </w:rPr>
        <w:t xml:space="preserve">Monthly and quarterly changes of </w:t>
      </w:r>
      <w:proofErr w:type="spellStart"/>
      <w:r w:rsidRPr="007170B7">
        <w:rPr>
          <w:b/>
          <w:sz w:val="22"/>
          <w:szCs w:val="22"/>
          <w:lang w:val="en-US"/>
        </w:rPr>
        <w:t>Betam’s</w:t>
      </w:r>
      <w:proofErr w:type="spellEnd"/>
      <w:r w:rsidRPr="007170B7">
        <w:rPr>
          <w:b/>
          <w:sz w:val="22"/>
          <w:szCs w:val="22"/>
          <w:lang w:val="en-US"/>
        </w:rPr>
        <w:t xml:space="preserve"> selected indicators (SA)</w:t>
      </w:r>
    </w:p>
    <w:tbl>
      <w:tblPr>
        <w:tblW w:w="9522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1163"/>
        <w:gridCol w:w="1123"/>
        <w:gridCol w:w="1140"/>
        <w:gridCol w:w="1072"/>
        <w:gridCol w:w="959"/>
        <w:gridCol w:w="959"/>
      </w:tblGrid>
      <w:tr w:rsidR="009541EE" w:rsidRPr="00F247C3" w:rsidTr="003202F8">
        <w:trPr>
          <w:trHeight w:val="607"/>
        </w:trPr>
        <w:tc>
          <w:tcPr>
            <w:tcW w:w="3106" w:type="dxa"/>
            <w:vAlign w:val="center"/>
          </w:tcPr>
          <w:p w:rsidR="009541EE" w:rsidRPr="00F247C3" w:rsidRDefault="006F284C" w:rsidP="00E24F8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Indicators</w:t>
            </w:r>
          </w:p>
        </w:tc>
        <w:tc>
          <w:tcPr>
            <w:tcW w:w="1163" w:type="dxa"/>
            <w:vAlign w:val="center"/>
          </w:tcPr>
          <w:p w:rsidR="009541EE" w:rsidRPr="00F247C3" w:rsidRDefault="006F284C" w:rsidP="001337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123" w:type="dxa"/>
            <w:vAlign w:val="center"/>
          </w:tcPr>
          <w:p w:rsidR="009541EE" w:rsidRPr="00F247C3" w:rsidRDefault="006F284C" w:rsidP="001337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140" w:type="dxa"/>
            <w:vAlign w:val="center"/>
          </w:tcPr>
          <w:p w:rsidR="009541EE" w:rsidRPr="00F247C3" w:rsidRDefault="006F284C" w:rsidP="001337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9541EE" w:rsidRPr="00F247C3" w:rsidRDefault="006F284C" w:rsidP="002756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9541EE" w:rsidRPr="00F247C3" w:rsidRDefault="009541EE" w:rsidP="009541EE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F247C3">
              <w:rPr>
                <w:b/>
                <w:bCs/>
                <w:sz w:val="20"/>
                <w:szCs w:val="20"/>
              </w:rPr>
              <w:t xml:space="preserve">2015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6F284C">
              <w:rPr>
                <w:b/>
                <w:bCs/>
                <w:sz w:val="20"/>
                <w:szCs w:val="20"/>
              </w:rPr>
              <w:t>. Quarter</w:t>
            </w:r>
          </w:p>
        </w:tc>
        <w:tc>
          <w:tcPr>
            <w:tcW w:w="959" w:type="dxa"/>
            <w:vAlign w:val="center"/>
          </w:tcPr>
          <w:p w:rsidR="009541EE" w:rsidRPr="00F247C3" w:rsidRDefault="009541EE" w:rsidP="009541EE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F247C3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247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6F284C">
              <w:rPr>
                <w:b/>
                <w:bCs/>
                <w:sz w:val="20"/>
                <w:szCs w:val="20"/>
              </w:rPr>
              <w:t>. Quarter</w:t>
            </w:r>
          </w:p>
        </w:tc>
      </w:tr>
      <w:tr w:rsidR="007F6677" w:rsidRPr="00F247C3" w:rsidTr="003202F8">
        <w:trPr>
          <w:trHeight w:val="370"/>
        </w:trPr>
        <w:tc>
          <w:tcPr>
            <w:tcW w:w="3106" w:type="dxa"/>
            <w:vAlign w:val="center"/>
          </w:tcPr>
          <w:p w:rsidR="007F6677" w:rsidRPr="00F247C3" w:rsidRDefault="006F284C" w:rsidP="00E24F8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Export</w:t>
            </w:r>
            <w:r w:rsidR="007F6677" w:rsidRPr="00F247C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:rsidR="007F6677" w:rsidRPr="00F247C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DE79BA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vAlign w:val="center"/>
          </w:tcPr>
          <w:p w:rsidR="007F6677" w:rsidRPr="00F247C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DE79BA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</w:tcPr>
          <w:p w:rsidR="007F6677" w:rsidRPr="00F247C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DE79BA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7F6677" w:rsidRPr="00F247C3" w:rsidRDefault="007D04F8" w:rsidP="00194572">
            <w:pPr>
              <w:jc w:val="center"/>
              <w:rPr>
                <w:sz w:val="20"/>
                <w:szCs w:val="20"/>
              </w:rPr>
            </w:pPr>
            <w:r w:rsidRPr="00F247C3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7F6677" w:rsidRPr="00F247C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9151E9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7F6677" w:rsidRPr="00F247C3" w:rsidRDefault="00A9700A" w:rsidP="0091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700E7">
              <w:rPr>
                <w:sz w:val="20"/>
                <w:szCs w:val="20"/>
              </w:rPr>
              <w:t>5.</w:t>
            </w:r>
            <w:r w:rsidR="009151E9">
              <w:rPr>
                <w:sz w:val="20"/>
                <w:szCs w:val="20"/>
              </w:rPr>
              <w:t>0</w:t>
            </w:r>
          </w:p>
        </w:tc>
      </w:tr>
      <w:tr w:rsidR="007F6677" w:rsidRPr="00F247C3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7F6677" w:rsidRPr="00F247C3" w:rsidRDefault="006F284C" w:rsidP="00E24F8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C60F02">
              <w:rPr>
                <w:b/>
                <w:bCs/>
                <w:sz w:val="20"/>
                <w:szCs w:val="20"/>
                <w:lang w:val="en-US"/>
              </w:rPr>
              <w:t>Import</w:t>
            </w:r>
            <w:r w:rsidRPr="00F247C3">
              <w:rPr>
                <w:b/>
                <w:bCs/>
                <w:sz w:val="20"/>
                <w:szCs w:val="20"/>
              </w:rPr>
              <w:t xml:space="preserve"> </w:t>
            </w:r>
            <w:r w:rsidR="007F6677" w:rsidRPr="00F247C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7F6677" w:rsidRPr="00F247C3" w:rsidRDefault="00FB1C6F" w:rsidP="00DE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</w:t>
            </w:r>
            <w:r w:rsidR="00DE79BA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7F6677" w:rsidRPr="00F247C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E79BA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7F6677" w:rsidRPr="00F247C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DE79BA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7F6677" w:rsidRPr="00F247C3" w:rsidRDefault="007D04F8" w:rsidP="00194572">
            <w:pPr>
              <w:jc w:val="center"/>
              <w:rPr>
                <w:sz w:val="20"/>
                <w:szCs w:val="20"/>
              </w:rPr>
            </w:pPr>
            <w:r w:rsidRPr="00F247C3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7F6677" w:rsidRPr="00F247C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51E9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7F6677" w:rsidRPr="00F247C3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9151E9">
              <w:rPr>
                <w:sz w:val="20"/>
                <w:szCs w:val="20"/>
              </w:rPr>
              <w:t>8</w:t>
            </w:r>
          </w:p>
        </w:tc>
      </w:tr>
      <w:tr w:rsidR="006F284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6F284C" w:rsidRPr="00C60F02" w:rsidRDefault="006F284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Intermediate goods import*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6F284C" w:rsidRPr="00E74C12" w:rsidRDefault="00FB1C6F" w:rsidP="00300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6F284C" w:rsidRPr="00E74C12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6F284C" w:rsidRPr="00E74C12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F284C" w:rsidRPr="00E74C12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6F284C" w:rsidRPr="00E74C12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6F284C" w:rsidRPr="00E74C12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F284C" w:rsidRPr="00E74C12" w:rsidRDefault="006F284C" w:rsidP="00194572">
            <w:pPr>
              <w:jc w:val="center"/>
              <w:rPr>
                <w:sz w:val="20"/>
                <w:szCs w:val="20"/>
              </w:rPr>
            </w:pPr>
            <w:r w:rsidRPr="00E74C12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F284C" w:rsidRPr="00E74C12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F284C" w:rsidRPr="00E74C12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6F284C" w:rsidRPr="00E74C12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6F284C">
              <w:rPr>
                <w:sz w:val="20"/>
                <w:szCs w:val="20"/>
              </w:rPr>
              <w:t>5</w:t>
            </w:r>
          </w:p>
        </w:tc>
      </w:tr>
      <w:tr w:rsidR="006F284C" w:rsidRPr="00F247C3" w:rsidTr="00E74C12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6F284C" w:rsidRPr="00C60F02" w:rsidRDefault="006F284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Consumer goods import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6F284C" w:rsidRPr="00E74C12" w:rsidRDefault="00FB1C6F" w:rsidP="003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</w:t>
            </w:r>
            <w:r w:rsidR="006F284C" w:rsidRPr="00E74C12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6F284C" w:rsidRPr="00E74C12" w:rsidRDefault="00FB1C6F" w:rsidP="003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F284C" w:rsidRPr="00E74C12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6F284C" w:rsidRPr="00E74C12" w:rsidRDefault="00FB1C6F" w:rsidP="0031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6F284C" w:rsidRPr="00E74C12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F284C" w:rsidRPr="00E74C12" w:rsidRDefault="006F284C" w:rsidP="00194572">
            <w:pPr>
              <w:jc w:val="center"/>
              <w:rPr>
                <w:sz w:val="20"/>
                <w:szCs w:val="20"/>
              </w:rPr>
            </w:pPr>
            <w:r w:rsidRPr="00E74C12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F284C" w:rsidRPr="00E74C12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</w:t>
            </w:r>
            <w:r w:rsidR="006F284C" w:rsidRPr="00E74C12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284C" w:rsidRPr="00E74C12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6F284C" w:rsidRPr="00E74C12">
              <w:rPr>
                <w:sz w:val="20"/>
                <w:szCs w:val="20"/>
              </w:rPr>
              <w:t>6</w:t>
            </w:r>
          </w:p>
        </w:tc>
      </w:tr>
      <w:tr w:rsidR="006F284C" w:rsidRPr="00F247C3" w:rsidTr="00E74C12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6F284C" w:rsidRPr="00C60F02" w:rsidRDefault="006F284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Investment goods import *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6F284C" w:rsidRPr="00E74C12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</w:t>
            </w:r>
            <w:r w:rsidR="006F284C" w:rsidRPr="00E74C12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6F284C" w:rsidRPr="00E74C12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F284C" w:rsidRPr="00E74C12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6F284C" w:rsidRPr="00E74C12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F284C" w:rsidRPr="00E74C12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6F284C" w:rsidRPr="00E74C12" w:rsidRDefault="006F284C" w:rsidP="00194572">
            <w:pPr>
              <w:jc w:val="center"/>
              <w:rPr>
                <w:sz w:val="20"/>
                <w:szCs w:val="20"/>
              </w:rPr>
            </w:pPr>
            <w:r w:rsidRPr="00E74C12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6F284C" w:rsidRPr="00E74C12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</w:t>
            </w:r>
            <w:r w:rsidR="006F284C" w:rsidRPr="00E74C12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6F284C" w:rsidRPr="00E74C12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F284C" w:rsidRPr="00E74C12">
              <w:rPr>
                <w:sz w:val="20"/>
                <w:szCs w:val="20"/>
              </w:rPr>
              <w:t>0</w:t>
            </w:r>
          </w:p>
        </w:tc>
      </w:tr>
      <w:tr w:rsidR="00C57133" w:rsidRPr="00F247C3" w:rsidTr="003202F8">
        <w:trPr>
          <w:trHeight w:val="370"/>
        </w:trPr>
        <w:tc>
          <w:tcPr>
            <w:tcW w:w="3106" w:type="dxa"/>
            <w:vAlign w:val="center"/>
          </w:tcPr>
          <w:p w:rsidR="00C57133" w:rsidRPr="00655756" w:rsidRDefault="00C37F7C" w:rsidP="00E24F8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C60F02">
              <w:rPr>
                <w:b/>
                <w:bCs/>
                <w:sz w:val="20"/>
                <w:szCs w:val="20"/>
                <w:lang w:val="en-US"/>
              </w:rPr>
              <w:t>Exports excluding gold ***</w:t>
            </w:r>
          </w:p>
        </w:tc>
        <w:tc>
          <w:tcPr>
            <w:tcW w:w="1163" w:type="dxa"/>
            <w:vAlign w:val="center"/>
          </w:tcPr>
          <w:p w:rsidR="00C57133" w:rsidRPr="0065575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864CA1" w:rsidRPr="00655756"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vAlign w:val="center"/>
          </w:tcPr>
          <w:p w:rsidR="00C57133" w:rsidRPr="0065575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655756" w:rsidRPr="00655756"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vAlign w:val="center"/>
          </w:tcPr>
          <w:p w:rsidR="00C57133" w:rsidRPr="0065575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655756" w:rsidRPr="00655756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C57133" w:rsidRPr="00655756" w:rsidRDefault="00C57133" w:rsidP="00194572">
            <w:pPr>
              <w:jc w:val="center"/>
              <w:rPr>
                <w:sz w:val="20"/>
                <w:szCs w:val="20"/>
              </w:rPr>
            </w:pPr>
            <w:r w:rsidRPr="00655756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57133" w:rsidRPr="0065575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55756" w:rsidRPr="00655756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 w:rsidR="00C57133" w:rsidRPr="00655756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</w:t>
            </w:r>
            <w:r w:rsidR="00655756" w:rsidRPr="00655756">
              <w:rPr>
                <w:sz w:val="20"/>
                <w:szCs w:val="20"/>
              </w:rPr>
              <w:t>5</w:t>
            </w:r>
          </w:p>
        </w:tc>
      </w:tr>
      <w:tr w:rsidR="00C57133" w:rsidRPr="00F247C3" w:rsidTr="003202F8">
        <w:trPr>
          <w:trHeight w:val="370"/>
        </w:trPr>
        <w:tc>
          <w:tcPr>
            <w:tcW w:w="3106" w:type="dxa"/>
            <w:vAlign w:val="center"/>
          </w:tcPr>
          <w:p w:rsidR="00C57133" w:rsidRPr="00655756" w:rsidRDefault="00C37F7C" w:rsidP="00E24F8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C60F02">
              <w:rPr>
                <w:b/>
                <w:bCs/>
                <w:sz w:val="20"/>
                <w:szCs w:val="20"/>
                <w:lang w:val="en-US"/>
              </w:rPr>
              <w:t>Imports excluding gold ***</w:t>
            </w:r>
          </w:p>
        </w:tc>
        <w:tc>
          <w:tcPr>
            <w:tcW w:w="1163" w:type="dxa"/>
            <w:vAlign w:val="center"/>
          </w:tcPr>
          <w:p w:rsidR="00C57133" w:rsidRPr="0065575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</w:t>
            </w:r>
            <w:r w:rsidR="00655756" w:rsidRPr="00655756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vAlign w:val="center"/>
          </w:tcPr>
          <w:p w:rsidR="00C57133" w:rsidRPr="0065575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55756" w:rsidRPr="00655756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vAlign w:val="center"/>
          </w:tcPr>
          <w:p w:rsidR="00C57133" w:rsidRPr="0065575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655756" w:rsidRPr="00655756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C57133" w:rsidRPr="00655756" w:rsidRDefault="00C57133" w:rsidP="00194572">
            <w:pPr>
              <w:jc w:val="center"/>
              <w:rPr>
                <w:sz w:val="20"/>
                <w:szCs w:val="20"/>
              </w:rPr>
            </w:pPr>
            <w:r w:rsidRPr="00655756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57133" w:rsidRPr="0065575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55756" w:rsidRPr="00655756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vAlign w:val="center"/>
          </w:tcPr>
          <w:p w:rsidR="00C57133" w:rsidRPr="00655756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655756" w:rsidRPr="00655756">
              <w:rPr>
                <w:sz w:val="20"/>
                <w:szCs w:val="20"/>
              </w:rPr>
              <w:t>0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0F02">
              <w:rPr>
                <w:b/>
                <w:bCs/>
                <w:sz w:val="20"/>
                <w:szCs w:val="20"/>
                <w:lang w:val="en-US"/>
              </w:rPr>
              <w:t>Industrial Production Index (IPI) *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37F7C" w:rsidRPr="00CE7C47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E7C47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C37F7C" w:rsidRPr="007C67DB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7C67DB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C37F7C" w:rsidRPr="007C67DB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7F7C" w:rsidRPr="007C67DB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C37F7C" w:rsidRPr="00E203F3" w:rsidRDefault="00C37F7C" w:rsidP="00194572">
            <w:pPr>
              <w:jc w:val="center"/>
              <w:rPr>
                <w:sz w:val="20"/>
                <w:szCs w:val="20"/>
              </w:rPr>
            </w:pPr>
            <w:r w:rsidRPr="00E203F3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C37F7C" w:rsidRPr="00E203F3" w:rsidRDefault="00FB1C6F" w:rsidP="00A13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E203F3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C37F7C" w:rsidRPr="00E203F3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7F7C" w:rsidRPr="00E203F3">
              <w:rPr>
                <w:sz w:val="20"/>
                <w:szCs w:val="20"/>
              </w:rPr>
              <w:t>3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Nondurable consumer goods*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3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3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3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37F7C" w:rsidRPr="00C618E8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C618E8" w:rsidRDefault="00C37F7C" w:rsidP="00194572">
            <w:pPr>
              <w:jc w:val="center"/>
              <w:rPr>
                <w:sz w:val="20"/>
                <w:szCs w:val="20"/>
              </w:rPr>
            </w:pPr>
            <w:r w:rsidRPr="00C618E8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E203F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E203F3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E203F3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37F7C" w:rsidRPr="00E203F3">
              <w:rPr>
                <w:sz w:val="20"/>
                <w:szCs w:val="20"/>
              </w:rPr>
              <w:t>6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Durable consumer goods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</w:t>
            </w:r>
            <w:r w:rsidR="00C37F7C" w:rsidRPr="00C618E8"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37F7C" w:rsidRPr="00C618E8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C37F7C" w:rsidRPr="00C618E8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C618E8" w:rsidRDefault="00C37F7C" w:rsidP="00194572">
            <w:pPr>
              <w:jc w:val="center"/>
              <w:rPr>
                <w:sz w:val="20"/>
                <w:szCs w:val="20"/>
              </w:rPr>
            </w:pPr>
            <w:r w:rsidRPr="00C618E8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E203F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E203F3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E203F3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</w:t>
            </w:r>
            <w:r w:rsidR="00C37F7C" w:rsidRPr="00E203F3">
              <w:rPr>
                <w:sz w:val="20"/>
                <w:szCs w:val="20"/>
              </w:rPr>
              <w:t>3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Intermediate goods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C618E8" w:rsidRDefault="00C37F7C" w:rsidP="00194572">
            <w:pPr>
              <w:jc w:val="center"/>
              <w:rPr>
                <w:sz w:val="20"/>
                <w:szCs w:val="20"/>
              </w:rPr>
            </w:pPr>
            <w:r w:rsidRPr="00C618E8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E203F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7F7C" w:rsidRPr="00E203F3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E203F3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E203F3">
              <w:rPr>
                <w:sz w:val="20"/>
                <w:szCs w:val="20"/>
              </w:rPr>
              <w:t>4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Investment goods *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C37F7C" w:rsidRPr="00C618E8" w:rsidRDefault="00C37F7C" w:rsidP="00194572">
            <w:pPr>
              <w:jc w:val="center"/>
              <w:rPr>
                <w:sz w:val="20"/>
                <w:szCs w:val="20"/>
              </w:rPr>
            </w:pPr>
            <w:r w:rsidRPr="00C618E8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C37F7C" w:rsidRPr="00E203F3" w:rsidRDefault="00FB1C6F" w:rsidP="004E4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7F7C" w:rsidRPr="00E203F3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C37F7C" w:rsidRPr="00E203F3" w:rsidRDefault="00F700E7" w:rsidP="004E4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E203F3">
              <w:rPr>
                <w:sz w:val="20"/>
                <w:szCs w:val="20"/>
              </w:rPr>
              <w:t>5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0F02">
              <w:rPr>
                <w:b/>
                <w:bCs/>
                <w:sz w:val="20"/>
                <w:szCs w:val="20"/>
                <w:lang w:val="en-US"/>
              </w:rPr>
              <w:t>Capacity Utilization Rate (CUR)*</w:t>
            </w:r>
            <w:r w:rsidRPr="00C60F02">
              <w:rPr>
                <w:b/>
                <w:bCs/>
                <w:sz w:val="20"/>
                <w:szCs w:val="20"/>
                <w:vertAlign w:val="superscript"/>
                <w:lang w:val="en-US"/>
              </w:rPr>
              <w:t>, ‡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37F7C" w:rsidRPr="00C618E8" w:rsidRDefault="00FB1C6F" w:rsidP="00FF3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C37F7C" w:rsidRPr="00C618E8" w:rsidRDefault="00FB1C6F" w:rsidP="00FF3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C37F7C" w:rsidRPr="00C618E8" w:rsidRDefault="00FB1C6F" w:rsidP="00FF3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C37F7C" w:rsidRPr="00C618E8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C37F7C" w:rsidRPr="0017663B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17663B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C37F7C" w:rsidRPr="0017663B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17663B">
              <w:rPr>
                <w:sz w:val="20"/>
                <w:szCs w:val="20"/>
              </w:rPr>
              <w:t>2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Nondurable consumer goods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C60F02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17663B" w:rsidRDefault="00FB1C6F" w:rsidP="00176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17663B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17663B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17663B">
              <w:rPr>
                <w:sz w:val="20"/>
                <w:szCs w:val="20"/>
              </w:rPr>
              <w:t>8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Durable consumer goods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C60F02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7F7C" w:rsidRPr="00C618E8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C37F7C" w:rsidRPr="00C618E8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17663B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7F7C" w:rsidRPr="0017663B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17663B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C37F7C" w:rsidRPr="0017663B">
              <w:rPr>
                <w:sz w:val="20"/>
                <w:szCs w:val="20"/>
              </w:rPr>
              <w:t>9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Intermediate goods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C60F02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C37F7C" w:rsidRPr="00C618E8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17663B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17663B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17663B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C37F7C" w:rsidRPr="0017663B">
              <w:rPr>
                <w:sz w:val="20"/>
                <w:szCs w:val="20"/>
              </w:rPr>
              <w:t>1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Investment goods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C60F02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C618E8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C618E8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C37F7C" w:rsidRPr="00C618E8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</w:t>
            </w:r>
            <w:r w:rsidR="00C37F7C" w:rsidRPr="00C618E8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C37F7C" w:rsidRPr="0017663B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17663B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C37F7C" w:rsidRPr="0017663B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 w:rsidRPr="0017663B">
              <w:rPr>
                <w:sz w:val="20"/>
                <w:szCs w:val="20"/>
              </w:rPr>
              <w:t>9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0F02">
              <w:rPr>
                <w:b/>
                <w:sz w:val="22"/>
                <w:szCs w:val="22"/>
                <w:lang w:val="en-US"/>
              </w:rPr>
              <w:t>Soft Data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Consumer confidence index (</w:t>
            </w:r>
            <w:proofErr w:type="spellStart"/>
            <w:r w:rsidRPr="00C60F02">
              <w:rPr>
                <w:sz w:val="20"/>
                <w:szCs w:val="20"/>
                <w:lang w:val="en-US"/>
              </w:rPr>
              <w:t>TurkStat</w:t>
            </w:r>
            <w:proofErr w:type="spellEnd"/>
            <w:r w:rsidRPr="00C60F02">
              <w:rPr>
                <w:sz w:val="20"/>
                <w:szCs w:val="20"/>
                <w:lang w:val="en-US"/>
              </w:rPr>
              <w:t>)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1020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C37F7C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1020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</w:t>
            </w:r>
            <w:r w:rsidR="00C37F7C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1020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C37F7C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1020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</w:t>
            </w:r>
            <w:r w:rsidR="00C37F7C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1020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C37F7C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1020B3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</w:t>
            </w:r>
            <w:r w:rsidR="00C37F7C">
              <w:rPr>
                <w:sz w:val="20"/>
                <w:szCs w:val="20"/>
              </w:rPr>
              <w:t>2</w:t>
            </w:r>
          </w:p>
        </w:tc>
      </w:tr>
      <w:tr w:rsidR="00C37F7C" w:rsidRPr="00B363C6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Real sector confidence index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C37F7C" w:rsidRPr="00B363C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C37F7C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C37F7C" w:rsidRPr="00B363C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C37F7C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C37F7C" w:rsidRPr="00B363C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37F7C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C37F7C" w:rsidRPr="00B363C6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C37F7C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C37F7C" w:rsidRPr="008F46C7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37F7C" w:rsidRPr="008F46C7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C37F7C" w:rsidRPr="008F46C7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37F7C" w:rsidRPr="008F46C7">
              <w:rPr>
                <w:sz w:val="20"/>
                <w:szCs w:val="20"/>
              </w:rPr>
              <w:t>3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0F02">
              <w:rPr>
                <w:b/>
                <w:bCs/>
                <w:sz w:val="20"/>
                <w:szCs w:val="20"/>
                <w:lang w:val="en-US"/>
              </w:rPr>
              <w:t>Financial Data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37F7C" w:rsidRPr="005D4EB3" w:rsidRDefault="00C37F7C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C37F7C" w:rsidRPr="005D4EB3" w:rsidRDefault="00C37F7C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C37F7C" w:rsidRPr="005D4EB3" w:rsidRDefault="00C37F7C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C37F7C" w:rsidRPr="005D4EB3" w:rsidRDefault="00C37F7C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C37F7C" w:rsidRPr="005D4EB3" w:rsidRDefault="00C37F7C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C37F7C" w:rsidRPr="005D4EB3" w:rsidRDefault="00C37F7C" w:rsidP="00194572">
            <w:pPr>
              <w:jc w:val="center"/>
              <w:rPr>
                <w:sz w:val="20"/>
                <w:szCs w:val="20"/>
              </w:rPr>
            </w:pP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BIST</w:t>
            </w:r>
            <w:r w:rsidRPr="00C60F02">
              <w:rPr>
                <w:sz w:val="20"/>
                <w:szCs w:val="20"/>
                <w:lang w:val="en-US"/>
              </w:rPr>
              <w:t xml:space="preserve"> 100 (Stock Exchange) 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C37F7C" w:rsidRPr="005D4E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5D4EB3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C37F7C" w:rsidRPr="005D4E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</w:t>
            </w:r>
            <w:r w:rsidR="00C37F7C" w:rsidRPr="005D4EB3"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C37F7C" w:rsidRPr="005D4E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</w:t>
            </w:r>
            <w:r w:rsidR="00C37F7C" w:rsidRPr="005D4EB3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C37F7C" w:rsidRPr="005D4E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37F7C" w:rsidRPr="005D4EB3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C37F7C" w:rsidRPr="005D4E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</w:t>
            </w:r>
            <w:r w:rsidR="00C37F7C" w:rsidRPr="005D4EB3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C37F7C" w:rsidRPr="005D4EB3" w:rsidRDefault="00F700E7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</w:t>
            </w:r>
            <w:r w:rsidR="00C37F7C" w:rsidRPr="005D4EB3">
              <w:rPr>
                <w:sz w:val="20"/>
                <w:szCs w:val="20"/>
              </w:rPr>
              <w:t>7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C37F7C" w:rsidRPr="00F247C3" w:rsidRDefault="00C37F7C" w:rsidP="00C93BC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37F7C" w:rsidRPr="006D458F" w:rsidRDefault="00C37F7C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C37F7C" w:rsidRPr="00846AA9" w:rsidRDefault="00C37F7C" w:rsidP="001945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Government spending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 xml:space="preserve"> §,</w:t>
            </w:r>
            <w:r w:rsidRPr="00C60F02">
              <w:rPr>
                <w:rFonts w:ascii="Calibri" w:hAnsi="Calibri"/>
                <w:sz w:val="20"/>
                <w:szCs w:val="20"/>
                <w:lang w:val="en-US"/>
              </w:rPr>
              <w:t>⁰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37F7C" w:rsidRPr="00422CBA" w:rsidRDefault="00FB1C6F" w:rsidP="0083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C37F7C" w:rsidRPr="00422CBA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C37F7C" w:rsidRPr="00422CBA" w:rsidRDefault="00FB1C6F" w:rsidP="0083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</w:t>
            </w:r>
            <w:r w:rsidR="00C37F7C" w:rsidRPr="00422CBA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C37F7C" w:rsidRPr="00422CBA" w:rsidRDefault="00FB1C6F" w:rsidP="0083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422CBA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C37F7C" w:rsidRPr="00422CBA" w:rsidRDefault="00FB1C6F" w:rsidP="0083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37F7C" w:rsidRPr="00422CBA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C37F7C" w:rsidRPr="00422CBA" w:rsidRDefault="00FB1C6F" w:rsidP="0083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37F7C" w:rsidRPr="00422CBA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C37F7C" w:rsidRPr="00422CBA" w:rsidRDefault="00F700E7" w:rsidP="0083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37F7C" w:rsidRPr="00422CBA">
              <w:rPr>
                <w:sz w:val="20"/>
                <w:szCs w:val="20"/>
              </w:rPr>
              <w:t>9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Special consumption tax (SCT)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8257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C37F7C" w:rsidRPr="008257B3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8257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7F7C" w:rsidRPr="008257B3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8257B3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37F7C" w:rsidRPr="008257B3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48361D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-11.</w:t>
            </w:r>
            <w:r w:rsidR="00C37F7C" w:rsidRPr="0048361D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48361D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</w:t>
            </w:r>
            <w:r w:rsidR="00C37F7C" w:rsidRPr="0048361D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48361D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7F7C" w:rsidRPr="0048361D">
              <w:rPr>
                <w:sz w:val="20"/>
                <w:szCs w:val="20"/>
              </w:rPr>
              <w:t>4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Passenger Cars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C37F7C" w:rsidRPr="00A86220" w:rsidRDefault="00FB1C6F" w:rsidP="007D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</w:t>
            </w:r>
            <w:r w:rsidR="00C37F7C" w:rsidRPr="00A86220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C37F7C" w:rsidRPr="00A86220" w:rsidRDefault="00FB1C6F" w:rsidP="007D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C37F7C" w:rsidRPr="00A86220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C37F7C" w:rsidRPr="00A86220" w:rsidRDefault="00FB1C6F" w:rsidP="007D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</w:t>
            </w:r>
            <w:r w:rsidR="00C37F7C" w:rsidRPr="00A86220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37F7C" w:rsidRPr="00A86220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37F7C" w:rsidRPr="00A86220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37F7C" w:rsidRPr="00A86220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C37F7C" w:rsidRPr="00A86220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C37F7C" w:rsidRPr="00A86220" w:rsidRDefault="00C37F7C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1C6F">
              <w:rPr>
                <w:sz w:val="20"/>
                <w:szCs w:val="20"/>
              </w:rPr>
              <w:t>4.</w:t>
            </w:r>
            <w:r w:rsidRPr="00A86220">
              <w:rPr>
                <w:sz w:val="20"/>
                <w:szCs w:val="20"/>
              </w:rPr>
              <w:t>0</w:t>
            </w:r>
          </w:p>
        </w:tc>
      </w:tr>
      <w:tr w:rsidR="00C37F7C" w:rsidRPr="00F247C3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C37F7C" w:rsidRPr="00C60F02" w:rsidRDefault="00C37F7C" w:rsidP="00C93BC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C60F02">
              <w:rPr>
                <w:sz w:val="20"/>
                <w:szCs w:val="20"/>
                <w:lang w:val="en-US"/>
              </w:rPr>
              <w:t>Commercial Vehicles</w:t>
            </w:r>
            <w:r w:rsidRPr="00C60F02">
              <w:rPr>
                <w:sz w:val="20"/>
                <w:szCs w:val="20"/>
                <w:vertAlign w:val="superscript"/>
                <w:lang w:val="en-US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C37F7C" w:rsidRPr="00A86220" w:rsidRDefault="00FB1C6F" w:rsidP="007D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</w:t>
            </w:r>
            <w:r w:rsidR="00C37F7C" w:rsidRPr="00A86220"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C37F7C" w:rsidRPr="00A86220" w:rsidRDefault="00FB1C6F" w:rsidP="008C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</w:t>
            </w:r>
            <w:r w:rsidR="00C37F7C" w:rsidRPr="00A86220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C37F7C" w:rsidRPr="00A86220" w:rsidRDefault="00FB1C6F" w:rsidP="008C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</w:t>
            </w:r>
            <w:r w:rsidR="00C37F7C" w:rsidRPr="00A86220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C37F7C" w:rsidRPr="00A86220" w:rsidRDefault="00FB1C6F" w:rsidP="008C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C37F7C" w:rsidRPr="00A86220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C37F7C" w:rsidRPr="00A86220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37F7C" w:rsidRPr="00A86220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C37F7C" w:rsidRPr="00A86220" w:rsidRDefault="00FB1C6F" w:rsidP="00194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-12.</w:t>
            </w:r>
            <w:r w:rsidR="00C37F7C" w:rsidRPr="00A86220">
              <w:rPr>
                <w:sz w:val="20"/>
                <w:szCs w:val="20"/>
              </w:rPr>
              <w:t>0</w:t>
            </w:r>
          </w:p>
        </w:tc>
      </w:tr>
    </w:tbl>
    <w:p w:rsidR="006F284C" w:rsidRPr="007170B7" w:rsidRDefault="006F284C" w:rsidP="006F284C">
      <w:pPr>
        <w:ind w:left="-720" w:right="43" w:firstLine="36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Source: </w:t>
      </w:r>
      <w:proofErr w:type="spellStart"/>
      <w:r>
        <w:rPr>
          <w:sz w:val="16"/>
          <w:szCs w:val="16"/>
          <w:lang w:val="en-US"/>
        </w:rPr>
        <w:t>TurkStat</w:t>
      </w:r>
      <w:proofErr w:type="spellEnd"/>
      <w:r>
        <w:rPr>
          <w:sz w:val="16"/>
          <w:szCs w:val="16"/>
          <w:lang w:val="en-US"/>
        </w:rPr>
        <w:t>, Central Bank of the Republic of Turkey (TCMB)</w:t>
      </w:r>
      <w:r w:rsidRPr="007170B7">
        <w:rPr>
          <w:sz w:val="16"/>
          <w:szCs w:val="16"/>
          <w:lang w:val="en-US"/>
        </w:rPr>
        <w:t xml:space="preserve">, Treasury, </w:t>
      </w:r>
      <w:proofErr w:type="spellStart"/>
      <w:r>
        <w:rPr>
          <w:sz w:val="16"/>
          <w:szCs w:val="16"/>
          <w:lang w:val="en-US"/>
        </w:rPr>
        <w:t>Borsa</w:t>
      </w:r>
      <w:proofErr w:type="spellEnd"/>
      <w:r>
        <w:rPr>
          <w:sz w:val="16"/>
          <w:szCs w:val="16"/>
          <w:lang w:val="en-US"/>
        </w:rPr>
        <w:t xml:space="preserve"> </w:t>
      </w:r>
      <w:proofErr w:type="gramStart"/>
      <w:r>
        <w:rPr>
          <w:sz w:val="16"/>
          <w:szCs w:val="16"/>
          <w:lang w:val="en-US"/>
        </w:rPr>
        <w:t>Istanbul(</w:t>
      </w:r>
      <w:proofErr w:type="gramEnd"/>
      <w:r>
        <w:rPr>
          <w:sz w:val="16"/>
          <w:szCs w:val="16"/>
          <w:lang w:val="en-US"/>
        </w:rPr>
        <w:t>BIST)</w:t>
      </w:r>
      <w:r w:rsidRPr="007170B7">
        <w:rPr>
          <w:sz w:val="16"/>
          <w:szCs w:val="16"/>
          <w:lang w:val="en-US"/>
        </w:rPr>
        <w:t>, Betam.</w:t>
      </w:r>
    </w:p>
    <w:p w:rsidR="006F284C" w:rsidRPr="007170B7" w:rsidRDefault="006F284C" w:rsidP="006F284C">
      <w:pPr>
        <w:ind w:left="-720" w:right="43" w:firstLine="360"/>
        <w:jc w:val="both"/>
        <w:rPr>
          <w:sz w:val="16"/>
          <w:szCs w:val="16"/>
          <w:vertAlign w:val="superscript"/>
          <w:lang w:val="en-US"/>
        </w:rPr>
      </w:pPr>
      <w:r w:rsidRPr="007170B7">
        <w:rPr>
          <w:sz w:val="16"/>
          <w:szCs w:val="16"/>
          <w:vertAlign w:val="superscript"/>
          <w:lang w:val="en-US"/>
        </w:rPr>
        <w:t xml:space="preserve">† </w:t>
      </w:r>
      <w:r w:rsidRPr="007170B7">
        <w:rPr>
          <w:sz w:val="16"/>
          <w:szCs w:val="16"/>
          <w:lang w:val="en-US"/>
        </w:rPr>
        <w:t>This is seasonally adjusted by TCMB</w:t>
      </w:r>
      <w:r w:rsidRPr="007170B7">
        <w:rPr>
          <w:sz w:val="16"/>
          <w:szCs w:val="16"/>
          <w:vertAlign w:val="superscript"/>
          <w:lang w:val="en-US"/>
        </w:rPr>
        <w:t xml:space="preserve"> </w:t>
      </w:r>
    </w:p>
    <w:p w:rsidR="006F284C" w:rsidRPr="007170B7" w:rsidRDefault="006F284C" w:rsidP="006F284C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vertAlign w:val="superscript"/>
          <w:lang w:val="en-US"/>
        </w:rPr>
        <w:t>‡</w:t>
      </w:r>
      <w:r w:rsidRPr="007170B7">
        <w:rPr>
          <w:sz w:val="16"/>
          <w:szCs w:val="16"/>
          <w:lang w:val="en-US"/>
        </w:rPr>
        <w:t xml:space="preserve"> CUR and its components are given as percentage point change, unlike the other indicators. </w:t>
      </w:r>
    </w:p>
    <w:p w:rsidR="006F284C" w:rsidRPr="007170B7" w:rsidRDefault="006F284C" w:rsidP="006F284C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 xml:space="preserve">§ This is seasonally adjusted by Betam. </w:t>
      </w:r>
    </w:p>
    <w:p w:rsidR="006F284C" w:rsidRPr="007170B7" w:rsidRDefault="006F284C" w:rsidP="006F284C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 xml:space="preserve">* This is seasonally adjusted by TURKSTAT. </w:t>
      </w:r>
    </w:p>
    <w:p w:rsidR="006F284C" w:rsidRPr="007170B7" w:rsidRDefault="006F284C" w:rsidP="006F284C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 xml:space="preserve">** Data not yet released </w:t>
      </w:r>
    </w:p>
    <w:p w:rsidR="006F284C" w:rsidRPr="007170B7" w:rsidRDefault="006F284C" w:rsidP="006F284C">
      <w:pPr>
        <w:spacing w:line="276" w:lineRule="auto"/>
        <w:ind w:left="-426" w:right="42" w:hanging="114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</w:t>
      </w:r>
      <w:r w:rsidRPr="007170B7">
        <w:rPr>
          <w:sz w:val="16"/>
          <w:szCs w:val="16"/>
          <w:lang w:val="en-US"/>
        </w:rPr>
        <w:t xml:space="preserve">*** </w:t>
      </w:r>
      <w:proofErr w:type="spellStart"/>
      <w:r w:rsidRPr="007170B7">
        <w:rPr>
          <w:sz w:val="16"/>
          <w:szCs w:val="16"/>
          <w:lang w:val="en-US"/>
        </w:rPr>
        <w:t>Betam’s</w:t>
      </w:r>
      <w:proofErr w:type="spellEnd"/>
      <w:r w:rsidRPr="007170B7">
        <w:rPr>
          <w:sz w:val="16"/>
          <w:szCs w:val="16"/>
          <w:lang w:val="en-US"/>
        </w:rPr>
        <w:t xml:space="preserve"> calculations: Nominal exports (imports) minus non-monetary </w:t>
      </w:r>
      <w:proofErr w:type="gramStart"/>
      <w:r w:rsidRPr="007170B7">
        <w:rPr>
          <w:sz w:val="16"/>
          <w:szCs w:val="16"/>
          <w:lang w:val="en-US"/>
        </w:rPr>
        <w:t>gold,</w:t>
      </w:r>
      <w:proofErr w:type="gramEnd"/>
      <w:r w:rsidRPr="007170B7">
        <w:rPr>
          <w:sz w:val="16"/>
          <w:szCs w:val="16"/>
          <w:lang w:val="en-US"/>
        </w:rPr>
        <w:t xml:space="preserve"> deflated using the export (import) unit value index. It is    seasonally adjusted by Betam. </w:t>
      </w:r>
    </w:p>
    <w:p w:rsidR="006F284C" w:rsidRPr="007170B7" w:rsidRDefault="006F284C" w:rsidP="006F284C">
      <w:pPr>
        <w:ind w:left="-360" w:right="43"/>
        <w:rPr>
          <w:sz w:val="16"/>
          <w:szCs w:val="16"/>
          <w:lang w:val="en-US"/>
        </w:rPr>
      </w:pPr>
      <w:r w:rsidRPr="007170B7">
        <w:rPr>
          <w:rFonts w:ascii="Calibri" w:hAnsi="Calibri"/>
          <w:sz w:val="16"/>
          <w:szCs w:val="16"/>
          <w:lang w:val="en-US"/>
        </w:rPr>
        <w:t>⁰</w:t>
      </w:r>
      <w:r w:rsidRPr="007170B7">
        <w:rPr>
          <w:sz w:val="16"/>
          <w:szCs w:val="16"/>
          <w:lang w:val="en-US"/>
        </w:rPr>
        <w:t xml:space="preserve"> Total government spending excluding transfers</w:t>
      </w:r>
      <w:r>
        <w:rPr>
          <w:sz w:val="16"/>
          <w:szCs w:val="16"/>
          <w:lang w:val="en-US"/>
        </w:rPr>
        <w:t xml:space="preserve">, </w:t>
      </w:r>
      <w:r w:rsidRPr="007170B7">
        <w:rPr>
          <w:sz w:val="16"/>
          <w:szCs w:val="16"/>
          <w:lang w:val="en-US"/>
        </w:rPr>
        <w:t>deflated.</w:t>
      </w:r>
    </w:p>
    <w:p w:rsidR="002A5EBF" w:rsidRPr="00F247C3" w:rsidRDefault="002A5EBF" w:rsidP="00197085">
      <w:pPr>
        <w:ind w:left="-360" w:right="43"/>
        <w:rPr>
          <w:sz w:val="16"/>
          <w:szCs w:val="16"/>
        </w:rPr>
      </w:pPr>
    </w:p>
    <w:p w:rsidR="00197085" w:rsidRPr="00F247C3" w:rsidRDefault="00197085" w:rsidP="00197085">
      <w:pPr>
        <w:spacing w:line="360" w:lineRule="auto"/>
        <w:ind w:right="42"/>
        <w:jc w:val="both"/>
        <w:rPr>
          <w:sz w:val="22"/>
          <w:szCs w:val="22"/>
        </w:rPr>
      </w:pPr>
    </w:p>
    <w:p w:rsidR="00197085" w:rsidRPr="00F247C3" w:rsidRDefault="00197085" w:rsidP="00197085">
      <w:pPr>
        <w:spacing w:line="360" w:lineRule="auto"/>
        <w:ind w:right="42"/>
        <w:jc w:val="both"/>
        <w:rPr>
          <w:sz w:val="22"/>
          <w:szCs w:val="22"/>
        </w:rPr>
        <w:sectPr w:rsidR="00197085" w:rsidRPr="00F247C3" w:rsidSect="008651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84C" w:rsidRDefault="006F284C" w:rsidP="000B5E24">
      <w:pPr>
        <w:ind w:right="42"/>
        <w:jc w:val="both"/>
        <w:rPr>
          <w:b/>
          <w:bCs/>
          <w:sz w:val="22"/>
          <w:szCs w:val="22"/>
        </w:rPr>
      </w:pPr>
    </w:p>
    <w:p w:rsidR="00315403" w:rsidRPr="00144593" w:rsidRDefault="005C2DB7" w:rsidP="00315403">
      <w:pPr>
        <w:rPr>
          <w:b/>
          <w:bCs/>
          <w:color w:val="FF0000"/>
          <w:sz w:val="8"/>
          <w:szCs w:val="8"/>
          <w:lang w:val="en-US"/>
        </w:rPr>
      </w:pPr>
      <w:r w:rsidRPr="007170B7">
        <w:rPr>
          <w:b/>
          <w:bCs/>
          <w:sz w:val="22"/>
          <w:szCs w:val="22"/>
          <w:lang w:val="en-US"/>
        </w:rPr>
        <w:t>Figure 1</w:t>
      </w:r>
      <w:r>
        <w:rPr>
          <w:b/>
          <w:bCs/>
          <w:sz w:val="22"/>
          <w:szCs w:val="22"/>
          <w:lang w:val="en-US"/>
        </w:rPr>
        <w:t xml:space="preserve">: Capacity utilization rate and </w:t>
      </w:r>
      <w:r w:rsidRPr="007170B7">
        <w:rPr>
          <w:b/>
          <w:bCs/>
          <w:sz w:val="22"/>
          <w:szCs w:val="22"/>
          <w:lang w:val="en-US"/>
        </w:rPr>
        <w:t>industrial production index (</w:t>
      </w:r>
      <w:proofErr w:type="spellStart"/>
      <w:proofErr w:type="gramStart"/>
      <w:r w:rsidRPr="007170B7">
        <w:rPr>
          <w:b/>
          <w:bCs/>
          <w:sz w:val="22"/>
          <w:szCs w:val="22"/>
          <w:lang w:val="en-US"/>
        </w:rPr>
        <w:t>sa</w:t>
      </w:r>
      <w:proofErr w:type="spellEnd"/>
      <w:proofErr w:type="gramEnd"/>
      <w:r w:rsidRPr="007170B7">
        <w:rPr>
          <w:b/>
          <w:bCs/>
          <w:sz w:val="22"/>
          <w:szCs w:val="22"/>
          <w:lang w:val="en-US"/>
        </w:rPr>
        <w:t>)</w:t>
      </w:r>
    </w:p>
    <w:p w:rsidR="00EA40DA" w:rsidRPr="001771BD" w:rsidRDefault="00315403" w:rsidP="00315403">
      <w:pPr>
        <w:ind w:left="-360"/>
        <w:rPr>
          <w:b/>
          <w:bCs/>
          <w:sz w:val="22"/>
          <w:szCs w:val="22"/>
        </w:rPr>
      </w:pPr>
      <w:r w:rsidRPr="00315403">
        <w:rPr>
          <w:noProof/>
          <w:szCs w:val="22"/>
        </w:rPr>
        <w:drawing>
          <wp:inline distT="0" distB="0" distL="0" distR="0">
            <wp:extent cx="3028950" cy="21526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38" cy="21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85" w:rsidRPr="001771BD" w:rsidRDefault="00197085" w:rsidP="00315403">
      <w:pPr>
        <w:ind w:left="-360"/>
        <w:rPr>
          <w:b/>
          <w:bCs/>
          <w:sz w:val="8"/>
          <w:szCs w:val="8"/>
        </w:rPr>
      </w:pPr>
    </w:p>
    <w:p w:rsidR="005C2DB7" w:rsidRPr="007170B7" w:rsidRDefault="005C2DB7" w:rsidP="00315403">
      <w:pPr>
        <w:ind w:left="-360"/>
        <w:rPr>
          <w:sz w:val="18"/>
          <w:szCs w:val="18"/>
          <w:lang w:val="en-US"/>
        </w:rPr>
      </w:pPr>
      <w:r w:rsidRPr="007170B7">
        <w:rPr>
          <w:sz w:val="18"/>
          <w:szCs w:val="18"/>
          <w:lang w:val="en-US"/>
        </w:rPr>
        <w:t xml:space="preserve">Source: </w:t>
      </w:r>
      <w:proofErr w:type="spellStart"/>
      <w:r w:rsidRPr="007170B7">
        <w:rPr>
          <w:sz w:val="18"/>
          <w:szCs w:val="18"/>
          <w:lang w:val="en-US"/>
        </w:rPr>
        <w:t>Turkstat</w:t>
      </w:r>
      <w:proofErr w:type="spellEnd"/>
      <w:r w:rsidRPr="007170B7">
        <w:rPr>
          <w:sz w:val="18"/>
          <w:szCs w:val="18"/>
          <w:lang w:val="en-US"/>
        </w:rPr>
        <w:t xml:space="preserve"> (Left axis is CUR, right axis is </w:t>
      </w:r>
      <w:proofErr w:type="gramStart"/>
      <w:r w:rsidRPr="007170B7">
        <w:rPr>
          <w:sz w:val="18"/>
          <w:szCs w:val="18"/>
          <w:lang w:val="en-US"/>
        </w:rPr>
        <w:t>IPI )</w:t>
      </w:r>
      <w:proofErr w:type="gramEnd"/>
    </w:p>
    <w:p w:rsidR="00315403" w:rsidRDefault="00315403" w:rsidP="00315403">
      <w:pPr>
        <w:ind w:left="-360"/>
        <w:rPr>
          <w:b/>
          <w:bCs/>
          <w:sz w:val="22"/>
          <w:szCs w:val="22"/>
          <w:lang w:val="en-US"/>
        </w:rPr>
      </w:pPr>
    </w:p>
    <w:p w:rsidR="00315403" w:rsidRDefault="00315403" w:rsidP="005C2DB7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315403" w:rsidRDefault="005C2DB7" w:rsidP="005C2DB7">
      <w:pPr>
        <w:ind w:left="-360" w:right="42"/>
        <w:jc w:val="both"/>
        <w:rPr>
          <w:b/>
          <w:bCs/>
          <w:sz w:val="22"/>
          <w:szCs w:val="22"/>
          <w:lang w:val="en-US"/>
        </w:rPr>
      </w:pPr>
      <w:r w:rsidRPr="007170B7">
        <w:rPr>
          <w:b/>
          <w:bCs/>
          <w:sz w:val="22"/>
          <w:szCs w:val="22"/>
          <w:lang w:val="en-US"/>
        </w:rPr>
        <w:t>Figure 3: Gold included current account deficit to GDP ratio, 12 months</w:t>
      </w:r>
    </w:p>
    <w:p w:rsidR="001771BD" w:rsidRPr="00F81C11" w:rsidRDefault="00315403" w:rsidP="00197085">
      <w:pPr>
        <w:ind w:left="-360" w:right="42"/>
        <w:jc w:val="both"/>
        <w:rPr>
          <w:noProof/>
        </w:rPr>
      </w:pPr>
      <w:r w:rsidRPr="00315403">
        <w:rPr>
          <w:noProof/>
        </w:rPr>
        <w:drawing>
          <wp:inline distT="0" distB="0" distL="0" distR="0">
            <wp:extent cx="2924175" cy="2390775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55" cy="238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A" w:rsidRPr="00F81C11" w:rsidRDefault="003A6394" w:rsidP="005C2DB7">
      <w:pPr>
        <w:ind w:left="-360" w:right="42"/>
        <w:rPr>
          <w:b/>
          <w:bCs/>
          <w:sz w:val="22"/>
          <w:szCs w:val="22"/>
        </w:rPr>
      </w:pPr>
      <w:r>
        <w:rPr>
          <w:sz w:val="18"/>
          <w:szCs w:val="18"/>
          <w:lang w:val="en-US"/>
        </w:rPr>
        <w:t xml:space="preserve">Source: </w:t>
      </w:r>
      <w:proofErr w:type="spellStart"/>
      <w:r>
        <w:rPr>
          <w:sz w:val="18"/>
          <w:szCs w:val="18"/>
          <w:lang w:val="en-US"/>
        </w:rPr>
        <w:t>Turkstat</w:t>
      </w:r>
      <w:proofErr w:type="spellEnd"/>
      <w:r>
        <w:rPr>
          <w:sz w:val="18"/>
          <w:szCs w:val="18"/>
          <w:lang w:val="en-US"/>
        </w:rPr>
        <w:t xml:space="preserve">, TCMB, </w:t>
      </w:r>
      <w:r w:rsidRPr="007170B7">
        <w:rPr>
          <w:sz w:val="18"/>
          <w:szCs w:val="18"/>
          <w:lang w:val="en-US"/>
        </w:rPr>
        <w:t>Betam</w:t>
      </w:r>
      <w:r w:rsidR="00197085" w:rsidRPr="00F81C11">
        <w:rPr>
          <w:b/>
          <w:bCs/>
          <w:sz w:val="22"/>
          <w:szCs w:val="22"/>
        </w:rPr>
        <w:br/>
      </w:r>
    </w:p>
    <w:p w:rsidR="003A6394" w:rsidRDefault="005C2DB7" w:rsidP="005C2DB7">
      <w:pPr>
        <w:ind w:left="-360" w:right="42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br/>
      </w:r>
    </w:p>
    <w:p w:rsidR="00184CFD" w:rsidRDefault="00184CFD" w:rsidP="005C2DB7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315403" w:rsidRDefault="005C2DB7" w:rsidP="00315403">
      <w:pPr>
        <w:jc w:val="both"/>
        <w:rPr>
          <w:b/>
          <w:bCs/>
          <w:sz w:val="22"/>
          <w:szCs w:val="22"/>
          <w:lang w:val="en-US"/>
        </w:rPr>
      </w:pPr>
      <w:r w:rsidRPr="007170B7">
        <w:rPr>
          <w:b/>
          <w:bCs/>
          <w:sz w:val="22"/>
          <w:szCs w:val="22"/>
          <w:lang w:val="en-US"/>
        </w:rPr>
        <w:t>Figure 2: Volume indices of exports and imports (</w:t>
      </w:r>
      <w:proofErr w:type="spellStart"/>
      <w:proofErr w:type="gramStart"/>
      <w:r w:rsidRPr="007170B7">
        <w:rPr>
          <w:b/>
          <w:bCs/>
          <w:sz w:val="22"/>
          <w:szCs w:val="22"/>
          <w:lang w:val="en-US"/>
        </w:rPr>
        <w:t>sa</w:t>
      </w:r>
      <w:proofErr w:type="spellEnd"/>
      <w:proofErr w:type="gramEnd"/>
      <w:r w:rsidRPr="007170B7">
        <w:rPr>
          <w:b/>
          <w:bCs/>
          <w:sz w:val="22"/>
          <w:szCs w:val="22"/>
          <w:lang w:val="en-US"/>
        </w:rPr>
        <w:t>)</w:t>
      </w:r>
    </w:p>
    <w:p w:rsidR="00EA40DA" w:rsidRPr="00F81C11" w:rsidRDefault="00315403" w:rsidP="00315403">
      <w:pPr>
        <w:jc w:val="both"/>
        <w:rPr>
          <w:b/>
          <w:bCs/>
          <w:sz w:val="22"/>
          <w:szCs w:val="22"/>
        </w:rPr>
      </w:pPr>
      <w:r w:rsidRPr="00315403">
        <w:rPr>
          <w:noProof/>
          <w:szCs w:val="22"/>
        </w:rPr>
        <w:drawing>
          <wp:inline distT="0" distB="0" distL="0" distR="0">
            <wp:extent cx="2924175" cy="2152650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85" cy="215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85" w:rsidRPr="00F81C11" w:rsidRDefault="00197085" w:rsidP="00315403">
      <w:pPr>
        <w:jc w:val="both"/>
        <w:rPr>
          <w:sz w:val="4"/>
          <w:szCs w:val="4"/>
        </w:rPr>
      </w:pPr>
    </w:p>
    <w:p w:rsidR="005C2DB7" w:rsidRPr="007170B7" w:rsidRDefault="005C2DB7" w:rsidP="00315403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Source: </w:t>
      </w:r>
      <w:proofErr w:type="spellStart"/>
      <w:r>
        <w:rPr>
          <w:sz w:val="18"/>
          <w:szCs w:val="18"/>
          <w:lang w:val="en-US"/>
        </w:rPr>
        <w:t>Turkstat</w:t>
      </w:r>
      <w:proofErr w:type="spellEnd"/>
      <w:r>
        <w:rPr>
          <w:sz w:val="18"/>
          <w:szCs w:val="18"/>
          <w:lang w:val="en-US"/>
        </w:rPr>
        <w:t>, Betam</w:t>
      </w:r>
    </w:p>
    <w:p w:rsidR="00315403" w:rsidRDefault="00315403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315403" w:rsidRDefault="00315403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A978BD" w:rsidRDefault="00315403" w:rsidP="00197085">
      <w:pPr>
        <w:ind w:left="-360" w:right="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F</w:t>
      </w:r>
      <w:r w:rsidR="005C2DB7" w:rsidRPr="007170B7">
        <w:rPr>
          <w:b/>
          <w:bCs/>
          <w:sz w:val="22"/>
          <w:szCs w:val="22"/>
          <w:lang w:val="en-US"/>
        </w:rPr>
        <w:t>igure 4: Gold excluded current account deficit to GDP ratio, 12 months</w:t>
      </w:r>
    </w:p>
    <w:p w:rsidR="00197085" w:rsidRPr="00F247C3" w:rsidRDefault="00197085" w:rsidP="00197085">
      <w:pPr>
        <w:spacing w:line="360" w:lineRule="auto"/>
        <w:ind w:left="-360" w:right="42"/>
        <w:jc w:val="both"/>
        <w:rPr>
          <w:sz w:val="4"/>
          <w:szCs w:val="4"/>
        </w:rPr>
      </w:pPr>
    </w:p>
    <w:p w:rsidR="00197085" w:rsidRPr="00815C51" w:rsidRDefault="00315403" w:rsidP="00815C51">
      <w:pPr>
        <w:ind w:left="-360" w:right="42"/>
        <w:sectPr w:rsidR="00197085" w:rsidRPr="00815C51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315403">
        <w:rPr>
          <w:noProof/>
          <w:szCs w:val="18"/>
        </w:rPr>
        <w:drawing>
          <wp:inline distT="0" distB="0" distL="0" distR="0">
            <wp:extent cx="2971800" cy="224790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81" cy="225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DB7" w:rsidRPr="007170B7">
        <w:rPr>
          <w:sz w:val="18"/>
          <w:szCs w:val="18"/>
          <w:lang w:val="en-US"/>
        </w:rPr>
        <w:t xml:space="preserve">Source: </w:t>
      </w:r>
      <w:proofErr w:type="spellStart"/>
      <w:r w:rsidR="005C2DB7" w:rsidRPr="007170B7">
        <w:rPr>
          <w:sz w:val="18"/>
          <w:szCs w:val="18"/>
          <w:lang w:val="en-US"/>
        </w:rPr>
        <w:t>Turkstat</w:t>
      </w:r>
      <w:proofErr w:type="spellEnd"/>
      <w:r w:rsidR="005C2DB7" w:rsidRPr="007170B7">
        <w:rPr>
          <w:sz w:val="18"/>
          <w:szCs w:val="18"/>
          <w:lang w:val="en-US"/>
        </w:rPr>
        <w:t>, TCMB, Betam</w:t>
      </w:r>
    </w:p>
    <w:p w:rsidR="00197085" w:rsidRDefault="00197085" w:rsidP="00197085">
      <w:pPr>
        <w:spacing w:line="360" w:lineRule="auto"/>
        <w:ind w:left="-360" w:right="42"/>
        <w:jc w:val="both"/>
        <w:rPr>
          <w:b/>
          <w:bCs/>
          <w:sz w:val="22"/>
          <w:szCs w:val="22"/>
        </w:rPr>
      </w:pPr>
    </w:p>
    <w:p w:rsidR="00315403" w:rsidRDefault="00315403" w:rsidP="00197085">
      <w:pPr>
        <w:spacing w:line="360" w:lineRule="auto"/>
        <w:ind w:left="-360" w:right="42"/>
        <w:jc w:val="both"/>
        <w:rPr>
          <w:b/>
          <w:bCs/>
          <w:sz w:val="22"/>
          <w:szCs w:val="22"/>
        </w:rPr>
      </w:pPr>
    </w:p>
    <w:p w:rsidR="00315403" w:rsidRDefault="00315403" w:rsidP="00197085">
      <w:pPr>
        <w:spacing w:line="360" w:lineRule="auto"/>
        <w:ind w:left="-360" w:right="42"/>
        <w:jc w:val="both"/>
        <w:rPr>
          <w:b/>
          <w:bCs/>
          <w:sz w:val="22"/>
          <w:szCs w:val="22"/>
        </w:rPr>
      </w:pPr>
    </w:p>
    <w:p w:rsidR="00315403" w:rsidRDefault="00315403" w:rsidP="0011609A">
      <w:pPr>
        <w:ind w:left="-360" w:right="42"/>
        <w:rPr>
          <w:sz w:val="18"/>
          <w:szCs w:val="18"/>
        </w:rPr>
      </w:pPr>
    </w:p>
    <w:p w:rsidR="00315403" w:rsidRPr="00F247C3" w:rsidRDefault="00315403" w:rsidP="0011609A">
      <w:pPr>
        <w:ind w:left="-360" w:right="42"/>
        <w:rPr>
          <w:b/>
          <w:bCs/>
          <w:sz w:val="22"/>
          <w:szCs w:val="22"/>
        </w:rPr>
      </w:pPr>
    </w:p>
    <w:p w:rsidR="00197085" w:rsidRPr="00F247C3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F247C3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F247C3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F247C3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F247C3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F247C3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sectPr w:rsidR="00197085" w:rsidRPr="00F247C3" w:rsidSect="00E973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AA" w:rsidRDefault="005319AA">
      <w:r>
        <w:separator/>
      </w:r>
    </w:p>
  </w:endnote>
  <w:endnote w:type="continuationSeparator" w:id="0">
    <w:p w:rsidR="005319AA" w:rsidRDefault="0053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8D" w:rsidRDefault="00F05F0E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A20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08D" w:rsidRPr="007B51E3" w:rsidRDefault="00EB408D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90" w:rsidRDefault="00F05F0E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E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A20">
      <w:rPr>
        <w:rStyle w:val="PageNumber"/>
        <w:noProof/>
      </w:rPr>
      <w:t>4</w:t>
    </w:r>
    <w:r>
      <w:rPr>
        <w:rStyle w:val="PageNumber"/>
      </w:rPr>
      <w:fldChar w:fldCharType="end"/>
    </w:r>
  </w:p>
  <w:p w:rsidR="00C76E90" w:rsidRPr="007B51E3" w:rsidRDefault="00C76E90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AA" w:rsidRDefault="005319AA">
      <w:r>
        <w:separator/>
      </w:r>
    </w:p>
  </w:footnote>
  <w:footnote w:type="continuationSeparator" w:id="0">
    <w:p w:rsidR="005319AA" w:rsidRDefault="0053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A43944"/>
    <w:multiLevelType w:val="hybridMultilevel"/>
    <w:tmpl w:val="3DD22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ECC"/>
    <w:rsid w:val="0000014A"/>
    <w:rsid w:val="000015B4"/>
    <w:rsid w:val="00001CF9"/>
    <w:rsid w:val="0000230B"/>
    <w:rsid w:val="0000306F"/>
    <w:rsid w:val="000039F2"/>
    <w:rsid w:val="00004860"/>
    <w:rsid w:val="00004B78"/>
    <w:rsid w:val="0000507C"/>
    <w:rsid w:val="000056C3"/>
    <w:rsid w:val="00006C4D"/>
    <w:rsid w:val="0000704D"/>
    <w:rsid w:val="00011090"/>
    <w:rsid w:val="0001121A"/>
    <w:rsid w:val="000117B7"/>
    <w:rsid w:val="0001277D"/>
    <w:rsid w:val="0001288B"/>
    <w:rsid w:val="000144EB"/>
    <w:rsid w:val="000148D5"/>
    <w:rsid w:val="000150D2"/>
    <w:rsid w:val="00017809"/>
    <w:rsid w:val="0002037B"/>
    <w:rsid w:val="000205A1"/>
    <w:rsid w:val="000208EA"/>
    <w:rsid w:val="000212AC"/>
    <w:rsid w:val="000217AE"/>
    <w:rsid w:val="000224B9"/>
    <w:rsid w:val="000232EC"/>
    <w:rsid w:val="000233A7"/>
    <w:rsid w:val="00024559"/>
    <w:rsid w:val="000262EC"/>
    <w:rsid w:val="00026F21"/>
    <w:rsid w:val="00027316"/>
    <w:rsid w:val="00027FC3"/>
    <w:rsid w:val="0003031B"/>
    <w:rsid w:val="000311C6"/>
    <w:rsid w:val="00031D72"/>
    <w:rsid w:val="0003248D"/>
    <w:rsid w:val="00033700"/>
    <w:rsid w:val="00033AF8"/>
    <w:rsid w:val="00034090"/>
    <w:rsid w:val="0003546D"/>
    <w:rsid w:val="00043365"/>
    <w:rsid w:val="000449FC"/>
    <w:rsid w:val="00044A0F"/>
    <w:rsid w:val="00045C5A"/>
    <w:rsid w:val="00047B99"/>
    <w:rsid w:val="00047E9F"/>
    <w:rsid w:val="0005037D"/>
    <w:rsid w:val="00050453"/>
    <w:rsid w:val="000507D6"/>
    <w:rsid w:val="000509A3"/>
    <w:rsid w:val="00052AD4"/>
    <w:rsid w:val="00052D7A"/>
    <w:rsid w:val="00052EFB"/>
    <w:rsid w:val="00054BD3"/>
    <w:rsid w:val="00056118"/>
    <w:rsid w:val="00056B3E"/>
    <w:rsid w:val="0005760C"/>
    <w:rsid w:val="00060119"/>
    <w:rsid w:val="00060540"/>
    <w:rsid w:val="00061256"/>
    <w:rsid w:val="000616F0"/>
    <w:rsid w:val="00061732"/>
    <w:rsid w:val="00063005"/>
    <w:rsid w:val="000633EE"/>
    <w:rsid w:val="00064636"/>
    <w:rsid w:val="0006518B"/>
    <w:rsid w:val="00065B3C"/>
    <w:rsid w:val="0006725C"/>
    <w:rsid w:val="000678F9"/>
    <w:rsid w:val="00070FF1"/>
    <w:rsid w:val="000716BA"/>
    <w:rsid w:val="000716CA"/>
    <w:rsid w:val="0007202B"/>
    <w:rsid w:val="00072321"/>
    <w:rsid w:val="00072407"/>
    <w:rsid w:val="00074648"/>
    <w:rsid w:val="000750E3"/>
    <w:rsid w:val="00075A26"/>
    <w:rsid w:val="00076BAC"/>
    <w:rsid w:val="00076F3D"/>
    <w:rsid w:val="0007701E"/>
    <w:rsid w:val="00077A9D"/>
    <w:rsid w:val="00077FF4"/>
    <w:rsid w:val="00080D7E"/>
    <w:rsid w:val="00081E3F"/>
    <w:rsid w:val="000829B5"/>
    <w:rsid w:val="00082FE4"/>
    <w:rsid w:val="000833C7"/>
    <w:rsid w:val="0008631D"/>
    <w:rsid w:val="0008735C"/>
    <w:rsid w:val="000875E6"/>
    <w:rsid w:val="00087E0A"/>
    <w:rsid w:val="00090498"/>
    <w:rsid w:val="0009059A"/>
    <w:rsid w:val="000925B3"/>
    <w:rsid w:val="00092972"/>
    <w:rsid w:val="000960F1"/>
    <w:rsid w:val="00096B4E"/>
    <w:rsid w:val="00097E2B"/>
    <w:rsid w:val="000A0D4D"/>
    <w:rsid w:val="000A2514"/>
    <w:rsid w:val="000A27A5"/>
    <w:rsid w:val="000A292B"/>
    <w:rsid w:val="000A399E"/>
    <w:rsid w:val="000A5675"/>
    <w:rsid w:val="000A583D"/>
    <w:rsid w:val="000A687F"/>
    <w:rsid w:val="000A6907"/>
    <w:rsid w:val="000A701D"/>
    <w:rsid w:val="000A79A0"/>
    <w:rsid w:val="000B0589"/>
    <w:rsid w:val="000B100E"/>
    <w:rsid w:val="000B16FB"/>
    <w:rsid w:val="000B2409"/>
    <w:rsid w:val="000B2AF0"/>
    <w:rsid w:val="000B2B47"/>
    <w:rsid w:val="000B2BF9"/>
    <w:rsid w:val="000B2E92"/>
    <w:rsid w:val="000B325E"/>
    <w:rsid w:val="000B3565"/>
    <w:rsid w:val="000B3995"/>
    <w:rsid w:val="000B3C1E"/>
    <w:rsid w:val="000B41F3"/>
    <w:rsid w:val="000B42EA"/>
    <w:rsid w:val="000B469F"/>
    <w:rsid w:val="000B50AD"/>
    <w:rsid w:val="000B50DE"/>
    <w:rsid w:val="000B5660"/>
    <w:rsid w:val="000B5E24"/>
    <w:rsid w:val="000B6120"/>
    <w:rsid w:val="000B6127"/>
    <w:rsid w:val="000B7B77"/>
    <w:rsid w:val="000B7E94"/>
    <w:rsid w:val="000C2102"/>
    <w:rsid w:val="000C2F1B"/>
    <w:rsid w:val="000C40CE"/>
    <w:rsid w:val="000C52BF"/>
    <w:rsid w:val="000C5B7E"/>
    <w:rsid w:val="000C667B"/>
    <w:rsid w:val="000C7A83"/>
    <w:rsid w:val="000C7B42"/>
    <w:rsid w:val="000D0C5A"/>
    <w:rsid w:val="000D1198"/>
    <w:rsid w:val="000D17A2"/>
    <w:rsid w:val="000D1F14"/>
    <w:rsid w:val="000D49FD"/>
    <w:rsid w:val="000D56EB"/>
    <w:rsid w:val="000D5927"/>
    <w:rsid w:val="000E01ED"/>
    <w:rsid w:val="000E10A3"/>
    <w:rsid w:val="000E1F75"/>
    <w:rsid w:val="000E2708"/>
    <w:rsid w:val="000E4E83"/>
    <w:rsid w:val="000E5365"/>
    <w:rsid w:val="000E631E"/>
    <w:rsid w:val="000E6807"/>
    <w:rsid w:val="000E74B5"/>
    <w:rsid w:val="000E7AB3"/>
    <w:rsid w:val="000E7CBB"/>
    <w:rsid w:val="000F0372"/>
    <w:rsid w:val="000F0C2B"/>
    <w:rsid w:val="000F14F4"/>
    <w:rsid w:val="000F2DB4"/>
    <w:rsid w:val="000F360E"/>
    <w:rsid w:val="000F396D"/>
    <w:rsid w:val="000F4941"/>
    <w:rsid w:val="000F5457"/>
    <w:rsid w:val="000F71D2"/>
    <w:rsid w:val="001007B5"/>
    <w:rsid w:val="001009B7"/>
    <w:rsid w:val="001020B3"/>
    <w:rsid w:val="001044D1"/>
    <w:rsid w:val="00104A71"/>
    <w:rsid w:val="00106470"/>
    <w:rsid w:val="001075D1"/>
    <w:rsid w:val="00107FF7"/>
    <w:rsid w:val="001105B2"/>
    <w:rsid w:val="001117C6"/>
    <w:rsid w:val="0011236C"/>
    <w:rsid w:val="0011279B"/>
    <w:rsid w:val="00112E08"/>
    <w:rsid w:val="00113C74"/>
    <w:rsid w:val="001144FB"/>
    <w:rsid w:val="00114BC7"/>
    <w:rsid w:val="0011609A"/>
    <w:rsid w:val="00117A11"/>
    <w:rsid w:val="00117AE9"/>
    <w:rsid w:val="00121017"/>
    <w:rsid w:val="00121ABE"/>
    <w:rsid w:val="0012262F"/>
    <w:rsid w:val="001236FF"/>
    <w:rsid w:val="00123E71"/>
    <w:rsid w:val="0012410A"/>
    <w:rsid w:val="001251CC"/>
    <w:rsid w:val="00125FC6"/>
    <w:rsid w:val="001260D7"/>
    <w:rsid w:val="001261A8"/>
    <w:rsid w:val="001267DF"/>
    <w:rsid w:val="00130959"/>
    <w:rsid w:val="0013240F"/>
    <w:rsid w:val="00132E7B"/>
    <w:rsid w:val="001331CB"/>
    <w:rsid w:val="0013381D"/>
    <w:rsid w:val="001344A4"/>
    <w:rsid w:val="00135B82"/>
    <w:rsid w:val="00135B92"/>
    <w:rsid w:val="001360D1"/>
    <w:rsid w:val="00136362"/>
    <w:rsid w:val="00136A69"/>
    <w:rsid w:val="00140831"/>
    <w:rsid w:val="001408D6"/>
    <w:rsid w:val="00140E1E"/>
    <w:rsid w:val="00141143"/>
    <w:rsid w:val="00141B1A"/>
    <w:rsid w:val="00141B83"/>
    <w:rsid w:val="00141B88"/>
    <w:rsid w:val="00141B93"/>
    <w:rsid w:val="00143024"/>
    <w:rsid w:val="00143828"/>
    <w:rsid w:val="00143A92"/>
    <w:rsid w:val="00143D50"/>
    <w:rsid w:val="00143DE9"/>
    <w:rsid w:val="00144285"/>
    <w:rsid w:val="00145A62"/>
    <w:rsid w:val="001466BE"/>
    <w:rsid w:val="001510B5"/>
    <w:rsid w:val="00151BCF"/>
    <w:rsid w:val="0015370A"/>
    <w:rsid w:val="00154503"/>
    <w:rsid w:val="00154510"/>
    <w:rsid w:val="001553F2"/>
    <w:rsid w:val="0015586B"/>
    <w:rsid w:val="00155EE3"/>
    <w:rsid w:val="0015676E"/>
    <w:rsid w:val="00156914"/>
    <w:rsid w:val="00157DC2"/>
    <w:rsid w:val="00157E8F"/>
    <w:rsid w:val="001609FA"/>
    <w:rsid w:val="00160EF6"/>
    <w:rsid w:val="00161689"/>
    <w:rsid w:val="00162629"/>
    <w:rsid w:val="001632B0"/>
    <w:rsid w:val="0016401E"/>
    <w:rsid w:val="001653F9"/>
    <w:rsid w:val="00165552"/>
    <w:rsid w:val="00165AAB"/>
    <w:rsid w:val="00165C4C"/>
    <w:rsid w:val="00165C59"/>
    <w:rsid w:val="00165CB0"/>
    <w:rsid w:val="001664DC"/>
    <w:rsid w:val="00166FE5"/>
    <w:rsid w:val="00167D69"/>
    <w:rsid w:val="00170502"/>
    <w:rsid w:val="00170CA9"/>
    <w:rsid w:val="0017121A"/>
    <w:rsid w:val="00171424"/>
    <w:rsid w:val="00172263"/>
    <w:rsid w:val="00173824"/>
    <w:rsid w:val="00175574"/>
    <w:rsid w:val="00175F89"/>
    <w:rsid w:val="0017663B"/>
    <w:rsid w:val="00176E56"/>
    <w:rsid w:val="001771BD"/>
    <w:rsid w:val="00177FE3"/>
    <w:rsid w:val="0018034E"/>
    <w:rsid w:val="00180C8C"/>
    <w:rsid w:val="00181B5A"/>
    <w:rsid w:val="00182F2B"/>
    <w:rsid w:val="001834EF"/>
    <w:rsid w:val="00183507"/>
    <w:rsid w:val="001837A6"/>
    <w:rsid w:val="00183896"/>
    <w:rsid w:val="00184CFD"/>
    <w:rsid w:val="0018601B"/>
    <w:rsid w:val="00186DB6"/>
    <w:rsid w:val="00190F20"/>
    <w:rsid w:val="0019159E"/>
    <w:rsid w:val="001927BD"/>
    <w:rsid w:val="00193682"/>
    <w:rsid w:val="001938A7"/>
    <w:rsid w:val="00193F73"/>
    <w:rsid w:val="0019538C"/>
    <w:rsid w:val="00197085"/>
    <w:rsid w:val="00197ACB"/>
    <w:rsid w:val="00197D95"/>
    <w:rsid w:val="001A054B"/>
    <w:rsid w:val="001A2051"/>
    <w:rsid w:val="001A2B3D"/>
    <w:rsid w:val="001A3025"/>
    <w:rsid w:val="001A319A"/>
    <w:rsid w:val="001A4381"/>
    <w:rsid w:val="001A45BC"/>
    <w:rsid w:val="001A528A"/>
    <w:rsid w:val="001A5534"/>
    <w:rsid w:val="001A6188"/>
    <w:rsid w:val="001A6206"/>
    <w:rsid w:val="001A772F"/>
    <w:rsid w:val="001B0683"/>
    <w:rsid w:val="001B0EF9"/>
    <w:rsid w:val="001B1651"/>
    <w:rsid w:val="001B1CE5"/>
    <w:rsid w:val="001B2F96"/>
    <w:rsid w:val="001B30CF"/>
    <w:rsid w:val="001B30E0"/>
    <w:rsid w:val="001B34B5"/>
    <w:rsid w:val="001B3B49"/>
    <w:rsid w:val="001B3C7B"/>
    <w:rsid w:val="001B4435"/>
    <w:rsid w:val="001B69E7"/>
    <w:rsid w:val="001B6AFA"/>
    <w:rsid w:val="001C0377"/>
    <w:rsid w:val="001C184E"/>
    <w:rsid w:val="001C1C7D"/>
    <w:rsid w:val="001C295D"/>
    <w:rsid w:val="001C4996"/>
    <w:rsid w:val="001C62D3"/>
    <w:rsid w:val="001C6BAB"/>
    <w:rsid w:val="001C7334"/>
    <w:rsid w:val="001C7C05"/>
    <w:rsid w:val="001D09B1"/>
    <w:rsid w:val="001D129A"/>
    <w:rsid w:val="001D1F1B"/>
    <w:rsid w:val="001D2615"/>
    <w:rsid w:val="001D39B6"/>
    <w:rsid w:val="001D3F5A"/>
    <w:rsid w:val="001D436C"/>
    <w:rsid w:val="001D6B75"/>
    <w:rsid w:val="001D76BF"/>
    <w:rsid w:val="001E0274"/>
    <w:rsid w:val="001E115E"/>
    <w:rsid w:val="001E27F8"/>
    <w:rsid w:val="001E2EE8"/>
    <w:rsid w:val="001E30C3"/>
    <w:rsid w:val="001E3C27"/>
    <w:rsid w:val="001E4BF5"/>
    <w:rsid w:val="001E5387"/>
    <w:rsid w:val="001E7327"/>
    <w:rsid w:val="001E739D"/>
    <w:rsid w:val="001E75C8"/>
    <w:rsid w:val="001E7720"/>
    <w:rsid w:val="001E7744"/>
    <w:rsid w:val="001F1FC1"/>
    <w:rsid w:val="001F2761"/>
    <w:rsid w:val="001F2A11"/>
    <w:rsid w:val="001F4CFB"/>
    <w:rsid w:val="001F583D"/>
    <w:rsid w:val="001F6F00"/>
    <w:rsid w:val="001F7144"/>
    <w:rsid w:val="001F71A5"/>
    <w:rsid w:val="001F7216"/>
    <w:rsid w:val="001F775A"/>
    <w:rsid w:val="00200D5C"/>
    <w:rsid w:val="0020167B"/>
    <w:rsid w:val="00204364"/>
    <w:rsid w:val="0020464B"/>
    <w:rsid w:val="00206291"/>
    <w:rsid w:val="00206862"/>
    <w:rsid w:val="00207185"/>
    <w:rsid w:val="00207313"/>
    <w:rsid w:val="0020739E"/>
    <w:rsid w:val="00207C8A"/>
    <w:rsid w:val="00207CC3"/>
    <w:rsid w:val="0021024B"/>
    <w:rsid w:val="00212675"/>
    <w:rsid w:val="00213153"/>
    <w:rsid w:val="0021387C"/>
    <w:rsid w:val="0021657F"/>
    <w:rsid w:val="0021684B"/>
    <w:rsid w:val="002168E5"/>
    <w:rsid w:val="002173B9"/>
    <w:rsid w:val="0021766E"/>
    <w:rsid w:val="002176C5"/>
    <w:rsid w:val="00217D35"/>
    <w:rsid w:val="00220B5E"/>
    <w:rsid w:val="00221184"/>
    <w:rsid w:val="00223A5B"/>
    <w:rsid w:val="002242A1"/>
    <w:rsid w:val="00224908"/>
    <w:rsid w:val="00224F8E"/>
    <w:rsid w:val="00225204"/>
    <w:rsid w:val="002267C7"/>
    <w:rsid w:val="00226D50"/>
    <w:rsid w:val="002272CB"/>
    <w:rsid w:val="00227E25"/>
    <w:rsid w:val="00231E92"/>
    <w:rsid w:val="00232243"/>
    <w:rsid w:val="0023312F"/>
    <w:rsid w:val="0023349A"/>
    <w:rsid w:val="00233D56"/>
    <w:rsid w:val="00233FED"/>
    <w:rsid w:val="00234351"/>
    <w:rsid w:val="002345CA"/>
    <w:rsid w:val="00234DDB"/>
    <w:rsid w:val="00237255"/>
    <w:rsid w:val="00237353"/>
    <w:rsid w:val="0024030B"/>
    <w:rsid w:val="00240505"/>
    <w:rsid w:val="00241854"/>
    <w:rsid w:val="00241A67"/>
    <w:rsid w:val="00243212"/>
    <w:rsid w:val="00243355"/>
    <w:rsid w:val="00243BC2"/>
    <w:rsid w:val="00244553"/>
    <w:rsid w:val="00245B1F"/>
    <w:rsid w:val="00251885"/>
    <w:rsid w:val="00251DE2"/>
    <w:rsid w:val="00251E82"/>
    <w:rsid w:val="002524E8"/>
    <w:rsid w:val="00252FAF"/>
    <w:rsid w:val="00253D39"/>
    <w:rsid w:val="0025486C"/>
    <w:rsid w:val="00254A99"/>
    <w:rsid w:val="00255059"/>
    <w:rsid w:val="002563B1"/>
    <w:rsid w:val="002569EA"/>
    <w:rsid w:val="002576F7"/>
    <w:rsid w:val="0026114C"/>
    <w:rsid w:val="002614C1"/>
    <w:rsid w:val="00261A05"/>
    <w:rsid w:val="00261B02"/>
    <w:rsid w:val="00262020"/>
    <w:rsid w:val="0026415A"/>
    <w:rsid w:val="00264335"/>
    <w:rsid w:val="00264383"/>
    <w:rsid w:val="002654A6"/>
    <w:rsid w:val="00265BC9"/>
    <w:rsid w:val="002670FE"/>
    <w:rsid w:val="00267EB4"/>
    <w:rsid w:val="0027244B"/>
    <w:rsid w:val="00273CB4"/>
    <w:rsid w:val="00273E62"/>
    <w:rsid w:val="002747A6"/>
    <w:rsid w:val="00277E58"/>
    <w:rsid w:val="002802F2"/>
    <w:rsid w:val="00280552"/>
    <w:rsid w:val="002816C6"/>
    <w:rsid w:val="00281D8F"/>
    <w:rsid w:val="002820F1"/>
    <w:rsid w:val="00283666"/>
    <w:rsid w:val="002837D1"/>
    <w:rsid w:val="00284A28"/>
    <w:rsid w:val="002854D6"/>
    <w:rsid w:val="00285656"/>
    <w:rsid w:val="00286387"/>
    <w:rsid w:val="002871E8"/>
    <w:rsid w:val="0029079C"/>
    <w:rsid w:val="00291C79"/>
    <w:rsid w:val="0029246E"/>
    <w:rsid w:val="002926A2"/>
    <w:rsid w:val="002926BF"/>
    <w:rsid w:val="00293DC6"/>
    <w:rsid w:val="0029480C"/>
    <w:rsid w:val="002955CC"/>
    <w:rsid w:val="00295AFF"/>
    <w:rsid w:val="00297710"/>
    <w:rsid w:val="00297712"/>
    <w:rsid w:val="002A05DB"/>
    <w:rsid w:val="002A17E5"/>
    <w:rsid w:val="002A1FA0"/>
    <w:rsid w:val="002A3EDD"/>
    <w:rsid w:val="002A49A3"/>
    <w:rsid w:val="002A4AF7"/>
    <w:rsid w:val="002A5D22"/>
    <w:rsid w:val="002A5EBF"/>
    <w:rsid w:val="002A66ED"/>
    <w:rsid w:val="002B0426"/>
    <w:rsid w:val="002B3129"/>
    <w:rsid w:val="002B3644"/>
    <w:rsid w:val="002B58B1"/>
    <w:rsid w:val="002B626B"/>
    <w:rsid w:val="002B73C6"/>
    <w:rsid w:val="002C0FB2"/>
    <w:rsid w:val="002C11F9"/>
    <w:rsid w:val="002C236E"/>
    <w:rsid w:val="002C25CE"/>
    <w:rsid w:val="002C2DA3"/>
    <w:rsid w:val="002C4200"/>
    <w:rsid w:val="002C49EC"/>
    <w:rsid w:val="002C5F2D"/>
    <w:rsid w:val="002C7D04"/>
    <w:rsid w:val="002D1908"/>
    <w:rsid w:val="002D2F1A"/>
    <w:rsid w:val="002D3C8B"/>
    <w:rsid w:val="002D4158"/>
    <w:rsid w:val="002D44DC"/>
    <w:rsid w:val="002D584B"/>
    <w:rsid w:val="002D7342"/>
    <w:rsid w:val="002E02BA"/>
    <w:rsid w:val="002E0E16"/>
    <w:rsid w:val="002E1EA4"/>
    <w:rsid w:val="002E205D"/>
    <w:rsid w:val="002E2084"/>
    <w:rsid w:val="002E26DA"/>
    <w:rsid w:val="002E31DD"/>
    <w:rsid w:val="002E41FC"/>
    <w:rsid w:val="002E5D5E"/>
    <w:rsid w:val="002E6E82"/>
    <w:rsid w:val="002E6F28"/>
    <w:rsid w:val="002E6F87"/>
    <w:rsid w:val="002E7357"/>
    <w:rsid w:val="002E7860"/>
    <w:rsid w:val="002F01DF"/>
    <w:rsid w:val="002F10BD"/>
    <w:rsid w:val="002F129C"/>
    <w:rsid w:val="002F150B"/>
    <w:rsid w:val="002F21C6"/>
    <w:rsid w:val="002F3718"/>
    <w:rsid w:val="002F3940"/>
    <w:rsid w:val="002F4648"/>
    <w:rsid w:val="002F467E"/>
    <w:rsid w:val="002F4BA8"/>
    <w:rsid w:val="002F5134"/>
    <w:rsid w:val="002F5863"/>
    <w:rsid w:val="002F5C24"/>
    <w:rsid w:val="002F5E1E"/>
    <w:rsid w:val="002F61A9"/>
    <w:rsid w:val="002F64AE"/>
    <w:rsid w:val="002F6BD8"/>
    <w:rsid w:val="003001AF"/>
    <w:rsid w:val="003009F0"/>
    <w:rsid w:val="0030120F"/>
    <w:rsid w:val="003012EA"/>
    <w:rsid w:val="0030237B"/>
    <w:rsid w:val="00303A3C"/>
    <w:rsid w:val="003044A5"/>
    <w:rsid w:val="0030512F"/>
    <w:rsid w:val="003051E6"/>
    <w:rsid w:val="00306265"/>
    <w:rsid w:val="00306F51"/>
    <w:rsid w:val="00307494"/>
    <w:rsid w:val="003075BC"/>
    <w:rsid w:val="00307B72"/>
    <w:rsid w:val="0031043B"/>
    <w:rsid w:val="003118F7"/>
    <w:rsid w:val="00312428"/>
    <w:rsid w:val="0031249B"/>
    <w:rsid w:val="00312D6E"/>
    <w:rsid w:val="00312DB8"/>
    <w:rsid w:val="00312EB0"/>
    <w:rsid w:val="003134C3"/>
    <w:rsid w:val="003136F7"/>
    <w:rsid w:val="003142BA"/>
    <w:rsid w:val="003143D4"/>
    <w:rsid w:val="003146E6"/>
    <w:rsid w:val="00315403"/>
    <w:rsid w:val="003161A5"/>
    <w:rsid w:val="0031673E"/>
    <w:rsid w:val="0031682C"/>
    <w:rsid w:val="00316CE9"/>
    <w:rsid w:val="00316DB4"/>
    <w:rsid w:val="00320218"/>
    <w:rsid w:val="003202F8"/>
    <w:rsid w:val="003208B4"/>
    <w:rsid w:val="00320F7D"/>
    <w:rsid w:val="00321533"/>
    <w:rsid w:val="003223B0"/>
    <w:rsid w:val="003230DA"/>
    <w:rsid w:val="00323169"/>
    <w:rsid w:val="003234F0"/>
    <w:rsid w:val="00323CA6"/>
    <w:rsid w:val="00324A91"/>
    <w:rsid w:val="00324C15"/>
    <w:rsid w:val="003269F7"/>
    <w:rsid w:val="003270D6"/>
    <w:rsid w:val="0033129D"/>
    <w:rsid w:val="00332DBD"/>
    <w:rsid w:val="003333BF"/>
    <w:rsid w:val="00333B98"/>
    <w:rsid w:val="00333C8E"/>
    <w:rsid w:val="003341A9"/>
    <w:rsid w:val="003350C5"/>
    <w:rsid w:val="0033675F"/>
    <w:rsid w:val="00337AE5"/>
    <w:rsid w:val="0034012E"/>
    <w:rsid w:val="0034025B"/>
    <w:rsid w:val="00341195"/>
    <w:rsid w:val="0034138A"/>
    <w:rsid w:val="0034251A"/>
    <w:rsid w:val="00342E6B"/>
    <w:rsid w:val="00344555"/>
    <w:rsid w:val="00344F97"/>
    <w:rsid w:val="0034543C"/>
    <w:rsid w:val="00346201"/>
    <w:rsid w:val="003466B0"/>
    <w:rsid w:val="003467E7"/>
    <w:rsid w:val="00346E83"/>
    <w:rsid w:val="00347B6F"/>
    <w:rsid w:val="00347FA0"/>
    <w:rsid w:val="003500D5"/>
    <w:rsid w:val="00353167"/>
    <w:rsid w:val="0035343B"/>
    <w:rsid w:val="003541B6"/>
    <w:rsid w:val="003545A8"/>
    <w:rsid w:val="003552A4"/>
    <w:rsid w:val="00356020"/>
    <w:rsid w:val="003561D2"/>
    <w:rsid w:val="003561F1"/>
    <w:rsid w:val="00356266"/>
    <w:rsid w:val="003578FF"/>
    <w:rsid w:val="00357987"/>
    <w:rsid w:val="00357C3B"/>
    <w:rsid w:val="00357DEF"/>
    <w:rsid w:val="00357ECC"/>
    <w:rsid w:val="003622FF"/>
    <w:rsid w:val="00362436"/>
    <w:rsid w:val="00362D77"/>
    <w:rsid w:val="003634C2"/>
    <w:rsid w:val="00363ECE"/>
    <w:rsid w:val="003640DE"/>
    <w:rsid w:val="00365B7D"/>
    <w:rsid w:val="00366A30"/>
    <w:rsid w:val="00366D41"/>
    <w:rsid w:val="00370C33"/>
    <w:rsid w:val="003744AA"/>
    <w:rsid w:val="00375126"/>
    <w:rsid w:val="00375CC6"/>
    <w:rsid w:val="00375D36"/>
    <w:rsid w:val="00376AC1"/>
    <w:rsid w:val="00376F93"/>
    <w:rsid w:val="00377FEF"/>
    <w:rsid w:val="0038134D"/>
    <w:rsid w:val="00381CA9"/>
    <w:rsid w:val="00382C02"/>
    <w:rsid w:val="00382F97"/>
    <w:rsid w:val="0038488E"/>
    <w:rsid w:val="00385F45"/>
    <w:rsid w:val="00386F1D"/>
    <w:rsid w:val="00390136"/>
    <w:rsid w:val="00390EF4"/>
    <w:rsid w:val="00390F9C"/>
    <w:rsid w:val="00392A7C"/>
    <w:rsid w:val="00394F60"/>
    <w:rsid w:val="0039541E"/>
    <w:rsid w:val="00395F95"/>
    <w:rsid w:val="00396CE9"/>
    <w:rsid w:val="00397518"/>
    <w:rsid w:val="0039785D"/>
    <w:rsid w:val="003A2B60"/>
    <w:rsid w:val="003A2C52"/>
    <w:rsid w:val="003A31B2"/>
    <w:rsid w:val="003A3575"/>
    <w:rsid w:val="003A3A25"/>
    <w:rsid w:val="003A3A61"/>
    <w:rsid w:val="003A4593"/>
    <w:rsid w:val="003A5C17"/>
    <w:rsid w:val="003A6089"/>
    <w:rsid w:val="003A6394"/>
    <w:rsid w:val="003A6471"/>
    <w:rsid w:val="003A78A3"/>
    <w:rsid w:val="003B00C3"/>
    <w:rsid w:val="003B0180"/>
    <w:rsid w:val="003B0F7E"/>
    <w:rsid w:val="003B148B"/>
    <w:rsid w:val="003B199A"/>
    <w:rsid w:val="003B1BE8"/>
    <w:rsid w:val="003B241B"/>
    <w:rsid w:val="003B2FC4"/>
    <w:rsid w:val="003B33D9"/>
    <w:rsid w:val="003B35C5"/>
    <w:rsid w:val="003B4343"/>
    <w:rsid w:val="003B472B"/>
    <w:rsid w:val="003B4A44"/>
    <w:rsid w:val="003B5209"/>
    <w:rsid w:val="003B65FB"/>
    <w:rsid w:val="003B757A"/>
    <w:rsid w:val="003C280B"/>
    <w:rsid w:val="003C2B2A"/>
    <w:rsid w:val="003C2BAF"/>
    <w:rsid w:val="003C3188"/>
    <w:rsid w:val="003C640D"/>
    <w:rsid w:val="003C6B73"/>
    <w:rsid w:val="003C6C41"/>
    <w:rsid w:val="003C7051"/>
    <w:rsid w:val="003C791D"/>
    <w:rsid w:val="003C7C35"/>
    <w:rsid w:val="003D0AB6"/>
    <w:rsid w:val="003D0E64"/>
    <w:rsid w:val="003D1BAD"/>
    <w:rsid w:val="003D2405"/>
    <w:rsid w:val="003D472B"/>
    <w:rsid w:val="003D7373"/>
    <w:rsid w:val="003D7D0B"/>
    <w:rsid w:val="003D7E7F"/>
    <w:rsid w:val="003E1C92"/>
    <w:rsid w:val="003E3D21"/>
    <w:rsid w:val="003E40B5"/>
    <w:rsid w:val="003E4681"/>
    <w:rsid w:val="003E4DF6"/>
    <w:rsid w:val="003E512C"/>
    <w:rsid w:val="003E5EC3"/>
    <w:rsid w:val="003E6614"/>
    <w:rsid w:val="003E6807"/>
    <w:rsid w:val="003E6BDC"/>
    <w:rsid w:val="003F1E42"/>
    <w:rsid w:val="003F26DD"/>
    <w:rsid w:val="003F36D7"/>
    <w:rsid w:val="003F47E3"/>
    <w:rsid w:val="003F503B"/>
    <w:rsid w:val="003F60C0"/>
    <w:rsid w:val="003F6C96"/>
    <w:rsid w:val="003F7185"/>
    <w:rsid w:val="003F7D4B"/>
    <w:rsid w:val="0040061A"/>
    <w:rsid w:val="00402158"/>
    <w:rsid w:val="00402270"/>
    <w:rsid w:val="00405E96"/>
    <w:rsid w:val="0040602A"/>
    <w:rsid w:val="00407480"/>
    <w:rsid w:val="004074ED"/>
    <w:rsid w:val="0041003A"/>
    <w:rsid w:val="00412181"/>
    <w:rsid w:val="00412C49"/>
    <w:rsid w:val="004133E5"/>
    <w:rsid w:val="00413AFE"/>
    <w:rsid w:val="004143B2"/>
    <w:rsid w:val="00414443"/>
    <w:rsid w:val="00415FC4"/>
    <w:rsid w:val="00416189"/>
    <w:rsid w:val="00416EB4"/>
    <w:rsid w:val="00417092"/>
    <w:rsid w:val="00417568"/>
    <w:rsid w:val="00421D0B"/>
    <w:rsid w:val="004224C5"/>
    <w:rsid w:val="00422927"/>
    <w:rsid w:val="004229DE"/>
    <w:rsid w:val="00422CBA"/>
    <w:rsid w:val="00423602"/>
    <w:rsid w:val="004239AE"/>
    <w:rsid w:val="00423E8F"/>
    <w:rsid w:val="004251B6"/>
    <w:rsid w:val="004259B8"/>
    <w:rsid w:val="00425C5D"/>
    <w:rsid w:val="004269DA"/>
    <w:rsid w:val="0042798D"/>
    <w:rsid w:val="00432F82"/>
    <w:rsid w:val="00434618"/>
    <w:rsid w:val="00434AAB"/>
    <w:rsid w:val="00434B76"/>
    <w:rsid w:val="00435527"/>
    <w:rsid w:val="00435FF5"/>
    <w:rsid w:val="0043681C"/>
    <w:rsid w:val="00437273"/>
    <w:rsid w:val="004403F0"/>
    <w:rsid w:val="00440820"/>
    <w:rsid w:val="00444109"/>
    <w:rsid w:val="004441AD"/>
    <w:rsid w:val="00444DA6"/>
    <w:rsid w:val="00445C19"/>
    <w:rsid w:val="004466EA"/>
    <w:rsid w:val="00446A31"/>
    <w:rsid w:val="00446D37"/>
    <w:rsid w:val="004475A9"/>
    <w:rsid w:val="0044794F"/>
    <w:rsid w:val="00447CD2"/>
    <w:rsid w:val="00450447"/>
    <w:rsid w:val="00450723"/>
    <w:rsid w:val="00453D77"/>
    <w:rsid w:val="00454254"/>
    <w:rsid w:val="00454313"/>
    <w:rsid w:val="00454965"/>
    <w:rsid w:val="00455679"/>
    <w:rsid w:val="00461612"/>
    <w:rsid w:val="0046178B"/>
    <w:rsid w:val="00462314"/>
    <w:rsid w:val="00462E07"/>
    <w:rsid w:val="0046331C"/>
    <w:rsid w:val="00463512"/>
    <w:rsid w:val="0046362C"/>
    <w:rsid w:val="00463BBF"/>
    <w:rsid w:val="00463C05"/>
    <w:rsid w:val="00466C2F"/>
    <w:rsid w:val="004701D0"/>
    <w:rsid w:val="00470E4D"/>
    <w:rsid w:val="00472098"/>
    <w:rsid w:val="00474C08"/>
    <w:rsid w:val="00474D75"/>
    <w:rsid w:val="004764CC"/>
    <w:rsid w:val="004764EE"/>
    <w:rsid w:val="0047693B"/>
    <w:rsid w:val="00476D76"/>
    <w:rsid w:val="004771EB"/>
    <w:rsid w:val="004814D5"/>
    <w:rsid w:val="004814F0"/>
    <w:rsid w:val="00482771"/>
    <w:rsid w:val="00483180"/>
    <w:rsid w:val="0048361D"/>
    <w:rsid w:val="00483C58"/>
    <w:rsid w:val="00484222"/>
    <w:rsid w:val="00485F46"/>
    <w:rsid w:val="0048785A"/>
    <w:rsid w:val="004906C4"/>
    <w:rsid w:val="00491855"/>
    <w:rsid w:val="00491CDD"/>
    <w:rsid w:val="0049412C"/>
    <w:rsid w:val="00494345"/>
    <w:rsid w:val="00494DDD"/>
    <w:rsid w:val="00495192"/>
    <w:rsid w:val="004956C0"/>
    <w:rsid w:val="004A0D43"/>
    <w:rsid w:val="004A1818"/>
    <w:rsid w:val="004A1C7F"/>
    <w:rsid w:val="004A3EE9"/>
    <w:rsid w:val="004A4431"/>
    <w:rsid w:val="004A4E4F"/>
    <w:rsid w:val="004A56E7"/>
    <w:rsid w:val="004A7738"/>
    <w:rsid w:val="004A7750"/>
    <w:rsid w:val="004A7FE6"/>
    <w:rsid w:val="004B02B9"/>
    <w:rsid w:val="004B0B90"/>
    <w:rsid w:val="004B2F0D"/>
    <w:rsid w:val="004B30FB"/>
    <w:rsid w:val="004B3F80"/>
    <w:rsid w:val="004B40EE"/>
    <w:rsid w:val="004B45F4"/>
    <w:rsid w:val="004B4A27"/>
    <w:rsid w:val="004C0A8D"/>
    <w:rsid w:val="004C2024"/>
    <w:rsid w:val="004C25F6"/>
    <w:rsid w:val="004C2D19"/>
    <w:rsid w:val="004C357C"/>
    <w:rsid w:val="004C62C6"/>
    <w:rsid w:val="004D100D"/>
    <w:rsid w:val="004D1B32"/>
    <w:rsid w:val="004D2626"/>
    <w:rsid w:val="004D2C34"/>
    <w:rsid w:val="004D2E28"/>
    <w:rsid w:val="004D3901"/>
    <w:rsid w:val="004D3F5D"/>
    <w:rsid w:val="004D41D8"/>
    <w:rsid w:val="004D5E10"/>
    <w:rsid w:val="004D609D"/>
    <w:rsid w:val="004D67C5"/>
    <w:rsid w:val="004D6E34"/>
    <w:rsid w:val="004D7E65"/>
    <w:rsid w:val="004E00D0"/>
    <w:rsid w:val="004E07DC"/>
    <w:rsid w:val="004E0851"/>
    <w:rsid w:val="004E0939"/>
    <w:rsid w:val="004E1AB5"/>
    <w:rsid w:val="004E1AE2"/>
    <w:rsid w:val="004E4165"/>
    <w:rsid w:val="004E5446"/>
    <w:rsid w:val="004E6678"/>
    <w:rsid w:val="004E7F1E"/>
    <w:rsid w:val="004F059F"/>
    <w:rsid w:val="004F1352"/>
    <w:rsid w:val="004F2868"/>
    <w:rsid w:val="004F55F8"/>
    <w:rsid w:val="004F6ACE"/>
    <w:rsid w:val="004F7447"/>
    <w:rsid w:val="004F76D9"/>
    <w:rsid w:val="004F7E37"/>
    <w:rsid w:val="00501F2F"/>
    <w:rsid w:val="00505141"/>
    <w:rsid w:val="005066A2"/>
    <w:rsid w:val="00506CD9"/>
    <w:rsid w:val="00511753"/>
    <w:rsid w:val="00511EF3"/>
    <w:rsid w:val="00512AE9"/>
    <w:rsid w:val="00512E41"/>
    <w:rsid w:val="00513472"/>
    <w:rsid w:val="00513FBF"/>
    <w:rsid w:val="00516576"/>
    <w:rsid w:val="0051750C"/>
    <w:rsid w:val="005218A3"/>
    <w:rsid w:val="00521D8D"/>
    <w:rsid w:val="00522063"/>
    <w:rsid w:val="00522ED0"/>
    <w:rsid w:val="00523826"/>
    <w:rsid w:val="00523C58"/>
    <w:rsid w:val="00524CFC"/>
    <w:rsid w:val="005253A2"/>
    <w:rsid w:val="0052557E"/>
    <w:rsid w:val="00525782"/>
    <w:rsid w:val="00526CC9"/>
    <w:rsid w:val="0052770E"/>
    <w:rsid w:val="00530C05"/>
    <w:rsid w:val="005310F8"/>
    <w:rsid w:val="0053163F"/>
    <w:rsid w:val="005319AA"/>
    <w:rsid w:val="005347F8"/>
    <w:rsid w:val="00534CA7"/>
    <w:rsid w:val="00535BAD"/>
    <w:rsid w:val="00535C26"/>
    <w:rsid w:val="00536008"/>
    <w:rsid w:val="00536B3B"/>
    <w:rsid w:val="00537DBB"/>
    <w:rsid w:val="00541D0D"/>
    <w:rsid w:val="005429D2"/>
    <w:rsid w:val="005435C8"/>
    <w:rsid w:val="00543E56"/>
    <w:rsid w:val="00544A5C"/>
    <w:rsid w:val="0054542E"/>
    <w:rsid w:val="005459C3"/>
    <w:rsid w:val="00546B72"/>
    <w:rsid w:val="005470EC"/>
    <w:rsid w:val="00550399"/>
    <w:rsid w:val="00551433"/>
    <w:rsid w:val="005514CA"/>
    <w:rsid w:val="00552380"/>
    <w:rsid w:val="005525BE"/>
    <w:rsid w:val="00556328"/>
    <w:rsid w:val="00556D13"/>
    <w:rsid w:val="00560806"/>
    <w:rsid w:val="005618BD"/>
    <w:rsid w:val="00563399"/>
    <w:rsid w:val="0056591F"/>
    <w:rsid w:val="00566E5E"/>
    <w:rsid w:val="00570EFE"/>
    <w:rsid w:val="00571282"/>
    <w:rsid w:val="00571E9F"/>
    <w:rsid w:val="00573C3B"/>
    <w:rsid w:val="00574E1B"/>
    <w:rsid w:val="0058041E"/>
    <w:rsid w:val="00583974"/>
    <w:rsid w:val="005860AC"/>
    <w:rsid w:val="005870AA"/>
    <w:rsid w:val="0058722C"/>
    <w:rsid w:val="0058799A"/>
    <w:rsid w:val="00587F62"/>
    <w:rsid w:val="00590149"/>
    <w:rsid w:val="00591DBC"/>
    <w:rsid w:val="00592358"/>
    <w:rsid w:val="00592FD2"/>
    <w:rsid w:val="0059373B"/>
    <w:rsid w:val="00593B80"/>
    <w:rsid w:val="00596A1C"/>
    <w:rsid w:val="00596A3E"/>
    <w:rsid w:val="00596FDB"/>
    <w:rsid w:val="005A06D3"/>
    <w:rsid w:val="005A0AC2"/>
    <w:rsid w:val="005A0AF8"/>
    <w:rsid w:val="005A0E6F"/>
    <w:rsid w:val="005A1E77"/>
    <w:rsid w:val="005A2B2E"/>
    <w:rsid w:val="005A3E49"/>
    <w:rsid w:val="005A4714"/>
    <w:rsid w:val="005A47EC"/>
    <w:rsid w:val="005A4EAB"/>
    <w:rsid w:val="005A73A1"/>
    <w:rsid w:val="005B1B07"/>
    <w:rsid w:val="005B551F"/>
    <w:rsid w:val="005B5D93"/>
    <w:rsid w:val="005B66C8"/>
    <w:rsid w:val="005C0A9A"/>
    <w:rsid w:val="005C0E02"/>
    <w:rsid w:val="005C11DE"/>
    <w:rsid w:val="005C12C6"/>
    <w:rsid w:val="005C1DE1"/>
    <w:rsid w:val="005C28BC"/>
    <w:rsid w:val="005C2DB7"/>
    <w:rsid w:val="005C4EA4"/>
    <w:rsid w:val="005D0287"/>
    <w:rsid w:val="005D06A8"/>
    <w:rsid w:val="005D07B2"/>
    <w:rsid w:val="005D092B"/>
    <w:rsid w:val="005D0AD6"/>
    <w:rsid w:val="005D10E5"/>
    <w:rsid w:val="005D39F3"/>
    <w:rsid w:val="005D46EE"/>
    <w:rsid w:val="005D4EB3"/>
    <w:rsid w:val="005D6106"/>
    <w:rsid w:val="005D7E62"/>
    <w:rsid w:val="005E0596"/>
    <w:rsid w:val="005E0731"/>
    <w:rsid w:val="005E13DF"/>
    <w:rsid w:val="005E1D9A"/>
    <w:rsid w:val="005E2073"/>
    <w:rsid w:val="005E2983"/>
    <w:rsid w:val="005E3ECE"/>
    <w:rsid w:val="005E3EE4"/>
    <w:rsid w:val="005E4877"/>
    <w:rsid w:val="005E5FD0"/>
    <w:rsid w:val="005E6479"/>
    <w:rsid w:val="005E6778"/>
    <w:rsid w:val="005F03CC"/>
    <w:rsid w:val="005F10D3"/>
    <w:rsid w:val="005F2063"/>
    <w:rsid w:val="005F2279"/>
    <w:rsid w:val="005F2A5B"/>
    <w:rsid w:val="005F31BE"/>
    <w:rsid w:val="005F36AB"/>
    <w:rsid w:val="005F442A"/>
    <w:rsid w:val="005F700B"/>
    <w:rsid w:val="006007C7"/>
    <w:rsid w:val="00600B5F"/>
    <w:rsid w:val="00600FFC"/>
    <w:rsid w:val="0060133B"/>
    <w:rsid w:val="0060156F"/>
    <w:rsid w:val="006015A3"/>
    <w:rsid w:val="00601A1D"/>
    <w:rsid w:val="00601C31"/>
    <w:rsid w:val="00602BC6"/>
    <w:rsid w:val="00602EB0"/>
    <w:rsid w:val="00603311"/>
    <w:rsid w:val="00603888"/>
    <w:rsid w:val="00603C6D"/>
    <w:rsid w:val="006040ED"/>
    <w:rsid w:val="00604415"/>
    <w:rsid w:val="00604F92"/>
    <w:rsid w:val="0060655F"/>
    <w:rsid w:val="00606EB8"/>
    <w:rsid w:val="006079B9"/>
    <w:rsid w:val="00612A20"/>
    <w:rsid w:val="00613A11"/>
    <w:rsid w:val="00613B72"/>
    <w:rsid w:val="0061706E"/>
    <w:rsid w:val="006224B6"/>
    <w:rsid w:val="006227B4"/>
    <w:rsid w:val="00622914"/>
    <w:rsid w:val="0062291A"/>
    <w:rsid w:val="00622AA8"/>
    <w:rsid w:val="00622D91"/>
    <w:rsid w:val="006237CF"/>
    <w:rsid w:val="00623B31"/>
    <w:rsid w:val="00623C7E"/>
    <w:rsid w:val="00624BC1"/>
    <w:rsid w:val="0062575D"/>
    <w:rsid w:val="00626CC1"/>
    <w:rsid w:val="0063164E"/>
    <w:rsid w:val="0063286C"/>
    <w:rsid w:val="006335A2"/>
    <w:rsid w:val="00635FF5"/>
    <w:rsid w:val="00636375"/>
    <w:rsid w:val="00636DD3"/>
    <w:rsid w:val="00637FF0"/>
    <w:rsid w:val="0064070D"/>
    <w:rsid w:val="0064166F"/>
    <w:rsid w:val="00643373"/>
    <w:rsid w:val="0064342E"/>
    <w:rsid w:val="00643C4C"/>
    <w:rsid w:val="00644764"/>
    <w:rsid w:val="0064549C"/>
    <w:rsid w:val="0064601A"/>
    <w:rsid w:val="00647314"/>
    <w:rsid w:val="00647676"/>
    <w:rsid w:val="00647DB2"/>
    <w:rsid w:val="00647DB4"/>
    <w:rsid w:val="006502E3"/>
    <w:rsid w:val="006511AA"/>
    <w:rsid w:val="006522C9"/>
    <w:rsid w:val="006526F7"/>
    <w:rsid w:val="00653325"/>
    <w:rsid w:val="00653E7B"/>
    <w:rsid w:val="00655756"/>
    <w:rsid w:val="00655823"/>
    <w:rsid w:val="00656D66"/>
    <w:rsid w:val="00660F48"/>
    <w:rsid w:val="0066468F"/>
    <w:rsid w:val="00665483"/>
    <w:rsid w:val="00665640"/>
    <w:rsid w:val="0066619C"/>
    <w:rsid w:val="00670083"/>
    <w:rsid w:val="006702D1"/>
    <w:rsid w:val="006704F7"/>
    <w:rsid w:val="006707E3"/>
    <w:rsid w:val="00670A74"/>
    <w:rsid w:val="006713C0"/>
    <w:rsid w:val="006717CE"/>
    <w:rsid w:val="00673A3D"/>
    <w:rsid w:val="00673DB8"/>
    <w:rsid w:val="00674304"/>
    <w:rsid w:val="00674779"/>
    <w:rsid w:val="00674A7F"/>
    <w:rsid w:val="006761CA"/>
    <w:rsid w:val="00676D51"/>
    <w:rsid w:val="00676EAB"/>
    <w:rsid w:val="0067747F"/>
    <w:rsid w:val="00680C1A"/>
    <w:rsid w:val="006811DC"/>
    <w:rsid w:val="00681378"/>
    <w:rsid w:val="00682DEE"/>
    <w:rsid w:val="006836A7"/>
    <w:rsid w:val="00683A24"/>
    <w:rsid w:val="006868AD"/>
    <w:rsid w:val="006872DB"/>
    <w:rsid w:val="00687BC8"/>
    <w:rsid w:val="006902D8"/>
    <w:rsid w:val="0069091E"/>
    <w:rsid w:val="00691D96"/>
    <w:rsid w:val="00692936"/>
    <w:rsid w:val="00692CE3"/>
    <w:rsid w:val="00692D34"/>
    <w:rsid w:val="0069300A"/>
    <w:rsid w:val="00693B96"/>
    <w:rsid w:val="00693E0B"/>
    <w:rsid w:val="00693FF6"/>
    <w:rsid w:val="00695F24"/>
    <w:rsid w:val="00696507"/>
    <w:rsid w:val="0069688D"/>
    <w:rsid w:val="00696ABF"/>
    <w:rsid w:val="00696B3D"/>
    <w:rsid w:val="006975FE"/>
    <w:rsid w:val="0069776E"/>
    <w:rsid w:val="006A0BF0"/>
    <w:rsid w:val="006A1A87"/>
    <w:rsid w:val="006A2CBF"/>
    <w:rsid w:val="006A507F"/>
    <w:rsid w:val="006A53AA"/>
    <w:rsid w:val="006A57F3"/>
    <w:rsid w:val="006A7193"/>
    <w:rsid w:val="006B08B4"/>
    <w:rsid w:val="006B12C5"/>
    <w:rsid w:val="006B1F6D"/>
    <w:rsid w:val="006B2978"/>
    <w:rsid w:val="006B30D5"/>
    <w:rsid w:val="006B3DC5"/>
    <w:rsid w:val="006B3EAE"/>
    <w:rsid w:val="006B4323"/>
    <w:rsid w:val="006B6367"/>
    <w:rsid w:val="006B7A8F"/>
    <w:rsid w:val="006C034B"/>
    <w:rsid w:val="006C0406"/>
    <w:rsid w:val="006C2AB7"/>
    <w:rsid w:val="006C372B"/>
    <w:rsid w:val="006C38D6"/>
    <w:rsid w:val="006C4184"/>
    <w:rsid w:val="006C50A3"/>
    <w:rsid w:val="006C5AEF"/>
    <w:rsid w:val="006C6C6F"/>
    <w:rsid w:val="006C6E2C"/>
    <w:rsid w:val="006C70AC"/>
    <w:rsid w:val="006C74FB"/>
    <w:rsid w:val="006C760A"/>
    <w:rsid w:val="006D416F"/>
    <w:rsid w:val="006D453A"/>
    <w:rsid w:val="006D458F"/>
    <w:rsid w:val="006D5EC9"/>
    <w:rsid w:val="006D62BB"/>
    <w:rsid w:val="006E0358"/>
    <w:rsid w:val="006E0C79"/>
    <w:rsid w:val="006E0D45"/>
    <w:rsid w:val="006E3384"/>
    <w:rsid w:val="006E3B24"/>
    <w:rsid w:val="006E4051"/>
    <w:rsid w:val="006E480B"/>
    <w:rsid w:val="006E5945"/>
    <w:rsid w:val="006E5E68"/>
    <w:rsid w:val="006E668E"/>
    <w:rsid w:val="006E68A1"/>
    <w:rsid w:val="006F0B18"/>
    <w:rsid w:val="006F1A82"/>
    <w:rsid w:val="006F2049"/>
    <w:rsid w:val="006F278A"/>
    <w:rsid w:val="006F284C"/>
    <w:rsid w:val="006F2975"/>
    <w:rsid w:val="006F33D4"/>
    <w:rsid w:val="006F3608"/>
    <w:rsid w:val="006F39D1"/>
    <w:rsid w:val="006F3ECA"/>
    <w:rsid w:val="006F49FC"/>
    <w:rsid w:val="006F64B0"/>
    <w:rsid w:val="006F7FE6"/>
    <w:rsid w:val="007008CF"/>
    <w:rsid w:val="00701A0C"/>
    <w:rsid w:val="00702823"/>
    <w:rsid w:val="00702DFC"/>
    <w:rsid w:val="0070339C"/>
    <w:rsid w:val="00703664"/>
    <w:rsid w:val="007037E4"/>
    <w:rsid w:val="0070556E"/>
    <w:rsid w:val="00705CE7"/>
    <w:rsid w:val="007067CB"/>
    <w:rsid w:val="007067F4"/>
    <w:rsid w:val="0070704B"/>
    <w:rsid w:val="007103A2"/>
    <w:rsid w:val="00710B36"/>
    <w:rsid w:val="00712041"/>
    <w:rsid w:val="00713CBF"/>
    <w:rsid w:val="007168F4"/>
    <w:rsid w:val="007169B6"/>
    <w:rsid w:val="00717C4C"/>
    <w:rsid w:val="00721276"/>
    <w:rsid w:val="007220A0"/>
    <w:rsid w:val="00723BCD"/>
    <w:rsid w:val="00724574"/>
    <w:rsid w:val="00725236"/>
    <w:rsid w:val="0072768C"/>
    <w:rsid w:val="0073024B"/>
    <w:rsid w:val="00731730"/>
    <w:rsid w:val="00732049"/>
    <w:rsid w:val="007323C8"/>
    <w:rsid w:val="00732BA5"/>
    <w:rsid w:val="00733DDB"/>
    <w:rsid w:val="007341BA"/>
    <w:rsid w:val="007343EE"/>
    <w:rsid w:val="007347FF"/>
    <w:rsid w:val="0073536D"/>
    <w:rsid w:val="007357A6"/>
    <w:rsid w:val="00742130"/>
    <w:rsid w:val="0074346F"/>
    <w:rsid w:val="007440DB"/>
    <w:rsid w:val="00744601"/>
    <w:rsid w:val="00745577"/>
    <w:rsid w:val="00745DD1"/>
    <w:rsid w:val="00745E22"/>
    <w:rsid w:val="0074648A"/>
    <w:rsid w:val="00747A9B"/>
    <w:rsid w:val="007501A9"/>
    <w:rsid w:val="0075074A"/>
    <w:rsid w:val="007522D9"/>
    <w:rsid w:val="00752330"/>
    <w:rsid w:val="00753469"/>
    <w:rsid w:val="0075405B"/>
    <w:rsid w:val="007543EE"/>
    <w:rsid w:val="00755623"/>
    <w:rsid w:val="00755D28"/>
    <w:rsid w:val="0075617D"/>
    <w:rsid w:val="0075696F"/>
    <w:rsid w:val="00760A4B"/>
    <w:rsid w:val="00760C78"/>
    <w:rsid w:val="0076118C"/>
    <w:rsid w:val="00761767"/>
    <w:rsid w:val="007633AA"/>
    <w:rsid w:val="00764219"/>
    <w:rsid w:val="007652AE"/>
    <w:rsid w:val="007668BD"/>
    <w:rsid w:val="00767D6E"/>
    <w:rsid w:val="00770580"/>
    <w:rsid w:val="00770D1C"/>
    <w:rsid w:val="00771BFD"/>
    <w:rsid w:val="00772325"/>
    <w:rsid w:val="00773C8D"/>
    <w:rsid w:val="007750EF"/>
    <w:rsid w:val="00775D69"/>
    <w:rsid w:val="00776484"/>
    <w:rsid w:val="00777955"/>
    <w:rsid w:val="007806C4"/>
    <w:rsid w:val="00781E83"/>
    <w:rsid w:val="00781ECE"/>
    <w:rsid w:val="00783619"/>
    <w:rsid w:val="00783C9A"/>
    <w:rsid w:val="00783CDF"/>
    <w:rsid w:val="00784067"/>
    <w:rsid w:val="00785375"/>
    <w:rsid w:val="00786067"/>
    <w:rsid w:val="0079031C"/>
    <w:rsid w:val="007906E2"/>
    <w:rsid w:val="00790FFD"/>
    <w:rsid w:val="0079170E"/>
    <w:rsid w:val="007956C2"/>
    <w:rsid w:val="00795E00"/>
    <w:rsid w:val="007966CB"/>
    <w:rsid w:val="007975D4"/>
    <w:rsid w:val="00797B31"/>
    <w:rsid w:val="007A1E73"/>
    <w:rsid w:val="007A2D1E"/>
    <w:rsid w:val="007A311A"/>
    <w:rsid w:val="007A35F3"/>
    <w:rsid w:val="007A36DD"/>
    <w:rsid w:val="007A6307"/>
    <w:rsid w:val="007A69DC"/>
    <w:rsid w:val="007A7069"/>
    <w:rsid w:val="007B14EF"/>
    <w:rsid w:val="007B19BC"/>
    <w:rsid w:val="007B1EEE"/>
    <w:rsid w:val="007B4C7C"/>
    <w:rsid w:val="007B51E3"/>
    <w:rsid w:val="007B56E7"/>
    <w:rsid w:val="007B579E"/>
    <w:rsid w:val="007B6C34"/>
    <w:rsid w:val="007B6D85"/>
    <w:rsid w:val="007B7BF7"/>
    <w:rsid w:val="007C0C59"/>
    <w:rsid w:val="007C19A4"/>
    <w:rsid w:val="007C31F8"/>
    <w:rsid w:val="007C3C2B"/>
    <w:rsid w:val="007C3C78"/>
    <w:rsid w:val="007C3F82"/>
    <w:rsid w:val="007C4507"/>
    <w:rsid w:val="007C5E78"/>
    <w:rsid w:val="007C67DB"/>
    <w:rsid w:val="007D02A6"/>
    <w:rsid w:val="007D04F8"/>
    <w:rsid w:val="007D0625"/>
    <w:rsid w:val="007D14BA"/>
    <w:rsid w:val="007D185F"/>
    <w:rsid w:val="007D3176"/>
    <w:rsid w:val="007D35F5"/>
    <w:rsid w:val="007D3E0C"/>
    <w:rsid w:val="007D45EF"/>
    <w:rsid w:val="007D5551"/>
    <w:rsid w:val="007D5CAE"/>
    <w:rsid w:val="007D604E"/>
    <w:rsid w:val="007D745B"/>
    <w:rsid w:val="007E10C4"/>
    <w:rsid w:val="007E13CA"/>
    <w:rsid w:val="007E182F"/>
    <w:rsid w:val="007E1D25"/>
    <w:rsid w:val="007E276E"/>
    <w:rsid w:val="007E395D"/>
    <w:rsid w:val="007E474E"/>
    <w:rsid w:val="007E5E9A"/>
    <w:rsid w:val="007E6A0D"/>
    <w:rsid w:val="007F017D"/>
    <w:rsid w:val="007F0BC7"/>
    <w:rsid w:val="007F160B"/>
    <w:rsid w:val="007F1E8F"/>
    <w:rsid w:val="007F4136"/>
    <w:rsid w:val="007F4F91"/>
    <w:rsid w:val="007F50E5"/>
    <w:rsid w:val="007F525C"/>
    <w:rsid w:val="007F6677"/>
    <w:rsid w:val="007F681A"/>
    <w:rsid w:val="00801F91"/>
    <w:rsid w:val="00804CB9"/>
    <w:rsid w:val="00805A82"/>
    <w:rsid w:val="00807D3E"/>
    <w:rsid w:val="008107EB"/>
    <w:rsid w:val="0081186E"/>
    <w:rsid w:val="00814196"/>
    <w:rsid w:val="00814DA3"/>
    <w:rsid w:val="00815549"/>
    <w:rsid w:val="00815AF7"/>
    <w:rsid w:val="00815C51"/>
    <w:rsid w:val="00815D28"/>
    <w:rsid w:val="008161FE"/>
    <w:rsid w:val="00816C3F"/>
    <w:rsid w:val="008171ED"/>
    <w:rsid w:val="00817438"/>
    <w:rsid w:val="00820025"/>
    <w:rsid w:val="00820ECA"/>
    <w:rsid w:val="00820F9B"/>
    <w:rsid w:val="00821B78"/>
    <w:rsid w:val="00822C11"/>
    <w:rsid w:val="00823931"/>
    <w:rsid w:val="00825495"/>
    <w:rsid w:val="008257B3"/>
    <w:rsid w:val="00825A58"/>
    <w:rsid w:val="00825F84"/>
    <w:rsid w:val="0082670B"/>
    <w:rsid w:val="00826C7D"/>
    <w:rsid w:val="00826E1D"/>
    <w:rsid w:val="00827412"/>
    <w:rsid w:val="008275B7"/>
    <w:rsid w:val="00830339"/>
    <w:rsid w:val="008322F7"/>
    <w:rsid w:val="008332DD"/>
    <w:rsid w:val="0083392D"/>
    <w:rsid w:val="00833B68"/>
    <w:rsid w:val="00833EB5"/>
    <w:rsid w:val="00835E44"/>
    <w:rsid w:val="008372B3"/>
    <w:rsid w:val="00837A59"/>
    <w:rsid w:val="008400B9"/>
    <w:rsid w:val="0084085E"/>
    <w:rsid w:val="00842957"/>
    <w:rsid w:val="0084320B"/>
    <w:rsid w:val="008432FC"/>
    <w:rsid w:val="00843330"/>
    <w:rsid w:val="00843D2F"/>
    <w:rsid w:val="00844517"/>
    <w:rsid w:val="008446FE"/>
    <w:rsid w:val="00844C0C"/>
    <w:rsid w:val="00846AA9"/>
    <w:rsid w:val="00850769"/>
    <w:rsid w:val="00850EC2"/>
    <w:rsid w:val="0085533A"/>
    <w:rsid w:val="008558C2"/>
    <w:rsid w:val="00856509"/>
    <w:rsid w:val="008572D1"/>
    <w:rsid w:val="00857347"/>
    <w:rsid w:val="00860D72"/>
    <w:rsid w:val="00860E25"/>
    <w:rsid w:val="00860E50"/>
    <w:rsid w:val="00862B92"/>
    <w:rsid w:val="00864323"/>
    <w:rsid w:val="008646F5"/>
    <w:rsid w:val="00864CA1"/>
    <w:rsid w:val="00864F55"/>
    <w:rsid w:val="008651A8"/>
    <w:rsid w:val="00865AA1"/>
    <w:rsid w:val="008672D1"/>
    <w:rsid w:val="00870A39"/>
    <w:rsid w:val="00871E79"/>
    <w:rsid w:val="00872D6D"/>
    <w:rsid w:val="00875856"/>
    <w:rsid w:val="00876021"/>
    <w:rsid w:val="00882702"/>
    <w:rsid w:val="0088522E"/>
    <w:rsid w:val="00885634"/>
    <w:rsid w:val="00885D0C"/>
    <w:rsid w:val="00885D19"/>
    <w:rsid w:val="008868EE"/>
    <w:rsid w:val="00886932"/>
    <w:rsid w:val="0089029A"/>
    <w:rsid w:val="00890713"/>
    <w:rsid w:val="00890FE6"/>
    <w:rsid w:val="00892423"/>
    <w:rsid w:val="00892ADF"/>
    <w:rsid w:val="00892DC6"/>
    <w:rsid w:val="00893282"/>
    <w:rsid w:val="008937F7"/>
    <w:rsid w:val="00893939"/>
    <w:rsid w:val="00893AD2"/>
    <w:rsid w:val="00893BD5"/>
    <w:rsid w:val="00893DF4"/>
    <w:rsid w:val="00893EE3"/>
    <w:rsid w:val="00894137"/>
    <w:rsid w:val="00894C55"/>
    <w:rsid w:val="00895278"/>
    <w:rsid w:val="00895DD8"/>
    <w:rsid w:val="00896E1A"/>
    <w:rsid w:val="00897398"/>
    <w:rsid w:val="008977F0"/>
    <w:rsid w:val="0089789E"/>
    <w:rsid w:val="008A0F64"/>
    <w:rsid w:val="008A25ED"/>
    <w:rsid w:val="008A31AC"/>
    <w:rsid w:val="008A34AA"/>
    <w:rsid w:val="008A38AB"/>
    <w:rsid w:val="008A74B0"/>
    <w:rsid w:val="008B0C8D"/>
    <w:rsid w:val="008B1D17"/>
    <w:rsid w:val="008B20AA"/>
    <w:rsid w:val="008B2A0F"/>
    <w:rsid w:val="008B372B"/>
    <w:rsid w:val="008B39CE"/>
    <w:rsid w:val="008B5154"/>
    <w:rsid w:val="008B6824"/>
    <w:rsid w:val="008B7181"/>
    <w:rsid w:val="008B7A03"/>
    <w:rsid w:val="008C0DBE"/>
    <w:rsid w:val="008C17A3"/>
    <w:rsid w:val="008C17EC"/>
    <w:rsid w:val="008C17F4"/>
    <w:rsid w:val="008C1D9F"/>
    <w:rsid w:val="008C2C95"/>
    <w:rsid w:val="008C2D0B"/>
    <w:rsid w:val="008C2D77"/>
    <w:rsid w:val="008C508A"/>
    <w:rsid w:val="008C6252"/>
    <w:rsid w:val="008C654F"/>
    <w:rsid w:val="008C6E09"/>
    <w:rsid w:val="008C6E50"/>
    <w:rsid w:val="008D1AF7"/>
    <w:rsid w:val="008D2012"/>
    <w:rsid w:val="008D245F"/>
    <w:rsid w:val="008D2811"/>
    <w:rsid w:val="008D28DD"/>
    <w:rsid w:val="008D3976"/>
    <w:rsid w:val="008D3B37"/>
    <w:rsid w:val="008D4161"/>
    <w:rsid w:val="008E1A4D"/>
    <w:rsid w:val="008E2216"/>
    <w:rsid w:val="008E252E"/>
    <w:rsid w:val="008E26AF"/>
    <w:rsid w:val="008E31C8"/>
    <w:rsid w:val="008E31DD"/>
    <w:rsid w:val="008E339A"/>
    <w:rsid w:val="008E36B6"/>
    <w:rsid w:val="008E3B53"/>
    <w:rsid w:val="008E4779"/>
    <w:rsid w:val="008E4B91"/>
    <w:rsid w:val="008E4DDE"/>
    <w:rsid w:val="008E63CB"/>
    <w:rsid w:val="008E7B64"/>
    <w:rsid w:val="008E7C39"/>
    <w:rsid w:val="008F1089"/>
    <w:rsid w:val="008F208D"/>
    <w:rsid w:val="008F3101"/>
    <w:rsid w:val="008F4166"/>
    <w:rsid w:val="008F46C7"/>
    <w:rsid w:val="008F485A"/>
    <w:rsid w:val="008F6889"/>
    <w:rsid w:val="008F79EF"/>
    <w:rsid w:val="008F7A68"/>
    <w:rsid w:val="008F7C6E"/>
    <w:rsid w:val="0090028C"/>
    <w:rsid w:val="00900BD4"/>
    <w:rsid w:val="00900FE6"/>
    <w:rsid w:val="009010CB"/>
    <w:rsid w:val="00901189"/>
    <w:rsid w:val="009014BB"/>
    <w:rsid w:val="00901532"/>
    <w:rsid w:val="00902C59"/>
    <w:rsid w:val="00903097"/>
    <w:rsid w:val="00905111"/>
    <w:rsid w:val="00906149"/>
    <w:rsid w:val="00906F88"/>
    <w:rsid w:val="00910940"/>
    <w:rsid w:val="00912546"/>
    <w:rsid w:val="009125B5"/>
    <w:rsid w:val="0091446C"/>
    <w:rsid w:val="00914DE2"/>
    <w:rsid w:val="009151E9"/>
    <w:rsid w:val="009158BC"/>
    <w:rsid w:val="009165ED"/>
    <w:rsid w:val="00916619"/>
    <w:rsid w:val="00917893"/>
    <w:rsid w:val="00917FE8"/>
    <w:rsid w:val="009224F5"/>
    <w:rsid w:val="00922C21"/>
    <w:rsid w:val="00923AE7"/>
    <w:rsid w:val="00923BA4"/>
    <w:rsid w:val="00924234"/>
    <w:rsid w:val="00924D1B"/>
    <w:rsid w:val="0092546B"/>
    <w:rsid w:val="00925721"/>
    <w:rsid w:val="009268D3"/>
    <w:rsid w:val="00926903"/>
    <w:rsid w:val="00932513"/>
    <w:rsid w:val="00932EF7"/>
    <w:rsid w:val="00934BE6"/>
    <w:rsid w:val="00934EC4"/>
    <w:rsid w:val="00935194"/>
    <w:rsid w:val="00935355"/>
    <w:rsid w:val="0093560C"/>
    <w:rsid w:val="00936426"/>
    <w:rsid w:val="00936733"/>
    <w:rsid w:val="00937243"/>
    <w:rsid w:val="0093730D"/>
    <w:rsid w:val="009373BE"/>
    <w:rsid w:val="00941649"/>
    <w:rsid w:val="00941B1A"/>
    <w:rsid w:val="00942B11"/>
    <w:rsid w:val="009434F6"/>
    <w:rsid w:val="009438A8"/>
    <w:rsid w:val="009438E7"/>
    <w:rsid w:val="00943B62"/>
    <w:rsid w:val="0094482D"/>
    <w:rsid w:val="00944BB8"/>
    <w:rsid w:val="009455CC"/>
    <w:rsid w:val="00946534"/>
    <w:rsid w:val="00947379"/>
    <w:rsid w:val="00947D91"/>
    <w:rsid w:val="00947DB1"/>
    <w:rsid w:val="00950DE0"/>
    <w:rsid w:val="00952B02"/>
    <w:rsid w:val="00953B15"/>
    <w:rsid w:val="00953CFA"/>
    <w:rsid w:val="00953ED7"/>
    <w:rsid w:val="009541EE"/>
    <w:rsid w:val="0095423F"/>
    <w:rsid w:val="009543EE"/>
    <w:rsid w:val="00954E8C"/>
    <w:rsid w:val="00961459"/>
    <w:rsid w:val="00961502"/>
    <w:rsid w:val="009621BF"/>
    <w:rsid w:val="00963350"/>
    <w:rsid w:val="00963AB5"/>
    <w:rsid w:val="00963DD2"/>
    <w:rsid w:val="00964774"/>
    <w:rsid w:val="00964F65"/>
    <w:rsid w:val="00965891"/>
    <w:rsid w:val="009659EE"/>
    <w:rsid w:val="00965C0E"/>
    <w:rsid w:val="00966E7C"/>
    <w:rsid w:val="00970392"/>
    <w:rsid w:val="00970E4E"/>
    <w:rsid w:val="00971D26"/>
    <w:rsid w:val="009725C8"/>
    <w:rsid w:val="00973503"/>
    <w:rsid w:val="00973B85"/>
    <w:rsid w:val="0097445D"/>
    <w:rsid w:val="00974C42"/>
    <w:rsid w:val="0097517E"/>
    <w:rsid w:val="00976CAD"/>
    <w:rsid w:val="00977548"/>
    <w:rsid w:val="0097770C"/>
    <w:rsid w:val="009805A1"/>
    <w:rsid w:val="009827E9"/>
    <w:rsid w:val="00982C96"/>
    <w:rsid w:val="00982D1E"/>
    <w:rsid w:val="00983748"/>
    <w:rsid w:val="00984330"/>
    <w:rsid w:val="00984BB2"/>
    <w:rsid w:val="00985758"/>
    <w:rsid w:val="00985C16"/>
    <w:rsid w:val="00985C5E"/>
    <w:rsid w:val="00987429"/>
    <w:rsid w:val="00987648"/>
    <w:rsid w:val="00990455"/>
    <w:rsid w:val="00990947"/>
    <w:rsid w:val="00991315"/>
    <w:rsid w:val="00991D31"/>
    <w:rsid w:val="00993C0B"/>
    <w:rsid w:val="00993CD6"/>
    <w:rsid w:val="009946C1"/>
    <w:rsid w:val="00995F40"/>
    <w:rsid w:val="00995FA5"/>
    <w:rsid w:val="00996D4F"/>
    <w:rsid w:val="00997A4D"/>
    <w:rsid w:val="00997C27"/>
    <w:rsid w:val="009A0E6E"/>
    <w:rsid w:val="009A1DF2"/>
    <w:rsid w:val="009A2915"/>
    <w:rsid w:val="009A2C7E"/>
    <w:rsid w:val="009A6149"/>
    <w:rsid w:val="009A67E1"/>
    <w:rsid w:val="009A6E22"/>
    <w:rsid w:val="009B0086"/>
    <w:rsid w:val="009B1351"/>
    <w:rsid w:val="009B23C3"/>
    <w:rsid w:val="009B2429"/>
    <w:rsid w:val="009B2569"/>
    <w:rsid w:val="009B30D7"/>
    <w:rsid w:val="009B3130"/>
    <w:rsid w:val="009B33E7"/>
    <w:rsid w:val="009B3EF3"/>
    <w:rsid w:val="009B3FDD"/>
    <w:rsid w:val="009B43D6"/>
    <w:rsid w:val="009B51E4"/>
    <w:rsid w:val="009B5AF5"/>
    <w:rsid w:val="009B6436"/>
    <w:rsid w:val="009B68A0"/>
    <w:rsid w:val="009B6C3A"/>
    <w:rsid w:val="009B726B"/>
    <w:rsid w:val="009C131B"/>
    <w:rsid w:val="009C1700"/>
    <w:rsid w:val="009C1E63"/>
    <w:rsid w:val="009C1FC3"/>
    <w:rsid w:val="009C2076"/>
    <w:rsid w:val="009C24AD"/>
    <w:rsid w:val="009C3D1C"/>
    <w:rsid w:val="009C421C"/>
    <w:rsid w:val="009C5A53"/>
    <w:rsid w:val="009C5B58"/>
    <w:rsid w:val="009C6638"/>
    <w:rsid w:val="009D1044"/>
    <w:rsid w:val="009D1323"/>
    <w:rsid w:val="009D1D95"/>
    <w:rsid w:val="009D24A5"/>
    <w:rsid w:val="009D2B42"/>
    <w:rsid w:val="009D30C5"/>
    <w:rsid w:val="009D3B55"/>
    <w:rsid w:val="009D42E8"/>
    <w:rsid w:val="009D54DD"/>
    <w:rsid w:val="009D5C29"/>
    <w:rsid w:val="009D7D1D"/>
    <w:rsid w:val="009E001E"/>
    <w:rsid w:val="009E04AB"/>
    <w:rsid w:val="009E112B"/>
    <w:rsid w:val="009E20E6"/>
    <w:rsid w:val="009E2A57"/>
    <w:rsid w:val="009E4B4A"/>
    <w:rsid w:val="009E5BB8"/>
    <w:rsid w:val="009E7BF9"/>
    <w:rsid w:val="009F0111"/>
    <w:rsid w:val="009F10CC"/>
    <w:rsid w:val="009F1D45"/>
    <w:rsid w:val="009F3AF4"/>
    <w:rsid w:val="009F44C0"/>
    <w:rsid w:val="009F452E"/>
    <w:rsid w:val="009F4848"/>
    <w:rsid w:val="009F48FB"/>
    <w:rsid w:val="009F6003"/>
    <w:rsid w:val="009F67E4"/>
    <w:rsid w:val="009F7166"/>
    <w:rsid w:val="00A005E9"/>
    <w:rsid w:val="00A007F2"/>
    <w:rsid w:val="00A0089E"/>
    <w:rsid w:val="00A00D29"/>
    <w:rsid w:val="00A0243A"/>
    <w:rsid w:val="00A04956"/>
    <w:rsid w:val="00A05AB1"/>
    <w:rsid w:val="00A05DEF"/>
    <w:rsid w:val="00A06C55"/>
    <w:rsid w:val="00A0768E"/>
    <w:rsid w:val="00A104AB"/>
    <w:rsid w:val="00A11474"/>
    <w:rsid w:val="00A127F7"/>
    <w:rsid w:val="00A12F09"/>
    <w:rsid w:val="00A13371"/>
    <w:rsid w:val="00A13EC9"/>
    <w:rsid w:val="00A1421E"/>
    <w:rsid w:val="00A15634"/>
    <w:rsid w:val="00A158E0"/>
    <w:rsid w:val="00A15C76"/>
    <w:rsid w:val="00A17231"/>
    <w:rsid w:val="00A17B41"/>
    <w:rsid w:val="00A208D0"/>
    <w:rsid w:val="00A21872"/>
    <w:rsid w:val="00A22568"/>
    <w:rsid w:val="00A23750"/>
    <w:rsid w:val="00A23BDD"/>
    <w:rsid w:val="00A24179"/>
    <w:rsid w:val="00A2418D"/>
    <w:rsid w:val="00A24957"/>
    <w:rsid w:val="00A25F93"/>
    <w:rsid w:val="00A26C29"/>
    <w:rsid w:val="00A27CA3"/>
    <w:rsid w:val="00A302B8"/>
    <w:rsid w:val="00A30CBA"/>
    <w:rsid w:val="00A31CEE"/>
    <w:rsid w:val="00A332BF"/>
    <w:rsid w:val="00A3472C"/>
    <w:rsid w:val="00A35ECA"/>
    <w:rsid w:val="00A35FDD"/>
    <w:rsid w:val="00A36846"/>
    <w:rsid w:val="00A3702E"/>
    <w:rsid w:val="00A4176C"/>
    <w:rsid w:val="00A42300"/>
    <w:rsid w:val="00A42E31"/>
    <w:rsid w:val="00A43507"/>
    <w:rsid w:val="00A440D7"/>
    <w:rsid w:val="00A44366"/>
    <w:rsid w:val="00A4482C"/>
    <w:rsid w:val="00A4540A"/>
    <w:rsid w:val="00A47817"/>
    <w:rsid w:val="00A47F65"/>
    <w:rsid w:val="00A50B48"/>
    <w:rsid w:val="00A50F18"/>
    <w:rsid w:val="00A51CCD"/>
    <w:rsid w:val="00A52949"/>
    <w:rsid w:val="00A52995"/>
    <w:rsid w:val="00A5424F"/>
    <w:rsid w:val="00A54A86"/>
    <w:rsid w:val="00A551E2"/>
    <w:rsid w:val="00A56A82"/>
    <w:rsid w:val="00A56BE6"/>
    <w:rsid w:val="00A56C6E"/>
    <w:rsid w:val="00A60D5C"/>
    <w:rsid w:val="00A61240"/>
    <w:rsid w:val="00A61A84"/>
    <w:rsid w:val="00A61CE7"/>
    <w:rsid w:val="00A64592"/>
    <w:rsid w:val="00A646B7"/>
    <w:rsid w:val="00A646C6"/>
    <w:rsid w:val="00A648F9"/>
    <w:rsid w:val="00A65332"/>
    <w:rsid w:val="00A656AC"/>
    <w:rsid w:val="00A66174"/>
    <w:rsid w:val="00A662DE"/>
    <w:rsid w:val="00A67A86"/>
    <w:rsid w:val="00A67D34"/>
    <w:rsid w:val="00A70678"/>
    <w:rsid w:val="00A71B18"/>
    <w:rsid w:val="00A722FD"/>
    <w:rsid w:val="00A7254E"/>
    <w:rsid w:val="00A72660"/>
    <w:rsid w:val="00A72F32"/>
    <w:rsid w:val="00A737F4"/>
    <w:rsid w:val="00A73A04"/>
    <w:rsid w:val="00A73F6B"/>
    <w:rsid w:val="00A759A9"/>
    <w:rsid w:val="00A75A46"/>
    <w:rsid w:val="00A76C85"/>
    <w:rsid w:val="00A7741D"/>
    <w:rsid w:val="00A81D43"/>
    <w:rsid w:val="00A8287A"/>
    <w:rsid w:val="00A82A89"/>
    <w:rsid w:val="00A83919"/>
    <w:rsid w:val="00A84CEC"/>
    <w:rsid w:val="00A84F85"/>
    <w:rsid w:val="00A85028"/>
    <w:rsid w:val="00A8559D"/>
    <w:rsid w:val="00A86049"/>
    <w:rsid w:val="00A86220"/>
    <w:rsid w:val="00A868E2"/>
    <w:rsid w:val="00A86A49"/>
    <w:rsid w:val="00A8700C"/>
    <w:rsid w:val="00A87DBD"/>
    <w:rsid w:val="00A9082F"/>
    <w:rsid w:val="00A916A4"/>
    <w:rsid w:val="00A92ABA"/>
    <w:rsid w:val="00A934B5"/>
    <w:rsid w:val="00A94370"/>
    <w:rsid w:val="00A946B4"/>
    <w:rsid w:val="00A94A4A"/>
    <w:rsid w:val="00A94E7C"/>
    <w:rsid w:val="00A95141"/>
    <w:rsid w:val="00A9533A"/>
    <w:rsid w:val="00A95966"/>
    <w:rsid w:val="00A9596F"/>
    <w:rsid w:val="00A95AFE"/>
    <w:rsid w:val="00A96213"/>
    <w:rsid w:val="00A9700A"/>
    <w:rsid w:val="00A978BD"/>
    <w:rsid w:val="00A97996"/>
    <w:rsid w:val="00AA07CE"/>
    <w:rsid w:val="00AA1D15"/>
    <w:rsid w:val="00AA20C8"/>
    <w:rsid w:val="00AA2CBB"/>
    <w:rsid w:val="00AA41B7"/>
    <w:rsid w:val="00AA4C29"/>
    <w:rsid w:val="00AA6805"/>
    <w:rsid w:val="00AA6C92"/>
    <w:rsid w:val="00AA6FC4"/>
    <w:rsid w:val="00AA733B"/>
    <w:rsid w:val="00AA7B19"/>
    <w:rsid w:val="00AB039C"/>
    <w:rsid w:val="00AB1830"/>
    <w:rsid w:val="00AB202E"/>
    <w:rsid w:val="00AB257C"/>
    <w:rsid w:val="00AB3495"/>
    <w:rsid w:val="00AB5986"/>
    <w:rsid w:val="00AB5C72"/>
    <w:rsid w:val="00AB621E"/>
    <w:rsid w:val="00AB62F2"/>
    <w:rsid w:val="00AC042A"/>
    <w:rsid w:val="00AC1F06"/>
    <w:rsid w:val="00AC2A7D"/>
    <w:rsid w:val="00AC35DA"/>
    <w:rsid w:val="00AC3E0F"/>
    <w:rsid w:val="00AC3E17"/>
    <w:rsid w:val="00AC3EA9"/>
    <w:rsid w:val="00AC5A27"/>
    <w:rsid w:val="00AC5B9F"/>
    <w:rsid w:val="00AC6111"/>
    <w:rsid w:val="00AC6123"/>
    <w:rsid w:val="00AC66B2"/>
    <w:rsid w:val="00AC6BE7"/>
    <w:rsid w:val="00AC7AD3"/>
    <w:rsid w:val="00AD16EF"/>
    <w:rsid w:val="00AD17F9"/>
    <w:rsid w:val="00AD1A46"/>
    <w:rsid w:val="00AD261F"/>
    <w:rsid w:val="00AD2E4F"/>
    <w:rsid w:val="00AD31C3"/>
    <w:rsid w:val="00AD323C"/>
    <w:rsid w:val="00AD3B9A"/>
    <w:rsid w:val="00AD488E"/>
    <w:rsid w:val="00AD5C5B"/>
    <w:rsid w:val="00AD6937"/>
    <w:rsid w:val="00AD6CCB"/>
    <w:rsid w:val="00AE0655"/>
    <w:rsid w:val="00AE07AD"/>
    <w:rsid w:val="00AE1B12"/>
    <w:rsid w:val="00AE3819"/>
    <w:rsid w:val="00AE3964"/>
    <w:rsid w:val="00AE4BF0"/>
    <w:rsid w:val="00AF0A2F"/>
    <w:rsid w:val="00AF2D7A"/>
    <w:rsid w:val="00AF34E9"/>
    <w:rsid w:val="00AF418F"/>
    <w:rsid w:val="00AF501D"/>
    <w:rsid w:val="00AF5731"/>
    <w:rsid w:val="00AF60F6"/>
    <w:rsid w:val="00B00710"/>
    <w:rsid w:val="00B00FA6"/>
    <w:rsid w:val="00B01D63"/>
    <w:rsid w:val="00B0213C"/>
    <w:rsid w:val="00B03004"/>
    <w:rsid w:val="00B035ED"/>
    <w:rsid w:val="00B062D4"/>
    <w:rsid w:val="00B06F01"/>
    <w:rsid w:val="00B075E0"/>
    <w:rsid w:val="00B10E4B"/>
    <w:rsid w:val="00B112C4"/>
    <w:rsid w:val="00B1161B"/>
    <w:rsid w:val="00B11CD9"/>
    <w:rsid w:val="00B127FB"/>
    <w:rsid w:val="00B129AD"/>
    <w:rsid w:val="00B14A7B"/>
    <w:rsid w:val="00B14F53"/>
    <w:rsid w:val="00B15E16"/>
    <w:rsid w:val="00B161B7"/>
    <w:rsid w:val="00B169C6"/>
    <w:rsid w:val="00B16F1E"/>
    <w:rsid w:val="00B1799D"/>
    <w:rsid w:val="00B17F4D"/>
    <w:rsid w:val="00B20A56"/>
    <w:rsid w:val="00B20E32"/>
    <w:rsid w:val="00B22372"/>
    <w:rsid w:val="00B22E31"/>
    <w:rsid w:val="00B24BAA"/>
    <w:rsid w:val="00B25C94"/>
    <w:rsid w:val="00B260EF"/>
    <w:rsid w:val="00B26538"/>
    <w:rsid w:val="00B27614"/>
    <w:rsid w:val="00B30D06"/>
    <w:rsid w:val="00B32405"/>
    <w:rsid w:val="00B33409"/>
    <w:rsid w:val="00B35D10"/>
    <w:rsid w:val="00B3606E"/>
    <w:rsid w:val="00B363C6"/>
    <w:rsid w:val="00B36F4C"/>
    <w:rsid w:val="00B377EE"/>
    <w:rsid w:val="00B37C34"/>
    <w:rsid w:val="00B37DCE"/>
    <w:rsid w:val="00B405FC"/>
    <w:rsid w:val="00B40BC0"/>
    <w:rsid w:val="00B41676"/>
    <w:rsid w:val="00B41700"/>
    <w:rsid w:val="00B455B5"/>
    <w:rsid w:val="00B4620A"/>
    <w:rsid w:val="00B503A1"/>
    <w:rsid w:val="00B54539"/>
    <w:rsid w:val="00B546A7"/>
    <w:rsid w:val="00B62DE8"/>
    <w:rsid w:val="00B62F2D"/>
    <w:rsid w:val="00B63DCD"/>
    <w:rsid w:val="00B64754"/>
    <w:rsid w:val="00B64FED"/>
    <w:rsid w:val="00B658E1"/>
    <w:rsid w:val="00B65CB1"/>
    <w:rsid w:val="00B65E49"/>
    <w:rsid w:val="00B66C47"/>
    <w:rsid w:val="00B678AE"/>
    <w:rsid w:val="00B72428"/>
    <w:rsid w:val="00B734A4"/>
    <w:rsid w:val="00B7373D"/>
    <w:rsid w:val="00B73B5E"/>
    <w:rsid w:val="00B7481B"/>
    <w:rsid w:val="00B7575B"/>
    <w:rsid w:val="00B75E88"/>
    <w:rsid w:val="00B76583"/>
    <w:rsid w:val="00B76B6D"/>
    <w:rsid w:val="00B77AD2"/>
    <w:rsid w:val="00B81723"/>
    <w:rsid w:val="00B818D8"/>
    <w:rsid w:val="00B82283"/>
    <w:rsid w:val="00B8309A"/>
    <w:rsid w:val="00B83A12"/>
    <w:rsid w:val="00B842F0"/>
    <w:rsid w:val="00B8531E"/>
    <w:rsid w:val="00B85CE5"/>
    <w:rsid w:val="00B86123"/>
    <w:rsid w:val="00B877AE"/>
    <w:rsid w:val="00B90BA8"/>
    <w:rsid w:val="00B91688"/>
    <w:rsid w:val="00B92002"/>
    <w:rsid w:val="00B9260B"/>
    <w:rsid w:val="00B92E98"/>
    <w:rsid w:val="00B93AE7"/>
    <w:rsid w:val="00B94D20"/>
    <w:rsid w:val="00B95352"/>
    <w:rsid w:val="00B95B43"/>
    <w:rsid w:val="00B95B92"/>
    <w:rsid w:val="00B96EF2"/>
    <w:rsid w:val="00B97008"/>
    <w:rsid w:val="00BA025C"/>
    <w:rsid w:val="00BA05C3"/>
    <w:rsid w:val="00BA1AB3"/>
    <w:rsid w:val="00BA2BCB"/>
    <w:rsid w:val="00BA2D15"/>
    <w:rsid w:val="00BA3190"/>
    <w:rsid w:val="00BA3A88"/>
    <w:rsid w:val="00BA5A88"/>
    <w:rsid w:val="00BA5D5F"/>
    <w:rsid w:val="00BA5D76"/>
    <w:rsid w:val="00BA6EE8"/>
    <w:rsid w:val="00BA78AE"/>
    <w:rsid w:val="00BA7AE8"/>
    <w:rsid w:val="00BB0A31"/>
    <w:rsid w:val="00BB0F72"/>
    <w:rsid w:val="00BB1611"/>
    <w:rsid w:val="00BB1893"/>
    <w:rsid w:val="00BB694B"/>
    <w:rsid w:val="00BB6BD3"/>
    <w:rsid w:val="00BB6E0A"/>
    <w:rsid w:val="00BB7471"/>
    <w:rsid w:val="00BB7F10"/>
    <w:rsid w:val="00BC30A4"/>
    <w:rsid w:val="00BC6253"/>
    <w:rsid w:val="00BC6A35"/>
    <w:rsid w:val="00BC6E42"/>
    <w:rsid w:val="00BC7D90"/>
    <w:rsid w:val="00BD003A"/>
    <w:rsid w:val="00BD0A78"/>
    <w:rsid w:val="00BD2A1E"/>
    <w:rsid w:val="00BD2DA9"/>
    <w:rsid w:val="00BD2DFB"/>
    <w:rsid w:val="00BD2F15"/>
    <w:rsid w:val="00BD317C"/>
    <w:rsid w:val="00BD4012"/>
    <w:rsid w:val="00BD4C7C"/>
    <w:rsid w:val="00BD56EA"/>
    <w:rsid w:val="00BD571A"/>
    <w:rsid w:val="00BD5CBD"/>
    <w:rsid w:val="00BD63F8"/>
    <w:rsid w:val="00BD6417"/>
    <w:rsid w:val="00BD6CAF"/>
    <w:rsid w:val="00BD7E31"/>
    <w:rsid w:val="00BE0E18"/>
    <w:rsid w:val="00BE153E"/>
    <w:rsid w:val="00BE15F2"/>
    <w:rsid w:val="00BE261A"/>
    <w:rsid w:val="00BE284B"/>
    <w:rsid w:val="00BE505A"/>
    <w:rsid w:val="00BE7807"/>
    <w:rsid w:val="00BF08B8"/>
    <w:rsid w:val="00BF1AF8"/>
    <w:rsid w:val="00BF1B17"/>
    <w:rsid w:val="00BF236B"/>
    <w:rsid w:val="00BF25F9"/>
    <w:rsid w:val="00BF2EC3"/>
    <w:rsid w:val="00BF34E0"/>
    <w:rsid w:val="00BF3950"/>
    <w:rsid w:val="00BF446B"/>
    <w:rsid w:val="00BF4EEB"/>
    <w:rsid w:val="00BF4FCC"/>
    <w:rsid w:val="00BF6F51"/>
    <w:rsid w:val="00BF79CD"/>
    <w:rsid w:val="00C00466"/>
    <w:rsid w:val="00C005AC"/>
    <w:rsid w:val="00C01643"/>
    <w:rsid w:val="00C0345E"/>
    <w:rsid w:val="00C038A5"/>
    <w:rsid w:val="00C04207"/>
    <w:rsid w:val="00C04333"/>
    <w:rsid w:val="00C04505"/>
    <w:rsid w:val="00C05496"/>
    <w:rsid w:val="00C059B6"/>
    <w:rsid w:val="00C05A89"/>
    <w:rsid w:val="00C077B1"/>
    <w:rsid w:val="00C13311"/>
    <w:rsid w:val="00C136E6"/>
    <w:rsid w:val="00C13D8D"/>
    <w:rsid w:val="00C144C8"/>
    <w:rsid w:val="00C145C7"/>
    <w:rsid w:val="00C15A9A"/>
    <w:rsid w:val="00C15AAA"/>
    <w:rsid w:val="00C1625A"/>
    <w:rsid w:val="00C168DB"/>
    <w:rsid w:val="00C16CFB"/>
    <w:rsid w:val="00C2042C"/>
    <w:rsid w:val="00C22309"/>
    <w:rsid w:val="00C2241D"/>
    <w:rsid w:val="00C229E0"/>
    <w:rsid w:val="00C23BB2"/>
    <w:rsid w:val="00C2696C"/>
    <w:rsid w:val="00C27D3C"/>
    <w:rsid w:val="00C3138C"/>
    <w:rsid w:val="00C335D1"/>
    <w:rsid w:val="00C33A1C"/>
    <w:rsid w:val="00C34369"/>
    <w:rsid w:val="00C37220"/>
    <w:rsid w:val="00C378F1"/>
    <w:rsid w:val="00C37AB3"/>
    <w:rsid w:val="00C37F7C"/>
    <w:rsid w:val="00C41CA4"/>
    <w:rsid w:val="00C43A7F"/>
    <w:rsid w:val="00C43F2E"/>
    <w:rsid w:val="00C4447B"/>
    <w:rsid w:val="00C45538"/>
    <w:rsid w:val="00C45AC0"/>
    <w:rsid w:val="00C45FC0"/>
    <w:rsid w:val="00C462AC"/>
    <w:rsid w:val="00C466DC"/>
    <w:rsid w:val="00C51B5D"/>
    <w:rsid w:val="00C51DE5"/>
    <w:rsid w:val="00C523A6"/>
    <w:rsid w:val="00C53119"/>
    <w:rsid w:val="00C53DC6"/>
    <w:rsid w:val="00C54FB9"/>
    <w:rsid w:val="00C55542"/>
    <w:rsid w:val="00C57133"/>
    <w:rsid w:val="00C57553"/>
    <w:rsid w:val="00C602D7"/>
    <w:rsid w:val="00C61305"/>
    <w:rsid w:val="00C614D4"/>
    <w:rsid w:val="00C618E8"/>
    <w:rsid w:val="00C62404"/>
    <w:rsid w:val="00C64881"/>
    <w:rsid w:val="00C656AE"/>
    <w:rsid w:val="00C66780"/>
    <w:rsid w:val="00C6711A"/>
    <w:rsid w:val="00C674EC"/>
    <w:rsid w:val="00C7001F"/>
    <w:rsid w:val="00C711EC"/>
    <w:rsid w:val="00C7136A"/>
    <w:rsid w:val="00C714FA"/>
    <w:rsid w:val="00C71602"/>
    <w:rsid w:val="00C71A7C"/>
    <w:rsid w:val="00C72130"/>
    <w:rsid w:val="00C7226D"/>
    <w:rsid w:val="00C725BD"/>
    <w:rsid w:val="00C73E6D"/>
    <w:rsid w:val="00C74078"/>
    <w:rsid w:val="00C758B5"/>
    <w:rsid w:val="00C75E2D"/>
    <w:rsid w:val="00C7614F"/>
    <w:rsid w:val="00C76273"/>
    <w:rsid w:val="00C76560"/>
    <w:rsid w:val="00C7673C"/>
    <w:rsid w:val="00C7686A"/>
    <w:rsid w:val="00C76DE9"/>
    <w:rsid w:val="00C76E90"/>
    <w:rsid w:val="00C7749D"/>
    <w:rsid w:val="00C777D3"/>
    <w:rsid w:val="00C81973"/>
    <w:rsid w:val="00C82CE3"/>
    <w:rsid w:val="00C830EA"/>
    <w:rsid w:val="00C855E6"/>
    <w:rsid w:val="00C86DB6"/>
    <w:rsid w:val="00C86E29"/>
    <w:rsid w:val="00C87594"/>
    <w:rsid w:val="00C87E34"/>
    <w:rsid w:val="00C9025C"/>
    <w:rsid w:val="00C912C1"/>
    <w:rsid w:val="00C91E59"/>
    <w:rsid w:val="00C92E01"/>
    <w:rsid w:val="00C94AB2"/>
    <w:rsid w:val="00C94C99"/>
    <w:rsid w:val="00C9606B"/>
    <w:rsid w:val="00C97E2D"/>
    <w:rsid w:val="00CA1407"/>
    <w:rsid w:val="00CA18D6"/>
    <w:rsid w:val="00CA325A"/>
    <w:rsid w:val="00CA34CA"/>
    <w:rsid w:val="00CA5759"/>
    <w:rsid w:val="00CA5BB7"/>
    <w:rsid w:val="00CA67D4"/>
    <w:rsid w:val="00CA6A16"/>
    <w:rsid w:val="00CA6DDE"/>
    <w:rsid w:val="00CA77DF"/>
    <w:rsid w:val="00CA7888"/>
    <w:rsid w:val="00CB0283"/>
    <w:rsid w:val="00CB0B83"/>
    <w:rsid w:val="00CB1C91"/>
    <w:rsid w:val="00CB3012"/>
    <w:rsid w:val="00CB3206"/>
    <w:rsid w:val="00CB3A7D"/>
    <w:rsid w:val="00CB3B5A"/>
    <w:rsid w:val="00CB4CD5"/>
    <w:rsid w:val="00CB5BA5"/>
    <w:rsid w:val="00CB6117"/>
    <w:rsid w:val="00CB630B"/>
    <w:rsid w:val="00CB6878"/>
    <w:rsid w:val="00CC07BE"/>
    <w:rsid w:val="00CC0AA9"/>
    <w:rsid w:val="00CC26C6"/>
    <w:rsid w:val="00CC28F3"/>
    <w:rsid w:val="00CC2D1A"/>
    <w:rsid w:val="00CC41EB"/>
    <w:rsid w:val="00CC6F25"/>
    <w:rsid w:val="00CC706E"/>
    <w:rsid w:val="00CD11E2"/>
    <w:rsid w:val="00CD2AE6"/>
    <w:rsid w:val="00CD3011"/>
    <w:rsid w:val="00CD3014"/>
    <w:rsid w:val="00CD3056"/>
    <w:rsid w:val="00CD4B69"/>
    <w:rsid w:val="00CD5C49"/>
    <w:rsid w:val="00CD7FBD"/>
    <w:rsid w:val="00CE0AB0"/>
    <w:rsid w:val="00CE14FE"/>
    <w:rsid w:val="00CE2137"/>
    <w:rsid w:val="00CE24B5"/>
    <w:rsid w:val="00CE36AA"/>
    <w:rsid w:val="00CE382D"/>
    <w:rsid w:val="00CE3AF5"/>
    <w:rsid w:val="00CE4C78"/>
    <w:rsid w:val="00CE4EFC"/>
    <w:rsid w:val="00CE7C47"/>
    <w:rsid w:val="00CF058B"/>
    <w:rsid w:val="00CF0733"/>
    <w:rsid w:val="00CF282B"/>
    <w:rsid w:val="00CF5055"/>
    <w:rsid w:val="00CF715C"/>
    <w:rsid w:val="00CF7322"/>
    <w:rsid w:val="00D0010E"/>
    <w:rsid w:val="00D00687"/>
    <w:rsid w:val="00D00F45"/>
    <w:rsid w:val="00D00FC4"/>
    <w:rsid w:val="00D01AC5"/>
    <w:rsid w:val="00D02DFE"/>
    <w:rsid w:val="00D03C8E"/>
    <w:rsid w:val="00D04A8E"/>
    <w:rsid w:val="00D063F6"/>
    <w:rsid w:val="00D064A2"/>
    <w:rsid w:val="00D06B79"/>
    <w:rsid w:val="00D06D5A"/>
    <w:rsid w:val="00D0799D"/>
    <w:rsid w:val="00D1089B"/>
    <w:rsid w:val="00D10B1E"/>
    <w:rsid w:val="00D126AA"/>
    <w:rsid w:val="00D13D16"/>
    <w:rsid w:val="00D13DB7"/>
    <w:rsid w:val="00D14056"/>
    <w:rsid w:val="00D155BA"/>
    <w:rsid w:val="00D15819"/>
    <w:rsid w:val="00D15B3C"/>
    <w:rsid w:val="00D16551"/>
    <w:rsid w:val="00D16600"/>
    <w:rsid w:val="00D177CB"/>
    <w:rsid w:val="00D245EB"/>
    <w:rsid w:val="00D26305"/>
    <w:rsid w:val="00D26E74"/>
    <w:rsid w:val="00D312D4"/>
    <w:rsid w:val="00D329A9"/>
    <w:rsid w:val="00D32E5E"/>
    <w:rsid w:val="00D33A36"/>
    <w:rsid w:val="00D34DC0"/>
    <w:rsid w:val="00D400AA"/>
    <w:rsid w:val="00D402FC"/>
    <w:rsid w:val="00D406B0"/>
    <w:rsid w:val="00D4227C"/>
    <w:rsid w:val="00D42BF0"/>
    <w:rsid w:val="00D42C68"/>
    <w:rsid w:val="00D43455"/>
    <w:rsid w:val="00D434D2"/>
    <w:rsid w:val="00D43E2F"/>
    <w:rsid w:val="00D45A12"/>
    <w:rsid w:val="00D470A3"/>
    <w:rsid w:val="00D50A3D"/>
    <w:rsid w:val="00D50D1D"/>
    <w:rsid w:val="00D50ECB"/>
    <w:rsid w:val="00D513DF"/>
    <w:rsid w:val="00D5298B"/>
    <w:rsid w:val="00D535DB"/>
    <w:rsid w:val="00D5377E"/>
    <w:rsid w:val="00D544E8"/>
    <w:rsid w:val="00D55853"/>
    <w:rsid w:val="00D559B4"/>
    <w:rsid w:val="00D55D50"/>
    <w:rsid w:val="00D56E97"/>
    <w:rsid w:val="00D570F9"/>
    <w:rsid w:val="00D5795D"/>
    <w:rsid w:val="00D57A4D"/>
    <w:rsid w:val="00D60523"/>
    <w:rsid w:val="00D60A77"/>
    <w:rsid w:val="00D613C8"/>
    <w:rsid w:val="00D61686"/>
    <w:rsid w:val="00D63119"/>
    <w:rsid w:val="00D63675"/>
    <w:rsid w:val="00D63D92"/>
    <w:rsid w:val="00D641EA"/>
    <w:rsid w:val="00D64C93"/>
    <w:rsid w:val="00D65B9A"/>
    <w:rsid w:val="00D6634F"/>
    <w:rsid w:val="00D66E64"/>
    <w:rsid w:val="00D6701C"/>
    <w:rsid w:val="00D672A2"/>
    <w:rsid w:val="00D67447"/>
    <w:rsid w:val="00D674E0"/>
    <w:rsid w:val="00D67D51"/>
    <w:rsid w:val="00D70B42"/>
    <w:rsid w:val="00D721C0"/>
    <w:rsid w:val="00D7243C"/>
    <w:rsid w:val="00D766AB"/>
    <w:rsid w:val="00D7792C"/>
    <w:rsid w:val="00D80341"/>
    <w:rsid w:val="00D8088A"/>
    <w:rsid w:val="00D82FAF"/>
    <w:rsid w:val="00D830C4"/>
    <w:rsid w:val="00D837A8"/>
    <w:rsid w:val="00D84745"/>
    <w:rsid w:val="00D84C4A"/>
    <w:rsid w:val="00D850C9"/>
    <w:rsid w:val="00D872D9"/>
    <w:rsid w:val="00D9000A"/>
    <w:rsid w:val="00D91A6A"/>
    <w:rsid w:val="00D9221E"/>
    <w:rsid w:val="00D93383"/>
    <w:rsid w:val="00D9364A"/>
    <w:rsid w:val="00D9393A"/>
    <w:rsid w:val="00D968CA"/>
    <w:rsid w:val="00D96D85"/>
    <w:rsid w:val="00D9715E"/>
    <w:rsid w:val="00D979B7"/>
    <w:rsid w:val="00D97A66"/>
    <w:rsid w:val="00DA0A02"/>
    <w:rsid w:val="00DA1DAD"/>
    <w:rsid w:val="00DA21FB"/>
    <w:rsid w:val="00DA282E"/>
    <w:rsid w:val="00DA32F2"/>
    <w:rsid w:val="00DA4490"/>
    <w:rsid w:val="00DA46BF"/>
    <w:rsid w:val="00DA4775"/>
    <w:rsid w:val="00DA6C75"/>
    <w:rsid w:val="00DA726A"/>
    <w:rsid w:val="00DA764E"/>
    <w:rsid w:val="00DB00CB"/>
    <w:rsid w:val="00DB0471"/>
    <w:rsid w:val="00DB0807"/>
    <w:rsid w:val="00DB0A5B"/>
    <w:rsid w:val="00DB1E70"/>
    <w:rsid w:val="00DB3357"/>
    <w:rsid w:val="00DB4284"/>
    <w:rsid w:val="00DB625F"/>
    <w:rsid w:val="00DB7229"/>
    <w:rsid w:val="00DC014C"/>
    <w:rsid w:val="00DC0405"/>
    <w:rsid w:val="00DC091F"/>
    <w:rsid w:val="00DC1D93"/>
    <w:rsid w:val="00DC2094"/>
    <w:rsid w:val="00DC2AC9"/>
    <w:rsid w:val="00DC3ED6"/>
    <w:rsid w:val="00DC549D"/>
    <w:rsid w:val="00DC56E7"/>
    <w:rsid w:val="00DC6D98"/>
    <w:rsid w:val="00DC717C"/>
    <w:rsid w:val="00DC77CA"/>
    <w:rsid w:val="00DC7D8A"/>
    <w:rsid w:val="00DD0735"/>
    <w:rsid w:val="00DD2B14"/>
    <w:rsid w:val="00DD2EEC"/>
    <w:rsid w:val="00DD473D"/>
    <w:rsid w:val="00DD531F"/>
    <w:rsid w:val="00DD653A"/>
    <w:rsid w:val="00DD6811"/>
    <w:rsid w:val="00DD7BD2"/>
    <w:rsid w:val="00DD7BEF"/>
    <w:rsid w:val="00DE107D"/>
    <w:rsid w:val="00DE16C4"/>
    <w:rsid w:val="00DE24A1"/>
    <w:rsid w:val="00DE2DA3"/>
    <w:rsid w:val="00DE3816"/>
    <w:rsid w:val="00DE4389"/>
    <w:rsid w:val="00DE4FB6"/>
    <w:rsid w:val="00DE53B6"/>
    <w:rsid w:val="00DE79BA"/>
    <w:rsid w:val="00DE7E48"/>
    <w:rsid w:val="00DF296A"/>
    <w:rsid w:val="00DF2ADB"/>
    <w:rsid w:val="00DF327C"/>
    <w:rsid w:val="00DF3B71"/>
    <w:rsid w:val="00DF47BE"/>
    <w:rsid w:val="00DF47D7"/>
    <w:rsid w:val="00DF4B59"/>
    <w:rsid w:val="00DF5714"/>
    <w:rsid w:val="00DF5EB2"/>
    <w:rsid w:val="00DF681E"/>
    <w:rsid w:val="00DF6836"/>
    <w:rsid w:val="00E00A15"/>
    <w:rsid w:val="00E00A2B"/>
    <w:rsid w:val="00E00D87"/>
    <w:rsid w:val="00E013F1"/>
    <w:rsid w:val="00E027F3"/>
    <w:rsid w:val="00E0294F"/>
    <w:rsid w:val="00E032DD"/>
    <w:rsid w:val="00E03533"/>
    <w:rsid w:val="00E0362D"/>
    <w:rsid w:val="00E036AA"/>
    <w:rsid w:val="00E03A33"/>
    <w:rsid w:val="00E05674"/>
    <w:rsid w:val="00E075E7"/>
    <w:rsid w:val="00E07CB8"/>
    <w:rsid w:val="00E07F02"/>
    <w:rsid w:val="00E10712"/>
    <w:rsid w:val="00E135C9"/>
    <w:rsid w:val="00E13763"/>
    <w:rsid w:val="00E17EC8"/>
    <w:rsid w:val="00E17FAA"/>
    <w:rsid w:val="00E203F3"/>
    <w:rsid w:val="00E21102"/>
    <w:rsid w:val="00E211D9"/>
    <w:rsid w:val="00E214B8"/>
    <w:rsid w:val="00E236D4"/>
    <w:rsid w:val="00E23E58"/>
    <w:rsid w:val="00E24026"/>
    <w:rsid w:val="00E24C8A"/>
    <w:rsid w:val="00E264F9"/>
    <w:rsid w:val="00E26F04"/>
    <w:rsid w:val="00E27548"/>
    <w:rsid w:val="00E27C39"/>
    <w:rsid w:val="00E31935"/>
    <w:rsid w:val="00E33043"/>
    <w:rsid w:val="00E33211"/>
    <w:rsid w:val="00E337E7"/>
    <w:rsid w:val="00E36B04"/>
    <w:rsid w:val="00E37886"/>
    <w:rsid w:val="00E37BD2"/>
    <w:rsid w:val="00E40F74"/>
    <w:rsid w:val="00E4243E"/>
    <w:rsid w:val="00E47905"/>
    <w:rsid w:val="00E4792B"/>
    <w:rsid w:val="00E51C41"/>
    <w:rsid w:val="00E52E9E"/>
    <w:rsid w:val="00E5304A"/>
    <w:rsid w:val="00E53644"/>
    <w:rsid w:val="00E53AA7"/>
    <w:rsid w:val="00E544A1"/>
    <w:rsid w:val="00E5462B"/>
    <w:rsid w:val="00E55275"/>
    <w:rsid w:val="00E5542F"/>
    <w:rsid w:val="00E567CB"/>
    <w:rsid w:val="00E57110"/>
    <w:rsid w:val="00E577D3"/>
    <w:rsid w:val="00E57928"/>
    <w:rsid w:val="00E60FC8"/>
    <w:rsid w:val="00E63BBC"/>
    <w:rsid w:val="00E6437E"/>
    <w:rsid w:val="00E65102"/>
    <w:rsid w:val="00E651A3"/>
    <w:rsid w:val="00E651DE"/>
    <w:rsid w:val="00E666C1"/>
    <w:rsid w:val="00E66C6F"/>
    <w:rsid w:val="00E702BA"/>
    <w:rsid w:val="00E70A5E"/>
    <w:rsid w:val="00E72307"/>
    <w:rsid w:val="00E72EB0"/>
    <w:rsid w:val="00E73D9F"/>
    <w:rsid w:val="00E74B0A"/>
    <w:rsid w:val="00E74C12"/>
    <w:rsid w:val="00E75BCB"/>
    <w:rsid w:val="00E75CCF"/>
    <w:rsid w:val="00E76174"/>
    <w:rsid w:val="00E7627C"/>
    <w:rsid w:val="00E764C2"/>
    <w:rsid w:val="00E80144"/>
    <w:rsid w:val="00E80584"/>
    <w:rsid w:val="00E810FC"/>
    <w:rsid w:val="00E817A2"/>
    <w:rsid w:val="00E821D8"/>
    <w:rsid w:val="00E82487"/>
    <w:rsid w:val="00E82B03"/>
    <w:rsid w:val="00E83CC8"/>
    <w:rsid w:val="00E84728"/>
    <w:rsid w:val="00E84CB8"/>
    <w:rsid w:val="00E84EE0"/>
    <w:rsid w:val="00E8549C"/>
    <w:rsid w:val="00E8610D"/>
    <w:rsid w:val="00E8680C"/>
    <w:rsid w:val="00E8692E"/>
    <w:rsid w:val="00E90C78"/>
    <w:rsid w:val="00E9147A"/>
    <w:rsid w:val="00E91C99"/>
    <w:rsid w:val="00E91E27"/>
    <w:rsid w:val="00E92020"/>
    <w:rsid w:val="00E9281F"/>
    <w:rsid w:val="00E9440E"/>
    <w:rsid w:val="00E94945"/>
    <w:rsid w:val="00E94A60"/>
    <w:rsid w:val="00E95868"/>
    <w:rsid w:val="00E95987"/>
    <w:rsid w:val="00E96583"/>
    <w:rsid w:val="00E97382"/>
    <w:rsid w:val="00E974A7"/>
    <w:rsid w:val="00E97567"/>
    <w:rsid w:val="00EA22D5"/>
    <w:rsid w:val="00EA33CB"/>
    <w:rsid w:val="00EA40DA"/>
    <w:rsid w:val="00EA5D05"/>
    <w:rsid w:val="00EA5EA9"/>
    <w:rsid w:val="00EA6751"/>
    <w:rsid w:val="00EA7640"/>
    <w:rsid w:val="00EB083A"/>
    <w:rsid w:val="00EB084D"/>
    <w:rsid w:val="00EB0E2D"/>
    <w:rsid w:val="00EB408D"/>
    <w:rsid w:val="00EB4482"/>
    <w:rsid w:val="00EB49A5"/>
    <w:rsid w:val="00EB5496"/>
    <w:rsid w:val="00EB5C55"/>
    <w:rsid w:val="00EB5D16"/>
    <w:rsid w:val="00EB5E9B"/>
    <w:rsid w:val="00EB6181"/>
    <w:rsid w:val="00EB7160"/>
    <w:rsid w:val="00EB7CE3"/>
    <w:rsid w:val="00EC248D"/>
    <w:rsid w:val="00EC309A"/>
    <w:rsid w:val="00EC4125"/>
    <w:rsid w:val="00EC4648"/>
    <w:rsid w:val="00EC4B3B"/>
    <w:rsid w:val="00EC74AD"/>
    <w:rsid w:val="00EC7A05"/>
    <w:rsid w:val="00ED0FC0"/>
    <w:rsid w:val="00ED17DF"/>
    <w:rsid w:val="00ED2B78"/>
    <w:rsid w:val="00ED335E"/>
    <w:rsid w:val="00ED5E0D"/>
    <w:rsid w:val="00ED61D8"/>
    <w:rsid w:val="00ED645C"/>
    <w:rsid w:val="00ED64F0"/>
    <w:rsid w:val="00ED678E"/>
    <w:rsid w:val="00ED6916"/>
    <w:rsid w:val="00ED72CE"/>
    <w:rsid w:val="00ED7A5F"/>
    <w:rsid w:val="00ED7E34"/>
    <w:rsid w:val="00ED7F42"/>
    <w:rsid w:val="00EE0228"/>
    <w:rsid w:val="00EE1CD9"/>
    <w:rsid w:val="00EE22FB"/>
    <w:rsid w:val="00EE435F"/>
    <w:rsid w:val="00EE5683"/>
    <w:rsid w:val="00EE66E0"/>
    <w:rsid w:val="00EE74DF"/>
    <w:rsid w:val="00EE777A"/>
    <w:rsid w:val="00EE7B54"/>
    <w:rsid w:val="00EF1239"/>
    <w:rsid w:val="00EF12B8"/>
    <w:rsid w:val="00EF1E51"/>
    <w:rsid w:val="00EF1FB2"/>
    <w:rsid w:val="00EF3558"/>
    <w:rsid w:val="00EF4634"/>
    <w:rsid w:val="00EF4AF8"/>
    <w:rsid w:val="00EF5035"/>
    <w:rsid w:val="00F00700"/>
    <w:rsid w:val="00F0204D"/>
    <w:rsid w:val="00F03E8D"/>
    <w:rsid w:val="00F049A0"/>
    <w:rsid w:val="00F0528A"/>
    <w:rsid w:val="00F05F0E"/>
    <w:rsid w:val="00F062AF"/>
    <w:rsid w:val="00F06960"/>
    <w:rsid w:val="00F06D09"/>
    <w:rsid w:val="00F0713D"/>
    <w:rsid w:val="00F077E2"/>
    <w:rsid w:val="00F101F2"/>
    <w:rsid w:val="00F104FE"/>
    <w:rsid w:val="00F10B30"/>
    <w:rsid w:val="00F11144"/>
    <w:rsid w:val="00F11EEB"/>
    <w:rsid w:val="00F11F41"/>
    <w:rsid w:val="00F12B2C"/>
    <w:rsid w:val="00F12CB3"/>
    <w:rsid w:val="00F12FF6"/>
    <w:rsid w:val="00F13B16"/>
    <w:rsid w:val="00F147DF"/>
    <w:rsid w:val="00F14C9B"/>
    <w:rsid w:val="00F205E8"/>
    <w:rsid w:val="00F2299B"/>
    <w:rsid w:val="00F247C3"/>
    <w:rsid w:val="00F25C9C"/>
    <w:rsid w:val="00F30031"/>
    <w:rsid w:val="00F312EE"/>
    <w:rsid w:val="00F31615"/>
    <w:rsid w:val="00F34312"/>
    <w:rsid w:val="00F34491"/>
    <w:rsid w:val="00F3464A"/>
    <w:rsid w:val="00F35ECF"/>
    <w:rsid w:val="00F37B3A"/>
    <w:rsid w:val="00F43211"/>
    <w:rsid w:val="00F4336F"/>
    <w:rsid w:val="00F437F0"/>
    <w:rsid w:val="00F44297"/>
    <w:rsid w:val="00F44D42"/>
    <w:rsid w:val="00F472CC"/>
    <w:rsid w:val="00F5015C"/>
    <w:rsid w:val="00F517FE"/>
    <w:rsid w:val="00F5252A"/>
    <w:rsid w:val="00F52B06"/>
    <w:rsid w:val="00F545F3"/>
    <w:rsid w:val="00F54728"/>
    <w:rsid w:val="00F55025"/>
    <w:rsid w:val="00F55229"/>
    <w:rsid w:val="00F556B7"/>
    <w:rsid w:val="00F5651F"/>
    <w:rsid w:val="00F56F34"/>
    <w:rsid w:val="00F57028"/>
    <w:rsid w:val="00F5769D"/>
    <w:rsid w:val="00F61806"/>
    <w:rsid w:val="00F632BB"/>
    <w:rsid w:val="00F6503B"/>
    <w:rsid w:val="00F65107"/>
    <w:rsid w:val="00F651A0"/>
    <w:rsid w:val="00F6557A"/>
    <w:rsid w:val="00F6592D"/>
    <w:rsid w:val="00F665D4"/>
    <w:rsid w:val="00F700E7"/>
    <w:rsid w:val="00F70B87"/>
    <w:rsid w:val="00F72547"/>
    <w:rsid w:val="00F742C9"/>
    <w:rsid w:val="00F75BFF"/>
    <w:rsid w:val="00F8193B"/>
    <w:rsid w:val="00F81C11"/>
    <w:rsid w:val="00F83188"/>
    <w:rsid w:val="00F837BB"/>
    <w:rsid w:val="00F83E3C"/>
    <w:rsid w:val="00F853BF"/>
    <w:rsid w:val="00F8597D"/>
    <w:rsid w:val="00F85C3F"/>
    <w:rsid w:val="00F86020"/>
    <w:rsid w:val="00F871A3"/>
    <w:rsid w:val="00F87CB7"/>
    <w:rsid w:val="00F906C0"/>
    <w:rsid w:val="00F92104"/>
    <w:rsid w:val="00F93DEC"/>
    <w:rsid w:val="00F940F4"/>
    <w:rsid w:val="00F943C4"/>
    <w:rsid w:val="00F97DA6"/>
    <w:rsid w:val="00FA01C6"/>
    <w:rsid w:val="00FA01C8"/>
    <w:rsid w:val="00FA1735"/>
    <w:rsid w:val="00FA23E0"/>
    <w:rsid w:val="00FA4290"/>
    <w:rsid w:val="00FA449A"/>
    <w:rsid w:val="00FA6BA4"/>
    <w:rsid w:val="00FA7063"/>
    <w:rsid w:val="00FA7135"/>
    <w:rsid w:val="00FA79B3"/>
    <w:rsid w:val="00FB0FBD"/>
    <w:rsid w:val="00FB1C6F"/>
    <w:rsid w:val="00FB360E"/>
    <w:rsid w:val="00FB4B87"/>
    <w:rsid w:val="00FB544A"/>
    <w:rsid w:val="00FB7DAD"/>
    <w:rsid w:val="00FC0700"/>
    <w:rsid w:val="00FC0B9A"/>
    <w:rsid w:val="00FC0BB1"/>
    <w:rsid w:val="00FC2784"/>
    <w:rsid w:val="00FC27DF"/>
    <w:rsid w:val="00FC2F6E"/>
    <w:rsid w:val="00FC2FA5"/>
    <w:rsid w:val="00FC36DC"/>
    <w:rsid w:val="00FC3C8B"/>
    <w:rsid w:val="00FC3CDA"/>
    <w:rsid w:val="00FC4DB4"/>
    <w:rsid w:val="00FC611D"/>
    <w:rsid w:val="00FC7134"/>
    <w:rsid w:val="00FC7EAB"/>
    <w:rsid w:val="00FD02FB"/>
    <w:rsid w:val="00FD213A"/>
    <w:rsid w:val="00FD30C8"/>
    <w:rsid w:val="00FD37B4"/>
    <w:rsid w:val="00FD3AB3"/>
    <w:rsid w:val="00FD3BC9"/>
    <w:rsid w:val="00FD47F7"/>
    <w:rsid w:val="00FD5861"/>
    <w:rsid w:val="00FD5A33"/>
    <w:rsid w:val="00FD5F80"/>
    <w:rsid w:val="00FD6745"/>
    <w:rsid w:val="00FD6CC6"/>
    <w:rsid w:val="00FE0BEA"/>
    <w:rsid w:val="00FE0DA3"/>
    <w:rsid w:val="00FE1C93"/>
    <w:rsid w:val="00FE1D1E"/>
    <w:rsid w:val="00FE6992"/>
    <w:rsid w:val="00FE7315"/>
    <w:rsid w:val="00FF03AD"/>
    <w:rsid w:val="00FF2D7D"/>
    <w:rsid w:val="00FF3905"/>
    <w:rsid w:val="00FF4C60"/>
    <w:rsid w:val="00FF5608"/>
    <w:rsid w:val="00FF5CBB"/>
    <w:rsid w:val="00FF6082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D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3D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C3D1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2063"/>
    <w:rPr>
      <w:lang w:val="tr-TR" w:eastAsia="tr-TR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character" w:styleId="Hyperlink">
    <w:name w:val="Hyperlink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C3D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C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3D1C"/>
    <w:rPr>
      <w:sz w:val="2"/>
      <w:szCs w:val="2"/>
    </w:rPr>
  </w:style>
  <w:style w:type="character" w:styleId="LineNumber">
    <w:name w:val="line number"/>
    <w:basedOn w:val="DefaultParagraphFont"/>
    <w:uiPriority w:val="99"/>
    <w:semiHidden/>
    <w:rsid w:val="000F0C2B"/>
  </w:style>
  <w:style w:type="paragraph" w:styleId="ListParagraph">
    <w:name w:val="List Paragraph"/>
    <w:basedOn w:val="Normal"/>
    <w:uiPriority w:val="99"/>
    <w:qFormat/>
    <w:rsid w:val="000B61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D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3D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C3D1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2063"/>
    <w:rPr>
      <w:lang w:val="tr-TR" w:eastAsia="tr-TR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character" w:styleId="Hyperlink">
    <w:name w:val="Hyperlink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C3D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C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3D1C"/>
    <w:rPr>
      <w:sz w:val="2"/>
      <w:szCs w:val="2"/>
    </w:rPr>
  </w:style>
  <w:style w:type="character" w:styleId="LineNumber">
    <w:name w:val="line number"/>
    <w:basedOn w:val="DefaultParagraphFont"/>
    <w:uiPriority w:val="99"/>
    <w:semiHidden/>
    <w:rsid w:val="000F0C2B"/>
  </w:style>
  <w:style w:type="paragraph" w:styleId="ListParagraph">
    <w:name w:val="List Paragraph"/>
    <w:basedOn w:val="Normal"/>
    <w:uiPriority w:val="99"/>
    <w:qFormat/>
    <w:rsid w:val="000B6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ine.durmaz\Desktop\melike.kokk&#305;z&#305;l@eas.bahcsehir.edu.tr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is.soybilgen@bahcesehir.edu.tr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mrut.imamoglu@bahcesehir.edu.t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234B-5009-4922-B03D-A6394C70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oş</vt:lpstr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oş</dc:title>
  <dc:creator>Selin KOKSAL</dc:creator>
  <cp:lastModifiedBy>merve.akgul</cp:lastModifiedBy>
  <cp:revision>3</cp:revision>
  <cp:lastPrinted>2016-04-25T13:41:00Z</cp:lastPrinted>
  <dcterms:created xsi:type="dcterms:W3CDTF">2016-04-25T11:17:00Z</dcterms:created>
  <dcterms:modified xsi:type="dcterms:W3CDTF">2016-04-25T13:41:00Z</dcterms:modified>
</cp:coreProperties>
</file>