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D3" w:rsidRPr="00E456D2" w:rsidRDefault="00986C1A" w:rsidP="001E4BF5">
      <w:pPr>
        <w:spacing w:line="360" w:lineRule="auto"/>
        <w:ind w:right="-319"/>
        <w:jc w:val="center"/>
        <w:outlineLvl w:val="0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noProof/>
          <w:sz w:val="21"/>
          <w:szCs w:val="21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94.7pt;margin-top:16.7pt;width:172.25pt;height:27.45pt;z-index:2516674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" stroked="f">
            <v:fill opacity="0"/>
            <v:textbox inset="0,0,0,0">
              <w:txbxContent>
                <w:p w:rsidR="005E3ECE" w:rsidRPr="00DB7229" w:rsidRDefault="00E07B7B" w:rsidP="005E3ECE">
                  <w:pPr>
                    <w:pStyle w:val="Heading3"/>
                    <w:rPr>
                      <w:color w:val="FFFFFF"/>
                      <w:sz w:val="22"/>
                      <w:szCs w:val="22"/>
                    </w:rPr>
                  </w:pPr>
                  <w:r>
                    <w:rPr>
                      <w:color w:val="FFFFFF"/>
                      <w:sz w:val="22"/>
                      <w:szCs w:val="22"/>
                    </w:rPr>
                    <w:t xml:space="preserve">   24 February 2016</w:t>
                  </w:r>
                </w:p>
                <w:p w:rsidR="005E3ECE" w:rsidRDefault="005E3ECE" w:rsidP="005E3ECE"/>
              </w:txbxContent>
            </v:textbox>
          </v:shape>
        </w:pict>
      </w:r>
      <w:r w:rsidR="005E3ECE" w:rsidRPr="00E456D2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-809625</wp:posOffset>
            </wp:positionV>
            <wp:extent cx="7258050" cy="1390650"/>
            <wp:effectExtent l="19050" t="0" r="0" b="0"/>
            <wp:wrapNone/>
            <wp:docPr id="8" name="Picture 1" descr="Description: :banner(T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:banner(TUR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pict>
          <v:shape id="Text Box 3" o:spid="_x0000_s1027" type="#_x0000_t202" style="position:absolute;left:0;text-align:left;margin-left:127.05pt;margin-top:-51.45pt;width:346.2pt;height:44.8pt;z-index:251663360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" stroked="f">
            <v:fill opacity="0"/>
            <v:textbox inset="0,0,0,0">
              <w:txbxContent>
                <w:p w:rsidR="00C76E90" w:rsidRPr="0026114C" w:rsidRDefault="00E07B7B" w:rsidP="00347B6F">
                  <w:pPr>
                    <w:pStyle w:val="Heading1"/>
                    <w:jc w:val="left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Economic</w:t>
                  </w:r>
                  <w:r w:rsidR="00C76E90">
                    <w:rPr>
                      <w:rFonts w:ascii="Times New Roman" w:hAnsi="Times New Roman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Outlook</w:t>
                  </w:r>
                  <w:r w:rsidR="00C76E90">
                    <w:rPr>
                      <w:rFonts w:ascii="Times New Roman" w:hAnsi="Times New Roman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and</w:t>
                  </w:r>
                  <w:r w:rsidR="00C76E90">
                    <w:rPr>
                      <w:rFonts w:ascii="Times New Roman" w:hAnsi="Times New Roman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Forecast</w:t>
                  </w:r>
                  <w:r w:rsidR="00C76E90">
                    <w:rPr>
                      <w:rFonts w:ascii="Times New Roman" w:hAnsi="Times New Roman"/>
                      <w:sz w:val="40"/>
                      <w:szCs w:val="40"/>
                    </w:rPr>
                    <w:t xml:space="preserve">: </w:t>
                  </w:r>
                  <w:r w:rsidR="00C76E90">
                    <w:rPr>
                      <w:rFonts w:ascii="Times New Roman" w:hAnsi="Times New Roman"/>
                      <w:sz w:val="40"/>
                      <w:szCs w:val="40"/>
                    </w:rPr>
                    <w:tab/>
                  </w:r>
                  <w:r w:rsidR="00C76E90">
                    <w:rPr>
                      <w:rFonts w:ascii="Times New Roman" w:hAnsi="Times New Roman"/>
                      <w:sz w:val="40"/>
                      <w:szCs w:val="40"/>
                    </w:rPr>
                    <w:tab/>
                  </w:r>
                  <w:r w:rsidR="00C76E90">
                    <w:rPr>
                      <w:rFonts w:ascii="Times New Roman" w:hAnsi="Times New Roman"/>
                      <w:sz w:val="40"/>
                      <w:szCs w:val="40"/>
                    </w:rPr>
                    <w:tab/>
                  </w:r>
                  <w:r w:rsidR="00C76E90">
                    <w:rPr>
                      <w:rFonts w:ascii="Times New Roman" w:hAnsi="Times New Roman"/>
                      <w:sz w:val="40"/>
                      <w:szCs w:val="40"/>
                    </w:rPr>
                    <w:tab/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February</w:t>
                  </w:r>
                  <w:r w:rsidR="00A13EC9">
                    <w:rPr>
                      <w:rFonts w:ascii="Times New Roman" w:hAnsi="Times New Roman"/>
                      <w:sz w:val="40"/>
                      <w:szCs w:val="40"/>
                    </w:rPr>
                    <w:t xml:space="preserve"> 2016</w:t>
                  </w:r>
                </w:p>
                <w:p w:rsidR="00C76E90" w:rsidRPr="00A75A46" w:rsidRDefault="00C76E90" w:rsidP="00E57928">
                  <w:pPr>
                    <w:pStyle w:val="Heading2"/>
                    <w:rPr>
                      <w:b w:val="0"/>
                      <w:bCs w:val="0"/>
                      <w:i w:val="0"/>
                      <w:iCs w:val="0"/>
                      <w:lang w:val="nl-NL"/>
                    </w:rPr>
                  </w:pPr>
                </w:p>
              </w:txbxContent>
            </v:textbox>
          </v:shape>
        </w:pict>
      </w:r>
    </w:p>
    <w:p w:rsidR="00054BD3" w:rsidRPr="00E456D2" w:rsidRDefault="00054BD3" w:rsidP="001E4BF5">
      <w:pPr>
        <w:spacing w:line="360" w:lineRule="auto"/>
        <w:ind w:right="-319"/>
        <w:jc w:val="center"/>
        <w:outlineLvl w:val="0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0F0372" w:rsidRPr="00E456D2" w:rsidRDefault="00E07B7B" w:rsidP="000F0372">
      <w:pPr>
        <w:ind w:right="-317"/>
        <w:jc w:val="center"/>
        <w:outlineLvl w:val="0"/>
        <w:rPr>
          <w:rFonts w:ascii="Arial" w:hAnsi="Arial" w:cs="Arial"/>
          <w:b/>
          <w:bCs/>
          <w:caps/>
          <w:sz w:val="28"/>
          <w:szCs w:val="28"/>
          <w:lang w:val="en-US"/>
        </w:rPr>
      </w:pPr>
      <w:r w:rsidRPr="00E456D2">
        <w:rPr>
          <w:rFonts w:ascii="Arial" w:hAnsi="Arial" w:cs="Arial"/>
          <w:b/>
          <w:bCs/>
          <w:caps/>
          <w:sz w:val="28"/>
          <w:szCs w:val="28"/>
          <w:lang w:val="en-US"/>
        </w:rPr>
        <w:t>Moderate growth ın the 4th quarter</w:t>
      </w:r>
      <w:bookmarkStart w:id="0" w:name="_GoBack"/>
      <w:bookmarkEnd w:id="0"/>
    </w:p>
    <w:p w:rsidR="00EB408D" w:rsidRPr="00E456D2" w:rsidRDefault="00EB408D" w:rsidP="00EB408D">
      <w:pPr>
        <w:ind w:right="-317"/>
        <w:jc w:val="center"/>
        <w:outlineLvl w:val="0"/>
        <w:rPr>
          <w:rFonts w:ascii="Arial" w:hAnsi="Arial" w:cs="Arial"/>
          <w:b/>
          <w:bCs/>
          <w:caps/>
          <w:sz w:val="28"/>
          <w:szCs w:val="28"/>
          <w:lang w:val="en-US"/>
        </w:rPr>
      </w:pPr>
    </w:p>
    <w:p w:rsidR="00EB408D" w:rsidRPr="00E456D2" w:rsidRDefault="000F0372" w:rsidP="00EB408D">
      <w:pPr>
        <w:ind w:right="-317"/>
        <w:jc w:val="center"/>
        <w:outlineLvl w:val="0"/>
        <w:rPr>
          <w:rFonts w:ascii="Arial" w:hAnsi="Arial" w:cs="Arial"/>
          <w:b/>
          <w:bCs/>
          <w:sz w:val="21"/>
          <w:szCs w:val="21"/>
          <w:vertAlign w:val="superscript"/>
          <w:lang w:val="en-US"/>
        </w:rPr>
      </w:pPr>
      <w:r w:rsidRPr="00E456D2">
        <w:rPr>
          <w:rFonts w:ascii="Arial" w:hAnsi="Arial" w:cs="Arial"/>
          <w:b/>
          <w:bCs/>
          <w:sz w:val="21"/>
          <w:szCs w:val="21"/>
          <w:lang w:val="en-US"/>
        </w:rPr>
        <w:t xml:space="preserve">Seyfettin </w:t>
      </w:r>
      <w:proofErr w:type="spellStart"/>
      <w:r w:rsidRPr="00E456D2">
        <w:rPr>
          <w:rFonts w:ascii="Arial" w:hAnsi="Arial" w:cs="Arial"/>
          <w:b/>
          <w:bCs/>
          <w:sz w:val="21"/>
          <w:szCs w:val="21"/>
          <w:lang w:val="en-US"/>
        </w:rPr>
        <w:t>Gürsel</w:t>
      </w:r>
      <w:proofErr w:type="spellEnd"/>
      <w:r w:rsidRPr="00E456D2">
        <w:rPr>
          <w:rFonts w:ascii="Arial" w:hAnsi="Arial" w:cs="Arial"/>
          <w:b/>
          <w:bCs/>
          <w:sz w:val="21"/>
          <w:szCs w:val="21"/>
          <w:lang w:val="en-US"/>
        </w:rPr>
        <w:t>*,</w:t>
      </w:r>
      <w:r w:rsidR="00EB408D" w:rsidRPr="00E456D2">
        <w:rPr>
          <w:rFonts w:ascii="Arial" w:hAnsi="Arial" w:cs="Arial"/>
          <w:b/>
          <w:bCs/>
          <w:sz w:val="21"/>
          <w:szCs w:val="21"/>
          <w:lang w:val="en-US"/>
        </w:rPr>
        <w:t xml:space="preserve"> </w:t>
      </w:r>
      <w:r w:rsidRPr="00E456D2">
        <w:rPr>
          <w:rFonts w:ascii="Arial" w:hAnsi="Arial" w:cs="Arial"/>
          <w:b/>
          <w:bCs/>
          <w:sz w:val="21"/>
          <w:szCs w:val="21"/>
          <w:lang w:val="en-US"/>
        </w:rPr>
        <w:t>Mine Durmaz</w:t>
      </w:r>
      <w:r w:rsidRPr="00E456D2">
        <w:rPr>
          <w:rFonts w:ascii="Arial" w:hAnsi="Arial" w:cs="Arial"/>
          <w:b/>
          <w:bCs/>
          <w:sz w:val="21"/>
          <w:szCs w:val="21"/>
          <w:vertAlign w:val="superscript"/>
          <w:lang w:val="en-US"/>
        </w:rPr>
        <w:t>**</w:t>
      </w:r>
      <w:r w:rsidRPr="00E456D2">
        <w:rPr>
          <w:rFonts w:ascii="Arial" w:hAnsi="Arial" w:cs="Arial"/>
          <w:b/>
          <w:bCs/>
          <w:sz w:val="21"/>
          <w:szCs w:val="21"/>
          <w:lang w:val="en-US"/>
        </w:rPr>
        <w:t xml:space="preserve">, Melike </w:t>
      </w:r>
      <w:proofErr w:type="spellStart"/>
      <w:r w:rsidRPr="00E456D2">
        <w:rPr>
          <w:rFonts w:ascii="Arial" w:hAnsi="Arial" w:cs="Arial"/>
          <w:b/>
          <w:bCs/>
          <w:sz w:val="21"/>
          <w:szCs w:val="21"/>
          <w:lang w:val="en-US"/>
        </w:rPr>
        <w:t>Kökkızıl</w:t>
      </w:r>
      <w:proofErr w:type="spellEnd"/>
      <w:r w:rsidRPr="00E456D2">
        <w:rPr>
          <w:rFonts w:ascii="Arial" w:hAnsi="Arial" w:cs="Arial"/>
          <w:b/>
          <w:bCs/>
          <w:sz w:val="21"/>
          <w:szCs w:val="21"/>
          <w:lang w:val="en-US"/>
        </w:rPr>
        <w:t>***</w:t>
      </w:r>
    </w:p>
    <w:p w:rsidR="00EB408D" w:rsidRPr="00E456D2" w:rsidRDefault="00EB408D" w:rsidP="00EB408D">
      <w:pPr>
        <w:ind w:right="-317"/>
        <w:jc w:val="center"/>
        <w:outlineLvl w:val="0"/>
        <w:rPr>
          <w:rFonts w:ascii="Arial" w:hAnsi="Arial" w:cs="Arial"/>
          <w:b/>
          <w:bCs/>
          <w:sz w:val="21"/>
          <w:szCs w:val="21"/>
          <w:vertAlign w:val="superscript"/>
          <w:lang w:val="en-US"/>
        </w:rPr>
      </w:pPr>
    </w:p>
    <w:p w:rsidR="00EB408D" w:rsidRPr="00E456D2" w:rsidRDefault="00EB408D" w:rsidP="00EB408D">
      <w:pPr>
        <w:spacing w:line="360" w:lineRule="auto"/>
        <w:ind w:right="-319"/>
        <w:jc w:val="center"/>
        <w:outlineLvl w:val="0"/>
        <w:rPr>
          <w:rFonts w:ascii="Arial" w:hAnsi="Arial" w:cs="Arial"/>
          <w:sz w:val="22"/>
          <w:szCs w:val="22"/>
          <w:vertAlign w:val="superscript"/>
          <w:lang w:val="en-US"/>
        </w:rPr>
      </w:pPr>
    </w:p>
    <w:p w:rsidR="00EB408D" w:rsidRPr="00E456D2" w:rsidRDefault="00EB408D" w:rsidP="00EB408D">
      <w:pPr>
        <w:spacing w:line="360" w:lineRule="auto"/>
        <w:ind w:right="-319"/>
        <w:jc w:val="center"/>
        <w:outlineLvl w:val="0"/>
        <w:rPr>
          <w:rFonts w:ascii="Arial" w:hAnsi="Arial" w:cs="Arial"/>
          <w:sz w:val="22"/>
          <w:szCs w:val="22"/>
          <w:vertAlign w:val="superscript"/>
          <w:lang w:val="en-US"/>
        </w:rPr>
        <w:sectPr w:rsidR="00EB408D" w:rsidRPr="00E456D2" w:rsidSect="008651A8"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B408D" w:rsidRPr="00E456D2" w:rsidRDefault="00E07B7B" w:rsidP="00EB408D">
      <w:pPr>
        <w:spacing w:line="360" w:lineRule="auto"/>
        <w:ind w:left="-360" w:right="42" w:firstLine="360"/>
        <w:jc w:val="center"/>
        <w:rPr>
          <w:b/>
          <w:bCs/>
          <w:sz w:val="22"/>
          <w:szCs w:val="22"/>
          <w:lang w:val="en-US"/>
        </w:rPr>
      </w:pPr>
      <w:r w:rsidRPr="00E456D2">
        <w:rPr>
          <w:b/>
          <w:bCs/>
          <w:sz w:val="22"/>
          <w:szCs w:val="22"/>
          <w:lang w:val="en-US"/>
        </w:rPr>
        <w:lastRenderedPageBreak/>
        <w:t>Executive Summary</w:t>
      </w:r>
    </w:p>
    <w:p w:rsidR="00EB408D" w:rsidRPr="00E456D2" w:rsidRDefault="00EB408D" w:rsidP="00EB408D">
      <w:pPr>
        <w:spacing w:line="360" w:lineRule="auto"/>
        <w:ind w:left="-360" w:right="42" w:firstLine="360"/>
        <w:jc w:val="center"/>
        <w:rPr>
          <w:b/>
          <w:bCs/>
          <w:sz w:val="16"/>
          <w:szCs w:val="16"/>
          <w:highlight w:val="yellow"/>
          <w:lang w:val="en-US"/>
        </w:rPr>
      </w:pPr>
    </w:p>
    <w:p w:rsidR="00390F9C" w:rsidRPr="00E456D2" w:rsidRDefault="008B3522" w:rsidP="00F35061">
      <w:pPr>
        <w:spacing w:line="360" w:lineRule="auto"/>
        <w:ind w:left="-360" w:right="40"/>
        <w:jc w:val="both"/>
        <w:rPr>
          <w:color w:val="000000" w:themeColor="text1"/>
          <w:sz w:val="22"/>
          <w:szCs w:val="22"/>
          <w:lang w:val="en-US"/>
        </w:rPr>
      </w:pPr>
      <w:r w:rsidRPr="00E456D2">
        <w:rPr>
          <w:color w:val="000000" w:themeColor="text1"/>
          <w:sz w:val="22"/>
          <w:szCs w:val="22"/>
          <w:lang w:val="en-US"/>
        </w:rPr>
        <w:t>Even though 2015 Dec</w:t>
      </w:r>
      <w:r w:rsidR="00671A5B" w:rsidRPr="00E456D2">
        <w:rPr>
          <w:color w:val="000000" w:themeColor="text1"/>
          <w:sz w:val="22"/>
          <w:szCs w:val="22"/>
          <w:lang w:val="en-US"/>
        </w:rPr>
        <w:t xml:space="preserve">ember statistics pointed out </w:t>
      </w:r>
      <w:r w:rsidRPr="00E456D2">
        <w:rPr>
          <w:color w:val="000000" w:themeColor="text1"/>
          <w:sz w:val="22"/>
          <w:szCs w:val="22"/>
          <w:lang w:val="en-US"/>
        </w:rPr>
        <w:t>opposite change</w:t>
      </w:r>
      <w:r w:rsidR="00B17C36" w:rsidRPr="00E456D2">
        <w:rPr>
          <w:color w:val="000000" w:themeColor="text1"/>
          <w:sz w:val="22"/>
          <w:szCs w:val="22"/>
          <w:lang w:val="en-US"/>
        </w:rPr>
        <w:t>s</w:t>
      </w:r>
      <w:r w:rsidR="00E456D2" w:rsidRPr="00E456D2">
        <w:rPr>
          <w:color w:val="000000" w:themeColor="text1"/>
          <w:sz w:val="22"/>
          <w:szCs w:val="22"/>
          <w:lang w:val="en-US"/>
        </w:rPr>
        <w:t xml:space="preserve"> in GDP</w:t>
      </w:r>
      <w:r w:rsidRPr="00E456D2">
        <w:rPr>
          <w:color w:val="000000" w:themeColor="text1"/>
          <w:sz w:val="22"/>
          <w:szCs w:val="22"/>
          <w:lang w:val="en-US"/>
        </w:rPr>
        <w:t xml:space="preserve"> components, w</w:t>
      </w:r>
      <w:r w:rsidR="00E764C5" w:rsidRPr="00E456D2">
        <w:rPr>
          <w:color w:val="000000" w:themeColor="text1"/>
          <w:sz w:val="22"/>
          <w:szCs w:val="22"/>
          <w:lang w:val="en-US"/>
        </w:rPr>
        <w:t xml:space="preserve">e </w:t>
      </w:r>
      <w:r w:rsidR="00CF3F33">
        <w:rPr>
          <w:color w:val="000000" w:themeColor="text1"/>
          <w:sz w:val="22"/>
          <w:szCs w:val="22"/>
          <w:lang w:val="en-US"/>
        </w:rPr>
        <w:t>preserved our forecast of 0.</w:t>
      </w:r>
      <w:r w:rsidRPr="00E456D2">
        <w:rPr>
          <w:color w:val="000000" w:themeColor="text1"/>
          <w:sz w:val="22"/>
          <w:szCs w:val="22"/>
          <w:lang w:val="en-US"/>
        </w:rPr>
        <w:t>6 percent due to th</w:t>
      </w:r>
      <w:r w:rsidR="00E456D2" w:rsidRPr="00E456D2">
        <w:rPr>
          <w:color w:val="000000" w:themeColor="text1"/>
          <w:sz w:val="22"/>
          <w:szCs w:val="22"/>
          <w:lang w:val="en-US"/>
        </w:rPr>
        <w:t>e compensative character of these</w:t>
      </w:r>
      <w:r w:rsidRPr="00E456D2">
        <w:rPr>
          <w:color w:val="000000" w:themeColor="text1"/>
          <w:sz w:val="22"/>
          <w:szCs w:val="22"/>
          <w:lang w:val="en-US"/>
        </w:rPr>
        <w:t xml:space="preserve"> change</w:t>
      </w:r>
      <w:r w:rsidR="00E456D2" w:rsidRPr="00E456D2">
        <w:rPr>
          <w:color w:val="000000" w:themeColor="text1"/>
          <w:sz w:val="22"/>
          <w:szCs w:val="22"/>
          <w:lang w:val="en-US"/>
        </w:rPr>
        <w:t>s</w:t>
      </w:r>
      <w:r w:rsidRPr="00E456D2">
        <w:rPr>
          <w:color w:val="000000" w:themeColor="text1"/>
          <w:sz w:val="22"/>
          <w:szCs w:val="22"/>
          <w:lang w:val="en-US"/>
        </w:rPr>
        <w:t>.</w:t>
      </w:r>
      <w:r w:rsidR="00F35061" w:rsidRPr="00E456D2">
        <w:rPr>
          <w:color w:val="000000" w:themeColor="text1"/>
          <w:sz w:val="22"/>
          <w:szCs w:val="22"/>
          <w:lang w:val="en-US"/>
        </w:rPr>
        <w:t xml:space="preserve"> </w:t>
      </w:r>
      <w:r w:rsidR="00FC5DEA" w:rsidRPr="00E456D2">
        <w:rPr>
          <w:color w:val="000000" w:themeColor="text1"/>
          <w:sz w:val="22"/>
          <w:szCs w:val="22"/>
          <w:lang w:val="en-US"/>
        </w:rPr>
        <w:t>In</w:t>
      </w:r>
      <w:r w:rsidR="00B17C36" w:rsidRPr="00E456D2">
        <w:rPr>
          <w:color w:val="000000" w:themeColor="text1"/>
          <w:sz w:val="22"/>
          <w:szCs w:val="22"/>
          <w:lang w:val="en-US"/>
        </w:rPr>
        <w:t xml:space="preserve"> December, regarding the components of GDP, </w:t>
      </w:r>
      <w:r w:rsidR="001B6852" w:rsidRPr="00E456D2">
        <w:rPr>
          <w:color w:val="000000" w:themeColor="text1"/>
          <w:sz w:val="22"/>
          <w:szCs w:val="22"/>
          <w:lang w:val="en-US"/>
        </w:rPr>
        <w:t xml:space="preserve">the rise of </w:t>
      </w:r>
      <w:r w:rsidR="00B17C36" w:rsidRPr="00E456D2">
        <w:rPr>
          <w:color w:val="000000" w:themeColor="text1"/>
          <w:sz w:val="22"/>
          <w:szCs w:val="22"/>
          <w:lang w:val="en-US"/>
        </w:rPr>
        <w:t>private consumption keeps</w:t>
      </w:r>
      <w:r w:rsidR="001B6852" w:rsidRPr="00E456D2">
        <w:rPr>
          <w:color w:val="000000" w:themeColor="text1"/>
          <w:sz w:val="22"/>
          <w:szCs w:val="22"/>
          <w:lang w:val="en-US"/>
        </w:rPr>
        <w:t xml:space="preserve"> its relatively strong level</w:t>
      </w:r>
      <w:r w:rsidR="002216A9" w:rsidRPr="00E456D2">
        <w:rPr>
          <w:color w:val="000000" w:themeColor="text1"/>
          <w:sz w:val="22"/>
          <w:szCs w:val="22"/>
          <w:lang w:val="en-US"/>
        </w:rPr>
        <w:t xml:space="preserve"> and a</w:t>
      </w:r>
      <w:r w:rsidR="001B6852" w:rsidRPr="00E456D2">
        <w:rPr>
          <w:color w:val="000000" w:themeColor="text1"/>
          <w:sz w:val="22"/>
          <w:szCs w:val="22"/>
          <w:lang w:val="en-US"/>
        </w:rPr>
        <w:t xml:space="preserve"> recovery </w:t>
      </w:r>
      <w:r w:rsidR="00F35061" w:rsidRPr="00E456D2">
        <w:rPr>
          <w:color w:val="000000" w:themeColor="text1"/>
          <w:sz w:val="22"/>
          <w:szCs w:val="22"/>
          <w:lang w:val="en-US"/>
        </w:rPr>
        <w:t>occurred</w:t>
      </w:r>
      <w:r w:rsidR="001B6852" w:rsidRPr="00E456D2">
        <w:rPr>
          <w:color w:val="000000" w:themeColor="text1"/>
          <w:sz w:val="22"/>
          <w:szCs w:val="22"/>
          <w:lang w:val="en-US"/>
        </w:rPr>
        <w:t xml:space="preserve"> in investments</w:t>
      </w:r>
      <w:r w:rsidR="002216A9" w:rsidRPr="00E456D2">
        <w:rPr>
          <w:color w:val="000000" w:themeColor="text1"/>
          <w:sz w:val="22"/>
          <w:szCs w:val="22"/>
          <w:lang w:val="en-US"/>
        </w:rPr>
        <w:t>. However</w:t>
      </w:r>
      <w:r w:rsidR="00E456D2" w:rsidRPr="00E456D2">
        <w:rPr>
          <w:color w:val="000000" w:themeColor="text1"/>
          <w:sz w:val="22"/>
          <w:szCs w:val="22"/>
          <w:lang w:val="en-US"/>
        </w:rPr>
        <w:t>,</w:t>
      </w:r>
      <w:r w:rsidR="002216A9" w:rsidRPr="00E456D2">
        <w:rPr>
          <w:color w:val="000000" w:themeColor="text1"/>
          <w:sz w:val="22"/>
          <w:szCs w:val="22"/>
          <w:lang w:val="en-US"/>
        </w:rPr>
        <w:t xml:space="preserve"> we observe </w:t>
      </w:r>
      <w:r w:rsidR="008338F5" w:rsidRPr="00E456D2">
        <w:rPr>
          <w:color w:val="000000" w:themeColor="text1"/>
          <w:sz w:val="22"/>
          <w:szCs w:val="22"/>
          <w:lang w:val="en-US"/>
        </w:rPr>
        <w:t>a decline in government expenditures (</w:t>
      </w:r>
      <w:r w:rsidR="002216A9" w:rsidRPr="00E456D2">
        <w:rPr>
          <w:color w:val="000000" w:themeColor="text1"/>
          <w:sz w:val="22"/>
          <w:szCs w:val="22"/>
          <w:lang w:val="en-US"/>
        </w:rPr>
        <w:t>tighten</w:t>
      </w:r>
      <w:r w:rsidR="00F35061" w:rsidRPr="00E456D2">
        <w:rPr>
          <w:color w:val="000000" w:themeColor="text1"/>
          <w:sz w:val="22"/>
          <w:szCs w:val="22"/>
          <w:lang w:val="en-US"/>
        </w:rPr>
        <w:t>ing in fiscal discipline</w:t>
      </w:r>
      <w:r w:rsidR="002216A9" w:rsidRPr="00E456D2">
        <w:rPr>
          <w:color w:val="000000" w:themeColor="text1"/>
          <w:sz w:val="22"/>
          <w:szCs w:val="22"/>
          <w:lang w:val="en-US"/>
        </w:rPr>
        <w:t>) and the negative contribution of net export becomes more evident.</w:t>
      </w:r>
      <w:r w:rsidR="00F35061" w:rsidRPr="00E456D2">
        <w:rPr>
          <w:color w:val="000000" w:themeColor="text1"/>
          <w:sz w:val="22"/>
          <w:szCs w:val="22"/>
          <w:lang w:val="en-US"/>
        </w:rPr>
        <w:t xml:space="preserve"> </w:t>
      </w:r>
      <w:r w:rsidR="001B76BB" w:rsidRPr="00E456D2">
        <w:rPr>
          <w:color w:val="000000" w:themeColor="text1"/>
          <w:sz w:val="22"/>
          <w:szCs w:val="22"/>
          <w:lang w:val="en-US"/>
        </w:rPr>
        <w:t>Considering the act</w:t>
      </w:r>
      <w:r w:rsidR="00F35061" w:rsidRPr="00E456D2">
        <w:rPr>
          <w:color w:val="000000" w:themeColor="text1"/>
          <w:sz w:val="22"/>
          <w:szCs w:val="22"/>
          <w:lang w:val="en-US"/>
        </w:rPr>
        <w:t>ual GDP in</w:t>
      </w:r>
      <w:r w:rsidR="00E456D2">
        <w:rPr>
          <w:color w:val="000000" w:themeColor="text1"/>
          <w:sz w:val="22"/>
          <w:szCs w:val="22"/>
          <w:lang w:val="en-US"/>
        </w:rPr>
        <w:t xml:space="preserve"> the</w:t>
      </w:r>
      <w:r w:rsidR="00F35061" w:rsidRPr="00E456D2">
        <w:rPr>
          <w:color w:val="000000" w:themeColor="text1"/>
          <w:sz w:val="22"/>
          <w:szCs w:val="22"/>
          <w:lang w:val="en-US"/>
        </w:rPr>
        <w:t xml:space="preserve"> first three quarters and the </w:t>
      </w:r>
      <w:r w:rsidR="00E456D2">
        <w:rPr>
          <w:color w:val="000000" w:themeColor="text1"/>
          <w:sz w:val="22"/>
          <w:szCs w:val="22"/>
          <w:lang w:val="en-US"/>
        </w:rPr>
        <w:t xml:space="preserve">forecast for the </w:t>
      </w:r>
      <w:r w:rsidR="00F35061" w:rsidRPr="00E456D2">
        <w:rPr>
          <w:color w:val="000000" w:themeColor="text1"/>
          <w:sz w:val="22"/>
          <w:szCs w:val="22"/>
          <w:lang w:val="en-US"/>
        </w:rPr>
        <w:t xml:space="preserve">growth rate </w:t>
      </w:r>
      <w:r w:rsidR="00E456D2">
        <w:rPr>
          <w:color w:val="000000" w:themeColor="text1"/>
          <w:sz w:val="22"/>
          <w:szCs w:val="22"/>
          <w:lang w:val="en-US"/>
        </w:rPr>
        <w:t>for</w:t>
      </w:r>
      <w:r w:rsidR="00F35061" w:rsidRPr="00E456D2">
        <w:rPr>
          <w:color w:val="000000" w:themeColor="text1"/>
          <w:sz w:val="22"/>
          <w:szCs w:val="22"/>
          <w:lang w:val="en-US"/>
        </w:rPr>
        <w:t xml:space="preserve"> </w:t>
      </w:r>
      <w:r w:rsidR="00671A5B" w:rsidRPr="00E456D2">
        <w:rPr>
          <w:color w:val="000000" w:themeColor="text1"/>
          <w:sz w:val="22"/>
          <w:szCs w:val="22"/>
          <w:lang w:val="en-US"/>
        </w:rPr>
        <w:t xml:space="preserve">the </w:t>
      </w:r>
      <w:r w:rsidR="00F35061" w:rsidRPr="00E456D2">
        <w:rPr>
          <w:color w:val="000000" w:themeColor="text1"/>
          <w:sz w:val="22"/>
          <w:szCs w:val="22"/>
          <w:lang w:val="en-US"/>
        </w:rPr>
        <w:t>fourth quarter, we estimate the annual GDP growth as 4 percent. Also, we predict the current account deficit t</w:t>
      </w:r>
      <w:r w:rsidR="00CF3F33">
        <w:rPr>
          <w:color w:val="000000" w:themeColor="text1"/>
          <w:sz w:val="22"/>
          <w:szCs w:val="22"/>
          <w:lang w:val="en-US"/>
        </w:rPr>
        <w:t>o GDP ratio to be 4.</w:t>
      </w:r>
      <w:r w:rsidR="00F35061" w:rsidRPr="00E456D2">
        <w:rPr>
          <w:color w:val="000000" w:themeColor="text1"/>
          <w:sz w:val="22"/>
          <w:szCs w:val="22"/>
          <w:lang w:val="en-US"/>
        </w:rPr>
        <w:t>5 percent and the gold-excluded ratio to be 5 percent.</w:t>
      </w:r>
    </w:p>
    <w:p w:rsidR="004E6678" w:rsidRPr="00E456D2" w:rsidRDefault="004E6678" w:rsidP="00B161B7">
      <w:pPr>
        <w:spacing w:line="360" w:lineRule="auto"/>
        <w:ind w:left="-360" w:right="40"/>
        <w:jc w:val="both"/>
        <w:rPr>
          <w:color w:val="000000" w:themeColor="text1"/>
          <w:sz w:val="22"/>
          <w:szCs w:val="22"/>
          <w:highlight w:val="yellow"/>
          <w:lang w:val="en-US"/>
        </w:rPr>
      </w:pPr>
      <w:r w:rsidRPr="00E456D2">
        <w:rPr>
          <w:color w:val="000000" w:themeColor="text1"/>
          <w:sz w:val="22"/>
          <w:szCs w:val="22"/>
          <w:lang w:val="en-US"/>
        </w:rPr>
        <w:t xml:space="preserve">   </w:t>
      </w:r>
    </w:p>
    <w:p w:rsidR="00FB0FBD" w:rsidRPr="00E456D2" w:rsidRDefault="00FB0FBD" w:rsidP="00FB0FBD">
      <w:pPr>
        <w:spacing w:line="360" w:lineRule="auto"/>
        <w:ind w:left="-360" w:right="40"/>
        <w:jc w:val="both"/>
        <w:rPr>
          <w:color w:val="000000" w:themeColor="text1"/>
          <w:sz w:val="22"/>
          <w:szCs w:val="22"/>
          <w:lang w:val="en-US"/>
        </w:rPr>
      </w:pPr>
    </w:p>
    <w:p w:rsidR="00FB0FBD" w:rsidRPr="00E456D2" w:rsidRDefault="00FB0FBD" w:rsidP="00F43211">
      <w:pPr>
        <w:spacing w:line="360" w:lineRule="auto"/>
        <w:ind w:left="-360" w:right="42"/>
        <w:jc w:val="both"/>
        <w:rPr>
          <w:b/>
          <w:color w:val="000000" w:themeColor="text1"/>
          <w:sz w:val="22"/>
          <w:szCs w:val="22"/>
          <w:lang w:val="en-US"/>
        </w:rPr>
      </w:pPr>
    </w:p>
    <w:p w:rsidR="00FB0FBD" w:rsidRPr="00E456D2" w:rsidRDefault="00FB0FBD" w:rsidP="00F43211">
      <w:pPr>
        <w:spacing w:line="360" w:lineRule="auto"/>
        <w:ind w:left="-360" w:right="42"/>
        <w:jc w:val="both"/>
        <w:rPr>
          <w:b/>
          <w:color w:val="000000" w:themeColor="text1"/>
          <w:sz w:val="22"/>
          <w:szCs w:val="22"/>
          <w:lang w:val="en-US"/>
        </w:rPr>
      </w:pPr>
    </w:p>
    <w:p w:rsidR="00FB0FBD" w:rsidRPr="00E456D2" w:rsidRDefault="00FB0FBD" w:rsidP="00F43211">
      <w:pPr>
        <w:spacing w:line="360" w:lineRule="auto"/>
        <w:ind w:left="-360" w:right="42"/>
        <w:jc w:val="both"/>
        <w:rPr>
          <w:b/>
          <w:color w:val="000000" w:themeColor="text1"/>
          <w:sz w:val="22"/>
          <w:szCs w:val="22"/>
          <w:lang w:val="en-US"/>
        </w:rPr>
      </w:pPr>
    </w:p>
    <w:p w:rsidR="00FB0FBD" w:rsidRPr="00E456D2" w:rsidRDefault="00FB0FBD" w:rsidP="00F43211">
      <w:pPr>
        <w:spacing w:line="360" w:lineRule="auto"/>
        <w:ind w:left="-360" w:right="42"/>
        <w:jc w:val="both"/>
        <w:rPr>
          <w:b/>
          <w:color w:val="000000" w:themeColor="text1"/>
          <w:sz w:val="22"/>
          <w:szCs w:val="22"/>
          <w:lang w:val="en-US"/>
        </w:rPr>
      </w:pPr>
    </w:p>
    <w:p w:rsidR="00EB408D" w:rsidRPr="00E456D2" w:rsidRDefault="00986C1A" w:rsidP="00EB408D">
      <w:pPr>
        <w:spacing w:line="288" w:lineRule="auto"/>
        <w:ind w:right="-318"/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>
        <w:rPr>
          <w:noProof/>
          <w:color w:val="000000" w:themeColor="text1"/>
          <w:lang w:val="en-US"/>
        </w:rPr>
        <w:pict>
          <v:line id="Line 11" o:spid="_x0000_s1030" style="position:absolute;left:0;text-align:left;z-index:251666432;visibility:visible" from="-17.25pt,5.35pt" to="180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oP5FQIAACsEAAAOAAAAZHJzL2Uyb0RvYy54bWysU8GO2jAQvVfqP1i+QxI2U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"/>
        </w:pict>
      </w:r>
      <w:r>
        <w:rPr>
          <w:rFonts w:ascii="Arial" w:hAnsi="Arial" w:cs="Arial"/>
          <w:noProof/>
          <w:color w:val="000000" w:themeColor="text1"/>
          <w:sz w:val="16"/>
          <w:szCs w:val="16"/>
          <w:lang w:val="en-US"/>
        </w:rPr>
      </w:r>
      <w:r>
        <w:rPr>
          <w:rFonts w:ascii="Arial" w:hAnsi="Arial" w:cs="Arial"/>
          <w:noProof/>
          <w:color w:val="000000" w:themeColor="text1"/>
          <w:sz w:val="16"/>
          <w:szCs w:val="16"/>
          <w:lang w:val="en-US"/>
        </w:rPr>
        <w:pict>
          <v:group id="Canvas 9" o:spid="_x0000_s1028" editas="canvas" style="width:198pt;height:3.6pt;mso-position-horizontal-relative:char;mso-position-vertical-relative:line" coordsize="25146,45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25146;height:457;visibility:visible">
              <v:fill o:detectmouseclick="t"/>
              <v:path o:connecttype="none"/>
            </v:shape>
            <w10:wrap type="none"/>
            <w10:anchorlock/>
          </v:group>
        </w:pict>
      </w:r>
    </w:p>
    <w:p w:rsidR="00EB408D" w:rsidRPr="00E456D2" w:rsidRDefault="00EB408D" w:rsidP="00EB408D">
      <w:pPr>
        <w:spacing w:line="288" w:lineRule="auto"/>
        <w:ind w:left="-360" w:right="-318"/>
        <w:jc w:val="both"/>
        <w:rPr>
          <w:color w:val="000000" w:themeColor="text1"/>
          <w:sz w:val="16"/>
          <w:szCs w:val="16"/>
          <w:lang w:val="en-US"/>
        </w:rPr>
      </w:pPr>
      <w:r w:rsidRPr="00E456D2">
        <w:rPr>
          <w:color w:val="000000" w:themeColor="text1"/>
          <w:sz w:val="16"/>
          <w:szCs w:val="16"/>
          <w:lang w:val="en-US"/>
        </w:rPr>
        <w:t xml:space="preserve">* </w:t>
      </w:r>
      <w:r w:rsidR="000F0372" w:rsidRPr="00E456D2">
        <w:rPr>
          <w:color w:val="000000" w:themeColor="text1"/>
          <w:sz w:val="16"/>
          <w:szCs w:val="16"/>
          <w:lang w:val="en-US"/>
        </w:rPr>
        <w:t>Prof. Dr. S</w:t>
      </w:r>
      <w:r w:rsidR="00E07B7B" w:rsidRPr="00E456D2">
        <w:rPr>
          <w:color w:val="000000" w:themeColor="text1"/>
          <w:sz w:val="16"/>
          <w:szCs w:val="16"/>
          <w:lang w:val="en-US"/>
        </w:rPr>
        <w:t xml:space="preserve">eyfettin </w:t>
      </w:r>
      <w:proofErr w:type="spellStart"/>
      <w:r w:rsidR="00E07B7B" w:rsidRPr="00E456D2">
        <w:rPr>
          <w:color w:val="000000" w:themeColor="text1"/>
          <w:sz w:val="16"/>
          <w:szCs w:val="16"/>
          <w:lang w:val="en-US"/>
        </w:rPr>
        <w:t>Gürsel</w:t>
      </w:r>
      <w:proofErr w:type="spellEnd"/>
      <w:r w:rsidR="00E07B7B" w:rsidRPr="00E456D2">
        <w:rPr>
          <w:color w:val="000000" w:themeColor="text1"/>
          <w:sz w:val="16"/>
          <w:szCs w:val="16"/>
          <w:lang w:val="en-US"/>
        </w:rPr>
        <w:t>, Betam Director</w:t>
      </w:r>
      <w:r w:rsidR="000F0372" w:rsidRPr="00E456D2">
        <w:rPr>
          <w:color w:val="000000" w:themeColor="text1"/>
          <w:sz w:val="16"/>
          <w:szCs w:val="16"/>
          <w:lang w:val="en-US"/>
        </w:rPr>
        <w:t xml:space="preserve">, </w:t>
      </w:r>
    </w:p>
    <w:p w:rsidR="00EB408D" w:rsidRPr="00E456D2" w:rsidRDefault="00986C1A" w:rsidP="00EB408D">
      <w:pPr>
        <w:spacing w:line="288" w:lineRule="auto"/>
        <w:ind w:left="-360" w:right="-318"/>
        <w:jc w:val="both"/>
        <w:rPr>
          <w:rStyle w:val="Hyperlink"/>
          <w:color w:val="000000" w:themeColor="text1"/>
          <w:lang w:val="en-US"/>
        </w:rPr>
      </w:pPr>
      <w:hyperlink r:id="rId11" w:history="1">
        <w:r w:rsidR="000F0372" w:rsidRPr="00E456D2">
          <w:rPr>
            <w:rStyle w:val="Hyperlink"/>
            <w:color w:val="000000" w:themeColor="text1"/>
            <w:sz w:val="16"/>
            <w:szCs w:val="16"/>
            <w:lang w:val="en-US"/>
          </w:rPr>
          <w:t>seyfettin.gursel</w:t>
        </w:r>
        <w:r w:rsidR="00EB408D" w:rsidRPr="00E456D2">
          <w:rPr>
            <w:rStyle w:val="Hyperlink"/>
            <w:color w:val="000000" w:themeColor="text1"/>
            <w:sz w:val="16"/>
            <w:szCs w:val="16"/>
            <w:lang w:val="en-US"/>
          </w:rPr>
          <w:t>@eas.bahcesehir.edu.tr</w:t>
        </w:r>
      </w:hyperlink>
    </w:p>
    <w:p w:rsidR="00EB408D" w:rsidRPr="00E456D2" w:rsidRDefault="00EB408D" w:rsidP="00EB408D">
      <w:pPr>
        <w:spacing w:line="288" w:lineRule="auto"/>
        <w:ind w:left="-360" w:right="-318"/>
        <w:jc w:val="both"/>
        <w:rPr>
          <w:color w:val="000000" w:themeColor="text1"/>
          <w:sz w:val="16"/>
          <w:szCs w:val="16"/>
          <w:lang w:val="en-US"/>
        </w:rPr>
      </w:pPr>
      <w:r w:rsidRPr="00E456D2">
        <w:rPr>
          <w:color w:val="000000" w:themeColor="text1"/>
          <w:sz w:val="16"/>
          <w:szCs w:val="16"/>
          <w:lang w:val="en-US"/>
        </w:rPr>
        <w:t xml:space="preserve">** </w:t>
      </w:r>
      <w:r w:rsidR="000F0372" w:rsidRPr="00E456D2">
        <w:rPr>
          <w:color w:val="000000" w:themeColor="text1"/>
          <w:sz w:val="16"/>
          <w:szCs w:val="16"/>
          <w:lang w:val="en-US"/>
        </w:rPr>
        <w:t>Mine Durmaz</w:t>
      </w:r>
      <w:r w:rsidR="00E07B7B" w:rsidRPr="00E456D2">
        <w:rPr>
          <w:color w:val="000000" w:themeColor="text1"/>
          <w:sz w:val="16"/>
          <w:szCs w:val="16"/>
          <w:lang w:val="en-US"/>
        </w:rPr>
        <w:t>, Betam, Research Assistant</w:t>
      </w:r>
    </w:p>
    <w:p w:rsidR="00EB408D" w:rsidRPr="00E456D2" w:rsidRDefault="00986C1A" w:rsidP="00EB408D">
      <w:pPr>
        <w:ind w:left="-360"/>
        <w:rPr>
          <w:color w:val="000000" w:themeColor="text1"/>
          <w:lang w:val="en-US"/>
        </w:rPr>
      </w:pPr>
      <w:hyperlink r:id="rId12" w:history="1">
        <w:r w:rsidR="000F0372" w:rsidRPr="00E456D2">
          <w:rPr>
            <w:rStyle w:val="Hyperlink"/>
            <w:color w:val="000000" w:themeColor="text1"/>
            <w:sz w:val="16"/>
            <w:szCs w:val="16"/>
            <w:lang w:val="en-US"/>
          </w:rPr>
          <w:t>mine.durmaz</w:t>
        </w:r>
        <w:r w:rsidR="00EB408D" w:rsidRPr="00E456D2">
          <w:rPr>
            <w:rStyle w:val="Hyperlink"/>
            <w:color w:val="000000" w:themeColor="text1"/>
            <w:sz w:val="16"/>
            <w:szCs w:val="16"/>
            <w:lang w:val="en-US"/>
          </w:rPr>
          <w:t>@eas.bahcesehir.edu.tr</w:t>
        </w:r>
      </w:hyperlink>
    </w:p>
    <w:p w:rsidR="00F43211" w:rsidRPr="00E456D2" w:rsidRDefault="00F43211" w:rsidP="00EB408D">
      <w:pPr>
        <w:ind w:left="-360"/>
        <w:rPr>
          <w:color w:val="000000" w:themeColor="text1"/>
          <w:sz w:val="16"/>
          <w:szCs w:val="16"/>
          <w:lang w:val="en-US"/>
        </w:rPr>
      </w:pPr>
      <w:r w:rsidRPr="00E456D2">
        <w:rPr>
          <w:color w:val="000000" w:themeColor="text1"/>
          <w:sz w:val="16"/>
          <w:szCs w:val="16"/>
          <w:lang w:val="en-US"/>
        </w:rPr>
        <w:t xml:space="preserve">***Melike </w:t>
      </w:r>
      <w:proofErr w:type="spellStart"/>
      <w:r w:rsidRPr="00E456D2">
        <w:rPr>
          <w:color w:val="000000" w:themeColor="text1"/>
          <w:sz w:val="16"/>
          <w:szCs w:val="16"/>
          <w:lang w:val="en-US"/>
        </w:rPr>
        <w:t>Kökk</w:t>
      </w:r>
      <w:r w:rsidR="00E07B7B" w:rsidRPr="00E456D2">
        <w:rPr>
          <w:color w:val="000000" w:themeColor="text1"/>
          <w:sz w:val="16"/>
          <w:szCs w:val="16"/>
          <w:lang w:val="en-US"/>
        </w:rPr>
        <w:t>ızıl</w:t>
      </w:r>
      <w:proofErr w:type="spellEnd"/>
      <w:r w:rsidR="00E07B7B" w:rsidRPr="00E456D2">
        <w:rPr>
          <w:color w:val="000000" w:themeColor="text1"/>
          <w:sz w:val="16"/>
          <w:szCs w:val="16"/>
          <w:lang w:val="en-US"/>
        </w:rPr>
        <w:t>, Betam, Research Assistant</w:t>
      </w:r>
    </w:p>
    <w:p w:rsidR="00EB408D" w:rsidRPr="00E456D2" w:rsidRDefault="00986C1A" w:rsidP="00B161B7">
      <w:pPr>
        <w:ind w:left="-360"/>
        <w:rPr>
          <w:color w:val="000000" w:themeColor="text1"/>
          <w:sz w:val="16"/>
          <w:szCs w:val="16"/>
          <w:lang w:val="en-US"/>
        </w:rPr>
      </w:pPr>
      <w:hyperlink r:id="rId13" w:history="1">
        <w:r w:rsidR="00F43211" w:rsidRPr="00E456D2">
          <w:rPr>
            <w:rStyle w:val="Hyperlink"/>
            <w:color w:val="000000" w:themeColor="text1"/>
            <w:sz w:val="16"/>
            <w:szCs w:val="16"/>
            <w:lang w:val="en-US"/>
          </w:rPr>
          <w:t>melike.kokkızıl@eas.bahcsehir.edu.tr</w:t>
        </w:r>
      </w:hyperlink>
    </w:p>
    <w:p w:rsidR="00B161B7" w:rsidRPr="00E456D2" w:rsidRDefault="00B161B7" w:rsidP="00B161B7">
      <w:pPr>
        <w:ind w:left="-360"/>
        <w:rPr>
          <w:color w:val="000000" w:themeColor="text1"/>
          <w:sz w:val="16"/>
          <w:szCs w:val="16"/>
          <w:lang w:val="en-US"/>
        </w:rPr>
      </w:pPr>
    </w:p>
    <w:p w:rsidR="00FB0FBD" w:rsidRPr="00E456D2" w:rsidRDefault="00FB0FBD" w:rsidP="000B100E">
      <w:pPr>
        <w:spacing w:line="360" w:lineRule="auto"/>
        <w:ind w:left="-360" w:right="40"/>
        <w:jc w:val="both"/>
        <w:rPr>
          <w:color w:val="000000" w:themeColor="text1"/>
          <w:sz w:val="22"/>
          <w:szCs w:val="22"/>
          <w:lang w:val="en-US"/>
        </w:rPr>
      </w:pPr>
    </w:p>
    <w:p w:rsidR="00FB0FBD" w:rsidRPr="00E456D2" w:rsidRDefault="00E07B7B" w:rsidP="00E07B7B">
      <w:pPr>
        <w:ind w:left="-284" w:right="-71"/>
        <w:outlineLvl w:val="0"/>
        <w:rPr>
          <w:b/>
          <w:bCs/>
          <w:color w:val="000000" w:themeColor="text1"/>
          <w:sz w:val="22"/>
          <w:szCs w:val="22"/>
          <w:lang w:val="en-US"/>
        </w:rPr>
      </w:pPr>
      <w:proofErr w:type="gramStart"/>
      <w:r w:rsidRPr="00E456D2">
        <w:rPr>
          <w:b/>
          <w:bCs/>
          <w:color w:val="000000" w:themeColor="text1"/>
          <w:sz w:val="22"/>
          <w:szCs w:val="22"/>
          <w:lang w:val="en-US"/>
        </w:rPr>
        <w:lastRenderedPageBreak/>
        <w:t>Table 1.</w:t>
      </w:r>
      <w:proofErr w:type="gramEnd"/>
      <w:r w:rsidRPr="00E456D2">
        <w:rPr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56D2">
        <w:rPr>
          <w:b/>
          <w:bCs/>
          <w:color w:val="000000" w:themeColor="text1"/>
          <w:sz w:val="22"/>
          <w:szCs w:val="22"/>
          <w:lang w:val="en-US"/>
        </w:rPr>
        <w:t>Betam's</w:t>
      </w:r>
      <w:proofErr w:type="spellEnd"/>
      <w:r w:rsidRPr="00E456D2">
        <w:rPr>
          <w:b/>
          <w:bCs/>
          <w:color w:val="000000" w:themeColor="text1"/>
          <w:sz w:val="22"/>
          <w:szCs w:val="22"/>
          <w:lang w:val="en-US"/>
        </w:rPr>
        <w:t xml:space="preserve"> quarterly growth rate forecast</w:t>
      </w:r>
    </w:p>
    <w:tbl>
      <w:tblPr>
        <w:tblpPr w:leftFromText="141" w:rightFromText="141" w:vertAnchor="text" w:horzAnchor="margin" w:tblpXSpec="right" w:tblpY="129"/>
        <w:tblW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876"/>
      </w:tblGrid>
      <w:tr w:rsidR="00546326" w:rsidRPr="00E456D2" w:rsidTr="00E07B7B">
        <w:trPr>
          <w:trHeight w:val="841"/>
        </w:trPr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3B33D9" w:rsidRPr="00E456D2" w:rsidRDefault="003B33D9" w:rsidP="00E07B7B">
            <w:pPr>
              <w:ind w:right="42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76" w:type="dxa"/>
            <w:vAlign w:val="center"/>
          </w:tcPr>
          <w:p w:rsidR="00E07B7B" w:rsidRPr="00E456D2" w:rsidRDefault="00E07B7B" w:rsidP="00E07B7B">
            <w:pPr>
              <w:ind w:right="40"/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456D2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2015</w:t>
            </w:r>
          </w:p>
          <w:p w:rsidR="00E07B7B" w:rsidRPr="00E456D2" w:rsidRDefault="00E07B7B" w:rsidP="00E07B7B">
            <w:pPr>
              <w:ind w:right="40"/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456D2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4. Quarter</w:t>
            </w:r>
          </w:p>
          <w:p w:rsidR="003B33D9" w:rsidRPr="00E456D2" w:rsidRDefault="00E07B7B" w:rsidP="00E07B7B">
            <w:pPr>
              <w:ind w:right="40"/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456D2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(%)</w:t>
            </w:r>
          </w:p>
        </w:tc>
      </w:tr>
      <w:tr w:rsidR="00546326" w:rsidRPr="00E456D2" w:rsidTr="00E07B7B">
        <w:trPr>
          <w:trHeight w:val="752"/>
        </w:trPr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E07B7B" w:rsidRPr="00E456D2" w:rsidRDefault="00E07B7B" w:rsidP="00E07B7B">
            <w:pPr>
              <w:spacing w:line="360" w:lineRule="auto"/>
              <w:ind w:right="42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E456D2">
              <w:rPr>
                <w:b/>
                <w:color w:val="000000" w:themeColor="text1"/>
                <w:sz w:val="20"/>
                <w:szCs w:val="20"/>
                <w:lang w:val="en-US"/>
              </w:rPr>
              <w:t>Real GDP growth</w:t>
            </w:r>
          </w:p>
          <w:p w:rsidR="003B33D9" w:rsidRPr="00E456D2" w:rsidRDefault="00E07B7B" w:rsidP="00E07B7B">
            <w:pPr>
              <w:ind w:right="42"/>
              <w:rPr>
                <w:color w:val="000000" w:themeColor="text1"/>
                <w:sz w:val="20"/>
                <w:szCs w:val="20"/>
                <w:lang w:val="en-US"/>
              </w:rPr>
            </w:pPr>
            <w:r w:rsidRPr="00E456D2">
              <w:rPr>
                <w:color w:val="000000" w:themeColor="text1"/>
                <w:sz w:val="20"/>
                <w:szCs w:val="20"/>
                <w:lang w:val="en-US"/>
              </w:rPr>
              <w:t xml:space="preserve">(quarter on quarter, </w:t>
            </w:r>
            <w:proofErr w:type="spellStart"/>
            <w:r w:rsidRPr="00E456D2">
              <w:rPr>
                <w:color w:val="000000" w:themeColor="text1"/>
                <w:sz w:val="20"/>
                <w:szCs w:val="20"/>
                <w:lang w:val="en-US"/>
              </w:rPr>
              <w:t>sa</w:t>
            </w:r>
            <w:proofErr w:type="spellEnd"/>
            <w:r w:rsidRPr="00E456D2">
              <w:rPr>
                <w:color w:val="000000" w:themeColor="text1"/>
                <w:sz w:val="20"/>
                <w:szCs w:val="20"/>
                <w:lang w:val="en-US"/>
              </w:rPr>
              <w:t>*)</w:t>
            </w:r>
          </w:p>
        </w:tc>
        <w:tc>
          <w:tcPr>
            <w:tcW w:w="1876" w:type="dxa"/>
            <w:vAlign w:val="center"/>
          </w:tcPr>
          <w:p w:rsidR="003B33D9" w:rsidRPr="00E456D2" w:rsidRDefault="009715E1" w:rsidP="00991315">
            <w:pPr>
              <w:ind w:right="42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0.</w:t>
            </w:r>
            <w:r w:rsidR="001D76BF" w:rsidRPr="00E456D2">
              <w:rPr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</w:tr>
      <w:tr w:rsidR="00546326" w:rsidRPr="00E456D2" w:rsidTr="00E07B7B">
        <w:trPr>
          <w:trHeight w:val="568"/>
        </w:trPr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E07B7B" w:rsidRPr="00E456D2" w:rsidRDefault="00E07B7B" w:rsidP="00E07B7B">
            <w:pPr>
              <w:spacing w:line="360" w:lineRule="auto"/>
              <w:ind w:right="42"/>
              <w:rPr>
                <w:color w:val="000000" w:themeColor="text1"/>
                <w:sz w:val="20"/>
                <w:szCs w:val="20"/>
                <w:lang w:val="en-US"/>
              </w:rPr>
            </w:pPr>
            <w:r w:rsidRPr="00E456D2">
              <w:rPr>
                <w:b/>
                <w:color w:val="000000" w:themeColor="text1"/>
                <w:sz w:val="20"/>
                <w:szCs w:val="20"/>
                <w:lang w:val="en-US"/>
              </w:rPr>
              <w:t>Current account deficit</w:t>
            </w:r>
          </w:p>
          <w:p w:rsidR="004D609D" w:rsidRPr="00E456D2" w:rsidRDefault="00E07B7B" w:rsidP="00E07B7B">
            <w:pPr>
              <w:spacing w:line="360" w:lineRule="auto"/>
              <w:ind w:right="42"/>
              <w:rPr>
                <w:color w:val="000000" w:themeColor="text1"/>
                <w:sz w:val="20"/>
                <w:szCs w:val="20"/>
                <w:lang w:val="en-US"/>
              </w:rPr>
            </w:pPr>
            <w:r w:rsidRPr="00E456D2">
              <w:rPr>
                <w:color w:val="000000" w:themeColor="text1"/>
                <w:sz w:val="20"/>
                <w:szCs w:val="20"/>
                <w:lang w:val="en-US"/>
              </w:rPr>
              <w:t>(% of GDP, annual)</w:t>
            </w:r>
          </w:p>
        </w:tc>
        <w:tc>
          <w:tcPr>
            <w:tcW w:w="1876" w:type="dxa"/>
            <w:vAlign w:val="center"/>
          </w:tcPr>
          <w:p w:rsidR="004D609D" w:rsidRPr="00E456D2" w:rsidRDefault="009715E1" w:rsidP="00815D28">
            <w:pPr>
              <w:ind w:right="4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4.</w:t>
            </w:r>
            <w:r w:rsidR="00815D28" w:rsidRPr="00E456D2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</w:tr>
      <w:tr w:rsidR="00546326" w:rsidRPr="00E456D2" w:rsidTr="00E07B7B">
        <w:trPr>
          <w:trHeight w:val="568"/>
        </w:trPr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E07B7B" w:rsidRPr="00E456D2" w:rsidRDefault="00E07B7B" w:rsidP="00390F9C">
            <w:pPr>
              <w:ind w:right="40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E456D2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Gold excluded current </w:t>
            </w:r>
          </w:p>
          <w:p w:rsidR="004D609D" w:rsidRPr="00E456D2" w:rsidRDefault="00E07B7B" w:rsidP="00390F9C">
            <w:pPr>
              <w:ind w:right="40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E456D2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account deficit </w:t>
            </w:r>
            <w:r w:rsidRPr="00E456D2">
              <w:rPr>
                <w:color w:val="000000" w:themeColor="text1"/>
                <w:sz w:val="20"/>
                <w:szCs w:val="20"/>
                <w:lang w:val="en-US"/>
              </w:rPr>
              <w:t>(% of GDP, annual)</w:t>
            </w:r>
          </w:p>
        </w:tc>
        <w:tc>
          <w:tcPr>
            <w:tcW w:w="1876" w:type="dxa"/>
            <w:vAlign w:val="center"/>
          </w:tcPr>
          <w:p w:rsidR="004D609D" w:rsidRPr="00E456D2" w:rsidRDefault="009715E1" w:rsidP="00815D28">
            <w:pPr>
              <w:ind w:right="4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5.</w:t>
            </w:r>
            <w:r w:rsidR="00815D28" w:rsidRPr="00E456D2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</w:tr>
    </w:tbl>
    <w:p w:rsidR="00EB408D" w:rsidRPr="00E456D2" w:rsidRDefault="00EB408D" w:rsidP="00EB408D">
      <w:pPr>
        <w:ind w:left="-360" w:right="40"/>
        <w:rPr>
          <w:color w:val="000000" w:themeColor="text1"/>
          <w:sz w:val="4"/>
          <w:szCs w:val="4"/>
          <w:lang w:val="en-US"/>
        </w:rPr>
      </w:pPr>
    </w:p>
    <w:p w:rsidR="00E07B7B" w:rsidRPr="00E456D2" w:rsidRDefault="00E07B7B" w:rsidP="00E07B7B">
      <w:pPr>
        <w:spacing w:line="360" w:lineRule="auto"/>
        <w:ind w:left="-360" w:right="42"/>
        <w:rPr>
          <w:b/>
          <w:color w:val="000000" w:themeColor="text1"/>
          <w:sz w:val="22"/>
          <w:szCs w:val="22"/>
          <w:highlight w:val="yellow"/>
          <w:lang w:val="en-US"/>
        </w:rPr>
      </w:pPr>
      <w:r w:rsidRPr="00E456D2">
        <w:rPr>
          <w:color w:val="000000" w:themeColor="text1"/>
          <w:sz w:val="18"/>
          <w:szCs w:val="18"/>
          <w:lang w:val="en-US"/>
        </w:rPr>
        <w:t xml:space="preserve">  Source: Betam.*</w:t>
      </w:r>
      <w:proofErr w:type="spellStart"/>
      <w:proofErr w:type="gramStart"/>
      <w:r w:rsidRPr="00E456D2">
        <w:rPr>
          <w:color w:val="000000" w:themeColor="text1"/>
          <w:sz w:val="18"/>
          <w:szCs w:val="18"/>
          <w:lang w:val="en-US"/>
        </w:rPr>
        <w:t>sa</w:t>
      </w:r>
      <w:proofErr w:type="spellEnd"/>
      <w:proofErr w:type="gramEnd"/>
      <w:r w:rsidRPr="00E456D2">
        <w:rPr>
          <w:color w:val="000000" w:themeColor="text1"/>
          <w:sz w:val="18"/>
          <w:szCs w:val="18"/>
          <w:lang w:val="en-US"/>
        </w:rPr>
        <w:t>: seasonally and calendar day adjusted.</w:t>
      </w:r>
    </w:p>
    <w:p w:rsidR="00F43211" w:rsidRPr="00E456D2" w:rsidRDefault="00F43211" w:rsidP="00EB408D">
      <w:pPr>
        <w:spacing w:line="360" w:lineRule="auto"/>
        <w:ind w:left="-360" w:right="42"/>
        <w:jc w:val="center"/>
        <w:rPr>
          <w:b/>
          <w:color w:val="000000" w:themeColor="text1"/>
          <w:sz w:val="22"/>
          <w:szCs w:val="22"/>
          <w:highlight w:val="yellow"/>
          <w:lang w:val="en-US"/>
        </w:rPr>
      </w:pPr>
    </w:p>
    <w:p w:rsidR="00F43211" w:rsidRPr="00E456D2" w:rsidRDefault="00E07B7B" w:rsidP="00F43211">
      <w:pPr>
        <w:spacing w:line="360" w:lineRule="auto"/>
        <w:ind w:left="-360" w:right="42"/>
        <w:jc w:val="center"/>
        <w:rPr>
          <w:b/>
          <w:color w:val="000000" w:themeColor="text1"/>
          <w:sz w:val="22"/>
          <w:szCs w:val="22"/>
          <w:lang w:val="en-US"/>
        </w:rPr>
      </w:pPr>
      <w:r w:rsidRPr="00E456D2">
        <w:rPr>
          <w:b/>
          <w:color w:val="000000" w:themeColor="text1"/>
          <w:sz w:val="22"/>
          <w:szCs w:val="22"/>
          <w:lang w:val="en-US"/>
        </w:rPr>
        <w:t>Increase in Industrial Production</w:t>
      </w:r>
    </w:p>
    <w:p w:rsidR="00593956" w:rsidRPr="00E456D2" w:rsidRDefault="00593956" w:rsidP="00F43211">
      <w:pPr>
        <w:spacing w:line="360" w:lineRule="auto"/>
        <w:ind w:left="-360" w:right="42"/>
        <w:jc w:val="center"/>
        <w:rPr>
          <w:b/>
          <w:color w:val="000000" w:themeColor="text1"/>
          <w:sz w:val="22"/>
          <w:szCs w:val="22"/>
          <w:lang w:val="en-US"/>
        </w:rPr>
      </w:pPr>
    </w:p>
    <w:p w:rsidR="00DA21FB" w:rsidRPr="00E456D2" w:rsidRDefault="00F35061" w:rsidP="003E3D21">
      <w:pPr>
        <w:spacing w:line="360" w:lineRule="auto"/>
        <w:ind w:left="-360" w:right="42"/>
        <w:jc w:val="both"/>
        <w:rPr>
          <w:color w:val="000000" w:themeColor="text1"/>
          <w:sz w:val="22"/>
          <w:szCs w:val="22"/>
          <w:lang w:val="en-US"/>
        </w:rPr>
      </w:pPr>
      <w:r w:rsidRPr="00E456D2">
        <w:rPr>
          <w:color w:val="000000" w:themeColor="text1"/>
          <w:sz w:val="22"/>
          <w:szCs w:val="22"/>
          <w:lang w:val="en-US"/>
        </w:rPr>
        <w:t>Subsequent to the decl</w:t>
      </w:r>
      <w:r w:rsidR="004B398F" w:rsidRPr="00E456D2">
        <w:rPr>
          <w:color w:val="000000" w:themeColor="text1"/>
          <w:sz w:val="22"/>
          <w:szCs w:val="22"/>
          <w:lang w:val="en-US"/>
        </w:rPr>
        <w:t>ine by 0</w:t>
      </w:r>
      <w:r w:rsidR="00CF3F33">
        <w:rPr>
          <w:color w:val="000000" w:themeColor="text1"/>
          <w:sz w:val="22"/>
          <w:szCs w:val="22"/>
          <w:lang w:val="en-US"/>
        </w:rPr>
        <w:t>.</w:t>
      </w:r>
      <w:r w:rsidR="004B398F" w:rsidRPr="00E456D2">
        <w:rPr>
          <w:color w:val="000000" w:themeColor="text1"/>
          <w:sz w:val="22"/>
          <w:szCs w:val="22"/>
          <w:lang w:val="en-US"/>
        </w:rPr>
        <w:t>8 percent in November, Industrial Produc</w:t>
      </w:r>
      <w:r w:rsidR="00CF3F33">
        <w:rPr>
          <w:color w:val="000000" w:themeColor="text1"/>
          <w:sz w:val="22"/>
          <w:szCs w:val="22"/>
          <w:lang w:val="en-US"/>
        </w:rPr>
        <w:t>tion Index (IPI) increased by 0.</w:t>
      </w:r>
      <w:r w:rsidR="004B398F" w:rsidRPr="00E456D2">
        <w:rPr>
          <w:color w:val="000000" w:themeColor="text1"/>
          <w:sz w:val="22"/>
          <w:szCs w:val="22"/>
          <w:lang w:val="en-US"/>
        </w:rPr>
        <w:t>8</w:t>
      </w:r>
      <w:r w:rsidR="00686A10" w:rsidRPr="00E456D2">
        <w:rPr>
          <w:color w:val="000000" w:themeColor="text1"/>
          <w:sz w:val="22"/>
          <w:szCs w:val="22"/>
          <w:lang w:val="en-US"/>
        </w:rPr>
        <w:t xml:space="preserve"> percent in December (Table 2)</w:t>
      </w:r>
      <w:r w:rsidR="00DA21FB" w:rsidRPr="00E456D2">
        <w:rPr>
          <w:color w:val="000000" w:themeColor="text1"/>
          <w:sz w:val="22"/>
          <w:szCs w:val="22"/>
          <w:lang w:val="en-US"/>
        </w:rPr>
        <w:t>.</w:t>
      </w:r>
      <w:r w:rsidR="00AB5A48">
        <w:rPr>
          <w:color w:val="000000" w:themeColor="text1"/>
          <w:sz w:val="22"/>
          <w:szCs w:val="22"/>
          <w:lang w:val="en-US"/>
        </w:rPr>
        <w:t xml:space="preserve"> </w:t>
      </w:r>
      <w:r w:rsidR="004B398F" w:rsidRPr="00E456D2">
        <w:rPr>
          <w:color w:val="000000" w:themeColor="text1"/>
          <w:sz w:val="22"/>
          <w:szCs w:val="22"/>
          <w:lang w:val="en-US"/>
        </w:rPr>
        <w:t xml:space="preserve">Within the same period, the </w:t>
      </w:r>
      <w:proofErr w:type="gramStart"/>
      <w:r w:rsidR="004B398F" w:rsidRPr="00E456D2">
        <w:rPr>
          <w:color w:val="000000" w:themeColor="text1"/>
          <w:sz w:val="22"/>
          <w:szCs w:val="22"/>
          <w:lang w:val="en-US"/>
        </w:rPr>
        <w:t>production of nondurable consumer goods stayed stable while</w:t>
      </w:r>
      <w:proofErr w:type="gramEnd"/>
      <w:r w:rsidR="004B398F" w:rsidRPr="00E456D2">
        <w:rPr>
          <w:color w:val="000000" w:themeColor="text1"/>
          <w:sz w:val="22"/>
          <w:szCs w:val="22"/>
          <w:lang w:val="en-US"/>
        </w:rPr>
        <w:t xml:space="preserve"> the production of i</w:t>
      </w:r>
      <w:r w:rsidR="00CF3F33">
        <w:rPr>
          <w:color w:val="000000" w:themeColor="text1"/>
          <w:sz w:val="22"/>
          <w:szCs w:val="22"/>
          <w:lang w:val="en-US"/>
        </w:rPr>
        <w:t>ntermediate goods declined by 0.</w:t>
      </w:r>
      <w:r w:rsidR="004B398F" w:rsidRPr="00E456D2">
        <w:rPr>
          <w:color w:val="000000" w:themeColor="text1"/>
          <w:sz w:val="22"/>
          <w:szCs w:val="22"/>
          <w:lang w:val="en-US"/>
        </w:rPr>
        <w:t>3. On the other hand,</w:t>
      </w:r>
      <w:r w:rsidR="00686A10" w:rsidRPr="00E456D2">
        <w:rPr>
          <w:color w:val="000000" w:themeColor="text1"/>
          <w:sz w:val="22"/>
          <w:szCs w:val="22"/>
          <w:lang w:val="en-US"/>
        </w:rPr>
        <w:t xml:space="preserve"> the production of investment goods and durable consumer goods increased by 0.7 and 4.8 percent respectively.</w:t>
      </w:r>
      <w:r w:rsidR="004B398F" w:rsidRPr="00E456D2">
        <w:rPr>
          <w:color w:val="000000" w:themeColor="text1"/>
          <w:sz w:val="22"/>
          <w:szCs w:val="22"/>
          <w:lang w:val="en-US"/>
        </w:rPr>
        <w:t xml:space="preserve"> </w:t>
      </w:r>
    </w:p>
    <w:p w:rsidR="00DA21FB" w:rsidRPr="00E456D2" w:rsidRDefault="00DA21FB" w:rsidP="003E3D21">
      <w:pPr>
        <w:spacing w:line="360" w:lineRule="auto"/>
        <w:ind w:left="-360" w:right="42"/>
        <w:jc w:val="both"/>
        <w:rPr>
          <w:color w:val="000000" w:themeColor="text1"/>
          <w:sz w:val="22"/>
          <w:szCs w:val="22"/>
          <w:lang w:val="en-US"/>
        </w:rPr>
      </w:pPr>
    </w:p>
    <w:p w:rsidR="00BA3A88" w:rsidRPr="00E456D2" w:rsidRDefault="00B548A8" w:rsidP="00FE4616">
      <w:pPr>
        <w:spacing w:line="360" w:lineRule="auto"/>
        <w:ind w:left="-360" w:right="42"/>
        <w:jc w:val="center"/>
        <w:rPr>
          <w:b/>
          <w:bCs/>
          <w:color w:val="000000" w:themeColor="text1"/>
          <w:sz w:val="22"/>
          <w:szCs w:val="22"/>
          <w:lang w:val="en-US"/>
        </w:rPr>
      </w:pPr>
      <w:r w:rsidRPr="00E456D2">
        <w:rPr>
          <w:b/>
          <w:bCs/>
          <w:color w:val="000000" w:themeColor="text1"/>
          <w:sz w:val="22"/>
          <w:szCs w:val="22"/>
          <w:lang w:val="en-US"/>
        </w:rPr>
        <w:t>Recovery persists in private consumption</w:t>
      </w:r>
    </w:p>
    <w:p w:rsidR="00FE4616" w:rsidRPr="00E456D2" w:rsidRDefault="00FE4616" w:rsidP="00FE4616">
      <w:pPr>
        <w:spacing w:line="360" w:lineRule="auto"/>
        <w:ind w:left="-360" w:right="42"/>
        <w:jc w:val="center"/>
        <w:rPr>
          <w:b/>
          <w:bCs/>
          <w:color w:val="000000" w:themeColor="text1"/>
          <w:sz w:val="22"/>
          <w:szCs w:val="22"/>
          <w:lang w:val="en-US"/>
        </w:rPr>
      </w:pPr>
    </w:p>
    <w:p w:rsidR="00BA3A88" w:rsidRPr="00E456D2" w:rsidRDefault="00686A10" w:rsidP="003161A5">
      <w:pPr>
        <w:spacing w:line="360" w:lineRule="auto"/>
        <w:ind w:left="-360" w:right="42"/>
        <w:jc w:val="both"/>
        <w:rPr>
          <w:color w:val="000000" w:themeColor="text1"/>
          <w:sz w:val="22"/>
          <w:szCs w:val="22"/>
          <w:lang w:val="en-US"/>
        </w:rPr>
      </w:pPr>
      <w:r w:rsidRPr="00E456D2">
        <w:rPr>
          <w:color w:val="000000" w:themeColor="text1"/>
          <w:sz w:val="22"/>
          <w:szCs w:val="22"/>
          <w:lang w:val="en-US"/>
        </w:rPr>
        <w:t>In Decemb</w:t>
      </w:r>
      <w:r w:rsidR="00671A5B" w:rsidRPr="00E456D2">
        <w:rPr>
          <w:color w:val="000000" w:themeColor="text1"/>
          <w:sz w:val="22"/>
          <w:szCs w:val="22"/>
          <w:lang w:val="en-US"/>
        </w:rPr>
        <w:t>er, the import of consumer goods</w:t>
      </w:r>
      <w:r w:rsidRPr="00E456D2">
        <w:rPr>
          <w:color w:val="000000" w:themeColor="text1"/>
          <w:sz w:val="22"/>
          <w:szCs w:val="22"/>
          <w:lang w:val="en-US"/>
        </w:rPr>
        <w:t xml:space="preserve"> and the production of durable</w:t>
      </w:r>
      <w:r w:rsidR="00443150" w:rsidRPr="00E456D2">
        <w:rPr>
          <w:color w:val="000000" w:themeColor="text1"/>
          <w:sz w:val="22"/>
          <w:szCs w:val="22"/>
          <w:lang w:val="en-US"/>
        </w:rPr>
        <w:t xml:space="preserve"> consumer</w:t>
      </w:r>
      <w:r w:rsidRPr="00E456D2">
        <w:rPr>
          <w:color w:val="000000" w:themeColor="text1"/>
          <w:sz w:val="22"/>
          <w:szCs w:val="22"/>
          <w:lang w:val="en-US"/>
        </w:rPr>
        <w:t xml:space="preserve"> goods grew </w:t>
      </w:r>
      <w:r w:rsidR="00671A5B" w:rsidRPr="00E456D2">
        <w:rPr>
          <w:color w:val="000000" w:themeColor="text1"/>
          <w:sz w:val="22"/>
          <w:szCs w:val="22"/>
          <w:lang w:val="en-US"/>
        </w:rPr>
        <w:t xml:space="preserve">respectively </w:t>
      </w:r>
      <w:r w:rsidRPr="00E456D2">
        <w:rPr>
          <w:color w:val="000000" w:themeColor="text1"/>
          <w:sz w:val="22"/>
          <w:szCs w:val="22"/>
          <w:lang w:val="en-US"/>
        </w:rPr>
        <w:t xml:space="preserve">by </w:t>
      </w:r>
      <w:r w:rsidR="00CF3F33">
        <w:rPr>
          <w:color w:val="000000" w:themeColor="text1"/>
          <w:sz w:val="22"/>
          <w:szCs w:val="22"/>
          <w:lang w:val="en-US"/>
        </w:rPr>
        <w:t>2.</w:t>
      </w:r>
      <w:r w:rsidR="00443150" w:rsidRPr="00E456D2">
        <w:rPr>
          <w:color w:val="000000" w:themeColor="text1"/>
          <w:sz w:val="22"/>
          <w:szCs w:val="22"/>
          <w:lang w:val="en-US"/>
        </w:rPr>
        <w:t>2 and 4.8</w:t>
      </w:r>
      <w:r w:rsidR="0063265F" w:rsidRPr="00E456D2">
        <w:rPr>
          <w:color w:val="000000" w:themeColor="text1"/>
          <w:sz w:val="22"/>
          <w:szCs w:val="22"/>
          <w:lang w:val="en-US"/>
        </w:rPr>
        <w:t xml:space="preserve"> percent</w:t>
      </w:r>
      <w:r w:rsidR="00077892" w:rsidRPr="00E456D2">
        <w:rPr>
          <w:color w:val="000000" w:themeColor="text1"/>
          <w:sz w:val="22"/>
          <w:szCs w:val="22"/>
          <w:lang w:val="en-US"/>
        </w:rPr>
        <w:t xml:space="preserve"> while the production of non</w:t>
      </w:r>
      <w:r w:rsidR="00443150" w:rsidRPr="00E456D2">
        <w:rPr>
          <w:color w:val="000000" w:themeColor="text1"/>
          <w:sz w:val="22"/>
          <w:szCs w:val="22"/>
          <w:lang w:val="en-US"/>
        </w:rPr>
        <w:t>durable consumer goods remained stable</w:t>
      </w:r>
      <w:r w:rsidR="0063265F" w:rsidRPr="00E456D2">
        <w:rPr>
          <w:color w:val="000000" w:themeColor="text1"/>
          <w:sz w:val="22"/>
          <w:szCs w:val="22"/>
          <w:lang w:val="en-US"/>
        </w:rPr>
        <w:t xml:space="preserve"> (Table 2). Despite </w:t>
      </w:r>
      <w:r w:rsidR="00443150" w:rsidRPr="00E456D2">
        <w:rPr>
          <w:color w:val="000000" w:themeColor="text1"/>
          <w:sz w:val="22"/>
          <w:szCs w:val="22"/>
          <w:lang w:val="en-US"/>
        </w:rPr>
        <w:t xml:space="preserve">the increase of </w:t>
      </w:r>
      <w:r w:rsidR="00443150" w:rsidRPr="00E456D2">
        <w:rPr>
          <w:color w:val="000000" w:themeColor="text1"/>
          <w:sz w:val="22"/>
          <w:szCs w:val="22"/>
          <w:lang w:val="en-US"/>
        </w:rPr>
        <w:lastRenderedPageBreak/>
        <w:t>consumer confidence ind</w:t>
      </w:r>
      <w:r w:rsidR="0063265F" w:rsidRPr="00E456D2">
        <w:rPr>
          <w:color w:val="000000" w:themeColor="text1"/>
          <w:sz w:val="22"/>
          <w:szCs w:val="22"/>
          <w:lang w:val="en-US"/>
        </w:rPr>
        <w:t>ex by 23 percent in November, we calculated a decline</w:t>
      </w:r>
      <w:r w:rsidR="00443150" w:rsidRPr="00E456D2">
        <w:rPr>
          <w:color w:val="000000" w:themeColor="text1"/>
          <w:sz w:val="22"/>
          <w:szCs w:val="22"/>
          <w:lang w:val="en-US"/>
        </w:rPr>
        <w:t xml:space="preserve"> by 5.2 percent in December. </w:t>
      </w:r>
      <w:r w:rsidR="0063265F" w:rsidRPr="00E456D2">
        <w:rPr>
          <w:color w:val="000000" w:themeColor="text1"/>
          <w:sz w:val="22"/>
          <w:szCs w:val="22"/>
          <w:lang w:val="en-US"/>
        </w:rPr>
        <w:t xml:space="preserve">Moreover, </w:t>
      </w:r>
      <w:r w:rsidR="00671A5B" w:rsidRPr="00E456D2">
        <w:rPr>
          <w:color w:val="000000" w:themeColor="text1"/>
          <w:sz w:val="22"/>
          <w:szCs w:val="22"/>
          <w:lang w:val="en-US"/>
        </w:rPr>
        <w:t>special consumption tax</w:t>
      </w:r>
      <w:r w:rsidR="00443150" w:rsidRPr="00E456D2">
        <w:rPr>
          <w:color w:val="000000" w:themeColor="text1"/>
          <w:sz w:val="22"/>
          <w:szCs w:val="22"/>
          <w:lang w:val="en-US"/>
        </w:rPr>
        <w:t xml:space="preserve"> </w:t>
      </w:r>
      <w:r w:rsidR="00671A5B" w:rsidRPr="00E456D2">
        <w:rPr>
          <w:color w:val="000000" w:themeColor="text1"/>
          <w:sz w:val="22"/>
          <w:szCs w:val="22"/>
          <w:lang w:val="en-US"/>
        </w:rPr>
        <w:t>preserved</w:t>
      </w:r>
      <w:r w:rsidR="0063265F" w:rsidRPr="00E456D2">
        <w:rPr>
          <w:color w:val="000000" w:themeColor="text1"/>
          <w:sz w:val="22"/>
          <w:szCs w:val="22"/>
          <w:lang w:val="en-US"/>
        </w:rPr>
        <w:t xml:space="preserve"> its increasing trend </w:t>
      </w:r>
      <w:r w:rsidR="00AB5A48">
        <w:rPr>
          <w:color w:val="000000" w:themeColor="text1"/>
          <w:sz w:val="22"/>
          <w:szCs w:val="22"/>
          <w:lang w:val="en-US"/>
        </w:rPr>
        <w:t xml:space="preserve">since November </w:t>
      </w:r>
      <w:r w:rsidR="0063265F" w:rsidRPr="00E456D2">
        <w:rPr>
          <w:color w:val="000000" w:themeColor="text1"/>
          <w:sz w:val="22"/>
          <w:szCs w:val="22"/>
          <w:lang w:val="en-US"/>
        </w:rPr>
        <w:t>and grew by respectively 1.1 and 6 percent</w:t>
      </w:r>
      <w:r w:rsidR="002A5EBF" w:rsidRPr="00E456D2">
        <w:rPr>
          <w:color w:val="000000" w:themeColor="text1"/>
          <w:sz w:val="22"/>
          <w:szCs w:val="22"/>
          <w:lang w:val="en-US"/>
        </w:rPr>
        <w:t xml:space="preserve"> </w:t>
      </w:r>
      <w:r w:rsidR="0063265F" w:rsidRPr="00E456D2">
        <w:rPr>
          <w:color w:val="000000" w:themeColor="text1"/>
          <w:sz w:val="22"/>
          <w:szCs w:val="22"/>
          <w:lang w:val="en-US"/>
        </w:rPr>
        <w:t>in December and January. Besides, the productio</w:t>
      </w:r>
      <w:r w:rsidR="00593956" w:rsidRPr="00E456D2">
        <w:rPr>
          <w:color w:val="000000" w:themeColor="text1"/>
          <w:sz w:val="22"/>
          <w:szCs w:val="22"/>
          <w:lang w:val="en-US"/>
        </w:rPr>
        <w:t>n of passenger cars continued to decrease also in December</w:t>
      </w:r>
      <w:r w:rsidR="00077892" w:rsidRPr="00E456D2">
        <w:rPr>
          <w:color w:val="000000" w:themeColor="text1"/>
          <w:sz w:val="22"/>
          <w:szCs w:val="22"/>
          <w:lang w:val="en-US"/>
        </w:rPr>
        <w:t xml:space="preserve"> (Table</w:t>
      </w:r>
      <w:r w:rsidR="00671A5B" w:rsidRPr="00E456D2">
        <w:rPr>
          <w:color w:val="000000" w:themeColor="text1"/>
          <w:sz w:val="22"/>
          <w:szCs w:val="22"/>
          <w:lang w:val="en-US"/>
        </w:rPr>
        <w:t xml:space="preserve"> 2). </w:t>
      </w:r>
      <w:r w:rsidR="00E30212" w:rsidRPr="00E456D2">
        <w:rPr>
          <w:color w:val="000000" w:themeColor="text1"/>
          <w:sz w:val="22"/>
          <w:szCs w:val="22"/>
          <w:lang w:val="en-US"/>
        </w:rPr>
        <w:t xml:space="preserve">Taking into </w:t>
      </w:r>
      <w:r w:rsidR="00A02E01">
        <w:rPr>
          <w:color w:val="000000" w:themeColor="text1"/>
          <w:sz w:val="22"/>
          <w:szCs w:val="22"/>
          <w:lang w:val="en-US"/>
        </w:rPr>
        <w:t>account</w:t>
      </w:r>
      <w:r w:rsidR="00E30212" w:rsidRPr="00E456D2">
        <w:rPr>
          <w:color w:val="000000" w:themeColor="text1"/>
          <w:sz w:val="22"/>
          <w:szCs w:val="22"/>
          <w:lang w:val="en-US"/>
        </w:rPr>
        <w:t xml:space="preserve"> mostly increasing indicators, </w:t>
      </w:r>
      <w:r w:rsidR="00671A5B" w:rsidRPr="00E456D2">
        <w:rPr>
          <w:color w:val="000000" w:themeColor="text1"/>
          <w:sz w:val="22"/>
          <w:szCs w:val="22"/>
          <w:lang w:val="en-US"/>
        </w:rPr>
        <w:t xml:space="preserve">we expect a </w:t>
      </w:r>
      <w:r w:rsidR="00E30212" w:rsidRPr="00E456D2">
        <w:rPr>
          <w:color w:val="000000" w:themeColor="text1"/>
          <w:sz w:val="22"/>
          <w:szCs w:val="22"/>
          <w:lang w:val="en-US"/>
        </w:rPr>
        <w:t>moderate increase in private consumptions</w:t>
      </w:r>
      <w:r w:rsidR="00671A5B" w:rsidRPr="00E456D2">
        <w:rPr>
          <w:lang w:val="en-US"/>
        </w:rPr>
        <w:t xml:space="preserve"> </w:t>
      </w:r>
      <w:r w:rsidR="00671A5B" w:rsidRPr="00E456D2">
        <w:rPr>
          <w:color w:val="000000" w:themeColor="text1"/>
          <w:sz w:val="22"/>
          <w:szCs w:val="22"/>
          <w:lang w:val="en-US"/>
        </w:rPr>
        <w:t xml:space="preserve">from third quarter to fourth quarter,  </w:t>
      </w:r>
      <w:r w:rsidR="00E30212" w:rsidRPr="00E456D2">
        <w:rPr>
          <w:color w:val="000000" w:themeColor="text1"/>
          <w:sz w:val="22"/>
          <w:szCs w:val="22"/>
          <w:lang w:val="en-US"/>
        </w:rPr>
        <w:t xml:space="preserve"> which is the major contributor of our 0.6 percent growth rate forecast.</w:t>
      </w:r>
    </w:p>
    <w:p w:rsidR="00307494" w:rsidRPr="00E456D2" w:rsidRDefault="00307494" w:rsidP="004403F0">
      <w:pPr>
        <w:spacing w:line="360" w:lineRule="auto"/>
        <w:ind w:left="-360" w:right="42"/>
        <w:rPr>
          <w:b/>
          <w:bCs/>
          <w:color w:val="000000" w:themeColor="text1"/>
          <w:sz w:val="22"/>
          <w:szCs w:val="22"/>
          <w:highlight w:val="yellow"/>
          <w:lang w:val="en-US"/>
        </w:rPr>
      </w:pPr>
    </w:p>
    <w:p w:rsidR="00BA3A88" w:rsidRPr="00E456D2" w:rsidRDefault="00B548A8" w:rsidP="00BA3A88">
      <w:pPr>
        <w:spacing w:line="360" w:lineRule="auto"/>
        <w:ind w:left="-360" w:right="42"/>
        <w:jc w:val="center"/>
        <w:rPr>
          <w:b/>
          <w:color w:val="000000" w:themeColor="text1"/>
          <w:sz w:val="22"/>
          <w:szCs w:val="22"/>
          <w:lang w:val="en-US"/>
        </w:rPr>
      </w:pPr>
      <w:r w:rsidRPr="00E456D2">
        <w:rPr>
          <w:b/>
          <w:color w:val="000000" w:themeColor="text1"/>
          <w:sz w:val="22"/>
          <w:szCs w:val="22"/>
          <w:lang w:val="en-US"/>
        </w:rPr>
        <w:t>Negative contribution of net export</w:t>
      </w:r>
    </w:p>
    <w:p w:rsidR="00BA3A88" w:rsidRPr="00E456D2" w:rsidRDefault="00BA3A88" w:rsidP="00BA3A88">
      <w:pPr>
        <w:spacing w:line="360" w:lineRule="auto"/>
        <w:ind w:left="-360" w:right="42"/>
        <w:jc w:val="center"/>
        <w:rPr>
          <w:color w:val="000000" w:themeColor="text1"/>
          <w:sz w:val="22"/>
          <w:szCs w:val="22"/>
          <w:lang w:val="en-US"/>
        </w:rPr>
      </w:pPr>
    </w:p>
    <w:p w:rsidR="00BA3A88" w:rsidRPr="00E456D2" w:rsidRDefault="00671A5B" w:rsidP="00BA3A88">
      <w:pPr>
        <w:spacing w:line="360" w:lineRule="auto"/>
        <w:ind w:left="-360" w:right="42"/>
        <w:jc w:val="both"/>
        <w:rPr>
          <w:color w:val="000000" w:themeColor="text1"/>
          <w:sz w:val="22"/>
          <w:szCs w:val="22"/>
          <w:lang w:val="en-US"/>
        </w:rPr>
      </w:pPr>
      <w:r w:rsidRPr="00E456D2">
        <w:rPr>
          <w:color w:val="000000" w:themeColor="text1"/>
          <w:sz w:val="22"/>
          <w:szCs w:val="22"/>
          <w:lang w:val="en-US"/>
        </w:rPr>
        <w:t xml:space="preserve">Foreign </w:t>
      </w:r>
      <w:r w:rsidR="00CF3F33">
        <w:rPr>
          <w:color w:val="000000" w:themeColor="text1"/>
          <w:sz w:val="22"/>
          <w:szCs w:val="22"/>
          <w:lang w:val="en-US"/>
        </w:rPr>
        <w:t>T</w:t>
      </w:r>
      <w:r w:rsidRPr="00E456D2">
        <w:rPr>
          <w:color w:val="000000" w:themeColor="text1"/>
          <w:sz w:val="22"/>
          <w:szCs w:val="22"/>
          <w:lang w:val="en-US"/>
        </w:rPr>
        <w:t xml:space="preserve">rade recorded a </w:t>
      </w:r>
      <w:r w:rsidR="00CF3F33">
        <w:rPr>
          <w:color w:val="000000" w:themeColor="text1"/>
          <w:sz w:val="22"/>
          <w:szCs w:val="22"/>
          <w:lang w:val="en-US"/>
        </w:rPr>
        <w:t>volatile</w:t>
      </w:r>
      <w:r w:rsidRPr="00E456D2">
        <w:rPr>
          <w:color w:val="000000" w:themeColor="text1"/>
          <w:sz w:val="22"/>
          <w:szCs w:val="22"/>
          <w:lang w:val="en-US"/>
        </w:rPr>
        <w:t xml:space="preserve"> </w:t>
      </w:r>
      <w:r w:rsidR="00CF3F33">
        <w:rPr>
          <w:color w:val="000000" w:themeColor="text1"/>
          <w:sz w:val="22"/>
          <w:szCs w:val="22"/>
          <w:lang w:val="en-US"/>
        </w:rPr>
        <w:t>evolution</w:t>
      </w:r>
      <w:r w:rsidRPr="00E456D2">
        <w:rPr>
          <w:color w:val="000000" w:themeColor="text1"/>
          <w:sz w:val="22"/>
          <w:szCs w:val="22"/>
          <w:lang w:val="en-US"/>
        </w:rPr>
        <w:t xml:space="preserve"> during the fourth quarter.</w:t>
      </w:r>
      <w:r w:rsidR="00B35769" w:rsidRPr="00E456D2">
        <w:rPr>
          <w:color w:val="000000" w:themeColor="text1"/>
          <w:sz w:val="22"/>
          <w:szCs w:val="22"/>
          <w:lang w:val="en-US"/>
        </w:rPr>
        <w:t xml:space="preserve"> October data</w:t>
      </w:r>
      <w:r w:rsidR="00FC5DEA" w:rsidRPr="00E456D2">
        <w:rPr>
          <w:color w:val="000000" w:themeColor="text1"/>
          <w:sz w:val="22"/>
          <w:szCs w:val="22"/>
          <w:lang w:val="en-US"/>
        </w:rPr>
        <w:t xml:space="preserve"> had</w:t>
      </w:r>
      <w:r w:rsidR="00B35769" w:rsidRPr="00E456D2">
        <w:rPr>
          <w:color w:val="000000" w:themeColor="text1"/>
          <w:sz w:val="22"/>
          <w:szCs w:val="22"/>
          <w:lang w:val="en-US"/>
        </w:rPr>
        <w:t xml:space="preserve"> indicated a negative contribution of net export due to</w:t>
      </w:r>
      <w:r w:rsidRPr="00E456D2">
        <w:rPr>
          <w:color w:val="000000" w:themeColor="text1"/>
          <w:sz w:val="22"/>
          <w:szCs w:val="22"/>
          <w:lang w:val="en-US"/>
        </w:rPr>
        <w:t xml:space="preserve"> the</w:t>
      </w:r>
      <w:r w:rsidR="00B35769" w:rsidRPr="00E456D2">
        <w:rPr>
          <w:color w:val="000000" w:themeColor="text1"/>
          <w:sz w:val="22"/>
          <w:szCs w:val="22"/>
          <w:lang w:val="en-US"/>
        </w:rPr>
        <w:t xml:space="preserve"> declining export and</w:t>
      </w:r>
      <w:r w:rsidRPr="00E456D2">
        <w:rPr>
          <w:color w:val="000000" w:themeColor="text1"/>
          <w:sz w:val="22"/>
          <w:szCs w:val="22"/>
          <w:lang w:val="en-US"/>
        </w:rPr>
        <w:t xml:space="preserve"> the</w:t>
      </w:r>
      <w:r w:rsidR="00B35769" w:rsidRPr="00E456D2">
        <w:rPr>
          <w:color w:val="000000" w:themeColor="text1"/>
          <w:sz w:val="22"/>
          <w:szCs w:val="22"/>
          <w:lang w:val="en-US"/>
        </w:rPr>
        <w:t xml:space="preserve"> increasing import. However, </w:t>
      </w:r>
      <w:r w:rsidR="00FC5DEA" w:rsidRPr="00E456D2">
        <w:rPr>
          <w:color w:val="000000" w:themeColor="text1"/>
          <w:sz w:val="22"/>
          <w:szCs w:val="22"/>
          <w:lang w:val="en-US"/>
        </w:rPr>
        <w:t>as of November, with the help of significant decline</w:t>
      </w:r>
      <w:r w:rsidRPr="00E456D2">
        <w:rPr>
          <w:color w:val="000000" w:themeColor="text1"/>
          <w:sz w:val="22"/>
          <w:szCs w:val="22"/>
          <w:lang w:val="en-US"/>
        </w:rPr>
        <w:t xml:space="preserve"> in</w:t>
      </w:r>
      <w:r w:rsidR="00FC5DEA" w:rsidRPr="00E456D2">
        <w:rPr>
          <w:color w:val="000000" w:themeColor="text1"/>
          <w:sz w:val="22"/>
          <w:szCs w:val="22"/>
          <w:lang w:val="en-US"/>
        </w:rPr>
        <w:t xml:space="preserve"> import statistics, the negative contribution of net export had remained limited.</w:t>
      </w:r>
      <w:r w:rsidR="00B35769" w:rsidRPr="00E456D2">
        <w:rPr>
          <w:color w:val="000000" w:themeColor="text1"/>
          <w:sz w:val="22"/>
          <w:szCs w:val="22"/>
          <w:lang w:val="en-US"/>
        </w:rPr>
        <w:t xml:space="preserve"> </w:t>
      </w:r>
      <w:r w:rsidR="00CF3F33">
        <w:rPr>
          <w:color w:val="000000" w:themeColor="text1"/>
          <w:sz w:val="22"/>
          <w:szCs w:val="22"/>
          <w:lang w:val="en-US"/>
        </w:rPr>
        <w:t>In addition</w:t>
      </w:r>
      <w:r w:rsidR="00FC5DEA" w:rsidRPr="00E456D2">
        <w:rPr>
          <w:color w:val="000000" w:themeColor="text1"/>
          <w:sz w:val="22"/>
          <w:szCs w:val="22"/>
          <w:lang w:val="en-US"/>
        </w:rPr>
        <w:t xml:space="preserve">, we </w:t>
      </w:r>
      <w:r w:rsidR="00CF3F33">
        <w:rPr>
          <w:color w:val="000000" w:themeColor="text1"/>
          <w:sz w:val="22"/>
          <w:szCs w:val="22"/>
          <w:lang w:val="en-US"/>
        </w:rPr>
        <w:t xml:space="preserve">see that </w:t>
      </w:r>
      <w:r w:rsidR="00FC5DEA" w:rsidRPr="00E456D2">
        <w:rPr>
          <w:color w:val="000000" w:themeColor="text1"/>
          <w:sz w:val="22"/>
          <w:szCs w:val="22"/>
          <w:lang w:val="en-US"/>
        </w:rPr>
        <w:t xml:space="preserve">this negative contribution </w:t>
      </w:r>
      <w:r w:rsidR="00CF3F33">
        <w:rPr>
          <w:color w:val="000000" w:themeColor="text1"/>
          <w:sz w:val="22"/>
          <w:szCs w:val="22"/>
          <w:lang w:val="en-US"/>
        </w:rPr>
        <w:t xml:space="preserve">is reinforced </w:t>
      </w:r>
      <w:r w:rsidR="00FC5DEA" w:rsidRPr="00E456D2">
        <w:rPr>
          <w:color w:val="000000" w:themeColor="text1"/>
          <w:sz w:val="22"/>
          <w:szCs w:val="22"/>
          <w:lang w:val="en-US"/>
        </w:rPr>
        <w:t>by the strong rise of import in December. Hence, we expect that gold-excluded real export will decrease by 0.2 percent and gold-excluded</w:t>
      </w:r>
      <w:r w:rsidR="002D19D8">
        <w:rPr>
          <w:color w:val="000000" w:themeColor="text1"/>
          <w:sz w:val="22"/>
          <w:szCs w:val="22"/>
          <w:lang w:val="en-US"/>
        </w:rPr>
        <w:t xml:space="preserve"> real import will increase by 4.</w:t>
      </w:r>
      <w:r w:rsidR="00FC5DEA" w:rsidRPr="00E456D2">
        <w:rPr>
          <w:color w:val="000000" w:themeColor="text1"/>
          <w:sz w:val="22"/>
          <w:szCs w:val="22"/>
          <w:lang w:val="en-US"/>
        </w:rPr>
        <w:t>0</w:t>
      </w:r>
      <w:r w:rsidR="00077892" w:rsidRPr="00E456D2">
        <w:rPr>
          <w:color w:val="000000" w:themeColor="text1"/>
          <w:sz w:val="22"/>
          <w:szCs w:val="22"/>
          <w:lang w:val="en-US"/>
        </w:rPr>
        <w:t xml:space="preserve"> (Table 2)</w:t>
      </w:r>
      <w:r w:rsidR="007A7069" w:rsidRPr="00E456D2">
        <w:rPr>
          <w:color w:val="000000" w:themeColor="text1"/>
          <w:sz w:val="22"/>
          <w:szCs w:val="22"/>
          <w:lang w:val="en-US"/>
        </w:rPr>
        <w:t xml:space="preserve"> </w:t>
      </w:r>
    </w:p>
    <w:p w:rsidR="00BA3A88" w:rsidRPr="00E456D2" w:rsidRDefault="00BA3A88" w:rsidP="00307494">
      <w:pPr>
        <w:spacing w:line="360" w:lineRule="auto"/>
        <w:ind w:left="-360" w:right="42"/>
        <w:jc w:val="center"/>
        <w:rPr>
          <w:b/>
          <w:bCs/>
          <w:color w:val="000000" w:themeColor="text1"/>
          <w:sz w:val="22"/>
          <w:szCs w:val="22"/>
          <w:lang w:val="en-US"/>
        </w:rPr>
      </w:pPr>
    </w:p>
    <w:p w:rsidR="00307494" w:rsidRPr="00E456D2" w:rsidRDefault="00077892" w:rsidP="00FE4616">
      <w:pPr>
        <w:spacing w:line="360" w:lineRule="auto"/>
        <w:ind w:left="-360" w:right="42"/>
        <w:jc w:val="center"/>
        <w:rPr>
          <w:b/>
          <w:bCs/>
          <w:color w:val="000000" w:themeColor="text1"/>
          <w:sz w:val="22"/>
          <w:szCs w:val="22"/>
          <w:lang w:val="en-US"/>
        </w:rPr>
      </w:pPr>
      <w:r w:rsidRPr="00E456D2">
        <w:rPr>
          <w:b/>
          <w:bCs/>
          <w:color w:val="000000" w:themeColor="text1"/>
          <w:sz w:val="22"/>
          <w:szCs w:val="22"/>
          <w:lang w:val="en-US"/>
        </w:rPr>
        <w:t>Stagnation in private invest</w:t>
      </w:r>
      <w:r w:rsidR="00B548A8" w:rsidRPr="00E456D2">
        <w:rPr>
          <w:b/>
          <w:bCs/>
          <w:color w:val="000000" w:themeColor="text1"/>
          <w:sz w:val="22"/>
          <w:szCs w:val="22"/>
          <w:lang w:val="en-US"/>
        </w:rPr>
        <w:t>ments</w:t>
      </w:r>
    </w:p>
    <w:p w:rsidR="00FE4616" w:rsidRPr="00E456D2" w:rsidRDefault="00FE4616" w:rsidP="00FE4616">
      <w:pPr>
        <w:spacing w:line="360" w:lineRule="auto"/>
        <w:ind w:left="-360" w:right="42"/>
        <w:jc w:val="center"/>
        <w:rPr>
          <w:b/>
          <w:bCs/>
          <w:color w:val="000000" w:themeColor="text1"/>
          <w:sz w:val="22"/>
          <w:szCs w:val="22"/>
          <w:lang w:val="en-US"/>
        </w:rPr>
      </w:pPr>
    </w:p>
    <w:p w:rsidR="008558C2" w:rsidRPr="00E456D2" w:rsidRDefault="00E30212" w:rsidP="0033675F">
      <w:pPr>
        <w:spacing w:line="360" w:lineRule="auto"/>
        <w:ind w:left="-360" w:right="42"/>
        <w:jc w:val="both"/>
        <w:rPr>
          <w:color w:val="000000" w:themeColor="text1"/>
          <w:sz w:val="22"/>
          <w:szCs w:val="22"/>
          <w:lang w:val="en-US"/>
        </w:rPr>
      </w:pPr>
      <w:r w:rsidRPr="00E456D2">
        <w:rPr>
          <w:color w:val="000000" w:themeColor="text1"/>
          <w:sz w:val="22"/>
          <w:szCs w:val="22"/>
          <w:lang w:val="en-US"/>
        </w:rPr>
        <w:t xml:space="preserve">Private investments also showed fluctuations during the fourth quarter. </w:t>
      </w:r>
      <w:r w:rsidR="00077892" w:rsidRPr="00E456D2">
        <w:rPr>
          <w:color w:val="000000" w:themeColor="text1"/>
          <w:sz w:val="22"/>
          <w:szCs w:val="22"/>
          <w:lang w:val="en-US"/>
        </w:rPr>
        <w:t xml:space="preserve">Our first estimation based upon October data had indicated </w:t>
      </w:r>
      <w:r w:rsidR="00533826" w:rsidRPr="00E456D2">
        <w:rPr>
          <w:color w:val="000000" w:themeColor="text1"/>
          <w:sz w:val="22"/>
          <w:szCs w:val="22"/>
          <w:lang w:val="en-US"/>
        </w:rPr>
        <w:t>stagnation</w:t>
      </w:r>
      <w:r w:rsidR="00671A5B" w:rsidRPr="00E456D2">
        <w:rPr>
          <w:color w:val="000000" w:themeColor="text1"/>
          <w:sz w:val="22"/>
          <w:szCs w:val="22"/>
          <w:lang w:val="en-US"/>
        </w:rPr>
        <w:t xml:space="preserve"> in last quarter whereas our</w:t>
      </w:r>
      <w:r w:rsidR="00077892" w:rsidRPr="00E456D2">
        <w:rPr>
          <w:color w:val="000000" w:themeColor="text1"/>
          <w:sz w:val="22"/>
          <w:szCs w:val="22"/>
          <w:lang w:val="en-US"/>
        </w:rPr>
        <w:t xml:space="preserve"> forecast based upon November data had pointed out a limited decline</w:t>
      </w:r>
      <w:r w:rsidR="001834EF" w:rsidRPr="00E456D2">
        <w:rPr>
          <w:color w:val="000000" w:themeColor="text1"/>
          <w:sz w:val="22"/>
          <w:szCs w:val="22"/>
          <w:lang w:val="en-US"/>
        </w:rPr>
        <w:t>.</w:t>
      </w:r>
      <w:r w:rsidR="00671A5B" w:rsidRPr="00E456D2">
        <w:rPr>
          <w:color w:val="000000" w:themeColor="text1"/>
          <w:sz w:val="22"/>
          <w:szCs w:val="22"/>
          <w:lang w:val="en-US"/>
        </w:rPr>
        <w:t xml:space="preserve"> </w:t>
      </w:r>
      <w:r w:rsidR="00077892" w:rsidRPr="00E456D2">
        <w:rPr>
          <w:color w:val="000000" w:themeColor="text1"/>
          <w:sz w:val="22"/>
          <w:szCs w:val="22"/>
          <w:lang w:val="en-US"/>
        </w:rPr>
        <w:t>In December, we observe a partial recovery in this component.</w:t>
      </w:r>
      <w:r w:rsidR="006B4F3F" w:rsidRPr="00E456D2">
        <w:rPr>
          <w:color w:val="000000" w:themeColor="text1"/>
          <w:sz w:val="22"/>
          <w:szCs w:val="22"/>
          <w:lang w:val="en-US"/>
        </w:rPr>
        <w:t xml:space="preserve"> </w:t>
      </w:r>
      <w:proofErr w:type="gramStart"/>
      <w:r w:rsidR="006B4F3F" w:rsidRPr="00E456D2">
        <w:rPr>
          <w:color w:val="000000" w:themeColor="text1"/>
          <w:sz w:val="22"/>
          <w:szCs w:val="22"/>
          <w:lang w:val="en-US"/>
        </w:rPr>
        <w:t xml:space="preserve">Comparing to the previous month, the </w:t>
      </w:r>
      <w:r w:rsidR="006B4F3F" w:rsidRPr="00E456D2">
        <w:rPr>
          <w:color w:val="000000" w:themeColor="text1"/>
          <w:sz w:val="22"/>
          <w:szCs w:val="22"/>
          <w:lang w:val="en-US"/>
        </w:rPr>
        <w:lastRenderedPageBreak/>
        <w:t xml:space="preserve">production of domestic </w:t>
      </w:r>
      <w:r w:rsidR="00533826">
        <w:rPr>
          <w:color w:val="000000" w:themeColor="text1"/>
          <w:sz w:val="22"/>
          <w:szCs w:val="22"/>
          <w:lang w:val="en-US"/>
        </w:rPr>
        <w:t>investment goods increased by 0.</w:t>
      </w:r>
      <w:r w:rsidR="006B4F3F" w:rsidRPr="00E456D2">
        <w:rPr>
          <w:color w:val="000000" w:themeColor="text1"/>
          <w:sz w:val="22"/>
          <w:szCs w:val="22"/>
          <w:lang w:val="en-US"/>
        </w:rPr>
        <w:t>7 percent in December (Table 2).</w:t>
      </w:r>
      <w:proofErr w:type="gramEnd"/>
      <w:r w:rsidR="006B4F3F" w:rsidRPr="00E456D2">
        <w:rPr>
          <w:color w:val="000000" w:themeColor="text1"/>
          <w:sz w:val="22"/>
          <w:szCs w:val="22"/>
          <w:lang w:val="en-US"/>
        </w:rPr>
        <w:t xml:space="preserve"> Previously, the production of commercial vehicles recorded a significant increase in October (17</w:t>
      </w:r>
      <w:r w:rsidR="00533826">
        <w:rPr>
          <w:color w:val="000000" w:themeColor="text1"/>
          <w:sz w:val="22"/>
          <w:szCs w:val="22"/>
          <w:lang w:val="en-US"/>
        </w:rPr>
        <w:t>.</w:t>
      </w:r>
      <w:r w:rsidR="006B4F3F" w:rsidRPr="00E456D2">
        <w:rPr>
          <w:color w:val="000000" w:themeColor="text1"/>
          <w:sz w:val="22"/>
          <w:szCs w:val="22"/>
          <w:lang w:val="en-US"/>
        </w:rPr>
        <w:t>1 percent) which was followed by</w:t>
      </w:r>
      <w:r w:rsidR="00533826">
        <w:rPr>
          <w:color w:val="000000" w:themeColor="text1"/>
          <w:sz w:val="22"/>
          <w:szCs w:val="22"/>
          <w:lang w:val="en-US"/>
        </w:rPr>
        <w:t xml:space="preserve"> a sharp decline in November (9.</w:t>
      </w:r>
      <w:r w:rsidR="006B4F3F" w:rsidRPr="00E456D2">
        <w:rPr>
          <w:color w:val="000000" w:themeColor="text1"/>
          <w:sz w:val="22"/>
          <w:szCs w:val="22"/>
          <w:lang w:val="en-US"/>
        </w:rPr>
        <w:t>9 percent). This decline continued but consider</w:t>
      </w:r>
      <w:r w:rsidR="00533826">
        <w:rPr>
          <w:color w:val="000000" w:themeColor="text1"/>
          <w:sz w:val="22"/>
          <w:szCs w:val="22"/>
          <w:lang w:val="en-US"/>
        </w:rPr>
        <w:t>ably slowed down in December (1.</w:t>
      </w:r>
      <w:r w:rsidR="006B4F3F" w:rsidRPr="00E456D2">
        <w:rPr>
          <w:color w:val="000000" w:themeColor="text1"/>
          <w:sz w:val="22"/>
          <w:szCs w:val="22"/>
          <w:lang w:val="en-US"/>
        </w:rPr>
        <w:t>8 percent).</w:t>
      </w:r>
      <w:r w:rsidR="008E3B53" w:rsidRPr="00E456D2">
        <w:rPr>
          <w:color w:val="000000" w:themeColor="text1"/>
          <w:sz w:val="22"/>
          <w:szCs w:val="22"/>
          <w:lang w:val="en-US"/>
        </w:rPr>
        <w:t xml:space="preserve"> </w:t>
      </w:r>
      <w:r w:rsidR="006B4F3F" w:rsidRPr="00E456D2">
        <w:rPr>
          <w:color w:val="000000" w:themeColor="text1"/>
          <w:sz w:val="22"/>
          <w:szCs w:val="22"/>
          <w:lang w:val="en-US"/>
        </w:rPr>
        <w:t xml:space="preserve">On the other hand, </w:t>
      </w:r>
      <w:r w:rsidR="00485866" w:rsidRPr="00E456D2">
        <w:rPr>
          <w:color w:val="000000" w:themeColor="text1"/>
          <w:sz w:val="22"/>
          <w:szCs w:val="22"/>
          <w:lang w:val="en-US"/>
        </w:rPr>
        <w:t>real sector confidence index which increase</w:t>
      </w:r>
      <w:r w:rsidR="00533826">
        <w:rPr>
          <w:color w:val="000000" w:themeColor="text1"/>
          <w:sz w:val="22"/>
          <w:szCs w:val="22"/>
          <w:lang w:val="en-US"/>
        </w:rPr>
        <w:t>d by 6.</w:t>
      </w:r>
      <w:r w:rsidR="00485866" w:rsidRPr="00E456D2">
        <w:rPr>
          <w:color w:val="000000" w:themeColor="text1"/>
          <w:sz w:val="22"/>
          <w:szCs w:val="22"/>
          <w:lang w:val="en-US"/>
        </w:rPr>
        <w:t xml:space="preserve">4 percent in </w:t>
      </w:r>
      <w:r w:rsidR="00533826" w:rsidRPr="00E456D2">
        <w:rPr>
          <w:color w:val="000000" w:themeColor="text1"/>
          <w:sz w:val="22"/>
          <w:szCs w:val="22"/>
          <w:lang w:val="en-US"/>
        </w:rPr>
        <w:t>November</w:t>
      </w:r>
      <w:r w:rsidR="00485866" w:rsidRPr="00E456D2">
        <w:rPr>
          <w:color w:val="000000" w:themeColor="text1"/>
          <w:sz w:val="22"/>
          <w:szCs w:val="22"/>
          <w:lang w:val="en-US"/>
        </w:rPr>
        <w:t>, decline</w:t>
      </w:r>
      <w:r w:rsidR="00533826">
        <w:rPr>
          <w:color w:val="000000" w:themeColor="text1"/>
          <w:sz w:val="22"/>
          <w:szCs w:val="22"/>
          <w:lang w:val="en-US"/>
        </w:rPr>
        <w:t>d by 1.</w:t>
      </w:r>
      <w:r w:rsidR="00485866" w:rsidRPr="00E456D2">
        <w:rPr>
          <w:color w:val="000000" w:themeColor="text1"/>
          <w:sz w:val="22"/>
          <w:szCs w:val="22"/>
          <w:lang w:val="en-US"/>
        </w:rPr>
        <w:t xml:space="preserve">3 percent in December. Finally, the import of </w:t>
      </w:r>
      <w:r w:rsidR="00533826" w:rsidRPr="00E456D2">
        <w:rPr>
          <w:color w:val="000000" w:themeColor="text1"/>
          <w:sz w:val="22"/>
          <w:szCs w:val="22"/>
          <w:lang w:val="en-US"/>
        </w:rPr>
        <w:t>investment</w:t>
      </w:r>
      <w:r w:rsidR="00485866" w:rsidRPr="00E456D2">
        <w:rPr>
          <w:color w:val="000000" w:themeColor="text1"/>
          <w:sz w:val="22"/>
          <w:szCs w:val="22"/>
          <w:lang w:val="en-US"/>
        </w:rPr>
        <w:t xml:space="preserve"> goods (last indicator of our private investment estimation) r</w:t>
      </w:r>
      <w:r w:rsidR="00671A5B" w:rsidRPr="00E456D2">
        <w:rPr>
          <w:color w:val="000000" w:themeColor="text1"/>
          <w:sz w:val="22"/>
          <w:szCs w:val="22"/>
          <w:lang w:val="en-US"/>
        </w:rPr>
        <w:t xml:space="preserve">emained stable in December </w:t>
      </w:r>
      <w:r w:rsidR="00533826" w:rsidRPr="00E456D2">
        <w:rPr>
          <w:color w:val="000000" w:themeColor="text1"/>
          <w:sz w:val="22"/>
          <w:szCs w:val="22"/>
          <w:lang w:val="en-US"/>
        </w:rPr>
        <w:t>whilst</w:t>
      </w:r>
      <w:r w:rsidR="00533826">
        <w:rPr>
          <w:color w:val="000000" w:themeColor="text1"/>
          <w:sz w:val="22"/>
          <w:szCs w:val="22"/>
          <w:lang w:val="en-US"/>
        </w:rPr>
        <w:t xml:space="preserve"> it had declined by 10.</w:t>
      </w:r>
      <w:r w:rsidR="00485866" w:rsidRPr="00E456D2">
        <w:rPr>
          <w:color w:val="000000" w:themeColor="text1"/>
          <w:sz w:val="22"/>
          <w:szCs w:val="22"/>
          <w:lang w:val="en-US"/>
        </w:rPr>
        <w:t>2 percent in November.</w:t>
      </w:r>
      <w:r w:rsidR="003561F1" w:rsidRPr="00E456D2">
        <w:rPr>
          <w:color w:val="000000" w:themeColor="text1"/>
          <w:sz w:val="22"/>
          <w:szCs w:val="22"/>
          <w:lang w:val="en-US"/>
        </w:rPr>
        <w:t xml:space="preserve"> </w:t>
      </w:r>
      <w:r w:rsidR="00485866" w:rsidRPr="00E456D2">
        <w:rPr>
          <w:color w:val="000000" w:themeColor="text1"/>
          <w:sz w:val="22"/>
          <w:szCs w:val="22"/>
          <w:lang w:val="en-US"/>
        </w:rPr>
        <w:t>In the light of these various indicators, we do not expect</w:t>
      </w:r>
      <w:r w:rsidR="00A27139" w:rsidRPr="00E456D2">
        <w:rPr>
          <w:color w:val="000000" w:themeColor="text1"/>
          <w:sz w:val="22"/>
          <w:szCs w:val="22"/>
          <w:lang w:val="en-US"/>
        </w:rPr>
        <w:t xml:space="preserve"> to</w:t>
      </w:r>
      <w:r w:rsidR="00485866" w:rsidRPr="00E456D2">
        <w:rPr>
          <w:color w:val="000000" w:themeColor="text1"/>
          <w:sz w:val="22"/>
          <w:szCs w:val="22"/>
          <w:lang w:val="en-US"/>
        </w:rPr>
        <w:t xml:space="preserve"> obtain a significant contribution from private investments to the fourt</w:t>
      </w:r>
      <w:r w:rsidR="00A27139" w:rsidRPr="00E456D2">
        <w:rPr>
          <w:color w:val="000000" w:themeColor="text1"/>
          <w:sz w:val="22"/>
          <w:szCs w:val="22"/>
          <w:lang w:val="en-US"/>
        </w:rPr>
        <w:t>h</w:t>
      </w:r>
      <w:r w:rsidR="00485866" w:rsidRPr="00E456D2">
        <w:rPr>
          <w:color w:val="000000" w:themeColor="text1"/>
          <w:sz w:val="22"/>
          <w:szCs w:val="22"/>
          <w:lang w:val="en-US"/>
        </w:rPr>
        <w:t xml:space="preserve"> quarter GDP</w:t>
      </w:r>
      <w:r w:rsidR="00A27139" w:rsidRPr="00E456D2">
        <w:rPr>
          <w:color w:val="000000" w:themeColor="text1"/>
          <w:sz w:val="22"/>
          <w:szCs w:val="22"/>
          <w:lang w:val="en-US"/>
        </w:rPr>
        <w:t xml:space="preserve"> growth rate.</w:t>
      </w:r>
    </w:p>
    <w:p w:rsidR="004A4431" w:rsidRPr="00E456D2" w:rsidRDefault="008558C2" w:rsidP="001510B5">
      <w:pPr>
        <w:spacing w:line="360" w:lineRule="auto"/>
        <w:ind w:left="-360" w:right="42"/>
        <w:jc w:val="both"/>
        <w:rPr>
          <w:color w:val="000000" w:themeColor="text1"/>
          <w:sz w:val="22"/>
          <w:szCs w:val="22"/>
          <w:lang w:val="en-US"/>
        </w:rPr>
      </w:pPr>
      <w:r w:rsidRPr="00E456D2">
        <w:rPr>
          <w:color w:val="000000" w:themeColor="text1"/>
          <w:sz w:val="22"/>
          <w:szCs w:val="22"/>
          <w:lang w:val="en-US"/>
        </w:rPr>
        <w:t xml:space="preserve"> </w:t>
      </w:r>
    </w:p>
    <w:p w:rsidR="00A70678" w:rsidRPr="00E456D2" w:rsidRDefault="00B548A8" w:rsidP="00FE4616">
      <w:pPr>
        <w:spacing w:line="360" w:lineRule="auto"/>
        <w:ind w:left="-360" w:right="42"/>
        <w:jc w:val="center"/>
        <w:rPr>
          <w:b/>
          <w:color w:val="000000" w:themeColor="text1"/>
          <w:sz w:val="22"/>
          <w:szCs w:val="22"/>
          <w:lang w:val="en-US"/>
        </w:rPr>
      </w:pPr>
      <w:r w:rsidRPr="00E456D2">
        <w:rPr>
          <w:b/>
          <w:color w:val="000000" w:themeColor="text1"/>
          <w:sz w:val="22"/>
          <w:szCs w:val="22"/>
          <w:lang w:val="en-US"/>
        </w:rPr>
        <w:t>Contribution of government expenditures</w:t>
      </w:r>
      <w:r w:rsidR="00FE4616" w:rsidRPr="00E456D2">
        <w:rPr>
          <w:b/>
          <w:color w:val="000000" w:themeColor="text1"/>
          <w:sz w:val="22"/>
          <w:szCs w:val="22"/>
          <w:lang w:val="en-US"/>
        </w:rPr>
        <w:t xml:space="preserve"> continues</w:t>
      </w:r>
    </w:p>
    <w:p w:rsidR="00FE4616" w:rsidRPr="00E456D2" w:rsidRDefault="00FE4616" w:rsidP="00FE4616">
      <w:pPr>
        <w:spacing w:line="360" w:lineRule="auto"/>
        <w:ind w:left="-360" w:right="42"/>
        <w:jc w:val="center"/>
        <w:rPr>
          <w:b/>
          <w:color w:val="000000" w:themeColor="text1"/>
          <w:sz w:val="22"/>
          <w:szCs w:val="22"/>
          <w:lang w:val="en-US"/>
        </w:rPr>
      </w:pPr>
    </w:p>
    <w:p w:rsidR="00917FE8" w:rsidRPr="00E456D2" w:rsidRDefault="00533826" w:rsidP="00F43211">
      <w:pPr>
        <w:spacing w:line="360" w:lineRule="auto"/>
        <w:ind w:left="-360" w:right="42"/>
        <w:jc w:val="both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>After the 6.</w:t>
      </w:r>
      <w:r w:rsidR="00671A5B" w:rsidRPr="00E456D2">
        <w:rPr>
          <w:color w:val="000000" w:themeColor="text1"/>
          <w:sz w:val="22"/>
          <w:szCs w:val="22"/>
          <w:lang w:val="en-US"/>
        </w:rPr>
        <w:t xml:space="preserve">8 percent increase </w:t>
      </w:r>
      <w:r w:rsidR="00007178" w:rsidRPr="00E456D2">
        <w:rPr>
          <w:color w:val="000000" w:themeColor="text1"/>
          <w:sz w:val="22"/>
          <w:szCs w:val="22"/>
          <w:lang w:val="en-US"/>
        </w:rPr>
        <w:t xml:space="preserve">in November, </w:t>
      </w:r>
      <w:r w:rsidR="005F1B41" w:rsidRPr="00E456D2">
        <w:rPr>
          <w:color w:val="000000" w:themeColor="text1"/>
          <w:sz w:val="22"/>
          <w:szCs w:val="22"/>
          <w:lang w:val="en-US"/>
        </w:rPr>
        <w:t>we observe a sharp decline</w:t>
      </w:r>
      <w:r w:rsidR="00671A5B" w:rsidRPr="00E456D2">
        <w:rPr>
          <w:color w:val="000000" w:themeColor="text1"/>
          <w:sz w:val="22"/>
          <w:szCs w:val="22"/>
          <w:lang w:val="en-US"/>
        </w:rPr>
        <w:t xml:space="preserve"> of public expenditures</w:t>
      </w:r>
      <w:r w:rsidR="005F1B41" w:rsidRPr="00E456D2">
        <w:rPr>
          <w:color w:val="000000" w:themeColor="text1"/>
          <w:sz w:val="22"/>
          <w:szCs w:val="22"/>
          <w:lang w:val="en-US"/>
        </w:rPr>
        <w:t xml:space="preserve"> in December. Govern</w:t>
      </w:r>
      <w:r w:rsidR="009715E1">
        <w:rPr>
          <w:color w:val="000000" w:themeColor="text1"/>
          <w:sz w:val="22"/>
          <w:szCs w:val="22"/>
          <w:lang w:val="en-US"/>
        </w:rPr>
        <w:t>ment expenditures shrank</w:t>
      </w:r>
      <w:r>
        <w:rPr>
          <w:color w:val="000000" w:themeColor="text1"/>
          <w:sz w:val="22"/>
          <w:szCs w:val="22"/>
          <w:lang w:val="en-US"/>
        </w:rPr>
        <w:t xml:space="preserve"> by 2.</w:t>
      </w:r>
      <w:r w:rsidR="005F1B41" w:rsidRPr="00E456D2">
        <w:rPr>
          <w:color w:val="000000" w:themeColor="text1"/>
          <w:sz w:val="22"/>
          <w:szCs w:val="22"/>
          <w:lang w:val="en-US"/>
        </w:rPr>
        <w:t xml:space="preserve">6 percent in the last month of last quarter (Table 2). Still, </w:t>
      </w:r>
      <w:r w:rsidR="00671A5B" w:rsidRPr="00E456D2">
        <w:rPr>
          <w:color w:val="000000" w:themeColor="text1"/>
          <w:sz w:val="22"/>
          <w:szCs w:val="22"/>
          <w:lang w:val="en-US"/>
        </w:rPr>
        <w:t xml:space="preserve">they record a minor but positive contribution </w:t>
      </w:r>
      <w:r w:rsidR="005F1B41" w:rsidRPr="00E456D2">
        <w:rPr>
          <w:color w:val="000000" w:themeColor="text1"/>
          <w:sz w:val="22"/>
          <w:szCs w:val="22"/>
          <w:lang w:val="en-US"/>
        </w:rPr>
        <w:t xml:space="preserve">to quarterly GDP growth rate </w:t>
      </w:r>
    </w:p>
    <w:p w:rsidR="00A27CA3" w:rsidRPr="00E456D2" w:rsidRDefault="00A27CA3" w:rsidP="00357DEF">
      <w:pPr>
        <w:spacing w:line="360" w:lineRule="auto"/>
        <w:ind w:right="42"/>
        <w:jc w:val="both"/>
        <w:rPr>
          <w:color w:val="000000" w:themeColor="text1"/>
          <w:sz w:val="22"/>
          <w:szCs w:val="22"/>
          <w:lang w:val="en-US"/>
        </w:rPr>
      </w:pPr>
    </w:p>
    <w:p w:rsidR="000B100E" w:rsidRPr="00E456D2" w:rsidRDefault="00FE4616" w:rsidP="00A87DBD">
      <w:pPr>
        <w:spacing w:line="360" w:lineRule="auto"/>
        <w:ind w:left="-360" w:right="42"/>
        <w:jc w:val="center"/>
        <w:rPr>
          <w:b/>
          <w:color w:val="000000" w:themeColor="text1"/>
          <w:sz w:val="22"/>
          <w:szCs w:val="22"/>
          <w:lang w:val="en-US"/>
        </w:rPr>
      </w:pPr>
      <w:r w:rsidRPr="00E456D2">
        <w:rPr>
          <w:b/>
          <w:color w:val="000000" w:themeColor="text1"/>
          <w:sz w:val="22"/>
          <w:szCs w:val="22"/>
          <w:lang w:val="en-US"/>
        </w:rPr>
        <w:t>Improvement in growth performance</w:t>
      </w:r>
    </w:p>
    <w:p w:rsidR="00546326" w:rsidRPr="00E456D2" w:rsidRDefault="00546326" w:rsidP="00546326">
      <w:pPr>
        <w:spacing w:line="360" w:lineRule="auto"/>
        <w:ind w:right="42"/>
        <w:jc w:val="both"/>
        <w:rPr>
          <w:b/>
          <w:color w:val="000000" w:themeColor="text1"/>
          <w:sz w:val="22"/>
          <w:szCs w:val="22"/>
          <w:lang w:val="en-US"/>
        </w:rPr>
      </w:pPr>
    </w:p>
    <w:p w:rsidR="002A5EBF" w:rsidRPr="00E456D2" w:rsidRDefault="003F367C" w:rsidP="00546326">
      <w:pPr>
        <w:spacing w:line="360" w:lineRule="auto"/>
        <w:ind w:right="42"/>
        <w:jc w:val="both"/>
        <w:rPr>
          <w:color w:val="000000" w:themeColor="text1"/>
          <w:sz w:val="22"/>
          <w:szCs w:val="22"/>
          <w:lang w:val="en-US"/>
        </w:rPr>
      </w:pPr>
      <w:r w:rsidRPr="00E456D2">
        <w:rPr>
          <w:color w:val="000000" w:themeColor="text1"/>
          <w:sz w:val="22"/>
          <w:szCs w:val="22"/>
          <w:lang w:val="en-US"/>
        </w:rPr>
        <w:t xml:space="preserve">Although our 0.6 percent growth </w:t>
      </w:r>
      <w:r w:rsidR="005F1B41" w:rsidRPr="00E456D2">
        <w:rPr>
          <w:color w:val="000000" w:themeColor="text1"/>
          <w:sz w:val="22"/>
          <w:szCs w:val="22"/>
          <w:lang w:val="en-US"/>
        </w:rPr>
        <w:t>rate</w:t>
      </w:r>
      <w:r w:rsidRPr="00E456D2">
        <w:rPr>
          <w:color w:val="000000" w:themeColor="text1"/>
          <w:sz w:val="22"/>
          <w:szCs w:val="22"/>
          <w:lang w:val="en-US"/>
        </w:rPr>
        <w:t xml:space="preserve"> </w:t>
      </w:r>
      <w:r w:rsidR="000F1492" w:rsidRPr="00E456D2">
        <w:rPr>
          <w:color w:val="000000" w:themeColor="text1"/>
          <w:sz w:val="22"/>
          <w:szCs w:val="22"/>
          <w:lang w:val="en-US"/>
        </w:rPr>
        <w:t xml:space="preserve">estimation </w:t>
      </w:r>
      <w:r w:rsidRPr="00E456D2">
        <w:rPr>
          <w:color w:val="000000" w:themeColor="text1"/>
          <w:sz w:val="22"/>
          <w:szCs w:val="22"/>
          <w:lang w:val="en-US"/>
        </w:rPr>
        <w:t>for last quarter</w:t>
      </w:r>
      <w:r w:rsidR="000F1492" w:rsidRPr="00E456D2">
        <w:rPr>
          <w:color w:val="000000" w:themeColor="text1"/>
          <w:sz w:val="22"/>
          <w:szCs w:val="22"/>
          <w:lang w:val="en-US"/>
        </w:rPr>
        <w:t xml:space="preserve"> </w:t>
      </w:r>
      <w:r w:rsidR="00671A5B" w:rsidRPr="00E456D2">
        <w:rPr>
          <w:color w:val="000000" w:themeColor="text1"/>
          <w:sz w:val="22"/>
          <w:szCs w:val="22"/>
          <w:lang w:val="en-US"/>
        </w:rPr>
        <w:t>(</w:t>
      </w:r>
      <w:r w:rsidR="00142565" w:rsidRPr="00E456D2">
        <w:rPr>
          <w:color w:val="000000" w:themeColor="text1"/>
          <w:sz w:val="22"/>
          <w:szCs w:val="22"/>
          <w:lang w:val="en-US"/>
        </w:rPr>
        <w:t>calculate</w:t>
      </w:r>
      <w:r w:rsidRPr="00E456D2">
        <w:rPr>
          <w:color w:val="000000" w:themeColor="text1"/>
          <w:sz w:val="22"/>
          <w:szCs w:val="22"/>
          <w:lang w:val="en-US"/>
        </w:rPr>
        <w:t>d by seasonally a</w:t>
      </w:r>
      <w:r w:rsidR="000F1492" w:rsidRPr="00E456D2">
        <w:rPr>
          <w:color w:val="000000" w:themeColor="text1"/>
          <w:sz w:val="22"/>
          <w:szCs w:val="22"/>
          <w:lang w:val="en-US"/>
        </w:rPr>
        <w:t>djusted data</w:t>
      </w:r>
      <w:r w:rsidR="00671A5B" w:rsidRPr="00E456D2">
        <w:rPr>
          <w:color w:val="000000" w:themeColor="text1"/>
          <w:sz w:val="22"/>
          <w:szCs w:val="22"/>
          <w:lang w:val="en-US"/>
        </w:rPr>
        <w:t>)</w:t>
      </w:r>
      <w:r w:rsidRPr="00E456D2">
        <w:rPr>
          <w:color w:val="000000" w:themeColor="text1"/>
          <w:sz w:val="22"/>
          <w:szCs w:val="22"/>
          <w:lang w:val="en-US"/>
        </w:rPr>
        <w:t xml:space="preserve"> remains low compared to our forecasts in first</w:t>
      </w:r>
      <w:r w:rsidR="00533826">
        <w:rPr>
          <w:color w:val="000000" w:themeColor="text1"/>
          <w:sz w:val="22"/>
          <w:szCs w:val="22"/>
          <w:lang w:val="en-US"/>
        </w:rPr>
        <w:t xml:space="preserve"> three quarters (respectively 1.5, 1.4 and 1.</w:t>
      </w:r>
      <w:r w:rsidRPr="00E456D2">
        <w:rPr>
          <w:color w:val="000000" w:themeColor="text1"/>
          <w:sz w:val="22"/>
          <w:szCs w:val="22"/>
          <w:lang w:val="en-US"/>
        </w:rPr>
        <w:t xml:space="preserve">3), we expect </w:t>
      </w:r>
      <w:r w:rsidR="000F1492" w:rsidRPr="00E456D2">
        <w:rPr>
          <w:color w:val="000000" w:themeColor="text1"/>
          <w:sz w:val="22"/>
          <w:szCs w:val="22"/>
          <w:lang w:val="en-US"/>
        </w:rPr>
        <w:t xml:space="preserve">that </w:t>
      </w:r>
      <w:r w:rsidRPr="00E456D2">
        <w:rPr>
          <w:color w:val="000000" w:themeColor="text1"/>
          <w:sz w:val="22"/>
          <w:szCs w:val="22"/>
          <w:lang w:val="en-US"/>
        </w:rPr>
        <w:t>the an</w:t>
      </w:r>
      <w:r w:rsidR="000F1492" w:rsidRPr="00E456D2">
        <w:rPr>
          <w:color w:val="000000" w:themeColor="text1"/>
          <w:sz w:val="22"/>
          <w:szCs w:val="22"/>
          <w:lang w:val="en-US"/>
        </w:rPr>
        <w:t>nual GDP growth rate to reach</w:t>
      </w:r>
      <w:r w:rsidRPr="00E456D2">
        <w:rPr>
          <w:color w:val="000000" w:themeColor="text1"/>
          <w:sz w:val="22"/>
          <w:szCs w:val="22"/>
          <w:lang w:val="en-US"/>
        </w:rPr>
        <w:t xml:space="preserve"> 4 percent. Also we would like to </w:t>
      </w:r>
      <w:r w:rsidRPr="00E456D2">
        <w:rPr>
          <w:color w:val="000000" w:themeColor="text1"/>
          <w:sz w:val="22"/>
          <w:szCs w:val="22"/>
          <w:lang w:val="en-US"/>
        </w:rPr>
        <w:lastRenderedPageBreak/>
        <w:t xml:space="preserve">mention that private consumptions have a significant share in </w:t>
      </w:r>
      <w:r w:rsidR="000F1492" w:rsidRPr="00E456D2">
        <w:rPr>
          <w:color w:val="000000" w:themeColor="text1"/>
          <w:sz w:val="22"/>
          <w:szCs w:val="22"/>
          <w:lang w:val="en-US"/>
        </w:rPr>
        <w:t xml:space="preserve">the </w:t>
      </w:r>
      <w:r w:rsidRPr="00E456D2">
        <w:rPr>
          <w:color w:val="000000" w:themeColor="text1"/>
          <w:sz w:val="22"/>
          <w:szCs w:val="22"/>
          <w:lang w:val="en-US"/>
        </w:rPr>
        <w:t>recovering growth perfo</w:t>
      </w:r>
      <w:r w:rsidR="00142565" w:rsidRPr="00E456D2">
        <w:rPr>
          <w:color w:val="000000" w:themeColor="text1"/>
          <w:sz w:val="22"/>
          <w:szCs w:val="22"/>
          <w:lang w:val="en-US"/>
        </w:rPr>
        <w:t>r</w:t>
      </w:r>
      <w:r w:rsidRPr="00E456D2">
        <w:rPr>
          <w:color w:val="000000" w:themeColor="text1"/>
          <w:sz w:val="22"/>
          <w:szCs w:val="22"/>
          <w:lang w:val="en-US"/>
        </w:rPr>
        <w:t>mance</w:t>
      </w:r>
      <w:r w:rsidR="00142565" w:rsidRPr="00E456D2">
        <w:rPr>
          <w:color w:val="000000" w:themeColor="text1"/>
          <w:sz w:val="22"/>
          <w:szCs w:val="22"/>
          <w:lang w:val="en-US"/>
        </w:rPr>
        <w:t xml:space="preserve"> of 2015</w:t>
      </w:r>
      <w:r w:rsidRPr="00E456D2">
        <w:rPr>
          <w:color w:val="000000" w:themeColor="text1"/>
          <w:sz w:val="22"/>
          <w:szCs w:val="22"/>
          <w:lang w:val="en-US"/>
        </w:rPr>
        <w:t xml:space="preserve"> which remained limited in 2014 by 2.9 percent.</w:t>
      </w:r>
      <w:r w:rsidR="00764219" w:rsidRPr="00E456D2">
        <w:rPr>
          <w:color w:val="000000" w:themeColor="text1"/>
          <w:sz w:val="22"/>
          <w:szCs w:val="22"/>
          <w:lang w:val="en-US"/>
        </w:rPr>
        <w:t xml:space="preserve"> </w:t>
      </w:r>
    </w:p>
    <w:p w:rsidR="00A978BD" w:rsidRPr="00E456D2" w:rsidRDefault="00A978BD" w:rsidP="00A87DBD">
      <w:pPr>
        <w:spacing w:line="360" w:lineRule="auto"/>
        <w:ind w:left="-360" w:right="42"/>
        <w:jc w:val="both"/>
        <w:rPr>
          <w:color w:val="000000" w:themeColor="text1"/>
          <w:sz w:val="22"/>
          <w:szCs w:val="22"/>
          <w:lang w:val="en-US"/>
        </w:rPr>
      </w:pPr>
    </w:p>
    <w:p w:rsidR="00434AAB" w:rsidRPr="00E456D2" w:rsidRDefault="00434AAB" w:rsidP="00A87DBD">
      <w:pPr>
        <w:spacing w:line="360" w:lineRule="auto"/>
        <w:ind w:left="-360" w:right="42"/>
        <w:jc w:val="both"/>
        <w:rPr>
          <w:color w:val="000000" w:themeColor="text1"/>
          <w:sz w:val="22"/>
          <w:szCs w:val="22"/>
          <w:lang w:val="en-US"/>
        </w:rPr>
      </w:pPr>
    </w:p>
    <w:p w:rsidR="00434AAB" w:rsidRPr="00E456D2" w:rsidRDefault="00434AAB" w:rsidP="00A87DBD">
      <w:pPr>
        <w:spacing w:line="360" w:lineRule="auto"/>
        <w:ind w:left="-360" w:right="42"/>
        <w:jc w:val="both"/>
        <w:rPr>
          <w:color w:val="000000" w:themeColor="text1"/>
          <w:sz w:val="22"/>
          <w:szCs w:val="22"/>
          <w:lang w:val="en-US"/>
        </w:rPr>
      </w:pPr>
    </w:p>
    <w:p w:rsidR="00FA4290" w:rsidRPr="00E456D2" w:rsidRDefault="00FA4290" w:rsidP="00A87DBD">
      <w:pPr>
        <w:spacing w:line="360" w:lineRule="auto"/>
        <w:ind w:left="-360" w:right="42"/>
        <w:jc w:val="both"/>
        <w:rPr>
          <w:color w:val="000000" w:themeColor="text1"/>
          <w:sz w:val="22"/>
          <w:szCs w:val="22"/>
          <w:lang w:val="en-US"/>
        </w:rPr>
        <w:sectPr w:rsidR="00FA4290" w:rsidRPr="00E456D2" w:rsidSect="00D850C9">
          <w:footerReference w:type="default" r:id="rId14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F367C" w:rsidRPr="00E456D2" w:rsidRDefault="003F367C" w:rsidP="00FE4616">
      <w:pPr>
        <w:spacing w:line="360" w:lineRule="auto"/>
        <w:ind w:right="42"/>
        <w:jc w:val="both"/>
        <w:rPr>
          <w:b/>
          <w:bCs/>
          <w:color w:val="000000" w:themeColor="text1"/>
          <w:sz w:val="22"/>
          <w:szCs w:val="22"/>
          <w:lang w:val="en-US"/>
        </w:rPr>
      </w:pPr>
    </w:p>
    <w:p w:rsidR="003F367C" w:rsidRPr="00E456D2" w:rsidRDefault="003F367C" w:rsidP="00FE4616">
      <w:pPr>
        <w:spacing w:line="360" w:lineRule="auto"/>
        <w:ind w:right="42"/>
        <w:jc w:val="both"/>
        <w:rPr>
          <w:b/>
          <w:bCs/>
          <w:color w:val="000000" w:themeColor="text1"/>
          <w:sz w:val="22"/>
          <w:szCs w:val="22"/>
          <w:lang w:val="en-US"/>
        </w:rPr>
      </w:pPr>
    </w:p>
    <w:p w:rsidR="003F367C" w:rsidRPr="00E456D2" w:rsidRDefault="003F367C" w:rsidP="00FE4616">
      <w:pPr>
        <w:spacing w:line="360" w:lineRule="auto"/>
        <w:ind w:right="42"/>
        <w:jc w:val="both"/>
        <w:rPr>
          <w:b/>
          <w:bCs/>
          <w:sz w:val="22"/>
          <w:szCs w:val="22"/>
          <w:lang w:val="en-US"/>
        </w:rPr>
      </w:pPr>
    </w:p>
    <w:p w:rsidR="003F367C" w:rsidRPr="00E456D2" w:rsidRDefault="003F367C" w:rsidP="00FE4616">
      <w:pPr>
        <w:spacing w:line="360" w:lineRule="auto"/>
        <w:ind w:right="42"/>
        <w:jc w:val="both"/>
        <w:rPr>
          <w:b/>
          <w:bCs/>
          <w:sz w:val="22"/>
          <w:szCs w:val="22"/>
          <w:lang w:val="en-US"/>
        </w:rPr>
      </w:pPr>
    </w:p>
    <w:p w:rsidR="003F367C" w:rsidRPr="00E456D2" w:rsidRDefault="003F367C" w:rsidP="00FE4616">
      <w:pPr>
        <w:spacing w:line="360" w:lineRule="auto"/>
        <w:ind w:right="42"/>
        <w:jc w:val="both"/>
        <w:rPr>
          <w:b/>
          <w:bCs/>
          <w:sz w:val="22"/>
          <w:szCs w:val="22"/>
          <w:lang w:val="en-US"/>
        </w:rPr>
      </w:pPr>
    </w:p>
    <w:p w:rsidR="003F367C" w:rsidRPr="00E456D2" w:rsidRDefault="003F367C" w:rsidP="00FE4616">
      <w:pPr>
        <w:spacing w:line="360" w:lineRule="auto"/>
        <w:ind w:right="42"/>
        <w:jc w:val="both"/>
        <w:rPr>
          <w:b/>
          <w:bCs/>
          <w:sz w:val="22"/>
          <w:szCs w:val="22"/>
          <w:lang w:val="en-US"/>
        </w:rPr>
      </w:pPr>
    </w:p>
    <w:p w:rsidR="003F367C" w:rsidRPr="00E456D2" w:rsidRDefault="003F367C" w:rsidP="00FE4616">
      <w:pPr>
        <w:spacing w:line="360" w:lineRule="auto"/>
        <w:ind w:right="42"/>
        <w:jc w:val="both"/>
        <w:rPr>
          <w:b/>
          <w:bCs/>
          <w:sz w:val="22"/>
          <w:szCs w:val="22"/>
          <w:lang w:val="en-US"/>
        </w:rPr>
      </w:pPr>
    </w:p>
    <w:p w:rsidR="003F367C" w:rsidRPr="00E456D2" w:rsidRDefault="003F367C" w:rsidP="00FE4616">
      <w:pPr>
        <w:spacing w:line="360" w:lineRule="auto"/>
        <w:ind w:right="42"/>
        <w:jc w:val="both"/>
        <w:rPr>
          <w:b/>
          <w:bCs/>
          <w:sz w:val="22"/>
          <w:szCs w:val="22"/>
          <w:lang w:val="en-US"/>
        </w:rPr>
      </w:pPr>
    </w:p>
    <w:p w:rsidR="003F367C" w:rsidRPr="00E456D2" w:rsidRDefault="003F367C" w:rsidP="00FE4616">
      <w:pPr>
        <w:spacing w:line="360" w:lineRule="auto"/>
        <w:ind w:right="42"/>
        <w:jc w:val="both"/>
        <w:rPr>
          <w:b/>
          <w:bCs/>
          <w:sz w:val="22"/>
          <w:szCs w:val="22"/>
          <w:lang w:val="en-US"/>
        </w:rPr>
      </w:pPr>
    </w:p>
    <w:p w:rsidR="003F367C" w:rsidRPr="00E456D2" w:rsidRDefault="003F367C" w:rsidP="00FE4616">
      <w:pPr>
        <w:spacing w:line="360" w:lineRule="auto"/>
        <w:ind w:right="42"/>
        <w:jc w:val="both"/>
        <w:rPr>
          <w:b/>
          <w:bCs/>
          <w:sz w:val="22"/>
          <w:szCs w:val="22"/>
          <w:lang w:val="en-US"/>
        </w:rPr>
      </w:pPr>
    </w:p>
    <w:p w:rsidR="003F367C" w:rsidRPr="00E456D2" w:rsidRDefault="003F367C" w:rsidP="00FE4616">
      <w:pPr>
        <w:spacing w:line="360" w:lineRule="auto"/>
        <w:ind w:right="42"/>
        <w:jc w:val="both"/>
        <w:rPr>
          <w:b/>
          <w:bCs/>
          <w:sz w:val="22"/>
          <w:szCs w:val="22"/>
          <w:lang w:val="en-US"/>
        </w:rPr>
      </w:pPr>
    </w:p>
    <w:p w:rsidR="003F367C" w:rsidRPr="00E456D2" w:rsidRDefault="003F367C" w:rsidP="00FE4616">
      <w:pPr>
        <w:spacing w:line="360" w:lineRule="auto"/>
        <w:ind w:right="42"/>
        <w:jc w:val="both"/>
        <w:rPr>
          <w:b/>
          <w:bCs/>
          <w:sz w:val="22"/>
          <w:szCs w:val="22"/>
          <w:lang w:val="en-US"/>
        </w:rPr>
      </w:pPr>
    </w:p>
    <w:p w:rsidR="003F367C" w:rsidRPr="00E456D2" w:rsidRDefault="003F367C" w:rsidP="00FE4616">
      <w:pPr>
        <w:spacing w:line="360" w:lineRule="auto"/>
        <w:ind w:right="42"/>
        <w:jc w:val="both"/>
        <w:rPr>
          <w:b/>
          <w:bCs/>
          <w:sz w:val="22"/>
          <w:szCs w:val="22"/>
          <w:lang w:val="en-US"/>
        </w:rPr>
      </w:pPr>
    </w:p>
    <w:p w:rsidR="003F367C" w:rsidRPr="00E456D2" w:rsidRDefault="003F367C" w:rsidP="00FE4616">
      <w:pPr>
        <w:spacing w:line="360" w:lineRule="auto"/>
        <w:ind w:right="42"/>
        <w:jc w:val="both"/>
        <w:rPr>
          <w:b/>
          <w:bCs/>
          <w:sz w:val="22"/>
          <w:szCs w:val="22"/>
          <w:lang w:val="en-US"/>
        </w:rPr>
      </w:pPr>
    </w:p>
    <w:p w:rsidR="003F367C" w:rsidRPr="00E456D2" w:rsidRDefault="003F367C" w:rsidP="00FE4616">
      <w:pPr>
        <w:spacing w:line="360" w:lineRule="auto"/>
        <w:ind w:right="42"/>
        <w:jc w:val="both"/>
        <w:rPr>
          <w:b/>
          <w:bCs/>
          <w:sz w:val="22"/>
          <w:szCs w:val="22"/>
          <w:lang w:val="en-US"/>
        </w:rPr>
      </w:pPr>
    </w:p>
    <w:p w:rsidR="003F367C" w:rsidRPr="00E456D2" w:rsidRDefault="003F367C" w:rsidP="00FE4616">
      <w:pPr>
        <w:spacing w:line="360" w:lineRule="auto"/>
        <w:ind w:right="42"/>
        <w:jc w:val="both"/>
        <w:rPr>
          <w:b/>
          <w:bCs/>
          <w:sz w:val="22"/>
          <w:szCs w:val="22"/>
          <w:lang w:val="en-US"/>
        </w:rPr>
      </w:pPr>
    </w:p>
    <w:p w:rsidR="003F367C" w:rsidRPr="00E456D2" w:rsidRDefault="003F367C" w:rsidP="00FE4616">
      <w:pPr>
        <w:spacing w:line="360" w:lineRule="auto"/>
        <w:ind w:right="42"/>
        <w:jc w:val="both"/>
        <w:rPr>
          <w:b/>
          <w:bCs/>
          <w:sz w:val="22"/>
          <w:szCs w:val="22"/>
          <w:lang w:val="en-US"/>
        </w:rPr>
      </w:pPr>
    </w:p>
    <w:p w:rsidR="003F367C" w:rsidRPr="00E456D2" w:rsidRDefault="003F367C" w:rsidP="00FE4616">
      <w:pPr>
        <w:spacing w:line="360" w:lineRule="auto"/>
        <w:ind w:right="42"/>
        <w:jc w:val="both"/>
        <w:rPr>
          <w:b/>
          <w:bCs/>
          <w:sz w:val="22"/>
          <w:szCs w:val="22"/>
          <w:lang w:val="en-US"/>
        </w:rPr>
      </w:pPr>
    </w:p>
    <w:p w:rsidR="003F367C" w:rsidRPr="00E456D2" w:rsidRDefault="003F367C" w:rsidP="00FE4616">
      <w:pPr>
        <w:spacing w:line="360" w:lineRule="auto"/>
        <w:ind w:right="42"/>
        <w:jc w:val="both"/>
        <w:rPr>
          <w:b/>
          <w:bCs/>
          <w:sz w:val="22"/>
          <w:szCs w:val="22"/>
          <w:lang w:val="en-US"/>
        </w:rPr>
      </w:pPr>
    </w:p>
    <w:p w:rsidR="003F367C" w:rsidRPr="00E456D2" w:rsidRDefault="003F367C" w:rsidP="00FE4616">
      <w:pPr>
        <w:spacing w:line="360" w:lineRule="auto"/>
        <w:ind w:right="42"/>
        <w:jc w:val="both"/>
        <w:rPr>
          <w:b/>
          <w:bCs/>
          <w:sz w:val="22"/>
          <w:szCs w:val="22"/>
          <w:lang w:val="en-US"/>
        </w:rPr>
      </w:pPr>
    </w:p>
    <w:p w:rsidR="003F367C" w:rsidRPr="00E456D2" w:rsidRDefault="003F367C" w:rsidP="00FE4616">
      <w:pPr>
        <w:spacing w:line="360" w:lineRule="auto"/>
        <w:ind w:right="42"/>
        <w:jc w:val="both"/>
        <w:rPr>
          <w:b/>
          <w:bCs/>
          <w:sz w:val="22"/>
          <w:szCs w:val="22"/>
          <w:lang w:val="en-US"/>
        </w:rPr>
      </w:pPr>
    </w:p>
    <w:p w:rsidR="003F367C" w:rsidRPr="00E456D2" w:rsidRDefault="003F367C" w:rsidP="00FE4616">
      <w:pPr>
        <w:spacing w:line="360" w:lineRule="auto"/>
        <w:ind w:right="42"/>
        <w:jc w:val="both"/>
        <w:rPr>
          <w:b/>
          <w:bCs/>
          <w:sz w:val="22"/>
          <w:szCs w:val="22"/>
          <w:lang w:val="en-US"/>
        </w:rPr>
      </w:pPr>
    </w:p>
    <w:p w:rsidR="003F367C" w:rsidRPr="00E456D2" w:rsidRDefault="003F367C" w:rsidP="00FE4616">
      <w:pPr>
        <w:spacing w:line="360" w:lineRule="auto"/>
        <w:ind w:right="42"/>
        <w:jc w:val="both"/>
        <w:rPr>
          <w:b/>
          <w:bCs/>
          <w:sz w:val="22"/>
          <w:szCs w:val="22"/>
          <w:lang w:val="en-US"/>
        </w:rPr>
      </w:pPr>
    </w:p>
    <w:p w:rsidR="003F367C" w:rsidRPr="00E456D2" w:rsidRDefault="003F367C" w:rsidP="00FE4616">
      <w:pPr>
        <w:spacing w:line="360" w:lineRule="auto"/>
        <w:ind w:right="42"/>
        <w:jc w:val="both"/>
        <w:rPr>
          <w:b/>
          <w:bCs/>
          <w:sz w:val="22"/>
          <w:szCs w:val="22"/>
          <w:lang w:val="en-US"/>
        </w:rPr>
      </w:pPr>
    </w:p>
    <w:p w:rsidR="003F367C" w:rsidRPr="00E456D2" w:rsidRDefault="003F367C" w:rsidP="00FE4616">
      <w:pPr>
        <w:spacing w:line="360" w:lineRule="auto"/>
        <w:ind w:right="42"/>
        <w:jc w:val="both"/>
        <w:rPr>
          <w:b/>
          <w:bCs/>
          <w:sz w:val="22"/>
          <w:szCs w:val="22"/>
          <w:lang w:val="en-US"/>
        </w:rPr>
      </w:pPr>
    </w:p>
    <w:p w:rsidR="003F367C" w:rsidRPr="00E456D2" w:rsidRDefault="003F367C" w:rsidP="00FE4616">
      <w:pPr>
        <w:spacing w:line="360" w:lineRule="auto"/>
        <w:ind w:right="42"/>
        <w:jc w:val="both"/>
        <w:rPr>
          <w:b/>
          <w:bCs/>
          <w:sz w:val="22"/>
          <w:szCs w:val="22"/>
          <w:lang w:val="en-US"/>
        </w:rPr>
      </w:pPr>
    </w:p>
    <w:p w:rsidR="003F367C" w:rsidRPr="00E456D2" w:rsidRDefault="003F367C" w:rsidP="00FE4616">
      <w:pPr>
        <w:spacing w:line="360" w:lineRule="auto"/>
        <w:ind w:right="42"/>
        <w:jc w:val="both"/>
        <w:rPr>
          <w:b/>
          <w:bCs/>
          <w:sz w:val="22"/>
          <w:szCs w:val="22"/>
          <w:lang w:val="en-US"/>
        </w:rPr>
      </w:pPr>
    </w:p>
    <w:p w:rsidR="003F367C" w:rsidRPr="00E456D2" w:rsidRDefault="003F367C" w:rsidP="00FE4616">
      <w:pPr>
        <w:spacing w:line="360" w:lineRule="auto"/>
        <w:ind w:right="42"/>
        <w:jc w:val="both"/>
        <w:rPr>
          <w:b/>
          <w:bCs/>
          <w:sz w:val="22"/>
          <w:szCs w:val="22"/>
          <w:lang w:val="en-US"/>
        </w:rPr>
      </w:pPr>
    </w:p>
    <w:p w:rsidR="003F367C" w:rsidRPr="00E456D2" w:rsidRDefault="003F367C" w:rsidP="00FE4616">
      <w:pPr>
        <w:spacing w:line="360" w:lineRule="auto"/>
        <w:ind w:right="42"/>
        <w:jc w:val="both"/>
        <w:rPr>
          <w:b/>
          <w:bCs/>
          <w:sz w:val="22"/>
          <w:szCs w:val="22"/>
          <w:lang w:val="en-US"/>
        </w:rPr>
      </w:pPr>
    </w:p>
    <w:p w:rsidR="003F367C" w:rsidRPr="00E456D2" w:rsidRDefault="003F367C" w:rsidP="00FE4616">
      <w:pPr>
        <w:spacing w:line="360" w:lineRule="auto"/>
        <w:ind w:right="42"/>
        <w:jc w:val="both"/>
        <w:rPr>
          <w:b/>
          <w:bCs/>
          <w:sz w:val="22"/>
          <w:szCs w:val="22"/>
          <w:lang w:val="en-US"/>
        </w:rPr>
      </w:pPr>
    </w:p>
    <w:p w:rsidR="003F367C" w:rsidRDefault="003F367C" w:rsidP="00FE4616">
      <w:pPr>
        <w:spacing w:line="360" w:lineRule="auto"/>
        <w:ind w:right="42"/>
        <w:jc w:val="both"/>
        <w:rPr>
          <w:b/>
          <w:bCs/>
          <w:sz w:val="22"/>
          <w:szCs w:val="22"/>
          <w:lang w:val="en-US"/>
        </w:rPr>
      </w:pPr>
    </w:p>
    <w:p w:rsidR="006364C9" w:rsidRPr="00E456D2" w:rsidRDefault="006364C9" w:rsidP="00FE4616">
      <w:pPr>
        <w:spacing w:line="360" w:lineRule="auto"/>
        <w:ind w:right="42"/>
        <w:jc w:val="both"/>
        <w:rPr>
          <w:b/>
          <w:bCs/>
          <w:sz w:val="22"/>
          <w:szCs w:val="22"/>
          <w:lang w:val="en-US"/>
        </w:rPr>
      </w:pPr>
    </w:p>
    <w:p w:rsidR="00546326" w:rsidRPr="00E456D2" w:rsidRDefault="00546326" w:rsidP="00FE4616">
      <w:pPr>
        <w:spacing w:line="360" w:lineRule="auto"/>
        <w:ind w:right="42"/>
        <w:jc w:val="both"/>
        <w:rPr>
          <w:b/>
          <w:bCs/>
          <w:sz w:val="22"/>
          <w:szCs w:val="22"/>
          <w:lang w:val="en-US"/>
        </w:rPr>
      </w:pPr>
    </w:p>
    <w:p w:rsidR="00FE4616" w:rsidRPr="00E456D2" w:rsidRDefault="00FE4616" w:rsidP="00FE4616">
      <w:pPr>
        <w:spacing w:line="360" w:lineRule="auto"/>
        <w:ind w:right="42"/>
        <w:jc w:val="both"/>
        <w:rPr>
          <w:sz w:val="22"/>
          <w:szCs w:val="22"/>
          <w:lang w:val="en-US"/>
        </w:rPr>
      </w:pPr>
      <w:proofErr w:type="gramStart"/>
      <w:r w:rsidRPr="00E456D2">
        <w:rPr>
          <w:b/>
          <w:bCs/>
          <w:sz w:val="22"/>
          <w:szCs w:val="22"/>
          <w:lang w:val="en-US"/>
        </w:rPr>
        <w:lastRenderedPageBreak/>
        <w:t>Table 2.</w:t>
      </w:r>
      <w:proofErr w:type="gramEnd"/>
      <w:r w:rsidRPr="00E456D2">
        <w:rPr>
          <w:b/>
          <w:bCs/>
          <w:sz w:val="22"/>
          <w:szCs w:val="22"/>
          <w:lang w:val="en-US"/>
        </w:rPr>
        <w:t xml:space="preserve"> </w:t>
      </w:r>
      <w:r w:rsidRPr="00E456D2">
        <w:rPr>
          <w:b/>
          <w:sz w:val="22"/>
          <w:szCs w:val="22"/>
          <w:lang w:val="en-US"/>
        </w:rPr>
        <w:t xml:space="preserve">Monthly and quarterly changes of </w:t>
      </w:r>
      <w:proofErr w:type="spellStart"/>
      <w:r w:rsidRPr="00E456D2">
        <w:rPr>
          <w:b/>
          <w:sz w:val="22"/>
          <w:szCs w:val="22"/>
          <w:lang w:val="en-US"/>
        </w:rPr>
        <w:t>Betam’s</w:t>
      </w:r>
      <w:proofErr w:type="spellEnd"/>
      <w:r w:rsidRPr="00E456D2">
        <w:rPr>
          <w:b/>
          <w:sz w:val="22"/>
          <w:szCs w:val="22"/>
          <w:lang w:val="en-US"/>
        </w:rPr>
        <w:t xml:space="preserve"> selected indicators (SA)</w:t>
      </w:r>
    </w:p>
    <w:tbl>
      <w:tblPr>
        <w:tblW w:w="9522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6"/>
        <w:gridCol w:w="1163"/>
        <w:gridCol w:w="1123"/>
        <w:gridCol w:w="1140"/>
        <w:gridCol w:w="1072"/>
        <w:gridCol w:w="959"/>
        <w:gridCol w:w="959"/>
      </w:tblGrid>
      <w:tr w:rsidR="00FC3CDA" w:rsidRPr="00E456D2" w:rsidTr="003202F8">
        <w:trPr>
          <w:trHeight w:val="607"/>
        </w:trPr>
        <w:tc>
          <w:tcPr>
            <w:tcW w:w="3106" w:type="dxa"/>
            <w:vAlign w:val="center"/>
          </w:tcPr>
          <w:p w:rsidR="00FC3CDA" w:rsidRPr="00E456D2" w:rsidRDefault="005D16ED" w:rsidP="00E24F81">
            <w:pPr>
              <w:ind w:right="42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6D2">
              <w:rPr>
                <w:b/>
                <w:bCs/>
                <w:sz w:val="20"/>
                <w:szCs w:val="20"/>
                <w:lang w:val="en-US"/>
              </w:rPr>
              <w:t>Economic Indicators</w:t>
            </w:r>
          </w:p>
        </w:tc>
        <w:tc>
          <w:tcPr>
            <w:tcW w:w="1163" w:type="dxa"/>
            <w:vAlign w:val="center"/>
          </w:tcPr>
          <w:p w:rsidR="00FC3CDA" w:rsidRPr="00E456D2" w:rsidRDefault="005D16ED" w:rsidP="00D2688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6D2">
              <w:rPr>
                <w:b/>
                <w:bCs/>
                <w:sz w:val="20"/>
                <w:szCs w:val="20"/>
                <w:lang w:val="en-US"/>
              </w:rPr>
              <w:t>October</w:t>
            </w:r>
          </w:p>
        </w:tc>
        <w:tc>
          <w:tcPr>
            <w:tcW w:w="1123" w:type="dxa"/>
            <w:vAlign w:val="center"/>
          </w:tcPr>
          <w:p w:rsidR="00FC3CDA" w:rsidRPr="00E456D2" w:rsidRDefault="005D16ED" w:rsidP="00D2688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6D2">
              <w:rPr>
                <w:b/>
                <w:bCs/>
                <w:sz w:val="20"/>
                <w:szCs w:val="20"/>
                <w:lang w:val="en-US"/>
              </w:rPr>
              <w:t>November</w:t>
            </w:r>
          </w:p>
        </w:tc>
        <w:tc>
          <w:tcPr>
            <w:tcW w:w="1140" w:type="dxa"/>
            <w:vAlign w:val="center"/>
          </w:tcPr>
          <w:p w:rsidR="00FC3CDA" w:rsidRPr="00E456D2" w:rsidRDefault="005D16ED" w:rsidP="00D2688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6D2">
              <w:rPr>
                <w:b/>
                <w:bCs/>
                <w:sz w:val="20"/>
                <w:szCs w:val="20"/>
                <w:lang w:val="en-US"/>
              </w:rPr>
              <w:t>December</w:t>
            </w:r>
          </w:p>
        </w:tc>
        <w:tc>
          <w:tcPr>
            <w:tcW w:w="1072" w:type="dxa"/>
            <w:tcBorders>
              <w:right w:val="double" w:sz="4" w:space="0" w:color="auto"/>
            </w:tcBorders>
            <w:vAlign w:val="center"/>
          </w:tcPr>
          <w:p w:rsidR="00FC3CDA" w:rsidRPr="00E456D2" w:rsidRDefault="005D16ED" w:rsidP="0027567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6D2">
              <w:rPr>
                <w:b/>
                <w:bCs/>
                <w:sz w:val="20"/>
                <w:szCs w:val="20"/>
                <w:lang w:val="en-US"/>
              </w:rPr>
              <w:t>January</w:t>
            </w:r>
          </w:p>
        </w:tc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FC3CDA" w:rsidRPr="00E456D2" w:rsidRDefault="005D16ED" w:rsidP="00E24F81">
            <w:pPr>
              <w:ind w:right="42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6D2">
              <w:rPr>
                <w:b/>
                <w:bCs/>
                <w:sz w:val="20"/>
                <w:szCs w:val="20"/>
                <w:lang w:val="en-US"/>
              </w:rPr>
              <w:t>2015 3. Quarter</w:t>
            </w:r>
          </w:p>
        </w:tc>
        <w:tc>
          <w:tcPr>
            <w:tcW w:w="959" w:type="dxa"/>
            <w:vAlign w:val="center"/>
          </w:tcPr>
          <w:p w:rsidR="00FC3CDA" w:rsidRPr="00E456D2" w:rsidRDefault="005D16ED" w:rsidP="00E24F81">
            <w:pPr>
              <w:ind w:right="42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6D2">
              <w:rPr>
                <w:b/>
                <w:bCs/>
                <w:sz w:val="20"/>
                <w:szCs w:val="20"/>
                <w:lang w:val="en-US"/>
              </w:rPr>
              <w:t>2015 4. Quarter</w:t>
            </w:r>
          </w:p>
        </w:tc>
      </w:tr>
      <w:tr w:rsidR="007F6677" w:rsidRPr="00E456D2" w:rsidTr="003202F8">
        <w:trPr>
          <w:trHeight w:val="370"/>
        </w:trPr>
        <w:tc>
          <w:tcPr>
            <w:tcW w:w="3106" w:type="dxa"/>
            <w:vAlign w:val="center"/>
          </w:tcPr>
          <w:p w:rsidR="007F6677" w:rsidRPr="00E456D2" w:rsidRDefault="005D16ED" w:rsidP="00E24F81">
            <w:pPr>
              <w:ind w:right="42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6D2">
              <w:rPr>
                <w:b/>
                <w:bCs/>
                <w:sz w:val="20"/>
                <w:szCs w:val="20"/>
                <w:lang w:val="en-US"/>
              </w:rPr>
              <w:t>Export*</w:t>
            </w:r>
          </w:p>
        </w:tc>
        <w:tc>
          <w:tcPr>
            <w:tcW w:w="1163" w:type="dxa"/>
            <w:vAlign w:val="center"/>
          </w:tcPr>
          <w:p w:rsidR="007F6677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-5.</w:t>
            </w:r>
            <w:r w:rsidR="00A9700A" w:rsidRPr="00E456D2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23" w:type="dxa"/>
            <w:vAlign w:val="center"/>
          </w:tcPr>
          <w:p w:rsidR="007F6677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-3.</w:t>
            </w:r>
            <w:r w:rsidR="00A9700A" w:rsidRPr="00E456D2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40" w:type="dxa"/>
            <w:vAlign w:val="center"/>
          </w:tcPr>
          <w:p w:rsidR="007F6677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</w:t>
            </w:r>
            <w:r w:rsidR="00A9700A" w:rsidRPr="00E456D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72" w:type="dxa"/>
            <w:tcBorders>
              <w:right w:val="double" w:sz="4" w:space="0" w:color="auto"/>
            </w:tcBorders>
            <w:vAlign w:val="center"/>
          </w:tcPr>
          <w:p w:rsidR="007F6677" w:rsidRPr="00E456D2" w:rsidRDefault="007D04F8" w:rsidP="00194572">
            <w:pPr>
              <w:jc w:val="center"/>
              <w:rPr>
                <w:sz w:val="20"/>
                <w:szCs w:val="20"/>
                <w:lang w:val="en-US"/>
              </w:rPr>
            </w:pPr>
            <w:r w:rsidRPr="00E456D2">
              <w:rPr>
                <w:sz w:val="20"/>
                <w:szCs w:val="20"/>
                <w:lang w:val="en-US"/>
              </w:rPr>
              <w:t>**</w:t>
            </w:r>
          </w:p>
        </w:tc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7F6677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  <w:r w:rsidR="00A9700A" w:rsidRPr="00E456D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59" w:type="dxa"/>
            <w:vAlign w:val="center"/>
          </w:tcPr>
          <w:p w:rsidR="007F6677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</w:t>
            </w:r>
            <w:r w:rsidR="00A9700A" w:rsidRPr="00E456D2">
              <w:rPr>
                <w:sz w:val="20"/>
                <w:szCs w:val="20"/>
                <w:lang w:val="en-US"/>
              </w:rPr>
              <w:t>1</w:t>
            </w:r>
          </w:p>
        </w:tc>
      </w:tr>
      <w:tr w:rsidR="005D16ED" w:rsidRPr="00E456D2" w:rsidTr="003202F8">
        <w:trPr>
          <w:trHeight w:val="370"/>
        </w:trPr>
        <w:tc>
          <w:tcPr>
            <w:tcW w:w="3106" w:type="dxa"/>
            <w:tcBorders>
              <w:bottom w:val="nil"/>
            </w:tcBorders>
            <w:vAlign w:val="center"/>
          </w:tcPr>
          <w:p w:rsidR="005D16ED" w:rsidRPr="00E456D2" w:rsidRDefault="005D16ED" w:rsidP="00370600">
            <w:pPr>
              <w:ind w:right="42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6D2">
              <w:rPr>
                <w:b/>
                <w:bCs/>
                <w:sz w:val="20"/>
                <w:szCs w:val="20"/>
                <w:lang w:val="en-US"/>
              </w:rPr>
              <w:t>Import*</w:t>
            </w:r>
          </w:p>
        </w:tc>
        <w:tc>
          <w:tcPr>
            <w:tcW w:w="1163" w:type="dxa"/>
            <w:tcBorders>
              <w:bottom w:val="nil"/>
            </w:tcBorders>
            <w:vAlign w:val="center"/>
          </w:tcPr>
          <w:p w:rsidR="005D16ED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</w:t>
            </w:r>
            <w:r w:rsidR="005D16ED" w:rsidRPr="00E456D2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:rsidR="005D16ED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-6.</w:t>
            </w:r>
            <w:r w:rsidR="005D16ED" w:rsidRPr="00E456D2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40" w:type="dxa"/>
            <w:tcBorders>
              <w:bottom w:val="nil"/>
            </w:tcBorders>
            <w:vAlign w:val="center"/>
          </w:tcPr>
          <w:p w:rsidR="005D16ED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</w:t>
            </w:r>
            <w:r w:rsidR="005D16ED" w:rsidRPr="00E456D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72" w:type="dxa"/>
            <w:tcBorders>
              <w:bottom w:val="nil"/>
              <w:right w:val="double" w:sz="4" w:space="0" w:color="auto"/>
            </w:tcBorders>
            <w:vAlign w:val="center"/>
          </w:tcPr>
          <w:p w:rsidR="005D16ED" w:rsidRPr="00E456D2" w:rsidRDefault="005D16ED" w:rsidP="00194572">
            <w:pPr>
              <w:jc w:val="center"/>
              <w:rPr>
                <w:sz w:val="20"/>
                <w:szCs w:val="20"/>
                <w:lang w:val="en-US"/>
              </w:rPr>
            </w:pPr>
            <w:r w:rsidRPr="00E456D2">
              <w:rPr>
                <w:sz w:val="20"/>
                <w:szCs w:val="20"/>
                <w:lang w:val="en-US"/>
              </w:rPr>
              <w:t>**</w:t>
            </w:r>
          </w:p>
        </w:tc>
        <w:tc>
          <w:tcPr>
            <w:tcW w:w="959" w:type="dxa"/>
            <w:tcBorders>
              <w:left w:val="double" w:sz="4" w:space="0" w:color="auto"/>
              <w:bottom w:val="nil"/>
            </w:tcBorders>
            <w:vAlign w:val="center"/>
          </w:tcPr>
          <w:p w:rsidR="005D16ED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-1.</w:t>
            </w:r>
            <w:r w:rsidR="005D16ED" w:rsidRPr="00E456D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9" w:type="dxa"/>
            <w:tcBorders>
              <w:bottom w:val="nil"/>
            </w:tcBorders>
            <w:vAlign w:val="center"/>
          </w:tcPr>
          <w:p w:rsidR="005D16ED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 w:rsidR="005D16ED" w:rsidRPr="00E456D2">
              <w:rPr>
                <w:sz w:val="20"/>
                <w:szCs w:val="20"/>
                <w:lang w:val="en-US"/>
              </w:rPr>
              <w:t>3</w:t>
            </w:r>
          </w:p>
        </w:tc>
      </w:tr>
      <w:tr w:rsidR="005D16ED" w:rsidRPr="00E456D2" w:rsidTr="003202F8">
        <w:trPr>
          <w:trHeight w:val="370"/>
        </w:trPr>
        <w:tc>
          <w:tcPr>
            <w:tcW w:w="3106" w:type="dxa"/>
            <w:tcBorders>
              <w:top w:val="nil"/>
              <w:bottom w:val="nil"/>
            </w:tcBorders>
            <w:vAlign w:val="center"/>
          </w:tcPr>
          <w:p w:rsidR="005D16ED" w:rsidRPr="00E456D2" w:rsidRDefault="005D16ED" w:rsidP="00370600">
            <w:pPr>
              <w:ind w:right="42"/>
              <w:jc w:val="center"/>
              <w:rPr>
                <w:sz w:val="20"/>
                <w:szCs w:val="20"/>
                <w:lang w:val="en-US"/>
              </w:rPr>
            </w:pPr>
            <w:r w:rsidRPr="00E456D2">
              <w:rPr>
                <w:sz w:val="20"/>
                <w:szCs w:val="20"/>
                <w:lang w:val="en-US"/>
              </w:rPr>
              <w:t>Intermediate goods import*</w:t>
            </w:r>
          </w:p>
        </w:tc>
        <w:tc>
          <w:tcPr>
            <w:tcW w:w="1163" w:type="dxa"/>
            <w:tcBorders>
              <w:top w:val="nil"/>
              <w:bottom w:val="nil"/>
            </w:tcBorders>
            <w:vAlign w:val="center"/>
          </w:tcPr>
          <w:p w:rsidR="005D16ED" w:rsidRPr="00E456D2" w:rsidRDefault="009715E1" w:rsidP="003009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</w:t>
            </w:r>
            <w:r w:rsidR="005D16ED" w:rsidRPr="00E456D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:rsidR="005D16ED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-3.</w:t>
            </w:r>
            <w:r w:rsidR="005D16ED" w:rsidRPr="00E456D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center"/>
          </w:tcPr>
          <w:p w:rsidR="005D16ED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</w:t>
            </w:r>
            <w:r w:rsidR="005D16ED" w:rsidRPr="00E456D2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07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5D16ED" w:rsidRPr="00E456D2" w:rsidRDefault="005D16ED" w:rsidP="00194572">
            <w:pPr>
              <w:jc w:val="center"/>
              <w:rPr>
                <w:sz w:val="20"/>
                <w:szCs w:val="20"/>
                <w:lang w:val="en-US"/>
              </w:rPr>
            </w:pPr>
            <w:r w:rsidRPr="00E456D2">
              <w:rPr>
                <w:sz w:val="20"/>
                <w:szCs w:val="20"/>
                <w:lang w:val="en-US"/>
              </w:rPr>
              <w:t>**</w:t>
            </w:r>
          </w:p>
        </w:tc>
        <w:tc>
          <w:tcPr>
            <w:tcW w:w="959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5D16ED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</w:t>
            </w:r>
            <w:r w:rsidR="005D16ED" w:rsidRPr="00E456D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:rsidR="005D16ED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</w:t>
            </w:r>
            <w:r w:rsidR="005D16ED" w:rsidRPr="00E456D2">
              <w:rPr>
                <w:sz w:val="20"/>
                <w:szCs w:val="20"/>
                <w:lang w:val="en-US"/>
              </w:rPr>
              <w:t>2</w:t>
            </w:r>
          </w:p>
        </w:tc>
      </w:tr>
      <w:tr w:rsidR="005D16ED" w:rsidRPr="00E456D2" w:rsidTr="003202F8">
        <w:trPr>
          <w:trHeight w:val="370"/>
        </w:trPr>
        <w:tc>
          <w:tcPr>
            <w:tcW w:w="3106" w:type="dxa"/>
            <w:tcBorders>
              <w:top w:val="nil"/>
              <w:bottom w:val="nil"/>
            </w:tcBorders>
            <w:vAlign w:val="center"/>
          </w:tcPr>
          <w:p w:rsidR="005D16ED" w:rsidRPr="00E456D2" w:rsidRDefault="005D16ED" w:rsidP="00370600">
            <w:pPr>
              <w:ind w:right="42"/>
              <w:jc w:val="center"/>
              <w:rPr>
                <w:sz w:val="20"/>
                <w:szCs w:val="20"/>
                <w:lang w:val="en-US"/>
              </w:rPr>
            </w:pPr>
            <w:r w:rsidRPr="00E456D2">
              <w:rPr>
                <w:sz w:val="20"/>
                <w:szCs w:val="20"/>
                <w:lang w:val="en-US"/>
              </w:rPr>
              <w:t>Consumer goods import *</w:t>
            </w:r>
          </w:p>
        </w:tc>
        <w:tc>
          <w:tcPr>
            <w:tcW w:w="1163" w:type="dxa"/>
            <w:tcBorders>
              <w:top w:val="nil"/>
              <w:bottom w:val="nil"/>
            </w:tcBorders>
            <w:vAlign w:val="center"/>
          </w:tcPr>
          <w:p w:rsidR="005D16ED" w:rsidRPr="00E456D2" w:rsidRDefault="009715E1" w:rsidP="00316E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</w:t>
            </w:r>
            <w:r w:rsidR="005D16ED" w:rsidRPr="00E456D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:rsidR="005D16ED" w:rsidRPr="00E456D2" w:rsidRDefault="009715E1" w:rsidP="00316E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-8.</w:t>
            </w:r>
            <w:r w:rsidR="005D16ED" w:rsidRPr="00E456D2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center"/>
          </w:tcPr>
          <w:p w:rsidR="005D16ED" w:rsidRPr="00E456D2" w:rsidRDefault="009715E1" w:rsidP="00316E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  <w:r w:rsidR="005D16ED" w:rsidRPr="00E456D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7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5D16ED" w:rsidRPr="00E456D2" w:rsidRDefault="005D16ED" w:rsidP="00194572">
            <w:pPr>
              <w:jc w:val="center"/>
              <w:rPr>
                <w:sz w:val="20"/>
                <w:szCs w:val="20"/>
                <w:lang w:val="en-US"/>
              </w:rPr>
            </w:pPr>
            <w:r w:rsidRPr="00E456D2">
              <w:rPr>
                <w:sz w:val="20"/>
                <w:szCs w:val="20"/>
                <w:lang w:val="en-US"/>
              </w:rPr>
              <w:t>**</w:t>
            </w:r>
          </w:p>
        </w:tc>
        <w:tc>
          <w:tcPr>
            <w:tcW w:w="959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5D16ED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-2.</w:t>
            </w:r>
            <w:r w:rsidR="005D16ED" w:rsidRPr="00E456D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:rsidR="005D16ED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-4.</w:t>
            </w:r>
            <w:r w:rsidR="005D16ED" w:rsidRPr="00E456D2">
              <w:rPr>
                <w:sz w:val="20"/>
                <w:szCs w:val="20"/>
                <w:lang w:val="en-US"/>
              </w:rPr>
              <w:t>2</w:t>
            </w:r>
          </w:p>
        </w:tc>
      </w:tr>
      <w:tr w:rsidR="005D16ED" w:rsidRPr="00E456D2" w:rsidTr="003202F8">
        <w:trPr>
          <w:trHeight w:val="370"/>
        </w:trPr>
        <w:tc>
          <w:tcPr>
            <w:tcW w:w="3106" w:type="dxa"/>
            <w:tcBorders>
              <w:top w:val="nil"/>
            </w:tcBorders>
            <w:vAlign w:val="center"/>
          </w:tcPr>
          <w:p w:rsidR="005D16ED" w:rsidRPr="00E456D2" w:rsidRDefault="005D16ED" w:rsidP="00370600">
            <w:pPr>
              <w:ind w:right="42"/>
              <w:jc w:val="center"/>
              <w:rPr>
                <w:sz w:val="20"/>
                <w:szCs w:val="20"/>
                <w:lang w:val="en-US"/>
              </w:rPr>
            </w:pPr>
            <w:r w:rsidRPr="00E456D2">
              <w:rPr>
                <w:sz w:val="20"/>
                <w:szCs w:val="20"/>
                <w:lang w:val="en-US"/>
              </w:rPr>
              <w:t>Investment goods import *</w:t>
            </w:r>
          </w:p>
        </w:tc>
        <w:tc>
          <w:tcPr>
            <w:tcW w:w="1163" w:type="dxa"/>
            <w:tcBorders>
              <w:top w:val="nil"/>
            </w:tcBorders>
            <w:vAlign w:val="center"/>
          </w:tcPr>
          <w:p w:rsidR="005D16ED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-5.</w:t>
            </w:r>
            <w:r w:rsidR="005D16ED" w:rsidRPr="00E456D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23" w:type="dxa"/>
            <w:tcBorders>
              <w:top w:val="nil"/>
            </w:tcBorders>
            <w:vAlign w:val="center"/>
          </w:tcPr>
          <w:p w:rsidR="005D16ED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-10.</w:t>
            </w:r>
            <w:r w:rsidR="005D16ED" w:rsidRPr="00E456D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40" w:type="dxa"/>
            <w:tcBorders>
              <w:top w:val="nil"/>
            </w:tcBorders>
            <w:vAlign w:val="center"/>
          </w:tcPr>
          <w:p w:rsidR="005D16ED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</w:t>
            </w:r>
            <w:r w:rsidR="005D16ED" w:rsidRPr="00E456D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72" w:type="dxa"/>
            <w:tcBorders>
              <w:top w:val="nil"/>
              <w:right w:val="double" w:sz="4" w:space="0" w:color="auto"/>
            </w:tcBorders>
            <w:vAlign w:val="center"/>
          </w:tcPr>
          <w:p w:rsidR="005D16ED" w:rsidRPr="00E456D2" w:rsidRDefault="005D16ED" w:rsidP="00194572">
            <w:pPr>
              <w:jc w:val="center"/>
              <w:rPr>
                <w:sz w:val="20"/>
                <w:szCs w:val="20"/>
                <w:lang w:val="en-US"/>
              </w:rPr>
            </w:pPr>
            <w:r w:rsidRPr="00E456D2">
              <w:rPr>
                <w:sz w:val="20"/>
                <w:szCs w:val="20"/>
                <w:lang w:val="en-US"/>
              </w:rPr>
              <w:t>**</w:t>
            </w:r>
          </w:p>
        </w:tc>
        <w:tc>
          <w:tcPr>
            <w:tcW w:w="959" w:type="dxa"/>
            <w:tcBorders>
              <w:top w:val="nil"/>
              <w:left w:val="double" w:sz="4" w:space="0" w:color="auto"/>
            </w:tcBorders>
            <w:vAlign w:val="center"/>
          </w:tcPr>
          <w:p w:rsidR="005D16ED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-7.</w:t>
            </w:r>
            <w:r w:rsidR="005D16ED" w:rsidRPr="00E456D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59" w:type="dxa"/>
            <w:tcBorders>
              <w:top w:val="nil"/>
            </w:tcBorders>
            <w:vAlign w:val="center"/>
          </w:tcPr>
          <w:p w:rsidR="005D16ED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-8.</w:t>
            </w:r>
            <w:r w:rsidR="005D16ED" w:rsidRPr="00E456D2">
              <w:rPr>
                <w:sz w:val="20"/>
                <w:szCs w:val="20"/>
                <w:lang w:val="en-US"/>
              </w:rPr>
              <w:t>3</w:t>
            </w:r>
          </w:p>
        </w:tc>
      </w:tr>
      <w:tr w:rsidR="00C57133" w:rsidRPr="00E456D2" w:rsidTr="003202F8">
        <w:trPr>
          <w:trHeight w:val="370"/>
        </w:trPr>
        <w:tc>
          <w:tcPr>
            <w:tcW w:w="3106" w:type="dxa"/>
            <w:vAlign w:val="center"/>
          </w:tcPr>
          <w:p w:rsidR="00C57133" w:rsidRPr="00E456D2" w:rsidRDefault="005D16ED" w:rsidP="00E24F81">
            <w:pPr>
              <w:ind w:right="42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6D2">
              <w:rPr>
                <w:b/>
                <w:bCs/>
                <w:sz w:val="20"/>
                <w:szCs w:val="20"/>
                <w:lang w:val="en-US"/>
              </w:rPr>
              <w:t>Exports excluding gold ***</w:t>
            </w:r>
          </w:p>
        </w:tc>
        <w:tc>
          <w:tcPr>
            <w:tcW w:w="1163" w:type="dxa"/>
            <w:vAlign w:val="center"/>
          </w:tcPr>
          <w:p w:rsidR="00C57133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</w:t>
            </w:r>
            <w:r w:rsidR="00C57133" w:rsidRPr="00E456D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3" w:type="dxa"/>
            <w:vAlign w:val="center"/>
          </w:tcPr>
          <w:p w:rsidR="00C57133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</w:t>
            </w:r>
            <w:r w:rsidR="00C57133" w:rsidRPr="00E456D2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40" w:type="dxa"/>
            <w:vAlign w:val="center"/>
          </w:tcPr>
          <w:p w:rsidR="00C57133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</w:t>
            </w:r>
            <w:r w:rsidR="00C57133" w:rsidRPr="00E456D2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072" w:type="dxa"/>
            <w:tcBorders>
              <w:right w:val="double" w:sz="4" w:space="0" w:color="auto"/>
            </w:tcBorders>
            <w:vAlign w:val="center"/>
          </w:tcPr>
          <w:p w:rsidR="00C57133" w:rsidRPr="00E456D2" w:rsidRDefault="00C57133" w:rsidP="00194572">
            <w:pPr>
              <w:jc w:val="center"/>
              <w:rPr>
                <w:sz w:val="20"/>
                <w:szCs w:val="20"/>
                <w:lang w:val="en-US"/>
              </w:rPr>
            </w:pPr>
            <w:r w:rsidRPr="00E456D2">
              <w:rPr>
                <w:sz w:val="20"/>
                <w:szCs w:val="20"/>
                <w:lang w:val="en-US"/>
              </w:rPr>
              <w:t>**</w:t>
            </w:r>
          </w:p>
        </w:tc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C57133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  <w:r w:rsidR="00C57133" w:rsidRPr="00E456D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59" w:type="dxa"/>
            <w:vAlign w:val="center"/>
          </w:tcPr>
          <w:p w:rsidR="00C57133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</w:t>
            </w:r>
            <w:r w:rsidR="00C57133" w:rsidRPr="00E456D2">
              <w:rPr>
                <w:sz w:val="20"/>
                <w:szCs w:val="20"/>
                <w:lang w:val="en-US"/>
              </w:rPr>
              <w:t>2</w:t>
            </w:r>
          </w:p>
        </w:tc>
      </w:tr>
      <w:tr w:rsidR="00C57133" w:rsidRPr="00E456D2" w:rsidTr="003202F8">
        <w:trPr>
          <w:trHeight w:val="370"/>
        </w:trPr>
        <w:tc>
          <w:tcPr>
            <w:tcW w:w="3106" w:type="dxa"/>
            <w:vAlign w:val="center"/>
          </w:tcPr>
          <w:p w:rsidR="00C57133" w:rsidRPr="00E456D2" w:rsidRDefault="005D16ED" w:rsidP="00E24F81">
            <w:pPr>
              <w:ind w:right="42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6D2">
              <w:rPr>
                <w:b/>
                <w:bCs/>
                <w:sz w:val="20"/>
                <w:szCs w:val="20"/>
                <w:lang w:val="en-US"/>
              </w:rPr>
              <w:t>Imports excluding gold ***</w:t>
            </w:r>
          </w:p>
        </w:tc>
        <w:tc>
          <w:tcPr>
            <w:tcW w:w="1163" w:type="dxa"/>
            <w:vAlign w:val="center"/>
          </w:tcPr>
          <w:p w:rsidR="00C57133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</w:t>
            </w:r>
            <w:r w:rsidR="00C57133" w:rsidRPr="00E456D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23" w:type="dxa"/>
            <w:vAlign w:val="center"/>
          </w:tcPr>
          <w:p w:rsidR="00C57133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-4.</w:t>
            </w:r>
            <w:r w:rsidR="00C57133" w:rsidRPr="00E456D2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40" w:type="dxa"/>
            <w:vAlign w:val="center"/>
          </w:tcPr>
          <w:p w:rsidR="00C57133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</w:t>
            </w:r>
            <w:r w:rsidR="00C57133" w:rsidRPr="00E456D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72" w:type="dxa"/>
            <w:tcBorders>
              <w:right w:val="double" w:sz="4" w:space="0" w:color="auto"/>
            </w:tcBorders>
            <w:vAlign w:val="center"/>
          </w:tcPr>
          <w:p w:rsidR="00C57133" w:rsidRPr="00E456D2" w:rsidRDefault="00C57133" w:rsidP="00194572">
            <w:pPr>
              <w:jc w:val="center"/>
              <w:rPr>
                <w:sz w:val="20"/>
                <w:szCs w:val="20"/>
                <w:lang w:val="en-US"/>
              </w:rPr>
            </w:pPr>
            <w:r w:rsidRPr="00E456D2">
              <w:rPr>
                <w:sz w:val="20"/>
                <w:szCs w:val="20"/>
                <w:lang w:val="en-US"/>
              </w:rPr>
              <w:t>**</w:t>
            </w:r>
          </w:p>
        </w:tc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C57133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-3.</w:t>
            </w:r>
            <w:r w:rsidR="00C57133" w:rsidRPr="00E456D2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59" w:type="dxa"/>
            <w:vAlign w:val="center"/>
          </w:tcPr>
          <w:p w:rsidR="00C57133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</w:t>
            </w:r>
            <w:r w:rsidR="00C57133" w:rsidRPr="00E456D2">
              <w:rPr>
                <w:sz w:val="20"/>
                <w:szCs w:val="20"/>
                <w:lang w:val="en-US"/>
              </w:rPr>
              <w:t>0</w:t>
            </w:r>
          </w:p>
        </w:tc>
      </w:tr>
      <w:tr w:rsidR="005D16ED" w:rsidRPr="00E456D2" w:rsidTr="003202F8">
        <w:trPr>
          <w:trHeight w:val="370"/>
        </w:trPr>
        <w:tc>
          <w:tcPr>
            <w:tcW w:w="3106" w:type="dxa"/>
            <w:tcBorders>
              <w:bottom w:val="nil"/>
            </w:tcBorders>
            <w:vAlign w:val="center"/>
          </w:tcPr>
          <w:p w:rsidR="005D16ED" w:rsidRPr="00E456D2" w:rsidRDefault="005D16ED" w:rsidP="00370600">
            <w:pPr>
              <w:ind w:right="42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6D2">
              <w:rPr>
                <w:b/>
                <w:bCs/>
                <w:sz w:val="20"/>
                <w:szCs w:val="20"/>
                <w:lang w:val="en-US"/>
              </w:rPr>
              <w:t>Industrial Production Index (IPI) *</w:t>
            </w:r>
          </w:p>
        </w:tc>
        <w:tc>
          <w:tcPr>
            <w:tcW w:w="1163" w:type="dxa"/>
            <w:tcBorders>
              <w:bottom w:val="nil"/>
            </w:tcBorders>
            <w:vAlign w:val="center"/>
          </w:tcPr>
          <w:p w:rsidR="005D16ED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</w:t>
            </w:r>
            <w:r w:rsidR="005D16ED" w:rsidRPr="00E456D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:rsidR="005D16ED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</w:t>
            </w:r>
            <w:r w:rsidR="005D16ED" w:rsidRPr="00E456D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40" w:type="dxa"/>
            <w:tcBorders>
              <w:bottom w:val="nil"/>
            </w:tcBorders>
            <w:vAlign w:val="center"/>
          </w:tcPr>
          <w:p w:rsidR="005D16ED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</w:t>
            </w:r>
            <w:r w:rsidR="005D16ED" w:rsidRPr="00E456D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72" w:type="dxa"/>
            <w:tcBorders>
              <w:bottom w:val="nil"/>
              <w:right w:val="double" w:sz="4" w:space="0" w:color="auto"/>
            </w:tcBorders>
            <w:vAlign w:val="center"/>
          </w:tcPr>
          <w:p w:rsidR="005D16ED" w:rsidRPr="00E456D2" w:rsidRDefault="005D16ED" w:rsidP="00194572">
            <w:pPr>
              <w:jc w:val="center"/>
              <w:rPr>
                <w:sz w:val="20"/>
                <w:szCs w:val="20"/>
                <w:lang w:val="en-US"/>
              </w:rPr>
            </w:pPr>
            <w:r w:rsidRPr="00E456D2">
              <w:rPr>
                <w:sz w:val="20"/>
                <w:szCs w:val="20"/>
                <w:lang w:val="en-US"/>
              </w:rPr>
              <w:t>**</w:t>
            </w:r>
          </w:p>
        </w:tc>
        <w:tc>
          <w:tcPr>
            <w:tcW w:w="959" w:type="dxa"/>
            <w:tcBorders>
              <w:left w:val="double" w:sz="4" w:space="0" w:color="auto"/>
              <w:bottom w:val="nil"/>
            </w:tcBorders>
            <w:vAlign w:val="center"/>
          </w:tcPr>
          <w:p w:rsidR="005D16ED" w:rsidRPr="00E456D2" w:rsidRDefault="009715E1" w:rsidP="00A13E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 w:rsidR="005D16ED" w:rsidRPr="00E456D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59" w:type="dxa"/>
            <w:tcBorders>
              <w:bottom w:val="nil"/>
            </w:tcBorders>
            <w:vAlign w:val="center"/>
          </w:tcPr>
          <w:p w:rsidR="005D16ED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</w:t>
            </w:r>
            <w:r w:rsidR="005D16ED" w:rsidRPr="00E456D2">
              <w:rPr>
                <w:sz w:val="20"/>
                <w:szCs w:val="20"/>
                <w:lang w:val="en-US"/>
              </w:rPr>
              <w:t>9</w:t>
            </w:r>
          </w:p>
        </w:tc>
      </w:tr>
      <w:tr w:rsidR="005D16ED" w:rsidRPr="00E456D2" w:rsidTr="003202F8">
        <w:trPr>
          <w:trHeight w:val="370"/>
        </w:trPr>
        <w:tc>
          <w:tcPr>
            <w:tcW w:w="3106" w:type="dxa"/>
            <w:tcBorders>
              <w:top w:val="nil"/>
              <w:bottom w:val="nil"/>
            </w:tcBorders>
            <w:vAlign w:val="center"/>
          </w:tcPr>
          <w:p w:rsidR="005D16ED" w:rsidRPr="00E456D2" w:rsidRDefault="005D16ED" w:rsidP="00370600">
            <w:pPr>
              <w:ind w:right="42"/>
              <w:jc w:val="center"/>
              <w:rPr>
                <w:sz w:val="20"/>
                <w:szCs w:val="20"/>
                <w:lang w:val="en-US"/>
              </w:rPr>
            </w:pPr>
            <w:r w:rsidRPr="00E456D2">
              <w:rPr>
                <w:sz w:val="20"/>
                <w:szCs w:val="20"/>
                <w:lang w:val="en-US"/>
              </w:rPr>
              <w:t>Nondurable consumer goods*</w:t>
            </w:r>
          </w:p>
        </w:tc>
        <w:tc>
          <w:tcPr>
            <w:tcW w:w="1163" w:type="dxa"/>
            <w:tcBorders>
              <w:top w:val="nil"/>
              <w:bottom w:val="nil"/>
            </w:tcBorders>
            <w:vAlign w:val="center"/>
          </w:tcPr>
          <w:p w:rsidR="005D16ED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-2.</w:t>
            </w:r>
            <w:r w:rsidR="005D16ED" w:rsidRPr="00E456D2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:rsidR="005D16ED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</w:t>
            </w:r>
            <w:r w:rsidR="005D16ED" w:rsidRPr="00E456D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center"/>
          </w:tcPr>
          <w:p w:rsidR="005D16ED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</w:t>
            </w:r>
            <w:r w:rsidR="005D16ED" w:rsidRPr="00E456D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7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5D16ED" w:rsidRPr="00E456D2" w:rsidRDefault="005D16ED" w:rsidP="00194572">
            <w:pPr>
              <w:jc w:val="center"/>
              <w:rPr>
                <w:sz w:val="20"/>
                <w:szCs w:val="20"/>
                <w:lang w:val="en-US"/>
              </w:rPr>
            </w:pPr>
            <w:r w:rsidRPr="00E456D2">
              <w:rPr>
                <w:sz w:val="20"/>
                <w:szCs w:val="20"/>
                <w:lang w:val="en-US"/>
              </w:rPr>
              <w:t>**</w:t>
            </w:r>
          </w:p>
        </w:tc>
        <w:tc>
          <w:tcPr>
            <w:tcW w:w="959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5D16ED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</w:t>
            </w:r>
            <w:r w:rsidR="005D16ED" w:rsidRPr="00E456D2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:rsidR="005D16ED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</w:t>
            </w:r>
            <w:r w:rsidR="005D16ED" w:rsidRPr="00E456D2">
              <w:rPr>
                <w:sz w:val="20"/>
                <w:szCs w:val="20"/>
                <w:lang w:val="en-US"/>
              </w:rPr>
              <w:t>7</w:t>
            </w:r>
          </w:p>
        </w:tc>
      </w:tr>
      <w:tr w:rsidR="005D16ED" w:rsidRPr="00E456D2" w:rsidTr="003202F8">
        <w:trPr>
          <w:trHeight w:val="370"/>
        </w:trPr>
        <w:tc>
          <w:tcPr>
            <w:tcW w:w="3106" w:type="dxa"/>
            <w:tcBorders>
              <w:top w:val="nil"/>
              <w:bottom w:val="nil"/>
            </w:tcBorders>
            <w:vAlign w:val="center"/>
          </w:tcPr>
          <w:p w:rsidR="005D16ED" w:rsidRPr="00E456D2" w:rsidRDefault="005D16ED" w:rsidP="00370600">
            <w:pPr>
              <w:ind w:right="42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6D2">
              <w:rPr>
                <w:sz w:val="20"/>
                <w:szCs w:val="20"/>
                <w:lang w:val="en-US"/>
              </w:rPr>
              <w:t>Durable consumer goods *</w:t>
            </w:r>
          </w:p>
        </w:tc>
        <w:tc>
          <w:tcPr>
            <w:tcW w:w="1163" w:type="dxa"/>
            <w:tcBorders>
              <w:top w:val="nil"/>
              <w:bottom w:val="nil"/>
            </w:tcBorders>
            <w:vAlign w:val="center"/>
          </w:tcPr>
          <w:p w:rsidR="005D16ED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</w:t>
            </w:r>
            <w:r w:rsidR="005D16ED" w:rsidRPr="00E456D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:rsidR="005D16ED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-6.</w:t>
            </w:r>
            <w:r w:rsidR="005D16ED" w:rsidRPr="00E456D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center"/>
          </w:tcPr>
          <w:p w:rsidR="005D16ED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</w:t>
            </w:r>
            <w:r w:rsidR="005D16ED" w:rsidRPr="00E456D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7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5D16ED" w:rsidRPr="00E456D2" w:rsidRDefault="005D16ED" w:rsidP="00194572">
            <w:pPr>
              <w:jc w:val="center"/>
              <w:rPr>
                <w:sz w:val="20"/>
                <w:szCs w:val="20"/>
                <w:lang w:val="en-US"/>
              </w:rPr>
            </w:pPr>
            <w:r w:rsidRPr="00E456D2">
              <w:rPr>
                <w:sz w:val="20"/>
                <w:szCs w:val="20"/>
                <w:lang w:val="en-US"/>
              </w:rPr>
              <w:t>**</w:t>
            </w:r>
          </w:p>
        </w:tc>
        <w:tc>
          <w:tcPr>
            <w:tcW w:w="959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5D16ED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</w:t>
            </w:r>
            <w:r w:rsidR="005D16ED" w:rsidRPr="00E456D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:rsidR="005D16ED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</w:t>
            </w:r>
            <w:r w:rsidR="005D16ED" w:rsidRPr="00E456D2">
              <w:rPr>
                <w:sz w:val="20"/>
                <w:szCs w:val="20"/>
                <w:lang w:val="en-US"/>
              </w:rPr>
              <w:t>8</w:t>
            </w:r>
          </w:p>
        </w:tc>
      </w:tr>
      <w:tr w:rsidR="005D16ED" w:rsidRPr="00E456D2" w:rsidTr="003202F8">
        <w:trPr>
          <w:trHeight w:val="370"/>
        </w:trPr>
        <w:tc>
          <w:tcPr>
            <w:tcW w:w="3106" w:type="dxa"/>
            <w:tcBorders>
              <w:top w:val="nil"/>
              <w:bottom w:val="nil"/>
            </w:tcBorders>
            <w:vAlign w:val="center"/>
          </w:tcPr>
          <w:p w:rsidR="005D16ED" w:rsidRPr="00E456D2" w:rsidRDefault="005D16ED" w:rsidP="00370600">
            <w:pPr>
              <w:ind w:right="42"/>
              <w:jc w:val="center"/>
              <w:rPr>
                <w:sz w:val="20"/>
                <w:szCs w:val="20"/>
                <w:lang w:val="en-US"/>
              </w:rPr>
            </w:pPr>
            <w:r w:rsidRPr="00E456D2">
              <w:rPr>
                <w:sz w:val="20"/>
                <w:szCs w:val="20"/>
                <w:lang w:val="en-US"/>
              </w:rPr>
              <w:t>Intermediate goods *</w:t>
            </w:r>
          </w:p>
        </w:tc>
        <w:tc>
          <w:tcPr>
            <w:tcW w:w="1163" w:type="dxa"/>
            <w:tcBorders>
              <w:top w:val="nil"/>
              <w:bottom w:val="nil"/>
            </w:tcBorders>
            <w:vAlign w:val="center"/>
          </w:tcPr>
          <w:p w:rsidR="005D16ED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  <w:r w:rsidR="005D16ED" w:rsidRPr="00E456D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:rsidR="005D16ED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</w:t>
            </w:r>
            <w:r w:rsidR="005D16ED" w:rsidRPr="00E456D2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center"/>
          </w:tcPr>
          <w:p w:rsidR="005D16ED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</w:t>
            </w:r>
            <w:r w:rsidR="005D16ED" w:rsidRPr="00E456D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7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5D16ED" w:rsidRPr="00E456D2" w:rsidRDefault="005D16ED" w:rsidP="00194572">
            <w:pPr>
              <w:jc w:val="center"/>
              <w:rPr>
                <w:sz w:val="20"/>
                <w:szCs w:val="20"/>
                <w:lang w:val="en-US"/>
              </w:rPr>
            </w:pPr>
            <w:r w:rsidRPr="00E456D2">
              <w:rPr>
                <w:sz w:val="20"/>
                <w:szCs w:val="20"/>
                <w:lang w:val="en-US"/>
              </w:rPr>
              <w:t>**</w:t>
            </w:r>
          </w:p>
        </w:tc>
        <w:tc>
          <w:tcPr>
            <w:tcW w:w="959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5D16ED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</w:t>
            </w:r>
            <w:r w:rsidR="005D16ED" w:rsidRPr="00E456D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:rsidR="005D16ED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 w:rsidR="005D16ED" w:rsidRPr="00E456D2">
              <w:rPr>
                <w:sz w:val="20"/>
                <w:szCs w:val="20"/>
                <w:lang w:val="en-US"/>
              </w:rPr>
              <w:t>8</w:t>
            </w:r>
          </w:p>
        </w:tc>
      </w:tr>
      <w:tr w:rsidR="005D16ED" w:rsidRPr="00E456D2" w:rsidTr="003202F8">
        <w:trPr>
          <w:trHeight w:val="370"/>
        </w:trPr>
        <w:tc>
          <w:tcPr>
            <w:tcW w:w="3106" w:type="dxa"/>
            <w:tcBorders>
              <w:top w:val="nil"/>
            </w:tcBorders>
            <w:vAlign w:val="center"/>
          </w:tcPr>
          <w:p w:rsidR="005D16ED" w:rsidRPr="00E456D2" w:rsidRDefault="005D16ED" w:rsidP="00370600">
            <w:pPr>
              <w:ind w:right="42"/>
              <w:jc w:val="center"/>
              <w:rPr>
                <w:sz w:val="20"/>
                <w:szCs w:val="20"/>
                <w:lang w:val="en-US"/>
              </w:rPr>
            </w:pPr>
            <w:r w:rsidRPr="00E456D2">
              <w:rPr>
                <w:sz w:val="20"/>
                <w:szCs w:val="20"/>
                <w:lang w:val="en-US"/>
              </w:rPr>
              <w:t>Investment goods *</w:t>
            </w:r>
          </w:p>
        </w:tc>
        <w:tc>
          <w:tcPr>
            <w:tcW w:w="1163" w:type="dxa"/>
            <w:tcBorders>
              <w:top w:val="nil"/>
            </w:tcBorders>
            <w:vAlign w:val="center"/>
          </w:tcPr>
          <w:p w:rsidR="005D16ED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</w:t>
            </w:r>
            <w:r w:rsidR="005D16ED" w:rsidRPr="00E456D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23" w:type="dxa"/>
            <w:tcBorders>
              <w:top w:val="nil"/>
            </w:tcBorders>
            <w:vAlign w:val="center"/>
          </w:tcPr>
          <w:p w:rsidR="005D16ED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</w:t>
            </w:r>
            <w:r w:rsidR="005D16ED" w:rsidRPr="00E456D2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40" w:type="dxa"/>
            <w:tcBorders>
              <w:top w:val="nil"/>
            </w:tcBorders>
            <w:vAlign w:val="center"/>
          </w:tcPr>
          <w:p w:rsidR="005D16ED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</w:t>
            </w:r>
            <w:r w:rsidR="005D16ED" w:rsidRPr="00E456D2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072" w:type="dxa"/>
            <w:tcBorders>
              <w:top w:val="nil"/>
              <w:right w:val="double" w:sz="4" w:space="0" w:color="auto"/>
            </w:tcBorders>
            <w:vAlign w:val="center"/>
          </w:tcPr>
          <w:p w:rsidR="005D16ED" w:rsidRPr="00E456D2" w:rsidRDefault="005D16ED" w:rsidP="00194572">
            <w:pPr>
              <w:jc w:val="center"/>
              <w:rPr>
                <w:sz w:val="20"/>
                <w:szCs w:val="20"/>
                <w:lang w:val="en-US"/>
              </w:rPr>
            </w:pPr>
            <w:r w:rsidRPr="00E456D2">
              <w:rPr>
                <w:sz w:val="20"/>
                <w:szCs w:val="20"/>
                <w:lang w:val="en-US"/>
              </w:rPr>
              <w:t>**</w:t>
            </w:r>
          </w:p>
        </w:tc>
        <w:tc>
          <w:tcPr>
            <w:tcW w:w="959" w:type="dxa"/>
            <w:tcBorders>
              <w:top w:val="nil"/>
              <w:left w:val="double" w:sz="4" w:space="0" w:color="auto"/>
            </w:tcBorders>
            <w:vAlign w:val="center"/>
          </w:tcPr>
          <w:p w:rsidR="005D16ED" w:rsidRPr="00E456D2" w:rsidRDefault="009715E1" w:rsidP="004E45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</w:t>
            </w:r>
            <w:r w:rsidR="005D16ED" w:rsidRPr="00E456D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59" w:type="dxa"/>
            <w:tcBorders>
              <w:top w:val="nil"/>
            </w:tcBorders>
            <w:vAlign w:val="center"/>
          </w:tcPr>
          <w:p w:rsidR="005D16ED" w:rsidRPr="00E456D2" w:rsidRDefault="009715E1" w:rsidP="004E45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</w:t>
            </w:r>
            <w:r w:rsidR="005D16ED" w:rsidRPr="00E456D2">
              <w:rPr>
                <w:sz w:val="20"/>
                <w:szCs w:val="20"/>
                <w:lang w:val="en-US"/>
              </w:rPr>
              <w:t>9</w:t>
            </w:r>
          </w:p>
        </w:tc>
      </w:tr>
      <w:tr w:rsidR="0047308C" w:rsidRPr="00E456D2" w:rsidTr="003202F8">
        <w:trPr>
          <w:trHeight w:val="370"/>
        </w:trPr>
        <w:tc>
          <w:tcPr>
            <w:tcW w:w="3106" w:type="dxa"/>
            <w:tcBorders>
              <w:bottom w:val="nil"/>
            </w:tcBorders>
            <w:vAlign w:val="center"/>
          </w:tcPr>
          <w:p w:rsidR="0047308C" w:rsidRPr="00E456D2" w:rsidRDefault="0047308C" w:rsidP="00370600">
            <w:pPr>
              <w:ind w:right="42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6D2">
              <w:rPr>
                <w:b/>
                <w:bCs/>
                <w:sz w:val="20"/>
                <w:szCs w:val="20"/>
                <w:lang w:val="en-US"/>
              </w:rPr>
              <w:t>Capacity Utilization Rate (CUR)*</w:t>
            </w:r>
            <w:r w:rsidRPr="00E456D2">
              <w:rPr>
                <w:b/>
                <w:bCs/>
                <w:sz w:val="20"/>
                <w:szCs w:val="20"/>
                <w:vertAlign w:val="superscript"/>
                <w:lang w:val="en-US"/>
              </w:rPr>
              <w:t>, ‡</w:t>
            </w:r>
          </w:p>
        </w:tc>
        <w:tc>
          <w:tcPr>
            <w:tcW w:w="1163" w:type="dxa"/>
            <w:tcBorders>
              <w:bottom w:val="nil"/>
            </w:tcBorders>
            <w:vAlign w:val="center"/>
          </w:tcPr>
          <w:p w:rsidR="0047308C" w:rsidRPr="00E456D2" w:rsidRDefault="009715E1" w:rsidP="00FF3A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</w:t>
            </w:r>
            <w:r w:rsidR="0047308C" w:rsidRPr="00E456D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:rsidR="0047308C" w:rsidRPr="00E456D2" w:rsidRDefault="009715E1" w:rsidP="00FF3A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</w:t>
            </w:r>
            <w:r w:rsidR="0047308C" w:rsidRPr="00E456D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40" w:type="dxa"/>
            <w:tcBorders>
              <w:bottom w:val="nil"/>
            </w:tcBorders>
            <w:vAlign w:val="center"/>
          </w:tcPr>
          <w:p w:rsidR="0047308C" w:rsidRPr="00E456D2" w:rsidRDefault="009715E1" w:rsidP="00FF3A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</w:t>
            </w:r>
            <w:r w:rsidR="0047308C" w:rsidRPr="00E456D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72" w:type="dxa"/>
            <w:tcBorders>
              <w:bottom w:val="nil"/>
              <w:right w:val="double" w:sz="4" w:space="0" w:color="auto"/>
            </w:tcBorders>
            <w:vAlign w:val="center"/>
          </w:tcPr>
          <w:p w:rsidR="0047308C" w:rsidRPr="00E456D2" w:rsidRDefault="0047308C" w:rsidP="00194572">
            <w:pPr>
              <w:jc w:val="center"/>
              <w:rPr>
                <w:sz w:val="20"/>
                <w:szCs w:val="20"/>
                <w:lang w:val="en-US"/>
              </w:rPr>
            </w:pPr>
            <w:r w:rsidRPr="00E456D2">
              <w:rPr>
                <w:sz w:val="20"/>
                <w:szCs w:val="20"/>
                <w:lang w:val="en-US"/>
              </w:rPr>
              <w:t>-0,2</w:t>
            </w:r>
          </w:p>
        </w:tc>
        <w:tc>
          <w:tcPr>
            <w:tcW w:w="959" w:type="dxa"/>
            <w:tcBorders>
              <w:left w:val="double" w:sz="4" w:space="0" w:color="auto"/>
              <w:bottom w:val="nil"/>
            </w:tcBorders>
            <w:vAlign w:val="center"/>
          </w:tcPr>
          <w:p w:rsidR="0047308C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</w:t>
            </w:r>
            <w:r w:rsidR="0047308C" w:rsidRPr="00E456D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59" w:type="dxa"/>
            <w:tcBorders>
              <w:bottom w:val="nil"/>
            </w:tcBorders>
            <w:vAlign w:val="center"/>
          </w:tcPr>
          <w:p w:rsidR="0047308C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</w:t>
            </w:r>
            <w:r w:rsidR="0047308C" w:rsidRPr="00E456D2">
              <w:rPr>
                <w:sz w:val="20"/>
                <w:szCs w:val="20"/>
                <w:lang w:val="en-US"/>
              </w:rPr>
              <w:t>0</w:t>
            </w:r>
          </w:p>
        </w:tc>
      </w:tr>
      <w:tr w:rsidR="0047308C" w:rsidRPr="00E456D2" w:rsidTr="003202F8">
        <w:trPr>
          <w:trHeight w:val="370"/>
        </w:trPr>
        <w:tc>
          <w:tcPr>
            <w:tcW w:w="3106" w:type="dxa"/>
            <w:tcBorders>
              <w:top w:val="nil"/>
              <w:bottom w:val="nil"/>
            </w:tcBorders>
            <w:vAlign w:val="center"/>
          </w:tcPr>
          <w:p w:rsidR="0047308C" w:rsidRPr="00E456D2" w:rsidRDefault="0047308C" w:rsidP="00370600">
            <w:pPr>
              <w:ind w:right="42"/>
              <w:jc w:val="center"/>
              <w:rPr>
                <w:sz w:val="20"/>
                <w:szCs w:val="20"/>
                <w:lang w:val="en-US"/>
              </w:rPr>
            </w:pPr>
            <w:r w:rsidRPr="00E456D2">
              <w:rPr>
                <w:sz w:val="20"/>
                <w:szCs w:val="20"/>
                <w:lang w:val="en-US"/>
              </w:rPr>
              <w:t>Nondurable consumer goods</w:t>
            </w:r>
            <w:r w:rsidRPr="00E456D2">
              <w:rPr>
                <w:sz w:val="20"/>
                <w:szCs w:val="20"/>
                <w:vertAlign w:val="superscript"/>
                <w:lang w:val="en-US"/>
              </w:rPr>
              <w:t xml:space="preserve"> §,</w:t>
            </w:r>
            <w:r w:rsidRPr="00E456D2">
              <w:rPr>
                <w:b/>
                <w:bCs/>
                <w:sz w:val="20"/>
                <w:szCs w:val="20"/>
                <w:vertAlign w:val="superscript"/>
                <w:lang w:val="en-US"/>
              </w:rPr>
              <w:t>‡</w:t>
            </w:r>
          </w:p>
        </w:tc>
        <w:tc>
          <w:tcPr>
            <w:tcW w:w="1163" w:type="dxa"/>
            <w:tcBorders>
              <w:top w:val="nil"/>
              <w:bottom w:val="nil"/>
            </w:tcBorders>
            <w:vAlign w:val="center"/>
          </w:tcPr>
          <w:p w:rsidR="0047308C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-1.</w:t>
            </w:r>
            <w:r w:rsidR="0047308C" w:rsidRPr="00E456D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:rsidR="0047308C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</w:t>
            </w:r>
            <w:r w:rsidR="0047308C" w:rsidRPr="00E456D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center"/>
          </w:tcPr>
          <w:p w:rsidR="0047308C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</w:t>
            </w:r>
            <w:r w:rsidR="0047308C" w:rsidRPr="00E456D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7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47308C" w:rsidRPr="00E456D2" w:rsidRDefault="0047308C" w:rsidP="00194572">
            <w:pPr>
              <w:jc w:val="center"/>
              <w:rPr>
                <w:sz w:val="20"/>
                <w:szCs w:val="20"/>
                <w:lang w:val="en-US"/>
              </w:rPr>
            </w:pPr>
            <w:r w:rsidRPr="00E456D2">
              <w:rPr>
                <w:sz w:val="20"/>
                <w:szCs w:val="20"/>
                <w:lang w:val="en-US"/>
              </w:rPr>
              <w:t>0,7</w:t>
            </w:r>
          </w:p>
        </w:tc>
        <w:tc>
          <w:tcPr>
            <w:tcW w:w="959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47308C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</w:t>
            </w:r>
            <w:r w:rsidR="0047308C" w:rsidRPr="00E456D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:rsidR="0047308C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</w:t>
            </w:r>
            <w:r w:rsidR="0047308C" w:rsidRPr="00E456D2">
              <w:rPr>
                <w:sz w:val="20"/>
                <w:szCs w:val="20"/>
                <w:lang w:val="en-US"/>
              </w:rPr>
              <w:t>6</w:t>
            </w:r>
          </w:p>
        </w:tc>
      </w:tr>
      <w:tr w:rsidR="0047308C" w:rsidRPr="00E456D2" w:rsidTr="003202F8">
        <w:trPr>
          <w:trHeight w:val="370"/>
        </w:trPr>
        <w:tc>
          <w:tcPr>
            <w:tcW w:w="3106" w:type="dxa"/>
            <w:tcBorders>
              <w:top w:val="nil"/>
              <w:bottom w:val="nil"/>
            </w:tcBorders>
            <w:vAlign w:val="center"/>
          </w:tcPr>
          <w:p w:rsidR="0047308C" w:rsidRPr="00E456D2" w:rsidRDefault="0047308C" w:rsidP="00370600">
            <w:pPr>
              <w:ind w:right="42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6D2">
              <w:rPr>
                <w:sz w:val="20"/>
                <w:szCs w:val="20"/>
                <w:lang w:val="en-US"/>
              </w:rPr>
              <w:t>Durable consumer goods</w:t>
            </w:r>
            <w:r w:rsidRPr="00E456D2">
              <w:rPr>
                <w:sz w:val="20"/>
                <w:szCs w:val="20"/>
                <w:vertAlign w:val="superscript"/>
                <w:lang w:val="en-US"/>
              </w:rPr>
              <w:t xml:space="preserve"> §,</w:t>
            </w:r>
            <w:r w:rsidRPr="00E456D2">
              <w:rPr>
                <w:b/>
                <w:bCs/>
                <w:sz w:val="20"/>
                <w:szCs w:val="20"/>
                <w:vertAlign w:val="superscript"/>
                <w:lang w:val="en-US"/>
              </w:rPr>
              <w:t>‡</w:t>
            </w:r>
          </w:p>
        </w:tc>
        <w:tc>
          <w:tcPr>
            <w:tcW w:w="1163" w:type="dxa"/>
            <w:tcBorders>
              <w:top w:val="nil"/>
              <w:bottom w:val="nil"/>
            </w:tcBorders>
            <w:vAlign w:val="center"/>
          </w:tcPr>
          <w:p w:rsidR="0047308C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</w:t>
            </w:r>
            <w:r w:rsidR="0047308C" w:rsidRPr="00E456D2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:rsidR="0047308C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 w:rsidR="0047308C" w:rsidRPr="00E456D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center"/>
          </w:tcPr>
          <w:p w:rsidR="0047308C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</w:t>
            </w:r>
            <w:r w:rsidR="0047308C" w:rsidRPr="00E456D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7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47308C" w:rsidRPr="00E456D2" w:rsidRDefault="0047308C" w:rsidP="00194572">
            <w:pPr>
              <w:jc w:val="center"/>
              <w:rPr>
                <w:sz w:val="20"/>
                <w:szCs w:val="20"/>
                <w:lang w:val="en-US"/>
              </w:rPr>
            </w:pPr>
            <w:r w:rsidRPr="00E456D2">
              <w:rPr>
                <w:sz w:val="20"/>
                <w:szCs w:val="20"/>
                <w:lang w:val="en-US"/>
              </w:rPr>
              <w:t>-1,1</w:t>
            </w:r>
          </w:p>
        </w:tc>
        <w:tc>
          <w:tcPr>
            <w:tcW w:w="959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47308C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  <w:r w:rsidR="0047308C" w:rsidRPr="00E456D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:rsidR="0047308C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 w:rsidR="0047308C" w:rsidRPr="00E456D2">
              <w:rPr>
                <w:sz w:val="20"/>
                <w:szCs w:val="20"/>
                <w:lang w:val="en-US"/>
              </w:rPr>
              <w:t>4</w:t>
            </w:r>
          </w:p>
        </w:tc>
      </w:tr>
      <w:tr w:rsidR="0047308C" w:rsidRPr="00E456D2" w:rsidTr="003202F8">
        <w:trPr>
          <w:trHeight w:val="370"/>
        </w:trPr>
        <w:tc>
          <w:tcPr>
            <w:tcW w:w="3106" w:type="dxa"/>
            <w:tcBorders>
              <w:top w:val="nil"/>
              <w:bottom w:val="nil"/>
            </w:tcBorders>
            <w:vAlign w:val="center"/>
          </w:tcPr>
          <w:p w:rsidR="0047308C" w:rsidRPr="00E456D2" w:rsidRDefault="0047308C" w:rsidP="00370600">
            <w:pPr>
              <w:ind w:right="42"/>
              <w:jc w:val="center"/>
              <w:rPr>
                <w:sz w:val="20"/>
                <w:szCs w:val="20"/>
                <w:lang w:val="en-US"/>
              </w:rPr>
            </w:pPr>
            <w:r w:rsidRPr="00E456D2">
              <w:rPr>
                <w:sz w:val="20"/>
                <w:szCs w:val="20"/>
                <w:lang w:val="en-US"/>
              </w:rPr>
              <w:t>Intermediate goods</w:t>
            </w:r>
            <w:r w:rsidRPr="00E456D2">
              <w:rPr>
                <w:sz w:val="20"/>
                <w:szCs w:val="20"/>
                <w:vertAlign w:val="superscript"/>
                <w:lang w:val="en-US"/>
              </w:rPr>
              <w:t xml:space="preserve"> §,</w:t>
            </w:r>
            <w:r w:rsidRPr="00E456D2">
              <w:rPr>
                <w:b/>
                <w:bCs/>
                <w:sz w:val="20"/>
                <w:szCs w:val="20"/>
                <w:vertAlign w:val="superscript"/>
                <w:lang w:val="en-US"/>
              </w:rPr>
              <w:t>‡</w:t>
            </w:r>
          </w:p>
        </w:tc>
        <w:tc>
          <w:tcPr>
            <w:tcW w:w="1163" w:type="dxa"/>
            <w:tcBorders>
              <w:top w:val="nil"/>
              <w:bottom w:val="nil"/>
            </w:tcBorders>
            <w:vAlign w:val="center"/>
          </w:tcPr>
          <w:p w:rsidR="0047308C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</w:t>
            </w:r>
            <w:r w:rsidR="0047308C" w:rsidRPr="00E456D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:rsidR="0047308C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</w:t>
            </w:r>
            <w:r w:rsidR="0047308C" w:rsidRPr="00E456D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center"/>
          </w:tcPr>
          <w:p w:rsidR="0047308C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</w:t>
            </w:r>
            <w:r w:rsidR="0047308C" w:rsidRPr="00E456D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7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47308C" w:rsidRPr="00E456D2" w:rsidRDefault="0047308C" w:rsidP="00194572">
            <w:pPr>
              <w:jc w:val="center"/>
              <w:rPr>
                <w:sz w:val="20"/>
                <w:szCs w:val="20"/>
                <w:lang w:val="en-US"/>
              </w:rPr>
            </w:pPr>
            <w:r w:rsidRPr="00E456D2">
              <w:rPr>
                <w:sz w:val="20"/>
                <w:szCs w:val="20"/>
                <w:lang w:val="en-US"/>
              </w:rPr>
              <w:t>-0,1</w:t>
            </w:r>
          </w:p>
        </w:tc>
        <w:tc>
          <w:tcPr>
            <w:tcW w:w="959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47308C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</w:t>
            </w:r>
            <w:r w:rsidR="0047308C" w:rsidRPr="00E456D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:rsidR="0047308C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</w:t>
            </w:r>
            <w:r w:rsidR="0047308C" w:rsidRPr="00E456D2">
              <w:rPr>
                <w:sz w:val="20"/>
                <w:szCs w:val="20"/>
                <w:lang w:val="en-US"/>
              </w:rPr>
              <w:t>4</w:t>
            </w:r>
          </w:p>
        </w:tc>
      </w:tr>
      <w:tr w:rsidR="0047308C" w:rsidRPr="00E456D2" w:rsidTr="003202F8">
        <w:trPr>
          <w:trHeight w:val="370"/>
        </w:trPr>
        <w:tc>
          <w:tcPr>
            <w:tcW w:w="3106" w:type="dxa"/>
            <w:tcBorders>
              <w:top w:val="nil"/>
            </w:tcBorders>
            <w:vAlign w:val="center"/>
          </w:tcPr>
          <w:p w:rsidR="0047308C" w:rsidRPr="00E456D2" w:rsidRDefault="0047308C" w:rsidP="00370600">
            <w:pPr>
              <w:ind w:right="42"/>
              <w:jc w:val="center"/>
              <w:rPr>
                <w:sz w:val="20"/>
                <w:szCs w:val="20"/>
                <w:lang w:val="en-US"/>
              </w:rPr>
            </w:pPr>
            <w:r w:rsidRPr="00E456D2">
              <w:rPr>
                <w:sz w:val="20"/>
                <w:szCs w:val="20"/>
                <w:lang w:val="en-US"/>
              </w:rPr>
              <w:t>Investment goods</w:t>
            </w:r>
            <w:r w:rsidRPr="00E456D2">
              <w:rPr>
                <w:sz w:val="20"/>
                <w:szCs w:val="20"/>
                <w:vertAlign w:val="superscript"/>
                <w:lang w:val="en-US"/>
              </w:rPr>
              <w:t xml:space="preserve"> §,</w:t>
            </w:r>
            <w:r w:rsidRPr="00E456D2">
              <w:rPr>
                <w:b/>
                <w:bCs/>
                <w:sz w:val="20"/>
                <w:szCs w:val="20"/>
                <w:vertAlign w:val="superscript"/>
                <w:lang w:val="en-US"/>
              </w:rPr>
              <w:t>‡</w:t>
            </w:r>
          </w:p>
        </w:tc>
        <w:tc>
          <w:tcPr>
            <w:tcW w:w="1163" w:type="dxa"/>
            <w:tcBorders>
              <w:top w:val="nil"/>
            </w:tcBorders>
            <w:vAlign w:val="center"/>
          </w:tcPr>
          <w:p w:rsidR="0047308C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-1.</w:t>
            </w:r>
            <w:r w:rsidR="0047308C" w:rsidRPr="00E456D2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23" w:type="dxa"/>
            <w:tcBorders>
              <w:top w:val="nil"/>
            </w:tcBorders>
            <w:vAlign w:val="center"/>
          </w:tcPr>
          <w:p w:rsidR="0047308C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 w:rsidR="0047308C" w:rsidRPr="00E456D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40" w:type="dxa"/>
            <w:tcBorders>
              <w:top w:val="nil"/>
            </w:tcBorders>
            <w:vAlign w:val="center"/>
          </w:tcPr>
          <w:p w:rsidR="0047308C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 w:rsidR="0047308C" w:rsidRPr="00E456D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72" w:type="dxa"/>
            <w:tcBorders>
              <w:top w:val="nil"/>
              <w:right w:val="double" w:sz="4" w:space="0" w:color="auto"/>
            </w:tcBorders>
            <w:vAlign w:val="center"/>
          </w:tcPr>
          <w:p w:rsidR="0047308C" w:rsidRPr="00E456D2" w:rsidRDefault="0047308C" w:rsidP="00194572">
            <w:pPr>
              <w:jc w:val="center"/>
              <w:rPr>
                <w:sz w:val="20"/>
                <w:szCs w:val="20"/>
                <w:lang w:val="en-US"/>
              </w:rPr>
            </w:pPr>
            <w:r w:rsidRPr="00E456D2">
              <w:rPr>
                <w:sz w:val="20"/>
                <w:szCs w:val="20"/>
                <w:lang w:val="en-US"/>
              </w:rPr>
              <w:t>-0,2</w:t>
            </w:r>
          </w:p>
        </w:tc>
        <w:tc>
          <w:tcPr>
            <w:tcW w:w="959" w:type="dxa"/>
            <w:tcBorders>
              <w:top w:val="nil"/>
              <w:left w:val="double" w:sz="4" w:space="0" w:color="auto"/>
            </w:tcBorders>
            <w:vAlign w:val="center"/>
          </w:tcPr>
          <w:p w:rsidR="0047308C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</w:t>
            </w:r>
            <w:r w:rsidR="0047308C" w:rsidRPr="00E456D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59" w:type="dxa"/>
            <w:tcBorders>
              <w:top w:val="nil"/>
            </w:tcBorders>
            <w:vAlign w:val="center"/>
          </w:tcPr>
          <w:p w:rsidR="0047308C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 w:rsidR="0047308C" w:rsidRPr="00E456D2">
              <w:rPr>
                <w:sz w:val="20"/>
                <w:szCs w:val="20"/>
                <w:lang w:val="en-US"/>
              </w:rPr>
              <w:t>1</w:t>
            </w:r>
          </w:p>
        </w:tc>
      </w:tr>
      <w:tr w:rsidR="0047308C" w:rsidRPr="00E456D2" w:rsidTr="003202F8">
        <w:trPr>
          <w:trHeight w:val="370"/>
        </w:trPr>
        <w:tc>
          <w:tcPr>
            <w:tcW w:w="3106" w:type="dxa"/>
            <w:tcBorders>
              <w:bottom w:val="nil"/>
            </w:tcBorders>
            <w:vAlign w:val="center"/>
          </w:tcPr>
          <w:p w:rsidR="0047308C" w:rsidRPr="00E456D2" w:rsidRDefault="0047308C" w:rsidP="00370600">
            <w:pPr>
              <w:ind w:right="42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6D2">
              <w:rPr>
                <w:b/>
                <w:sz w:val="22"/>
                <w:szCs w:val="22"/>
                <w:lang w:val="en-US"/>
              </w:rPr>
              <w:t>Soft Data</w:t>
            </w:r>
          </w:p>
        </w:tc>
        <w:tc>
          <w:tcPr>
            <w:tcW w:w="1163" w:type="dxa"/>
            <w:tcBorders>
              <w:bottom w:val="nil"/>
            </w:tcBorders>
            <w:vAlign w:val="center"/>
          </w:tcPr>
          <w:p w:rsidR="0047308C" w:rsidRPr="00E456D2" w:rsidRDefault="0047308C" w:rsidP="0019457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:rsidR="0047308C" w:rsidRPr="00E456D2" w:rsidRDefault="0047308C" w:rsidP="0019457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bottom w:val="nil"/>
            </w:tcBorders>
            <w:vAlign w:val="center"/>
          </w:tcPr>
          <w:p w:rsidR="0047308C" w:rsidRPr="00E456D2" w:rsidRDefault="0047308C" w:rsidP="0019457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tcBorders>
              <w:bottom w:val="nil"/>
              <w:right w:val="double" w:sz="4" w:space="0" w:color="auto"/>
            </w:tcBorders>
            <w:vAlign w:val="center"/>
          </w:tcPr>
          <w:p w:rsidR="0047308C" w:rsidRPr="00E456D2" w:rsidRDefault="0047308C" w:rsidP="0019457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59" w:type="dxa"/>
            <w:tcBorders>
              <w:left w:val="double" w:sz="4" w:space="0" w:color="auto"/>
              <w:bottom w:val="nil"/>
            </w:tcBorders>
            <w:vAlign w:val="center"/>
          </w:tcPr>
          <w:p w:rsidR="0047308C" w:rsidRPr="00E456D2" w:rsidRDefault="0047308C" w:rsidP="0019457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59" w:type="dxa"/>
            <w:tcBorders>
              <w:bottom w:val="nil"/>
            </w:tcBorders>
            <w:vAlign w:val="center"/>
          </w:tcPr>
          <w:p w:rsidR="0047308C" w:rsidRPr="00E456D2" w:rsidRDefault="0047308C" w:rsidP="0019457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7308C" w:rsidRPr="00E456D2" w:rsidTr="003202F8">
        <w:trPr>
          <w:trHeight w:val="370"/>
        </w:trPr>
        <w:tc>
          <w:tcPr>
            <w:tcW w:w="3106" w:type="dxa"/>
            <w:tcBorders>
              <w:top w:val="nil"/>
              <w:bottom w:val="nil"/>
            </w:tcBorders>
            <w:vAlign w:val="center"/>
          </w:tcPr>
          <w:p w:rsidR="0047308C" w:rsidRPr="00E456D2" w:rsidRDefault="0047308C" w:rsidP="00370600">
            <w:pPr>
              <w:ind w:right="42"/>
              <w:jc w:val="center"/>
              <w:rPr>
                <w:sz w:val="20"/>
                <w:szCs w:val="20"/>
                <w:lang w:val="en-US"/>
              </w:rPr>
            </w:pPr>
            <w:r w:rsidRPr="00E456D2">
              <w:rPr>
                <w:sz w:val="20"/>
                <w:szCs w:val="20"/>
                <w:lang w:val="en-US"/>
              </w:rPr>
              <w:t>Consumer confidence index (</w:t>
            </w:r>
            <w:proofErr w:type="spellStart"/>
            <w:r w:rsidRPr="00E456D2">
              <w:rPr>
                <w:sz w:val="20"/>
                <w:szCs w:val="20"/>
                <w:lang w:val="en-US"/>
              </w:rPr>
              <w:t>TurkStat</w:t>
            </w:r>
            <w:proofErr w:type="spellEnd"/>
            <w:r w:rsidRPr="00E456D2">
              <w:rPr>
                <w:sz w:val="20"/>
                <w:szCs w:val="20"/>
                <w:lang w:val="en-US"/>
              </w:rPr>
              <w:t>)</w:t>
            </w:r>
            <w:r w:rsidRPr="00E456D2">
              <w:rPr>
                <w:sz w:val="20"/>
                <w:szCs w:val="20"/>
                <w:vertAlign w:val="superscript"/>
                <w:lang w:val="en-US"/>
              </w:rPr>
              <w:t>§</w:t>
            </w:r>
          </w:p>
        </w:tc>
        <w:tc>
          <w:tcPr>
            <w:tcW w:w="1163" w:type="dxa"/>
            <w:tcBorders>
              <w:top w:val="nil"/>
              <w:bottom w:val="nil"/>
            </w:tcBorders>
            <w:vAlign w:val="center"/>
          </w:tcPr>
          <w:p w:rsidR="0047308C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</w:t>
            </w:r>
            <w:r w:rsidR="0047308C" w:rsidRPr="00E456D2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:rsidR="0047308C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</w:t>
            </w:r>
            <w:r w:rsidR="0047308C" w:rsidRPr="00E456D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center"/>
          </w:tcPr>
          <w:p w:rsidR="0047308C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-5.</w:t>
            </w:r>
            <w:r w:rsidR="0047308C" w:rsidRPr="00E456D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7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47308C" w:rsidRPr="00E456D2" w:rsidRDefault="0047308C" w:rsidP="00194572">
            <w:pPr>
              <w:jc w:val="center"/>
              <w:rPr>
                <w:sz w:val="20"/>
                <w:szCs w:val="20"/>
                <w:lang w:val="en-US"/>
              </w:rPr>
            </w:pPr>
            <w:r w:rsidRPr="00E456D2">
              <w:rPr>
                <w:sz w:val="20"/>
                <w:szCs w:val="20"/>
                <w:lang w:val="en-US"/>
              </w:rPr>
              <w:t>-1,8</w:t>
            </w:r>
          </w:p>
        </w:tc>
        <w:tc>
          <w:tcPr>
            <w:tcW w:w="959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47308C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-5.</w:t>
            </w:r>
            <w:r w:rsidR="0047308C" w:rsidRPr="00E456D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:rsidR="0047308C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</w:t>
            </w:r>
            <w:r w:rsidR="0047308C" w:rsidRPr="00E456D2">
              <w:rPr>
                <w:sz w:val="20"/>
                <w:szCs w:val="20"/>
                <w:lang w:val="en-US"/>
              </w:rPr>
              <w:t>1</w:t>
            </w:r>
          </w:p>
        </w:tc>
      </w:tr>
      <w:tr w:rsidR="0047308C" w:rsidRPr="00E456D2" w:rsidTr="003202F8">
        <w:trPr>
          <w:trHeight w:val="370"/>
        </w:trPr>
        <w:tc>
          <w:tcPr>
            <w:tcW w:w="3106" w:type="dxa"/>
            <w:tcBorders>
              <w:top w:val="nil"/>
            </w:tcBorders>
            <w:vAlign w:val="center"/>
          </w:tcPr>
          <w:p w:rsidR="0047308C" w:rsidRPr="00E456D2" w:rsidRDefault="0047308C" w:rsidP="00370600">
            <w:pPr>
              <w:ind w:right="42"/>
              <w:jc w:val="center"/>
              <w:rPr>
                <w:sz w:val="20"/>
                <w:szCs w:val="20"/>
                <w:lang w:val="en-US"/>
              </w:rPr>
            </w:pPr>
            <w:r w:rsidRPr="00E456D2">
              <w:rPr>
                <w:sz w:val="20"/>
                <w:szCs w:val="20"/>
                <w:lang w:val="en-US"/>
              </w:rPr>
              <w:t>Real sector confidence index</w:t>
            </w:r>
            <w:r w:rsidRPr="00E456D2">
              <w:rPr>
                <w:sz w:val="20"/>
                <w:szCs w:val="20"/>
                <w:vertAlign w:val="superscript"/>
                <w:lang w:val="en-US"/>
              </w:rPr>
              <w:t>†</w:t>
            </w:r>
          </w:p>
        </w:tc>
        <w:tc>
          <w:tcPr>
            <w:tcW w:w="1163" w:type="dxa"/>
            <w:tcBorders>
              <w:top w:val="nil"/>
            </w:tcBorders>
            <w:vAlign w:val="center"/>
          </w:tcPr>
          <w:p w:rsidR="0047308C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  <w:r w:rsidR="0047308C" w:rsidRPr="00E456D2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23" w:type="dxa"/>
            <w:tcBorders>
              <w:top w:val="nil"/>
            </w:tcBorders>
            <w:vAlign w:val="center"/>
          </w:tcPr>
          <w:p w:rsidR="0047308C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</w:t>
            </w:r>
            <w:r w:rsidR="0047308C" w:rsidRPr="00E456D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40" w:type="dxa"/>
            <w:tcBorders>
              <w:top w:val="nil"/>
            </w:tcBorders>
            <w:vAlign w:val="center"/>
          </w:tcPr>
          <w:p w:rsidR="0047308C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-1.</w:t>
            </w:r>
            <w:r w:rsidR="0047308C" w:rsidRPr="00E456D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72" w:type="dxa"/>
            <w:tcBorders>
              <w:top w:val="nil"/>
              <w:right w:val="double" w:sz="4" w:space="0" w:color="auto"/>
            </w:tcBorders>
            <w:vAlign w:val="center"/>
          </w:tcPr>
          <w:p w:rsidR="0047308C" w:rsidRPr="00E456D2" w:rsidRDefault="0047308C" w:rsidP="00194572">
            <w:pPr>
              <w:jc w:val="center"/>
              <w:rPr>
                <w:sz w:val="20"/>
                <w:szCs w:val="20"/>
                <w:lang w:val="en-US"/>
              </w:rPr>
            </w:pPr>
            <w:r w:rsidRPr="00E456D2">
              <w:rPr>
                <w:sz w:val="20"/>
                <w:szCs w:val="20"/>
                <w:lang w:val="en-US"/>
              </w:rPr>
              <w:t>-2,7</w:t>
            </w:r>
          </w:p>
        </w:tc>
        <w:tc>
          <w:tcPr>
            <w:tcW w:w="959" w:type="dxa"/>
            <w:tcBorders>
              <w:top w:val="nil"/>
              <w:left w:val="double" w:sz="4" w:space="0" w:color="auto"/>
            </w:tcBorders>
            <w:vAlign w:val="center"/>
          </w:tcPr>
          <w:p w:rsidR="0047308C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</w:t>
            </w:r>
            <w:r w:rsidR="0047308C" w:rsidRPr="00E456D2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59" w:type="dxa"/>
            <w:tcBorders>
              <w:top w:val="nil"/>
            </w:tcBorders>
            <w:vAlign w:val="center"/>
          </w:tcPr>
          <w:p w:rsidR="0047308C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</w:t>
            </w:r>
            <w:r w:rsidR="0047308C" w:rsidRPr="00E456D2">
              <w:rPr>
                <w:sz w:val="20"/>
                <w:szCs w:val="20"/>
                <w:lang w:val="en-US"/>
              </w:rPr>
              <w:t>5</w:t>
            </w:r>
          </w:p>
        </w:tc>
      </w:tr>
      <w:tr w:rsidR="0047308C" w:rsidRPr="00E456D2" w:rsidTr="003202F8">
        <w:trPr>
          <w:trHeight w:val="370"/>
        </w:trPr>
        <w:tc>
          <w:tcPr>
            <w:tcW w:w="3106" w:type="dxa"/>
            <w:tcBorders>
              <w:bottom w:val="nil"/>
            </w:tcBorders>
            <w:vAlign w:val="center"/>
          </w:tcPr>
          <w:p w:rsidR="0047308C" w:rsidRPr="00E456D2" w:rsidRDefault="0047308C" w:rsidP="00370600">
            <w:pPr>
              <w:ind w:right="42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6D2">
              <w:rPr>
                <w:b/>
                <w:bCs/>
                <w:sz w:val="20"/>
                <w:szCs w:val="20"/>
                <w:lang w:val="en-US"/>
              </w:rPr>
              <w:t>Financial Data</w:t>
            </w:r>
          </w:p>
        </w:tc>
        <w:tc>
          <w:tcPr>
            <w:tcW w:w="1163" w:type="dxa"/>
            <w:tcBorders>
              <w:bottom w:val="nil"/>
            </w:tcBorders>
            <w:vAlign w:val="center"/>
          </w:tcPr>
          <w:p w:rsidR="0047308C" w:rsidRPr="00E456D2" w:rsidRDefault="0047308C" w:rsidP="0019457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:rsidR="0047308C" w:rsidRPr="00E456D2" w:rsidRDefault="0047308C" w:rsidP="0019457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bottom w:val="nil"/>
            </w:tcBorders>
            <w:vAlign w:val="center"/>
          </w:tcPr>
          <w:p w:rsidR="0047308C" w:rsidRPr="00E456D2" w:rsidRDefault="0047308C" w:rsidP="0019457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tcBorders>
              <w:bottom w:val="nil"/>
              <w:right w:val="double" w:sz="4" w:space="0" w:color="auto"/>
            </w:tcBorders>
            <w:vAlign w:val="center"/>
          </w:tcPr>
          <w:p w:rsidR="0047308C" w:rsidRPr="00E456D2" w:rsidRDefault="0047308C" w:rsidP="0019457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59" w:type="dxa"/>
            <w:tcBorders>
              <w:left w:val="double" w:sz="4" w:space="0" w:color="auto"/>
              <w:bottom w:val="nil"/>
            </w:tcBorders>
            <w:vAlign w:val="center"/>
          </w:tcPr>
          <w:p w:rsidR="0047308C" w:rsidRPr="00E456D2" w:rsidRDefault="0047308C" w:rsidP="0019457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59" w:type="dxa"/>
            <w:tcBorders>
              <w:bottom w:val="nil"/>
            </w:tcBorders>
            <w:vAlign w:val="center"/>
          </w:tcPr>
          <w:p w:rsidR="0047308C" w:rsidRPr="00E456D2" w:rsidRDefault="0047308C" w:rsidP="0019457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7308C" w:rsidRPr="00E456D2" w:rsidTr="003202F8">
        <w:trPr>
          <w:trHeight w:val="370"/>
        </w:trPr>
        <w:tc>
          <w:tcPr>
            <w:tcW w:w="3106" w:type="dxa"/>
            <w:tcBorders>
              <w:top w:val="nil"/>
            </w:tcBorders>
            <w:vAlign w:val="center"/>
          </w:tcPr>
          <w:p w:rsidR="0047308C" w:rsidRPr="00E456D2" w:rsidRDefault="00F9756B" w:rsidP="00370600">
            <w:pPr>
              <w:ind w:right="42"/>
              <w:jc w:val="center"/>
              <w:rPr>
                <w:sz w:val="20"/>
                <w:szCs w:val="20"/>
                <w:lang w:val="en-US"/>
              </w:rPr>
            </w:pPr>
            <w:r w:rsidRPr="00E456D2">
              <w:rPr>
                <w:sz w:val="20"/>
                <w:szCs w:val="20"/>
                <w:lang w:val="en-US"/>
              </w:rPr>
              <w:t>BIST</w:t>
            </w:r>
            <w:r w:rsidR="0047308C" w:rsidRPr="00E456D2">
              <w:rPr>
                <w:sz w:val="20"/>
                <w:szCs w:val="20"/>
                <w:lang w:val="en-US"/>
              </w:rPr>
              <w:t xml:space="preserve"> 100 (Stock Exchange) </w:t>
            </w:r>
            <w:r w:rsidR="0047308C" w:rsidRPr="00E456D2">
              <w:rPr>
                <w:sz w:val="20"/>
                <w:szCs w:val="20"/>
                <w:vertAlign w:val="superscript"/>
                <w:lang w:val="en-US"/>
              </w:rPr>
              <w:t>§</w:t>
            </w:r>
          </w:p>
        </w:tc>
        <w:tc>
          <w:tcPr>
            <w:tcW w:w="1163" w:type="dxa"/>
            <w:tcBorders>
              <w:top w:val="nil"/>
            </w:tcBorders>
            <w:vAlign w:val="center"/>
          </w:tcPr>
          <w:p w:rsidR="0047308C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</w:t>
            </w:r>
            <w:r w:rsidR="0047308C" w:rsidRPr="00E456D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23" w:type="dxa"/>
            <w:tcBorders>
              <w:top w:val="nil"/>
            </w:tcBorders>
            <w:vAlign w:val="center"/>
          </w:tcPr>
          <w:p w:rsidR="0047308C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 w:rsidR="0047308C" w:rsidRPr="00E456D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40" w:type="dxa"/>
            <w:tcBorders>
              <w:top w:val="nil"/>
            </w:tcBorders>
            <w:vAlign w:val="center"/>
          </w:tcPr>
          <w:p w:rsidR="0047308C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-8.</w:t>
            </w:r>
            <w:r w:rsidR="0047308C" w:rsidRPr="00E456D2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072" w:type="dxa"/>
            <w:tcBorders>
              <w:top w:val="nil"/>
              <w:right w:val="double" w:sz="4" w:space="0" w:color="auto"/>
            </w:tcBorders>
            <w:vAlign w:val="center"/>
          </w:tcPr>
          <w:p w:rsidR="0047308C" w:rsidRPr="00E456D2" w:rsidRDefault="0047308C" w:rsidP="00194572">
            <w:pPr>
              <w:jc w:val="center"/>
              <w:rPr>
                <w:sz w:val="20"/>
                <w:szCs w:val="20"/>
                <w:lang w:val="en-US"/>
              </w:rPr>
            </w:pPr>
            <w:r w:rsidRPr="00E456D2">
              <w:rPr>
                <w:sz w:val="20"/>
                <w:szCs w:val="20"/>
                <w:lang w:val="en-US"/>
              </w:rPr>
              <w:t>-4,8</w:t>
            </w:r>
          </w:p>
        </w:tc>
        <w:tc>
          <w:tcPr>
            <w:tcW w:w="959" w:type="dxa"/>
            <w:tcBorders>
              <w:top w:val="nil"/>
              <w:left w:val="double" w:sz="4" w:space="0" w:color="auto"/>
            </w:tcBorders>
            <w:vAlign w:val="center"/>
          </w:tcPr>
          <w:p w:rsidR="0047308C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-8.</w:t>
            </w:r>
            <w:r w:rsidR="0047308C" w:rsidRPr="00E456D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9" w:type="dxa"/>
            <w:tcBorders>
              <w:top w:val="nil"/>
            </w:tcBorders>
            <w:vAlign w:val="center"/>
          </w:tcPr>
          <w:p w:rsidR="0047308C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-2.</w:t>
            </w:r>
            <w:r w:rsidR="0047308C" w:rsidRPr="00E456D2">
              <w:rPr>
                <w:sz w:val="20"/>
                <w:szCs w:val="20"/>
                <w:lang w:val="en-US"/>
              </w:rPr>
              <w:t>0</w:t>
            </w:r>
          </w:p>
        </w:tc>
      </w:tr>
      <w:tr w:rsidR="00C57133" w:rsidRPr="00E456D2" w:rsidTr="003202F8">
        <w:trPr>
          <w:trHeight w:val="370"/>
        </w:trPr>
        <w:tc>
          <w:tcPr>
            <w:tcW w:w="3106" w:type="dxa"/>
            <w:tcBorders>
              <w:bottom w:val="nil"/>
            </w:tcBorders>
            <w:vAlign w:val="center"/>
          </w:tcPr>
          <w:p w:rsidR="00C57133" w:rsidRPr="00E456D2" w:rsidRDefault="0047308C" w:rsidP="00E24F81">
            <w:pPr>
              <w:ind w:right="42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6D2">
              <w:rPr>
                <w:b/>
                <w:bCs/>
                <w:sz w:val="20"/>
                <w:szCs w:val="20"/>
                <w:lang w:val="en-US"/>
              </w:rPr>
              <w:t>Other</w:t>
            </w:r>
          </w:p>
        </w:tc>
        <w:tc>
          <w:tcPr>
            <w:tcW w:w="1163" w:type="dxa"/>
            <w:tcBorders>
              <w:bottom w:val="nil"/>
            </w:tcBorders>
            <w:vAlign w:val="center"/>
          </w:tcPr>
          <w:p w:rsidR="00C57133" w:rsidRPr="00E456D2" w:rsidRDefault="00C57133" w:rsidP="0019457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:rsidR="00C57133" w:rsidRPr="00E456D2" w:rsidRDefault="00C57133" w:rsidP="0019457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bottom w:val="nil"/>
            </w:tcBorders>
            <w:vAlign w:val="center"/>
          </w:tcPr>
          <w:p w:rsidR="00C57133" w:rsidRPr="00E456D2" w:rsidRDefault="00C57133" w:rsidP="0019457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tcBorders>
              <w:bottom w:val="nil"/>
              <w:right w:val="double" w:sz="4" w:space="0" w:color="auto"/>
            </w:tcBorders>
            <w:vAlign w:val="center"/>
          </w:tcPr>
          <w:p w:rsidR="00C57133" w:rsidRPr="00E456D2" w:rsidRDefault="00C57133" w:rsidP="0019457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59" w:type="dxa"/>
            <w:tcBorders>
              <w:left w:val="double" w:sz="4" w:space="0" w:color="auto"/>
              <w:bottom w:val="nil"/>
            </w:tcBorders>
            <w:vAlign w:val="center"/>
          </w:tcPr>
          <w:p w:rsidR="00C57133" w:rsidRPr="00E456D2" w:rsidRDefault="00C57133" w:rsidP="0019457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59" w:type="dxa"/>
            <w:tcBorders>
              <w:bottom w:val="nil"/>
            </w:tcBorders>
            <w:vAlign w:val="center"/>
          </w:tcPr>
          <w:p w:rsidR="00C57133" w:rsidRPr="00E456D2" w:rsidRDefault="00C57133" w:rsidP="0019457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7308C" w:rsidRPr="00E456D2" w:rsidTr="003202F8">
        <w:trPr>
          <w:trHeight w:val="370"/>
        </w:trPr>
        <w:tc>
          <w:tcPr>
            <w:tcW w:w="3106" w:type="dxa"/>
            <w:tcBorders>
              <w:bottom w:val="nil"/>
            </w:tcBorders>
            <w:vAlign w:val="center"/>
          </w:tcPr>
          <w:p w:rsidR="0047308C" w:rsidRPr="00E456D2" w:rsidRDefault="0047308C" w:rsidP="00370600">
            <w:pPr>
              <w:ind w:right="42"/>
              <w:jc w:val="center"/>
              <w:rPr>
                <w:sz w:val="20"/>
                <w:szCs w:val="20"/>
                <w:lang w:val="en-US"/>
              </w:rPr>
            </w:pPr>
            <w:r w:rsidRPr="00E456D2">
              <w:rPr>
                <w:sz w:val="20"/>
                <w:szCs w:val="20"/>
                <w:lang w:val="en-US"/>
              </w:rPr>
              <w:t>Government spending</w:t>
            </w:r>
            <w:r w:rsidRPr="00E456D2">
              <w:rPr>
                <w:sz w:val="20"/>
                <w:szCs w:val="20"/>
                <w:vertAlign w:val="superscript"/>
                <w:lang w:val="en-US"/>
              </w:rPr>
              <w:t xml:space="preserve"> §,</w:t>
            </w:r>
            <w:r w:rsidRPr="00E456D2">
              <w:rPr>
                <w:rFonts w:ascii="Calibri" w:hAnsi="Calibri"/>
                <w:sz w:val="20"/>
                <w:szCs w:val="20"/>
                <w:lang w:val="en-US"/>
              </w:rPr>
              <w:t>⁰</w:t>
            </w:r>
          </w:p>
        </w:tc>
        <w:tc>
          <w:tcPr>
            <w:tcW w:w="1163" w:type="dxa"/>
            <w:tcBorders>
              <w:bottom w:val="nil"/>
            </w:tcBorders>
            <w:vAlign w:val="center"/>
          </w:tcPr>
          <w:p w:rsidR="0047308C" w:rsidRPr="00E456D2" w:rsidRDefault="009715E1" w:rsidP="008312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-5.</w:t>
            </w:r>
            <w:r w:rsidR="0047308C" w:rsidRPr="00E456D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:rsidR="0047308C" w:rsidRPr="00E456D2" w:rsidRDefault="009715E1" w:rsidP="008312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</w:t>
            </w:r>
            <w:r w:rsidR="0047308C" w:rsidRPr="00E456D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40" w:type="dxa"/>
            <w:tcBorders>
              <w:bottom w:val="nil"/>
            </w:tcBorders>
            <w:vAlign w:val="center"/>
          </w:tcPr>
          <w:p w:rsidR="0047308C" w:rsidRPr="00E456D2" w:rsidRDefault="009715E1" w:rsidP="008312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-2.</w:t>
            </w:r>
            <w:r w:rsidR="0047308C" w:rsidRPr="00E456D2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072" w:type="dxa"/>
            <w:tcBorders>
              <w:bottom w:val="nil"/>
              <w:right w:val="double" w:sz="4" w:space="0" w:color="auto"/>
            </w:tcBorders>
            <w:vAlign w:val="center"/>
          </w:tcPr>
          <w:p w:rsidR="0047308C" w:rsidRPr="00E456D2" w:rsidRDefault="0047308C" w:rsidP="0083120A">
            <w:pPr>
              <w:jc w:val="center"/>
              <w:rPr>
                <w:sz w:val="20"/>
                <w:szCs w:val="20"/>
                <w:lang w:val="en-US"/>
              </w:rPr>
            </w:pPr>
            <w:r w:rsidRPr="00E456D2">
              <w:rPr>
                <w:sz w:val="20"/>
                <w:szCs w:val="20"/>
                <w:lang w:val="en-US"/>
              </w:rPr>
              <w:t>0,6</w:t>
            </w:r>
          </w:p>
        </w:tc>
        <w:tc>
          <w:tcPr>
            <w:tcW w:w="959" w:type="dxa"/>
            <w:tcBorders>
              <w:left w:val="double" w:sz="4" w:space="0" w:color="auto"/>
              <w:bottom w:val="nil"/>
            </w:tcBorders>
            <w:vAlign w:val="center"/>
          </w:tcPr>
          <w:p w:rsidR="0047308C" w:rsidRPr="00E456D2" w:rsidRDefault="009715E1" w:rsidP="008312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</w:t>
            </w:r>
            <w:r w:rsidR="0047308C" w:rsidRPr="00E456D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59" w:type="dxa"/>
            <w:tcBorders>
              <w:bottom w:val="nil"/>
            </w:tcBorders>
            <w:vAlign w:val="center"/>
          </w:tcPr>
          <w:p w:rsidR="0047308C" w:rsidRPr="00E456D2" w:rsidRDefault="009715E1" w:rsidP="008312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  <w:r w:rsidR="0047308C" w:rsidRPr="00E456D2">
              <w:rPr>
                <w:sz w:val="20"/>
                <w:szCs w:val="20"/>
                <w:lang w:val="en-US"/>
              </w:rPr>
              <w:t>1</w:t>
            </w:r>
          </w:p>
        </w:tc>
      </w:tr>
      <w:tr w:rsidR="0047308C" w:rsidRPr="00E456D2" w:rsidTr="003202F8">
        <w:trPr>
          <w:trHeight w:val="370"/>
        </w:trPr>
        <w:tc>
          <w:tcPr>
            <w:tcW w:w="3106" w:type="dxa"/>
            <w:tcBorders>
              <w:top w:val="nil"/>
              <w:bottom w:val="nil"/>
            </w:tcBorders>
            <w:vAlign w:val="center"/>
          </w:tcPr>
          <w:p w:rsidR="0047308C" w:rsidRPr="00E456D2" w:rsidRDefault="0047308C" w:rsidP="00370600">
            <w:pPr>
              <w:ind w:right="42"/>
              <w:jc w:val="center"/>
              <w:rPr>
                <w:sz w:val="20"/>
                <w:szCs w:val="20"/>
                <w:lang w:val="en-US"/>
              </w:rPr>
            </w:pPr>
            <w:r w:rsidRPr="00E456D2">
              <w:rPr>
                <w:sz w:val="20"/>
                <w:szCs w:val="20"/>
                <w:lang w:val="en-US"/>
              </w:rPr>
              <w:t>Special consumption tax (SCT)</w:t>
            </w:r>
            <w:r w:rsidRPr="00E456D2">
              <w:rPr>
                <w:sz w:val="20"/>
                <w:szCs w:val="20"/>
                <w:vertAlign w:val="superscript"/>
                <w:lang w:val="en-US"/>
              </w:rPr>
              <w:t xml:space="preserve"> §</w:t>
            </w:r>
          </w:p>
        </w:tc>
        <w:tc>
          <w:tcPr>
            <w:tcW w:w="1163" w:type="dxa"/>
            <w:tcBorders>
              <w:top w:val="nil"/>
              <w:bottom w:val="nil"/>
            </w:tcBorders>
            <w:vAlign w:val="center"/>
          </w:tcPr>
          <w:p w:rsidR="0047308C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-3.</w:t>
            </w:r>
            <w:r w:rsidR="0047308C" w:rsidRPr="00E456D2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:rsidR="0047308C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</w:t>
            </w:r>
            <w:r w:rsidR="0047308C" w:rsidRPr="00E456D2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center"/>
          </w:tcPr>
          <w:p w:rsidR="0047308C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 w:rsidR="0047308C" w:rsidRPr="00E456D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7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47308C" w:rsidRPr="00E456D2" w:rsidRDefault="0047308C" w:rsidP="00194572">
            <w:pPr>
              <w:jc w:val="center"/>
              <w:rPr>
                <w:sz w:val="20"/>
                <w:szCs w:val="20"/>
                <w:lang w:val="en-US"/>
              </w:rPr>
            </w:pPr>
            <w:r w:rsidRPr="00E456D2">
              <w:rPr>
                <w:sz w:val="20"/>
                <w:szCs w:val="20"/>
                <w:lang w:val="en-US"/>
              </w:rPr>
              <w:t>6,0</w:t>
            </w:r>
          </w:p>
        </w:tc>
        <w:tc>
          <w:tcPr>
            <w:tcW w:w="959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47308C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  <w:r w:rsidR="0047308C" w:rsidRPr="00E456D2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:rsidR="0047308C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-1.</w:t>
            </w:r>
            <w:r w:rsidR="0047308C" w:rsidRPr="00E456D2">
              <w:rPr>
                <w:sz w:val="20"/>
                <w:szCs w:val="20"/>
                <w:lang w:val="en-US"/>
              </w:rPr>
              <w:t>7</w:t>
            </w:r>
          </w:p>
        </w:tc>
      </w:tr>
      <w:tr w:rsidR="0047308C" w:rsidRPr="00E456D2" w:rsidTr="003202F8">
        <w:trPr>
          <w:trHeight w:val="370"/>
        </w:trPr>
        <w:tc>
          <w:tcPr>
            <w:tcW w:w="3106" w:type="dxa"/>
            <w:tcBorders>
              <w:top w:val="nil"/>
              <w:bottom w:val="nil"/>
            </w:tcBorders>
            <w:vAlign w:val="center"/>
          </w:tcPr>
          <w:p w:rsidR="0047308C" w:rsidRPr="00E456D2" w:rsidRDefault="0047308C" w:rsidP="00370600">
            <w:pPr>
              <w:ind w:right="42"/>
              <w:jc w:val="center"/>
              <w:rPr>
                <w:sz w:val="20"/>
                <w:szCs w:val="20"/>
                <w:lang w:val="en-US"/>
              </w:rPr>
            </w:pPr>
            <w:r w:rsidRPr="00E456D2">
              <w:rPr>
                <w:sz w:val="20"/>
                <w:szCs w:val="20"/>
                <w:lang w:val="en-US"/>
              </w:rPr>
              <w:t>Passenger Cars</w:t>
            </w:r>
            <w:r w:rsidRPr="00E456D2">
              <w:rPr>
                <w:sz w:val="20"/>
                <w:szCs w:val="20"/>
                <w:vertAlign w:val="superscript"/>
                <w:lang w:val="en-US"/>
              </w:rPr>
              <w:t xml:space="preserve"> §</w:t>
            </w:r>
          </w:p>
        </w:tc>
        <w:tc>
          <w:tcPr>
            <w:tcW w:w="1163" w:type="dxa"/>
            <w:tcBorders>
              <w:top w:val="nil"/>
              <w:bottom w:val="nil"/>
            </w:tcBorders>
            <w:vAlign w:val="center"/>
          </w:tcPr>
          <w:p w:rsidR="0047308C" w:rsidRPr="00E456D2" w:rsidRDefault="009715E1" w:rsidP="007D69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</w:t>
            </w:r>
            <w:r w:rsidR="0047308C" w:rsidRPr="00E456D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:rsidR="0047308C" w:rsidRPr="00E456D2" w:rsidRDefault="009715E1" w:rsidP="007D69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</w:t>
            </w:r>
            <w:r w:rsidR="0047308C" w:rsidRPr="00E456D2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center"/>
          </w:tcPr>
          <w:p w:rsidR="0047308C" w:rsidRPr="00E456D2" w:rsidRDefault="009715E1" w:rsidP="007D69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</w:t>
            </w:r>
            <w:r w:rsidR="0047308C" w:rsidRPr="00E456D2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07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47308C" w:rsidRPr="00E456D2" w:rsidRDefault="0047308C" w:rsidP="00194572">
            <w:pPr>
              <w:jc w:val="center"/>
              <w:rPr>
                <w:sz w:val="20"/>
                <w:szCs w:val="20"/>
                <w:lang w:val="en-US"/>
              </w:rPr>
            </w:pPr>
            <w:r w:rsidRPr="00E456D2">
              <w:rPr>
                <w:sz w:val="20"/>
                <w:szCs w:val="20"/>
                <w:lang w:val="en-US"/>
              </w:rPr>
              <w:t>-3,5</w:t>
            </w:r>
          </w:p>
        </w:tc>
        <w:tc>
          <w:tcPr>
            <w:tcW w:w="959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47308C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</w:t>
            </w:r>
            <w:r w:rsidR="0047308C" w:rsidRPr="00E456D2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:rsidR="0047308C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</w:t>
            </w:r>
            <w:r w:rsidR="0047308C" w:rsidRPr="00E456D2">
              <w:rPr>
                <w:sz w:val="20"/>
                <w:szCs w:val="20"/>
                <w:lang w:val="en-US"/>
              </w:rPr>
              <w:t>7</w:t>
            </w:r>
          </w:p>
        </w:tc>
      </w:tr>
      <w:tr w:rsidR="0047308C" w:rsidRPr="00E456D2" w:rsidTr="003202F8">
        <w:trPr>
          <w:trHeight w:val="370"/>
        </w:trPr>
        <w:tc>
          <w:tcPr>
            <w:tcW w:w="3106" w:type="dxa"/>
            <w:tcBorders>
              <w:top w:val="nil"/>
            </w:tcBorders>
            <w:vAlign w:val="center"/>
          </w:tcPr>
          <w:p w:rsidR="0047308C" w:rsidRPr="00E456D2" w:rsidRDefault="0047308C" w:rsidP="00370600">
            <w:pPr>
              <w:ind w:right="42"/>
              <w:jc w:val="center"/>
              <w:rPr>
                <w:sz w:val="20"/>
                <w:szCs w:val="20"/>
                <w:lang w:val="en-US"/>
              </w:rPr>
            </w:pPr>
            <w:r w:rsidRPr="00E456D2">
              <w:rPr>
                <w:sz w:val="20"/>
                <w:szCs w:val="20"/>
                <w:lang w:val="en-US"/>
              </w:rPr>
              <w:t>Commercial Vehicles</w:t>
            </w:r>
            <w:r w:rsidRPr="00E456D2">
              <w:rPr>
                <w:sz w:val="20"/>
                <w:szCs w:val="20"/>
                <w:vertAlign w:val="superscript"/>
                <w:lang w:val="en-US"/>
              </w:rPr>
              <w:t xml:space="preserve"> §</w:t>
            </w:r>
          </w:p>
        </w:tc>
        <w:tc>
          <w:tcPr>
            <w:tcW w:w="1163" w:type="dxa"/>
            <w:tcBorders>
              <w:top w:val="nil"/>
            </w:tcBorders>
            <w:vAlign w:val="center"/>
          </w:tcPr>
          <w:p w:rsidR="0047308C" w:rsidRPr="00E456D2" w:rsidRDefault="009715E1" w:rsidP="007D69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</w:t>
            </w:r>
            <w:r w:rsidR="0047308C" w:rsidRPr="00E456D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23" w:type="dxa"/>
            <w:tcBorders>
              <w:top w:val="nil"/>
            </w:tcBorders>
            <w:vAlign w:val="center"/>
          </w:tcPr>
          <w:p w:rsidR="0047308C" w:rsidRPr="00E456D2" w:rsidRDefault="009715E1" w:rsidP="007D69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-9.</w:t>
            </w:r>
            <w:r w:rsidR="0047308C" w:rsidRPr="00E456D2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40" w:type="dxa"/>
            <w:tcBorders>
              <w:top w:val="nil"/>
            </w:tcBorders>
            <w:vAlign w:val="center"/>
          </w:tcPr>
          <w:p w:rsidR="0047308C" w:rsidRPr="00E456D2" w:rsidRDefault="009715E1" w:rsidP="007D69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-1.</w:t>
            </w:r>
            <w:r w:rsidR="0047308C" w:rsidRPr="00E456D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72" w:type="dxa"/>
            <w:tcBorders>
              <w:top w:val="nil"/>
              <w:right w:val="double" w:sz="4" w:space="0" w:color="auto"/>
            </w:tcBorders>
            <w:vAlign w:val="center"/>
          </w:tcPr>
          <w:p w:rsidR="0047308C" w:rsidRPr="00E456D2" w:rsidRDefault="0047308C" w:rsidP="00194572">
            <w:pPr>
              <w:jc w:val="center"/>
              <w:rPr>
                <w:sz w:val="20"/>
                <w:szCs w:val="20"/>
                <w:lang w:val="en-US"/>
              </w:rPr>
            </w:pPr>
            <w:r w:rsidRPr="00E456D2">
              <w:rPr>
                <w:sz w:val="20"/>
                <w:szCs w:val="20"/>
                <w:lang w:val="en-US"/>
              </w:rPr>
              <w:t>-1,8</w:t>
            </w:r>
          </w:p>
        </w:tc>
        <w:tc>
          <w:tcPr>
            <w:tcW w:w="959" w:type="dxa"/>
            <w:tcBorders>
              <w:top w:val="nil"/>
              <w:left w:val="double" w:sz="4" w:space="0" w:color="auto"/>
            </w:tcBorders>
            <w:vAlign w:val="center"/>
          </w:tcPr>
          <w:p w:rsidR="0047308C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</w:t>
            </w:r>
            <w:r w:rsidR="0047308C" w:rsidRPr="00E456D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59" w:type="dxa"/>
            <w:tcBorders>
              <w:top w:val="nil"/>
            </w:tcBorders>
            <w:vAlign w:val="center"/>
          </w:tcPr>
          <w:p w:rsidR="0047308C" w:rsidRPr="00E456D2" w:rsidRDefault="009715E1" w:rsidP="00194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</w:t>
            </w:r>
            <w:r w:rsidR="0047308C" w:rsidRPr="00E456D2">
              <w:rPr>
                <w:sz w:val="20"/>
                <w:szCs w:val="20"/>
                <w:lang w:val="en-US"/>
              </w:rPr>
              <w:t>3</w:t>
            </w:r>
          </w:p>
        </w:tc>
      </w:tr>
    </w:tbl>
    <w:p w:rsidR="00FE4616" w:rsidRPr="00E456D2" w:rsidRDefault="000F1492" w:rsidP="00FE4616">
      <w:pPr>
        <w:ind w:left="-720" w:right="43" w:firstLine="360"/>
        <w:jc w:val="both"/>
        <w:rPr>
          <w:sz w:val="16"/>
          <w:szCs w:val="16"/>
          <w:lang w:val="en-US"/>
        </w:rPr>
      </w:pPr>
      <w:r w:rsidRPr="00E456D2">
        <w:rPr>
          <w:sz w:val="16"/>
          <w:szCs w:val="16"/>
          <w:lang w:val="en-US"/>
        </w:rPr>
        <w:t xml:space="preserve">Source: </w:t>
      </w:r>
      <w:proofErr w:type="spellStart"/>
      <w:r w:rsidRPr="00E456D2">
        <w:rPr>
          <w:sz w:val="16"/>
          <w:szCs w:val="16"/>
          <w:lang w:val="en-US"/>
        </w:rPr>
        <w:t>TurkStat</w:t>
      </w:r>
      <w:proofErr w:type="spellEnd"/>
      <w:r w:rsidRPr="00E456D2">
        <w:rPr>
          <w:sz w:val="16"/>
          <w:szCs w:val="16"/>
          <w:lang w:val="en-US"/>
        </w:rPr>
        <w:t>, Central Bank of the Republic of Turkey (TCMB)</w:t>
      </w:r>
      <w:r w:rsidR="00FE4616" w:rsidRPr="00E456D2">
        <w:rPr>
          <w:sz w:val="16"/>
          <w:szCs w:val="16"/>
          <w:lang w:val="en-US"/>
        </w:rPr>
        <w:t xml:space="preserve">, Treasury, </w:t>
      </w:r>
      <w:proofErr w:type="spellStart"/>
      <w:r w:rsidR="00F9756B" w:rsidRPr="00E456D2">
        <w:rPr>
          <w:sz w:val="16"/>
          <w:szCs w:val="16"/>
          <w:lang w:val="en-US"/>
        </w:rPr>
        <w:t>Borsa</w:t>
      </w:r>
      <w:proofErr w:type="spellEnd"/>
      <w:r w:rsidR="00F9756B" w:rsidRPr="00E456D2">
        <w:rPr>
          <w:sz w:val="16"/>
          <w:szCs w:val="16"/>
          <w:lang w:val="en-US"/>
        </w:rPr>
        <w:t xml:space="preserve"> </w:t>
      </w:r>
      <w:proofErr w:type="gramStart"/>
      <w:r w:rsidR="00F9756B" w:rsidRPr="00E456D2">
        <w:rPr>
          <w:sz w:val="16"/>
          <w:szCs w:val="16"/>
          <w:lang w:val="en-US"/>
        </w:rPr>
        <w:t>Istanbul(</w:t>
      </w:r>
      <w:proofErr w:type="gramEnd"/>
      <w:r w:rsidR="00F9756B" w:rsidRPr="00E456D2">
        <w:rPr>
          <w:sz w:val="16"/>
          <w:szCs w:val="16"/>
          <w:lang w:val="en-US"/>
        </w:rPr>
        <w:t>BIST)</w:t>
      </w:r>
      <w:r w:rsidR="00FE4616" w:rsidRPr="00E456D2">
        <w:rPr>
          <w:sz w:val="16"/>
          <w:szCs w:val="16"/>
          <w:lang w:val="en-US"/>
        </w:rPr>
        <w:t>, Betam.</w:t>
      </w:r>
    </w:p>
    <w:p w:rsidR="00FE4616" w:rsidRPr="00E456D2" w:rsidRDefault="00FE4616" w:rsidP="00FE4616">
      <w:pPr>
        <w:ind w:left="-720" w:right="43" w:firstLine="360"/>
        <w:jc w:val="both"/>
        <w:rPr>
          <w:sz w:val="16"/>
          <w:szCs w:val="16"/>
          <w:vertAlign w:val="superscript"/>
          <w:lang w:val="en-US"/>
        </w:rPr>
      </w:pPr>
      <w:r w:rsidRPr="00E456D2">
        <w:rPr>
          <w:sz w:val="16"/>
          <w:szCs w:val="16"/>
          <w:vertAlign w:val="superscript"/>
          <w:lang w:val="en-US"/>
        </w:rPr>
        <w:t xml:space="preserve">† </w:t>
      </w:r>
      <w:r w:rsidRPr="00E456D2">
        <w:rPr>
          <w:sz w:val="16"/>
          <w:szCs w:val="16"/>
          <w:lang w:val="en-US"/>
        </w:rPr>
        <w:t>This is seasonally adjusted by TCMB</w:t>
      </w:r>
      <w:r w:rsidRPr="00E456D2">
        <w:rPr>
          <w:sz w:val="16"/>
          <w:szCs w:val="16"/>
          <w:vertAlign w:val="superscript"/>
          <w:lang w:val="en-US"/>
        </w:rPr>
        <w:t xml:space="preserve"> </w:t>
      </w:r>
    </w:p>
    <w:p w:rsidR="00FE4616" w:rsidRPr="00E456D2" w:rsidRDefault="00FE4616" w:rsidP="00FE4616">
      <w:pPr>
        <w:ind w:left="-720" w:right="43" w:firstLine="360"/>
        <w:jc w:val="both"/>
        <w:rPr>
          <w:sz w:val="16"/>
          <w:szCs w:val="16"/>
          <w:lang w:val="en-US"/>
        </w:rPr>
      </w:pPr>
      <w:r w:rsidRPr="00E456D2">
        <w:rPr>
          <w:sz w:val="16"/>
          <w:szCs w:val="16"/>
          <w:vertAlign w:val="superscript"/>
          <w:lang w:val="en-US"/>
        </w:rPr>
        <w:t>‡</w:t>
      </w:r>
      <w:r w:rsidRPr="00E456D2">
        <w:rPr>
          <w:sz w:val="16"/>
          <w:szCs w:val="16"/>
          <w:lang w:val="en-US"/>
        </w:rPr>
        <w:t xml:space="preserve"> CUR and its components are given as percentage point change, unlike the other indicators. </w:t>
      </w:r>
    </w:p>
    <w:p w:rsidR="00FE4616" w:rsidRPr="00E456D2" w:rsidRDefault="00FE4616" w:rsidP="00FE4616">
      <w:pPr>
        <w:ind w:left="-720" w:right="43" w:firstLine="360"/>
        <w:jc w:val="both"/>
        <w:rPr>
          <w:sz w:val="16"/>
          <w:szCs w:val="16"/>
          <w:lang w:val="en-US"/>
        </w:rPr>
      </w:pPr>
      <w:r w:rsidRPr="00E456D2">
        <w:rPr>
          <w:sz w:val="16"/>
          <w:szCs w:val="16"/>
          <w:lang w:val="en-US"/>
        </w:rPr>
        <w:t xml:space="preserve">§ This is seasonally adjusted by Betam. </w:t>
      </w:r>
    </w:p>
    <w:p w:rsidR="00FE4616" w:rsidRPr="00E456D2" w:rsidRDefault="00FE4616" w:rsidP="00FE4616">
      <w:pPr>
        <w:ind w:left="-720" w:right="43" w:firstLine="360"/>
        <w:jc w:val="both"/>
        <w:rPr>
          <w:sz w:val="16"/>
          <w:szCs w:val="16"/>
          <w:lang w:val="en-US"/>
        </w:rPr>
      </w:pPr>
      <w:r w:rsidRPr="00E456D2">
        <w:rPr>
          <w:sz w:val="16"/>
          <w:szCs w:val="16"/>
          <w:lang w:val="en-US"/>
        </w:rPr>
        <w:t xml:space="preserve">* This is seasonally adjusted by TURKSTAT. </w:t>
      </w:r>
    </w:p>
    <w:p w:rsidR="00FE4616" w:rsidRPr="00E456D2" w:rsidRDefault="00FE4616" w:rsidP="00FE4616">
      <w:pPr>
        <w:ind w:left="-720" w:right="43" w:firstLine="360"/>
        <w:jc w:val="both"/>
        <w:rPr>
          <w:sz w:val="16"/>
          <w:szCs w:val="16"/>
          <w:lang w:val="en-US"/>
        </w:rPr>
      </w:pPr>
      <w:r w:rsidRPr="00E456D2">
        <w:rPr>
          <w:sz w:val="16"/>
          <w:szCs w:val="16"/>
          <w:lang w:val="en-US"/>
        </w:rPr>
        <w:t xml:space="preserve">** Data not yet released </w:t>
      </w:r>
    </w:p>
    <w:p w:rsidR="00FE4616" w:rsidRPr="00E456D2" w:rsidRDefault="00FE4616" w:rsidP="00FE4616">
      <w:pPr>
        <w:spacing w:line="276" w:lineRule="auto"/>
        <w:ind w:left="-426" w:right="42" w:hanging="114"/>
        <w:jc w:val="both"/>
        <w:rPr>
          <w:sz w:val="16"/>
          <w:szCs w:val="16"/>
          <w:lang w:val="en-US"/>
        </w:rPr>
      </w:pPr>
      <w:r w:rsidRPr="00E456D2">
        <w:rPr>
          <w:sz w:val="16"/>
          <w:szCs w:val="16"/>
          <w:lang w:val="en-US"/>
        </w:rPr>
        <w:t xml:space="preserve">   *** </w:t>
      </w:r>
      <w:proofErr w:type="spellStart"/>
      <w:r w:rsidRPr="00E456D2">
        <w:rPr>
          <w:sz w:val="16"/>
          <w:szCs w:val="16"/>
          <w:lang w:val="en-US"/>
        </w:rPr>
        <w:t>Betam’s</w:t>
      </w:r>
      <w:proofErr w:type="spellEnd"/>
      <w:r w:rsidRPr="00E456D2">
        <w:rPr>
          <w:sz w:val="16"/>
          <w:szCs w:val="16"/>
          <w:lang w:val="en-US"/>
        </w:rPr>
        <w:t xml:space="preserve"> calculations: Nominal exports (imports) minus non-monetary </w:t>
      </w:r>
      <w:proofErr w:type="gramStart"/>
      <w:r w:rsidRPr="00E456D2">
        <w:rPr>
          <w:sz w:val="16"/>
          <w:szCs w:val="16"/>
          <w:lang w:val="en-US"/>
        </w:rPr>
        <w:t>gold,</w:t>
      </w:r>
      <w:proofErr w:type="gramEnd"/>
      <w:r w:rsidRPr="00E456D2">
        <w:rPr>
          <w:sz w:val="16"/>
          <w:szCs w:val="16"/>
          <w:lang w:val="en-US"/>
        </w:rPr>
        <w:t xml:space="preserve"> deflated using the export (import) unit value index. It is    seasonally adjusted by Betam. </w:t>
      </w:r>
    </w:p>
    <w:p w:rsidR="00FE4616" w:rsidRPr="00E456D2" w:rsidRDefault="00FE4616" w:rsidP="00FE4616">
      <w:pPr>
        <w:ind w:left="-360" w:right="43"/>
        <w:rPr>
          <w:sz w:val="16"/>
          <w:szCs w:val="16"/>
          <w:lang w:val="en-US"/>
        </w:rPr>
      </w:pPr>
      <w:r w:rsidRPr="00E456D2">
        <w:rPr>
          <w:rFonts w:ascii="Calibri" w:hAnsi="Calibri"/>
          <w:sz w:val="16"/>
          <w:szCs w:val="16"/>
          <w:lang w:val="en-US"/>
        </w:rPr>
        <w:t>⁰</w:t>
      </w:r>
      <w:r w:rsidRPr="00E456D2">
        <w:rPr>
          <w:sz w:val="16"/>
          <w:szCs w:val="16"/>
          <w:lang w:val="en-US"/>
        </w:rPr>
        <w:t xml:space="preserve"> Total government spending excluding transfers, deflated.</w:t>
      </w:r>
    </w:p>
    <w:p w:rsidR="002A5EBF" w:rsidRPr="00E456D2" w:rsidRDefault="002A5EBF" w:rsidP="00197085">
      <w:pPr>
        <w:ind w:left="-360" w:right="43"/>
        <w:rPr>
          <w:sz w:val="16"/>
          <w:szCs w:val="16"/>
          <w:lang w:val="en-US"/>
        </w:rPr>
      </w:pPr>
    </w:p>
    <w:p w:rsidR="00197085" w:rsidRPr="00E456D2" w:rsidRDefault="00197085" w:rsidP="00197085">
      <w:pPr>
        <w:spacing w:line="360" w:lineRule="auto"/>
        <w:ind w:right="42"/>
        <w:jc w:val="both"/>
        <w:rPr>
          <w:sz w:val="22"/>
          <w:szCs w:val="22"/>
          <w:lang w:val="en-US"/>
        </w:rPr>
      </w:pPr>
    </w:p>
    <w:p w:rsidR="00197085" w:rsidRPr="00E456D2" w:rsidRDefault="00197085" w:rsidP="00197085">
      <w:pPr>
        <w:spacing w:line="360" w:lineRule="auto"/>
        <w:ind w:right="42"/>
        <w:jc w:val="both"/>
        <w:rPr>
          <w:sz w:val="22"/>
          <w:szCs w:val="22"/>
          <w:lang w:val="en-US"/>
        </w:rPr>
        <w:sectPr w:rsidR="00197085" w:rsidRPr="00E456D2" w:rsidSect="008651A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35061" w:rsidRPr="00E456D2" w:rsidRDefault="00F35061" w:rsidP="00F35061">
      <w:pPr>
        <w:ind w:right="42"/>
        <w:jc w:val="both"/>
        <w:rPr>
          <w:b/>
          <w:bCs/>
          <w:sz w:val="22"/>
          <w:szCs w:val="22"/>
          <w:lang w:val="en-US"/>
        </w:rPr>
      </w:pPr>
    </w:p>
    <w:p w:rsidR="0047308C" w:rsidRPr="00E456D2" w:rsidRDefault="0047308C" w:rsidP="00F35061">
      <w:pPr>
        <w:ind w:right="42"/>
        <w:jc w:val="both"/>
        <w:rPr>
          <w:b/>
          <w:bCs/>
          <w:color w:val="FF0000"/>
          <w:sz w:val="8"/>
          <w:szCs w:val="8"/>
          <w:lang w:val="en-US"/>
        </w:rPr>
      </w:pPr>
      <w:r w:rsidRPr="00E456D2">
        <w:rPr>
          <w:b/>
          <w:bCs/>
          <w:sz w:val="22"/>
          <w:szCs w:val="22"/>
          <w:lang w:val="en-US"/>
        </w:rPr>
        <w:lastRenderedPageBreak/>
        <w:t>Figure 1: Capacity utilization rate and industrial production index (</w:t>
      </w:r>
      <w:proofErr w:type="spellStart"/>
      <w:proofErr w:type="gramStart"/>
      <w:r w:rsidRPr="00E456D2">
        <w:rPr>
          <w:b/>
          <w:bCs/>
          <w:sz w:val="22"/>
          <w:szCs w:val="22"/>
          <w:lang w:val="en-US"/>
        </w:rPr>
        <w:t>sa</w:t>
      </w:r>
      <w:proofErr w:type="spellEnd"/>
      <w:proofErr w:type="gramEnd"/>
      <w:r w:rsidRPr="00E456D2">
        <w:rPr>
          <w:b/>
          <w:bCs/>
          <w:sz w:val="22"/>
          <w:szCs w:val="22"/>
          <w:lang w:val="en-US"/>
        </w:rPr>
        <w:t>)</w:t>
      </w:r>
    </w:p>
    <w:p w:rsidR="00EA40DA" w:rsidRPr="00E456D2" w:rsidRDefault="00EA40DA" w:rsidP="00197085">
      <w:pPr>
        <w:ind w:left="-360" w:right="42"/>
        <w:jc w:val="both"/>
        <w:rPr>
          <w:b/>
          <w:bCs/>
          <w:sz w:val="22"/>
          <w:szCs w:val="22"/>
          <w:lang w:val="en-US"/>
        </w:rPr>
      </w:pPr>
      <w:r w:rsidRPr="00E456D2">
        <w:rPr>
          <w:noProof/>
          <w:szCs w:val="22"/>
        </w:rPr>
        <w:drawing>
          <wp:inline distT="0" distB="0" distL="0" distR="0">
            <wp:extent cx="2896679" cy="2258296"/>
            <wp:effectExtent l="1905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415" cy="2259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085" w:rsidRPr="00E456D2" w:rsidRDefault="00197085" w:rsidP="00197085">
      <w:pPr>
        <w:ind w:left="-360" w:right="42"/>
        <w:jc w:val="both"/>
        <w:rPr>
          <w:b/>
          <w:bCs/>
          <w:sz w:val="8"/>
          <w:szCs w:val="8"/>
          <w:lang w:val="en-US"/>
        </w:rPr>
      </w:pPr>
    </w:p>
    <w:p w:rsidR="00197085" w:rsidRPr="00E456D2" w:rsidRDefault="002F6BD8" w:rsidP="00197085">
      <w:pPr>
        <w:ind w:left="-360" w:right="42"/>
        <w:jc w:val="both"/>
        <w:rPr>
          <w:sz w:val="18"/>
          <w:szCs w:val="18"/>
          <w:lang w:val="en-US"/>
        </w:rPr>
      </w:pPr>
      <w:proofErr w:type="spellStart"/>
      <w:r w:rsidRPr="00E456D2">
        <w:rPr>
          <w:sz w:val="18"/>
          <w:szCs w:val="18"/>
          <w:lang w:val="en-US"/>
        </w:rPr>
        <w:t>Kaynak</w:t>
      </w:r>
      <w:proofErr w:type="spellEnd"/>
      <w:r w:rsidR="00197085" w:rsidRPr="00E456D2">
        <w:rPr>
          <w:sz w:val="18"/>
          <w:szCs w:val="18"/>
          <w:lang w:val="en-US"/>
        </w:rPr>
        <w:t xml:space="preserve">: TÜİK (sol </w:t>
      </w:r>
      <w:proofErr w:type="spellStart"/>
      <w:r w:rsidR="00197085" w:rsidRPr="00E456D2">
        <w:rPr>
          <w:sz w:val="18"/>
          <w:szCs w:val="18"/>
          <w:lang w:val="en-US"/>
        </w:rPr>
        <w:t>taraf</w:t>
      </w:r>
      <w:proofErr w:type="spellEnd"/>
      <w:r w:rsidR="00197085" w:rsidRPr="00E456D2">
        <w:rPr>
          <w:sz w:val="18"/>
          <w:szCs w:val="18"/>
          <w:lang w:val="en-US"/>
        </w:rPr>
        <w:t xml:space="preserve"> KKO </w:t>
      </w:r>
      <w:proofErr w:type="spellStart"/>
      <w:r w:rsidR="00197085" w:rsidRPr="00E456D2">
        <w:rPr>
          <w:sz w:val="18"/>
          <w:szCs w:val="18"/>
          <w:lang w:val="en-US"/>
        </w:rPr>
        <w:t>ekseni</w:t>
      </w:r>
      <w:proofErr w:type="spellEnd"/>
      <w:r w:rsidR="00197085" w:rsidRPr="00E456D2">
        <w:rPr>
          <w:sz w:val="18"/>
          <w:szCs w:val="18"/>
          <w:lang w:val="en-US"/>
        </w:rPr>
        <w:t xml:space="preserve">, </w:t>
      </w:r>
      <w:proofErr w:type="spellStart"/>
      <w:r w:rsidR="00197085" w:rsidRPr="00E456D2">
        <w:rPr>
          <w:sz w:val="18"/>
          <w:szCs w:val="18"/>
          <w:lang w:val="en-US"/>
        </w:rPr>
        <w:t>sağ</w:t>
      </w:r>
      <w:proofErr w:type="spellEnd"/>
      <w:r w:rsidR="00197085" w:rsidRPr="00E456D2">
        <w:rPr>
          <w:sz w:val="18"/>
          <w:szCs w:val="18"/>
          <w:lang w:val="en-US"/>
        </w:rPr>
        <w:t xml:space="preserve"> </w:t>
      </w:r>
      <w:proofErr w:type="spellStart"/>
      <w:r w:rsidR="00197085" w:rsidRPr="00E456D2">
        <w:rPr>
          <w:sz w:val="18"/>
          <w:szCs w:val="18"/>
          <w:lang w:val="en-US"/>
        </w:rPr>
        <w:t>taraf</w:t>
      </w:r>
      <w:proofErr w:type="spellEnd"/>
      <w:r w:rsidR="00197085" w:rsidRPr="00E456D2">
        <w:rPr>
          <w:sz w:val="18"/>
          <w:szCs w:val="18"/>
          <w:lang w:val="en-US"/>
        </w:rPr>
        <w:t xml:space="preserve"> SÜE </w:t>
      </w:r>
    </w:p>
    <w:p w:rsidR="00197085" w:rsidRPr="00E456D2" w:rsidRDefault="00197085" w:rsidP="00197085">
      <w:pPr>
        <w:ind w:left="-360" w:right="42"/>
        <w:jc w:val="both"/>
        <w:rPr>
          <w:sz w:val="18"/>
          <w:szCs w:val="18"/>
          <w:lang w:val="en-US"/>
        </w:rPr>
      </w:pPr>
      <w:proofErr w:type="spellStart"/>
      <w:proofErr w:type="gramStart"/>
      <w:r w:rsidRPr="00E456D2">
        <w:rPr>
          <w:sz w:val="18"/>
          <w:szCs w:val="18"/>
          <w:lang w:val="en-US"/>
        </w:rPr>
        <w:t>ekseni</w:t>
      </w:r>
      <w:proofErr w:type="spellEnd"/>
      <w:proofErr w:type="gramEnd"/>
      <w:r w:rsidRPr="00E456D2">
        <w:rPr>
          <w:sz w:val="18"/>
          <w:szCs w:val="18"/>
          <w:lang w:val="en-US"/>
        </w:rPr>
        <w:t>).</w:t>
      </w:r>
    </w:p>
    <w:p w:rsidR="00197085" w:rsidRPr="00E456D2" w:rsidRDefault="00197085" w:rsidP="00197085">
      <w:pPr>
        <w:ind w:left="-360" w:right="42"/>
        <w:jc w:val="both"/>
        <w:rPr>
          <w:b/>
          <w:bCs/>
          <w:sz w:val="10"/>
          <w:szCs w:val="10"/>
          <w:lang w:val="en-US"/>
        </w:rPr>
      </w:pPr>
    </w:p>
    <w:p w:rsidR="008F1089" w:rsidRPr="00E456D2" w:rsidRDefault="008F1089" w:rsidP="00197085">
      <w:pPr>
        <w:ind w:left="-360" w:right="42"/>
        <w:jc w:val="both"/>
        <w:rPr>
          <w:b/>
          <w:bCs/>
          <w:sz w:val="22"/>
          <w:szCs w:val="22"/>
          <w:lang w:val="en-US"/>
        </w:rPr>
      </w:pPr>
    </w:p>
    <w:p w:rsidR="0047308C" w:rsidRPr="00E456D2" w:rsidRDefault="0047308C" w:rsidP="0047308C">
      <w:pPr>
        <w:ind w:left="-360" w:right="42"/>
        <w:jc w:val="both"/>
        <w:rPr>
          <w:b/>
          <w:bCs/>
          <w:sz w:val="22"/>
          <w:szCs w:val="22"/>
          <w:lang w:val="en-US"/>
        </w:rPr>
      </w:pPr>
      <w:r w:rsidRPr="00E456D2">
        <w:rPr>
          <w:b/>
          <w:bCs/>
          <w:sz w:val="22"/>
          <w:szCs w:val="22"/>
          <w:lang w:val="en-US"/>
        </w:rPr>
        <w:t>Figure 3: Gold included current account deficit to GDP ratio, 12 months</w:t>
      </w:r>
    </w:p>
    <w:p w:rsidR="001771BD" w:rsidRPr="00E456D2" w:rsidRDefault="001771BD" w:rsidP="00197085">
      <w:pPr>
        <w:ind w:left="-360" w:right="42"/>
        <w:jc w:val="both"/>
        <w:rPr>
          <w:noProof/>
          <w:lang w:val="en-US"/>
        </w:rPr>
      </w:pPr>
      <w:r w:rsidRPr="00E456D2">
        <w:rPr>
          <w:noProof/>
        </w:rPr>
        <w:drawing>
          <wp:inline distT="0" distB="0" distL="0" distR="0">
            <wp:extent cx="2968495" cy="2415396"/>
            <wp:effectExtent l="19050" t="0" r="330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977" cy="2415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085" w:rsidRPr="00E456D2" w:rsidRDefault="00197085" w:rsidP="00197085">
      <w:pPr>
        <w:ind w:left="-360" w:right="42"/>
        <w:jc w:val="both"/>
        <w:rPr>
          <w:sz w:val="16"/>
          <w:szCs w:val="16"/>
          <w:lang w:val="en-US"/>
        </w:rPr>
      </w:pPr>
      <w:proofErr w:type="spellStart"/>
      <w:r w:rsidRPr="00E456D2">
        <w:rPr>
          <w:sz w:val="16"/>
          <w:szCs w:val="16"/>
          <w:lang w:val="en-US"/>
        </w:rPr>
        <w:t>Kaynak</w:t>
      </w:r>
      <w:proofErr w:type="spellEnd"/>
      <w:r w:rsidRPr="00E456D2">
        <w:rPr>
          <w:sz w:val="16"/>
          <w:szCs w:val="16"/>
          <w:lang w:val="en-US"/>
        </w:rPr>
        <w:t>: TCMB,</w:t>
      </w:r>
      <w:r w:rsidR="0011609A" w:rsidRPr="00E456D2">
        <w:rPr>
          <w:sz w:val="16"/>
          <w:szCs w:val="16"/>
          <w:lang w:val="en-US"/>
        </w:rPr>
        <w:t xml:space="preserve"> </w:t>
      </w:r>
      <w:r w:rsidRPr="00E456D2">
        <w:rPr>
          <w:sz w:val="16"/>
          <w:szCs w:val="16"/>
          <w:lang w:val="en-US"/>
        </w:rPr>
        <w:t>TÜİK, Betam.</w:t>
      </w:r>
    </w:p>
    <w:p w:rsidR="00EA40DA" w:rsidRPr="00E456D2" w:rsidRDefault="00197085" w:rsidP="00197085">
      <w:pPr>
        <w:ind w:left="-360" w:right="42"/>
        <w:jc w:val="both"/>
        <w:rPr>
          <w:b/>
          <w:bCs/>
          <w:sz w:val="22"/>
          <w:szCs w:val="22"/>
          <w:lang w:val="en-US"/>
        </w:rPr>
      </w:pPr>
      <w:r w:rsidRPr="00E456D2">
        <w:rPr>
          <w:b/>
          <w:bCs/>
          <w:sz w:val="22"/>
          <w:szCs w:val="22"/>
          <w:lang w:val="en-US"/>
        </w:rPr>
        <w:br/>
      </w:r>
    </w:p>
    <w:p w:rsidR="00197085" w:rsidRPr="00E456D2" w:rsidRDefault="0047308C" w:rsidP="0047308C">
      <w:pPr>
        <w:ind w:left="-360" w:right="42"/>
        <w:jc w:val="both"/>
        <w:rPr>
          <w:b/>
          <w:bCs/>
          <w:sz w:val="22"/>
          <w:szCs w:val="22"/>
          <w:lang w:val="en-US"/>
        </w:rPr>
      </w:pPr>
      <w:r w:rsidRPr="00E456D2">
        <w:rPr>
          <w:b/>
          <w:bCs/>
          <w:sz w:val="22"/>
          <w:szCs w:val="22"/>
          <w:lang w:val="en-US"/>
        </w:rPr>
        <w:lastRenderedPageBreak/>
        <w:t>Figure 2: Volume indices of exports and imports (</w:t>
      </w:r>
      <w:proofErr w:type="spellStart"/>
      <w:proofErr w:type="gramStart"/>
      <w:r w:rsidRPr="00E456D2">
        <w:rPr>
          <w:b/>
          <w:bCs/>
          <w:sz w:val="22"/>
          <w:szCs w:val="22"/>
          <w:lang w:val="en-US"/>
        </w:rPr>
        <w:t>sa</w:t>
      </w:r>
      <w:proofErr w:type="spellEnd"/>
      <w:proofErr w:type="gramEnd"/>
      <w:r w:rsidRPr="00E456D2">
        <w:rPr>
          <w:b/>
          <w:bCs/>
          <w:sz w:val="22"/>
          <w:szCs w:val="22"/>
          <w:lang w:val="en-US"/>
        </w:rPr>
        <w:t>)</w:t>
      </w:r>
    </w:p>
    <w:p w:rsidR="00EA40DA" w:rsidRPr="00E456D2" w:rsidRDefault="001771BD" w:rsidP="00197085">
      <w:pPr>
        <w:ind w:left="-360" w:right="42"/>
        <w:jc w:val="both"/>
        <w:rPr>
          <w:b/>
          <w:bCs/>
          <w:sz w:val="22"/>
          <w:szCs w:val="22"/>
          <w:lang w:val="en-US"/>
        </w:rPr>
      </w:pPr>
      <w:r w:rsidRPr="00E456D2">
        <w:rPr>
          <w:b/>
          <w:bCs/>
          <w:noProof/>
          <w:sz w:val="22"/>
          <w:szCs w:val="22"/>
        </w:rPr>
        <w:drawing>
          <wp:inline distT="0" distB="0" distL="0" distR="0">
            <wp:extent cx="2827667" cy="2260121"/>
            <wp:effectExtent l="1905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839" cy="2263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085" w:rsidRPr="00E456D2" w:rsidRDefault="00197085" w:rsidP="00197085">
      <w:pPr>
        <w:spacing w:line="360" w:lineRule="auto"/>
        <w:ind w:left="-360" w:right="42"/>
        <w:jc w:val="both"/>
        <w:rPr>
          <w:sz w:val="4"/>
          <w:szCs w:val="4"/>
          <w:lang w:val="en-US"/>
        </w:rPr>
      </w:pPr>
    </w:p>
    <w:p w:rsidR="00197085" w:rsidRPr="00E456D2" w:rsidRDefault="002F6BD8" w:rsidP="00197085">
      <w:pPr>
        <w:ind w:left="-360" w:right="42"/>
        <w:jc w:val="both"/>
        <w:rPr>
          <w:sz w:val="18"/>
          <w:szCs w:val="18"/>
          <w:lang w:val="en-US"/>
        </w:rPr>
      </w:pPr>
      <w:proofErr w:type="spellStart"/>
      <w:r w:rsidRPr="00E456D2">
        <w:rPr>
          <w:sz w:val="18"/>
          <w:szCs w:val="18"/>
          <w:lang w:val="en-US"/>
        </w:rPr>
        <w:t>Kaynak</w:t>
      </w:r>
      <w:proofErr w:type="spellEnd"/>
      <w:r w:rsidR="00197085" w:rsidRPr="00E456D2">
        <w:rPr>
          <w:sz w:val="18"/>
          <w:szCs w:val="18"/>
          <w:lang w:val="en-US"/>
        </w:rPr>
        <w:t>: TÜİK.</w:t>
      </w:r>
    </w:p>
    <w:p w:rsidR="00197085" w:rsidRPr="00E456D2" w:rsidRDefault="00197085" w:rsidP="00197085">
      <w:pPr>
        <w:ind w:left="-360" w:right="42"/>
        <w:jc w:val="both"/>
        <w:rPr>
          <w:b/>
          <w:bCs/>
          <w:sz w:val="18"/>
          <w:szCs w:val="18"/>
          <w:lang w:val="en-US"/>
        </w:rPr>
      </w:pPr>
    </w:p>
    <w:p w:rsidR="0047308C" w:rsidRPr="00E456D2" w:rsidRDefault="00197085" w:rsidP="0047308C">
      <w:pPr>
        <w:ind w:left="-360" w:right="42"/>
        <w:jc w:val="both"/>
        <w:rPr>
          <w:b/>
          <w:bCs/>
          <w:sz w:val="22"/>
          <w:szCs w:val="22"/>
          <w:lang w:val="en-US"/>
        </w:rPr>
      </w:pPr>
      <w:r w:rsidRPr="00E456D2">
        <w:rPr>
          <w:b/>
          <w:bCs/>
          <w:sz w:val="22"/>
          <w:szCs w:val="22"/>
          <w:lang w:val="en-US"/>
        </w:rPr>
        <w:br/>
      </w:r>
      <w:r w:rsidR="0047308C" w:rsidRPr="00E456D2">
        <w:rPr>
          <w:b/>
          <w:bCs/>
          <w:sz w:val="22"/>
          <w:szCs w:val="22"/>
          <w:lang w:val="en-US"/>
        </w:rPr>
        <w:t>Figure 4: Gold excluded current account deficit to GDP ratio, 12 months</w:t>
      </w:r>
    </w:p>
    <w:p w:rsidR="00197085" w:rsidRPr="00E456D2" w:rsidRDefault="00197085" w:rsidP="0047308C">
      <w:pPr>
        <w:ind w:left="-360" w:right="42"/>
        <w:jc w:val="both"/>
        <w:rPr>
          <w:sz w:val="4"/>
          <w:szCs w:val="4"/>
          <w:lang w:val="en-US"/>
        </w:rPr>
      </w:pPr>
    </w:p>
    <w:p w:rsidR="00197085" w:rsidRPr="00E456D2" w:rsidRDefault="0047308C" w:rsidP="00197085">
      <w:pPr>
        <w:ind w:left="-360" w:right="42"/>
        <w:jc w:val="both"/>
        <w:rPr>
          <w:lang w:val="en-US"/>
        </w:rPr>
      </w:pPr>
      <w:r w:rsidRPr="00E456D2">
        <w:rPr>
          <w:noProof/>
        </w:rPr>
        <w:drawing>
          <wp:inline distT="0" distB="0" distL="0" distR="0">
            <wp:extent cx="2924355" cy="2479925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154" cy="2485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08C" w:rsidRPr="00E456D2" w:rsidRDefault="0047308C" w:rsidP="0047308C">
      <w:pPr>
        <w:ind w:right="42"/>
        <w:jc w:val="both"/>
        <w:rPr>
          <w:sz w:val="16"/>
          <w:szCs w:val="16"/>
          <w:lang w:val="en-US"/>
        </w:rPr>
      </w:pPr>
      <w:proofErr w:type="spellStart"/>
      <w:r w:rsidRPr="00E456D2">
        <w:rPr>
          <w:sz w:val="16"/>
          <w:szCs w:val="16"/>
          <w:lang w:val="en-US"/>
        </w:rPr>
        <w:t>Kaynak</w:t>
      </w:r>
      <w:proofErr w:type="spellEnd"/>
      <w:r w:rsidRPr="00E456D2">
        <w:rPr>
          <w:sz w:val="16"/>
          <w:szCs w:val="16"/>
          <w:lang w:val="en-US"/>
        </w:rPr>
        <w:t>: TCMB, TÜİK, Betam.</w:t>
      </w:r>
    </w:p>
    <w:p w:rsidR="0047308C" w:rsidRPr="00E456D2" w:rsidRDefault="0047308C" w:rsidP="00197085">
      <w:pPr>
        <w:spacing w:line="360" w:lineRule="auto"/>
        <w:ind w:right="42"/>
        <w:jc w:val="both"/>
        <w:rPr>
          <w:sz w:val="22"/>
          <w:szCs w:val="22"/>
          <w:lang w:val="en-US"/>
        </w:rPr>
        <w:sectPr w:rsidR="0047308C" w:rsidRPr="00E456D2" w:rsidSect="007067F4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197085" w:rsidRPr="00E456D2" w:rsidRDefault="00197085" w:rsidP="00197085">
      <w:pPr>
        <w:spacing w:line="360" w:lineRule="auto"/>
        <w:ind w:left="-360" w:right="42"/>
        <w:jc w:val="both"/>
        <w:rPr>
          <w:b/>
          <w:bCs/>
          <w:sz w:val="22"/>
          <w:szCs w:val="22"/>
          <w:lang w:val="en-US"/>
        </w:rPr>
      </w:pPr>
    </w:p>
    <w:p w:rsidR="00197085" w:rsidRPr="00E456D2" w:rsidRDefault="00197085" w:rsidP="0011609A">
      <w:pPr>
        <w:ind w:left="-360" w:right="42"/>
        <w:rPr>
          <w:b/>
          <w:bCs/>
          <w:sz w:val="22"/>
          <w:szCs w:val="22"/>
          <w:lang w:val="en-US"/>
        </w:rPr>
      </w:pPr>
      <w:r w:rsidRPr="00E456D2">
        <w:rPr>
          <w:sz w:val="18"/>
          <w:szCs w:val="18"/>
          <w:lang w:val="en-US"/>
        </w:rPr>
        <w:tab/>
      </w:r>
    </w:p>
    <w:p w:rsidR="00197085" w:rsidRPr="00E456D2" w:rsidRDefault="00197085" w:rsidP="00197085">
      <w:pPr>
        <w:ind w:left="-360" w:right="42"/>
        <w:jc w:val="both"/>
        <w:rPr>
          <w:b/>
          <w:bCs/>
          <w:sz w:val="22"/>
          <w:szCs w:val="22"/>
          <w:lang w:val="en-US"/>
        </w:rPr>
      </w:pPr>
    </w:p>
    <w:p w:rsidR="00197085" w:rsidRPr="00E456D2" w:rsidRDefault="00197085" w:rsidP="00197085">
      <w:pPr>
        <w:ind w:left="-360" w:right="42"/>
        <w:jc w:val="both"/>
        <w:rPr>
          <w:b/>
          <w:bCs/>
          <w:sz w:val="22"/>
          <w:szCs w:val="22"/>
          <w:lang w:val="en-US"/>
        </w:rPr>
      </w:pPr>
    </w:p>
    <w:p w:rsidR="00197085" w:rsidRPr="00E456D2" w:rsidRDefault="00197085" w:rsidP="00197085">
      <w:pPr>
        <w:ind w:left="-360" w:right="42"/>
        <w:jc w:val="both"/>
        <w:rPr>
          <w:b/>
          <w:bCs/>
          <w:sz w:val="22"/>
          <w:szCs w:val="22"/>
          <w:lang w:val="en-US"/>
        </w:rPr>
      </w:pPr>
    </w:p>
    <w:p w:rsidR="00197085" w:rsidRPr="00E456D2" w:rsidRDefault="00197085" w:rsidP="00197085">
      <w:pPr>
        <w:ind w:left="-360" w:right="42"/>
        <w:jc w:val="both"/>
        <w:rPr>
          <w:b/>
          <w:bCs/>
          <w:sz w:val="22"/>
          <w:szCs w:val="22"/>
          <w:lang w:val="en-US"/>
        </w:rPr>
      </w:pPr>
    </w:p>
    <w:p w:rsidR="00197085" w:rsidRPr="00E456D2" w:rsidRDefault="00197085" w:rsidP="00197085">
      <w:pPr>
        <w:ind w:left="-360" w:right="42"/>
        <w:jc w:val="both"/>
        <w:rPr>
          <w:b/>
          <w:bCs/>
          <w:sz w:val="22"/>
          <w:szCs w:val="22"/>
          <w:lang w:val="en-US"/>
        </w:rPr>
      </w:pPr>
    </w:p>
    <w:p w:rsidR="00197085" w:rsidRPr="00E456D2" w:rsidRDefault="00197085" w:rsidP="00197085">
      <w:pPr>
        <w:ind w:left="-360" w:right="42"/>
        <w:jc w:val="both"/>
        <w:rPr>
          <w:b/>
          <w:bCs/>
          <w:sz w:val="22"/>
          <w:szCs w:val="22"/>
          <w:lang w:val="en-US"/>
        </w:rPr>
      </w:pPr>
    </w:p>
    <w:p w:rsidR="00197085" w:rsidRPr="00E456D2" w:rsidRDefault="00197085" w:rsidP="00197085">
      <w:pPr>
        <w:ind w:left="-360" w:right="42"/>
        <w:jc w:val="both"/>
        <w:rPr>
          <w:b/>
          <w:bCs/>
          <w:sz w:val="22"/>
          <w:szCs w:val="22"/>
          <w:lang w:val="en-US"/>
        </w:rPr>
      </w:pPr>
    </w:p>
    <w:p w:rsidR="008C6E09" w:rsidRPr="00E456D2" w:rsidRDefault="008C6E09" w:rsidP="00197085">
      <w:pPr>
        <w:spacing w:line="360" w:lineRule="auto"/>
        <w:ind w:right="42"/>
        <w:jc w:val="both"/>
        <w:rPr>
          <w:b/>
          <w:bCs/>
          <w:sz w:val="22"/>
          <w:szCs w:val="22"/>
          <w:lang w:val="en-US"/>
        </w:rPr>
      </w:pPr>
    </w:p>
    <w:sectPr w:rsidR="008C6E09" w:rsidRPr="00E456D2" w:rsidSect="00E9738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1A" w:rsidRDefault="00986C1A">
      <w:r>
        <w:separator/>
      </w:r>
    </w:p>
  </w:endnote>
  <w:endnote w:type="continuationSeparator" w:id="0">
    <w:p w:rsidR="00986C1A" w:rsidRDefault="0098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08D" w:rsidRDefault="005F0AE6" w:rsidP="00D830C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B408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4427">
      <w:rPr>
        <w:rStyle w:val="PageNumber"/>
        <w:noProof/>
      </w:rPr>
      <w:t>1</w:t>
    </w:r>
    <w:r>
      <w:rPr>
        <w:rStyle w:val="PageNumber"/>
      </w:rPr>
      <w:fldChar w:fldCharType="end"/>
    </w:r>
  </w:p>
  <w:p w:rsidR="00EB408D" w:rsidRPr="007B51E3" w:rsidRDefault="00EB408D" w:rsidP="007B51E3">
    <w:pPr>
      <w:pStyle w:val="Footer"/>
      <w:ind w:right="360"/>
      <w:jc w:val="center"/>
      <w:rPr>
        <w:b/>
        <w:bCs/>
        <w:i/>
        <w:iCs/>
      </w:rPr>
    </w:pPr>
    <w:r w:rsidRPr="007B51E3">
      <w:rPr>
        <w:b/>
        <w:bCs/>
        <w:i/>
        <w:iCs/>
      </w:rPr>
      <w:t>www.betam.bahcesehir.edu.tr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E90" w:rsidRDefault="005F0AE6" w:rsidP="00D830C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76E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4427">
      <w:rPr>
        <w:rStyle w:val="PageNumber"/>
        <w:noProof/>
      </w:rPr>
      <w:t>5</w:t>
    </w:r>
    <w:r>
      <w:rPr>
        <w:rStyle w:val="PageNumber"/>
      </w:rPr>
      <w:fldChar w:fldCharType="end"/>
    </w:r>
  </w:p>
  <w:p w:rsidR="00C76E90" w:rsidRPr="007B51E3" w:rsidRDefault="00C76E90" w:rsidP="007B51E3">
    <w:pPr>
      <w:pStyle w:val="Footer"/>
      <w:ind w:right="360"/>
      <w:jc w:val="center"/>
      <w:rPr>
        <w:b/>
        <w:bCs/>
        <w:i/>
        <w:iCs/>
      </w:rPr>
    </w:pPr>
    <w:r w:rsidRPr="007B51E3">
      <w:rPr>
        <w:b/>
        <w:bCs/>
        <w:i/>
        <w:iCs/>
      </w:rPr>
      <w:t>www.betam.bahcesehir.edu.tr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1A" w:rsidRDefault="00986C1A">
      <w:r>
        <w:separator/>
      </w:r>
    </w:p>
  </w:footnote>
  <w:footnote w:type="continuationSeparator" w:id="0">
    <w:p w:rsidR="00986C1A" w:rsidRDefault="00986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A43944"/>
    <w:multiLevelType w:val="hybridMultilevel"/>
    <w:tmpl w:val="3DD22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ECC"/>
    <w:rsid w:val="0000014A"/>
    <w:rsid w:val="000015B4"/>
    <w:rsid w:val="00001CF9"/>
    <w:rsid w:val="0000230B"/>
    <w:rsid w:val="0000306F"/>
    <w:rsid w:val="000039F2"/>
    <w:rsid w:val="00004860"/>
    <w:rsid w:val="00004B78"/>
    <w:rsid w:val="0000507C"/>
    <w:rsid w:val="000056C3"/>
    <w:rsid w:val="0000704D"/>
    <w:rsid w:val="00007178"/>
    <w:rsid w:val="00011090"/>
    <w:rsid w:val="0001121A"/>
    <w:rsid w:val="000117B7"/>
    <w:rsid w:val="0001277D"/>
    <w:rsid w:val="0001288B"/>
    <w:rsid w:val="000144EB"/>
    <w:rsid w:val="000148D5"/>
    <w:rsid w:val="000150D2"/>
    <w:rsid w:val="00017809"/>
    <w:rsid w:val="0002037B"/>
    <w:rsid w:val="000205A1"/>
    <w:rsid w:val="000208EA"/>
    <w:rsid w:val="00020F84"/>
    <w:rsid w:val="000212AC"/>
    <w:rsid w:val="000217AE"/>
    <w:rsid w:val="000224B9"/>
    <w:rsid w:val="000232EC"/>
    <w:rsid w:val="000233A7"/>
    <w:rsid w:val="00024559"/>
    <w:rsid w:val="000262EC"/>
    <w:rsid w:val="00026F21"/>
    <w:rsid w:val="00027316"/>
    <w:rsid w:val="00027FC3"/>
    <w:rsid w:val="000311C6"/>
    <w:rsid w:val="00031D72"/>
    <w:rsid w:val="0003248D"/>
    <w:rsid w:val="00033700"/>
    <w:rsid w:val="00033AF8"/>
    <w:rsid w:val="00034090"/>
    <w:rsid w:val="0003546D"/>
    <w:rsid w:val="00043365"/>
    <w:rsid w:val="000449FC"/>
    <w:rsid w:val="00044A0F"/>
    <w:rsid w:val="00045C5A"/>
    <w:rsid w:val="00047B99"/>
    <w:rsid w:val="00047E9F"/>
    <w:rsid w:val="0005037D"/>
    <w:rsid w:val="00050453"/>
    <w:rsid w:val="000507D6"/>
    <w:rsid w:val="000509A3"/>
    <w:rsid w:val="00052AD4"/>
    <w:rsid w:val="00052D7A"/>
    <w:rsid w:val="00052EFB"/>
    <w:rsid w:val="00054BD3"/>
    <w:rsid w:val="00056118"/>
    <w:rsid w:val="00056B3E"/>
    <w:rsid w:val="0005760C"/>
    <w:rsid w:val="00060119"/>
    <w:rsid w:val="00060540"/>
    <w:rsid w:val="00061256"/>
    <w:rsid w:val="000616F0"/>
    <w:rsid w:val="00061732"/>
    <w:rsid w:val="00063005"/>
    <w:rsid w:val="00064636"/>
    <w:rsid w:val="0006518B"/>
    <w:rsid w:val="00065B3C"/>
    <w:rsid w:val="0006725C"/>
    <w:rsid w:val="000678F9"/>
    <w:rsid w:val="00070FF1"/>
    <w:rsid w:val="000716BA"/>
    <w:rsid w:val="000716CA"/>
    <w:rsid w:val="0007202B"/>
    <w:rsid w:val="00072321"/>
    <w:rsid w:val="00072407"/>
    <w:rsid w:val="00074648"/>
    <w:rsid w:val="000750E3"/>
    <w:rsid w:val="00076BAC"/>
    <w:rsid w:val="0007701E"/>
    <w:rsid w:val="00077892"/>
    <w:rsid w:val="00077A9D"/>
    <w:rsid w:val="00077FF4"/>
    <w:rsid w:val="00080D7E"/>
    <w:rsid w:val="00081E3F"/>
    <w:rsid w:val="000829B5"/>
    <w:rsid w:val="00082FE4"/>
    <w:rsid w:val="000833C7"/>
    <w:rsid w:val="0008631D"/>
    <w:rsid w:val="0008735C"/>
    <w:rsid w:val="000875E6"/>
    <w:rsid w:val="00087E0A"/>
    <w:rsid w:val="00090498"/>
    <w:rsid w:val="0009059A"/>
    <w:rsid w:val="000925B3"/>
    <w:rsid w:val="00092972"/>
    <w:rsid w:val="000960F1"/>
    <w:rsid w:val="00096B4E"/>
    <w:rsid w:val="00097E2B"/>
    <w:rsid w:val="000A0D4D"/>
    <w:rsid w:val="000A2514"/>
    <w:rsid w:val="000A27A5"/>
    <w:rsid w:val="000A292B"/>
    <w:rsid w:val="000A399E"/>
    <w:rsid w:val="000A5675"/>
    <w:rsid w:val="000A583D"/>
    <w:rsid w:val="000A687F"/>
    <w:rsid w:val="000A6907"/>
    <w:rsid w:val="000A701D"/>
    <w:rsid w:val="000A79A0"/>
    <w:rsid w:val="000B0589"/>
    <w:rsid w:val="000B100E"/>
    <w:rsid w:val="000B16FB"/>
    <w:rsid w:val="000B2409"/>
    <w:rsid w:val="000B2AF0"/>
    <w:rsid w:val="000B2B47"/>
    <w:rsid w:val="000B2BF9"/>
    <w:rsid w:val="000B2E92"/>
    <w:rsid w:val="000B325E"/>
    <w:rsid w:val="000B3995"/>
    <w:rsid w:val="000B3C1E"/>
    <w:rsid w:val="000B41F3"/>
    <w:rsid w:val="000B42EA"/>
    <w:rsid w:val="000B469F"/>
    <w:rsid w:val="000B50AD"/>
    <w:rsid w:val="000B50DE"/>
    <w:rsid w:val="000B6120"/>
    <w:rsid w:val="000B6127"/>
    <w:rsid w:val="000B7B77"/>
    <w:rsid w:val="000B7E94"/>
    <w:rsid w:val="000C2102"/>
    <w:rsid w:val="000C2F1B"/>
    <w:rsid w:val="000C40CE"/>
    <w:rsid w:val="000C52BF"/>
    <w:rsid w:val="000C5B7E"/>
    <w:rsid w:val="000C667B"/>
    <w:rsid w:val="000C7A83"/>
    <w:rsid w:val="000C7B42"/>
    <w:rsid w:val="000D0C5A"/>
    <w:rsid w:val="000D1198"/>
    <w:rsid w:val="000D17A2"/>
    <w:rsid w:val="000D1F14"/>
    <w:rsid w:val="000D49FD"/>
    <w:rsid w:val="000D56EB"/>
    <w:rsid w:val="000D5927"/>
    <w:rsid w:val="000E01ED"/>
    <w:rsid w:val="000E10A3"/>
    <w:rsid w:val="000E1F75"/>
    <w:rsid w:val="000E2708"/>
    <w:rsid w:val="000E4E83"/>
    <w:rsid w:val="000E5365"/>
    <w:rsid w:val="000E631E"/>
    <w:rsid w:val="000E6807"/>
    <w:rsid w:val="000E74B5"/>
    <w:rsid w:val="000E7AB3"/>
    <w:rsid w:val="000E7CBB"/>
    <w:rsid w:val="000F0372"/>
    <w:rsid w:val="000F0C2B"/>
    <w:rsid w:val="000F1492"/>
    <w:rsid w:val="000F2DB4"/>
    <w:rsid w:val="000F360E"/>
    <w:rsid w:val="000F396D"/>
    <w:rsid w:val="000F4941"/>
    <w:rsid w:val="000F5457"/>
    <w:rsid w:val="000F71D2"/>
    <w:rsid w:val="001007B5"/>
    <w:rsid w:val="001009B7"/>
    <w:rsid w:val="001044D1"/>
    <w:rsid w:val="00106470"/>
    <w:rsid w:val="001075D1"/>
    <w:rsid w:val="00107FF7"/>
    <w:rsid w:val="001105B2"/>
    <w:rsid w:val="001117C6"/>
    <w:rsid w:val="0011236C"/>
    <w:rsid w:val="0011279B"/>
    <w:rsid w:val="00112E08"/>
    <w:rsid w:val="00113C74"/>
    <w:rsid w:val="001144FB"/>
    <w:rsid w:val="00114BC7"/>
    <w:rsid w:val="0011609A"/>
    <w:rsid w:val="00117A11"/>
    <w:rsid w:val="00117AE9"/>
    <w:rsid w:val="00121017"/>
    <w:rsid w:val="00121ABE"/>
    <w:rsid w:val="0012262F"/>
    <w:rsid w:val="001236FF"/>
    <w:rsid w:val="00123E71"/>
    <w:rsid w:val="0012410A"/>
    <w:rsid w:val="001251CC"/>
    <w:rsid w:val="00125FC6"/>
    <w:rsid w:val="001260D7"/>
    <w:rsid w:val="001261A8"/>
    <w:rsid w:val="001267DF"/>
    <w:rsid w:val="00130959"/>
    <w:rsid w:val="0013240F"/>
    <w:rsid w:val="00132E7B"/>
    <w:rsid w:val="001331CB"/>
    <w:rsid w:val="0013381D"/>
    <w:rsid w:val="001344A4"/>
    <w:rsid w:val="00135B82"/>
    <w:rsid w:val="00135B92"/>
    <w:rsid w:val="001360D1"/>
    <w:rsid w:val="00136362"/>
    <w:rsid w:val="00136A69"/>
    <w:rsid w:val="00140831"/>
    <w:rsid w:val="001408D6"/>
    <w:rsid w:val="00140E1E"/>
    <w:rsid w:val="00141143"/>
    <w:rsid w:val="00141B1A"/>
    <w:rsid w:val="00141B83"/>
    <w:rsid w:val="00141B88"/>
    <w:rsid w:val="00141B93"/>
    <w:rsid w:val="00142565"/>
    <w:rsid w:val="00143024"/>
    <w:rsid w:val="00143828"/>
    <w:rsid w:val="00143A92"/>
    <w:rsid w:val="00143DE9"/>
    <w:rsid w:val="00144285"/>
    <w:rsid w:val="001466BE"/>
    <w:rsid w:val="001510B5"/>
    <w:rsid w:val="00151BCF"/>
    <w:rsid w:val="0015370A"/>
    <w:rsid w:val="00154503"/>
    <w:rsid w:val="00154510"/>
    <w:rsid w:val="001553F2"/>
    <w:rsid w:val="0015586B"/>
    <w:rsid w:val="00155EE3"/>
    <w:rsid w:val="0015676E"/>
    <w:rsid w:val="00156914"/>
    <w:rsid w:val="00157DC2"/>
    <w:rsid w:val="00157E8F"/>
    <w:rsid w:val="001609FA"/>
    <w:rsid w:val="00160EF6"/>
    <w:rsid w:val="00161689"/>
    <w:rsid w:val="00162629"/>
    <w:rsid w:val="001632B0"/>
    <w:rsid w:val="0016401E"/>
    <w:rsid w:val="001653F9"/>
    <w:rsid w:val="00165552"/>
    <w:rsid w:val="00165AAB"/>
    <w:rsid w:val="00165C4C"/>
    <w:rsid w:val="00165C59"/>
    <w:rsid w:val="00165CB0"/>
    <w:rsid w:val="001664DC"/>
    <w:rsid w:val="00166FE5"/>
    <w:rsid w:val="00167D69"/>
    <w:rsid w:val="00170502"/>
    <w:rsid w:val="00170CA9"/>
    <w:rsid w:val="0017121A"/>
    <w:rsid w:val="00171424"/>
    <w:rsid w:val="00172263"/>
    <w:rsid w:val="00173824"/>
    <w:rsid w:val="00174066"/>
    <w:rsid w:val="00175574"/>
    <w:rsid w:val="00175F89"/>
    <w:rsid w:val="00176E56"/>
    <w:rsid w:val="001771BD"/>
    <w:rsid w:val="00177FE3"/>
    <w:rsid w:val="0018034E"/>
    <w:rsid w:val="00180C8C"/>
    <w:rsid w:val="00181B5A"/>
    <w:rsid w:val="00182F2B"/>
    <w:rsid w:val="001834EF"/>
    <w:rsid w:val="00183507"/>
    <w:rsid w:val="001837A6"/>
    <w:rsid w:val="00183896"/>
    <w:rsid w:val="0018601B"/>
    <w:rsid w:val="00186DB6"/>
    <w:rsid w:val="00190F20"/>
    <w:rsid w:val="0019159E"/>
    <w:rsid w:val="001927BD"/>
    <w:rsid w:val="00193682"/>
    <w:rsid w:val="001938A7"/>
    <w:rsid w:val="00193F73"/>
    <w:rsid w:val="001949ED"/>
    <w:rsid w:val="0019538C"/>
    <w:rsid w:val="00197085"/>
    <w:rsid w:val="00197ACB"/>
    <w:rsid w:val="00197D95"/>
    <w:rsid w:val="001A054B"/>
    <w:rsid w:val="001A2051"/>
    <w:rsid w:val="001A2B3D"/>
    <w:rsid w:val="001A3025"/>
    <w:rsid w:val="001A319A"/>
    <w:rsid w:val="001A4381"/>
    <w:rsid w:val="001A45BC"/>
    <w:rsid w:val="001A45E3"/>
    <w:rsid w:val="001A528A"/>
    <w:rsid w:val="001A5534"/>
    <w:rsid w:val="001A6188"/>
    <w:rsid w:val="001A6206"/>
    <w:rsid w:val="001A772F"/>
    <w:rsid w:val="001B0683"/>
    <w:rsid w:val="001B0EF9"/>
    <w:rsid w:val="001B1651"/>
    <w:rsid w:val="001B1CE5"/>
    <w:rsid w:val="001B2F96"/>
    <w:rsid w:val="001B30CF"/>
    <w:rsid w:val="001B30E0"/>
    <w:rsid w:val="001B34B5"/>
    <w:rsid w:val="001B3B49"/>
    <w:rsid w:val="001B3C7B"/>
    <w:rsid w:val="001B6852"/>
    <w:rsid w:val="001B6AFA"/>
    <w:rsid w:val="001B76BB"/>
    <w:rsid w:val="001C0377"/>
    <w:rsid w:val="001C184E"/>
    <w:rsid w:val="001C295D"/>
    <w:rsid w:val="001C4996"/>
    <w:rsid w:val="001C62D3"/>
    <w:rsid w:val="001C6BAB"/>
    <w:rsid w:val="001C7334"/>
    <w:rsid w:val="001C7C05"/>
    <w:rsid w:val="001D09B1"/>
    <w:rsid w:val="001D129A"/>
    <w:rsid w:val="001D1F1B"/>
    <w:rsid w:val="001D2615"/>
    <w:rsid w:val="001D39B6"/>
    <w:rsid w:val="001D3F5A"/>
    <w:rsid w:val="001D436C"/>
    <w:rsid w:val="001D6B75"/>
    <w:rsid w:val="001D76BF"/>
    <w:rsid w:val="001E0274"/>
    <w:rsid w:val="001E115E"/>
    <w:rsid w:val="001E27F8"/>
    <w:rsid w:val="001E2EE8"/>
    <w:rsid w:val="001E30C3"/>
    <w:rsid w:val="001E3C27"/>
    <w:rsid w:val="001E4BF5"/>
    <w:rsid w:val="001E5387"/>
    <w:rsid w:val="001E739D"/>
    <w:rsid w:val="001E75C8"/>
    <w:rsid w:val="001E7720"/>
    <w:rsid w:val="001E7744"/>
    <w:rsid w:val="001F2761"/>
    <w:rsid w:val="001F2A11"/>
    <w:rsid w:val="001F4CFB"/>
    <w:rsid w:val="001F583D"/>
    <w:rsid w:val="001F6F00"/>
    <w:rsid w:val="001F7144"/>
    <w:rsid w:val="001F71A5"/>
    <w:rsid w:val="001F7216"/>
    <w:rsid w:val="001F775A"/>
    <w:rsid w:val="00200D5C"/>
    <w:rsid w:val="0020167B"/>
    <w:rsid w:val="00204364"/>
    <w:rsid w:val="0020464B"/>
    <w:rsid w:val="00206291"/>
    <w:rsid w:val="00206862"/>
    <w:rsid w:val="00207185"/>
    <w:rsid w:val="00207313"/>
    <w:rsid w:val="0020739E"/>
    <w:rsid w:val="00207C8A"/>
    <w:rsid w:val="00207CC3"/>
    <w:rsid w:val="0021024B"/>
    <w:rsid w:val="00212675"/>
    <w:rsid w:val="00213153"/>
    <w:rsid w:val="0021387C"/>
    <w:rsid w:val="0021657F"/>
    <w:rsid w:val="0021684B"/>
    <w:rsid w:val="002168E5"/>
    <w:rsid w:val="002173B9"/>
    <w:rsid w:val="0021766E"/>
    <w:rsid w:val="002176C5"/>
    <w:rsid w:val="00217D35"/>
    <w:rsid w:val="00220B5E"/>
    <w:rsid w:val="00221184"/>
    <w:rsid w:val="002216A9"/>
    <w:rsid w:val="00223A5B"/>
    <w:rsid w:val="002242A1"/>
    <w:rsid w:val="00224908"/>
    <w:rsid w:val="00224F8E"/>
    <w:rsid w:val="00225204"/>
    <w:rsid w:val="002267C7"/>
    <w:rsid w:val="00226D50"/>
    <w:rsid w:val="002272CB"/>
    <w:rsid w:val="00227E25"/>
    <w:rsid w:val="00231E92"/>
    <w:rsid w:val="00232243"/>
    <w:rsid w:val="0023312F"/>
    <w:rsid w:val="00233D56"/>
    <w:rsid w:val="00233FED"/>
    <w:rsid w:val="002345CA"/>
    <w:rsid w:val="00234DDB"/>
    <w:rsid w:val="00237255"/>
    <w:rsid w:val="00237353"/>
    <w:rsid w:val="0024030B"/>
    <w:rsid w:val="00241A67"/>
    <w:rsid w:val="00243212"/>
    <w:rsid w:val="00243355"/>
    <w:rsid w:val="00243BC2"/>
    <w:rsid w:val="00245B1F"/>
    <w:rsid w:val="00251885"/>
    <w:rsid w:val="00251DE2"/>
    <w:rsid w:val="00251E82"/>
    <w:rsid w:val="002524E8"/>
    <w:rsid w:val="00252FAF"/>
    <w:rsid w:val="00253D39"/>
    <w:rsid w:val="0025486C"/>
    <w:rsid w:val="00254A99"/>
    <w:rsid w:val="00255059"/>
    <w:rsid w:val="002563B1"/>
    <w:rsid w:val="002569EA"/>
    <w:rsid w:val="002576F7"/>
    <w:rsid w:val="0026114C"/>
    <w:rsid w:val="002614C1"/>
    <w:rsid w:val="00261A05"/>
    <w:rsid w:val="00261B02"/>
    <w:rsid w:val="00262020"/>
    <w:rsid w:val="00264335"/>
    <w:rsid w:val="002654A6"/>
    <w:rsid w:val="00265BC9"/>
    <w:rsid w:val="002670FE"/>
    <w:rsid w:val="00267EB4"/>
    <w:rsid w:val="0027244B"/>
    <w:rsid w:val="00273CB4"/>
    <w:rsid w:val="00273E62"/>
    <w:rsid w:val="002747A6"/>
    <w:rsid w:val="00277E58"/>
    <w:rsid w:val="002802F2"/>
    <w:rsid w:val="00280552"/>
    <w:rsid w:val="002816C6"/>
    <w:rsid w:val="00281D8F"/>
    <w:rsid w:val="002820F1"/>
    <w:rsid w:val="00283666"/>
    <w:rsid w:val="002837D1"/>
    <w:rsid w:val="00284A28"/>
    <w:rsid w:val="002854D6"/>
    <w:rsid w:val="00285656"/>
    <w:rsid w:val="002871E8"/>
    <w:rsid w:val="0029079C"/>
    <w:rsid w:val="00291C79"/>
    <w:rsid w:val="0029246E"/>
    <w:rsid w:val="002926A2"/>
    <w:rsid w:val="002926BF"/>
    <w:rsid w:val="00293DC6"/>
    <w:rsid w:val="0029480C"/>
    <w:rsid w:val="002955CC"/>
    <w:rsid w:val="00295AFF"/>
    <w:rsid w:val="00297710"/>
    <w:rsid w:val="00297712"/>
    <w:rsid w:val="002A05DB"/>
    <w:rsid w:val="002A17E5"/>
    <w:rsid w:val="002A1FA0"/>
    <w:rsid w:val="002A3EDD"/>
    <w:rsid w:val="002A49A3"/>
    <w:rsid w:val="002A4AF7"/>
    <w:rsid w:val="002A5D22"/>
    <w:rsid w:val="002A5EBF"/>
    <w:rsid w:val="002A66ED"/>
    <w:rsid w:val="002B0426"/>
    <w:rsid w:val="002B3129"/>
    <w:rsid w:val="002B3644"/>
    <w:rsid w:val="002B58B1"/>
    <w:rsid w:val="002B626B"/>
    <w:rsid w:val="002B73C6"/>
    <w:rsid w:val="002C0FB2"/>
    <w:rsid w:val="002C11F9"/>
    <w:rsid w:val="002C236E"/>
    <w:rsid w:val="002C25CE"/>
    <w:rsid w:val="002C2DA3"/>
    <w:rsid w:val="002C4200"/>
    <w:rsid w:val="002C49EC"/>
    <w:rsid w:val="002C5F2D"/>
    <w:rsid w:val="002C7D04"/>
    <w:rsid w:val="002D1908"/>
    <w:rsid w:val="002D19D8"/>
    <w:rsid w:val="002D2F1A"/>
    <w:rsid w:val="002D3C8B"/>
    <w:rsid w:val="002D4158"/>
    <w:rsid w:val="002D44DC"/>
    <w:rsid w:val="002D584B"/>
    <w:rsid w:val="002D7342"/>
    <w:rsid w:val="002E02BA"/>
    <w:rsid w:val="002E0E16"/>
    <w:rsid w:val="002E1EA4"/>
    <w:rsid w:val="002E205D"/>
    <w:rsid w:val="002E2084"/>
    <w:rsid w:val="002E26DA"/>
    <w:rsid w:val="002E31DD"/>
    <w:rsid w:val="002E41FC"/>
    <w:rsid w:val="002E5D5E"/>
    <w:rsid w:val="002E6E82"/>
    <w:rsid w:val="002E6F28"/>
    <w:rsid w:val="002E6F87"/>
    <w:rsid w:val="002E7357"/>
    <w:rsid w:val="002E7860"/>
    <w:rsid w:val="002F01DF"/>
    <w:rsid w:val="002F10BD"/>
    <w:rsid w:val="002F129C"/>
    <w:rsid w:val="002F150B"/>
    <w:rsid w:val="002F21C6"/>
    <w:rsid w:val="002F3718"/>
    <w:rsid w:val="002F3940"/>
    <w:rsid w:val="002F4648"/>
    <w:rsid w:val="002F467E"/>
    <w:rsid w:val="002F5134"/>
    <w:rsid w:val="002F5863"/>
    <w:rsid w:val="002F5C24"/>
    <w:rsid w:val="002F5E1E"/>
    <w:rsid w:val="002F61A9"/>
    <w:rsid w:val="002F64AE"/>
    <w:rsid w:val="002F6BD8"/>
    <w:rsid w:val="003001AF"/>
    <w:rsid w:val="003009F0"/>
    <w:rsid w:val="0030120F"/>
    <w:rsid w:val="003012EA"/>
    <w:rsid w:val="0030237B"/>
    <w:rsid w:val="00303A3C"/>
    <w:rsid w:val="003044A5"/>
    <w:rsid w:val="0030512F"/>
    <w:rsid w:val="003051E6"/>
    <w:rsid w:val="00306265"/>
    <w:rsid w:val="00306F51"/>
    <w:rsid w:val="00307494"/>
    <w:rsid w:val="003075BC"/>
    <w:rsid w:val="00307B72"/>
    <w:rsid w:val="0031043B"/>
    <w:rsid w:val="003118F7"/>
    <w:rsid w:val="00312428"/>
    <w:rsid w:val="0031249B"/>
    <w:rsid w:val="00312D6E"/>
    <w:rsid w:val="00312DB8"/>
    <w:rsid w:val="00312EB0"/>
    <w:rsid w:val="003134C3"/>
    <w:rsid w:val="003136F7"/>
    <w:rsid w:val="003142BA"/>
    <w:rsid w:val="003143D4"/>
    <w:rsid w:val="003146E6"/>
    <w:rsid w:val="003161A5"/>
    <w:rsid w:val="0031673E"/>
    <w:rsid w:val="0031682C"/>
    <w:rsid w:val="00316CE9"/>
    <w:rsid w:val="00316DB4"/>
    <w:rsid w:val="00320218"/>
    <w:rsid w:val="003202F8"/>
    <w:rsid w:val="003208B4"/>
    <w:rsid w:val="00320F7D"/>
    <w:rsid w:val="00321533"/>
    <w:rsid w:val="003223B0"/>
    <w:rsid w:val="003230DA"/>
    <w:rsid w:val="00323169"/>
    <w:rsid w:val="003234F0"/>
    <w:rsid w:val="00323CA6"/>
    <w:rsid w:val="00324A91"/>
    <w:rsid w:val="00324C15"/>
    <w:rsid w:val="003269F7"/>
    <w:rsid w:val="003270D6"/>
    <w:rsid w:val="0033129D"/>
    <w:rsid w:val="00332DBD"/>
    <w:rsid w:val="003333BF"/>
    <w:rsid w:val="00333B98"/>
    <w:rsid w:val="00333C8E"/>
    <w:rsid w:val="003341A9"/>
    <w:rsid w:val="0033675F"/>
    <w:rsid w:val="00337AE5"/>
    <w:rsid w:val="0034012E"/>
    <w:rsid w:val="0034025B"/>
    <w:rsid w:val="00341195"/>
    <w:rsid w:val="0034138A"/>
    <w:rsid w:val="0034251A"/>
    <w:rsid w:val="00342E6B"/>
    <w:rsid w:val="00344555"/>
    <w:rsid w:val="00344F97"/>
    <w:rsid w:val="0034543C"/>
    <w:rsid w:val="00346201"/>
    <w:rsid w:val="003466B0"/>
    <w:rsid w:val="003467E7"/>
    <w:rsid w:val="00347B6F"/>
    <w:rsid w:val="00347FA0"/>
    <w:rsid w:val="003500D5"/>
    <w:rsid w:val="00353167"/>
    <w:rsid w:val="0035343B"/>
    <w:rsid w:val="003541B6"/>
    <w:rsid w:val="003545A8"/>
    <w:rsid w:val="003552A4"/>
    <w:rsid w:val="00356020"/>
    <w:rsid w:val="003561D2"/>
    <w:rsid w:val="003561F1"/>
    <w:rsid w:val="00356266"/>
    <w:rsid w:val="003578FF"/>
    <w:rsid w:val="00357987"/>
    <w:rsid w:val="00357C3B"/>
    <w:rsid w:val="00357DEF"/>
    <w:rsid w:val="00357ECC"/>
    <w:rsid w:val="003622FF"/>
    <w:rsid w:val="00362436"/>
    <w:rsid w:val="00362D77"/>
    <w:rsid w:val="003634C2"/>
    <w:rsid w:val="00363ECE"/>
    <w:rsid w:val="003640DE"/>
    <w:rsid w:val="00365B7D"/>
    <w:rsid w:val="00366A30"/>
    <w:rsid w:val="00366D41"/>
    <w:rsid w:val="00375126"/>
    <w:rsid w:val="00375CC6"/>
    <w:rsid w:val="00375D36"/>
    <w:rsid w:val="00376AC1"/>
    <w:rsid w:val="00376F93"/>
    <w:rsid w:val="00377FEF"/>
    <w:rsid w:val="0038134D"/>
    <w:rsid w:val="00381CA9"/>
    <w:rsid w:val="00382C02"/>
    <w:rsid w:val="00382F97"/>
    <w:rsid w:val="0038488E"/>
    <w:rsid w:val="00385F45"/>
    <w:rsid w:val="00390136"/>
    <w:rsid w:val="00390F9C"/>
    <w:rsid w:val="00392A7C"/>
    <w:rsid w:val="00394F60"/>
    <w:rsid w:val="0039541E"/>
    <w:rsid w:val="00395F95"/>
    <w:rsid w:val="00396CE9"/>
    <w:rsid w:val="00397518"/>
    <w:rsid w:val="0039785D"/>
    <w:rsid w:val="003A2B60"/>
    <w:rsid w:val="003A2C52"/>
    <w:rsid w:val="003A31B2"/>
    <w:rsid w:val="003A3575"/>
    <w:rsid w:val="003A3A25"/>
    <w:rsid w:val="003A3A61"/>
    <w:rsid w:val="003A4593"/>
    <w:rsid w:val="003A5C17"/>
    <w:rsid w:val="003A6089"/>
    <w:rsid w:val="003A6471"/>
    <w:rsid w:val="003A78A3"/>
    <w:rsid w:val="003B00C3"/>
    <w:rsid w:val="003B0180"/>
    <w:rsid w:val="003B0F7E"/>
    <w:rsid w:val="003B148B"/>
    <w:rsid w:val="003B199A"/>
    <w:rsid w:val="003B1BE8"/>
    <w:rsid w:val="003B241B"/>
    <w:rsid w:val="003B2FC4"/>
    <w:rsid w:val="003B33D9"/>
    <w:rsid w:val="003B35C5"/>
    <w:rsid w:val="003B4343"/>
    <w:rsid w:val="003B472B"/>
    <w:rsid w:val="003B4A44"/>
    <w:rsid w:val="003B5209"/>
    <w:rsid w:val="003B65FB"/>
    <w:rsid w:val="003B757A"/>
    <w:rsid w:val="003C280B"/>
    <w:rsid w:val="003C2B2A"/>
    <w:rsid w:val="003C2BAF"/>
    <w:rsid w:val="003C3188"/>
    <w:rsid w:val="003C640D"/>
    <w:rsid w:val="003C6B73"/>
    <w:rsid w:val="003C6C41"/>
    <w:rsid w:val="003C7051"/>
    <w:rsid w:val="003C791D"/>
    <w:rsid w:val="003C7C35"/>
    <w:rsid w:val="003D0AB6"/>
    <w:rsid w:val="003D0E64"/>
    <w:rsid w:val="003D1BAD"/>
    <w:rsid w:val="003D2405"/>
    <w:rsid w:val="003D472B"/>
    <w:rsid w:val="003D7373"/>
    <w:rsid w:val="003D7D0B"/>
    <w:rsid w:val="003D7E7F"/>
    <w:rsid w:val="003E1C92"/>
    <w:rsid w:val="003E3D21"/>
    <w:rsid w:val="003E40B5"/>
    <w:rsid w:val="003E4DF6"/>
    <w:rsid w:val="003E512C"/>
    <w:rsid w:val="003E5EC3"/>
    <w:rsid w:val="003E6614"/>
    <w:rsid w:val="003E6807"/>
    <w:rsid w:val="003E6BDC"/>
    <w:rsid w:val="003F1E42"/>
    <w:rsid w:val="003F26DD"/>
    <w:rsid w:val="003F367C"/>
    <w:rsid w:val="003F36D7"/>
    <w:rsid w:val="003F47E3"/>
    <w:rsid w:val="003F503B"/>
    <w:rsid w:val="003F60C0"/>
    <w:rsid w:val="003F6C96"/>
    <w:rsid w:val="003F7185"/>
    <w:rsid w:val="003F7D4B"/>
    <w:rsid w:val="0040061A"/>
    <w:rsid w:val="00402158"/>
    <w:rsid w:val="00402270"/>
    <w:rsid w:val="00405E96"/>
    <w:rsid w:val="0040602A"/>
    <w:rsid w:val="00407480"/>
    <w:rsid w:val="004074ED"/>
    <w:rsid w:val="0041003A"/>
    <w:rsid w:val="00412181"/>
    <w:rsid w:val="00412C49"/>
    <w:rsid w:val="004133E5"/>
    <w:rsid w:val="00413AFE"/>
    <w:rsid w:val="004143B2"/>
    <w:rsid w:val="00414443"/>
    <w:rsid w:val="00415FC4"/>
    <w:rsid w:val="00416189"/>
    <w:rsid w:val="00417092"/>
    <w:rsid w:val="00417568"/>
    <w:rsid w:val="00421D0B"/>
    <w:rsid w:val="004224C5"/>
    <w:rsid w:val="00422927"/>
    <w:rsid w:val="004229DE"/>
    <w:rsid w:val="00423602"/>
    <w:rsid w:val="004239AE"/>
    <w:rsid w:val="00423E8F"/>
    <w:rsid w:val="004251B6"/>
    <w:rsid w:val="004259B8"/>
    <w:rsid w:val="00425C5D"/>
    <w:rsid w:val="004269DA"/>
    <w:rsid w:val="0042798D"/>
    <w:rsid w:val="00432F82"/>
    <w:rsid w:val="00434618"/>
    <w:rsid w:val="00434AAB"/>
    <w:rsid w:val="00434B76"/>
    <w:rsid w:val="00435527"/>
    <w:rsid w:val="00435FF5"/>
    <w:rsid w:val="0043681C"/>
    <w:rsid w:val="00437273"/>
    <w:rsid w:val="004403F0"/>
    <w:rsid w:val="00440820"/>
    <w:rsid w:val="00443150"/>
    <w:rsid w:val="00444109"/>
    <w:rsid w:val="004441AD"/>
    <w:rsid w:val="00444DA6"/>
    <w:rsid w:val="00445C19"/>
    <w:rsid w:val="004466EA"/>
    <w:rsid w:val="00446A31"/>
    <w:rsid w:val="00446D37"/>
    <w:rsid w:val="004475A9"/>
    <w:rsid w:val="0044794F"/>
    <w:rsid w:val="00447CD2"/>
    <w:rsid w:val="00450447"/>
    <w:rsid w:val="00450723"/>
    <w:rsid w:val="00453D77"/>
    <w:rsid w:val="00454254"/>
    <w:rsid w:val="00454313"/>
    <w:rsid w:val="00454965"/>
    <w:rsid w:val="00455679"/>
    <w:rsid w:val="00461612"/>
    <w:rsid w:val="0046178B"/>
    <w:rsid w:val="00462314"/>
    <w:rsid w:val="00462E07"/>
    <w:rsid w:val="0046331C"/>
    <w:rsid w:val="00463512"/>
    <w:rsid w:val="0046362C"/>
    <w:rsid w:val="00463BBF"/>
    <w:rsid w:val="00463C05"/>
    <w:rsid w:val="00466C2F"/>
    <w:rsid w:val="004701D0"/>
    <w:rsid w:val="00470E4D"/>
    <w:rsid w:val="00472098"/>
    <w:rsid w:val="0047308C"/>
    <w:rsid w:val="00474C08"/>
    <w:rsid w:val="00474D75"/>
    <w:rsid w:val="004764CC"/>
    <w:rsid w:val="004764EE"/>
    <w:rsid w:val="0047693B"/>
    <w:rsid w:val="00476D76"/>
    <w:rsid w:val="004771EB"/>
    <w:rsid w:val="004814D5"/>
    <w:rsid w:val="004814F0"/>
    <w:rsid w:val="00482771"/>
    <w:rsid w:val="00483180"/>
    <w:rsid w:val="00483C58"/>
    <w:rsid w:val="00484222"/>
    <w:rsid w:val="00485866"/>
    <w:rsid w:val="00485F46"/>
    <w:rsid w:val="0048785A"/>
    <w:rsid w:val="00491855"/>
    <w:rsid w:val="00491CDD"/>
    <w:rsid w:val="0049412C"/>
    <w:rsid w:val="00494345"/>
    <w:rsid w:val="00495192"/>
    <w:rsid w:val="004956C0"/>
    <w:rsid w:val="004A0D43"/>
    <w:rsid w:val="004A1818"/>
    <w:rsid w:val="004A1C7F"/>
    <w:rsid w:val="004A3EE9"/>
    <w:rsid w:val="004A4431"/>
    <w:rsid w:val="004A4E4F"/>
    <w:rsid w:val="004A56E7"/>
    <w:rsid w:val="004A7738"/>
    <w:rsid w:val="004A7750"/>
    <w:rsid w:val="004A7FE6"/>
    <w:rsid w:val="004B02B9"/>
    <w:rsid w:val="004B0B90"/>
    <w:rsid w:val="004B2F0D"/>
    <w:rsid w:val="004B30FB"/>
    <w:rsid w:val="004B398F"/>
    <w:rsid w:val="004B3F80"/>
    <w:rsid w:val="004B40EE"/>
    <w:rsid w:val="004B45F4"/>
    <w:rsid w:val="004B4A27"/>
    <w:rsid w:val="004C0A8D"/>
    <w:rsid w:val="004C2024"/>
    <w:rsid w:val="004C25F6"/>
    <w:rsid w:val="004C2D19"/>
    <w:rsid w:val="004C357C"/>
    <w:rsid w:val="004C62C6"/>
    <w:rsid w:val="004D100D"/>
    <w:rsid w:val="004D1B32"/>
    <w:rsid w:val="004D2626"/>
    <w:rsid w:val="004D2C34"/>
    <w:rsid w:val="004D2E28"/>
    <w:rsid w:val="004D3901"/>
    <w:rsid w:val="004D3F5D"/>
    <w:rsid w:val="004D41D8"/>
    <w:rsid w:val="004D5E10"/>
    <w:rsid w:val="004D609D"/>
    <w:rsid w:val="004D67C5"/>
    <w:rsid w:val="004D6E34"/>
    <w:rsid w:val="004D7E65"/>
    <w:rsid w:val="004E00D0"/>
    <w:rsid w:val="004E07DC"/>
    <w:rsid w:val="004E0851"/>
    <w:rsid w:val="004E0939"/>
    <w:rsid w:val="004E1AB5"/>
    <w:rsid w:val="004E1AE2"/>
    <w:rsid w:val="004E4165"/>
    <w:rsid w:val="004E5446"/>
    <w:rsid w:val="004E6678"/>
    <w:rsid w:val="004E7F1E"/>
    <w:rsid w:val="004F059F"/>
    <w:rsid w:val="004F1352"/>
    <w:rsid w:val="004F2868"/>
    <w:rsid w:val="004F55F8"/>
    <w:rsid w:val="004F6ACE"/>
    <w:rsid w:val="004F7447"/>
    <w:rsid w:val="004F76D9"/>
    <w:rsid w:val="004F7E37"/>
    <w:rsid w:val="00501F2F"/>
    <w:rsid w:val="00505141"/>
    <w:rsid w:val="005066A2"/>
    <w:rsid w:val="00506CD9"/>
    <w:rsid w:val="00511753"/>
    <w:rsid w:val="00511EF3"/>
    <w:rsid w:val="00512AE9"/>
    <w:rsid w:val="00512E41"/>
    <w:rsid w:val="00513472"/>
    <w:rsid w:val="00513FBF"/>
    <w:rsid w:val="00516576"/>
    <w:rsid w:val="0051750C"/>
    <w:rsid w:val="005218A3"/>
    <w:rsid w:val="00521D8D"/>
    <w:rsid w:val="00522063"/>
    <w:rsid w:val="00522ED0"/>
    <w:rsid w:val="00523826"/>
    <w:rsid w:val="00523C58"/>
    <w:rsid w:val="00524CFC"/>
    <w:rsid w:val="005253A2"/>
    <w:rsid w:val="0052557E"/>
    <w:rsid w:val="00525782"/>
    <w:rsid w:val="00526CC9"/>
    <w:rsid w:val="0052770E"/>
    <w:rsid w:val="00530C05"/>
    <w:rsid w:val="005310F8"/>
    <w:rsid w:val="0053163F"/>
    <w:rsid w:val="00533826"/>
    <w:rsid w:val="005347F8"/>
    <w:rsid w:val="00534CA7"/>
    <w:rsid w:val="00535BAD"/>
    <w:rsid w:val="00535C26"/>
    <w:rsid w:val="00536008"/>
    <w:rsid w:val="00536B3B"/>
    <w:rsid w:val="00537DBB"/>
    <w:rsid w:val="00541D0D"/>
    <w:rsid w:val="005429D2"/>
    <w:rsid w:val="005435C8"/>
    <w:rsid w:val="00543E56"/>
    <w:rsid w:val="00544A5C"/>
    <w:rsid w:val="0054542E"/>
    <w:rsid w:val="00546326"/>
    <w:rsid w:val="00546B72"/>
    <w:rsid w:val="005470EC"/>
    <w:rsid w:val="00550399"/>
    <w:rsid w:val="00551433"/>
    <w:rsid w:val="005514CA"/>
    <w:rsid w:val="00552380"/>
    <w:rsid w:val="005525BE"/>
    <w:rsid w:val="00556328"/>
    <w:rsid w:val="00556D13"/>
    <w:rsid w:val="00560806"/>
    <w:rsid w:val="005618BD"/>
    <w:rsid w:val="00563399"/>
    <w:rsid w:val="0056591F"/>
    <w:rsid w:val="00566E5E"/>
    <w:rsid w:val="00570EFE"/>
    <w:rsid w:val="00571282"/>
    <w:rsid w:val="00571E9F"/>
    <w:rsid w:val="00573C3B"/>
    <w:rsid w:val="00574E1B"/>
    <w:rsid w:val="0058041E"/>
    <w:rsid w:val="00583974"/>
    <w:rsid w:val="005860AC"/>
    <w:rsid w:val="005870AA"/>
    <w:rsid w:val="0058722C"/>
    <w:rsid w:val="0058799A"/>
    <w:rsid w:val="00587F62"/>
    <w:rsid w:val="00590149"/>
    <w:rsid w:val="00591DBC"/>
    <w:rsid w:val="00592358"/>
    <w:rsid w:val="00592FD2"/>
    <w:rsid w:val="0059373B"/>
    <w:rsid w:val="00593956"/>
    <w:rsid w:val="00593B80"/>
    <w:rsid w:val="00596A1C"/>
    <w:rsid w:val="00596FDB"/>
    <w:rsid w:val="005A06D3"/>
    <w:rsid w:val="005A0AC2"/>
    <w:rsid w:val="005A0AF8"/>
    <w:rsid w:val="005A0E6F"/>
    <w:rsid w:val="005A1E77"/>
    <w:rsid w:val="005A2B2E"/>
    <w:rsid w:val="005A3E49"/>
    <w:rsid w:val="005A4714"/>
    <w:rsid w:val="005A47EC"/>
    <w:rsid w:val="005A73A1"/>
    <w:rsid w:val="005B1B07"/>
    <w:rsid w:val="005B551F"/>
    <w:rsid w:val="005B5D93"/>
    <w:rsid w:val="005B66C8"/>
    <w:rsid w:val="005C0A9A"/>
    <w:rsid w:val="005C11DE"/>
    <w:rsid w:val="005C1DE1"/>
    <w:rsid w:val="005C28BC"/>
    <w:rsid w:val="005C4EA4"/>
    <w:rsid w:val="005D0287"/>
    <w:rsid w:val="005D06A8"/>
    <w:rsid w:val="005D07B2"/>
    <w:rsid w:val="005D092B"/>
    <w:rsid w:val="005D0AD6"/>
    <w:rsid w:val="005D10E5"/>
    <w:rsid w:val="005D16ED"/>
    <w:rsid w:val="005D39F3"/>
    <w:rsid w:val="005D46EE"/>
    <w:rsid w:val="005D6E49"/>
    <w:rsid w:val="005D7E62"/>
    <w:rsid w:val="005E0596"/>
    <w:rsid w:val="005E0731"/>
    <w:rsid w:val="005E13DF"/>
    <w:rsid w:val="005E1D9A"/>
    <w:rsid w:val="005E2073"/>
    <w:rsid w:val="005E2983"/>
    <w:rsid w:val="005E3ECE"/>
    <w:rsid w:val="005E3EE4"/>
    <w:rsid w:val="005E4877"/>
    <w:rsid w:val="005E5FD0"/>
    <w:rsid w:val="005E6479"/>
    <w:rsid w:val="005E6778"/>
    <w:rsid w:val="005F03CC"/>
    <w:rsid w:val="005F0AE6"/>
    <w:rsid w:val="005F10D3"/>
    <w:rsid w:val="005F1B41"/>
    <w:rsid w:val="005F2063"/>
    <w:rsid w:val="005F2279"/>
    <w:rsid w:val="005F2A5B"/>
    <w:rsid w:val="005F31BE"/>
    <w:rsid w:val="005F36AB"/>
    <w:rsid w:val="005F442A"/>
    <w:rsid w:val="005F700B"/>
    <w:rsid w:val="006007C7"/>
    <w:rsid w:val="00600B5F"/>
    <w:rsid w:val="00600FFC"/>
    <w:rsid w:val="0060133B"/>
    <w:rsid w:val="0060156F"/>
    <w:rsid w:val="006015A3"/>
    <w:rsid w:val="00601A1D"/>
    <w:rsid w:val="00601C31"/>
    <w:rsid w:val="00602BC6"/>
    <w:rsid w:val="00602EB0"/>
    <w:rsid w:val="00603311"/>
    <w:rsid w:val="00603888"/>
    <w:rsid w:val="00603C6D"/>
    <w:rsid w:val="006040ED"/>
    <w:rsid w:val="00604415"/>
    <w:rsid w:val="00604F92"/>
    <w:rsid w:val="0060655F"/>
    <w:rsid w:val="00606EB8"/>
    <w:rsid w:val="006079B9"/>
    <w:rsid w:val="00613A11"/>
    <w:rsid w:val="00613B72"/>
    <w:rsid w:val="0061706E"/>
    <w:rsid w:val="006224B6"/>
    <w:rsid w:val="006227B4"/>
    <w:rsid w:val="00622914"/>
    <w:rsid w:val="0062291A"/>
    <w:rsid w:val="00622AA8"/>
    <w:rsid w:val="00622D91"/>
    <w:rsid w:val="006237CF"/>
    <w:rsid w:val="00623B31"/>
    <w:rsid w:val="00623C7E"/>
    <w:rsid w:val="00624BC1"/>
    <w:rsid w:val="0062575D"/>
    <w:rsid w:val="00626CC1"/>
    <w:rsid w:val="0063164E"/>
    <w:rsid w:val="0063265F"/>
    <w:rsid w:val="0063286C"/>
    <w:rsid w:val="006335A2"/>
    <w:rsid w:val="00635FF5"/>
    <w:rsid w:val="00636375"/>
    <w:rsid w:val="006364C9"/>
    <w:rsid w:val="00636DD3"/>
    <w:rsid w:val="00637FF0"/>
    <w:rsid w:val="0064166F"/>
    <w:rsid w:val="00643373"/>
    <w:rsid w:val="0064342E"/>
    <w:rsid w:val="00643C4C"/>
    <w:rsid w:val="00644764"/>
    <w:rsid w:val="0064549C"/>
    <w:rsid w:val="0064601A"/>
    <w:rsid w:val="00647314"/>
    <w:rsid w:val="00647676"/>
    <w:rsid w:val="00647DB2"/>
    <w:rsid w:val="00647DB4"/>
    <w:rsid w:val="006502E3"/>
    <w:rsid w:val="006511AA"/>
    <w:rsid w:val="006522C9"/>
    <w:rsid w:val="00653325"/>
    <w:rsid w:val="00653E7B"/>
    <w:rsid w:val="00655823"/>
    <w:rsid w:val="00660F48"/>
    <w:rsid w:val="00665483"/>
    <w:rsid w:val="00665640"/>
    <w:rsid w:val="0066619C"/>
    <w:rsid w:val="00670083"/>
    <w:rsid w:val="006702D1"/>
    <w:rsid w:val="006704F7"/>
    <w:rsid w:val="006707E3"/>
    <w:rsid w:val="00670A74"/>
    <w:rsid w:val="006713C0"/>
    <w:rsid w:val="006717CE"/>
    <w:rsid w:val="00671A5B"/>
    <w:rsid w:val="00673A3D"/>
    <w:rsid w:val="00673DB8"/>
    <w:rsid w:val="00674304"/>
    <w:rsid w:val="00674779"/>
    <w:rsid w:val="00674A7F"/>
    <w:rsid w:val="006761CA"/>
    <w:rsid w:val="00676D51"/>
    <w:rsid w:val="00676EAB"/>
    <w:rsid w:val="0067747F"/>
    <w:rsid w:val="00680C1A"/>
    <w:rsid w:val="006811DC"/>
    <w:rsid w:val="00682DEE"/>
    <w:rsid w:val="006836A7"/>
    <w:rsid w:val="00683A24"/>
    <w:rsid w:val="006868AD"/>
    <w:rsid w:val="00686A10"/>
    <w:rsid w:val="006872DB"/>
    <w:rsid w:val="006902D8"/>
    <w:rsid w:val="0069091E"/>
    <w:rsid w:val="00691D96"/>
    <w:rsid w:val="00692936"/>
    <w:rsid w:val="00692CE3"/>
    <w:rsid w:val="00692D34"/>
    <w:rsid w:val="0069300A"/>
    <w:rsid w:val="00693B96"/>
    <w:rsid w:val="00693FF6"/>
    <w:rsid w:val="00695F24"/>
    <w:rsid w:val="00696507"/>
    <w:rsid w:val="0069688D"/>
    <w:rsid w:val="00696B3D"/>
    <w:rsid w:val="006975FE"/>
    <w:rsid w:val="0069776E"/>
    <w:rsid w:val="006A0BF0"/>
    <w:rsid w:val="006A1A87"/>
    <w:rsid w:val="006A2CBF"/>
    <w:rsid w:val="006A507F"/>
    <w:rsid w:val="006A53AA"/>
    <w:rsid w:val="006A57F3"/>
    <w:rsid w:val="006A7193"/>
    <w:rsid w:val="006B08B4"/>
    <w:rsid w:val="006B12C5"/>
    <w:rsid w:val="006B1F6D"/>
    <w:rsid w:val="006B2978"/>
    <w:rsid w:val="006B30D5"/>
    <w:rsid w:val="006B3DC5"/>
    <w:rsid w:val="006B3EAE"/>
    <w:rsid w:val="006B4323"/>
    <w:rsid w:val="006B4F3F"/>
    <w:rsid w:val="006B6367"/>
    <w:rsid w:val="006B7A8F"/>
    <w:rsid w:val="006C034B"/>
    <w:rsid w:val="006C0406"/>
    <w:rsid w:val="006C2AB7"/>
    <w:rsid w:val="006C372B"/>
    <w:rsid w:val="006C38D6"/>
    <w:rsid w:val="006C4184"/>
    <w:rsid w:val="006C5AEF"/>
    <w:rsid w:val="006C6C6F"/>
    <w:rsid w:val="006C6E2C"/>
    <w:rsid w:val="006C70AC"/>
    <w:rsid w:val="006C74FB"/>
    <w:rsid w:val="006D416F"/>
    <w:rsid w:val="006D453A"/>
    <w:rsid w:val="006D5EC9"/>
    <w:rsid w:val="006D62BB"/>
    <w:rsid w:val="006E0358"/>
    <w:rsid w:val="006E0C79"/>
    <w:rsid w:val="006E0D45"/>
    <w:rsid w:val="006E3384"/>
    <w:rsid w:val="006E3B24"/>
    <w:rsid w:val="006E4051"/>
    <w:rsid w:val="006E480B"/>
    <w:rsid w:val="006E5945"/>
    <w:rsid w:val="006E5E68"/>
    <w:rsid w:val="006E668E"/>
    <w:rsid w:val="006E68A1"/>
    <w:rsid w:val="006F0B18"/>
    <w:rsid w:val="006F1A82"/>
    <w:rsid w:val="006F2049"/>
    <w:rsid w:val="006F278A"/>
    <w:rsid w:val="006F2975"/>
    <w:rsid w:val="006F33D4"/>
    <w:rsid w:val="006F3608"/>
    <w:rsid w:val="006F39D1"/>
    <w:rsid w:val="006F3ECA"/>
    <w:rsid w:val="006F49FC"/>
    <w:rsid w:val="006F64B0"/>
    <w:rsid w:val="006F7FE6"/>
    <w:rsid w:val="007008CF"/>
    <w:rsid w:val="00701A0C"/>
    <w:rsid w:val="00702823"/>
    <w:rsid w:val="00702DFC"/>
    <w:rsid w:val="0070339C"/>
    <w:rsid w:val="00703664"/>
    <w:rsid w:val="007037E4"/>
    <w:rsid w:val="0070556E"/>
    <w:rsid w:val="00705CE7"/>
    <w:rsid w:val="007067CB"/>
    <w:rsid w:val="007067F4"/>
    <w:rsid w:val="0070704B"/>
    <w:rsid w:val="007103A2"/>
    <w:rsid w:val="00710B36"/>
    <w:rsid w:val="00712041"/>
    <w:rsid w:val="00713CBF"/>
    <w:rsid w:val="007168F4"/>
    <w:rsid w:val="007169B6"/>
    <w:rsid w:val="00717C4C"/>
    <w:rsid w:val="00721276"/>
    <w:rsid w:val="007220A0"/>
    <w:rsid w:val="00723BCD"/>
    <w:rsid w:val="00724574"/>
    <w:rsid w:val="00725236"/>
    <w:rsid w:val="0072768C"/>
    <w:rsid w:val="0073024B"/>
    <w:rsid w:val="00731730"/>
    <w:rsid w:val="00732049"/>
    <w:rsid w:val="007323C8"/>
    <w:rsid w:val="00732BA5"/>
    <w:rsid w:val="007341BA"/>
    <w:rsid w:val="007343EE"/>
    <w:rsid w:val="00734427"/>
    <w:rsid w:val="007347FF"/>
    <w:rsid w:val="0073536D"/>
    <w:rsid w:val="007357A6"/>
    <w:rsid w:val="00742130"/>
    <w:rsid w:val="0074346F"/>
    <w:rsid w:val="007440DB"/>
    <w:rsid w:val="00745577"/>
    <w:rsid w:val="00745E22"/>
    <w:rsid w:val="0074648A"/>
    <w:rsid w:val="00747A9B"/>
    <w:rsid w:val="007501A9"/>
    <w:rsid w:val="0075074A"/>
    <w:rsid w:val="007522D9"/>
    <w:rsid w:val="00752330"/>
    <w:rsid w:val="00753469"/>
    <w:rsid w:val="0075405B"/>
    <w:rsid w:val="007543EE"/>
    <w:rsid w:val="00755623"/>
    <w:rsid w:val="00755D28"/>
    <w:rsid w:val="0075617D"/>
    <w:rsid w:val="0075696F"/>
    <w:rsid w:val="00760A4B"/>
    <w:rsid w:val="00760C78"/>
    <w:rsid w:val="0076118C"/>
    <w:rsid w:val="00761767"/>
    <w:rsid w:val="007633AA"/>
    <w:rsid w:val="00764219"/>
    <w:rsid w:val="007652AE"/>
    <w:rsid w:val="007668BD"/>
    <w:rsid w:val="00767D6E"/>
    <w:rsid w:val="00770580"/>
    <w:rsid w:val="00770D1C"/>
    <w:rsid w:val="00771BFD"/>
    <w:rsid w:val="00772325"/>
    <w:rsid w:val="00773C8D"/>
    <w:rsid w:val="007750EF"/>
    <w:rsid w:val="00775D69"/>
    <w:rsid w:val="00776484"/>
    <w:rsid w:val="00777955"/>
    <w:rsid w:val="007806C4"/>
    <w:rsid w:val="00781E83"/>
    <w:rsid w:val="00781ECE"/>
    <w:rsid w:val="00783619"/>
    <w:rsid w:val="00783C9A"/>
    <w:rsid w:val="00783CDF"/>
    <w:rsid w:val="00784067"/>
    <w:rsid w:val="00785375"/>
    <w:rsid w:val="00786067"/>
    <w:rsid w:val="007906E2"/>
    <w:rsid w:val="00790FFD"/>
    <w:rsid w:val="0079170E"/>
    <w:rsid w:val="007956C2"/>
    <w:rsid w:val="00795E00"/>
    <w:rsid w:val="007966CB"/>
    <w:rsid w:val="007975D4"/>
    <w:rsid w:val="00797B31"/>
    <w:rsid w:val="007A1E73"/>
    <w:rsid w:val="007A311A"/>
    <w:rsid w:val="007A35F3"/>
    <w:rsid w:val="007A36DD"/>
    <w:rsid w:val="007A6307"/>
    <w:rsid w:val="007A69DC"/>
    <w:rsid w:val="007A7069"/>
    <w:rsid w:val="007B14EF"/>
    <w:rsid w:val="007B19BC"/>
    <w:rsid w:val="007B1EEE"/>
    <w:rsid w:val="007B4C7C"/>
    <w:rsid w:val="007B51E3"/>
    <w:rsid w:val="007B56E7"/>
    <w:rsid w:val="007B579E"/>
    <w:rsid w:val="007B6D85"/>
    <w:rsid w:val="007B7BF7"/>
    <w:rsid w:val="007C0C59"/>
    <w:rsid w:val="007C19A4"/>
    <w:rsid w:val="007C31F8"/>
    <w:rsid w:val="007C3C2B"/>
    <w:rsid w:val="007C3C78"/>
    <w:rsid w:val="007C3F82"/>
    <w:rsid w:val="007C4507"/>
    <w:rsid w:val="007C5E78"/>
    <w:rsid w:val="007D02A6"/>
    <w:rsid w:val="007D04F8"/>
    <w:rsid w:val="007D0625"/>
    <w:rsid w:val="007D14BA"/>
    <w:rsid w:val="007D185F"/>
    <w:rsid w:val="007D3176"/>
    <w:rsid w:val="007D35F5"/>
    <w:rsid w:val="007D3E0C"/>
    <w:rsid w:val="007D45EF"/>
    <w:rsid w:val="007D5551"/>
    <w:rsid w:val="007D5CAE"/>
    <w:rsid w:val="007D604E"/>
    <w:rsid w:val="007D745B"/>
    <w:rsid w:val="007E10C4"/>
    <w:rsid w:val="007E13CA"/>
    <w:rsid w:val="007E182F"/>
    <w:rsid w:val="007E1D25"/>
    <w:rsid w:val="007E276E"/>
    <w:rsid w:val="007E395D"/>
    <w:rsid w:val="007E474E"/>
    <w:rsid w:val="007E5E9A"/>
    <w:rsid w:val="007E6A0D"/>
    <w:rsid w:val="007F017D"/>
    <w:rsid w:val="007F160B"/>
    <w:rsid w:val="007F1E8F"/>
    <w:rsid w:val="007F4136"/>
    <w:rsid w:val="007F4F91"/>
    <w:rsid w:val="007F50E5"/>
    <w:rsid w:val="007F525C"/>
    <w:rsid w:val="007F6677"/>
    <w:rsid w:val="007F681A"/>
    <w:rsid w:val="00801F91"/>
    <w:rsid w:val="00802AFD"/>
    <w:rsid w:val="00804CB9"/>
    <w:rsid w:val="00805A82"/>
    <w:rsid w:val="00807D3E"/>
    <w:rsid w:val="0081186E"/>
    <w:rsid w:val="00814196"/>
    <w:rsid w:val="00814DA3"/>
    <w:rsid w:val="00815549"/>
    <w:rsid w:val="00815AF7"/>
    <w:rsid w:val="00815D28"/>
    <w:rsid w:val="008161FE"/>
    <w:rsid w:val="00816C3F"/>
    <w:rsid w:val="008171ED"/>
    <w:rsid w:val="00817438"/>
    <w:rsid w:val="00820025"/>
    <w:rsid w:val="00820ECA"/>
    <w:rsid w:val="00820F9B"/>
    <w:rsid w:val="00821B78"/>
    <w:rsid w:val="00822C11"/>
    <w:rsid w:val="00823931"/>
    <w:rsid w:val="00825495"/>
    <w:rsid w:val="00825A58"/>
    <w:rsid w:val="00825F84"/>
    <w:rsid w:val="0082670B"/>
    <w:rsid w:val="00826C7D"/>
    <w:rsid w:val="00826E1D"/>
    <w:rsid w:val="00827412"/>
    <w:rsid w:val="008275B7"/>
    <w:rsid w:val="00830339"/>
    <w:rsid w:val="008322F7"/>
    <w:rsid w:val="008332DD"/>
    <w:rsid w:val="008338F5"/>
    <w:rsid w:val="0083392D"/>
    <w:rsid w:val="00833B68"/>
    <w:rsid w:val="00833EB5"/>
    <w:rsid w:val="00835E44"/>
    <w:rsid w:val="008372B3"/>
    <w:rsid w:val="00837A59"/>
    <w:rsid w:val="008400B9"/>
    <w:rsid w:val="0084085E"/>
    <w:rsid w:val="00842957"/>
    <w:rsid w:val="0084320B"/>
    <w:rsid w:val="008432FC"/>
    <w:rsid w:val="00843330"/>
    <w:rsid w:val="00843D2F"/>
    <w:rsid w:val="00844517"/>
    <w:rsid w:val="008446FE"/>
    <w:rsid w:val="00844C0C"/>
    <w:rsid w:val="00850769"/>
    <w:rsid w:val="0085533A"/>
    <w:rsid w:val="008558C2"/>
    <w:rsid w:val="00856509"/>
    <w:rsid w:val="008572D1"/>
    <w:rsid w:val="00857347"/>
    <w:rsid w:val="00860D72"/>
    <w:rsid w:val="00860E25"/>
    <w:rsid w:val="00860E50"/>
    <w:rsid w:val="00862B92"/>
    <w:rsid w:val="00864323"/>
    <w:rsid w:val="008646F5"/>
    <w:rsid w:val="008651A8"/>
    <w:rsid w:val="00865AA1"/>
    <w:rsid w:val="008672D1"/>
    <w:rsid w:val="00870A39"/>
    <w:rsid w:val="00871E79"/>
    <w:rsid w:val="00872D6D"/>
    <w:rsid w:val="00875856"/>
    <w:rsid w:val="00876021"/>
    <w:rsid w:val="00882702"/>
    <w:rsid w:val="0088522E"/>
    <w:rsid w:val="00885634"/>
    <w:rsid w:val="00885D0C"/>
    <w:rsid w:val="00885D19"/>
    <w:rsid w:val="008868EE"/>
    <w:rsid w:val="0089029A"/>
    <w:rsid w:val="00890713"/>
    <w:rsid w:val="00890FE6"/>
    <w:rsid w:val="00892423"/>
    <w:rsid w:val="00892ADF"/>
    <w:rsid w:val="00892DC6"/>
    <w:rsid w:val="00893282"/>
    <w:rsid w:val="008937F7"/>
    <w:rsid w:val="00893939"/>
    <w:rsid w:val="00893AD2"/>
    <w:rsid w:val="00893BD5"/>
    <w:rsid w:val="00893DF4"/>
    <w:rsid w:val="00893EE3"/>
    <w:rsid w:val="00894137"/>
    <w:rsid w:val="00894C55"/>
    <w:rsid w:val="00895278"/>
    <w:rsid w:val="00895DD8"/>
    <w:rsid w:val="00896E1A"/>
    <w:rsid w:val="00897398"/>
    <w:rsid w:val="008977F0"/>
    <w:rsid w:val="0089789E"/>
    <w:rsid w:val="008A0F64"/>
    <w:rsid w:val="008A25ED"/>
    <w:rsid w:val="008A31AC"/>
    <w:rsid w:val="008A34AA"/>
    <w:rsid w:val="008A38AB"/>
    <w:rsid w:val="008A74B0"/>
    <w:rsid w:val="008B0C8D"/>
    <w:rsid w:val="008B1D17"/>
    <w:rsid w:val="008B20AA"/>
    <w:rsid w:val="008B3522"/>
    <w:rsid w:val="008B372B"/>
    <w:rsid w:val="008B39CE"/>
    <w:rsid w:val="008B5154"/>
    <w:rsid w:val="008B6824"/>
    <w:rsid w:val="008B7181"/>
    <w:rsid w:val="008B7A03"/>
    <w:rsid w:val="008C0DBE"/>
    <w:rsid w:val="008C17A3"/>
    <w:rsid w:val="008C17F4"/>
    <w:rsid w:val="008C1D9F"/>
    <w:rsid w:val="008C2C95"/>
    <w:rsid w:val="008C2D0B"/>
    <w:rsid w:val="008C2D77"/>
    <w:rsid w:val="008C508A"/>
    <w:rsid w:val="008C6252"/>
    <w:rsid w:val="008C654F"/>
    <w:rsid w:val="008C6E09"/>
    <w:rsid w:val="008C6E50"/>
    <w:rsid w:val="008D1AF7"/>
    <w:rsid w:val="008D2012"/>
    <w:rsid w:val="008D245F"/>
    <w:rsid w:val="008D28DD"/>
    <w:rsid w:val="008D3976"/>
    <w:rsid w:val="008D3B37"/>
    <w:rsid w:val="008D4161"/>
    <w:rsid w:val="008E2216"/>
    <w:rsid w:val="008E252E"/>
    <w:rsid w:val="008E26AF"/>
    <w:rsid w:val="008E31C8"/>
    <w:rsid w:val="008E31DD"/>
    <w:rsid w:val="008E339A"/>
    <w:rsid w:val="008E36B6"/>
    <w:rsid w:val="008E3B53"/>
    <w:rsid w:val="008E4779"/>
    <w:rsid w:val="008E4B91"/>
    <w:rsid w:val="008E4DDE"/>
    <w:rsid w:val="008E63CB"/>
    <w:rsid w:val="008E7B64"/>
    <w:rsid w:val="008E7C39"/>
    <w:rsid w:val="008F1089"/>
    <w:rsid w:val="008F208D"/>
    <w:rsid w:val="008F4166"/>
    <w:rsid w:val="008F485A"/>
    <w:rsid w:val="008F6889"/>
    <w:rsid w:val="008F79EF"/>
    <w:rsid w:val="008F7A68"/>
    <w:rsid w:val="008F7C6E"/>
    <w:rsid w:val="00900BD4"/>
    <w:rsid w:val="009010CB"/>
    <w:rsid w:val="00901189"/>
    <w:rsid w:val="009014BB"/>
    <w:rsid w:val="00901532"/>
    <w:rsid w:val="00902C59"/>
    <w:rsid w:val="00903097"/>
    <w:rsid w:val="00905111"/>
    <w:rsid w:val="00906149"/>
    <w:rsid w:val="00906F88"/>
    <w:rsid w:val="00910940"/>
    <w:rsid w:val="00912546"/>
    <w:rsid w:val="009125B5"/>
    <w:rsid w:val="0091446C"/>
    <w:rsid w:val="00914DE2"/>
    <w:rsid w:val="009158BC"/>
    <w:rsid w:val="009165ED"/>
    <w:rsid w:val="00916619"/>
    <w:rsid w:val="00917893"/>
    <w:rsid w:val="00917FE8"/>
    <w:rsid w:val="009224F5"/>
    <w:rsid w:val="00922C21"/>
    <w:rsid w:val="00923AE7"/>
    <w:rsid w:val="00923BA4"/>
    <w:rsid w:val="00924234"/>
    <w:rsid w:val="00924D1B"/>
    <w:rsid w:val="0092546B"/>
    <w:rsid w:val="009268D3"/>
    <w:rsid w:val="00926903"/>
    <w:rsid w:val="00932513"/>
    <w:rsid w:val="00932EF7"/>
    <w:rsid w:val="00934BE6"/>
    <w:rsid w:val="00934EC4"/>
    <w:rsid w:val="00935355"/>
    <w:rsid w:val="0093560C"/>
    <w:rsid w:val="00936426"/>
    <w:rsid w:val="00936733"/>
    <w:rsid w:val="00937243"/>
    <w:rsid w:val="0093730D"/>
    <w:rsid w:val="009373BE"/>
    <w:rsid w:val="00941649"/>
    <w:rsid w:val="00941B1A"/>
    <w:rsid w:val="00942B11"/>
    <w:rsid w:val="009434F6"/>
    <w:rsid w:val="009438A8"/>
    <w:rsid w:val="00943B62"/>
    <w:rsid w:val="0094482D"/>
    <w:rsid w:val="00944BB8"/>
    <w:rsid w:val="009455CC"/>
    <w:rsid w:val="00946534"/>
    <w:rsid w:val="00947379"/>
    <w:rsid w:val="00947D91"/>
    <w:rsid w:val="00947DB1"/>
    <w:rsid w:val="00950DE0"/>
    <w:rsid w:val="00952B02"/>
    <w:rsid w:val="00953B15"/>
    <w:rsid w:val="00953CFA"/>
    <w:rsid w:val="00953ED7"/>
    <w:rsid w:val="009543EE"/>
    <w:rsid w:val="00954E8C"/>
    <w:rsid w:val="00961459"/>
    <w:rsid w:val="00961502"/>
    <w:rsid w:val="009621BF"/>
    <w:rsid w:val="00963350"/>
    <w:rsid w:val="00963AB5"/>
    <w:rsid w:val="00963DD2"/>
    <w:rsid w:val="00964774"/>
    <w:rsid w:val="00964F65"/>
    <w:rsid w:val="00965891"/>
    <w:rsid w:val="00965C0E"/>
    <w:rsid w:val="00966E7C"/>
    <w:rsid w:val="00970392"/>
    <w:rsid w:val="00970E4E"/>
    <w:rsid w:val="009715E1"/>
    <w:rsid w:val="00971D26"/>
    <w:rsid w:val="009725C8"/>
    <w:rsid w:val="00973503"/>
    <w:rsid w:val="00973B85"/>
    <w:rsid w:val="0097445D"/>
    <w:rsid w:val="00974C42"/>
    <w:rsid w:val="0097517E"/>
    <w:rsid w:val="00976CAD"/>
    <w:rsid w:val="00977548"/>
    <w:rsid w:val="0097770C"/>
    <w:rsid w:val="009805A1"/>
    <w:rsid w:val="009827E9"/>
    <w:rsid w:val="00982C96"/>
    <w:rsid w:val="00982D1E"/>
    <w:rsid w:val="00983748"/>
    <w:rsid w:val="00984330"/>
    <w:rsid w:val="00984BB2"/>
    <w:rsid w:val="00985758"/>
    <w:rsid w:val="00985C16"/>
    <w:rsid w:val="00985C5E"/>
    <w:rsid w:val="00986C1A"/>
    <w:rsid w:val="00987648"/>
    <w:rsid w:val="00990455"/>
    <w:rsid w:val="00990947"/>
    <w:rsid w:val="00991315"/>
    <w:rsid w:val="00991D31"/>
    <w:rsid w:val="00993C0B"/>
    <w:rsid w:val="00993CD6"/>
    <w:rsid w:val="009946C1"/>
    <w:rsid w:val="00995F40"/>
    <w:rsid w:val="00995FA5"/>
    <w:rsid w:val="00996D4F"/>
    <w:rsid w:val="00997A4D"/>
    <w:rsid w:val="009A0E6E"/>
    <w:rsid w:val="009A1DF2"/>
    <w:rsid w:val="009A2915"/>
    <w:rsid w:val="009A2C7E"/>
    <w:rsid w:val="009A6149"/>
    <w:rsid w:val="009A67E1"/>
    <w:rsid w:val="009A6E22"/>
    <w:rsid w:val="009B0086"/>
    <w:rsid w:val="009B1351"/>
    <w:rsid w:val="009B23C3"/>
    <w:rsid w:val="009B2429"/>
    <w:rsid w:val="009B2569"/>
    <w:rsid w:val="009B30D7"/>
    <w:rsid w:val="009B3130"/>
    <w:rsid w:val="009B33E7"/>
    <w:rsid w:val="009B3EF3"/>
    <w:rsid w:val="009B3FDD"/>
    <w:rsid w:val="009B43D6"/>
    <w:rsid w:val="009B51E4"/>
    <w:rsid w:val="009B5AF5"/>
    <w:rsid w:val="009B6436"/>
    <w:rsid w:val="009B68A0"/>
    <w:rsid w:val="009B6C3A"/>
    <w:rsid w:val="009B726B"/>
    <w:rsid w:val="009C131B"/>
    <w:rsid w:val="009C1700"/>
    <w:rsid w:val="009C1E63"/>
    <w:rsid w:val="009C1FC3"/>
    <w:rsid w:val="009C2076"/>
    <w:rsid w:val="009C24AD"/>
    <w:rsid w:val="009C3D1C"/>
    <w:rsid w:val="009C421C"/>
    <w:rsid w:val="009C5A53"/>
    <w:rsid w:val="009C5B58"/>
    <w:rsid w:val="009C6638"/>
    <w:rsid w:val="009D1044"/>
    <w:rsid w:val="009D1323"/>
    <w:rsid w:val="009D1D95"/>
    <w:rsid w:val="009D24A5"/>
    <w:rsid w:val="009D2B42"/>
    <w:rsid w:val="009D30C5"/>
    <w:rsid w:val="009D3B55"/>
    <w:rsid w:val="009D42E8"/>
    <w:rsid w:val="009D54DD"/>
    <w:rsid w:val="009D5C29"/>
    <w:rsid w:val="009D7D1D"/>
    <w:rsid w:val="009E001E"/>
    <w:rsid w:val="009E04AB"/>
    <w:rsid w:val="009E112B"/>
    <w:rsid w:val="009E20E6"/>
    <w:rsid w:val="009E2A57"/>
    <w:rsid w:val="009E4B4A"/>
    <w:rsid w:val="009E5BB8"/>
    <w:rsid w:val="009F0111"/>
    <w:rsid w:val="009F10CC"/>
    <w:rsid w:val="009F1D45"/>
    <w:rsid w:val="009F3AF4"/>
    <w:rsid w:val="009F44C0"/>
    <w:rsid w:val="009F452E"/>
    <w:rsid w:val="009F4848"/>
    <w:rsid w:val="009F48FB"/>
    <w:rsid w:val="009F6003"/>
    <w:rsid w:val="009F67E4"/>
    <w:rsid w:val="009F7166"/>
    <w:rsid w:val="00A005E9"/>
    <w:rsid w:val="00A007F2"/>
    <w:rsid w:val="00A0089E"/>
    <w:rsid w:val="00A0243A"/>
    <w:rsid w:val="00A02E01"/>
    <w:rsid w:val="00A04956"/>
    <w:rsid w:val="00A05AB1"/>
    <w:rsid w:val="00A05DEF"/>
    <w:rsid w:val="00A06C55"/>
    <w:rsid w:val="00A0768E"/>
    <w:rsid w:val="00A104AB"/>
    <w:rsid w:val="00A11474"/>
    <w:rsid w:val="00A127F7"/>
    <w:rsid w:val="00A12F09"/>
    <w:rsid w:val="00A13371"/>
    <w:rsid w:val="00A13EC9"/>
    <w:rsid w:val="00A1421E"/>
    <w:rsid w:val="00A15634"/>
    <w:rsid w:val="00A158E0"/>
    <w:rsid w:val="00A15C76"/>
    <w:rsid w:val="00A17231"/>
    <w:rsid w:val="00A17B41"/>
    <w:rsid w:val="00A208D0"/>
    <w:rsid w:val="00A21872"/>
    <w:rsid w:val="00A22568"/>
    <w:rsid w:val="00A23750"/>
    <w:rsid w:val="00A23BDD"/>
    <w:rsid w:val="00A24179"/>
    <w:rsid w:val="00A2418D"/>
    <w:rsid w:val="00A24957"/>
    <w:rsid w:val="00A25F93"/>
    <w:rsid w:val="00A26C29"/>
    <w:rsid w:val="00A27139"/>
    <w:rsid w:val="00A27CA3"/>
    <w:rsid w:val="00A302B8"/>
    <w:rsid w:val="00A30CBA"/>
    <w:rsid w:val="00A31CEE"/>
    <w:rsid w:val="00A332BF"/>
    <w:rsid w:val="00A3472C"/>
    <w:rsid w:val="00A35ECA"/>
    <w:rsid w:val="00A35FDD"/>
    <w:rsid w:val="00A36846"/>
    <w:rsid w:val="00A3702E"/>
    <w:rsid w:val="00A4176C"/>
    <w:rsid w:val="00A42300"/>
    <w:rsid w:val="00A42E31"/>
    <w:rsid w:val="00A43507"/>
    <w:rsid w:val="00A440D7"/>
    <w:rsid w:val="00A44366"/>
    <w:rsid w:val="00A4482C"/>
    <w:rsid w:val="00A4540A"/>
    <w:rsid w:val="00A47817"/>
    <w:rsid w:val="00A47F65"/>
    <w:rsid w:val="00A50B48"/>
    <w:rsid w:val="00A50F18"/>
    <w:rsid w:val="00A51CCD"/>
    <w:rsid w:val="00A52949"/>
    <w:rsid w:val="00A52995"/>
    <w:rsid w:val="00A5424F"/>
    <w:rsid w:val="00A54A86"/>
    <w:rsid w:val="00A551E2"/>
    <w:rsid w:val="00A56A82"/>
    <w:rsid w:val="00A56BE6"/>
    <w:rsid w:val="00A56C6E"/>
    <w:rsid w:val="00A60D5C"/>
    <w:rsid w:val="00A61240"/>
    <w:rsid w:val="00A61A84"/>
    <w:rsid w:val="00A646B7"/>
    <w:rsid w:val="00A646C6"/>
    <w:rsid w:val="00A648F9"/>
    <w:rsid w:val="00A65332"/>
    <w:rsid w:val="00A656AC"/>
    <w:rsid w:val="00A66174"/>
    <w:rsid w:val="00A662DE"/>
    <w:rsid w:val="00A67A86"/>
    <w:rsid w:val="00A67D34"/>
    <w:rsid w:val="00A70678"/>
    <w:rsid w:val="00A71B18"/>
    <w:rsid w:val="00A722FD"/>
    <w:rsid w:val="00A7254E"/>
    <w:rsid w:val="00A72660"/>
    <w:rsid w:val="00A72F32"/>
    <w:rsid w:val="00A737F4"/>
    <w:rsid w:val="00A73A04"/>
    <w:rsid w:val="00A73F6B"/>
    <w:rsid w:val="00A759A9"/>
    <w:rsid w:val="00A75A46"/>
    <w:rsid w:val="00A76C85"/>
    <w:rsid w:val="00A7741D"/>
    <w:rsid w:val="00A81D43"/>
    <w:rsid w:val="00A8287A"/>
    <w:rsid w:val="00A82A89"/>
    <w:rsid w:val="00A83919"/>
    <w:rsid w:val="00A84CEC"/>
    <w:rsid w:val="00A84F85"/>
    <w:rsid w:val="00A85028"/>
    <w:rsid w:val="00A8559D"/>
    <w:rsid w:val="00A86049"/>
    <w:rsid w:val="00A868E2"/>
    <w:rsid w:val="00A86A49"/>
    <w:rsid w:val="00A8700C"/>
    <w:rsid w:val="00A87DBD"/>
    <w:rsid w:val="00A9082F"/>
    <w:rsid w:val="00A916A4"/>
    <w:rsid w:val="00A92ABA"/>
    <w:rsid w:val="00A934B5"/>
    <w:rsid w:val="00A94370"/>
    <w:rsid w:val="00A946B4"/>
    <w:rsid w:val="00A94A4A"/>
    <w:rsid w:val="00A94E7C"/>
    <w:rsid w:val="00A95141"/>
    <w:rsid w:val="00A9533A"/>
    <w:rsid w:val="00A95966"/>
    <w:rsid w:val="00A9596F"/>
    <w:rsid w:val="00A95AFE"/>
    <w:rsid w:val="00A9700A"/>
    <w:rsid w:val="00A978BD"/>
    <w:rsid w:val="00AA07CE"/>
    <w:rsid w:val="00AA1D15"/>
    <w:rsid w:val="00AA20C8"/>
    <w:rsid w:val="00AA2CBB"/>
    <w:rsid w:val="00AA41B7"/>
    <w:rsid w:val="00AA4C29"/>
    <w:rsid w:val="00AA6805"/>
    <w:rsid w:val="00AA6C92"/>
    <w:rsid w:val="00AA6FC4"/>
    <w:rsid w:val="00AA733B"/>
    <w:rsid w:val="00AA7B19"/>
    <w:rsid w:val="00AB039C"/>
    <w:rsid w:val="00AB1830"/>
    <w:rsid w:val="00AB202E"/>
    <w:rsid w:val="00AB257C"/>
    <w:rsid w:val="00AB3495"/>
    <w:rsid w:val="00AB5986"/>
    <w:rsid w:val="00AB5A48"/>
    <w:rsid w:val="00AB5C72"/>
    <w:rsid w:val="00AB621E"/>
    <w:rsid w:val="00AB62F2"/>
    <w:rsid w:val="00AC042A"/>
    <w:rsid w:val="00AC1F06"/>
    <w:rsid w:val="00AC2A7D"/>
    <w:rsid w:val="00AC35DA"/>
    <w:rsid w:val="00AC3E0F"/>
    <w:rsid w:val="00AC3E17"/>
    <w:rsid w:val="00AC5A27"/>
    <w:rsid w:val="00AC5B9F"/>
    <w:rsid w:val="00AC6111"/>
    <w:rsid w:val="00AC6123"/>
    <w:rsid w:val="00AC6BE7"/>
    <w:rsid w:val="00AC7AD3"/>
    <w:rsid w:val="00AD16EF"/>
    <w:rsid w:val="00AD17F9"/>
    <w:rsid w:val="00AD1A46"/>
    <w:rsid w:val="00AD261F"/>
    <w:rsid w:val="00AD2E4F"/>
    <w:rsid w:val="00AD31C3"/>
    <w:rsid w:val="00AD323C"/>
    <w:rsid w:val="00AD3B9A"/>
    <w:rsid w:val="00AD488E"/>
    <w:rsid w:val="00AD5C5B"/>
    <w:rsid w:val="00AD6937"/>
    <w:rsid w:val="00AD6CCB"/>
    <w:rsid w:val="00AE0655"/>
    <w:rsid w:val="00AE07AD"/>
    <w:rsid w:val="00AE1B12"/>
    <w:rsid w:val="00AE3819"/>
    <w:rsid w:val="00AE3964"/>
    <w:rsid w:val="00AE4BF0"/>
    <w:rsid w:val="00AF0A2F"/>
    <w:rsid w:val="00AF2D7A"/>
    <w:rsid w:val="00AF34E9"/>
    <w:rsid w:val="00AF418F"/>
    <w:rsid w:val="00AF501D"/>
    <w:rsid w:val="00AF5731"/>
    <w:rsid w:val="00AF60F6"/>
    <w:rsid w:val="00B00710"/>
    <w:rsid w:val="00B00FA6"/>
    <w:rsid w:val="00B01D63"/>
    <w:rsid w:val="00B0213C"/>
    <w:rsid w:val="00B03004"/>
    <w:rsid w:val="00B035ED"/>
    <w:rsid w:val="00B062D4"/>
    <w:rsid w:val="00B06F01"/>
    <w:rsid w:val="00B075E0"/>
    <w:rsid w:val="00B10E4B"/>
    <w:rsid w:val="00B112C4"/>
    <w:rsid w:val="00B11CD9"/>
    <w:rsid w:val="00B127FB"/>
    <w:rsid w:val="00B129AD"/>
    <w:rsid w:val="00B14A7B"/>
    <w:rsid w:val="00B14F53"/>
    <w:rsid w:val="00B15E16"/>
    <w:rsid w:val="00B161B7"/>
    <w:rsid w:val="00B169C6"/>
    <w:rsid w:val="00B16F1E"/>
    <w:rsid w:val="00B1799D"/>
    <w:rsid w:val="00B17C36"/>
    <w:rsid w:val="00B17F4D"/>
    <w:rsid w:val="00B20A56"/>
    <w:rsid w:val="00B20E32"/>
    <w:rsid w:val="00B22372"/>
    <w:rsid w:val="00B22E31"/>
    <w:rsid w:val="00B24BAA"/>
    <w:rsid w:val="00B25C94"/>
    <w:rsid w:val="00B260EF"/>
    <w:rsid w:val="00B26538"/>
    <w:rsid w:val="00B27614"/>
    <w:rsid w:val="00B30D06"/>
    <w:rsid w:val="00B32405"/>
    <w:rsid w:val="00B33409"/>
    <w:rsid w:val="00B35769"/>
    <w:rsid w:val="00B35D10"/>
    <w:rsid w:val="00B3606E"/>
    <w:rsid w:val="00B36F4C"/>
    <w:rsid w:val="00B377EE"/>
    <w:rsid w:val="00B37C34"/>
    <w:rsid w:val="00B37DCE"/>
    <w:rsid w:val="00B405FC"/>
    <w:rsid w:val="00B40BC0"/>
    <w:rsid w:val="00B41676"/>
    <w:rsid w:val="00B41700"/>
    <w:rsid w:val="00B4620A"/>
    <w:rsid w:val="00B503A1"/>
    <w:rsid w:val="00B54539"/>
    <w:rsid w:val="00B546A7"/>
    <w:rsid w:val="00B548A8"/>
    <w:rsid w:val="00B62DE8"/>
    <w:rsid w:val="00B62F2D"/>
    <w:rsid w:val="00B63DCD"/>
    <w:rsid w:val="00B64754"/>
    <w:rsid w:val="00B64FED"/>
    <w:rsid w:val="00B658E1"/>
    <w:rsid w:val="00B65CB1"/>
    <w:rsid w:val="00B65E49"/>
    <w:rsid w:val="00B66C47"/>
    <w:rsid w:val="00B678AE"/>
    <w:rsid w:val="00B72428"/>
    <w:rsid w:val="00B734A4"/>
    <w:rsid w:val="00B7373D"/>
    <w:rsid w:val="00B73B5E"/>
    <w:rsid w:val="00B7481B"/>
    <w:rsid w:val="00B7575B"/>
    <w:rsid w:val="00B75E88"/>
    <w:rsid w:val="00B76583"/>
    <w:rsid w:val="00B76B6D"/>
    <w:rsid w:val="00B77AD2"/>
    <w:rsid w:val="00B81723"/>
    <w:rsid w:val="00B818D8"/>
    <w:rsid w:val="00B82283"/>
    <w:rsid w:val="00B8309A"/>
    <w:rsid w:val="00B83A12"/>
    <w:rsid w:val="00B8531E"/>
    <w:rsid w:val="00B85CE5"/>
    <w:rsid w:val="00B86123"/>
    <w:rsid w:val="00B877AE"/>
    <w:rsid w:val="00B90BA8"/>
    <w:rsid w:val="00B91688"/>
    <w:rsid w:val="00B9260B"/>
    <w:rsid w:val="00B92E98"/>
    <w:rsid w:val="00B93AE7"/>
    <w:rsid w:val="00B94D20"/>
    <w:rsid w:val="00B95352"/>
    <w:rsid w:val="00B95B43"/>
    <w:rsid w:val="00B95B92"/>
    <w:rsid w:val="00B96EF2"/>
    <w:rsid w:val="00B97008"/>
    <w:rsid w:val="00BA025C"/>
    <w:rsid w:val="00BA05C3"/>
    <w:rsid w:val="00BA1AB3"/>
    <w:rsid w:val="00BA2BCB"/>
    <w:rsid w:val="00BA2D15"/>
    <w:rsid w:val="00BA3190"/>
    <w:rsid w:val="00BA3A88"/>
    <w:rsid w:val="00BA5A88"/>
    <w:rsid w:val="00BA5D5F"/>
    <w:rsid w:val="00BA5D76"/>
    <w:rsid w:val="00BA6EE8"/>
    <w:rsid w:val="00BA78AE"/>
    <w:rsid w:val="00BA7AE8"/>
    <w:rsid w:val="00BB0A31"/>
    <w:rsid w:val="00BB0F72"/>
    <w:rsid w:val="00BB1611"/>
    <w:rsid w:val="00BB1893"/>
    <w:rsid w:val="00BB694B"/>
    <w:rsid w:val="00BB6BD3"/>
    <w:rsid w:val="00BB6E0A"/>
    <w:rsid w:val="00BB7471"/>
    <w:rsid w:val="00BB7F10"/>
    <w:rsid w:val="00BC30A4"/>
    <w:rsid w:val="00BC6253"/>
    <w:rsid w:val="00BC6E42"/>
    <w:rsid w:val="00BC7D90"/>
    <w:rsid w:val="00BD003A"/>
    <w:rsid w:val="00BD0A78"/>
    <w:rsid w:val="00BD2A1E"/>
    <w:rsid w:val="00BD2DA9"/>
    <w:rsid w:val="00BD2F15"/>
    <w:rsid w:val="00BD317C"/>
    <w:rsid w:val="00BD4012"/>
    <w:rsid w:val="00BD4C7C"/>
    <w:rsid w:val="00BD56EA"/>
    <w:rsid w:val="00BD571A"/>
    <w:rsid w:val="00BD5CBD"/>
    <w:rsid w:val="00BD63F8"/>
    <w:rsid w:val="00BD6CAF"/>
    <w:rsid w:val="00BD7E31"/>
    <w:rsid w:val="00BE0E18"/>
    <w:rsid w:val="00BE153E"/>
    <w:rsid w:val="00BE15F2"/>
    <w:rsid w:val="00BE261A"/>
    <w:rsid w:val="00BE284B"/>
    <w:rsid w:val="00BE505A"/>
    <w:rsid w:val="00BE7807"/>
    <w:rsid w:val="00BF1AF8"/>
    <w:rsid w:val="00BF1B17"/>
    <w:rsid w:val="00BF236B"/>
    <w:rsid w:val="00BF25F9"/>
    <w:rsid w:val="00BF2EC3"/>
    <w:rsid w:val="00BF34E0"/>
    <w:rsid w:val="00BF3950"/>
    <w:rsid w:val="00BF446B"/>
    <w:rsid w:val="00BF4FCC"/>
    <w:rsid w:val="00BF79CD"/>
    <w:rsid w:val="00C00466"/>
    <w:rsid w:val="00C005AC"/>
    <w:rsid w:val="00C01643"/>
    <w:rsid w:val="00C0345E"/>
    <w:rsid w:val="00C038A5"/>
    <w:rsid w:val="00C04207"/>
    <w:rsid w:val="00C04333"/>
    <w:rsid w:val="00C04505"/>
    <w:rsid w:val="00C05496"/>
    <w:rsid w:val="00C059B6"/>
    <w:rsid w:val="00C05A89"/>
    <w:rsid w:val="00C077B1"/>
    <w:rsid w:val="00C13311"/>
    <w:rsid w:val="00C136E6"/>
    <w:rsid w:val="00C13D8D"/>
    <w:rsid w:val="00C144C8"/>
    <w:rsid w:val="00C15A9A"/>
    <w:rsid w:val="00C15AAA"/>
    <w:rsid w:val="00C1625A"/>
    <w:rsid w:val="00C168DB"/>
    <w:rsid w:val="00C16CFB"/>
    <w:rsid w:val="00C2042C"/>
    <w:rsid w:val="00C22309"/>
    <w:rsid w:val="00C2241D"/>
    <w:rsid w:val="00C229E0"/>
    <w:rsid w:val="00C23BB2"/>
    <w:rsid w:val="00C2696C"/>
    <w:rsid w:val="00C27D3C"/>
    <w:rsid w:val="00C335D1"/>
    <w:rsid w:val="00C33A1C"/>
    <w:rsid w:val="00C34369"/>
    <w:rsid w:val="00C37220"/>
    <w:rsid w:val="00C378F1"/>
    <w:rsid w:val="00C37AB3"/>
    <w:rsid w:val="00C41CA4"/>
    <w:rsid w:val="00C43A7F"/>
    <w:rsid w:val="00C43F2E"/>
    <w:rsid w:val="00C45538"/>
    <w:rsid w:val="00C45AC0"/>
    <w:rsid w:val="00C45FC0"/>
    <w:rsid w:val="00C462AC"/>
    <w:rsid w:val="00C466DC"/>
    <w:rsid w:val="00C51B5D"/>
    <w:rsid w:val="00C51DE5"/>
    <w:rsid w:val="00C523A6"/>
    <w:rsid w:val="00C53119"/>
    <w:rsid w:val="00C53DC6"/>
    <w:rsid w:val="00C54FB9"/>
    <w:rsid w:val="00C55542"/>
    <w:rsid w:val="00C57133"/>
    <w:rsid w:val="00C57553"/>
    <w:rsid w:val="00C602D7"/>
    <w:rsid w:val="00C61305"/>
    <w:rsid w:val="00C614D4"/>
    <w:rsid w:val="00C62404"/>
    <w:rsid w:val="00C64881"/>
    <w:rsid w:val="00C656AE"/>
    <w:rsid w:val="00C66780"/>
    <w:rsid w:val="00C6711A"/>
    <w:rsid w:val="00C674EC"/>
    <w:rsid w:val="00C711EC"/>
    <w:rsid w:val="00C7136A"/>
    <w:rsid w:val="00C714FA"/>
    <w:rsid w:val="00C71602"/>
    <w:rsid w:val="00C71A7C"/>
    <w:rsid w:val="00C72130"/>
    <w:rsid w:val="00C7226D"/>
    <w:rsid w:val="00C73E6D"/>
    <w:rsid w:val="00C74078"/>
    <w:rsid w:val="00C758B5"/>
    <w:rsid w:val="00C75E2D"/>
    <w:rsid w:val="00C7614F"/>
    <w:rsid w:val="00C76273"/>
    <w:rsid w:val="00C76560"/>
    <w:rsid w:val="00C7673C"/>
    <w:rsid w:val="00C7686A"/>
    <w:rsid w:val="00C76DE9"/>
    <w:rsid w:val="00C76E90"/>
    <w:rsid w:val="00C7749D"/>
    <w:rsid w:val="00C777D3"/>
    <w:rsid w:val="00C81973"/>
    <w:rsid w:val="00C82CE3"/>
    <w:rsid w:val="00C830EA"/>
    <w:rsid w:val="00C855E6"/>
    <w:rsid w:val="00C86DB6"/>
    <w:rsid w:val="00C86E29"/>
    <w:rsid w:val="00C87594"/>
    <w:rsid w:val="00C87E34"/>
    <w:rsid w:val="00C9025C"/>
    <w:rsid w:val="00C912C1"/>
    <w:rsid w:val="00C91E59"/>
    <w:rsid w:val="00C92E01"/>
    <w:rsid w:val="00C94AB2"/>
    <w:rsid w:val="00C94C99"/>
    <w:rsid w:val="00C9606B"/>
    <w:rsid w:val="00C97E2D"/>
    <w:rsid w:val="00CA1407"/>
    <w:rsid w:val="00CA18D6"/>
    <w:rsid w:val="00CA325A"/>
    <w:rsid w:val="00CA34CA"/>
    <w:rsid w:val="00CA5759"/>
    <w:rsid w:val="00CA5BB7"/>
    <w:rsid w:val="00CA67D4"/>
    <w:rsid w:val="00CA6A16"/>
    <w:rsid w:val="00CA6DDE"/>
    <w:rsid w:val="00CA77DF"/>
    <w:rsid w:val="00CA7888"/>
    <w:rsid w:val="00CB0283"/>
    <w:rsid w:val="00CB0B83"/>
    <w:rsid w:val="00CB1C91"/>
    <w:rsid w:val="00CB3A7D"/>
    <w:rsid w:val="00CB3B5A"/>
    <w:rsid w:val="00CB4CD5"/>
    <w:rsid w:val="00CB5BA5"/>
    <w:rsid w:val="00CB6117"/>
    <w:rsid w:val="00CB630B"/>
    <w:rsid w:val="00CB6878"/>
    <w:rsid w:val="00CC07BE"/>
    <w:rsid w:val="00CC0AA9"/>
    <w:rsid w:val="00CC26C6"/>
    <w:rsid w:val="00CC28F3"/>
    <w:rsid w:val="00CC2D1A"/>
    <w:rsid w:val="00CC41EB"/>
    <w:rsid w:val="00CC6F25"/>
    <w:rsid w:val="00CC706E"/>
    <w:rsid w:val="00CD11E2"/>
    <w:rsid w:val="00CD2AE6"/>
    <w:rsid w:val="00CD3011"/>
    <w:rsid w:val="00CD3014"/>
    <w:rsid w:val="00CD3056"/>
    <w:rsid w:val="00CD4B69"/>
    <w:rsid w:val="00CD5C49"/>
    <w:rsid w:val="00CD7FBD"/>
    <w:rsid w:val="00CE0AB0"/>
    <w:rsid w:val="00CE14FE"/>
    <w:rsid w:val="00CE2137"/>
    <w:rsid w:val="00CE24B5"/>
    <w:rsid w:val="00CE36AA"/>
    <w:rsid w:val="00CE382D"/>
    <w:rsid w:val="00CE3AF5"/>
    <w:rsid w:val="00CE4C78"/>
    <w:rsid w:val="00CE4EFC"/>
    <w:rsid w:val="00CF058B"/>
    <w:rsid w:val="00CF0733"/>
    <w:rsid w:val="00CF282B"/>
    <w:rsid w:val="00CF3F33"/>
    <w:rsid w:val="00CF5055"/>
    <w:rsid w:val="00CF715C"/>
    <w:rsid w:val="00CF7322"/>
    <w:rsid w:val="00D0010E"/>
    <w:rsid w:val="00D00687"/>
    <w:rsid w:val="00D00F45"/>
    <w:rsid w:val="00D00FC4"/>
    <w:rsid w:val="00D01AC5"/>
    <w:rsid w:val="00D02DFE"/>
    <w:rsid w:val="00D03C8E"/>
    <w:rsid w:val="00D04A8E"/>
    <w:rsid w:val="00D063F6"/>
    <w:rsid w:val="00D064A2"/>
    <w:rsid w:val="00D06B79"/>
    <w:rsid w:val="00D06D5A"/>
    <w:rsid w:val="00D0799D"/>
    <w:rsid w:val="00D1089B"/>
    <w:rsid w:val="00D10B1E"/>
    <w:rsid w:val="00D126AA"/>
    <w:rsid w:val="00D13D16"/>
    <w:rsid w:val="00D14056"/>
    <w:rsid w:val="00D155BA"/>
    <w:rsid w:val="00D15819"/>
    <w:rsid w:val="00D15B3C"/>
    <w:rsid w:val="00D16600"/>
    <w:rsid w:val="00D177CB"/>
    <w:rsid w:val="00D245EB"/>
    <w:rsid w:val="00D26305"/>
    <w:rsid w:val="00D26E74"/>
    <w:rsid w:val="00D312D4"/>
    <w:rsid w:val="00D329A9"/>
    <w:rsid w:val="00D32E5E"/>
    <w:rsid w:val="00D33A36"/>
    <w:rsid w:val="00D34DC0"/>
    <w:rsid w:val="00D400AA"/>
    <w:rsid w:val="00D402FC"/>
    <w:rsid w:val="00D406B0"/>
    <w:rsid w:val="00D4227C"/>
    <w:rsid w:val="00D42BF0"/>
    <w:rsid w:val="00D42C68"/>
    <w:rsid w:val="00D43455"/>
    <w:rsid w:val="00D434D2"/>
    <w:rsid w:val="00D43E2F"/>
    <w:rsid w:val="00D45A12"/>
    <w:rsid w:val="00D470A3"/>
    <w:rsid w:val="00D50A3D"/>
    <w:rsid w:val="00D50D1D"/>
    <w:rsid w:val="00D50ECB"/>
    <w:rsid w:val="00D513DF"/>
    <w:rsid w:val="00D5298B"/>
    <w:rsid w:val="00D535DB"/>
    <w:rsid w:val="00D5377E"/>
    <w:rsid w:val="00D544E8"/>
    <w:rsid w:val="00D55853"/>
    <w:rsid w:val="00D559B4"/>
    <w:rsid w:val="00D55D50"/>
    <w:rsid w:val="00D56E97"/>
    <w:rsid w:val="00D570F9"/>
    <w:rsid w:val="00D5795D"/>
    <w:rsid w:val="00D60523"/>
    <w:rsid w:val="00D60A77"/>
    <w:rsid w:val="00D613C8"/>
    <w:rsid w:val="00D61686"/>
    <w:rsid w:val="00D63119"/>
    <w:rsid w:val="00D63675"/>
    <w:rsid w:val="00D63D92"/>
    <w:rsid w:val="00D641EA"/>
    <w:rsid w:val="00D64C93"/>
    <w:rsid w:val="00D65B9A"/>
    <w:rsid w:val="00D6634F"/>
    <w:rsid w:val="00D66E64"/>
    <w:rsid w:val="00D6701C"/>
    <w:rsid w:val="00D672A2"/>
    <w:rsid w:val="00D67447"/>
    <w:rsid w:val="00D674E0"/>
    <w:rsid w:val="00D67D51"/>
    <w:rsid w:val="00D70B42"/>
    <w:rsid w:val="00D721C0"/>
    <w:rsid w:val="00D7243C"/>
    <w:rsid w:val="00D766AB"/>
    <w:rsid w:val="00D7792C"/>
    <w:rsid w:val="00D80341"/>
    <w:rsid w:val="00D8088A"/>
    <w:rsid w:val="00D82FAF"/>
    <w:rsid w:val="00D830C4"/>
    <w:rsid w:val="00D837A8"/>
    <w:rsid w:val="00D84C4A"/>
    <w:rsid w:val="00D850C9"/>
    <w:rsid w:val="00D872D9"/>
    <w:rsid w:val="00D9000A"/>
    <w:rsid w:val="00D91A6A"/>
    <w:rsid w:val="00D93383"/>
    <w:rsid w:val="00D9393A"/>
    <w:rsid w:val="00D968CA"/>
    <w:rsid w:val="00D96D85"/>
    <w:rsid w:val="00D9715E"/>
    <w:rsid w:val="00D979B7"/>
    <w:rsid w:val="00D97A66"/>
    <w:rsid w:val="00DA0A02"/>
    <w:rsid w:val="00DA1DAD"/>
    <w:rsid w:val="00DA21FB"/>
    <w:rsid w:val="00DA282E"/>
    <w:rsid w:val="00DA32F2"/>
    <w:rsid w:val="00DA4490"/>
    <w:rsid w:val="00DA46BF"/>
    <w:rsid w:val="00DA4775"/>
    <w:rsid w:val="00DA6C75"/>
    <w:rsid w:val="00DA726A"/>
    <w:rsid w:val="00DA764E"/>
    <w:rsid w:val="00DB00CB"/>
    <w:rsid w:val="00DB0471"/>
    <w:rsid w:val="00DB0807"/>
    <w:rsid w:val="00DB0A5B"/>
    <w:rsid w:val="00DB1E70"/>
    <w:rsid w:val="00DB3357"/>
    <w:rsid w:val="00DB4284"/>
    <w:rsid w:val="00DB625F"/>
    <w:rsid w:val="00DB7229"/>
    <w:rsid w:val="00DC014C"/>
    <w:rsid w:val="00DC0405"/>
    <w:rsid w:val="00DC091F"/>
    <w:rsid w:val="00DC1D93"/>
    <w:rsid w:val="00DC2094"/>
    <w:rsid w:val="00DC2AC9"/>
    <w:rsid w:val="00DC3ED6"/>
    <w:rsid w:val="00DC549D"/>
    <w:rsid w:val="00DC56E7"/>
    <w:rsid w:val="00DC6D98"/>
    <w:rsid w:val="00DC717C"/>
    <w:rsid w:val="00DC77CA"/>
    <w:rsid w:val="00DC7D8A"/>
    <w:rsid w:val="00DD0735"/>
    <w:rsid w:val="00DD2B14"/>
    <w:rsid w:val="00DD2EEC"/>
    <w:rsid w:val="00DD473D"/>
    <w:rsid w:val="00DD531F"/>
    <w:rsid w:val="00DD653A"/>
    <w:rsid w:val="00DD6811"/>
    <w:rsid w:val="00DD7BD2"/>
    <w:rsid w:val="00DD7BEF"/>
    <w:rsid w:val="00DE107D"/>
    <w:rsid w:val="00DE16C4"/>
    <w:rsid w:val="00DE24A1"/>
    <w:rsid w:val="00DE3816"/>
    <w:rsid w:val="00DE4389"/>
    <w:rsid w:val="00DE4FB6"/>
    <w:rsid w:val="00DE53B6"/>
    <w:rsid w:val="00DE7E48"/>
    <w:rsid w:val="00DF0C7D"/>
    <w:rsid w:val="00DF296A"/>
    <w:rsid w:val="00DF2ADB"/>
    <w:rsid w:val="00DF327C"/>
    <w:rsid w:val="00DF3B71"/>
    <w:rsid w:val="00DF47BE"/>
    <w:rsid w:val="00DF47D7"/>
    <w:rsid w:val="00DF4B59"/>
    <w:rsid w:val="00DF5714"/>
    <w:rsid w:val="00DF5EB2"/>
    <w:rsid w:val="00DF681E"/>
    <w:rsid w:val="00DF6836"/>
    <w:rsid w:val="00E00A15"/>
    <w:rsid w:val="00E00A2B"/>
    <w:rsid w:val="00E00D87"/>
    <w:rsid w:val="00E013F1"/>
    <w:rsid w:val="00E027F3"/>
    <w:rsid w:val="00E0294F"/>
    <w:rsid w:val="00E032DD"/>
    <w:rsid w:val="00E03533"/>
    <w:rsid w:val="00E0362D"/>
    <w:rsid w:val="00E036AA"/>
    <w:rsid w:val="00E03A33"/>
    <w:rsid w:val="00E05674"/>
    <w:rsid w:val="00E075E7"/>
    <w:rsid w:val="00E07B7B"/>
    <w:rsid w:val="00E07CB8"/>
    <w:rsid w:val="00E07F02"/>
    <w:rsid w:val="00E10712"/>
    <w:rsid w:val="00E13763"/>
    <w:rsid w:val="00E17EC8"/>
    <w:rsid w:val="00E21102"/>
    <w:rsid w:val="00E211D9"/>
    <w:rsid w:val="00E214B8"/>
    <w:rsid w:val="00E236D4"/>
    <w:rsid w:val="00E23E58"/>
    <w:rsid w:val="00E24026"/>
    <w:rsid w:val="00E24C8A"/>
    <w:rsid w:val="00E264F9"/>
    <w:rsid w:val="00E26F04"/>
    <w:rsid w:val="00E27548"/>
    <w:rsid w:val="00E27C39"/>
    <w:rsid w:val="00E30212"/>
    <w:rsid w:val="00E31935"/>
    <w:rsid w:val="00E33043"/>
    <w:rsid w:val="00E33211"/>
    <w:rsid w:val="00E36B04"/>
    <w:rsid w:val="00E37886"/>
    <w:rsid w:val="00E37BD2"/>
    <w:rsid w:val="00E40F74"/>
    <w:rsid w:val="00E456D2"/>
    <w:rsid w:val="00E47905"/>
    <w:rsid w:val="00E4792B"/>
    <w:rsid w:val="00E51C41"/>
    <w:rsid w:val="00E52E9E"/>
    <w:rsid w:val="00E5304A"/>
    <w:rsid w:val="00E53644"/>
    <w:rsid w:val="00E53AA7"/>
    <w:rsid w:val="00E544A1"/>
    <w:rsid w:val="00E5462B"/>
    <w:rsid w:val="00E55275"/>
    <w:rsid w:val="00E5542F"/>
    <w:rsid w:val="00E567CB"/>
    <w:rsid w:val="00E57110"/>
    <w:rsid w:val="00E577D3"/>
    <w:rsid w:val="00E57928"/>
    <w:rsid w:val="00E60FC8"/>
    <w:rsid w:val="00E63BBC"/>
    <w:rsid w:val="00E6437E"/>
    <w:rsid w:val="00E65102"/>
    <w:rsid w:val="00E651A3"/>
    <w:rsid w:val="00E651DE"/>
    <w:rsid w:val="00E666C1"/>
    <w:rsid w:val="00E66C6F"/>
    <w:rsid w:val="00E702BA"/>
    <w:rsid w:val="00E70A5E"/>
    <w:rsid w:val="00E72307"/>
    <w:rsid w:val="00E72EB0"/>
    <w:rsid w:val="00E73D9F"/>
    <w:rsid w:val="00E74B0A"/>
    <w:rsid w:val="00E75BCB"/>
    <w:rsid w:val="00E75CCF"/>
    <w:rsid w:val="00E76174"/>
    <w:rsid w:val="00E7627C"/>
    <w:rsid w:val="00E764C2"/>
    <w:rsid w:val="00E764C5"/>
    <w:rsid w:val="00E80144"/>
    <w:rsid w:val="00E80584"/>
    <w:rsid w:val="00E810FC"/>
    <w:rsid w:val="00E817A2"/>
    <w:rsid w:val="00E821D8"/>
    <w:rsid w:val="00E82487"/>
    <w:rsid w:val="00E82B03"/>
    <w:rsid w:val="00E83CC8"/>
    <w:rsid w:val="00E84728"/>
    <w:rsid w:val="00E84CB8"/>
    <w:rsid w:val="00E84EE0"/>
    <w:rsid w:val="00E8549C"/>
    <w:rsid w:val="00E8610D"/>
    <w:rsid w:val="00E8680C"/>
    <w:rsid w:val="00E8692E"/>
    <w:rsid w:val="00E90C78"/>
    <w:rsid w:val="00E9147A"/>
    <w:rsid w:val="00E91C99"/>
    <w:rsid w:val="00E91E27"/>
    <w:rsid w:val="00E92020"/>
    <w:rsid w:val="00E9281F"/>
    <w:rsid w:val="00E9440E"/>
    <w:rsid w:val="00E94945"/>
    <w:rsid w:val="00E94A60"/>
    <w:rsid w:val="00E95868"/>
    <w:rsid w:val="00E95987"/>
    <w:rsid w:val="00E96583"/>
    <w:rsid w:val="00E97382"/>
    <w:rsid w:val="00E974A7"/>
    <w:rsid w:val="00E97567"/>
    <w:rsid w:val="00EA22D5"/>
    <w:rsid w:val="00EA33CB"/>
    <w:rsid w:val="00EA40DA"/>
    <w:rsid w:val="00EA5D05"/>
    <w:rsid w:val="00EA5EA9"/>
    <w:rsid w:val="00EA6751"/>
    <w:rsid w:val="00EB083A"/>
    <w:rsid w:val="00EB084D"/>
    <w:rsid w:val="00EB0E2D"/>
    <w:rsid w:val="00EB408D"/>
    <w:rsid w:val="00EB4482"/>
    <w:rsid w:val="00EB49A5"/>
    <w:rsid w:val="00EB5496"/>
    <w:rsid w:val="00EB5C55"/>
    <w:rsid w:val="00EB5D16"/>
    <w:rsid w:val="00EB5E9B"/>
    <w:rsid w:val="00EB6181"/>
    <w:rsid w:val="00EB7160"/>
    <w:rsid w:val="00EB7CE3"/>
    <w:rsid w:val="00EC248D"/>
    <w:rsid w:val="00EC309A"/>
    <w:rsid w:val="00EC4125"/>
    <w:rsid w:val="00EC4648"/>
    <w:rsid w:val="00EC4B3B"/>
    <w:rsid w:val="00EC7A05"/>
    <w:rsid w:val="00ED0FC0"/>
    <w:rsid w:val="00ED17DF"/>
    <w:rsid w:val="00ED2B78"/>
    <w:rsid w:val="00ED335E"/>
    <w:rsid w:val="00ED5E0D"/>
    <w:rsid w:val="00ED61D8"/>
    <w:rsid w:val="00ED645C"/>
    <w:rsid w:val="00ED64F0"/>
    <w:rsid w:val="00ED678E"/>
    <w:rsid w:val="00ED6916"/>
    <w:rsid w:val="00ED72CE"/>
    <w:rsid w:val="00ED7A5F"/>
    <w:rsid w:val="00ED7E34"/>
    <w:rsid w:val="00ED7F42"/>
    <w:rsid w:val="00EE0228"/>
    <w:rsid w:val="00EE1CD9"/>
    <w:rsid w:val="00EE22FB"/>
    <w:rsid w:val="00EE435F"/>
    <w:rsid w:val="00EE5683"/>
    <w:rsid w:val="00EE66E0"/>
    <w:rsid w:val="00EE74DF"/>
    <w:rsid w:val="00EE777A"/>
    <w:rsid w:val="00EE7B54"/>
    <w:rsid w:val="00EF1239"/>
    <w:rsid w:val="00EF12B8"/>
    <w:rsid w:val="00EF1FB2"/>
    <w:rsid w:val="00EF3558"/>
    <w:rsid w:val="00EF5035"/>
    <w:rsid w:val="00F00700"/>
    <w:rsid w:val="00F0204D"/>
    <w:rsid w:val="00F03E8D"/>
    <w:rsid w:val="00F049A0"/>
    <w:rsid w:val="00F0528A"/>
    <w:rsid w:val="00F062AF"/>
    <w:rsid w:val="00F06960"/>
    <w:rsid w:val="00F06D09"/>
    <w:rsid w:val="00F0713D"/>
    <w:rsid w:val="00F077E2"/>
    <w:rsid w:val="00F101F2"/>
    <w:rsid w:val="00F104FE"/>
    <w:rsid w:val="00F10B30"/>
    <w:rsid w:val="00F11144"/>
    <w:rsid w:val="00F11EEB"/>
    <w:rsid w:val="00F11F41"/>
    <w:rsid w:val="00F12B2C"/>
    <w:rsid w:val="00F12CB3"/>
    <w:rsid w:val="00F12FF6"/>
    <w:rsid w:val="00F13B16"/>
    <w:rsid w:val="00F14C9B"/>
    <w:rsid w:val="00F2299B"/>
    <w:rsid w:val="00F247C3"/>
    <w:rsid w:val="00F25C9C"/>
    <w:rsid w:val="00F30031"/>
    <w:rsid w:val="00F312EE"/>
    <w:rsid w:val="00F31615"/>
    <w:rsid w:val="00F34312"/>
    <w:rsid w:val="00F34491"/>
    <w:rsid w:val="00F3464A"/>
    <w:rsid w:val="00F35061"/>
    <w:rsid w:val="00F35ECF"/>
    <w:rsid w:val="00F37B3A"/>
    <w:rsid w:val="00F43211"/>
    <w:rsid w:val="00F4336F"/>
    <w:rsid w:val="00F437F0"/>
    <w:rsid w:val="00F44297"/>
    <w:rsid w:val="00F44D42"/>
    <w:rsid w:val="00F472CC"/>
    <w:rsid w:val="00F5015C"/>
    <w:rsid w:val="00F5252A"/>
    <w:rsid w:val="00F52B06"/>
    <w:rsid w:val="00F545F3"/>
    <w:rsid w:val="00F54728"/>
    <w:rsid w:val="00F55025"/>
    <w:rsid w:val="00F55229"/>
    <w:rsid w:val="00F556B7"/>
    <w:rsid w:val="00F5651F"/>
    <w:rsid w:val="00F56F34"/>
    <w:rsid w:val="00F57028"/>
    <w:rsid w:val="00F5769D"/>
    <w:rsid w:val="00F61806"/>
    <w:rsid w:val="00F632BB"/>
    <w:rsid w:val="00F6503B"/>
    <w:rsid w:val="00F65107"/>
    <w:rsid w:val="00F651A0"/>
    <w:rsid w:val="00F6557A"/>
    <w:rsid w:val="00F6592D"/>
    <w:rsid w:val="00F665D4"/>
    <w:rsid w:val="00F70B87"/>
    <w:rsid w:val="00F72547"/>
    <w:rsid w:val="00F742C9"/>
    <w:rsid w:val="00F75BFF"/>
    <w:rsid w:val="00F8193B"/>
    <w:rsid w:val="00F83188"/>
    <w:rsid w:val="00F837BB"/>
    <w:rsid w:val="00F83E3C"/>
    <w:rsid w:val="00F853BF"/>
    <w:rsid w:val="00F8597D"/>
    <w:rsid w:val="00F85C3F"/>
    <w:rsid w:val="00F86020"/>
    <w:rsid w:val="00F871A3"/>
    <w:rsid w:val="00F906C0"/>
    <w:rsid w:val="00F92104"/>
    <w:rsid w:val="00F93DEC"/>
    <w:rsid w:val="00F940F4"/>
    <w:rsid w:val="00F943C4"/>
    <w:rsid w:val="00F9756B"/>
    <w:rsid w:val="00F97DA6"/>
    <w:rsid w:val="00FA01C6"/>
    <w:rsid w:val="00FA1735"/>
    <w:rsid w:val="00FA23E0"/>
    <w:rsid w:val="00FA4290"/>
    <w:rsid w:val="00FA449A"/>
    <w:rsid w:val="00FA6BA4"/>
    <w:rsid w:val="00FA7063"/>
    <w:rsid w:val="00FA7135"/>
    <w:rsid w:val="00FA79B3"/>
    <w:rsid w:val="00FB0FBD"/>
    <w:rsid w:val="00FB4B87"/>
    <w:rsid w:val="00FB544A"/>
    <w:rsid w:val="00FB7DAD"/>
    <w:rsid w:val="00FC0700"/>
    <w:rsid w:val="00FC0B9A"/>
    <w:rsid w:val="00FC0BB1"/>
    <w:rsid w:val="00FC2784"/>
    <w:rsid w:val="00FC27DF"/>
    <w:rsid w:val="00FC2F6E"/>
    <w:rsid w:val="00FC2FA5"/>
    <w:rsid w:val="00FC36DC"/>
    <w:rsid w:val="00FC3C8B"/>
    <w:rsid w:val="00FC3CDA"/>
    <w:rsid w:val="00FC4DB4"/>
    <w:rsid w:val="00FC5DEA"/>
    <w:rsid w:val="00FC611D"/>
    <w:rsid w:val="00FC7134"/>
    <w:rsid w:val="00FC7EAB"/>
    <w:rsid w:val="00FD02FB"/>
    <w:rsid w:val="00FD213A"/>
    <w:rsid w:val="00FD30C8"/>
    <w:rsid w:val="00FD37B4"/>
    <w:rsid w:val="00FD3AB3"/>
    <w:rsid w:val="00FD3BC9"/>
    <w:rsid w:val="00FD47F7"/>
    <w:rsid w:val="00FD5861"/>
    <w:rsid w:val="00FD5A33"/>
    <w:rsid w:val="00FD5F80"/>
    <w:rsid w:val="00FD6745"/>
    <w:rsid w:val="00FD6CC6"/>
    <w:rsid w:val="00FE0BEA"/>
    <w:rsid w:val="00FE0DA3"/>
    <w:rsid w:val="00FE1C93"/>
    <w:rsid w:val="00FE1D1E"/>
    <w:rsid w:val="00FE4616"/>
    <w:rsid w:val="00FE6992"/>
    <w:rsid w:val="00FE7315"/>
    <w:rsid w:val="00FF03AD"/>
    <w:rsid w:val="00FF2D7D"/>
    <w:rsid w:val="00FF3905"/>
    <w:rsid w:val="00FF4C60"/>
    <w:rsid w:val="00FF5608"/>
    <w:rsid w:val="00FF5CBB"/>
    <w:rsid w:val="00FF6082"/>
    <w:rsid w:val="00FF7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EC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4559"/>
    <w:pPr>
      <w:keepNext/>
      <w:tabs>
        <w:tab w:val="num" w:pos="432"/>
      </w:tabs>
      <w:suppressAutoHyphens/>
      <w:ind w:left="432" w:hanging="432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4559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4559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C3D1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9C3D1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9C3D1C"/>
    <w:rPr>
      <w:rFonts w:ascii="Cambria" w:hAnsi="Cambria" w:cs="Cambria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197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0799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522063"/>
    <w:rPr>
      <w:lang w:val="tr-TR" w:eastAsia="tr-TR"/>
    </w:rPr>
  </w:style>
  <w:style w:type="character" w:styleId="FootnoteReference">
    <w:name w:val="footnote reference"/>
    <w:uiPriority w:val="99"/>
    <w:semiHidden/>
    <w:rsid w:val="00D0799D"/>
    <w:rPr>
      <w:vertAlign w:val="superscript"/>
    </w:rPr>
  </w:style>
  <w:style w:type="character" w:styleId="Hyperlink">
    <w:name w:val="Hyperlink"/>
    <w:uiPriority w:val="99"/>
    <w:rsid w:val="007522D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B51E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sid w:val="009C3D1C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B51E3"/>
  </w:style>
  <w:style w:type="paragraph" w:styleId="Header">
    <w:name w:val="header"/>
    <w:basedOn w:val="Normal"/>
    <w:link w:val="HeaderChar"/>
    <w:uiPriority w:val="99"/>
    <w:rsid w:val="007B51E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9C3D1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26CC9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sid w:val="009C3D1C"/>
    <w:rPr>
      <w:sz w:val="2"/>
      <w:szCs w:val="2"/>
    </w:rPr>
  </w:style>
  <w:style w:type="character" w:styleId="LineNumber">
    <w:name w:val="line number"/>
    <w:basedOn w:val="DefaultParagraphFont"/>
    <w:uiPriority w:val="99"/>
    <w:semiHidden/>
    <w:rsid w:val="000F0C2B"/>
  </w:style>
  <w:style w:type="paragraph" w:styleId="ListParagraph">
    <w:name w:val="List Paragraph"/>
    <w:basedOn w:val="Normal"/>
    <w:uiPriority w:val="99"/>
    <w:qFormat/>
    <w:rsid w:val="000B612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EC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4559"/>
    <w:pPr>
      <w:keepNext/>
      <w:tabs>
        <w:tab w:val="num" w:pos="432"/>
      </w:tabs>
      <w:suppressAutoHyphens/>
      <w:ind w:left="432" w:hanging="432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4559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4559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C3D1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9C3D1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9C3D1C"/>
    <w:rPr>
      <w:rFonts w:ascii="Cambria" w:hAnsi="Cambria" w:cs="Cambria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197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0799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522063"/>
    <w:rPr>
      <w:lang w:val="tr-TR" w:eastAsia="tr-TR"/>
    </w:rPr>
  </w:style>
  <w:style w:type="character" w:styleId="FootnoteReference">
    <w:name w:val="footnote reference"/>
    <w:uiPriority w:val="99"/>
    <w:semiHidden/>
    <w:rsid w:val="00D0799D"/>
    <w:rPr>
      <w:vertAlign w:val="superscript"/>
    </w:rPr>
  </w:style>
  <w:style w:type="character" w:styleId="Hyperlink">
    <w:name w:val="Hyperlink"/>
    <w:uiPriority w:val="99"/>
    <w:rsid w:val="007522D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B51E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sid w:val="009C3D1C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B51E3"/>
  </w:style>
  <w:style w:type="paragraph" w:styleId="Header">
    <w:name w:val="header"/>
    <w:basedOn w:val="Normal"/>
    <w:link w:val="HeaderChar"/>
    <w:uiPriority w:val="99"/>
    <w:rsid w:val="007B51E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9C3D1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26CC9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sid w:val="009C3D1C"/>
    <w:rPr>
      <w:sz w:val="2"/>
      <w:szCs w:val="2"/>
    </w:rPr>
  </w:style>
  <w:style w:type="character" w:styleId="LineNumber">
    <w:name w:val="line number"/>
    <w:basedOn w:val="DefaultParagraphFont"/>
    <w:uiPriority w:val="99"/>
    <w:semiHidden/>
    <w:rsid w:val="000F0C2B"/>
  </w:style>
  <w:style w:type="paragraph" w:styleId="ListParagraph">
    <w:name w:val="List Paragraph"/>
    <w:basedOn w:val="Normal"/>
    <w:uiPriority w:val="99"/>
    <w:qFormat/>
    <w:rsid w:val="000B612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0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mine.durmaz\Desktop\melike.kokk&#305;z&#305;l@eas.bahcsehir.edu.tr" TargetMode="External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aris.soybilgen@bahcesehir.edu.tr" TargetMode="Externa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umrut.imamoglu@bahcesehir.edu.t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98142-057B-4333-B1FD-5257FB0C7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oş</vt:lpstr>
    </vt:vector>
  </TitlesOfParts>
  <Company/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oş</dc:title>
  <dc:creator>baris.soybilgen</dc:creator>
  <cp:lastModifiedBy>merve.akgul</cp:lastModifiedBy>
  <cp:revision>3</cp:revision>
  <cp:lastPrinted>2016-04-25T13:39:00Z</cp:lastPrinted>
  <dcterms:created xsi:type="dcterms:W3CDTF">2016-04-25T11:23:00Z</dcterms:created>
  <dcterms:modified xsi:type="dcterms:W3CDTF">2016-04-25T13:39:00Z</dcterms:modified>
</cp:coreProperties>
</file>