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55" w:rsidRPr="00525CA7" w:rsidRDefault="001800B6" w:rsidP="006F1F55">
      <w:pPr>
        <w:ind w:right="4457"/>
      </w:pPr>
      <w:r>
        <w:rPr>
          <w:noProof/>
        </w:rPr>
        <mc:AlternateContent>
          <mc:Choice Requires="wps">
            <w:drawing>
              <wp:anchor distT="0" distB="0" distL="114935" distR="114935" simplePos="0" relativeHeight="251660288" behindDoc="0" locked="0" layoutInCell="1" allowOverlap="1">
                <wp:simplePos x="0" y="0"/>
                <wp:positionH relativeFrom="column">
                  <wp:posOffset>5071110</wp:posOffset>
                </wp:positionH>
                <wp:positionV relativeFrom="paragraph">
                  <wp:posOffset>278130</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58" w:rsidRDefault="009C7C88" w:rsidP="006F1F55">
                            <w:pPr>
                              <w:pStyle w:val="Heading3"/>
                              <w:jc w:val="center"/>
                            </w:pPr>
                            <w:r>
                              <w:rPr>
                                <w:color w:val="FFFFFF"/>
                                <w:sz w:val="22"/>
                                <w:szCs w:val="22"/>
                                <w:lang w:val="tr-TR"/>
                              </w:rPr>
                              <w:t>2</w:t>
                            </w:r>
                            <w:r w:rsidR="00D42D6C">
                              <w:rPr>
                                <w:color w:val="FFFFFF"/>
                                <w:sz w:val="22"/>
                                <w:szCs w:val="22"/>
                                <w:lang w:val="tr-TR"/>
                              </w:rPr>
                              <w:t>1</w:t>
                            </w:r>
                            <w:r>
                              <w:rPr>
                                <w:color w:val="FFFFFF"/>
                                <w:sz w:val="22"/>
                                <w:szCs w:val="22"/>
                                <w:lang w:val="tr-TR"/>
                              </w:rPr>
                              <w:t xml:space="preserve"> Nisan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" stroked="f">
                <v:fill opacity="0"/>
                <v:textbox inset="0,0,0,0">
                  <w:txbxContent>
                    <w:p w:rsidR="00476758" w:rsidRDefault="009C7C88" w:rsidP="006F1F55">
                      <w:pPr>
                        <w:pStyle w:val="Heading3"/>
                        <w:jc w:val="center"/>
                      </w:pPr>
                      <w:r>
                        <w:rPr>
                          <w:color w:val="FFFFFF"/>
                          <w:sz w:val="22"/>
                          <w:szCs w:val="22"/>
                          <w:lang w:val="tr-TR"/>
                        </w:rPr>
                        <w:t>2</w:t>
                      </w:r>
                      <w:r w:rsidR="00D42D6C">
                        <w:rPr>
                          <w:color w:val="FFFFFF"/>
                          <w:sz w:val="22"/>
                          <w:szCs w:val="22"/>
                          <w:lang w:val="tr-TR"/>
                        </w:rPr>
                        <w:t>1</w:t>
                      </w:r>
                      <w:r>
                        <w:rPr>
                          <w:color w:val="FFFFFF"/>
                          <w:sz w:val="22"/>
                          <w:szCs w:val="22"/>
                          <w:lang w:val="tr-TR"/>
                        </w:rPr>
                        <w:t xml:space="preserve"> Nisan 2016</w:t>
                      </w:r>
                    </w:p>
                  </w:txbxContent>
                </v:textbox>
              </v:shape>
            </w:pict>
          </mc:Fallback>
        </mc:AlternateContent>
      </w:r>
      <w:r w:rsidR="006F1F55" w:rsidRPr="00525CA7">
        <w:rPr>
          <w:noProof/>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58" w:rsidRPr="002865A7" w:rsidRDefault="001524C9" w:rsidP="006F1F55">
                            <w:pPr>
                              <w:pStyle w:val="Heading1"/>
                              <w:rPr>
                                <w:rFonts w:ascii="Times New Roman" w:hAnsi="Times New Roman"/>
                                <w:sz w:val="52"/>
                                <w:szCs w:val="52"/>
                              </w:rPr>
                            </w:pPr>
                            <w:r>
                              <w:rPr>
                                <w:rFonts w:ascii="Times New Roman" w:hAnsi="Times New Roman"/>
                                <w:sz w:val="52"/>
                                <w:szCs w:val="52"/>
                              </w:rPr>
                              <w:t xml:space="preserve">Araştırma </w:t>
                            </w:r>
                            <w:r>
                              <w:rPr>
                                <w:rFonts w:ascii="Times New Roman" w:hAnsi="Times New Roman"/>
                                <w:sz w:val="52"/>
                                <w:szCs w:val="52"/>
                              </w:rPr>
                              <w:t>Notu 16</w:t>
                            </w:r>
                            <w:r w:rsidR="00476758" w:rsidRPr="002865A7">
                              <w:rPr>
                                <w:rFonts w:ascii="Times New Roman" w:hAnsi="Times New Roman"/>
                                <w:sz w:val="52"/>
                                <w:szCs w:val="52"/>
                              </w:rPr>
                              <w:t>/</w:t>
                            </w:r>
                            <w:r w:rsidR="00D42D6C">
                              <w:rPr>
                                <w:rFonts w:ascii="Times New Roman" w:hAnsi="Times New Roman"/>
                                <w:sz w:val="52"/>
                                <w:szCs w:val="52"/>
                              </w:rPr>
                              <w:t>193</w:t>
                            </w:r>
                          </w:p>
                          <w:p w:rsidR="00476758" w:rsidRPr="00526178" w:rsidRDefault="00476758"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" stroked="f">
                <v:fill opacity="0"/>
                <v:textbox inset="0,0,0,0">
                  <w:txbxContent>
                    <w:p w:rsidR="00476758" w:rsidRPr="002865A7" w:rsidRDefault="001524C9" w:rsidP="006F1F55">
                      <w:pPr>
                        <w:pStyle w:val="Heading1"/>
                        <w:rPr>
                          <w:rFonts w:ascii="Times New Roman" w:hAnsi="Times New Roman"/>
                          <w:sz w:val="52"/>
                          <w:szCs w:val="52"/>
                        </w:rPr>
                      </w:pPr>
                      <w:r>
                        <w:rPr>
                          <w:rFonts w:ascii="Times New Roman" w:hAnsi="Times New Roman"/>
                          <w:sz w:val="52"/>
                          <w:szCs w:val="52"/>
                        </w:rPr>
                        <w:t>Araştırma Notu 16</w:t>
                      </w:r>
                      <w:r w:rsidR="00476758" w:rsidRPr="002865A7">
                        <w:rPr>
                          <w:rFonts w:ascii="Times New Roman" w:hAnsi="Times New Roman"/>
                          <w:sz w:val="52"/>
                          <w:szCs w:val="52"/>
                        </w:rPr>
                        <w:t>/</w:t>
                      </w:r>
                      <w:r w:rsidR="00D42D6C">
                        <w:rPr>
                          <w:rFonts w:ascii="Times New Roman" w:hAnsi="Times New Roman"/>
                          <w:sz w:val="52"/>
                          <w:szCs w:val="52"/>
                        </w:rPr>
                        <w:t>193</w:t>
                      </w:r>
                    </w:p>
                    <w:p w:rsidR="00476758" w:rsidRPr="00526178" w:rsidRDefault="00476758" w:rsidP="006F1F55">
                      <w:pPr>
                        <w:pStyle w:val="Heading2"/>
                        <w:rPr>
                          <w:b w:val="0"/>
                          <w:bCs w:val="0"/>
                          <w:i w:val="0"/>
                          <w:iCs w:val="0"/>
                        </w:rPr>
                      </w:pPr>
                    </w:p>
                  </w:txbxContent>
                </v:textbox>
              </v:shape>
            </w:pict>
          </mc:Fallback>
        </mc:AlternateContent>
      </w:r>
    </w:p>
    <w:p w:rsidR="006F1F55" w:rsidRPr="00525CA7" w:rsidRDefault="006F1F55" w:rsidP="006F1F55"/>
    <w:p w:rsidR="006F1F55" w:rsidRPr="00525CA7" w:rsidRDefault="006F1F55" w:rsidP="006F1F55">
      <w:pPr>
        <w:pStyle w:val="Caption"/>
        <w:keepNext/>
      </w:pPr>
    </w:p>
    <w:p w:rsidR="00DA1A18" w:rsidRPr="00D42D6C" w:rsidRDefault="002C0EAA" w:rsidP="006F1F55">
      <w:pPr>
        <w:jc w:val="center"/>
        <w:rPr>
          <w:rFonts w:eastAsiaTheme="minorHAnsi"/>
          <w:b/>
          <w:noProof/>
          <w:sz w:val="32"/>
          <w:szCs w:val="32"/>
          <w:lang w:val="en-GB" w:eastAsia="en-US"/>
        </w:rPr>
      </w:pPr>
      <w:r w:rsidRPr="00D42D6C">
        <w:rPr>
          <w:rFonts w:eastAsiaTheme="minorHAnsi"/>
          <w:b/>
          <w:noProof/>
          <w:sz w:val="32"/>
          <w:szCs w:val="32"/>
          <w:lang w:val="en-GB" w:eastAsia="en-US"/>
        </w:rPr>
        <w:t>HER ÜÇ ÇOCUKTAN BİRİ MADDİ YOKSUNLUK İÇİNDE</w:t>
      </w:r>
    </w:p>
    <w:p w:rsidR="006F1F55" w:rsidRPr="00441DBA" w:rsidRDefault="006F1F55" w:rsidP="006F1F55">
      <w:pPr>
        <w:jc w:val="center"/>
        <w:rPr>
          <w:b/>
          <w:bCs/>
        </w:rPr>
      </w:pPr>
      <w:r w:rsidRPr="00441DBA">
        <w:rPr>
          <w:b/>
          <w:bCs/>
        </w:rPr>
        <w:t>Seyfettin Gürsel</w:t>
      </w:r>
      <w:r w:rsidRPr="00441DBA">
        <w:rPr>
          <w:b/>
          <w:bCs/>
          <w:vertAlign w:val="superscript"/>
        </w:rPr>
        <w:footnoteReference w:customMarkFollows="1" w:id="1"/>
        <w:t>*</w:t>
      </w:r>
      <w:r w:rsidRPr="00441DBA">
        <w:rPr>
          <w:b/>
          <w:bCs/>
        </w:rPr>
        <w:t>, Gökçe Uysal</w:t>
      </w:r>
      <w:r w:rsidRPr="00441DBA">
        <w:rPr>
          <w:b/>
          <w:bCs/>
          <w:vertAlign w:val="superscript"/>
        </w:rPr>
        <w:footnoteReference w:customMarkFollows="1" w:id="2"/>
        <w:sym w:font="Symbol" w:char="F02A"/>
      </w:r>
      <w:r w:rsidRPr="00441DBA">
        <w:rPr>
          <w:b/>
          <w:bCs/>
          <w:vertAlign w:val="superscript"/>
        </w:rPr>
        <w:sym w:font="Symbol" w:char="F02A"/>
      </w:r>
      <w:r w:rsidRPr="00441DBA">
        <w:rPr>
          <w:b/>
          <w:bCs/>
        </w:rPr>
        <w:t xml:space="preserve"> ve </w:t>
      </w:r>
      <w:r w:rsidR="00A45FFF">
        <w:rPr>
          <w:b/>
          <w:bCs/>
        </w:rPr>
        <w:t>Selin Köksal</w:t>
      </w:r>
      <w:r w:rsidRPr="00441DBA">
        <w:rPr>
          <w:b/>
          <w:bCs/>
          <w:vertAlign w:val="superscript"/>
        </w:rPr>
        <w:footnoteReference w:customMarkFollows="1" w:id="3"/>
        <w:sym w:font="Symbol" w:char="F02A"/>
      </w:r>
      <w:r w:rsidRPr="00441DBA">
        <w:rPr>
          <w:b/>
          <w:bCs/>
          <w:vertAlign w:val="superscript"/>
        </w:rPr>
        <w:sym w:font="Symbol" w:char="F02A"/>
      </w:r>
      <w:r w:rsidRPr="00441DBA">
        <w:rPr>
          <w:b/>
          <w:bCs/>
          <w:vertAlign w:val="superscript"/>
        </w:rPr>
        <w:sym w:font="Symbol" w:char="F02A"/>
      </w:r>
    </w:p>
    <w:p w:rsidR="006F1F55" w:rsidRPr="00D42D6C" w:rsidRDefault="006F1F55" w:rsidP="006F1F55">
      <w:pPr>
        <w:jc w:val="center"/>
        <w:rPr>
          <w:rFonts w:eastAsiaTheme="minorHAnsi"/>
          <w:b/>
          <w:bCs/>
          <w:noProof/>
          <w:lang w:val="en-GB" w:eastAsia="en-US"/>
        </w:rPr>
      </w:pPr>
      <w:r w:rsidRPr="00D42D6C">
        <w:rPr>
          <w:rFonts w:eastAsiaTheme="minorHAnsi"/>
          <w:b/>
          <w:bCs/>
          <w:noProof/>
          <w:lang w:val="en-GB" w:eastAsia="en-US"/>
        </w:rPr>
        <w:t>Yönetici Özeti</w:t>
      </w:r>
    </w:p>
    <w:p w:rsidR="00F33A6A" w:rsidRPr="00D42D6C" w:rsidRDefault="008A0235" w:rsidP="00816606">
      <w:pPr>
        <w:jc w:val="both"/>
        <w:rPr>
          <w:rFonts w:eastAsiaTheme="minorHAnsi"/>
          <w:noProof/>
          <w:color w:val="000000" w:themeColor="text1"/>
          <w:lang w:val="en-GB" w:eastAsia="en-US"/>
        </w:rPr>
      </w:pPr>
      <w:r w:rsidRPr="00D42D6C">
        <w:rPr>
          <w:rFonts w:eastAsiaTheme="minorHAnsi"/>
          <w:noProof/>
          <w:color w:val="000000" w:themeColor="text1"/>
          <w:lang w:val="en-GB" w:eastAsia="en-US"/>
        </w:rPr>
        <w:t xml:space="preserve">Avrupa Birliği’nin yoksunluk tanımına göre 2014 yılında Türkiye’de yaklaşık her üç çocuktan biri, başka bir deyişle 7 milyondan fazla çocuk şiddetli maddi yoksunluk çeken hanelerde yaşamaktadır. Avrupa’nın geneli ile karşılaştırıldığında, Türkiye hem daha düşük kişi başı gelire sahip ülkelerin hem de ekonomik krizden şiddetli olarak etkilenmiş ülkelerin gerisinde kalmaktadır. Çocuklar arasındaki şiddetli maddi yoksunluk sorunu, batı bölgelerinden </w:t>
      </w:r>
      <w:r w:rsidR="00D00DCF" w:rsidRPr="00D42D6C">
        <w:rPr>
          <w:rFonts w:eastAsiaTheme="minorHAnsi"/>
          <w:noProof/>
          <w:color w:val="000000" w:themeColor="text1"/>
          <w:lang w:val="en-GB" w:eastAsia="en-US"/>
        </w:rPr>
        <w:t>doğu bölgelerine doğru gidildikç</w:t>
      </w:r>
      <w:r w:rsidRPr="00D42D6C">
        <w:rPr>
          <w:rFonts w:eastAsiaTheme="minorHAnsi"/>
          <w:noProof/>
          <w:color w:val="000000" w:themeColor="text1"/>
          <w:lang w:val="en-GB" w:eastAsia="en-US"/>
        </w:rPr>
        <w:t xml:space="preserve">e daha ciddi bir hal almaktadır. Türkiye’de maddi yoksunluk çeken hanelerde yaşayan çocukların yarısından fazlası Akdeniz, Kuzey Doğu Anadolu, Orta Doğu Anadolu ve Güney Doğu Anadolu bölgelerinde ikamet etmektedir. Şiddetli maddi yoksunluğun alt kalemlerine bakıldığında her dört çocuktan üçünün yılda bir haftalık tatil yapamayan hanelerde yaşadığı, yarısından fazlasının hanesinde otomobil olmadığı görülmektedir. Bunun yanı sıra çocukların yaklaşık yüzde 40’nın protein ihtiyacını et, tavuk ya da </w:t>
      </w:r>
      <w:r w:rsidR="00985833">
        <w:rPr>
          <w:rFonts w:eastAsiaTheme="minorHAnsi"/>
          <w:noProof/>
          <w:color w:val="000000" w:themeColor="text1"/>
          <w:lang w:val="en-GB" w:eastAsia="en-US"/>
        </w:rPr>
        <w:t>balık ile karşılayamadığı gözlem</w:t>
      </w:r>
      <w:bookmarkStart w:id="0" w:name="_GoBack"/>
      <w:bookmarkEnd w:id="0"/>
      <w:r w:rsidRPr="00D42D6C">
        <w:rPr>
          <w:rFonts w:eastAsiaTheme="minorHAnsi"/>
          <w:noProof/>
          <w:color w:val="000000" w:themeColor="text1"/>
          <w:lang w:val="en-GB" w:eastAsia="en-US"/>
        </w:rPr>
        <w:t xml:space="preserve">lenmektedir. Sonuç olarak Türkiye, çocuk yoksulluğuyla mücadele konusunda daha etkin sosyal politikalara ihtiyaç duymaktadır. </w:t>
      </w:r>
    </w:p>
    <w:p w:rsidR="00005C13" w:rsidRPr="00D42D6C" w:rsidRDefault="00A45FFF" w:rsidP="00816606">
      <w:pPr>
        <w:jc w:val="both"/>
        <w:rPr>
          <w:rFonts w:eastAsiaTheme="minorHAnsi"/>
          <w:b/>
          <w:bCs/>
          <w:noProof/>
          <w:color w:val="000000" w:themeColor="text1"/>
          <w:sz w:val="24"/>
          <w:szCs w:val="24"/>
          <w:lang w:val="en-GB" w:eastAsia="en-US"/>
        </w:rPr>
      </w:pPr>
      <w:r w:rsidRPr="00D42D6C">
        <w:rPr>
          <w:rFonts w:eastAsiaTheme="minorHAnsi"/>
          <w:b/>
          <w:bCs/>
          <w:noProof/>
          <w:color w:val="000000" w:themeColor="text1"/>
          <w:sz w:val="24"/>
          <w:szCs w:val="24"/>
          <w:lang w:val="en-GB" w:eastAsia="en-US"/>
        </w:rPr>
        <w:t xml:space="preserve">Avrupa’da </w:t>
      </w:r>
      <w:r w:rsidR="007B2693" w:rsidRPr="00D42D6C">
        <w:rPr>
          <w:rFonts w:eastAsiaTheme="minorHAnsi"/>
          <w:b/>
          <w:bCs/>
          <w:noProof/>
          <w:color w:val="000000" w:themeColor="text1"/>
          <w:sz w:val="24"/>
          <w:szCs w:val="24"/>
          <w:lang w:val="en-GB" w:eastAsia="en-US"/>
        </w:rPr>
        <w:t xml:space="preserve">şiddetli </w:t>
      </w:r>
      <w:r w:rsidRPr="00D42D6C">
        <w:rPr>
          <w:rFonts w:eastAsiaTheme="minorHAnsi"/>
          <w:b/>
          <w:bCs/>
          <w:noProof/>
          <w:color w:val="000000" w:themeColor="text1"/>
          <w:sz w:val="24"/>
          <w:szCs w:val="24"/>
          <w:lang w:val="en-GB" w:eastAsia="en-US"/>
        </w:rPr>
        <w:t>maddi yoksunluğun en yoğun görüldüğü ülke Türkiye</w:t>
      </w:r>
      <w:r w:rsidR="00005C13" w:rsidRPr="00D42D6C">
        <w:rPr>
          <w:rFonts w:eastAsiaTheme="minorHAnsi"/>
          <w:b/>
          <w:bCs/>
          <w:noProof/>
          <w:color w:val="000000" w:themeColor="text1"/>
          <w:sz w:val="24"/>
          <w:szCs w:val="24"/>
          <w:lang w:val="en-GB" w:eastAsia="en-US"/>
        </w:rPr>
        <w:t xml:space="preserve"> </w:t>
      </w:r>
    </w:p>
    <w:p w:rsidR="008A0235" w:rsidRPr="00D42D6C" w:rsidRDefault="008A0235" w:rsidP="008A0235">
      <w:pPr>
        <w:jc w:val="both"/>
        <w:rPr>
          <w:rFonts w:eastAsiaTheme="minorHAnsi" w:cs="Arial"/>
          <w:noProof/>
          <w:color w:val="000000" w:themeColor="text1"/>
          <w:lang w:val="en-GB" w:eastAsia="en-US"/>
        </w:rPr>
      </w:pPr>
      <w:r w:rsidRPr="00D42D6C">
        <w:rPr>
          <w:rFonts w:eastAsiaTheme="minorHAnsi" w:cs="Arial"/>
          <w:noProof/>
          <w:color w:val="000000" w:themeColor="text1"/>
          <w:lang w:val="en-GB" w:eastAsia="en-US"/>
        </w:rPr>
        <w:t xml:space="preserve">Maddi yoksunluk ölçütü, ülkelerin yoksulluk düzeyini ölçmek ve analiz etmek için kullanılan yöntemlerden biridir. Bu yöntem, ankete katılan hanelerin yaşam standartlarına dair değerlendirmeler içerdiğinden ülkenin genel yoksulluk düzeyine ışık tutan bir yaklaşım olarak algılanabilir. Uzun süren gelir yoksulluğunun bir sonucu olan maddi yoksunluk, yetişkinlerde geçici olabilirken çocuklarda genelde ömür boyu sürer ve sonraki nesillere aktarılma riski taşımaktadır. Bu bağlamda, her ülkenin çocuk yoksulluğunu tanımlaması, tanıması ve kararlılıkla çocuk yoksulluğuna karşı savaşması önemlidir. </w:t>
      </w:r>
    </w:p>
    <w:p w:rsidR="007E3973" w:rsidRDefault="008A0235" w:rsidP="00CD2E84">
      <w:pPr>
        <w:jc w:val="both"/>
        <w:rPr>
          <w:rFonts w:cs="Arial"/>
          <w:color w:val="000000" w:themeColor="text1"/>
          <w:sz w:val="20"/>
        </w:rPr>
      </w:pPr>
      <w:r w:rsidRPr="00A45FFF">
        <w:rPr>
          <w:rFonts w:cs="Arial"/>
        </w:rPr>
        <w:t xml:space="preserve">Çocuk yoksulluğu çok boyutlu bir durumdur ve dolayısıyla birçok farklı ölçütü bulunmaktadır. Bu araştırma notunda yoksulluk ölçütlerinden biri olan Avrupa Birliği İstatistik Ofisi'nin  (Eurostat) </w:t>
      </w:r>
      <w:r w:rsidRPr="000C6495">
        <w:rPr>
          <w:rFonts w:cs="Arial"/>
        </w:rPr>
        <w:t>tanımladığı şiddetli maddi yo</w:t>
      </w:r>
      <w:r w:rsidRPr="00A45FFF">
        <w:rPr>
          <w:rFonts w:cs="Arial"/>
        </w:rPr>
        <w:t xml:space="preserve">ksunluk ölçütü kullanılmıştır. Şiddetli maddi yoksunluk bireylerin hayatlarına düzgün bir şekilde devam edebilmeleri için gerekli olan çeşitli ihtiyaçların zorunluluktan yerine getirilememesi olarak tanımlanabilir.  Avrupa Birliği İstatistik Ofisi'nin bu ölçütüne göre  (1) kira ve faturaların ödenmesi, (2) evin ısınma ihtiyacının yeterince karşılanması, (3) beklenmedik harcamaların karşılanması, (4) her iki günde bir et, balık ya da protein eşdeğer gıdalarının tüketilmesi, (5) evden uzakta bir haftalık tatil masrafının karşılanması, (6) bir arabaya, (7) bir çamaşır makinesine, (8) bir renkli televizyona ve (9) bir telefona sahip olunması (cep telefonu da dahil), </w:t>
      </w:r>
      <w:r w:rsidR="004F4D6F" w:rsidRPr="00A45FFF">
        <w:rPr>
          <w:rFonts w:cs="Arial"/>
        </w:rPr>
        <w:lastRenderedPageBreak/>
        <w:t>olarak belirlenen dokuz kriterlerden dördünü yerine getiremeyen hanelerde yaşan bireyler şiddetli maddi yoksunluk içerisinde kabul edilmektedir.</w:t>
      </w:r>
      <w:r w:rsidR="001271D1" w:rsidRPr="002C0EAA">
        <w:rPr>
          <w:rFonts w:cs="Arial"/>
          <w:color w:val="000000" w:themeColor="text1"/>
          <w:sz w:val="20"/>
        </w:rPr>
        <w:t xml:space="preserve"> </w:t>
      </w:r>
      <w:bookmarkStart w:id="1" w:name="_Ref417458022"/>
      <w:bookmarkStart w:id="2" w:name="_Ref417457985"/>
    </w:p>
    <w:p w:rsidR="008A0235" w:rsidRPr="007E3973" w:rsidRDefault="00492F5F" w:rsidP="007E3973">
      <w:pPr>
        <w:rPr>
          <w:b/>
          <w:sz w:val="24"/>
          <w:szCs w:val="24"/>
        </w:rPr>
      </w:pPr>
      <w:bookmarkStart w:id="3" w:name="_Ref448924617"/>
      <w:r w:rsidRPr="007E3973">
        <w:rPr>
          <w:b/>
        </w:rPr>
        <w:t xml:space="preserve">Şekil </w:t>
      </w:r>
      <w:r w:rsidR="00AE4AAB" w:rsidRPr="007E3973">
        <w:rPr>
          <w:b/>
        </w:rPr>
        <w:fldChar w:fldCharType="begin"/>
      </w:r>
      <w:r w:rsidRPr="007E3973">
        <w:rPr>
          <w:b/>
        </w:rPr>
        <w:instrText xml:space="preserve"> SEQ Şekil \* ARABIC </w:instrText>
      </w:r>
      <w:r w:rsidR="00AE4AAB" w:rsidRPr="007E3973">
        <w:rPr>
          <w:b/>
        </w:rPr>
        <w:fldChar w:fldCharType="separate"/>
      </w:r>
      <w:r w:rsidR="00403329">
        <w:rPr>
          <w:b/>
          <w:noProof/>
        </w:rPr>
        <w:t>1</w:t>
      </w:r>
      <w:r w:rsidR="00AE4AAB" w:rsidRPr="007E3973">
        <w:rPr>
          <w:b/>
        </w:rPr>
        <w:fldChar w:fldCharType="end"/>
      </w:r>
      <w:bookmarkEnd w:id="1"/>
      <w:bookmarkEnd w:id="3"/>
      <w:r w:rsidR="007E3973" w:rsidRPr="007E3973">
        <w:rPr>
          <w:b/>
        </w:rPr>
        <w:t xml:space="preserve"> : </w:t>
      </w:r>
      <w:r w:rsidRPr="007E3973">
        <w:rPr>
          <w:b/>
        </w:rPr>
        <w:t>0-15 Yaş grubundaki çocukların şiddetli maddi yoksunluk oranları (%), 201</w:t>
      </w:r>
      <w:bookmarkEnd w:id="2"/>
      <w:r w:rsidR="00CD2E84" w:rsidRPr="007E3973">
        <w:rPr>
          <w:b/>
        </w:rPr>
        <w:t>4</w:t>
      </w:r>
      <w:r w:rsidR="008A0235">
        <w:rPr>
          <w:noProof/>
        </w:rPr>
        <w:drawing>
          <wp:inline distT="0" distB="0" distL="0" distR="0">
            <wp:extent cx="5462270" cy="6508115"/>
            <wp:effectExtent l="0" t="0" r="508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91291">
        <w:rPr>
          <w:sz w:val="18"/>
          <w:szCs w:val="18"/>
        </w:rPr>
        <w:t xml:space="preserve">Kaynak: Eurostat; </w:t>
      </w:r>
      <w:r w:rsidR="00CD2E84">
        <w:rPr>
          <w:sz w:val="18"/>
          <w:szCs w:val="18"/>
        </w:rPr>
        <w:t>TÜİK 2014</w:t>
      </w:r>
      <w:r w:rsidR="00231CB6" w:rsidRPr="00591291">
        <w:rPr>
          <w:sz w:val="18"/>
          <w:szCs w:val="18"/>
        </w:rPr>
        <w:t xml:space="preserve"> Gelir ve Yaşam Koşulları Anketi mikro veri seti; Betam</w:t>
      </w:r>
    </w:p>
    <w:p w:rsidR="008A0235" w:rsidRPr="001143AA" w:rsidRDefault="00F44B58" w:rsidP="008A0235">
      <w:pPr>
        <w:jc w:val="both"/>
        <w:rPr>
          <w:rFonts w:cs="Arial"/>
        </w:rPr>
      </w:pPr>
      <w:r>
        <w:fldChar w:fldCharType="begin"/>
      </w:r>
      <w:r>
        <w:instrText xml:space="preserve"> REF _Ref448924617 \h  \* MERGEFORMAT </w:instrText>
      </w:r>
      <w:r>
        <w:fldChar w:fldCharType="separate"/>
      </w:r>
      <w:r w:rsidR="00403329" w:rsidRPr="00403329">
        <w:rPr>
          <w:rFonts w:cs="Arial"/>
          <w:color w:val="000000" w:themeColor="text1"/>
        </w:rPr>
        <w:t>Şekil 1</w:t>
      </w:r>
      <w:r>
        <w:fldChar w:fldCharType="end"/>
      </w:r>
      <w:r w:rsidR="008A0235" w:rsidRPr="007E3973">
        <w:rPr>
          <w:rFonts w:cs="Arial"/>
          <w:color w:val="000000" w:themeColor="text1"/>
        </w:rPr>
        <w:t>'de çoğu</w:t>
      </w:r>
      <w:r w:rsidR="008A0235">
        <w:rPr>
          <w:rFonts w:cs="Arial"/>
          <w:color w:val="000000" w:themeColor="text1"/>
        </w:rPr>
        <w:t xml:space="preserve"> Avrupa ülkesi için</w:t>
      </w:r>
      <w:r w:rsidR="008A0235" w:rsidRPr="00292CC1">
        <w:rPr>
          <w:rFonts w:cs="Arial"/>
          <w:color w:val="000000" w:themeColor="text1"/>
        </w:rPr>
        <w:t xml:space="preserve"> 0 ila 15 yaş arasındaki çocukların şiddetli maddi yoksunluk oranları verilmektedir. 2014 yılında Türkiye'de yaşayan çocukların yüzde 36’sı şiddetli maddi yo</w:t>
      </w:r>
      <w:r w:rsidR="008A0235">
        <w:rPr>
          <w:rFonts w:cs="Arial"/>
          <w:color w:val="000000" w:themeColor="text1"/>
        </w:rPr>
        <w:t xml:space="preserve">ksunluk </w:t>
      </w:r>
      <w:r w:rsidR="008A0235" w:rsidRPr="00554019">
        <w:rPr>
          <w:rFonts w:cs="Arial"/>
          <w:color w:val="000000" w:themeColor="text1"/>
        </w:rPr>
        <w:t>içerisindedir. Türkiye’yi yüzde 30’un üzerinde oranlara sahip Romanya ve Macaristan izlemektedir.</w:t>
      </w:r>
      <w:r w:rsidR="008A0235">
        <w:rPr>
          <w:rFonts w:cs="Arial"/>
          <w:color w:val="000000" w:themeColor="text1"/>
        </w:rPr>
        <w:t xml:space="preserve"> </w:t>
      </w:r>
      <w:r w:rsidR="008A0235" w:rsidRPr="00292CC1">
        <w:rPr>
          <w:rFonts w:cs="Arial"/>
          <w:color w:val="000000" w:themeColor="text1"/>
        </w:rPr>
        <w:t xml:space="preserve">Avrupa borç krizinden şiddetli olarak etkilenmelerine rağmen, Yunanistan ve Portekiz’de şiddetli çocuk yoksunluğu sırasıyla yüzde 23,3 ve yüzde 12,9 olarak ölçülmüştür. Almanya, Hollanda ve </w:t>
      </w:r>
      <w:r w:rsidR="008A0235" w:rsidRPr="00292CC1">
        <w:rPr>
          <w:rFonts w:cs="Arial"/>
          <w:color w:val="000000" w:themeColor="text1"/>
        </w:rPr>
        <w:lastRenderedPageBreak/>
        <w:t xml:space="preserve">Fransa gibi gelişmiş ülkelerde </w:t>
      </w:r>
      <w:r w:rsidR="008A0235">
        <w:rPr>
          <w:rFonts w:cs="Arial"/>
          <w:color w:val="000000" w:themeColor="text1"/>
        </w:rPr>
        <w:t>bu oran oran</w:t>
      </w:r>
      <w:r w:rsidR="008A0235" w:rsidRPr="00292CC1">
        <w:rPr>
          <w:rFonts w:cs="Arial"/>
          <w:color w:val="000000" w:themeColor="text1"/>
        </w:rPr>
        <w:t xml:space="preserve"> yüzde 4-5 civarlarında</w:t>
      </w:r>
      <w:r w:rsidR="008A0235">
        <w:rPr>
          <w:rFonts w:cs="Arial"/>
          <w:color w:val="000000" w:themeColor="text1"/>
        </w:rPr>
        <w:t>dır</w:t>
      </w:r>
      <w:r w:rsidR="008A0235" w:rsidRPr="00292CC1">
        <w:rPr>
          <w:rFonts w:cs="Arial"/>
          <w:color w:val="000000" w:themeColor="text1"/>
        </w:rPr>
        <w:t xml:space="preserve">. </w:t>
      </w:r>
      <w:r w:rsidR="008A0235">
        <w:rPr>
          <w:rFonts w:cs="Arial"/>
          <w:color w:val="000000" w:themeColor="text1"/>
        </w:rPr>
        <w:t xml:space="preserve">En düşük orana sahip ülkeler ise </w:t>
      </w:r>
      <w:r w:rsidR="008A0235" w:rsidRPr="00292CC1">
        <w:rPr>
          <w:rFonts w:cs="Arial"/>
          <w:color w:val="000000" w:themeColor="text1"/>
        </w:rPr>
        <w:t>Kuzey Avrupa ülkeleri</w:t>
      </w:r>
      <w:r w:rsidR="008A0235">
        <w:rPr>
          <w:rFonts w:cs="Arial"/>
          <w:color w:val="000000" w:themeColor="text1"/>
        </w:rPr>
        <w:t xml:space="preserve">dir. İsveç’de çocuk yoksunluk oranı </w:t>
      </w:r>
      <w:r w:rsidR="008A0235" w:rsidRPr="00292CC1">
        <w:rPr>
          <w:rFonts w:cs="Arial"/>
          <w:color w:val="000000" w:themeColor="text1"/>
        </w:rPr>
        <w:t xml:space="preserve">yüzde </w:t>
      </w:r>
      <w:r w:rsidR="008A0235">
        <w:rPr>
          <w:rFonts w:cs="Arial"/>
          <w:color w:val="000000" w:themeColor="text1"/>
        </w:rPr>
        <w:t>1,</w:t>
      </w:r>
      <w:r w:rsidR="008A0235" w:rsidRPr="00292CC1">
        <w:rPr>
          <w:rFonts w:cs="Arial"/>
          <w:color w:val="000000" w:themeColor="text1"/>
        </w:rPr>
        <w:t>2’ye kadar düşmektedir.</w:t>
      </w:r>
    </w:p>
    <w:p w:rsidR="008A0235" w:rsidRPr="008A0235" w:rsidRDefault="008A0235" w:rsidP="008A0235">
      <w:pPr>
        <w:jc w:val="both"/>
        <w:rPr>
          <w:rFonts w:cs="Arial"/>
        </w:rPr>
      </w:pPr>
      <w:r w:rsidRPr="00292CC1">
        <w:rPr>
          <w:rFonts w:cs="Arial"/>
          <w:color w:val="000000" w:themeColor="text1"/>
        </w:rPr>
        <w:t>Sonuç olarak Türkiye, listede yer alan bazı ülkelerden kişi başına düşen gelir ve ekonomik görünüm açısından daha iyi bir performans gösterse de, Avrupa’da çocuk yoksunluğunun en yoğun yaşandığı ülke konumun</w:t>
      </w:r>
      <w:r>
        <w:rPr>
          <w:rFonts w:cs="Arial"/>
          <w:color w:val="000000" w:themeColor="text1"/>
        </w:rPr>
        <w:t>dadır</w:t>
      </w:r>
      <w:r w:rsidRPr="00292CC1">
        <w:rPr>
          <w:rFonts w:cs="Arial"/>
          <w:color w:val="000000" w:themeColor="text1"/>
        </w:rPr>
        <w:t xml:space="preserve">. </w:t>
      </w:r>
    </w:p>
    <w:p w:rsidR="003569AA" w:rsidRDefault="009209D5" w:rsidP="003569AA">
      <w:pPr>
        <w:rPr>
          <w:b/>
          <w:bCs/>
          <w:color w:val="FF0000"/>
          <w:sz w:val="24"/>
          <w:szCs w:val="24"/>
        </w:rPr>
      </w:pPr>
      <w:r w:rsidRPr="00292CC1">
        <w:rPr>
          <w:b/>
          <w:bCs/>
          <w:sz w:val="24"/>
          <w:szCs w:val="24"/>
        </w:rPr>
        <w:t>En yoğun yoksunluk oranı tatil kaleminde</w:t>
      </w:r>
      <w:r w:rsidR="003569AA">
        <w:rPr>
          <w:b/>
          <w:bCs/>
          <w:sz w:val="24"/>
          <w:szCs w:val="24"/>
        </w:rPr>
        <w:t xml:space="preserve"> </w:t>
      </w:r>
    </w:p>
    <w:p w:rsidR="008A0235" w:rsidRPr="00C96E9F" w:rsidRDefault="008A0235" w:rsidP="008A0235">
      <w:pPr>
        <w:jc w:val="both"/>
      </w:pPr>
      <w:r>
        <w:rPr>
          <w:rFonts w:cs="Arial"/>
        </w:rPr>
        <w:t>TÜİK tarafından yayınlanan 2014 Gelir ve Yaşam Koşulları Anketi v</w:t>
      </w:r>
      <w:r w:rsidRPr="006D5094">
        <w:rPr>
          <w:rFonts w:cs="Arial"/>
        </w:rPr>
        <w:t>er</w:t>
      </w:r>
      <w:r>
        <w:rPr>
          <w:rFonts w:cs="Arial"/>
        </w:rPr>
        <w:t>ileri kullanılarak oluşturulan Tablo 1’de</w:t>
      </w:r>
      <w:r w:rsidRPr="006D5094">
        <w:rPr>
          <w:rFonts w:cs="Arial"/>
        </w:rPr>
        <w:t xml:space="preserve"> şiddetli maddi yoksunluğu</w:t>
      </w:r>
      <w:r>
        <w:rPr>
          <w:rFonts w:cs="Arial"/>
        </w:rPr>
        <w:t xml:space="preserve"> oluşturan ihtiyaçların </w:t>
      </w:r>
      <w:r w:rsidRPr="00E8170F">
        <w:rPr>
          <w:rFonts w:cs="Arial"/>
        </w:rPr>
        <w:t>karşılananama oranları gösterilmiştir.</w:t>
      </w:r>
      <w:r w:rsidRPr="00E8170F">
        <w:rPr>
          <w:rFonts w:cs="Arial"/>
          <w:color w:val="FF0000"/>
        </w:rPr>
        <w:t xml:space="preserve"> </w:t>
      </w:r>
      <w:r w:rsidRPr="00E8170F">
        <w:rPr>
          <w:rFonts w:cs="Arial"/>
          <w:color w:val="000000" w:themeColor="text1"/>
        </w:rPr>
        <w:t>Veriler incelendiğinde şiddetli maddi yoksunluğun özellikle bir kaç kalemde yoğunlaştığı gözlemlenmektedir</w:t>
      </w:r>
      <w:r>
        <w:rPr>
          <w:rFonts w:cs="Arial"/>
          <w:color w:val="000000" w:themeColor="text1"/>
        </w:rPr>
        <w:t>. Türkiye’de yaşayan çocukların yüzde 74,6’sı</w:t>
      </w:r>
      <w:r w:rsidRPr="00292CC1">
        <w:rPr>
          <w:rFonts w:cs="Arial"/>
          <w:color w:val="000000" w:themeColor="text1"/>
        </w:rPr>
        <w:t xml:space="preserve"> </w:t>
      </w:r>
      <w:r w:rsidRPr="00A45FFF">
        <w:rPr>
          <w:rFonts w:cs="Arial"/>
        </w:rPr>
        <w:t>evden uzakta bir haftalık tati</w:t>
      </w:r>
      <w:r>
        <w:rPr>
          <w:rFonts w:cs="Arial"/>
        </w:rPr>
        <w:t xml:space="preserve">l masrafını karşılayamayan hanelerde yaşamaktadır. </w:t>
      </w:r>
      <w:r w:rsidRPr="00292CC1">
        <w:rPr>
          <w:rFonts w:cs="Arial"/>
          <w:color w:val="000000" w:themeColor="text1"/>
        </w:rPr>
        <w:t>Ayrıca, çocukların yaşadığı hanelerin yüzde 53’ü otomobil sahibi değildir. Bunun yanı sıra, “kira ve faturalar” ve “beslenme” kalemlerinde</w:t>
      </w:r>
      <w:r>
        <w:rPr>
          <w:rFonts w:cs="Arial"/>
          <w:color w:val="000000" w:themeColor="text1"/>
        </w:rPr>
        <w:t xml:space="preserve"> de</w:t>
      </w:r>
      <w:r w:rsidRPr="00292CC1">
        <w:rPr>
          <w:rFonts w:cs="Arial"/>
          <w:color w:val="000000" w:themeColor="text1"/>
        </w:rPr>
        <w:t xml:space="preserve"> önemli maddi yoksunluk oranları gözlenmektedir. Çocukların yüzde 51,3’ü son 12 ay içerisinde ev kirasını, elektrik, su, gaz ve kredi kartı faturalarını planladığı gibi </w:t>
      </w:r>
      <w:r>
        <w:rPr>
          <w:rFonts w:cs="Arial"/>
          <w:color w:val="000000" w:themeColor="text1"/>
        </w:rPr>
        <w:t>ödeyemeyen</w:t>
      </w:r>
      <w:r w:rsidRPr="00292CC1">
        <w:rPr>
          <w:rFonts w:cs="Arial"/>
          <w:color w:val="000000" w:themeColor="text1"/>
        </w:rPr>
        <w:t xml:space="preserve"> hanelerde yaşamaktadır. Son olarak çocukların </w:t>
      </w:r>
      <w:r>
        <w:rPr>
          <w:rFonts w:cs="Arial"/>
          <w:color w:val="000000" w:themeColor="text1"/>
        </w:rPr>
        <w:t>neredeyse yüzde 40’ının</w:t>
      </w:r>
      <w:r w:rsidRPr="00292CC1">
        <w:rPr>
          <w:rFonts w:cs="Arial"/>
          <w:color w:val="000000" w:themeColor="text1"/>
        </w:rPr>
        <w:t xml:space="preserve"> </w:t>
      </w:r>
      <w:r>
        <w:rPr>
          <w:rFonts w:cs="Arial"/>
          <w:color w:val="000000" w:themeColor="text1"/>
        </w:rPr>
        <w:t>iki günde bir</w:t>
      </w:r>
      <w:r w:rsidRPr="00292CC1">
        <w:rPr>
          <w:rFonts w:cs="Arial"/>
          <w:color w:val="000000" w:themeColor="text1"/>
        </w:rPr>
        <w:t xml:space="preserve"> et, tavuk, balık gibi protein içeren gıdalarla beslenemediği kaydedilmiştir.</w:t>
      </w:r>
      <w:r w:rsidRPr="006D5094">
        <w:rPr>
          <w:rFonts w:cs="Arial"/>
        </w:rPr>
        <w:t xml:space="preserve"> </w:t>
      </w:r>
      <w:r>
        <w:t>Beslenme gibi birincil ihtiy</w:t>
      </w:r>
      <w:r w:rsidR="00C56F6F">
        <w:t xml:space="preserve">açlarını bile karşılamakta </w:t>
      </w:r>
      <w:r>
        <w:t xml:space="preserve">zorluk çeken bu çocukların yaşam koşullarının acilen iyileştirilmeleri gerekmektedir. </w:t>
      </w:r>
    </w:p>
    <w:p w:rsidR="007A717A" w:rsidRPr="00633851" w:rsidRDefault="00F43F57" w:rsidP="00633851">
      <w:pPr>
        <w:spacing w:after="0"/>
        <w:jc w:val="both"/>
        <w:rPr>
          <w:rFonts w:cs="Arial"/>
          <w:b/>
        </w:rPr>
      </w:pPr>
      <w:r w:rsidRPr="00633851">
        <w:rPr>
          <w:b/>
        </w:rPr>
        <w:t xml:space="preserve"> </w:t>
      </w:r>
      <w:bookmarkStart w:id="4" w:name="_Ref417458049"/>
      <w:r w:rsidR="007A717A" w:rsidRPr="00633851">
        <w:rPr>
          <w:b/>
        </w:rPr>
        <w:t xml:space="preserve">Tablo </w:t>
      </w:r>
      <w:r w:rsidR="00AE4AAB" w:rsidRPr="00633851">
        <w:rPr>
          <w:b/>
        </w:rPr>
        <w:fldChar w:fldCharType="begin"/>
      </w:r>
      <w:r w:rsidR="007A717A" w:rsidRPr="00633851">
        <w:rPr>
          <w:b/>
        </w:rPr>
        <w:instrText xml:space="preserve"> SEQ Tablo \* ARABIC </w:instrText>
      </w:r>
      <w:r w:rsidR="00AE4AAB" w:rsidRPr="00633851">
        <w:rPr>
          <w:b/>
        </w:rPr>
        <w:fldChar w:fldCharType="separate"/>
      </w:r>
      <w:r w:rsidR="00403329">
        <w:rPr>
          <w:b/>
          <w:noProof/>
        </w:rPr>
        <w:t>1</w:t>
      </w:r>
      <w:r w:rsidR="00AE4AAB" w:rsidRPr="00633851">
        <w:rPr>
          <w:b/>
        </w:rPr>
        <w:fldChar w:fldCharType="end"/>
      </w:r>
      <w:bookmarkEnd w:id="4"/>
      <w:r w:rsidR="00CD2E84" w:rsidRPr="00633851">
        <w:rPr>
          <w:b/>
        </w:rPr>
        <w:t>:</w:t>
      </w:r>
      <w:r w:rsidR="00816606" w:rsidRPr="00633851">
        <w:rPr>
          <w:b/>
        </w:rPr>
        <w:t xml:space="preserve"> Alt kalemlere göre</w:t>
      </w:r>
      <w:r w:rsidR="007A717A" w:rsidRPr="00633851">
        <w:rPr>
          <w:b/>
        </w:rPr>
        <w:t xml:space="preserve"> şidde</w:t>
      </w:r>
      <w:r w:rsidR="00CD2E84" w:rsidRPr="00633851">
        <w:rPr>
          <w:b/>
        </w:rPr>
        <w:t>tli çocuk maddi yoksunluğu (2014</w:t>
      </w:r>
      <w:r w:rsidR="007A717A" w:rsidRPr="00633851">
        <w:rPr>
          <w:b/>
        </w:rPr>
        <w:t>)</w:t>
      </w:r>
    </w:p>
    <w:tbl>
      <w:tblPr>
        <w:tblW w:w="70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9"/>
        <w:gridCol w:w="1984"/>
        <w:gridCol w:w="1985"/>
      </w:tblGrid>
      <w:tr w:rsidR="008A0235" w:rsidRPr="003569AA" w:rsidTr="004045CD">
        <w:trPr>
          <w:trHeight w:val="187"/>
        </w:trPr>
        <w:tc>
          <w:tcPr>
            <w:tcW w:w="3059" w:type="dxa"/>
            <w:vAlign w:val="center"/>
          </w:tcPr>
          <w:p w:rsidR="008A0235" w:rsidRPr="00D547D7" w:rsidRDefault="008A0235" w:rsidP="004045CD">
            <w:pPr>
              <w:spacing w:after="0" w:line="240" w:lineRule="auto"/>
              <w:rPr>
                <w:rFonts w:ascii="Calibri" w:eastAsia="Times New Roman" w:hAnsi="Calibri" w:cs="Times New Roman"/>
                <w:color w:val="000000"/>
              </w:rPr>
            </w:pPr>
          </w:p>
        </w:tc>
        <w:tc>
          <w:tcPr>
            <w:tcW w:w="1984" w:type="dxa"/>
            <w:shd w:val="clear" w:color="auto" w:fill="auto"/>
            <w:vAlign w:val="center"/>
          </w:tcPr>
          <w:p w:rsidR="008A0235" w:rsidRPr="00D547D7" w:rsidRDefault="008A0235" w:rsidP="004045CD">
            <w:pPr>
              <w:spacing w:after="0" w:line="240" w:lineRule="auto"/>
              <w:jc w:val="right"/>
              <w:rPr>
                <w:rFonts w:ascii="Calibri" w:eastAsia="Times New Roman" w:hAnsi="Calibri" w:cs="Times New Roman"/>
                <w:b/>
                <w:color w:val="000000"/>
              </w:rPr>
            </w:pPr>
            <w:r w:rsidRPr="00D547D7">
              <w:rPr>
                <w:rFonts w:ascii="Calibri" w:eastAsia="Times New Roman" w:hAnsi="Calibri" w:cs="Times New Roman"/>
                <w:b/>
                <w:color w:val="000000"/>
              </w:rPr>
              <w:t xml:space="preserve">Yoksun çocuk sayısı (bin kişi) </w:t>
            </w:r>
          </w:p>
        </w:tc>
        <w:tc>
          <w:tcPr>
            <w:tcW w:w="1985" w:type="dxa"/>
            <w:shd w:val="clear" w:color="auto" w:fill="auto"/>
            <w:vAlign w:val="center"/>
          </w:tcPr>
          <w:p w:rsidR="008A0235" w:rsidRPr="00D547D7" w:rsidRDefault="008A0235" w:rsidP="004045CD">
            <w:pPr>
              <w:spacing w:after="0" w:line="240" w:lineRule="auto"/>
              <w:jc w:val="right"/>
              <w:rPr>
                <w:rFonts w:ascii="Calibri" w:eastAsia="Times New Roman" w:hAnsi="Calibri" w:cs="Times New Roman"/>
                <w:b/>
                <w:color w:val="000000"/>
              </w:rPr>
            </w:pPr>
            <w:r w:rsidRPr="00D547D7">
              <w:rPr>
                <w:rFonts w:ascii="Calibri" w:eastAsia="Times New Roman" w:hAnsi="Calibri" w:cs="Times New Roman"/>
                <w:b/>
                <w:color w:val="000000"/>
              </w:rPr>
              <w:t>Yoksun çocukların oranı (%)</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 xml:space="preserve">Şiddetli Maddi Yoksunluk </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7.243</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36,2</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Isınma</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3.821</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19,1</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Beklenmeyen harcamalar</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6.665</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33,3</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Beslenme</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7.851</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39,2</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Tatil</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14.936</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74,6</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Televizyon</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57</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0,3</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Çamaşır Makinesi</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468</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2,3</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Otomobil</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10.517</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53</w:t>
            </w:r>
          </w:p>
        </w:tc>
      </w:tr>
      <w:tr w:rsidR="008A0235" w:rsidRPr="003569AA" w:rsidTr="004045CD">
        <w:trPr>
          <w:trHeight w:val="72"/>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Telefon</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20</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0,1</w:t>
            </w:r>
          </w:p>
        </w:tc>
      </w:tr>
      <w:tr w:rsidR="008A0235" w:rsidRPr="003569AA" w:rsidTr="004045CD">
        <w:trPr>
          <w:trHeight w:val="55"/>
        </w:trPr>
        <w:tc>
          <w:tcPr>
            <w:tcW w:w="3059" w:type="dxa"/>
            <w:shd w:val="clear" w:color="auto" w:fill="auto"/>
            <w:vAlign w:val="center"/>
          </w:tcPr>
          <w:p w:rsidR="008A0235" w:rsidRPr="00D547D7" w:rsidRDefault="008A0235" w:rsidP="004045CD">
            <w:pPr>
              <w:spacing w:after="0"/>
              <w:rPr>
                <w:rFonts w:ascii="Calibri" w:hAnsi="Calibri"/>
                <w:b/>
                <w:color w:val="000000"/>
              </w:rPr>
            </w:pPr>
            <w:r w:rsidRPr="00D547D7">
              <w:rPr>
                <w:rFonts w:ascii="Calibri" w:hAnsi="Calibri"/>
                <w:b/>
                <w:color w:val="000000"/>
              </w:rPr>
              <w:t xml:space="preserve">Kira ve faturalar </w:t>
            </w:r>
          </w:p>
        </w:tc>
        <w:tc>
          <w:tcPr>
            <w:tcW w:w="1984"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10.272</w:t>
            </w:r>
          </w:p>
        </w:tc>
        <w:tc>
          <w:tcPr>
            <w:tcW w:w="1985" w:type="dxa"/>
            <w:shd w:val="clear" w:color="auto" w:fill="auto"/>
            <w:noWrap/>
            <w:vAlign w:val="bottom"/>
          </w:tcPr>
          <w:p w:rsidR="008A0235" w:rsidRPr="00D547D7" w:rsidRDefault="008A0235" w:rsidP="004045CD">
            <w:pPr>
              <w:spacing w:after="0"/>
              <w:jc w:val="right"/>
              <w:rPr>
                <w:rFonts w:ascii="Calibri" w:hAnsi="Calibri"/>
                <w:color w:val="000000"/>
              </w:rPr>
            </w:pPr>
            <w:r w:rsidRPr="00D547D7">
              <w:rPr>
                <w:rFonts w:ascii="Calibri" w:hAnsi="Calibri"/>
                <w:color w:val="000000"/>
              </w:rPr>
              <w:t>51,3</w:t>
            </w:r>
          </w:p>
        </w:tc>
      </w:tr>
    </w:tbl>
    <w:p w:rsidR="00816606" w:rsidRPr="008A0235" w:rsidRDefault="008A0235" w:rsidP="008A0235">
      <w:pPr>
        <w:pStyle w:val="Caption"/>
        <w:keepNext/>
        <w:rPr>
          <w:b w:val="0"/>
          <w:color w:val="auto"/>
        </w:rPr>
      </w:pPr>
      <w:r>
        <w:rPr>
          <w:b w:val="0"/>
          <w:color w:val="auto"/>
        </w:rPr>
        <w:t>K</w:t>
      </w:r>
      <w:r w:rsidRPr="00DD3DED">
        <w:rPr>
          <w:b w:val="0"/>
          <w:color w:val="auto"/>
        </w:rPr>
        <w:t>aynak: TUİK 201</w:t>
      </w:r>
      <w:r>
        <w:rPr>
          <w:b w:val="0"/>
          <w:color w:val="auto"/>
        </w:rPr>
        <w:t>4</w:t>
      </w:r>
      <w:r w:rsidRPr="00DD3DED">
        <w:rPr>
          <w:b w:val="0"/>
          <w:color w:val="auto"/>
        </w:rPr>
        <w:t xml:space="preserve"> Gelir ve Yaşam Koşulları Anketi mikro veri seti; Betam </w:t>
      </w:r>
    </w:p>
    <w:p w:rsidR="00F33A6A" w:rsidRPr="005873B9" w:rsidRDefault="005873B9" w:rsidP="00292CC1">
      <w:pPr>
        <w:jc w:val="both"/>
        <w:rPr>
          <w:b/>
          <w:bCs/>
          <w:sz w:val="24"/>
          <w:szCs w:val="24"/>
        </w:rPr>
      </w:pPr>
      <w:r w:rsidRPr="005873B9">
        <w:rPr>
          <w:b/>
          <w:bCs/>
          <w:sz w:val="24"/>
          <w:szCs w:val="24"/>
        </w:rPr>
        <w:t>En şiddetli çocuk yoksunluğu Güney Doğu Anadolu’da</w:t>
      </w:r>
    </w:p>
    <w:p w:rsidR="008A0235" w:rsidRPr="00632B2F" w:rsidRDefault="008A0235" w:rsidP="008A0235">
      <w:pPr>
        <w:jc w:val="both"/>
        <w:rPr>
          <w:rFonts w:cs="Arial"/>
          <w:strike/>
          <w:color w:val="000000" w:themeColor="text1"/>
        </w:rPr>
      </w:pPr>
      <w:bookmarkStart w:id="5" w:name="_Ref417458181"/>
      <w:r>
        <w:rPr>
          <w:bCs/>
        </w:rPr>
        <w:t>Şekil 2</w:t>
      </w:r>
      <w:r w:rsidRPr="00292CC1">
        <w:rPr>
          <w:rFonts w:cs="Arial"/>
          <w:color w:val="000000" w:themeColor="text1"/>
        </w:rPr>
        <w:t>’de şiddetli çocuk yoksunluğunun</w:t>
      </w:r>
      <w:r>
        <w:rPr>
          <w:rFonts w:cs="Arial"/>
          <w:color w:val="000000" w:themeColor="text1"/>
        </w:rPr>
        <w:t xml:space="preserve"> bölgelere göre ayrımı gösterilmektedir</w:t>
      </w:r>
      <w:r w:rsidRPr="00292CC1">
        <w:rPr>
          <w:rFonts w:cs="Arial"/>
          <w:color w:val="000000" w:themeColor="text1"/>
        </w:rPr>
        <w:t>. İlk bakışta</w:t>
      </w:r>
      <w:r>
        <w:rPr>
          <w:rFonts w:cs="Arial"/>
          <w:color w:val="000000" w:themeColor="text1"/>
        </w:rPr>
        <w:t xml:space="preserve"> </w:t>
      </w:r>
      <w:r w:rsidRPr="00292CC1">
        <w:rPr>
          <w:rFonts w:cs="Arial"/>
          <w:color w:val="000000" w:themeColor="text1"/>
        </w:rPr>
        <w:t xml:space="preserve">Türkiye'nin doğusuna gidildikçe şiddetli maddi çocuk yoksunluğunun artması göze çarpmaktadır. Doğu bölgeleri ve </w:t>
      </w:r>
      <w:r w:rsidRPr="009F34AA">
        <w:rPr>
          <w:rFonts w:cs="Arial"/>
          <w:color w:val="000000" w:themeColor="text1"/>
        </w:rPr>
        <w:t>Akdeniz bölgesinde maddi</w:t>
      </w:r>
      <w:r>
        <w:rPr>
          <w:rFonts w:cs="Arial"/>
          <w:color w:val="000000" w:themeColor="text1"/>
        </w:rPr>
        <w:t xml:space="preserve"> yoksunluk oranları Türkiye ortalaması </w:t>
      </w:r>
      <w:r w:rsidRPr="003F1A7C">
        <w:rPr>
          <w:rFonts w:cs="Arial"/>
          <w:color w:val="000000" w:themeColor="text1"/>
        </w:rPr>
        <w:t>olan yüzde 36,2’nin  üzerindeyken diğer 7 bölgede ortalamanın altındadır. Çocuk maddi yoksunluğunda en yüksek oranlara sahip iki bölge Kuzey Doğu Anadolu (yüzde 52,9) ve Güney Doğu Anadolu’dur (yüzde 55,1).</w:t>
      </w:r>
      <w:r w:rsidRPr="00292CC1">
        <w:rPr>
          <w:rFonts w:cs="Arial"/>
          <w:color w:val="000000" w:themeColor="text1"/>
        </w:rPr>
        <w:t xml:space="preserve"> Diğer bir deyişle, bu iki bölgede yaşayan çocukların yarısından fazlasının şiddetli maddi yoksunluk çektiği söylenebilir. Öte yandan, Türkiye’nin batı bölgelerindeki şiddetli maddi yoksunluk oranının görece düşük olması dikkat çekmektedir. Örneğin şiddetli çocuk yoksunluğunun en az olduğu Batı Marmara bölgesinde bu oran yüzde 17,2 olarak </w:t>
      </w:r>
      <w:r w:rsidRPr="00475C43">
        <w:rPr>
          <w:rFonts w:cs="Arial"/>
          <w:color w:val="000000" w:themeColor="text1"/>
        </w:rPr>
        <w:t xml:space="preserve">ölçülmüştür. Ardından da Ege bölgesi </w:t>
      </w:r>
      <w:r w:rsidRPr="00475C43">
        <w:rPr>
          <w:rFonts w:cs="Arial"/>
          <w:color w:val="000000" w:themeColor="text1"/>
        </w:rPr>
        <w:lastRenderedPageBreak/>
        <w:t>(yüzde 24,4) gelmektedir.</w:t>
      </w:r>
      <w:r>
        <w:rPr>
          <w:rFonts w:cs="Arial"/>
          <w:color w:val="000000" w:themeColor="text1"/>
        </w:rPr>
        <w:t xml:space="preserve"> </w:t>
      </w:r>
      <w:r w:rsidRPr="00292CC1">
        <w:rPr>
          <w:rFonts w:cs="Arial"/>
          <w:color w:val="000000" w:themeColor="text1"/>
        </w:rPr>
        <w:t xml:space="preserve">Şiddetli çocuk yoksunluğunun en yüksek olduğu </w:t>
      </w:r>
      <w:r>
        <w:rPr>
          <w:rFonts w:cs="Arial"/>
          <w:color w:val="000000" w:themeColor="text1"/>
        </w:rPr>
        <w:t>Güney Doğu Anadolu</w:t>
      </w:r>
      <w:r w:rsidRPr="00292CC1">
        <w:rPr>
          <w:rFonts w:cs="Arial"/>
          <w:color w:val="000000" w:themeColor="text1"/>
        </w:rPr>
        <w:t xml:space="preserve"> ile en düşük olduğu </w:t>
      </w:r>
      <w:r>
        <w:rPr>
          <w:rFonts w:cs="Arial"/>
          <w:color w:val="000000" w:themeColor="text1"/>
        </w:rPr>
        <w:t xml:space="preserve">Batı Marmara </w:t>
      </w:r>
      <w:r w:rsidRPr="00292CC1">
        <w:rPr>
          <w:rFonts w:cs="Arial"/>
          <w:color w:val="000000" w:themeColor="text1"/>
        </w:rPr>
        <w:t xml:space="preserve">arasında 37,9 yüzde puanlık ciddi bir fark </w:t>
      </w:r>
      <w:r>
        <w:rPr>
          <w:rFonts w:cs="Arial"/>
          <w:color w:val="000000" w:themeColor="text1"/>
        </w:rPr>
        <w:t xml:space="preserve">söz konusudur. Çocuklarda maddi yoksunluk açısından bölgeler arası uçurumun başlıca nedeni bölgelerde medyan gelirler arasındaki mevcut devasa farklılık, tali olarak da doğu bölgelerinde hanelerin ortalama çocuk sayısının yüksekliğidir. GYKA 2014 verilerine göre Batı Marmara’da yıllık medyan hane geliri 26047 TL olurken Güneydoğu Anadolu’da yıllık 19003 TL’dir. </w:t>
      </w:r>
    </w:p>
    <w:p w:rsidR="005873B9" w:rsidRPr="00633851" w:rsidRDefault="007A717A" w:rsidP="00F33A6A">
      <w:pPr>
        <w:jc w:val="both"/>
        <w:rPr>
          <w:rFonts w:cs="Arial"/>
          <w:b/>
          <w:color w:val="000000" w:themeColor="text1"/>
        </w:rPr>
      </w:pPr>
      <w:r w:rsidRPr="00633851">
        <w:rPr>
          <w:b/>
        </w:rPr>
        <w:t xml:space="preserve">Şekil </w:t>
      </w:r>
      <w:r w:rsidR="00AE4AAB" w:rsidRPr="00633851">
        <w:rPr>
          <w:b/>
        </w:rPr>
        <w:fldChar w:fldCharType="begin"/>
      </w:r>
      <w:r w:rsidRPr="00633851">
        <w:rPr>
          <w:b/>
        </w:rPr>
        <w:instrText xml:space="preserve"> SEQ Şekil \* ARABIC </w:instrText>
      </w:r>
      <w:r w:rsidR="00AE4AAB" w:rsidRPr="00633851">
        <w:rPr>
          <w:b/>
        </w:rPr>
        <w:fldChar w:fldCharType="separate"/>
      </w:r>
      <w:r w:rsidR="00403329">
        <w:rPr>
          <w:b/>
          <w:noProof/>
        </w:rPr>
        <w:t>2</w:t>
      </w:r>
      <w:r w:rsidR="00AE4AAB" w:rsidRPr="00633851">
        <w:rPr>
          <w:b/>
        </w:rPr>
        <w:fldChar w:fldCharType="end"/>
      </w:r>
      <w:bookmarkEnd w:id="5"/>
      <w:r w:rsidRPr="00633851">
        <w:rPr>
          <w:b/>
        </w:rPr>
        <w:t>: Bölgelere göre çocukların şi</w:t>
      </w:r>
      <w:r w:rsidR="00F958DA" w:rsidRPr="00633851">
        <w:rPr>
          <w:b/>
        </w:rPr>
        <w:t>ddetli maddi yoksunluğu (%, 2014</w:t>
      </w:r>
      <w:r w:rsidRPr="00633851">
        <w:rPr>
          <w:b/>
        </w:rPr>
        <w:t>)</w:t>
      </w:r>
    </w:p>
    <w:p w:rsidR="009C7C88" w:rsidRDefault="005873B9" w:rsidP="00A92A43">
      <w:pPr>
        <w:pStyle w:val="Caption"/>
        <w:keepNext/>
        <w:rPr>
          <w:color w:val="auto"/>
          <w:sz w:val="22"/>
          <w:szCs w:val="22"/>
        </w:rPr>
      </w:pPr>
      <w:bookmarkStart w:id="6" w:name="_Ref417458188"/>
      <w:r w:rsidRPr="00F958DA">
        <w:rPr>
          <w:noProof/>
          <w:color w:val="C00000"/>
        </w:rPr>
        <w:drawing>
          <wp:inline distT="0" distB="0" distL="0" distR="0">
            <wp:extent cx="5947576" cy="299764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val="0"/>
          <w:color w:val="auto"/>
        </w:rPr>
        <w:t>Kaynak: TUİK 2014</w:t>
      </w:r>
      <w:r w:rsidRPr="00A95B3D">
        <w:rPr>
          <w:b w:val="0"/>
          <w:color w:val="auto"/>
        </w:rPr>
        <w:t xml:space="preserve"> Gelir ve Yaşam Koşulları mikro veri seti; Betam</w:t>
      </w:r>
    </w:p>
    <w:p w:rsidR="008A0235" w:rsidRPr="0049551E" w:rsidRDefault="008A0235" w:rsidP="008A0235">
      <w:pPr>
        <w:jc w:val="both"/>
        <w:rPr>
          <w:rFonts w:cs="Arial"/>
          <w:color w:val="000000" w:themeColor="text1"/>
        </w:rPr>
      </w:pPr>
      <w:r>
        <w:rPr>
          <w:rFonts w:cs="Arial"/>
          <w:color w:val="000000" w:themeColor="text1"/>
        </w:rPr>
        <w:t xml:space="preserve">Kısaca Türkiye’de yaşayan 0-15 yaş aralığında 20 milyon çocuğun 7 milyonundan fazlası maddi yoksunluk içerisinde yaşamaktadır. Bu çocukların yarısından fazlası Akdeniz, Orta Doğu, Kuzey Doğu ve Güney Doğu Anadolu bölgelerindedir. Çocuk yoksulluğunun Türkiye’nin doğusunda daha şiddetli hissedilen bir sorun olduğu aşikardır. </w:t>
      </w:r>
    </w:p>
    <w:p w:rsidR="008A0235" w:rsidRPr="001E01AE" w:rsidRDefault="008A0235" w:rsidP="008A0235">
      <w:pPr>
        <w:rPr>
          <w:b/>
          <w:sz w:val="24"/>
          <w:szCs w:val="24"/>
        </w:rPr>
      </w:pPr>
      <w:r w:rsidRPr="001E01AE">
        <w:rPr>
          <w:b/>
          <w:sz w:val="24"/>
          <w:szCs w:val="24"/>
        </w:rPr>
        <w:t>Sonuç</w:t>
      </w:r>
    </w:p>
    <w:p w:rsidR="008A0235" w:rsidRDefault="008A0235" w:rsidP="008A0235">
      <w:pPr>
        <w:jc w:val="both"/>
      </w:pPr>
      <w:r>
        <w:t>2014 Gelir ve Yaşam Koşulları Anketi verileri Türkiye'deki çocukların üçte birden fazlasının Avrupa Birliği kıstaslarına göre şiddetli maddi yoksunluk içinde yaşadığını göstermektedir. Türkiye bu açıdan hem ekonomik krizden şiddetli olarak etkilemiş Yunanistan, Portekiz gibi ülkelerin hem de kişi başına düşen gelir açısından düşük olan Romanya, Sırbistan gibi ülkelerin de gerisindedir.</w:t>
      </w:r>
    </w:p>
    <w:p w:rsidR="008A0235" w:rsidRPr="00EB3B64" w:rsidRDefault="008A0235" w:rsidP="008A0235">
      <w:pPr>
        <w:jc w:val="both"/>
      </w:pPr>
      <w:r>
        <w:t>Bir diğer dikkat çekici nokta ise, şiddetli çocuk yoksunluğunun bölgeler arasında önemli farklılıklar göstermesidir. Bu durum farklı bölgelerde yaşayan haneler arasındaki büyük gelir eşitsizliğine işaret etmekte</w:t>
      </w:r>
      <w:r w:rsidR="009A4020">
        <w:t xml:space="preserve"> ve çocukların da bu eşitsizlikten</w:t>
      </w:r>
      <w:r>
        <w:t xml:space="preserve"> paralel olarak etkilendiğini ortaya koymaktadır. Çocuklarda görülen maddi yoksunluğun ömür boyu süren, hatta bir sonraki nesillere aktarılan etkisi dikkate </w:t>
      </w:r>
      <w:r w:rsidRPr="00C96E9F">
        <w:t>alınarak, Türkiye’de  bu konuda etkin ve çok yönlü sosyal politikalarına ihtiyaç duyulduğu aşikardır.</w:t>
      </w:r>
      <w:r>
        <w:t xml:space="preserve"> </w:t>
      </w:r>
    </w:p>
    <w:p w:rsidR="00633851" w:rsidRDefault="00633851" w:rsidP="008A0235">
      <w:pPr>
        <w:pStyle w:val="Caption"/>
        <w:keepNext/>
        <w:rPr>
          <w:color w:val="auto"/>
          <w:sz w:val="24"/>
          <w:szCs w:val="24"/>
        </w:rPr>
      </w:pPr>
    </w:p>
    <w:p w:rsidR="008A0235" w:rsidRPr="00633851" w:rsidRDefault="008A0235" w:rsidP="008A0235">
      <w:pPr>
        <w:pStyle w:val="Caption"/>
        <w:keepNext/>
        <w:rPr>
          <w:color w:val="auto"/>
          <w:sz w:val="22"/>
          <w:szCs w:val="22"/>
        </w:rPr>
      </w:pPr>
      <w:r w:rsidRPr="00633851">
        <w:rPr>
          <w:color w:val="auto"/>
          <w:sz w:val="22"/>
          <w:szCs w:val="22"/>
        </w:rPr>
        <w:t xml:space="preserve">Tablo </w:t>
      </w:r>
      <w:r w:rsidR="00AE4AAB" w:rsidRPr="00633851">
        <w:rPr>
          <w:color w:val="auto"/>
          <w:sz w:val="22"/>
          <w:szCs w:val="22"/>
        </w:rPr>
        <w:fldChar w:fldCharType="begin"/>
      </w:r>
      <w:r w:rsidRPr="00633851">
        <w:rPr>
          <w:color w:val="auto"/>
          <w:sz w:val="22"/>
          <w:szCs w:val="22"/>
        </w:rPr>
        <w:instrText xml:space="preserve"> SEQ Tablo \* ARABIC </w:instrText>
      </w:r>
      <w:r w:rsidR="00AE4AAB" w:rsidRPr="00633851">
        <w:rPr>
          <w:color w:val="auto"/>
          <w:sz w:val="22"/>
          <w:szCs w:val="22"/>
        </w:rPr>
        <w:fldChar w:fldCharType="separate"/>
      </w:r>
      <w:r w:rsidR="00403329">
        <w:rPr>
          <w:noProof/>
          <w:color w:val="auto"/>
          <w:sz w:val="22"/>
          <w:szCs w:val="22"/>
        </w:rPr>
        <w:t>2</w:t>
      </w:r>
      <w:r w:rsidR="00AE4AAB" w:rsidRPr="00633851">
        <w:rPr>
          <w:color w:val="auto"/>
          <w:sz w:val="22"/>
          <w:szCs w:val="22"/>
        </w:rPr>
        <w:fldChar w:fldCharType="end"/>
      </w:r>
      <w:r w:rsidRPr="00633851">
        <w:rPr>
          <w:color w:val="auto"/>
          <w:sz w:val="22"/>
          <w:szCs w:val="22"/>
        </w:rPr>
        <w:t>: Bölgelere göre şiddetli yoksun çocukların sayısı ve oranları (2014)</w:t>
      </w:r>
    </w:p>
    <w:tbl>
      <w:tblPr>
        <w:tblW w:w="7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8"/>
        <w:gridCol w:w="1950"/>
        <w:gridCol w:w="1424"/>
        <w:gridCol w:w="1528"/>
      </w:tblGrid>
      <w:tr w:rsidR="008A0235" w:rsidRPr="0049551E" w:rsidTr="004045CD">
        <w:trPr>
          <w:trHeight w:val="312"/>
        </w:trPr>
        <w:tc>
          <w:tcPr>
            <w:tcW w:w="2618" w:type="dxa"/>
            <w:shd w:val="clear" w:color="auto" w:fill="auto"/>
            <w:vAlign w:val="center"/>
            <w:hideMark/>
          </w:tcPr>
          <w:p w:rsidR="008A0235" w:rsidRPr="00633851" w:rsidRDefault="008A0235" w:rsidP="004045CD">
            <w:pPr>
              <w:spacing w:after="0" w:line="240" w:lineRule="auto"/>
              <w:rPr>
                <w:rFonts w:eastAsia="Times New Roman" w:cs="Times New Roman"/>
                <w:b/>
                <w:color w:val="000000"/>
              </w:rPr>
            </w:pPr>
            <w:r w:rsidRPr="00633851">
              <w:rPr>
                <w:rFonts w:eastAsia="Times New Roman" w:cs="Times New Roman"/>
                <w:b/>
                <w:color w:val="000000"/>
              </w:rPr>
              <w:t xml:space="preserve">Bölgeler </w:t>
            </w:r>
          </w:p>
        </w:tc>
        <w:tc>
          <w:tcPr>
            <w:tcW w:w="1950" w:type="dxa"/>
            <w:shd w:val="clear" w:color="auto" w:fill="auto"/>
            <w:vAlign w:val="center"/>
            <w:hideMark/>
          </w:tcPr>
          <w:p w:rsidR="008A0235" w:rsidRPr="00633851" w:rsidRDefault="008A0235" w:rsidP="00633851">
            <w:pPr>
              <w:spacing w:after="0" w:line="240" w:lineRule="auto"/>
              <w:jc w:val="right"/>
              <w:rPr>
                <w:rFonts w:eastAsia="Times New Roman" w:cs="Times New Roman"/>
                <w:b/>
                <w:color w:val="000000"/>
              </w:rPr>
            </w:pPr>
            <w:r w:rsidRPr="00633851">
              <w:rPr>
                <w:rFonts w:eastAsia="Times New Roman" w:cs="Times New Roman"/>
                <w:b/>
                <w:color w:val="000000"/>
              </w:rPr>
              <w:t xml:space="preserve">Şiddetli Maddi Yoksun Çocuk Sayısı (bin kişi) </w:t>
            </w:r>
          </w:p>
        </w:tc>
        <w:tc>
          <w:tcPr>
            <w:tcW w:w="1424" w:type="dxa"/>
            <w:shd w:val="clear" w:color="auto" w:fill="auto"/>
            <w:vAlign w:val="center"/>
            <w:hideMark/>
          </w:tcPr>
          <w:p w:rsidR="008A0235" w:rsidRPr="00633851" w:rsidRDefault="008A0235" w:rsidP="00633851">
            <w:pPr>
              <w:spacing w:after="0" w:line="240" w:lineRule="auto"/>
              <w:jc w:val="right"/>
              <w:rPr>
                <w:rFonts w:eastAsia="Times New Roman" w:cs="Times New Roman"/>
                <w:b/>
                <w:color w:val="000000"/>
              </w:rPr>
            </w:pPr>
            <w:r w:rsidRPr="00633851">
              <w:rPr>
                <w:rFonts w:eastAsia="Times New Roman" w:cs="Times New Roman"/>
                <w:b/>
                <w:color w:val="000000"/>
              </w:rPr>
              <w:t xml:space="preserve">Toplam Çocuk Sayısı (bin kişi) </w:t>
            </w:r>
          </w:p>
        </w:tc>
        <w:tc>
          <w:tcPr>
            <w:tcW w:w="1528" w:type="dxa"/>
            <w:shd w:val="clear" w:color="auto" w:fill="auto"/>
            <w:vAlign w:val="center"/>
            <w:hideMark/>
          </w:tcPr>
          <w:p w:rsidR="008A0235" w:rsidRPr="00633851" w:rsidRDefault="008A0235" w:rsidP="00633851">
            <w:pPr>
              <w:spacing w:after="0" w:line="240" w:lineRule="auto"/>
              <w:jc w:val="right"/>
              <w:rPr>
                <w:rFonts w:eastAsia="Times New Roman" w:cs="Times New Roman"/>
                <w:b/>
                <w:color w:val="000000"/>
              </w:rPr>
            </w:pPr>
            <w:r w:rsidRPr="00633851">
              <w:rPr>
                <w:rFonts w:eastAsia="Times New Roman" w:cs="Times New Roman"/>
                <w:b/>
                <w:color w:val="000000"/>
              </w:rPr>
              <w:t>Yoksun çocukların oranı (%)</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 xml:space="preserve">TR2- Batı Marmara </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104</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608</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17,2</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TR3-Ege</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527</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2.163</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24,4</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 xml:space="preserve">TR4-Doğu Marmara </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530</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1.621</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32,7</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TR8-Batı Karadeniz</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325</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1.027</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31,7</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TR5-Batı Anadolu</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525</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1.805</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29,1</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TR9-Doğu Karadeniz</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170</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582</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29,2</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TR1- İstanbul</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955</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3.413</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28,0</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TR7-Orta Anadolu</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277</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1.051</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26,4</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TR6-Akdeniz</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1.158</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2.744</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42,2</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TRB-Orta Doğu Anadolu</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564</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1.164</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48,5</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TRA- Kuzey Doğu Anadolu</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399</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754</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52,9</w:t>
            </w:r>
          </w:p>
        </w:tc>
      </w:tr>
      <w:tr w:rsidR="008A0235" w:rsidRPr="0049551E" w:rsidTr="004045CD">
        <w:trPr>
          <w:trHeight w:val="103"/>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 xml:space="preserve">TRC- Güney Doğu Anadolu </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1.708</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3.100</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55,1</w:t>
            </w:r>
          </w:p>
        </w:tc>
      </w:tr>
      <w:tr w:rsidR="008A0235" w:rsidRPr="0049551E" w:rsidTr="004045CD">
        <w:trPr>
          <w:trHeight w:val="52"/>
        </w:trPr>
        <w:tc>
          <w:tcPr>
            <w:tcW w:w="2618" w:type="dxa"/>
            <w:shd w:val="clear" w:color="auto" w:fill="auto"/>
            <w:noWrap/>
            <w:vAlign w:val="center"/>
            <w:hideMark/>
          </w:tcPr>
          <w:p w:rsidR="008A0235" w:rsidRPr="00633851" w:rsidRDefault="008A0235" w:rsidP="004045CD">
            <w:pPr>
              <w:spacing w:after="0"/>
              <w:rPr>
                <w:b/>
                <w:color w:val="000000"/>
              </w:rPr>
            </w:pPr>
            <w:r w:rsidRPr="00633851">
              <w:rPr>
                <w:b/>
                <w:color w:val="000000"/>
              </w:rPr>
              <w:t xml:space="preserve">Türkiye </w:t>
            </w:r>
          </w:p>
        </w:tc>
        <w:tc>
          <w:tcPr>
            <w:tcW w:w="1950"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7.243</w:t>
            </w:r>
          </w:p>
        </w:tc>
        <w:tc>
          <w:tcPr>
            <w:tcW w:w="1424"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20.034</w:t>
            </w:r>
          </w:p>
        </w:tc>
        <w:tc>
          <w:tcPr>
            <w:tcW w:w="1528" w:type="dxa"/>
            <w:shd w:val="clear" w:color="auto" w:fill="auto"/>
            <w:noWrap/>
            <w:vAlign w:val="center"/>
            <w:hideMark/>
          </w:tcPr>
          <w:p w:rsidR="008A0235" w:rsidRPr="0049551E" w:rsidRDefault="008A0235" w:rsidP="004045CD">
            <w:pPr>
              <w:spacing w:after="0"/>
              <w:jc w:val="right"/>
              <w:rPr>
                <w:color w:val="000000"/>
              </w:rPr>
            </w:pPr>
            <w:r w:rsidRPr="0049551E">
              <w:rPr>
                <w:color w:val="000000"/>
              </w:rPr>
              <w:t>36,2</w:t>
            </w:r>
          </w:p>
        </w:tc>
      </w:tr>
    </w:tbl>
    <w:p w:rsidR="00E60C34" w:rsidRPr="00633851" w:rsidRDefault="008A0235" w:rsidP="00633851">
      <w:pPr>
        <w:pStyle w:val="Caption"/>
        <w:keepNext/>
        <w:rPr>
          <w:color w:val="auto"/>
          <w:sz w:val="22"/>
          <w:szCs w:val="22"/>
        </w:rPr>
      </w:pPr>
      <w:r>
        <w:rPr>
          <w:b w:val="0"/>
          <w:color w:val="auto"/>
        </w:rPr>
        <w:t xml:space="preserve"> Kaynak: TUİK 2014</w:t>
      </w:r>
      <w:r w:rsidRPr="00A95B3D">
        <w:rPr>
          <w:b w:val="0"/>
          <w:color w:val="auto"/>
        </w:rPr>
        <w:t xml:space="preserve"> Gelir ve Yaşam Koşulları mikro veri seti; Betam </w:t>
      </w:r>
      <w:bookmarkEnd w:id="6"/>
    </w:p>
    <w:sectPr w:rsidR="00E60C34" w:rsidRPr="00633851" w:rsidSect="009E4F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A6" w:rsidRDefault="00D267A6" w:rsidP="006F1F55">
      <w:pPr>
        <w:spacing w:after="0" w:line="240" w:lineRule="auto"/>
      </w:pPr>
      <w:r>
        <w:separator/>
      </w:r>
    </w:p>
  </w:endnote>
  <w:endnote w:type="continuationSeparator" w:id="0">
    <w:p w:rsidR="00D267A6" w:rsidRDefault="00D267A6"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6620"/>
      <w:docPartObj>
        <w:docPartGallery w:val="Page Numbers (Bottom of Page)"/>
        <w:docPartUnique/>
      </w:docPartObj>
    </w:sdtPr>
    <w:sdtEndPr/>
    <w:sdtContent>
      <w:p w:rsidR="00AC03C1" w:rsidRDefault="00AE4AAB">
        <w:pPr>
          <w:pStyle w:val="Footer"/>
          <w:jc w:val="right"/>
        </w:pPr>
        <w:r>
          <w:fldChar w:fldCharType="begin"/>
        </w:r>
        <w:r w:rsidR="008528B9">
          <w:instrText xml:space="preserve"> PAGE   \* MERGEFORMAT </w:instrText>
        </w:r>
        <w:r>
          <w:fldChar w:fldCharType="separate"/>
        </w:r>
        <w:r w:rsidR="00403329">
          <w:rPr>
            <w:noProof/>
          </w:rPr>
          <w:t>1</w:t>
        </w:r>
        <w:r>
          <w:rPr>
            <w:noProof/>
          </w:rPr>
          <w:fldChar w:fldCharType="end"/>
        </w:r>
      </w:p>
    </w:sdtContent>
  </w:sdt>
  <w:p w:rsidR="00AC03C1" w:rsidRDefault="00AC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A6" w:rsidRDefault="00D267A6" w:rsidP="006F1F55">
      <w:pPr>
        <w:spacing w:after="0" w:line="240" w:lineRule="auto"/>
      </w:pPr>
      <w:r>
        <w:separator/>
      </w:r>
    </w:p>
  </w:footnote>
  <w:footnote w:type="continuationSeparator" w:id="0">
    <w:p w:rsidR="00D267A6" w:rsidRDefault="00D267A6" w:rsidP="006F1F55">
      <w:pPr>
        <w:spacing w:after="0" w:line="240" w:lineRule="auto"/>
      </w:pPr>
      <w:r>
        <w:continuationSeparator/>
      </w:r>
    </w:p>
  </w:footnote>
  <w:footnote w:id="1">
    <w:p w:rsidR="00476758" w:rsidRPr="00AC03C1" w:rsidRDefault="00476758" w:rsidP="006F1F55">
      <w:pPr>
        <w:pStyle w:val="FootnoteText"/>
        <w:rPr>
          <w:sz w:val="14"/>
          <w:szCs w:val="14"/>
        </w:rPr>
      </w:pPr>
      <w:r w:rsidRPr="00AC03C1">
        <w:rPr>
          <w:rStyle w:val="FootnoteReference"/>
          <w:rFonts w:ascii="Arial" w:hAnsi="Arial" w:cs="Arial"/>
          <w:b/>
          <w:bCs/>
          <w:sz w:val="14"/>
          <w:szCs w:val="14"/>
        </w:rPr>
        <w:t>*</w:t>
      </w:r>
      <w:r w:rsidRPr="00AC03C1">
        <w:rPr>
          <w:rFonts w:ascii="Arial" w:hAnsi="Arial" w:cs="Arial"/>
          <w:sz w:val="14"/>
          <w:szCs w:val="14"/>
        </w:rPr>
        <w:t>Prof. Dr. Seyfettin Gürsel, Betam, Direktör,</w:t>
      </w:r>
      <w:r w:rsidR="00A45FFF">
        <w:rPr>
          <w:rFonts w:ascii="Arial" w:hAnsi="Arial" w:cs="Arial"/>
          <w:sz w:val="14"/>
          <w:szCs w:val="14"/>
        </w:rPr>
        <w:t xml:space="preserve"> </w:t>
      </w:r>
      <w:hyperlink r:id="rId1" w:history="1">
        <w:r w:rsidR="00A45FFF" w:rsidRPr="007E3973">
          <w:rPr>
            <w:rStyle w:val="Hyperlink"/>
            <w:rFonts w:ascii="Arial" w:hAnsi="Arial" w:cs="Arial"/>
            <w:sz w:val="14"/>
            <w:szCs w:val="14"/>
          </w:rPr>
          <w:t>seyfettin.gursel@eas.bau</w:t>
        </w:r>
        <w:r w:rsidRPr="007E3973">
          <w:rPr>
            <w:rStyle w:val="Hyperlink"/>
            <w:rFonts w:ascii="Arial" w:hAnsi="Arial" w:cs="Arial"/>
            <w:sz w:val="14"/>
            <w:szCs w:val="14"/>
          </w:rPr>
          <w:t>.edu.tr</w:t>
        </w:r>
      </w:hyperlink>
    </w:p>
  </w:footnote>
  <w:footnote w:id="2">
    <w:p w:rsidR="00476758" w:rsidRPr="00AC03C1" w:rsidRDefault="00476758" w:rsidP="006F1F55">
      <w:pPr>
        <w:pStyle w:val="FootnoteText"/>
        <w:rPr>
          <w:sz w:val="14"/>
          <w:szCs w:val="14"/>
        </w:rPr>
      </w:pP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Pr="00AC03C1">
        <w:rPr>
          <w:rFonts w:ascii="Arial" w:hAnsi="Arial" w:cs="Arial"/>
          <w:sz w:val="14"/>
          <w:szCs w:val="14"/>
        </w:rPr>
        <w:t>Yrd. Doç. Dr. Gökçe Uysal, Betam, Direktör Yardım</w:t>
      </w:r>
      <w:r w:rsidR="00A45FFF">
        <w:rPr>
          <w:rFonts w:ascii="Arial" w:hAnsi="Arial" w:cs="Arial"/>
          <w:sz w:val="14"/>
          <w:szCs w:val="14"/>
        </w:rPr>
        <w:t xml:space="preserve">cısı, </w:t>
      </w:r>
      <w:hyperlink r:id="rId2" w:history="1">
        <w:r w:rsidR="00A45FFF" w:rsidRPr="007E3973">
          <w:rPr>
            <w:rStyle w:val="Hyperlink"/>
            <w:rFonts w:ascii="Arial" w:hAnsi="Arial" w:cs="Arial"/>
            <w:sz w:val="14"/>
            <w:szCs w:val="14"/>
          </w:rPr>
          <w:t>gokce.uysal@eas.bau</w:t>
        </w:r>
        <w:r w:rsidRPr="007E3973">
          <w:rPr>
            <w:rStyle w:val="Hyperlink"/>
            <w:rFonts w:ascii="Arial" w:hAnsi="Arial" w:cs="Arial"/>
            <w:sz w:val="14"/>
            <w:szCs w:val="14"/>
          </w:rPr>
          <w:t>.edu.tr</w:t>
        </w:r>
      </w:hyperlink>
    </w:p>
  </w:footnote>
  <w:footnote w:id="3">
    <w:p w:rsidR="00476758" w:rsidRDefault="00476758" w:rsidP="006F1F55">
      <w:pPr>
        <w:pStyle w:val="FootnoteText"/>
      </w:pP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00A45FFF">
        <w:rPr>
          <w:rFonts w:ascii="Arial" w:hAnsi="Arial" w:cs="Arial"/>
          <w:sz w:val="14"/>
          <w:szCs w:val="14"/>
        </w:rPr>
        <w:t>Selin Köksal</w:t>
      </w:r>
      <w:r w:rsidRPr="00AC03C1">
        <w:rPr>
          <w:rFonts w:ascii="Arial" w:hAnsi="Arial" w:cs="Arial"/>
          <w:sz w:val="14"/>
          <w:szCs w:val="14"/>
        </w:rPr>
        <w:t xml:space="preserve">, </w:t>
      </w:r>
      <w:r w:rsidR="00A45FFF">
        <w:rPr>
          <w:rFonts w:ascii="Arial" w:hAnsi="Arial" w:cs="Arial"/>
          <w:sz w:val="14"/>
          <w:szCs w:val="14"/>
        </w:rPr>
        <w:t xml:space="preserve">Betam, Araştırma Görevlisi, </w:t>
      </w:r>
      <w:hyperlink r:id="rId3" w:history="1">
        <w:r w:rsidR="00A45FFF" w:rsidRPr="007E3973">
          <w:rPr>
            <w:rStyle w:val="Hyperlink"/>
            <w:rFonts w:ascii="Arial" w:hAnsi="Arial" w:cs="Arial"/>
            <w:sz w:val="14"/>
            <w:szCs w:val="14"/>
          </w:rPr>
          <w:t>selin.koksal@eas.bau</w:t>
        </w:r>
        <w:r w:rsidRPr="007E3973">
          <w:rPr>
            <w:rStyle w:val="Hyperlink"/>
            <w:rFonts w:ascii="Arial" w:hAnsi="Arial" w:cs="Arial"/>
            <w:sz w:val="14"/>
            <w:szCs w:val="14"/>
          </w:rPr>
          <w:t>.edu.tr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6"/>
    <w:rsid w:val="00000409"/>
    <w:rsid w:val="00001354"/>
    <w:rsid w:val="00005C13"/>
    <w:rsid w:val="00047508"/>
    <w:rsid w:val="000508EA"/>
    <w:rsid w:val="00053CC5"/>
    <w:rsid w:val="00092FCE"/>
    <w:rsid w:val="000B0AD5"/>
    <w:rsid w:val="000B42B0"/>
    <w:rsid w:val="000D14BC"/>
    <w:rsid w:val="000D3040"/>
    <w:rsid w:val="000D7C5B"/>
    <w:rsid w:val="000F3898"/>
    <w:rsid w:val="00101E9A"/>
    <w:rsid w:val="001271D1"/>
    <w:rsid w:val="001524C9"/>
    <w:rsid w:val="00175498"/>
    <w:rsid w:val="001800B6"/>
    <w:rsid w:val="0019166C"/>
    <w:rsid w:val="001A3164"/>
    <w:rsid w:val="001B7DBC"/>
    <w:rsid w:val="001B7E42"/>
    <w:rsid w:val="001D0B58"/>
    <w:rsid w:val="001E01AE"/>
    <w:rsid w:val="001E02BD"/>
    <w:rsid w:val="002031FC"/>
    <w:rsid w:val="00210F06"/>
    <w:rsid w:val="002112DD"/>
    <w:rsid w:val="00214E76"/>
    <w:rsid w:val="00231CB6"/>
    <w:rsid w:val="0025141C"/>
    <w:rsid w:val="00267576"/>
    <w:rsid w:val="002840BA"/>
    <w:rsid w:val="00286E36"/>
    <w:rsid w:val="00292CC1"/>
    <w:rsid w:val="002B7807"/>
    <w:rsid w:val="002C0EAA"/>
    <w:rsid w:val="002C31A2"/>
    <w:rsid w:val="002D3D44"/>
    <w:rsid w:val="002D5B89"/>
    <w:rsid w:val="002D7157"/>
    <w:rsid w:val="00303E19"/>
    <w:rsid w:val="00307BDA"/>
    <w:rsid w:val="0031470C"/>
    <w:rsid w:val="0031773B"/>
    <w:rsid w:val="00324D02"/>
    <w:rsid w:val="00345883"/>
    <w:rsid w:val="00350939"/>
    <w:rsid w:val="003569AA"/>
    <w:rsid w:val="00360603"/>
    <w:rsid w:val="00362EAE"/>
    <w:rsid w:val="00367BBD"/>
    <w:rsid w:val="00371F89"/>
    <w:rsid w:val="00372D17"/>
    <w:rsid w:val="00373DB2"/>
    <w:rsid w:val="003741A5"/>
    <w:rsid w:val="003A2F90"/>
    <w:rsid w:val="003B668B"/>
    <w:rsid w:val="003B66D0"/>
    <w:rsid w:val="003D395D"/>
    <w:rsid w:val="003D45AF"/>
    <w:rsid w:val="003E2FBD"/>
    <w:rsid w:val="00403329"/>
    <w:rsid w:val="00420E91"/>
    <w:rsid w:val="00430B8A"/>
    <w:rsid w:val="00431535"/>
    <w:rsid w:val="00443963"/>
    <w:rsid w:val="004570FB"/>
    <w:rsid w:val="00460418"/>
    <w:rsid w:val="0046715F"/>
    <w:rsid w:val="00476758"/>
    <w:rsid w:val="0048124C"/>
    <w:rsid w:val="00492F5F"/>
    <w:rsid w:val="00494E3F"/>
    <w:rsid w:val="00496843"/>
    <w:rsid w:val="00496D14"/>
    <w:rsid w:val="004A31D9"/>
    <w:rsid w:val="004A58AD"/>
    <w:rsid w:val="004B6BCC"/>
    <w:rsid w:val="004B704F"/>
    <w:rsid w:val="004C1555"/>
    <w:rsid w:val="004E21A0"/>
    <w:rsid w:val="004F4D6F"/>
    <w:rsid w:val="005077C4"/>
    <w:rsid w:val="00535B03"/>
    <w:rsid w:val="00537C63"/>
    <w:rsid w:val="00540F1B"/>
    <w:rsid w:val="00541B14"/>
    <w:rsid w:val="005563ED"/>
    <w:rsid w:val="00556E68"/>
    <w:rsid w:val="00573580"/>
    <w:rsid w:val="005873B9"/>
    <w:rsid w:val="00591291"/>
    <w:rsid w:val="00595394"/>
    <w:rsid w:val="005A2A67"/>
    <w:rsid w:val="005A2B8E"/>
    <w:rsid w:val="005D2428"/>
    <w:rsid w:val="005D28AC"/>
    <w:rsid w:val="005D3B96"/>
    <w:rsid w:val="005F6A3C"/>
    <w:rsid w:val="00606DA1"/>
    <w:rsid w:val="00633851"/>
    <w:rsid w:val="0064111C"/>
    <w:rsid w:val="00641DD0"/>
    <w:rsid w:val="00644831"/>
    <w:rsid w:val="006566F1"/>
    <w:rsid w:val="00661545"/>
    <w:rsid w:val="006646BB"/>
    <w:rsid w:val="00677F4B"/>
    <w:rsid w:val="00680DF1"/>
    <w:rsid w:val="00683E25"/>
    <w:rsid w:val="00687397"/>
    <w:rsid w:val="00690F9A"/>
    <w:rsid w:val="006A34D2"/>
    <w:rsid w:val="006D1AA6"/>
    <w:rsid w:val="006D1AF7"/>
    <w:rsid w:val="006D5094"/>
    <w:rsid w:val="006E57ED"/>
    <w:rsid w:val="006F1F55"/>
    <w:rsid w:val="0070428C"/>
    <w:rsid w:val="00721C59"/>
    <w:rsid w:val="0074615E"/>
    <w:rsid w:val="00750A94"/>
    <w:rsid w:val="00771C6D"/>
    <w:rsid w:val="007740D7"/>
    <w:rsid w:val="00776A81"/>
    <w:rsid w:val="00794771"/>
    <w:rsid w:val="00795361"/>
    <w:rsid w:val="007A717A"/>
    <w:rsid w:val="007B2693"/>
    <w:rsid w:val="007B4A8C"/>
    <w:rsid w:val="007C18CC"/>
    <w:rsid w:val="007D5724"/>
    <w:rsid w:val="007E3973"/>
    <w:rsid w:val="007E53AD"/>
    <w:rsid w:val="007F39DD"/>
    <w:rsid w:val="007F58FA"/>
    <w:rsid w:val="00814573"/>
    <w:rsid w:val="00816606"/>
    <w:rsid w:val="0081749A"/>
    <w:rsid w:val="00831084"/>
    <w:rsid w:val="00836C04"/>
    <w:rsid w:val="00850C16"/>
    <w:rsid w:val="008528B9"/>
    <w:rsid w:val="00852AAF"/>
    <w:rsid w:val="00856B22"/>
    <w:rsid w:val="0086736B"/>
    <w:rsid w:val="008730B4"/>
    <w:rsid w:val="00875BFE"/>
    <w:rsid w:val="008811B0"/>
    <w:rsid w:val="008873D5"/>
    <w:rsid w:val="00890A65"/>
    <w:rsid w:val="008A0235"/>
    <w:rsid w:val="008A2EAD"/>
    <w:rsid w:val="008B1330"/>
    <w:rsid w:val="008B78D4"/>
    <w:rsid w:val="008C19EA"/>
    <w:rsid w:val="008C405E"/>
    <w:rsid w:val="008C4EA7"/>
    <w:rsid w:val="008D29F5"/>
    <w:rsid w:val="008F034A"/>
    <w:rsid w:val="00900B24"/>
    <w:rsid w:val="009041D4"/>
    <w:rsid w:val="00912A1D"/>
    <w:rsid w:val="009209D5"/>
    <w:rsid w:val="009262DC"/>
    <w:rsid w:val="009460E5"/>
    <w:rsid w:val="00953983"/>
    <w:rsid w:val="00955E56"/>
    <w:rsid w:val="009853F6"/>
    <w:rsid w:val="00985833"/>
    <w:rsid w:val="0099093A"/>
    <w:rsid w:val="00993FD6"/>
    <w:rsid w:val="009A4020"/>
    <w:rsid w:val="009C7C88"/>
    <w:rsid w:val="009D3F4C"/>
    <w:rsid w:val="009E4FBF"/>
    <w:rsid w:val="009F74B1"/>
    <w:rsid w:val="00A275FB"/>
    <w:rsid w:val="00A45FFF"/>
    <w:rsid w:val="00A51AF5"/>
    <w:rsid w:val="00A52E26"/>
    <w:rsid w:val="00A579DA"/>
    <w:rsid w:val="00A70A3E"/>
    <w:rsid w:val="00A92A43"/>
    <w:rsid w:val="00A95B3D"/>
    <w:rsid w:val="00AA0270"/>
    <w:rsid w:val="00AA0E2A"/>
    <w:rsid w:val="00AA6FBC"/>
    <w:rsid w:val="00AB0142"/>
    <w:rsid w:val="00AB0DBA"/>
    <w:rsid w:val="00AB4107"/>
    <w:rsid w:val="00AB56CD"/>
    <w:rsid w:val="00AC02A1"/>
    <w:rsid w:val="00AC03C1"/>
    <w:rsid w:val="00AC2C1D"/>
    <w:rsid w:val="00AE0069"/>
    <w:rsid w:val="00AE3E8C"/>
    <w:rsid w:val="00AE4AAB"/>
    <w:rsid w:val="00AF5E1E"/>
    <w:rsid w:val="00B01BFF"/>
    <w:rsid w:val="00B068CC"/>
    <w:rsid w:val="00B30718"/>
    <w:rsid w:val="00B524FD"/>
    <w:rsid w:val="00B719CE"/>
    <w:rsid w:val="00B94CCE"/>
    <w:rsid w:val="00B96036"/>
    <w:rsid w:val="00BD4843"/>
    <w:rsid w:val="00BE6A74"/>
    <w:rsid w:val="00C164E4"/>
    <w:rsid w:val="00C26D18"/>
    <w:rsid w:val="00C357A3"/>
    <w:rsid w:val="00C55A3E"/>
    <w:rsid w:val="00C56F6F"/>
    <w:rsid w:val="00C63228"/>
    <w:rsid w:val="00C66D10"/>
    <w:rsid w:val="00C7324B"/>
    <w:rsid w:val="00C83DBE"/>
    <w:rsid w:val="00C93AD8"/>
    <w:rsid w:val="00C93BC6"/>
    <w:rsid w:val="00CA1EA5"/>
    <w:rsid w:val="00CD2E84"/>
    <w:rsid w:val="00CE37A8"/>
    <w:rsid w:val="00D00DCF"/>
    <w:rsid w:val="00D02F15"/>
    <w:rsid w:val="00D1161D"/>
    <w:rsid w:val="00D236A8"/>
    <w:rsid w:val="00D267A6"/>
    <w:rsid w:val="00D31F83"/>
    <w:rsid w:val="00D42D6C"/>
    <w:rsid w:val="00D508E1"/>
    <w:rsid w:val="00D531BD"/>
    <w:rsid w:val="00D60683"/>
    <w:rsid w:val="00D905E9"/>
    <w:rsid w:val="00D961FD"/>
    <w:rsid w:val="00DA1A18"/>
    <w:rsid w:val="00DA6848"/>
    <w:rsid w:val="00DB3AF1"/>
    <w:rsid w:val="00DD3DED"/>
    <w:rsid w:val="00DD5184"/>
    <w:rsid w:val="00DE744B"/>
    <w:rsid w:val="00DF494B"/>
    <w:rsid w:val="00E13E45"/>
    <w:rsid w:val="00E15591"/>
    <w:rsid w:val="00E21656"/>
    <w:rsid w:val="00E30F9C"/>
    <w:rsid w:val="00E36FF6"/>
    <w:rsid w:val="00E50A2B"/>
    <w:rsid w:val="00E60C34"/>
    <w:rsid w:val="00E722B4"/>
    <w:rsid w:val="00E7675A"/>
    <w:rsid w:val="00E878EC"/>
    <w:rsid w:val="00EB5050"/>
    <w:rsid w:val="00EC5FEE"/>
    <w:rsid w:val="00EC6760"/>
    <w:rsid w:val="00EE5506"/>
    <w:rsid w:val="00F01A31"/>
    <w:rsid w:val="00F134A1"/>
    <w:rsid w:val="00F1466C"/>
    <w:rsid w:val="00F1581F"/>
    <w:rsid w:val="00F2694B"/>
    <w:rsid w:val="00F333A0"/>
    <w:rsid w:val="00F33A6A"/>
    <w:rsid w:val="00F36312"/>
    <w:rsid w:val="00F43F57"/>
    <w:rsid w:val="00F44B58"/>
    <w:rsid w:val="00F47A10"/>
    <w:rsid w:val="00F64606"/>
    <w:rsid w:val="00F804C8"/>
    <w:rsid w:val="00F824CF"/>
    <w:rsid w:val="00F831B9"/>
    <w:rsid w:val="00F83F22"/>
    <w:rsid w:val="00F958DA"/>
    <w:rsid w:val="00F95F21"/>
    <w:rsid w:val="00FA34CA"/>
    <w:rsid w:val="00FA7B43"/>
    <w:rsid w:val="00FB4402"/>
    <w:rsid w:val="00FB602C"/>
    <w:rsid w:val="00FC6703"/>
    <w:rsid w:val="00FE284A"/>
    <w:rsid w:val="00FF4940"/>
    <w:rsid w:val="00FF57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paragraph" w:styleId="EndnoteText">
    <w:name w:val="endnote text"/>
    <w:basedOn w:val="Normal"/>
    <w:link w:val="EndnoteTextChar"/>
    <w:uiPriority w:val="99"/>
    <w:semiHidden/>
    <w:unhideWhenUsed/>
    <w:rsid w:val="000508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8EA"/>
    <w:rPr>
      <w:rFonts w:eastAsiaTheme="minorEastAsia"/>
      <w:sz w:val="20"/>
      <w:szCs w:val="20"/>
      <w:lang w:eastAsia="tr-TR"/>
    </w:rPr>
  </w:style>
  <w:style w:type="character" w:styleId="EndnoteReference">
    <w:name w:val="endnote reference"/>
    <w:basedOn w:val="DefaultParagraphFont"/>
    <w:uiPriority w:val="99"/>
    <w:semiHidden/>
    <w:unhideWhenUsed/>
    <w:rsid w:val="000508EA"/>
    <w:rPr>
      <w:vertAlign w:val="superscript"/>
    </w:rPr>
  </w:style>
  <w:style w:type="character" w:styleId="Hyperlink">
    <w:name w:val="Hyperlink"/>
    <w:basedOn w:val="DefaultParagraphFont"/>
    <w:uiPriority w:val="99"/>
    <w:unhideWhenUsed/>
    <w:rsid w:val="007E39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paragraph" w:styleId="EndnoteText">
    <w:name w:val="endnote text"/>
    <w:basedOn w:val="Normal"/>
    <w:link w:val="EndnoteTextChar"/>
    <w:uiPriority w:val="99"/>
    <w:semiHidden/>
    <w:unhideWhenUsed/>
    <w:rsid w:val="000508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8EA"/>
    <w:rPr>
      <w:rFonts w:eastAsiaTheme="minorEastAsia"/>
      <w:sz w:val="20"/>
      <w:szCs w:val="20"/>
      <w:lang w:eastAsia="tr-TR"/>
    </w:rPr>
  </w:style>
  <w:style w:type="character" w:styleId="EndnoteReference">
    <w:name w:val="endnote reference"/>
    <w:basedOn w:val="DefaultParagraphFont"/>
    <w:uiPriority w:val="99"/>
    <w:semiHidden/>
    <w:unhideWhenUsed/>
    <w:rsid w:val="000508EA"/>
    <w:rPr>
      <w:vertAlign w:val="superscript"/>
    </w:rPr>
  </w:style>
  <w:style w:type="character" w:styleId="Hyperlink">
    <w:name w:val="Hyperlink"/>
    <w:basedOn w:val="DefaultParagraphFont"/>
    <w:uiPriority w:val="99"/>
    <w:unhideWhenUsed/>
    <w:rsid w:val="007E3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selin.koksa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NCocuk_tab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NCocuk_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946936632920892"/>
          <c:y val="2.1348859776807384E-2"/>
          <c:w val="0.75700202474690659"/>
          <c:h val="0.93003075488926312"/>
        </c:manualLayout>
      </c:layout>
      <c:barChart>
        <c:barDir val="bar"/>
        <c:grouping val="stacked"/>
        <c:varyColors val="0"/>
        <c:ser>
          <c:idx val="0"/>
          <c:order val="0"/>
          <c:invertIfNegative val="0"/>
          <c:dPt>
            <c:idx val="17"/>
            <c:invertIfNegative val="0"/>
            <c:bubble3D val="0"/>
            <c:spPr>
              <a:solidFill>
                <a:srgbClr val="FF0000"/>
              </a:solidFill>
            </c:spPr>
            <c:extLst xmlns:c16r2="http://schemas.microsoft.com/office/drawing/2015/06/chart">
              <c:ext xmlns:c16="http://schemas.microsoft.com/office/drawing/2014/chart" uri="{C3380CC4-5D6E-409C-BE32-E72D297353CC}">
                <c16:uniqueId val="{00000011-B427-47B1-A8D1-05763EC04572}"/>
              </c:ext>
            </c:extLst>
          </c:dPt>
          <c:dPt>
            <c:idx val="30"/>
            <c:invertIfNegative val="0"/>
            <c:bubble3D val="0"/>
            <c:spPr>
              <a:solidFill>
                <a:srgbClr val="FF0000"/>
              </a:solidFill>
            </c:spPr>
            <c:extLst xmlns:c16r2="http://schemas.microsoft.com/office/drawing/2015/06/chart">
              <c:ext xmlns:c16="http://schemas.microsoft.com/office/drawing/2014/chart" uri="{C3380CC4-5D6E-409C-BE32-E72D297353CC}">
                <c16:uniqueId val="{0000001E-B427-47B1-A8D1-05763EC04572}"/>
              </c:ext>
            </c:extLst>
          </c:dPt>
          <c:dLbls>
            <c:dLbl>
              <c:idx val="0"/>
              <c:layout>
                <c:manualLayout>
                  <c:x val="4.5035920509936295E-2"/>
                  <c:y val="-5.82241630276564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427-47B1-A8D1-05763EC04572}"/>
                </c:ext>
              </c:extLst>
            </c:dLbl>
            <c:dLbl>
              <c:idx val="1"/>
              <c:layout>
                <c:manualLayout>
                  <c:x val="4.0255718035245587E-2"/>
                  <c:y val="-3.881610868510434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27-47B1-A8D1-05763EC04572}"/>
                </c:ext>
              </c:extLst>
            </c:dLbl>
            <c:dLbl>
              <c:idx val="2"/>
              <c:layout>
                <c:manualLayout>
                  <c:x val="3.6446194225721804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27-47B1-A8D1-05763EC04572}"/>
                </c:ext>
              </c:extLst>
            </c:dLbl>
            <c:dLbl>
              <c:idx val="3"/>
              <c:layout>
                <c:manualLayout>
                  <c:x val="3.8338657667791536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427-47B1-A8D1-05763EC04572}"/>
                </c:ext>
              </c:extLst>
            </c:dLbl>
            <c:dLbl>
              <c:idx val="4"/>
              <c:layout>
                <c:manualLayout>
                  <c:x val="3.8326359205099365E-2"/>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427-47B1-A8D1-05763EC04572}"/>
                </c:ext>
              </c:extLst>
            </c:dLbl>
            <c:dLbl>
              <c:idx val="5"/>
              <c:layout>
                <c:manualLayout>
                  <c:x val="5.1573903262092248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427-47B1-A8D1-05763EC04572}"/>
                </c:ext>
              </c:extLst>
            </c:dLbl>
            <c:dLbl>
              <c:idx val="6"/>
              <c:layout>
                <c:manualLayout>
                  <c:x val="6.0114735658042782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427-47B1-A8D1-05763EC04572}"/>
                </c:ext>
              </c:extLst>
            </c:dLbl>
            <c:dLbl>
              <c:idx val="7"/>
              <c:layout>
                <c:manualLayout>
                  <c:x val="6.7672440944881923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427-47B1-A8D1-05763EC04572}"/>
                </c:ext>
              </c:extLst>
            </c:dLbl>
            <c:dLbl>
              <c:idx val="8"/>
              <c:layout>
                <c:manualLayout>
                  <c:x val="7.4296212973378351E-2"/>
                  <c:y val="3.881610868510434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427-47B1-A8D1-05763EC04572}"/>
                </c:ext>
              </c:extLst>
            </c:dLbl>
            <c:dLbl>
              <c:idx val="9"/>
              <c:layout>
                <c:manualLayout>
                  <c:x val="7.9027521559805067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427-47B1-A8D1-05763EC04572}"/>
                </c:ext>
              </c:extLst>
            </c:dLbl>
            <c:dLbl>
              <c:idx val="10"/>
              <c:layout>
                <c:manualLayout>
                  <c:x val="7.9961454818147787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427-47B1-A8D1-05763EC04572}"/>
                </c:ext>
              </c:extLst>
            </c:dLbl>
            <c:dLbl>
              <c:idx val="11"/>
              <c:layout>
                <c:manualLayout>
                  <c:x val="9.6868709441369938E-2"/>
                  <c:y val="-1.4849628944896751E-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427-47B1-A8D1-05763EC04572}"/>
                </c:ext>
              </c:extLst>
            </c:dLbl>
            <c:dLbl>
              <c:idx val="12"/>
              <c:layout>
                <c:manualLayout>
                  <c:x val="0.1188068991376077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427-47B1-A8D1-05763EC04572}"/>
                </c:ext>
              </c:extLst>
            </c:dLbl>
            <c:dLbl>
              <c:idx val="13"/>
              <c:layout>
                <c:manualLayout>
                  <c:x val="0.1168898387701537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427-47B1-A8D1-05763EC04572}"/>
                </c:ext>
              </c:extLst>
            </c:dLbl>
            <c:dLbl>
              <c:idx val="14"/>
              <c:layout>
                <c:manualLayout>
                  <c:x val="0.1168898387701537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427-47B1-A8D1-05763EC04572}"/>
                </c:ext>
              </c:extLst>
            </c:dLbl>
            <c:dLbl>
              <c:idx val="15"/>
              <c:layout>
                <c:manualLayout>
                  <c:x val="0.12251923509561306"/>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427-47B1-A8D1-05763EC04572}"/>
                </c:ext>
              </c:extLst>
            </c:dLbl>
            <c:dLbl>
              <c:idx val="16"/>
              <c:layout>
                <c:manualLayout>
                  <c:x val="0.12631646044244477"/>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427-47B1-A8D1-05763EC04572}"/>
                </c:ext>
              </c:extLst>
            </c:dLbl>
            <c:dLbl>
              <c:idx val="17"/>
              <c:layout>
                <c:manualLayout>
                  <c:x val="0.14051023622047248"/>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427-47B1-A8D1-05763EC04572}"/>
                </c:ext>
              </c:extLst>
            </c:dLbl>
            <c:dLbl>
              <c:idx val="18"/>
              <c:layout>
                <c:manualLayout>
                  <c:x val="0.14616332958380204"/>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427-47B1-A8D1-05763EC04572}"/>
                </c:ext>
              </c:extLst>
            </c:dLbl>
            <c:dLbl>
              <c:idx val="19"/>
              <c:layout>
                <c:manualLayout>
                  <c:x val="0.15091908511436086"/>
                  <c:y val="-3.881610868510434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427-47B1-A8D1-05763EC04572}"/>
                </c:ext>
              </c:extLst>
            </c:dLbl>
            <c:dLbl>
              <c:idx val="20"/>
              <c:layout>
                <c:manualLayout>
                  <c:x val="0.154704011998500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427-47B1-A8D1-05763EC04572}"/>
                </c:ext>
              </c:extLst>
            </c:dLbl>
            <c:dLbl>
              <c:idx val="21"/>
              <c:layout>
                <c:manualLayout>
                  <c:x val="0.15658432695913016"/>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B427-47B1-A8D1-05763EC04572}"/>
                </c:ext>
              </c:extLst>
            </c:dLbl>
            <c:dLbl>
              <c:idx val="22"/>
              <c:layout>
                <c:manualLayout>
                  <c:x val="0.16513730783652053"/>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427-47B1-A8D1-05763EC04572}"/>
                </c:ext>
              </c:extLst>
            </c:dLbl>
            <c:dLbl>
              <c:idx val="23"/>
              <c:layout>
                <c:manualLayout>
                  <c:x val="0.16984401949756289"/>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B427-47B1-A8D1-05763EC04572}"/>
                </c:ext>
              </c:extLst>
            </c:dLbl>
            <c:dLbl>
              <c:idx val="24"/>
              <c:layout>
                <c:manualLayout>
                  <c:x val="0.19621889500874168"/>
                  <c:y val="1.0973875790278702E-4"/>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427-47B1-A8D1-05763EC04572}"/>
                </c:ext>
              </c:extLst>
            </c:dLbl>
            <c:dLbl>
              <c:idx val="25"/>
              <c:layout>
                <c:manualLayout>
                  <c:x val="0.23374775982718374"/>
                  <c:y val="3.8267493790998895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B427-47B1-A8D1-05763EC04572}"/>
                </c:ext>
              </c:extLst>
            </c:dLbl>
            <c:dLbl>
              <c:idx val="26"/>
              <c:layout>
                <c:manualLayout>
                  <c:x val="0.2540605924259468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427-47B1-A8D1-05763EC04572}"/>
                </c:ext>
              </c:extLst>
            </c:dLbl>
            <c:dLbl>
              <c:idx val="27"/>
              <c:layout>
                <c:manualLayout>
                  <c:x val="0.27507105017548933"/>
                  <c:y val="1.940846503098005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427-47B1-A8D1-05763EC04572}"/>
                </c:ext>
              </c:extLst>
            </c:dLbl>
            <c:dLbl>
              <c:idx val="28"/>
              <c:layout>
                <c:manualLayout>
                  <c:x val="0.33546276715410606"/>
                  <c:y val="1.940805434255217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427-47B1-A8D1-05763EC04572}"/>
                </c:ext>
              </c:extLst>
            </c:dLbl>
            <c:dLbl>
              <c:idx val="29"/>
              <c:layout>
                <c:manualLayout>
                  <c:x val="0.3513625070655819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427-47B1-A8D1-05763EC04572}"/>
                </c:ext>
              </c:extLst>
            </c:dLbl>
            <c:dLbl>
              <c:idx val="30"/>
              <c:layout>
                <c:manualLayout>
                  <c:x val="0.3762606969621286"/>
                  <c:y val="1.88590287600188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427-47B1-A8D1-05763EC04572}"/>
                </c:ext>
              </c:extLst>
            </c:dLbl>
            <c:spPr>
              <a:noFill/>
              <a:ln>
                <a:noFill/>
              </a:ln>
              <a:effectLst/>
            </c:spPr>
            <c:txPr>
              <a:bodyPr/>
              <a:lstStyle/>
              <a:p>
                <a:pPr>
                  <a:defRPr sz="800"/>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'eurostat graf'!$B$2:$B$32</c:f>
              <c:strCache>
                <c:ptCount val="31"/>
                <c:pt idx="0">
                  <c:v>İsveç</c:v>
                </c:pt>
                <c:pt idx="1">
                  <c:v>İzlanda</c:v>
                </c:pt>
                <c:pt idx="2">
                  <c:v>Norveç</c:v>
                </c:pt>
                <c:pt idx="3">
                  <c:v>Lüksemburg</c:v>
                </c:pt>
                <c:pt idx="4">
                  <c:v>Finlandiya</c:v>
                </c:pt>
                <c:pt idx="5">
                  <c:v>Danimarka</c:v>
                </c:pt>
                <c:pt idx="6">
                  <c:v>Hollanda</c:v>
                </c:pt>
                <c:pt idx="7">
                  <c:v>Slovenya</c:v>
                </c:pt>
                <c:pt idx="8">
                  <c:v>Almanya</c:v>
                </c:pt>
                <c:pt idx="9">
                  <c:v>Fransa</c:v>
                </c:pt>
                <c:pt idx="10">
                  <c:v>Avusturya</c:v>
                </c:pt>
                <c:pt idx="11">
                  <c:v>Belçika</c:v>
                </c:pt>
                <c:pt idx="12">
                  <c:v>İspanya</c:v>
                </c:pt>
                <c:pt idx="13">
                  <c:v>İrlanda</c:v>
                </c:pt>
                <c:pt idx="14">
                  <c:v>Çek Cumhuriyeti</c:v>
                </c:pt>
                <c:pt idx="15">
                  <c:v>Polonya</c:v>
                </c:pt>
                <c:pt idx="16">
                  <c:v>Birleşik Krallık</c:v>
                </c:pt>
                <c:pt idx="17">
                  <c:v>Avrupa Birliği (28 ülke)</c:v>
                </c:pt>
                <c:pt idx="18">
                  <c:v>Slovakya</c:v>
                </c:pt>
                <c:pt idx="19">
                  <c:v>Hırvatistan</c:v>
                </c:pt>
                <c:pt idx="20">
                  <c:v>Portekiz</c:v>
                </c:pt>
                <c:pt idx="21">
                  <c:v>Litvanya</c:v>
                </c:pt>
                <c:pt idx="22">
                  <c:v>İtalya</c:v>
                </c:pt>
                <c:pt idx="23">
                  <c:v>Malta</c:v>
                </c:pt>
                <c:pt idx="24">
                  <c:v>Kıbrıs</c:v>
                </c:pt>
                <c:pt idx="25">
                  <c:v>Letonya</c:v>
                </c:pt>
                <c:pt idx="26">
                  <c:v>Yunanistan</c:v>
                </c:pt>
                <c:pt idx="27">
                  <c:v>Sırbistan</c:v>
                </c:pt>
                <c:pt idx="28">
                  <c:v>Romanya</c:v>
                </c:pt>
                <c:pt idx="29">
                  <c:v>Macaristan</c:v>
                </c:pt>
                <c:pt idx="30">
                  <c:v>Türkiye</c:v>
                </c:pt>
              </c:strCache>
            </c:strRef>
          </c:cat>
          <c:val>
            <c:numRef>
              <c:f>'eurostat graf'!$C$2:$C$32</c:f>
              <c:numCache>
                <c:formatCode>#,##0.0</c:formatCode>
                <c:ptCount val="31"/>
                <c:pt idx="0">
                  <c:v>1.2</c:v>
                </c:pt>
                <c:pt idx="1">
                  <c:v>1.5</c:v>
                </c:pt>
                <c:pt idx="2">
                  <c:v>1.5</c:v>
                </c:pt>
                <c:pt idx="3">
                  <c:v>1.7000000000000002</c:v>
                </c:pt>
                <c:pt idx="4">
                  <c:v>1.9000000000000001</c:v>
                </c:pt>
                <c:pt idx="5">
                  <c:v>3.3</c:v>
                </c:pt>
                <c:pt idx="6">
                  <c:v>3.8</c:v>
                </c:pt>
                <c:pt idx="7">
                  <c:v>4.8</c:v>
                </c:pt>
                <c:pt idx="8">
                  <c:v>5</c:v>
                </c:pt>
                <c:pt idx="9">
                  <c:v>5.5</c:v>
                </c:pt>
                <c:pt idx="10">
                  <c:v>6</c:v>
                </c:pt>
                <c:pt idx="11">
                  <c:v>6.3</c:v>
                </c:pt>
                <c:pt idx="12">
                  <c:v>9.6</c:v>
                </c:pt>
                <c:pt idx="13">
                  <c:v>9.6</c:v>
                </c:pt>
                <c:pt idx="14">
                  <c:v>9.8000000000000007</c:v>
                </c:pt>
                <c:pt idx="15">
                  <c:v>9.8000000000000007</c:v>
                </c:pt>
                <c:pt idx="16">
                  <c:v>10.1</c:v>
                </c:pt>
                <c:pt idx="17">
                  <c:v>10.3</c:v>
                </c:pt>
                <c:pt idx="18">
                  <c:v>11.8</c:v>
                </c:pt>
                <c:pt idx="19">
                  <c:v>12.8</c:v>
                </c:pt>
                <c:pt idx="20">
                  <c:v>12.9</c:v>
                </c:pt>
                <c:pt idx="21">
                  <c:v>13.3</c:v>
                </c:pt>
                <c:pt idx="22">
                  <c:v>13.7</c:v>
                </c:pt>
                <c:pt idx="23">
                  <c:v>14</c:v>
                </c:pt>
                <c:pt idx="24">
                  <c:v>14.9</c:v>
                </c:pt>
                <c:pt idx="25">
                  <c:v>19.3</c:v>
                </c:pt>
                <c:pt idx="26">
                  <c:v>23.3</c:v>
                </c:pt>
                <c:pt idx="27">
                  <c:v>23.8</c:v>
                </c:pt>
                <c:pt idx="28">
                  <c:v>31.7</c:v>
                </c:pt>
                <c:pt idx="29">
                  <c:v>32</c:v>
                </c:pt>
                <c:pt idx="30" formatCode="General">
                  <c:v>36.200000000000003</c:v>
                </c:pt>
              </c:numCache>
            </c:numRef>
          </c:val>
          <c:extLst xmlns:c16r2="http://schemas.microsoft.com/office/drawing/2015/06/chart">
            <c:ext xmlns:c16="http://schemas.microsoft.com/office/drawing/2014/chart" uri="{C3380CC4-5D6E-409C-BE32-E72D297353CC}">
              <c16:uniqueId val="{0000001F-B427-47B1-A8D1-05763EC04572}"/>
            </c:ext>
          </c:extLst>
        </c:ser>
        <c:dLbls>
          <c:showLegendKey val="0"/>
          <c:showVal val="1"/>
          <c:showCatName val="0"/>
          <c:showSerName val="0"/>
          <c:showPercent val="0"/>
          <c:showBubbleSize val="0"/>
        </c:dLbls>
        <c:gapWidth val="90"/>
        <c:overlap val="100"/>
        <c:axId val="184676736"/>
        <c:axId val="185910784"/>
      </c:barChart>
      <c:catAx>
        <c:axId val="184676736"/>
        <c:scaling>
          <c:orientation val="minMax"/>
        </c:scaling>
        <c:delete val="0"/>
        <c:axPos val="l"/>
        <c:numFmt formatCode="General" sourceLinked="0"/>
        <c:majorTickMark val="none"/>
        <c:minorTickMark val="none"/>
        <c:tickLblPos val="nextTo"/>
        <c:txPr>
          <a:bodyPr/>
          <a:lstStyle/>
          <a:p>
            <a:pPr>
              <a:defRPr sz="800"/>
            </a:pPr>
            <a:endParaRPr lang="tr-TR"/>
          </a:p>
        </c:txPr>
        <c:crossAx val="185910784"/>
        <c:crosses val="autoZero"/>
        <c:auto val="1"/>
        <c:lblAlgn val="ctr"/>
        <c:lblOffset val="100"/>
        <c:noMultiLvlLbl val="0"/>
      </c:catAx>
      <c:valAx>
        <c:axId val="185910784"/>
        <c:scaling>
          <c:orientation val="minMax"/>
        </c:scaling>
        <c:delete val="0"/>
        <c:axPos val="b"/>
        <c:majorGridlines>
          <c:spPr>
            <a:ln>
              <a:noFill/>
            </a:ln>
          </c:spPr>
        </c:majorGridlines>
        <c:numFmt formatCode="#,##0.0" sourceLinked="1"/>
        <c:majorTickMark val="out"/>
        <c:minorTickMark val="none"/>
        <c:tickLblPos val="nextTo"/>
        <c:txPr>
          <a:bodyPr/>
          <a:lstStyle/>
          <a:p>
            <a:pPr>
              <a:defRPr sz="800"/>
            </a:pPr>
            <a:endParaRPr lang="tr-TR"/>
          </a:p>
        </c:txPr>
        <c:crossAx val="18467673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105260714636755E-2"/>
          <c:y val="4.6663553558872618E-2"/>
          <c:w val="0.8989689910547396"/>
          <c:h val="0.65150196716208042"/>
        </c:manualLayout>
      </c:layout>
      <c:barChart>
        <c:barDir val="col"/>
        <c:grouping val="clustered"/>
        <c:varyColors val="0"/>
        <c:ser>
          <c:idx val="0"/>
          <c:order val="0"/>
          <c:invertIfNegative val="0"/>
          <c:cat>
            <c:strRef>
              <c:f>'regional graf'!$A$2:$A$13</c:f>
              <c:strCache>
                <c:ptCount val="12"/>
                <c:pt idx="0">
                  <c:v>TR2- Batı Marmara </c:v>
                </c:pt>
                <c:pt idx="1">
                  <c:v>TR3-Ege</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'regional graf'!$B$2:$B$13</c:f>
            </c:numRef>
          </c:val>
        </c:ser>
        <c:ser>
          <c:idx val="1"/>
          <c:order val="1"/>
          <c:invertIfNegative val="0"/>
          <c:cat>
            <c:strRef>
              <c:f>'regional graf'!$A$2:$A$13</c:f>
              <c:strCache>
                <c:ptCount val="12"/>
                <c:pt idx="0">
                  <c:v>TR2- Batı Marmara </c:v>
                </c:pt>
                <c:pt idx="1">
                  <c:v>TR3-Ege</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'regional graf'!$C$2:$C$13</c:f>
            </c:numRef>
          </c:val>
        </c:ser>
        <c:ser>
          <c:idx val="2"/>
          <c:order val="2"/>
          <c:spPr>
            <a:solidFill>
              <a:schemeClr val="accent1"/>
            </a:solidFill>
          </c:spPr>
          <c:invertIfNegative val="0"/>
          <c:dLbls>
            <c:dLbl>
              <c:idx val="0"/>
              <c:tx>
                <c:rich>
                  <a:bodyPr/>
                  <a:lstStyle/>
                  <a:p>
                    <a:r>
                      <a:rPr lang="en-US" sz="900"/>
                      <a:t>17,2</a:t>
                    </a:r>
                  </a:p>
                </c:rich>
              </c:tx>
              <c:dLblPos val="outEnd"/>
              <c:showLegendKey val="0"/>
              <c:showVal val="1"/>
              <c:showCatName val="0"/>
              <c:showSerName val="0"/>
              <c:showPercent val="0"/>
              <c:showBubbleSize val="0"/>
            </c:dLbl>
            <c:dLbl>
              <c:idx val="1"/>
              <c:tx>
                <c:rich>
                  <a:bodyPr/>
                  <a:lstStyle/>
                  <a:p>
                    <a:r>
                      <a:rPr lang="en-US" sz="900"/>
                      <a:t>24,4</a:t>
                    </a:r>
                  </a:p>
                </c:rich>
              </c:tx>
              <c:dLblPos val="outEnd"/>
              <c:showLegendKey val="0"/>
              <c:showVal val="1"/>
              <c:showCatName val="0"/>
              <c:showSerName val="0"/>
              <c:showPercent val="0"/>
              <c:showBubbleSize val="0"/>
            </c:dLbl>
            <c:dLbl>
              <c:idx val="2"/>
              <c:layout>
                <c:manualLayout>
                  <c:x val="-2.7751158325405425E-4"/>
                  <c:y val="2.6029817384448355E-2"/>
                </c:manualLayout>
              </c:layout>
              <c:tx>
                <c:rich>
                  <a:bodyPr/>
                  <a:lstStyle/>
                  <a:p>
                    <a:r>
                      <a:rPr lang="en-US" sz="900"/>
                      <a:t>32,7</a:t>
                    </a:r>
                  </a:p>
                </c:rich>
              </c:tx>
              <c:dLblPos val="outEnd"/>
              <c:showLegendKey val="0"/>
              <c:showVal val="1"/>
              <c:showCatName val="0"/>
              <c:showSerName val="0"/>
              <c:showPercent val="0"/>
              <c:showBubbleSize val="0"/>
            </c:dLbl>
            <c:dLbl>
              <c:idx val="3"/>
              <c:layout>
                <c:manualLayout>
                  <c:x val="4.2032165859588813E-3"/>
                  <c:y val="2.152714544735369E-2"/>
                </c:manualLayout>
              </c:layout>
              <c:tx>
                <c:rich>
                  <a:bodyPr/>
                  <a:lstStyle/>
                  <a:p>
                    <a:r>
                      <a:rPr lang="en-US" sz="900"/>
                      <a:t>31,7</a:t>
                    </a:r>
                  </a:p>
                </c:rich>
              </c:tx>
              <c:dLblPos val="outEnd"/>
              <c:showLegendKey val="0"/>
              <c:showVal val="1"/>
              <c:showCatName val="0"/>
              <c:showSerName val="0"/>
              <c:showPercent val="0"/>
              <c:showBubbleSize val="0"/>
            </c:dLbl>
            <c:dLbl>
              <c:idx val="4"/>
              <c:tx>
                <c:rich>
                  <a:bodyPr/>
                  <a:lstStyle/>
                  <a:p>
                    <a:r>
                      <a:rPr lang="en-US" sz="900"/>
                      <a:t>29,1</a:t>
                    </a:r>
                  </a:p>
                </c:rich>
              </c:tx>
              <c:dLblPos val="outEnd"/>
              <c:showLegendKey val="0"/>
              <c:showVal val="1"/>
              <c:showCatName val="0"/>
              <c:showSerName val="0"/>
              <c:showPercent val="0"/>
              <c:showBubbleSize val="0"/>
            </c:dLbl>
            <c:dLbl>
              <c:idx val="5"/>
              <c:tx>
                <c:rich>
                  <a:bodyPr/>
                  <a:lstStyle/>
                  <a:p>
                    <a:r>
                      <a:rPr lang="en-US" sz="900"/>
                      <a:t>29,2</a:t>
                    </a:r>
                  </a:p>
                </c:rich>
              </c:tx>
              <c:dLblPos val="outEnd"/>
              <c:showLegendKey val="0"/>
              <c:showVal val="1"/>
              <c:showCatName val="0"/>
              <c:showSerName val="0"/>
              <c:showPercent val="0"/>
              <c:showBubbleSize val="0"/>
            </c:dLbl>
            <c:dLbl>
              <c:idx val="6"/>
              <c:tx>
                <c:rich>
                  <a:bodyPr/>
                  <a:lstStyle/>
                  <a:p>
                    <a:r>
                      <a:rPr lang="en-US" sz="900"/>
                      <a:t>28,0</a:t>
                    </a:r>
                  </a:p>
                </c:rich>
              </c:tx>
              <c:dLblPos val="outEnd"/>
              <c:showLegendKey val="0"/>
              <c:showVal val="1"/>
              <c:showCatName val="0"/>
              <c:showSerName val="0"/>
              <c:showPercent val="0"/>
              <c:showBubbleSize val="0"/>
            </c:dLbl>
            <c:dLbl>
              <c:idx val="7"/>
              <c:tx>
                <c:rich>
                  <a:bodyPr/>
                  <a:lstStyle/>
                  <a:p>
                    <a:r>
                      <a:rPr lang="en-US" sz="900"/>
                      <a:t>26,4</a:t>
                    </a:r>
                  </a:p>
                </c:rich>
              </c:tx>
              <c:dLblPos val="outEnd"/>
              <c:showLegendKey val="0"/>
              <c:showVal val="1"/>
              <c:showCatName val="0"/>
              <c:showSerName val="0"/>
              <c:showPercent val="0"/>
              <c:showBubbleSize val="0"/>
            </c:dLbl>
            <c:dLbl>
              <c:idx val="8"/>
              <c:tx>
                <c:rich>
                  <a:bodyPr/>
                  <a:lstStyle/>
                  <a:p>
                    <a:r>
                      <a:rPr lang="en-US" sz="900"/>
                      <a:t>42,2</a:t>
                    </a:r>
                  </a:p>
                </c:rich>
              </c:tx>
              <c:dLblPos val="outEnd"/>
              <c:showLegendKey val="0"/>
              <c:showVal val="1"/>
              <c:showCatName val="0"/>
              <c:showSerName val="0"/>
              <c:showPercent val="0"/>
              <c:showBubbleSize val="0"/>
            </c:dLbl>
            <c:dLbl>
              <c:idx val="9"/>
              <c:tx>
                <c:rich>
                  <a:bodyPr/>
                  <a:lstStyle/>
                  <a:p>
                    <a:r>
                      <a:rPr lang="en-US" sz="900"/>
                      <a:t>48,5</a:t>
                    </a:r>
                  </a:p>
                </c:rich>
              </c:tx>
              <c:dLblPos val="outEnd"/>
              <c:showLegendKey val="0"/>
              <c:showVal val="1"/>
              <c:showCatName val="0"/>
              <c:showSerName val="0"/>
              <c:showPercent val="0"/>
              <c:showBubbleSize val="0"/>
            </c:dLbl>
            <c:dLbl>
              <c:idx val="10"/>
              <c:tx>
                <c:rich>
                  <a:bodyPr/>
                  <a:lstStyle/>
                  <a:p>
                    <a:r>
                      <a:rPr lang="en-US" sz="900"/>
                      <a:t>52,9</a:t>
                    </a:r>
                  </a:p>
                </c:rich>
              </c:tx>
              <c:dLblPos val="outEnd"/>
              <c:showLegendKey val="0"/>
              <c:showVal val="1"/>
              <c:showCatName val="0"/>
              <c:showSerName val="0"/>
              <c:showPercent val="0"/>
              <c:showBubbleSize val="0"/>
            </c:dLbl>
            <c:dLbl>
              <c:idx val="11"/>
              <c:tx>
                <c:rich>
                  <a:bodyPr/>
                  <a:lstStyle/>
                  <a:p>
                    <a:r>
                      <a:rPr lang="en-US" sz="900"/>
                      <a:t>55,1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'regional graf'!$A$2:$A$13</c:f>
              <c:strCache>
                <c:ptCount val="12"/>
                <c:pt idx="0">
                  <c:v>TR2- Batı Marmara </c:v>
                </c:pt>
                <c:pt idx="1">
                  <c:v>TR3-Ege</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'regional graf'!$D$2:$D$13</c:f>
              <c:numCache>
                <c:formatCode>0.0</c:formatCode>
                <c:ptCount val="12"/>
                <c:pt idx="0">
                  <c:v>17.2</c:v>
                </c:pt>
                <c:pt idx="1">
                  <c:v>24.35</c:v>
                </c:pt>
                <c:pt idx="2">
                  <c:v>32.68</c:v>
                </c:pt>
                <c:pt idx="3">
                  <c:v>31.66</c:v>
                </c:pt>
                <c:pt idx="4">
                  <c:v>29.08</c:v>
                </c:pt>
                <c:pt idx="5">
                  <c:v>29.23</c:v>
                </c:pt>
                <c:pt idx="6">
                  <c:v>28</c:v>
                </c:pt>
                <c:pt idx="7">
                  <c:v>26.36</c:v>
                </c:pt>
                <c:pt idx="8">
                  <c:v>42.2</c:v>
                </c:pt>
                <c:pt idx="9">
                  <c:v>48.46</c:v>
                </c:pt>
                <c:pt idx="10">
                  <c:v>52.91</c:v>
                </c:pt>
                <c:pt idx="11">
                  <c:v>55.1</c:v>
                </c:pt>
              </c:numCache>
            </c:numRef>
          </c:val>
        </c:ser>
        <c:dLbls>
          <c:showLegendKey val="0"/>
          <c:showVal val="1"/>
          <c:showCatName val="0"/>
          <c:showSerName val="0"/>
          <c:showPercent val="0"/>
          <c:showBubbleSize val="0"/>
        </c:dLbls>
        <c:gapWidth val="150"/>
        <c:axId val="39813504"/>
        <c:axId val="39815040"/>
      </c:barChart>
      <c:lineChart>
        <c:grouping val="standard"/>
        <c:varyColors val="0"/>
        <c:ser>
          <c:idx val="3"/>
          <c:order val="3"/>
          <c:tx>
            <c:strRef>
              <c:f>'regional graf'!$A$14</c:f>
              <c:strCache>
                <c:ptCount val="1"/>
                <c:pt idx="0">
                  <c:v>Türkiye </c:v>
                </c:pt>
              </c:strCache>
            </c:strRef>
          </c:tx>
          <c:spPr>
            <a:ln>
              <a:solidFill>
                <a:srgbClr val="C00000"/>
              </a:solidFill>
            </a:ln>
          </c:spPr>
          <c:marker>
            <c:symbol val="none"/>
          </c:marker>
          <c:cat>
            <c:strRef>
              <c:f>'regional graf'!$A$2:$A$13</c:f>
              <c:strCache>
                <c:ptCount val="12"/>
                <c:pt idx="0">
                  <c:v>TR2- Batı Marmara </c:v>
                </c:pt>
                <c:pt idx="1">
                  <c:v>TR3-Ege</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'regional graf'!$G$2:$G$14</c:f>
              <c:numCache>
                <c:formatCode>0.0</c:formatCode>
                <c:ptCount val="13"/>
                <c:pt idx="0">
                  <c:v>36.160000000000011</c:v>
                </c:pt>
                <c:pt idx="1">
                  <c:v>36.160000000000011</c:v>
                </c:pt>
                <c:pt idx="2">
                  <c:v>36.160000000000011</c:v>
                </c:pt>
                <c:pt idx="3">
                  <c:v>36.160000000000011</c:v>
                </c:pt>
                <c:pt idx="4">
                  <c:v>36.160000000000011</c:v>
                </c:pt>
                <c:pt idx="5">
                  <c:v>36.160000000000011</c:v>
                </c:pt>
                <c:pt idx="6">
                  <c:v>36.160000000000011</c:v>
                </c:pt>
                <c:pt idx="7">
                  <c:v>36.160000000000011</c:v>
                </c:pt>
                <c:pt idx="8">
                  <c:v>36.160000000000011</c:v>
                </c:pt>
                <c:pt idx="9">
                  <c:v>36.160000000000011</c:v>
                </c:pt>
                <c:pt idx="10">
                  <c:v>36.160000000000011</c:v>
                </c:pt>
                <c:pt idx="11">
                  <c:v>36.160000000000011</c:v>
                </c:pt>
                <c:pt idx="12">
                  <c:v>36.160000000000011</c:v>
                </c:pt>
              </c:numCache>
            </c:numRef>
          </c:val>
          <c:smooth val="0"/>
        </c:ser>
        <c:dLbls>
          <c:showLegendKey val="0"/>
          <c:showVal val="0"/>
          <c:showCatName val="0"/>
          <c:showSerName val="0"/>
          <c:showPercent val="0"/>
          <c:showBubbleSize val="0"/>
        </c:dLbls>
        <c:marker val="1"/>
        <c:smooth val="0"/>
        <c:axId val="39813504"/>
        <c:axId val="39815040"/>
      </c:lineChart>
      <c:catAx>
        <c:axId val="39813504"/>
        <c:scaling>
          <c:orientation val="minMax"/>
        </c:scaling>
        <c:delete val="0"/>
        <c:axPos val="b"/>
        <c:majorTickMark val="out"/>
        <c:minorTickMark val="none"/>
        <c:tickLblPos val="nextTo"/>
        <c:txPr>
          <a:bodyPr/>
          <a:lstStyle/>
          <a:p>
            <a:pPr>
              <a:defRPr sz="1000"/>
            </a:pPr>
            <a:endParaRPr lang="tr-TR"/>
          </a:p>
        </c:txPr>
        <c:crossAx val="39815040"/>
        <c:crosses val="autoZero"/>
        <c:auto val="1"/>
        <c:lblAlgn val="ctr"/>
        <c:lblOffset val="100"/>
        <c:noMultiLvlLbl val="0"/>
      </c:catAx>
      <c:valAx>
        <c:axId val="39815040"/>
        <c:scaling>
          <c:orientation val="minMax"/>
        </c:scaling>
        <c:delete val="0"/>
        <c:axPos val="l"/>
        <c:majorGridlines>
          <c:spPr>
            <a:ln>
              <a:noFill/>
            </a:ln>
          </c:spPr>
        </c:majorGridlines>
        <c:numFmt formatCode="0" sourceLinked="0"/>
        <c:majorTickMark val="out"/>
        <c:minorTickMark val="none"/>
        <c:tickLblPos val="nextTo"/>
        <c:txPr>
          <a:bodyPr/>
          <a:lstStyle/>
          <a:p>
            <a:pPr>
              <a:defRPr sz="900"/>
            </a:pPr>
            <a:endParaRPr lang="tr-TR"/>
          </a:p>
        </c:txPr>
        <c:crossAx val="3981350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0.13734</cdr:x>
      <cdr:y>0.18151</cdr:y>
    </cdr:from>
    <cdr:to>
      <cdr:x>0.34127</cdr:x>
      <cdr:y>0.26332</cdr:y>
    </cdr:to>
    <cdr:sp macro="" textlink="">
      <cdr:nvSpPr>
        <cdr:cNvPr id="2" name="TextBox 1"/>
        <cdr:cNvSpPr txBox="1"/>
      </cdr:nvSpPr>
      <cdr:spPr>
        <a:xfrm xmlns:a="http://schemas.openxmlformats.org/drawingml/2006/main">
          <a:off x="792747" y="561311"/>
          <a:ext cx="1177115" cy="252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Türkiye 36,2</a:t>
          </a:r>
        </a:p>
        <a:p xmlns:a="http://schemas.openxmlformats.org/drawingml/2006/main">
          <a:endParaRPr lang="tr-TR" sz="110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E0BFB-938C-46C2-932A-3E34469F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1374</Words>
  <Characters>7834</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merve.akgul</cp:lastModifiedBy>
  <cp:revision>4</cp:revision>
  <cp:lastPrinted>2016-04-21T07:19:00Z</cp:lastPrinted>
  <dcterms:created xsi:type="dcterms:W3CDTF">2016-04-20T11:20:00Z</dcterms:created>
  <dcterms:modified xsi:type="dcterms:W3CDTF">2016-04-21T07:19:00Z</dcterms:modified>
</cp:coreProperties>
</file>