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B60" w:rsidRDefault="003B0B5A" w:rsidP="00AE0BBB">
      <w:pPr>
        <w:spacing w:line="288" w:lineRule="auto"/>
        <w:ind w:right="-319"/>
        <w:jc w:val="center"/>
        <w:rPr>
          <w:rFonts w:ascii="Arial" w:hAnsi="Arial" w:cs="Arial"/>
          <w:b/>
          <w:sz w:val="20"/>
          <w:szCs w:val="20"/>
        </w:rPr>
      </w:pPr>
      <w:r>
        <w:rPr>
          <w:rFonts w:ascii="Arial" w:hAnsi="Arial" w:cs="Arial"/>
          <w:b/>
          <w:noProof/>
          <w:sz w:val="20"/>
          <w:szCs w:val="20"/>
        </w:rPr>
        <mc:AlternateContent>
          <mc:Choice Requires="wps">
            <w:drawing>
              <wp:anchor distT="0" distB="0" distL="114935" distR="114935" simplePos="0" relativeHeight="251657216" behindDoc="0" locked="0" layoutInCell="1" allowOverlap="1">
                <wp:simplePos x="0" y="0"/>
                <wp:positionH relativeFrom="column">
                  <wp:posOffset>1817370</wp:posOffset>
                </wp:positionH>
                <wp:positionV relativeFrom="paragraph">
                  <wp:posOffset>34925</wp:posOffset>
                </wp:positionV>
                <wp:extent cx="3606165" cy="419735"/>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4197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9B7" w:rsidRPr="009060B6" w:rsidRDefault="002B57E2" w:rsidP="007750EF">
                            <w:pPr>
                              <w:pStyle w:val="Heading1"/>
                              <w:rPr>
                                <w:rFonts w:ascii="Times New Roman" w:hAnsi="Times New Roman"/>
                                <w:sz w:val="40"/>
                                <w:szCs w:val="40"/>
                              </w:rPr>
                            </w:pPr>
                            <w:r>
                              <w:rPr>
                                <w:rFonts w:ascii="Times New Roman" w:hAnsi="Times New Roman"/>
                                <w:sz w:val="40"/>
                                <w:szCs w:val="40"/>
                              </w:rPr>
                              <w:t xml:space="preserve">Büyüme Değerlendirmesi: 2015 </w:t>
                            </w:r>
                            <w:r w:rsidR="00E329B7" w:rsidRPr="00DC7DF8">
                              <w:rPr>
                                <w:rFonts w:ascii="Times New Roman" w:hAnsi="Times New Roman"/>
                                <w:sz w:val="40"/>
                                <w:szCs w:val="40"/>
                              </w:rPr>
                              <w:t xml:space="preserve"> </w:t>
                            </w:r>
                          </w:p>
                          <w:p w:rsidR="00E329B7" w:rsidRPr="00526178" w:rsidRDefault="00E329B7" w:rsidP="007750EF">
                            <w:pPr>
                              <w:pStyle w:val="Heading2"/>
                              <w:rPr>
                                <w:b w:val="0"/>
                                <w:i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43.1pt;margin-top:2.75pt;width:283.95pt;height:33.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cgjQIAAB0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" stroked="f">
                <v:fill opacity="0"/>
                <v:textbox inset="0,0,0,0">
                  <w:txbxContent>
                    <w:p w:rsidR="00E329B7" w:rsidRPr="009060B6" w:rsidRDefault="002B57E2" w:rsidP="007750EF">
                      <w:pPr>
                        <w:pStyle w:val="Heading1"/>
                        <w:rPr>
                          <w:rFonts w:ascii="Times New Roman" w:hAnsi="Times New Roman"/>
                          <w:sz w:val="40"/>
                          <w:szCs w:val="40"/>
                        </w:rPr>
                      </w:pPr>
                      <w:r>
                        <w:rPr>
                          <w:rFonts w:ascii="Times New Roman" w:hAnsi="Times New Roman"/>
                          <w:sz w:val="40"/>
                          <w:szCs w:val="40"/>
                        </w:rPr>
                        <w:t xml:space="preserve">Büyüme Değerlendirmesi: 2015 </w:t>
                      </w:r>
                      <w:r w:rsidR="00E329B7" w:rsidRPr="00DC7DF8">
                        <w:rPr>
                          <w:rFonts w:ascii="Times New Roman" w:hAnsi="Times New Roman"/>
                          <w:sz w:val="40"/>
                          <w:szCs w:val="40"/>
                        </w:rPr>
                        <w:t xml:space="preserve"> </w:t>
                      </w:r>
                    </w:p>
                    <w:p w:rsidR="00E329B7" w:rsidRPr="00526178" w:rsidRDefault="00E329B7" w:rsidP="007750EF">
                      <w:pPr>
                        <w:pStyle w:val="Heading2"/>
                        <w:rPr>
                          <w:b w:val="0"/>
                          <w:i w:val="0"/>
                        </w:rPr>
                      </w:pPr>
                    </w:p>
                  </w:txbxContent>
                </v:textbox>
              </v:shape>
            </w:pict>
          </mc:Fallback>
        </mc:AlternateContent>
      </w:r>
      <w:r w:rsidR="00E10719">
        <w:rPr>
          <w:rFonts w:ascii="Arial" w:hAnsi="Arial" w:cs="Arial"/>
          <w:b/>
          <w:noProof/>
          <w:sz w:val="20"/>
          <w:szCs w:val="20"/>
        </w:rPr>
        <w:drawing>
          <wp:anchor distT="0" distB="0" distL="114300" distR="114300" simplePos="0" relativeHeight="251656192" behindDoc="1" locked="0" layoutInCell="1" allowOverlap="1" wp14:anchorId="2FB4F234" wp14:editId="4BBC7B2C">
            <wp:simplePos x="0" y="0"/>
            <wp:positionH relativeFrom="column">
              <wp:posOffset>-800100</wp:posOffset>
            </wp:positionH>
            <wp:positionV relativeFrom="paragraph">
              <wp:posOffset>-228600</wp:posOffset>
            </wp:positionV>
            <wp:extent cx="7315200" cy="1330325"/>
            <wp:effectExtent l="19050" t="0" r="0" b="0"/>
            <wp:wrapNone/>
            <wp:docPr id="13"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cstate="print"/>
                    <a:srcRect/>
                    <a:stretch>
                      <a:fillRect/>
                    </a:stretch>
                  </pic:blipFill>
                  <pic:spPr bwMode="auto">
                    <a:xfrm>
                      <a:off x="0" y="0"/>
                      <a:ext cx="7315200" cy="1330325"/>
                    </a:xfrm>
                    <a:prstGeom prst="rect">
                      <a:avLst/>
                    </a:prstGeom>
                    <a:noFill/>
                    <a:ln w="9525">
                      <a:noFill/>
                      <a:miter lim="800000"/>
                      <a:headEnd/>
                      <a:tailEnd/>
                    </a:ln>
                  </pic:spPr>
                </pic:pic>
              </a:graphicData>
            </a:graphic>
          </wp:anchor>
        </w:drawing>
      </w:r>
    </w:p>
    <w:p w:rsidR="007750EF" w:rsidRDefault="007750EF" w:rsidP="00AE0BBB">
      <w:pPr>
        <w:spacing w:line="288" w:lineRule="auto"/>
        <w:ind w:right="-319"/>
        <w:jc w:val="center"/>
        <w:rPr>
          <w:rFonts w:ascii="Arial" w:hAnsi="Arial" w:cs="Arial"/>
          <w:b/>
          <w:sz w:val="20"/>
          <w:szCs w:val="20"/>
        </w:rPr>
      </w:pPr>
    </w:p>
    <w:p w:rsidR="007750EF" w:rsidRDefault="007750EF" w:rsidP="00AE0BBB">
      <w:pPr>
        <w:spacing w:line="288" w:lineRule="auto"/>
        <w:ind w:right="-319"/>
        <w:jc w:val="center"/>
        <w:rPr>
          <w:rFonts w:ascii="Arial" w:hAnsi="Arial" w:cs="Arial"/>
          <w:b/>
          <w:sz w:val="20"/>
          <w:szCs w:val="20"/>
        </w:rPr>
      </w:pPr>
    </w:p>
    <w:p w:rsidR="007750EF" w:rsidRDefault="003B0B5A" w:rsidP="00AE0BBB">
      <w:pPr>
        <w:spacing w:line="288" w:lineRule="auto"/>
        <w:ind w:right="-319"/>
        <w:jc w:val="center"/>
        <w:rPr>
          <w:rFonts w:ascii="Arial" w:hAnsi="Arial" w:cs="Arial"/>
          <w:b/>
          <w:sz w:val="20"/>
          <w:szCs w:val="20"/>
        </w:rPr>
      </w:pPr>
      <w:r>
        <w:rPr>
          <w:rFonts w:ascii="Arial" w:hAnsi="Arial" w:cs="Arial"/>
          <w:b/>
          <w:noProof/>
          <w:sz w:val="20"/>
          <w:szCs w:val="20"/>
        </w:rPr>
        <mc:AlternateContent>
          <mc:Choice Requires="wps">
            <w:drawing>
              <wp:anchor distT="0" distB="0" distL="114935" distR="114935" simplePos="0" relativeHeight="251658240" behindDoc="0" locked="0" layoutInCell="1" allowOverlap="1">
                <wp:simplePos x="0" y="0"/>
                <wp:positionH relativeFrom="column">
                  <wp:posOffset>5074285</wp:posOffset>
                </wp:positionH>
                <wp:positionV relativeFrom="paragraph">
                  <wp:posOffset>130175</wp:posOffset>
                </wp:positionV>
                <wp:extent cx="1711960" cy="45466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9B7" w:rsidRDefault="00E329B7" w:rsidP="007750EF">
                            <w:pPr>
                              <w:pStyle w:val="Heading3"/>
                              <w:rPr>
                                <w:color w:val="FFFFFF"/>
                                <w:sz w:val="22"/>
                                <w:szCs w:val="22"/>
                                <w:lang w:val="tr-TR"/>
                              </w:rPr>
                            </w:pPr>
                            <w:r>
                              <w:rPr>
                                <w:color w:val="FFFFFF"/>
                                <w:sz w:val="22"/>
                                <w:szCs w:val="22"/>
                              </w:rPr>
                              <w:t xml:space="preserve">           31 Mart 2016</w:t>
                            </w:r>
                          </w:p>
                          <w:p w:rsidR="00E329B7" w:rsidRDefault="00E329B7" w:rsidP="007750E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399.55pt;margin-top:10.25pt;width:134.8pt;height:35.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" stroked="f">
                <v:fill opacity="0"/>
                <v:textbox inset="0,0,0,0">
                  <w:txbxContent>
                    <w:p w:rsidR="00E329B7" w:rsidRDefault="00E329B7" w:rsidP="007750EF">
                      <w:pPr>
                        <w:pStyle w:val="Heading3"/>
                        <w:rPr>
                          <w:color w:val="FFFFFF"/>
                          <w:sz w:val="22"/>
                          <w:szCs w:val="22"/>
                          <w:lang w:val="tr-TR"/>
                        </w:rPr>
                      </w:pPr>
                      <w:r>
                        <w:rPr>
                          <w:color w:val="FFFFFF"/>
                          <w:sz w:val="22"/>
                          <w:szCs w:val="22"/>
                        </w:rPr>
                        <w:t xml:space="preserve">           31 Mart 2016</w:t>
                      </w:r>
                    </w:p>
                    <w:p w:rsidR="00E329B7" w:rsidRDefault="00E329B7" w:rsidP="007750EF"/>
                  </w:txbxContent>
                </v:textbox>
              </v:shape>
            </w:pict>
          </mc:Fallback>
        </mc:AlternateContent>
      </w:r>
    </w:p>
    <w:p w:rsidR="007750EF" w:rsidRPr="0015266B" w:rsidRDefault="007750EF" w:rsidP="00AE0BBB">
      <w:pPr>
        <w:spacing w:line="288" w:lineRule="auto"/>
        <w:ind w:right="-319"/>
        <w:jc w:val="center"/>
        <w:rPr>
          <w:rFonts w:ascii="Arial" w:hAnsi="Arial" w:cs="Arial"/>
          <w:b/>
          <w:sz w:val="20"/>
          <w:szCs w:val="20"/>
        </w:rPr>
      </w:pPr>
    </w:p>
    <w:p w:rsidR="007750EF" w:rsidRDefault="007750EF" w:rsidP="00C805B9">
      <w:pPr>
        <w:spacing w:line="288" w:lineRule="auto"/>
        <w:ind w:right="-319"/>
        <w:jc w:val="center"/>
        <w:outlineLvl w:val="0"/>
        <w:rPr>
          <w:rFonts w:ascii="Arial" w:hAnsi="Arial" w:cs="Arial"/>
          <w:b/>
          <w:sz w:val="28"/>
          <w:szCs w:val="28"/>
        </w:rPr>
      </w:pPr>
    </w:p>
    <w:p w:rsidR="007750EF" w:rsidRPr="005171AD" w:rsidRDefault="007750EF" w:rsidP="007750EF">
      <w:pPr>
        <w:spacing w:line="288" w:lineRule="auto"/>
        <w:ind w:right="-319"/>
        <w:outlineLvl w:val="0"/>
        <w:rPr>
          <w:rFonts w:ascii="Arial" w:hAnsi="Arial" w:cs="Arial"/>
          <w:b/>
          <w:sz w:val="28"/>
          <w:szCs w:val="28"/>
        </w:rPr>
      </w:pPr>
    </w:p>
    <w:p w:rsidR="00806083" w:rsidRPr="00806083" w:rsidRDefault="002028B0" w:rsidP="00806083">
      <w:pPr>
        <w:pStyle w:val="NormalWeb"/>
        <w:spacing w:before="0" w:beforeAutospacing="0" w:after="0" w:afterAutospacing="0" w:line="300" w:lineRule="atLeast"/>
        <w:jc w:val="center"/>
        <w:rPr>
          <w:rFonts w:ascii="Arial" w:hAnsi="Arial" w:cs="Arial"/>
          <w:b/>
          <w:sz w:val="32"/>
          <w:szCs w:val="32"/>
        </w:rPr>
      </w:pPr>
      <w:r w:rsidRPr="00DC7DF8">
        <w:rPr>
          <w:rFonts w:ascii="Arial" w:hAnsi="Arial" w:cs="Arial"/>
          <w:b/>
          <w:sz w:val="32"/>
          <w:szCs w:val="32"/>
        </w:rPr>
        <w:t>2015’TE İÇ TALEP BÜYÜMEYİ</w:t>
      </w:r>
      <w:r>
        <w:rPr>
          <w:rFonts w:ascii="Arial" w:hAnsi="Arial" w:cs="Arial"/>
          <w:b/>
          <w:sz w:val="32"/>
          <w:szCs w:val="32"/>
        </w:rPr>
        <w:t xml:space="preserve"> SIRTLADI</w:t>
      </w:r>
    </w:p>
    <w:p w:rsidR="00AD49B2" w:rsidRDefault="00AD49B2" w:rsidP="00C805B9">
      <w:pPr>
        <w:spacing w:line="288" w:lineRule="auto"/>
        <w:ind w:right="-319"/>
        <w:jc w:val="center"/>
        <w:outlineLvl w:val="0"/>
        <w:rPr>
          <w:rFonts w:ascii="Arial" w:hAnsi="Arial" w:cs="Arial"/>
          <w:b/>
          <w:sz w:val="22"/>
          <w:szCs w:val="22"/>
        </w:rPr>
      </w:pPr>
    </w:p>
    <w:p w:rsidR="005C0522" w:rsidRDefault="005C0522" w:rsidP="00C805B9">
      <w:pPr>
        <w:spacing w:line="288" w:lineRule="auto"/>
        <w:ind w:right="-319"/>
        <w:jc w:val="center"/>
        <w:outlineLvl w:val="0"/>
        <w:rPr>
          <w:rFonts w:ascii="Arial" w:hAnsi="Arial" w:cs="Arial"/>
          <w:b/>
          <w:sz w:val="22"/>
          <w:szCs w:val="22"/>
        </w:rPr>
      </w:pPr>
    </w:p>
    <w:p w:rsidR="00263EF1" w:rsidRPr="002028B0" w:rsidRDefault="00263EF1" w:rsidP="00263EF1">
      <w:pPr>
        <w:spacing w:line="288" w:lineRule="auto"/>
        <w:ind w:right="-319"/>
        <w:jc w:val="center"/>
        <w:outlineLvl w:val="0"/>
        <w:rPr>
          <w:rFonts w:ascii="Arial" w:hAnsi="Arial" w:cs="Arial"/>
          <w:b/>
          <w:bCs/>
          <w:sz w:val="22"/>
          <w:szCs w:val="22"/>
        </w:rPr>
      </w:pPr>
      <w:r w:rsidRPr="002028B0">
        <w:rPr>
          <w:rFonts w:ascii="Arial" w:hAnsi="Arial" w:cs="Arial"/>
          <w:b/>
          <w:bCs/>
          <w:sz w:val="22"/>
          <w:szCs w:val="22"/>
        </w:rPr>
        <w:t>Seyfettin Gürsel</w:t>
      </w:r>
      <w:r w:rsidRPr="002028B0">
        <w:rPr>
          <w:rFonts w:ascii="Arial" w:hAnsi="Arial" w:cs="Arial"/>
          <w:b/>
          <w:bCs/>
          <w:sz w:val="22"/>
          <w:szCs w:val="22"/>
          <w:vertAlign w:val="superscript"/>
        </w:rPr>
        <w:t xml:space="preserve">• </w:t>
      </w:r>
      <w:r w:rsidRPr="002028B0">
        <w:rPr>
          <w:rFonts w:ascii="Arial" w:hAnsi="Arial" w:cs="Arial"/>
          <w:b/>
          <w:bCs/>
          <w:sz w:val="22"/>
          <w:szCs w:val="22"/>
        </w:rPr>
        <w:t>, Mine Durmaz</w:t>
      </w:r>
      <w:r w:rsidRPr="002028B0">
        <w:rPr>
          <w:rFonts w:ascii="Arial" w:hAnsi="Arial" w:cs="Arial"/>
          <w:b/>
          <w:bCs/>
          <w:sz w:val="22"/>
          <w:szCs w:val="22"/>
          <w:vertAlign w:val="superscript"/>
        </w:rPr>
        <w:t xml:space="preserve">‡ </w:t>
      </w:r>
      <w:r w:rsidRPr="002028B0">
        <w:rPr>
          <w:rFonts w:ascii="Arial" w:hAnsi="Arial" w:cs="Arial"/>
          <w:b/>
          <w:bCs/>
          <w:sz w:val="22"/>
          <w:szCs w:val="22"/>
        </w:rPr>
        <w:t>ve Melike Kökkızıl</w:t>
      </w:r>
      <w:r w:rsidRPr="002028B0">
        <w:rPr>
          <w:rFonts w:ascii="Arial" w:hAnsi="Arial" w:cs="Arial"/>
          <w:b/>
          <w:bCs/>
          <w:sz w:val="22"/>
          <w:szCs w:val="22"/>
          <w:vertAlign w:val="superscript"/>
        </w:rPr>
        <w:t>†</w:t>
      </w:r>
    </w:p>
    <w:p w:rsidR="00B00EBD" w:rsidRDefault="00B00EBD" w:rsidP="00AE0BBB">
      <w:pPr>
        <w:spacing w:line="288" w:lineRule="auto"/>
        <w:ind w:right="-318"/>
        <w:jc w:val="both"/>
        <w:rPr>
          <w:rFonts w:ascii="Arial" w:hAnsi="Arial" w:cs="Arial"/>
          <w:b/>
          <w:sz w:val="20"/>
          <w:szCs w:val="20"/>
        </w:rPr>
      </w:pPr>
    </w:p>
    <w:p w:rsidR="00AD49B2" w:rsidRDefault="00AD49B2" w:rsidP="00DC7DF8">
      <w:pPr>
        <w:spacing w:line="360" w:lineRule="auto"/>
        <w:ind w:right="-318"/>
        <w:jc w:val="both"/>
        <w:rPr>
          <w:rFonts w:ascii="Arial" w:hAnsi="Arial" w:cs="Arial"/>
          <w:b/>
          <w:sz w:val="20"/>
          <w:szCs w:val="20"/>
        </w:rPr>
      </w:pPr>
      <w:bookmarkStart w:id="0" w:name="_GoBack"/>
    </w:p>
    <w:p w:rsidR="00AD49B2" w:rsidRPr="0015266B" w:rsidRDefault="00AD49B2" w:rsidP="00DC7DF8">
      <w:pPr>
        <w:spacing w:line="360" w:lineRule="auto"/>
        <w:ind w:right="-318"/>
        <w:jc w:val="both"/>
        <w:rPr>
          <w:rFonts w:ascii="Arial" w:hAnsi="Arial" w:cs="Arial"/>
          <w:b/>
          <w:sz w:val="20"/>
          <w:szCs w:val="20"/>
        </w:rPr>
        <w:sectPr w:rsidR="00AD49B2" w:rsidRPr="0015266B" w:rsidSect="007750EF">
          <w:footerReference w:type="even" r:id="rId10"/>
          <w:footerReference w:type="default" r:id="rId11"/>
          <w:footnotePr>
            <w:numFmt w:val="chicago"/>
          </w:footnotePr>
          <w:pgSz w:w="11906" w:h="16838"/>
          <w:pgMar w:top="719" w:right="1417" w:bottom="1417" w:left="1417" w:header="708" w:footer="708" w:gutter="0"/>
          <w:cols w:space="709"/>
          <w:docGrid w:linePitch="360"/>
        </w:sectPr>
      </w:pPr>
    </w:p>
    <w:bookmarkEnd w:id="0"/>
    <w:p w:rsidR="00B213B6" w:rsidRPr="001D6E63" w:rsidRDefault="00B213B6" w:rsidP="00DC7DF8">
      <w:pPr>
        <w:pStyle w:val="NormalWeb"/>
        <w:spacing w:before="0" w:beforeAutospacing="0" w:after="0" w:afterAutospacing="0" w:line="360" w:lineRule="auto"/>
        <w:jc w:val="center"/>
        <w:rPr>
          <w:rFonts w:ascii="Arial" w:hAnsi="Arial" w:cs="Arial"/>
          <w:b/>
          <w:sz w:val="22"/>
          <w:szCs w:val="22"/>
        </w:rPr>
      </w:pPr>
      <w:r w:rsidRPr="001D6E63">
        <w:rPr>
          <w:rFonts w:ascii="Arial" w:hAnsi="Arial" w:cs="Arial"/>
          <w:b/>
          <w:sz w:val="22"/>
          <w:szCs w:val="22"/>
        </w:rPr>
        <w:lastRenderedPageBreak/>
        <w:t>Yönetici Özeti</w:t>
      </w:r>
    </w:p>
    <w:p w:rsidR="00F428BE" w:rsidRDefault="00F428BE" w:rsidP="00DC7DF8">
      <w:pPr>
        <w:pStyle w:val="NormalWeb"/>
        <w:spacing w:before="0" w:beforeAutospacing="0" w:after="0" w:afterAutospacing="0" w:line="360" w:lineRule="auto"/>
        <w:jc w:val="both"/>
        <w:rPr>
          <w:sz w:val="22"/>
          <w:szCs w:val="22"/>
          <w:highlight w:val="yellow"/>
        </w:rPr>
      </w:pPr>
    </w:p>
    <w:p w:rsidR="001D6E63" w:rsidRPr="002028B0" w:rsidRDefault="001D6E63" w:rsidP="00DC7DF8">
      <w:pPr>
        <w:pStyle w:val="NormalWeb"/>
        <w:spacing w:before="0" w:beforeAutospacing="0" w:after="0" w:afterAutospacing="0" w:line="276" w:lineRule="auto"/>
        <w:jc w:val="both"/>
        <w:rPr>
          <w:rFonts w:ascii="Arial" w:hAnsi="Arial" w:cs="Arial"/>
          <w:sz w:val="20"/>
          <w:szCs w:val="20"/>
        </w:rPr>
      </w:pPr>
      <w:r w:rsidRPr="002028B0">
        <w:rPr>
          <w:rFonts w:ascii="Arial" w:hAnsi="Arial" w:cs="Arial"/>
          <w:sz w:val="20"/>
          <w:szCs w:val="20"/>
        </w:rPr>
        <w:t xml:space="preserve">Türkiye ekonomisi </w:t>
      </w:r>
      <w:r w:rsidR="00E329B7" w:rsidRPr="002028B0">
        <w:rPr>
          <w:rFonts w:ascii="Arial" w:hAnsi="Arial" w:cs="Arial"/>
          <w:sz w:val="20"/>
          <w:szCs w:val="20"/>
        </w:rPr>
        <w:t xml:space="preserve">(GSYH) </w:t>
      </w:r>
      <w:r w:rsidRPr="002028B0">
        <w:rPr>
          <w:rFonts w:ascii="Arial" w:hAnsi="Arial" w:cs="Arial"/>
          <w:sz w:val="20"/>
          <w:szCs w:val="20"/>
        </w:rPr>
        <w:t xml:space="preserve">2015 yılında </w:t>
      </w:r>
      <w:r w:rsidR="006E1C9F" w:rsidRPr="002028B0">
        <w:rPr>
          <w:rFonts w:ascii="Arial" w:hAnsi="Arial" w:cs="Arial"/>
          <w:sz w:val="20"/>
          <w:szCs w:val="20"/>
        </w:rPr>
        <w:t xml:space="preserve">Betam tahmini doğrultusunda </w:t>
      </w:r>
      <w:r w:rsidRPr="002028B0">
        <w:rPr>
          <w:rFonts w:ascii="Arial" w:hAnsi="Arial" w:cs="Arial"/>
          <w:sz w:val="20"/>
          <w:szCs w:val="20"/>
        </w:rPr>
        <w:t>yüzde 4 büyüdü. 2014 yılında gerçekleşen yüzde 2,9’luk büyümenin ardından nispeten yüksek bir büyüme söz konusu. Ayrıca Orta Vadeli Programda öngörülen büyüme oranı ile de tutarlı. Ancak Orta Vadeli Programda “dengeli” büyüme (özel tüketim ılımlı artarken net ihracatın büyümeye pozitif katkı yapması) beklenirken büyüme dengesiz oldu. Büyümeye en büyük katkıyı (3 yüzde puan) yüzde 4,5 artan özel tüketim sağladı.</w:t>
      </w:r>
      <w:r w:rsidR="006E1C9F" w:rsidRPr="002028B0">
        <w:rPr>
          <w:rFonts w:ascii="Arial" w:hAnsi="Arial" w:cs="Arial"/>
          <w:sz w:val="20"/>
          <w:szCs w:val="20"/>
        </w:rPr>
        <w:t xml:space="preserve"> Büyümeye ikinci en büyük katkı kamu harcamalarından geldi. Yatırımlar dahil </w:t>
      </w:r>
      <w:r w:rsidR="00F8470C" w:rsidRPr="002028B0">
        <w:rPr>
          <w:rFonts w:ascii="Arial" w:hAnsi="Arial" w:cs="Arial"/>
          <w:sz w:val="20"/>
          <w:szCs w:val="20"/>
        </w:rPr>
        <w:t>k</w:t>
      </w:r>
      <w:r w:rsidR="006E1C9F" w:rsidRPr="002028B0">
        <w:rPr>
          <w:rFonts w:ascii="Arial" w:hAnsi="Arial" w:cs="Arial"/>
          <w:sz w:val="20"/>
          <w:szCs w:val="20"/>
        </w:rPr>
        <w:t xml:space="preserve">amu </w:t>
      </w:r>
      <w:r w:rsidR="00F8470C" w:rsidRPr="002028B0">
        <w:rPr>
          <w:rFonts w:ascii="Arial" w:hAnsi="Arial" w:cs="Arial"/>
          <w:sz w:val="20"/>
          <w:szCs w:val="20"/>
        </w:rPr>
        <w:t>harcamaları yüzde 7 arttı. Özel yatırım artışı ise yüzde 2,7 ile sınırlı kaldı. Buna karşılık n</w:t>
      </w:r>
      <w:r w:rsidR="006E1C9F" w:rsidRPr="002028B0">
        <w:rPr>
          <w:rFonts w:ascii="Arial" w:hAnsi="Arial" w:cs="Arial"/>
          <w:sz w:val="20"/>
          <w:szCs w:val="20"/>
        </w:rPr>
        <w:t xml:space="preserve">et ihracatın katkısı negatif oldu; ihracat yüzde 0,8 gerilerken ithalat artışı yüzde 0,3 oldu. </w:t>
      </w:r>
      <w:r w:rsidRPr="002028B0">
        <w:rPr>
          <w:rFonts w:ascii="Arial" w:hAnsi="Arial" w:cs="Arial"/>
          <w:sz w:val="20"/>
          <w:szCs w:val="20"/>
        </w:rPr>
        <w:t xml:space="preserve"> </w:t>
      </w:r>
    </w:p>
    <w:p w:rsidR="006F1199" w:rsidRPr="002028B0" w:rsidRDefault="006F1199" w:rsidP="00DC7DF8">
      <w:pPr>
        <w:pStyle w:val="NormalWeb"/>
        <w:spacing w:before="0" w:beforeAutospacing="0" w:after="0" w:afterAutospacing="0" w:line="276" w:lineRule="auto"/>
        <w:jc w:val="both"/>
        <w:rPr>
          <w:rFonts w:ascii="Arial" w:hAnsi="Arial" w:cs="Arial"/>
          <w:sz w:val="20"/>
          <w:szCs w:val="20"/>
        </w:rPr>
      </w:pPr>
    </w:p>
    <w:p w:rsidR="006F1199" w:rsidRPr="002028B0" w:rsidRDefault="006F432C" w:rsidP="00DC7DF8">
      <w:pPr>
        <w:pStyle w:val="NormalWeb"/>
        <w:spacing w:before="0" w:beforeAutospacing="0" w:after="0" w:afterAutospacing="0" w:line="276" w:lineRule="auto"/>
        <w:jc w:val="both"/>
        <w:rPr>
          <w:rFonts w:ascii="Arial" w:hAnsi="Arial" w:cs="Arial"/>
          <w:sz w:val="20"/>
          <w:szCs w:val="20"/>
        </w:rPr>
      </w:pPr>
      <w:r w:rsidRPr="002028B0">
        <w:rPr>
          <w:rFonts w:ascii="Arial" w:hAnsi="Arial" w:cs="Arial"/>
          <w:sz w:val="20"/>
          <w:szCs w:val="20"/>
        </w:rPr>
        <w:t>4. çeyrekte GSYH bir önceki çeyreğe göre yüzde 0,7 art</w:t>
      </w:r>
      <w:r w:rsidR="00576353" w:rsidRPr="002028B0">
        <w:rPr>
          <w:rFonts w:ascii="Arial" w:hAnsi="Arial" w:cs="Arial"/>
          <w:sz w:val="20"/>
          <w:szCs w:val="20"/>
        </w:rPr>
        <w:t xml:space="preserve">tı. Son Betam tahmini yüzde 0,8’di. </w:t>
      </w:r>
      <w:r w:rsidR="006F1199" w:rsidRPr="002028B0">
        <w:rPr>
          <w:rFonts w:ascii="Arial" w:hAnsi="Arial" w:cs="Arial"/>
          <w:sz w:val="20"/>
          <w:szCs w:val="20"/>
        </w:rPr>
        <w:t xml:space="preserve">4. çeyrekte büyümenin ana kaynağı </w:t>
      </w:r>
      <w:r w:rsidR="00576353" w:rsidRPr="002028B0">
        <w:rPr>
          <w:rFonts w:ascii="Arial" w:hAnsi="Arial" w:cs="Arial"/>
          <w:sz w:val="20"/>
          <w:szCs w:val="20"/>
        </w:rPr>
        <w:t xml:space="preserve">stok artışı oldu. Özel tüketim artışı çok sınırlı kalırken yatırımlarda belirgin bir canlanma görüldü. Kamu yatırımlarında ise seçim maratonunun ertesinde sert bir fren söz konusu. Buna karşılık net ihracatın katkısı ihracatın gerilemesi </w:t>
      </w:r>
      <w:r w:rsidR="002028B0" w:rsidRPr="002028B0">
        <w:rPr>
          <w:rFonts w:ascii="Arial" w:hAnsi="Arial" w:cs="Arial"/>
          <w:sz w:val="20"/>
          <w:szCs w:val="20"/>
        </w:rPr>
        <w:t xml:space="preserve">ve ithalatın </w:t>
      </w:r>
      <w:r w:rsidR="00576353" w:rsidRPr="002028B0">
        <w:rPr>
          <w:rFonts w:ascii="Arial" w:hAnsi="Arial" w:cs="Arial"/>
          <w:sz w:val="20"/>
          <w:szCs w:val="20"/>
        </w:rPr>
        <w:t>büyük çapta artması sonucu büyük çapta negatif</w:t>
      </w:r>
      <w:r w:rsidR="006F1199" w:rsidRPr="002028B0">
        <w:rPr>
          <w:rFonts w:ascii="Arial" w:hAnsi="Arial" w:cs="Arial"/>
          <w:sz w:val="20"/>
          <w:szCs w:val="20"/>
        </w:rPr>
        <w:t xml:space="preserve"> </w:t>
      </w:r>
      <w:r w:rsidR="002028B0" w:rsidRPr="002028B0">
        <w:rPr>
          <w:rFonts w:ascii="Arial" w:hAnsi="Arial" w:cs="Arial"/>
          <w:sz w:val="20"/>
          <w:szCs w:val="20"/>
        </w:rPr>
        <w:t>oldu (T</w:t>
      </w:r>
      <w:r w:rsidR="00576353" w:rsidRPr="002028B0">
        <w:rPr>
          <w:rFonts w:ascii="Arial" w:hAnsi="Arial" w:cs="Arial"/>
          <w:sz w:val="20"/>
          <w:szCs w:val="20"/>
        </w:rPr>
        <w:t xml:space="preserve">ablo 1). </w:t>
      </w:r>
    </w:p>
    <w:p w:rsidR="00A75D44" w:rsidRPr="002028B0" w:rsidRDefault="00A75D44" w:rsidP="002028B0">
      <w:pPr>
        <w:pStyle w:val="NormalWeb"/>
        <w:spacing w:before="0" w:beforeAutospacing="0" w:after="0" w:afterAutospacing="0" w:line="276" w:lineRule="auto"/>
        <w:jc w:val="both"/>
        <w:rPr>
          <w:rFonts w:ascii="Arial" w:hAnsi="Arial" w:cs="Arial"/>
          <w:sz w:val="20"/>
          <w:szCs w:val="20"/>
        </w:rPr>
      </w:pPr>
    </w:p>
    <w:p w:rsidR="002028B0" w:rsidRPr="002028B0" w:rsidRDefault="002028B0" w:rsidP="002028B0">
      <w:pPr>
        <w:pStyle w:val="NormalWeb"/>
        <w:spacing w:before="0" w:beforeAutospacing="0" w:after="0" w:afterAutospacing="0" w:line="276" w:lineRule="auto"/>
        <w:jc w:val="both"/>
        <w:rPr>
          <w:rFonts w:ascii="Arial" w:hAnsi="Arial" w:cs="Arial"/>
          <w:sz w:val="20"/>
          <w:szCs w:val="20"/>
        </w:rPr>
      </w:pPr>
    </w:p>
    <w:p w:rsidR="002028B0" w:rsidRDefault="002028B0" w:rsidP="002028B0">
      <w:pPr>
        <w:pStyle w:val="NormalWeb"/>
        <w:spacing w:before="0" w:beforeAutospacing="0" w:after="0" w:afterAutospacing="0" w:line="276" w:lineRule="auto"/>
        <w:jc w:val="both"/>
        <w:rPr>
          <w:rFonts w:ascii="Arial" w:hAnsi="Arial" w:cs="Arial"/>
          <w:sz w:val="22"/>
          <w:szCs w:val="22"/>
        </w:rPr>
      </w:pPr>
    </w:p>
    <w:p w:rsidR="002028B0" w:rsidRDefault="002028B0" w:rsidP="002028B0">
      <w:pPr>
        <w:pStyle w:val="NormalWeb"/>
        <w:spacing w:before="0" w:beforeAutospacing="0" w:after="0" w:afterAutospacing="0" w:line="276" w:lineRule="auto"/>
        <w:jc w:val="both"/>
        <w:rPr>
          <w:rFonts w:ascii="Arial" w:hAnsi="Arial" w:cs="Arial"/>
          <w:sz w:val="22"/>
          <w:szCs w:val="22"/>
        </w:rPr>
      </w:pPr>
    </w:p>
    <w:p w:rsidR="002028B0" w:rsidRPr="002028B0" w:rsidRDefault="002028B0" w:rsidP="002028B0">
      <w:pPr>
        <w:pStyle w:val="NormalWeb"/>
        <w:spacing w:before="0" w:beforeAutospacing="0" w:after="0" w:afterAutospacing="0" w:line="276" w:lineRule="auto"/>
        <w:jc w:val="both"/>
        <w:rPr>
          <w:rFonts w:ascii="Arial" w:hAnsi="Arial" w:cs="Arial"/>
          <w:sz w:val="22"/>
          <w:szCs w:val="22"/>
        </w:rPr>
      </w:pPr>
    </w:p>
    <w:p w:rsidR="009575C3" w:rsidRPr="00C335E9" w:rsidRDefault="003B0B5A" w:rsidP="009575C3">
      <w:pPr>
        <w:pStyle w:val="NormalWeb"/>
        <w:spacing w:before="0" w:beforeAutospacing="0" w:after="0" w:afterAutospacing="0"/>
        <w:jc w:val="both"/>
        <w:rPr>
          <w:sz w:val="22"/>
          <w:szCs w:val="22"/>
        </w:rPr>
      </w:pPr>
      <w:r>
        <w:rPr>
          <w:noProof/>
          <w:sz w:val="22"/>
          <w:szCs w:val="22"/>
        </w:rPr>
        <mc:AlternateContent>
          <mc:Choice Requires="wps">
            <w:drawing>
              <wp:anchor distT="4294967291" distB="4294967291" distL="114300" distR="114300" simplePos="0" relativeHeight="251659264" behindDoc="0" locked="0" layoutInCell="1" allowOverlap="1">
                <wp:simplePos x="0" y="0"/>
                <wp:positionH relativeFrom="column">
                  <wp:posOffset>-48895</wp:posOffset>
                </wp:positionH>
                <wp:positionV relativeFrom="paragraph">
                  <wp:posOffset>46354</wp:posOffset>
                </wp:positionV>
                <wp:extent cx="2971800" cy="0"/>
                <wp:effectExtent l="0" t="0" r="19050" b="19050"/>
                <wp:wrapNone/>
                <wp:docPr id="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5pt,3.65pt" to="230.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Eu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jaXrjCoio1M6G5OhZvZitpt8dUrpqiTrwSPH1YuBeFoqZvLkSNs7AA/v+s2YQQ45exzqd&#10;G9sFSKgAOkc5Lnc5+NkjCoeTxVM2T0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"/>
            </w:pict>
          </mc:Fallback>
        </mc:AlternateContent>
      </w:r>
    </w:p>
    <w:p w:rsidR="009575C3" w:rsidRPr="002028B0" w:rsidRDefault="009575C3" w:rsidP="009575C3">
      <w:pPr>
        <w:pStyle w:val="NormalWeb"/>
        <w:spacing w:before="0" w:beforeAutospacing="0" w:after="0" w:afterAutospacing="0"/>
        <w:jc w:val="both"/>
        <w:rPr>
          <w:sz w:val="16"/>
          <w:szCs w:val="16"/>
        </w:rPr>
      </w:pPr>
      <w:r w:rsidRPr="002028B0">
        <w:rPr>
          <w:sz w:val="20"/>
          <w:szCs w:val="20"/>
        </w:rPr>
        <w:t xml:space="preserve">* </w:t>
      </w:r>
      <w:r w:rsidRPr="002028B0">
        <w:rPr>
          <w:rFonts w:ascii="Arial" w:hAnsi="Arial" w:cs="Arial"/>
          <w:sz w:val="16"/>
          <w:szCs w:val="16"/>
        </w:rPr>
        <w:t>Prof. Dr. Seyfettin Gürsel, Betam, Direktör</w:t>
      </w:r>
    </w:p>
    <w:p w:rsidR="009575C3" w:rsidRPr="002028B0" w:rsidRDefault="00263EF1" w:rsidP="009575C3">
      <w:pPr>
        <w:spacing w:line="288" w:lineRule="auto"/>
        <w:ind w:right="-318"/>
        <w:jc w:val="both"/>
        <w:rPr>
          <w:rStyle w:val="Hyperlink"/>
        </w:rPr>
      </w:pPr>
      <w:r w:rsidRPr="002028B0">
        <w:rPr>
          <w:rFonts w:ascii="Arial" w:hAnsi="Arial" w:cs="Arial"/>
          <w:sz w:val="16"/>
          <w:szCs w:val="16"/>
        </w:rPr>
        <w:t xml:space="preserve">  </w:t>
      </w:r>
      <w:hyperlink r:id="rId12" w:history="1">
        <w:r w:rsidRPr="002028B0">
          <w:rPr>
            <w:rStyle w:val="Hyperlink"/>
            <w:rFonts w:ascii="Arial" w:hAnsi="Arial" w:cs="Arial"/>
            <w:sz w:val="16"/>
            <w:szCs w:val="16"/>
          </w:rPr>
          <w:t>s</w:t>
        </w:r>
        <w:r w:rsidR="009575C3" w:rsidRPr="002028B0">
          <w:rPr>
            <w:rStyle w:val="Hyperlink"/>
            <w:rFonts w:ascii="Arial" w:hAnsi="Arial" w:cs="Arial"/>
            <w:sz w:val="16"/>
            <w:szCs w:val="16"/>
          </w:rPr>
          <w:t>eyfettin.gursel@</w:t>
        </w:r>
        <w:r w:rsidRPr="002028B0">
          <w:rPr>
            <w:rStyle w:val="Hyperlink"/>
            <w:rFonts w:ascii="Arial" w:hAnsi="Arial" w:cs="Arial"/>
            <w:sz w:val="16"/>
            <w:szCs w:val="16"/>
          </w:rPr>
          <w:t>eas.</w:t>
        </w:r>
        <w:r w:rsidR="009575C3" w:rsidRPr="002028B0">
          <w:rPr>
            <w:rStyle w:val="Hyperlink"/>
            <w:rFonts w:ascii="Arial" w:hAnsi="Arial" w:cs="Arial"/>
            <w:sz w:val="16"/>
            <w:szCs w:val="16"/>
          </w:rPr>
          <w:t>bahcesehir.edu.tr</w:t>
        </w:r>
      </w:hyperlink>
    </w:p>
    <w:p w:rsidR="009575C3" w:rsidRPr="002028B0" w:rsidRDefault="00263EF1" w:rsidP="009575C3">
      <w:pPr>
        <w:spacing w:line="288" w:lineRule="auto"/>
        <w:ind w:right="-318"/>
        <w:jc w:val="both"/>
        <w:rPr>
          <w:rFonts w:ascii="Arial" w:hAnsi="Arial" w:cs="Arial"/>
          <w:sz w:val="16"/>
          <w:szCs w:val="16"/>
        </w:rPr>
      </w:pPr>
      <w:r w:rsidRPr="002028B0">
        <w:rPr>
          <w:rFonts w:ascii="Arial" w:hAnsi="Arial" w:cs="Arial"/>
          <w:sz w:val="16"/>
          <w:szCs w:val="16"/>
          <w:vertAlign w:val="superscript"/>
        </w:rPr>
        <w:t xml:space="preserve">‡ </w:t>
      </w:r>
      <w:r w:rsidRPr="002028B0">
        <w:rPr>
          <w:rFonts w:ascii="Arial" w:hAnsi="Arial" w:cs="Arial"/>
          <w:sz w:val="16"/>
          <w:szCs w:val="16"/>
        </w:rPr>
        <w:t>Mine Durmaz</w:t>
      </w:r>
      <w:r w:rsidR="009575C3" w:rsidRPr="002028B0">
        <w:rPr>
          <w:rFonts w:ascii="Arial" w:hAnsi="Arial" w:cs="Arial"/>
          <w:sz w:val="16"/>
          <w:szCs w:val="16"/>
        </w:rPr>
        <w:t xml:space="preserve">, Betam, </w:t>
      </w:r>
      <w:r w:rsidRPr="002028B0">
        <w:rPr>
          <w:rFonts w:ascii="Arial" w:hAnsi="Arial" w:cs="Arial"/>
          <w:sz w:val="16"/>
          <w:szCs w:val="16"/>
        </w:rPr>
        <w:t>Araştırma Görevlisi,</w:t>
      </w:r>
    </w:p>
    <w:p w:rsidR="009575C3" w:rsidRPr="002028B0" w:rsidRDefault="00263EF1" w:rsidP="009575C3">
      <w:pPr>
        <w:spacing w:line="288" w:lineRule="auto"/>
        <w:ind w:right="-318"/>
        <w:jc w:val="both"/>
        <w:rPr>
          <w:rStyle w:val="Hyperlink"/>
        </w:rPr>
      </w:pPr>
      <w:r w:rsidRPr="002028B0">
        <w:rPr>
          <w:rFonts w:ascii="Arial" w:hAnsi="Arial" w:cs="Arial"/>
          <w:sz w:val="16"/>
          <w:szCs w:val="16"/>
        </w:rPr>
        <w:t xml:space="preserve"> </w:t>
      </w:r>
      <w:hyperlink r:id="rId13" w:history="1">
        <w:r w:rsidRPr="002028B0">
          <w:rPr>
            <w:rStyle w:val="Hyperlink"/>
            <w:rFonts w:ascii="Arial" w:hAnsi="Arial" w:cs="Arial"/>
            <w:sz w:val="16"/>
            <w:szCs w:val="16"/>
          </w:rPr>
          <w:t>mine.durmaz</w:t>
        </w:r>
        <w:r w:rsidR="009575C3" w:rsidRPr="002028B0">
          <w:rPr>
            <w:rStyle w:val="Hyperlink"/>
            <w:rFonts w:ascii="Arial" w:hAnsi="Arial" w:cs="Arial"/>
            <w:sz w:val="16"/>
            <w:szCs w:val="16"/>
          </w:rPr>
          <w:t>@</w:t>
        </w:r>
        <w:r w:rsidRPr="002028B0">
          <w:rPr>
            <w:rStyle w:val="Hyperlink"/>
            <w:rFonts w:ascii="Arial" w:hAnsi="Arial" w:cs="Arial"/>
            <w:sz w:val="16"/>
            <w:szCs w:val="16"/>
          </w:rPr>
          <w:t>eas.</w:t>
        </w:r>
        <w:r w:rsidR="009575C3" w:rsidRPr="002028B0">
          <w:rPr>
            <w:rStyle w:val="Hyperlink"/>
            <w:rFonts w:ascii="Arial" w:hAnsi="Arial" w:cs="Arial"/>
            <w:sz w:val="16"/>
            <w:szCs w:val="16"/>
          </w:rPr>
          <w:t>bahcesehir.edu.tr</w:t>
        </w:r>
      </w:hyperlink>
    </w:p>
    <w:p w:rsidR="009575C3" w:rsidRPr="007041DF" w:rsidRDefault="00263EF1" w:rsidP="009575C3">
      <w:pPr>
        <w:spacing w:line="288" w:lineRule="auto"/>
        <w:ind w:right="-318"/>
        <w:jc w:val="both"/>
        <w:rPr>
          <w:rFonts w:ascii="Arial" w:hAnsi="Arial" w:cs="Arial"/>
          <w:sz w:val="16"/>
          <w:szCs w:val="16"/>
        </w:rPr>
      </w:pPr>
      <w:r w:rsidRPr="007041DF">
        <w:rPr>
          <w:rFonts w:ascii="Arial" w:hAnsi="Arial" w:cs="Arial"/>
          <w:sz w:val="16"/>
          <w:szCs w:val="16"/>
          <w:vertAlign w:val="superscript"/>
        </w:rPr>
        <w:t>†</w:t>
      </w:r>
      <w:r>
        <w:rPr>
          <w:rFonts w:ascii="Arial" w:hAnsi="Arial" w:cs="Arial"/>
          <w:sz w:val="16"/>
          <w:szCs w:val="16"/>
          <w:vertAlign w:val="superscript"/>
        </w:rPr>
        <w:t xml:space="preserve"> </w:t>
      </w:r>
      <w:r>
        <w:rPr>
          <w:rFonts w:ascii="Arial" w:hAnsi="Arial" w:cs="Arial"/>
          <w:sz w:val="16"/>
          <w:szCs w:val="16"/>
        </w:rPr>
        <w:t>Melike Kökkızıl</w:t>
      </w:r>
      <w:r w:rsidR="009575C3" w:rsidRPr="007041DF">
        <w:rPr>
          <w:rFonts w:ascii="Arial" w:hAnsi="Arial" w:cs="Arial"/>
          <w:sz w:val="16"/>
          <w:szCs w:val="16"/>
        </w:rPr>
        <w:t>, Betam, Araştırma Görevlisi</w:t>
      </w:r>
    </w:p>
    <w:p w:rsidR="009575C3" w:rsidRPr="007041DF" w:rsidRDefault="00A75D44" w:rsidP="009575C3">
      <w:pPr>
        <w:spacing w:line="288" w:lineRule="auto"/>
        <w:ind w:right="-318"/>
        <w:jc w:val="both"/>
        <w:rPr>
          <w:rFonts w:ascii="Arial" w:hAnsi="Arial" w:cs="Arial"/>
          <w:b/>
          <w:sz w:val="16"/>
          <w:szCs w:val="16"/>
        </w:rPr>
      </w:pPr>
      <w:r>
        <w:rPr>
          <w:rFonts w:ascii="Arial" w:hAnsi="Arial" w:cs="Arial"/>
          <w:sz w:val="16"/>
          <w:szCs w:val="16"/>
        </w:rPr>
        <w:t xml:space="preserve">  </w:t>
      </w:r>
      <w:hyperlink r:id="rId14" w:history="1">
        <w:r w:rsidR="00263EF1" w:rsidRPr="00263EF1">
          <w:rPr>
            <w:rStyle w:val="Hyperlink"/>
            <w:rFonts w:ascii="Arial" w:hAnsi="Arial" w:cs="Arial"/>
            <w:sz w:val="16"/>
            <w:szCs w:val="16"/>
          </w:rPr>
          <w:t>melike.kokkizil</w:t>
        </w:r>
        <w:r w:rsidR="009575C3" w:rsidRPr="00263EF1">
          <w:rPr>
            <w:rStyle w:val="Hyperlink"/>
            <w:rFonts w:ascii="Arial" w:hAnsi="Arial" w:cs="Arial"/>
            <w:sz w:val="16"/>
            <w:szCs w:val="16"/>
          </w:rPr>
          <w:t>@</w:t>
        </w:r>
        <w:r w:rsidR="00263EF1" w:rsidRPr="00263EF1">
          <w:rPr>
            <w:rStyle w:val="Hyperlink"/>
            <w:rFonts w:ascii="Arial" w:hAnsi="Arial" w:cs="Arial"/>
            <w:sz w:val="16"/>
            <w:szCs w:val="16"/>
          </w:rPr>
          <w:t>eas.</w:t>
        </w:r>
        <w:r w:rsidR="009575C3" w:rsidRPr="00263EF1">
          <w:rPr>
            <w:rStyle w:val="Hyperlink"/>
            <w:rFonts w:ascii="Arial" w:hAnsi="Arial" w:cs="Arial"/>
            <w:sz w:val="16"/>
            <w:szCs w:val="16"/>
          </w:rPr>
          <w:t>bahcesehir.edu.tr</w:t>
        </w:r>
      </w:hyperlink>
    </w:p>
    <w:p w:rsidR="00A75D44" w:rsidRDefault="00A75D44" w:rsidP="00C335E9">
      <w:pPr>
        <w:spacing w:line="288" w:lineRule="auto"/>
        <w:ind w:right="77"/>
        <w:jc w:val="both"/>
        <w:rPr>
          <w:rFonts w:ascii="Arial" w:hAnsi="Arial" w:cs="Arial"/>
          <w:b/>
          <w:sz w:val="20"/>
          <w:szCs w:val="20"/>
        </w:rPr>
      </w:pPr>
    </w:p>
    <w:p w:rsidR="00915B9C" w:rsidRDefault="00915B9C" w:rsidP="00C335E9">
      <w:pPr>
        <w:spacing w:line="288" w:lineRule="auto"/>
        <w:ind w:right="77"/>
        <w:jc w:val="both"/>
        <w:rPr>
          <w:rFonts w:ascii="Arial" w:hAnsi="Arial" w:cs="Arial"/>
          <w:b/>
          <w:sz w:val="20"/>
          <w:szCs w:val="20"/>
        </w:rPr>
      </w:pPr>
    </w:p>
    <w:p w:rsidR="00C335E9" w:rsidRPr="00F428BE" w:rsidRDefault="00C335E9" w:rsidP="00C335E9">
      <w:pPr>
        <w:spacing w:line="288" w:lineRule="auto"/>
        <w:ind w:right="77"/>
        <w:jc w:val="both"/>
        <w:rPr>
          <w:rFonts w:ascii="Arial" w:hAnsi="Arial" w:cs="Arial"/>
          <w:b/>
          <w:sz w:val="20"/>
          <w:szCs w:val="20"/>
        </w:rPr>
      </w:pPr>
      <w:r w:rsidRPr="00F428BE">
        <w:rPr>
          <w:rFonts w:ascii="Arial" w:hAnsi="Arial" w:cs="Arial"/>
          <w:b/>
          <w:sz w:val="20"/>
          <w:szCs w:val="20"/>
        </w:rPr>
        <w:t xml:space="preserve">Şekil 1: GSYH alt kalemlerinin </w:t>
      </w:r>
      <w:r w:rsidR="00A75D44">
        <w:rPr>
          <w:rFonts w:ascii="Arial" w:hAnsi="Arial" w:cs="Arial"/>
          <w:b/>
          <w:sz w:val="20"/>
          <w:szCs w:val="20"/>
        </w:rPr>
        <w:t>yıllık (201</w:t>
      </w:r>
      <w:r w:rsidR="00263EF1">
        <w:rPr>
          <w:rFonts w:ascii="Arial" w:hAnsi="Arial" w:cs="Arial"/>
          <w:b/>
          <w:sz w:val="20"/>
          <w:szCs w:val="20"/>
        </w:rPr>
        <w:t>4</w:t>
      </w:r>
      <w:r w:rsidR="00A75D44">
        <w:rPr>
          <w:rFonts w:ascii="Arial" w:hAnsi="Arial" w:cs="Arial"/>
          <w:b/>
          <w:sz w:val="20"/>
          <w:szCs w:val="20"/>
        </w:rPr>
        <w:t xml:space="preserve"> yılından 201</w:t>
      </w:r>
      <w:r w:rsidR="00263EF1">
        <w:rPr>
          <w:rFonts w:ascii="Arial" w:hAnsi="Arial" w:cs="Arial"/>
          <w:b/>
          <w:sz w:val="20"/>
          <w:szCs w:val="20"/>
        </w:rPr>
        <w:t>5</w:t>
      </w:r>
      <w:r w:rsidR="00A75D44">
        <w:rPr>
          <w:rFonts w:ascii="Arial" w:hAnsi="Arial" w:cs="Arial"/>
          <w:b/>
          <w:sz w:val="20"/>
          <w:szCs w:val="20"/>
        </w:rPr>
        <w:t xml:space="preserve"> yılına)</w:t>
      </w:r>
      <w:r w:rsidR="007868A5">
        <w:rPr>
          <w:rFonts w:ascii="Arial" w:hAnsi="Arial" w:cs="Arial"/>
          <w:b/>
          <w:sz w:val="20"/>
          <w:szCs w:val="20"/>
        </w:rPr>
        <w:t xml:space="preserve"> </w:t>
      </w:r>
      <w:r w:rsidRPr="00F428BE">
        <w:rPr>
          <w:rFonts w:ascii="Arial" w:hAnsi="Arial" w:cs="Arial"/>
          <w:b/>
          <w:sz w:val="20"/>
          <w:szCs w:val="20"/>
        </w:rPr>
        <w:t>değişim</w:t>
      </w:r>
      <w:r w:rsidR="007868A5">
        <w:rPr>
          <w:rFonts w:ascii="Arial" w:hAnsi="Arial" w:cs="Arial"/>
          <w:b/>
          <w:sz w:val="20"/>
          <w:szCs w:val="20"/>
        </w:rPr>
        <w:t>ler</w:t>
      </w:r>
      <w:r w:rsidRPr="00F428BE">
        <w:rPr>
          <w:rFonts w:ascii="Arial" w:hAnsi="Arial" w:cs="Arial"/>
          <w:b/>
          <w:sz w:val="20"/>
          <w:szCs w:val="20"/>
        </w:rPr>
        <w:t>i</w:t>
      </w:r>
    </w:p>
    <w:p w:rsidR="00C335E9" w:rsidRPr="00A75D44" w:rsidRDefault="00263EF1" w:rsidP="00C335E9">
      <w:pPr>
        <w:spacing w:line="288" w:lineRule="auto"/>
        <w:ind w:right="77"/>
        <w:jc w:val="both"/>
        <w:rPr>
          <w:rFonts w:ascii="Arial" w:hAnsi="Arial" w:cs="Arial"/>
          <w:sz w:val="20"/>
          <w:szCs w:val="20"/>
        </w:rPr>
      </w:pPr>
      <w:r w:rsidRPr="00263EF1">
        <w:rPr>
          <w:noProof/>
          <w:szCs w:val="20"/>
        </w:rPr>
        <w:drawing>
          <wp:inline distT="0" distB="0" distL="0" distR="0">
            <wp:extent cx="3020695" cy="1898992"/>
            <wp:effectExtent l="19050" t="0" r="825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020695" cy="1898992"/>
                    </a:xfrm>
                    <a:prstGeom prst="rect">
                      <a:avLst/>
                    </a:prstGeom>
                    <a:noFill/>
                    <a:ln w="9525">
                      <a:noFill/>
                      <a:miter lim="800000"/>
                      <a:headEnd/>
                      <a:tailEnd/>
                    </a:ln>
                  </pic:spPr>
                </pic:pic>
              </a:graphicData>
            </a:graphic>
          </wp:inline>
        </w:drawing>
      </w:r>
    </w:p>
    <w:p w:rsidR="00C335E9" w:rsidRPr="005B3336" w:rsidRDefault="0024217A" w:rsidP="00C335E9">
      <w:pPr>
        <w:spacing w:line="288" w:lineRule="auto"/>
        <w:ind w:right="77"/>
        <w:jc w:val="both"/>
        <w:rPr>
          <w:rFonts w:ascii="Arial" w:hAnsi="Arial" w:cs="Arial"/>
          <w:sz w:val="16"/>
          <w:szCs w:val="16"/>
        </w:rPr>
      </w:pPr>
      <w:r>
        <w:rPr>
          <w:rFonts w:ascii="Arial" w:hAnsi="Arial" w:cs="Arial"/>
          <w:sz w:val="16"/>
          <w:szCs w:val="16"/>
        </w:rPr>
        <w:t>Kaynak : TÜİK.</w:t>
      </w:r>
    </w:p>
    <w:p w:rsidR="00726749" w:rsidRDefault="00726749" w:rsidP="00726749">
      <w:pPr>
        <w:spacing w:line="288" w:lineRule="auto"/>
        <w:ind w:right="77"/>
        <w:jc w:val="both"/>
        <w:rPr>
          <w:rFonts w:ascii="Arial" w:hAnsi="Arial" w:cs="Arial"/>
          <w:b/>
          <w:sz w:val="20"/>
          <w:szCs w:val="20"/>
        </w:rPr>
      </w:pPr>
    </w:p>
    <w:p w:rsidR="005C0522" w:rsidRDefault="005C0522" w:rsidP="00726749">
      <w:pPr>
        <w:spacing w:line="288" w:lineRule="auto"/>
        <w:ind w:right="77"/>
        <w:jc w:val="both"/>
        <w:rPr>
          <w:rFonts w:ascii="Arial" w:hAnsi="Arial" w:cs="Arial"/>
          <w:b/>
          <w:sz w:val="20"/>
          <w:szCs w:val="20"/>
        </w:rPr>
      </w:pPr>
    </w:p>
    <w:p w:rsidR="00726749" w:rsidRPr="00700658" w:rsidRDefault="00726749" w:rsidP="00726749">
      <w:pPr>
        <w:spacing w:line="288" w:lineRule="auto"/>
        <w:ind w:right="77"/>
        <w:jc w:val="both"/>
        <w:rPr>
          <w:rFonts w:ascii="Arial" w:hAnsi="Arial" w:cs="Arial"/>
          <w:b/>
          <w:sz w:val="20"/>
          <w:szCs w:val="20"/>
        </w:rPr>
      </w:pPr>
      <w:r>
        <w:rPr>
          <w:rFonts w:ascii="Arial" w:hAnsi="Arial" w:cs="Arial"/>
          <w:b/>
          <w:sz w:val="20"/>
          <w:szCs w:val="20"/>
        </w:rPr>
        <w:t>Şekil 2</w:t>
      </w:r>
      <w:r w:rsidRPr="00700658">
        <w:rPr>
          <w:rFonts w:ascii="Arial" w:hAnsi="Arial" w:cs="Arial"/>
          <w:b/>
          <w:sz w:val="20"/>
          <w:szCs w:val="20"/>
        </w:rPr>
        <w:t xml:space="preserve">: </w:t>
      </w:r>
      <w:r>
        <w:rPr>
          <w:rFonts w:ascii="Arial" w:hAnsi="Arial" w:cs="Arial"/>
          <w:b/>
          <w:sz w:val="20"/>
          <w:szCs w:val="20"/>
        </w:rPr>
        <w:t>Alt k</w:t>
      </w:r>
      <w:r w:rsidRPr="00700658">
        <w:rPr>
          <w:rFonts w:ascii="Arial" w:hAnsi="Arial" w:cs="Arial"/>
          <w:b/>
          <w:sz w:val="20"/>
          <w:szCs w:val="20"/>
        </w:rPr>
        <w:t>alemlerine</w:t>
      </w:r>
      <w:r>
        <w:rPr>
          <w:rFonts w:ascii="Arial" w:hAnsi="Arial" w:cs="Arial"/>
          <w:b/>
          <w:sz w:val="20"/>
          <w:szCs w:val="20"/>
        </w:rPr>
        <w:t xml:space="preserve"> göre </w:t>
      </w:r>
      <w:r w:rsidR="00A75D44">
        <w:rPr>
          <w:rFonts w:ascii="Arial" w:hAnsi="Arial" w:cs="Arial"/>
          <w:b/>
          <w:sz w:val="20"/>
          <w:szCs w:val="20"/>
        </w:rPr>
        <w:t>201</w:t>
      </w:r>
      <w:r w:rsidR="00263EF1">
        <w:rPr>
          <w:rFonts w:ascii="Arial" w:hAnsi="Arial" w:cs="Arial"/>
          <w:b/>
          <w:sz w:val="20"/>
          <w:szCs w:val="20"/>
        </w:rPr>
        <w:t>5</w:t>
      </w:r>
      <w:r w:rsidR="007868A5">
        <w:rPr>
          <w:rFonts w:ascii="Arial" w:hAnsi="Arial" w:cs="Arial"/>
          <w:b/>
          <w:sz w:val="20"/>
          <w:szCs w:val="20"/>
        </w:rPr>
        <w:t xml:space="preserve"> yılı büyümesine katkılar</w:t>
      </w:r>
    </w:p>
    <w:p w:rsidR="00726749" w:rsidRPr="00A75D44" w:rsidRDefault="00263EF1" w:rsidP="00726749">
      <w:pPr>
        <w:spacing w:line="288" w:lineRule="auto"/>
        <w:ind w:right="77"/>
        <w:jc w:val="both"/>
        <w:rPr>
          <w:rFonts w:ascii="Arial" w:hAnsi="Arial" w:cs="Arial"/>
          <w:sz w:val="20"/>
          <w:szCs w:val="20"/>
        </w:rPr>
      </w:pPr>
      <w:r w:rsidRPr="00263EF1">
        <w:rPr>
          <w:noProof/>
          <w:szCs w:val="20"/>
        </w:rPr>
        <w:drawing>
          <wp:inline distT="0" distB="0" distL="0" distR="0">
            <wp:extent cx="3020695" cy="2114838"/>
            <wp:effectExtent l="19050" t="0" r="825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3020695" cy="2114838"/>
                    </a:xfrm>
                    <a:prstGeom prst="rect">
                      <a:avLst/>
                    </a:prstGeom>
                    <a:noFill/>
                    <a:ln w="9525">
                      <a:noFill/>
                      <a:miter lim="800000"/>
                      <a:headEnd/>
                      <a:tailEnd/>
                    </a:ln>
                  </pic:spPr>
                </pic:pic>
              </a:graphicData>
            </a:graphic>
          </wp:inline>
        </w:drawing>
      </w:r>
    </w:p>
    <w:p w:rsidR="00C402A3" w:rsidRPr="005B3336" w:rsidRDefault="002028B0" w:rsidP="00633C51">
      <w:pPr>
        <w:spacing w:line="288" w:lineRule="auto"/>
        <w:ind w:right="77"/>
        <w:jc w:val="both"/>
        <w:rPr>
          <w:rFonts w:ascii="Arial" w:hAnsi="Arial" w:cs="Arial"/>
          <w:sz w:val="16"/>
          <w:szCs w:val="16"/>
        </w:rPr>
      </w:pPr>
      <w:r>
        <w:rPr>
          <w:rFonts w:ascii="Arial" w:hAnsi="Arial" w:cs="Arial"/>
          <w:sz w:val="16"/>
          <w:szCs w:val="16"/>
        </w:rPr>
        <w:t>Kaynak</w:t>
      </w:r>
      <w:r w:rsidR="0024217A">
        <w:rPr>
          <w:rFonts w:ascii="Arial" w:hAnsi="Arial" w:cs="Arial"/>
          <w:sz w:val="16"/>
          <w:szCs w:val="16"/>
        </w:rPr>
        <w:t>: TÜİK.</w:t>
      </w:r>
    </w:p>
    <w:p w:rsidR="00E333BE" w:rsidRDefault="00E333BE" w:rsidP="009575C3">
      <w:pPr>
        <w:pStyle w:val="NormalWeb"/>
        <w:spacing w:before="0" w:beforeAutospacing="0" w:after="0" w:afterAutospacing="0"/>
        <w:jc w:val="both"/>
        <w:rPr>
          <w:b/>
          <w:sz w:val="22"/>
          <w:szCs w:val="22"/>
        </w:rPr>
      </w:pPr>
    </w:p>
    <w:p w:rsidR="007F4650" w:rsidRDefault="007F4650" w:rsidP="009575C3">
      <w:pPr>
        <w:pStyle w:val="NormalWeb"/>
        <w:spacing w:before="0" w:beforeAutospacing="0" w:after="0" w:afterAutospacing="0"/>
        <w:jc w:val="both"/>
        <w:rPr>
          <w:b/>
          <w:sz w:val="22"/>
          <w:szCs w:val="22"/>
        </w:rPr>
      </w:pPr>
    </w:p>
    <w:p w:rsidR="002028B0" w:rsidRDefault="002028B0" w:rsidP="00B207BA">
      <w:pPr>
        <w:pStyle w:val="NormalWeb"/>
        <w:spacing w:before="0" w:beforeAutospacing="0" w:after="0" w:afterAutospacing="0" w:line="300" w:lineRule="atLeast"/>
        <w:jc w:val="center"/>
        <w:rPr>
          <w:rFonts w:ascii="Arial" w:hAnsi="Arial" w:cs="Arial"/>
          <w:b/>
          <w:sz w:val="20"/>
          <w:szCs w:val="20"/>
        </w:rPr>
      </w:pPr>
    </w:p>
    <w:p w:rsidR="002028B0" w:rsidRDefault="002028B0" w:rsidP="00B207BA">
      <w:pPr>
        <w:pStyle w:val="NormalWeb"/>
        <w:spacing w:before="0" w:beforeAutospacing="0" w:after="0" w:afterAutospacing="0" w:line="300" w:lineRule="atLeast"/>
        <w:jc w:val="center"/>
        <w:rPr>
          <w:rFonts w:ascii="Arial" w:hAnsi="Arial" w:cs="Arial"/>
          <w:b/>
          <w:sz w:val="20"/>
          <w:szCs w:val="20"/>
        </w:rPr>
      </w:pPr>
    </w:p>
    <w:p w:rsidR="002028B0" w:rsidRDefault="002028B0" w:rsidP="00B207BA">
      <w:pPr>
        <w:pStyle w:val="NormalWeb"/>
        <w:spacing w:before="0" w:beforeAutospacing="0" w:after="0" w:afterAutospacing="0" w:line="300" w:lineRule="atLeast"/>
        <w:jc w:val="center"/>
        <w:rPr>
          <w:rFonts w:ascii="Arial" w:hAnsi="Arial" w:cs="Arial"/>
          <w:b/>
          <w:sz w:val="20"/>
          <w:szCs w:val="20"/>
        </w:rPr>
      </w:pPr>
    </w:p>
    <w:p w:rsidR="009575C3" w:rsidRPr="00576353" w:rsidRDefault="00D15352" w:rsidP="00B207BA">
      <w:pPr>
        <w:pStyle w:val="NormalWeb"/>
        <w:spacing w:before="0" w:beforeAutospacing="0" w:after="0" w:afterAutospacing="0" w:line="300" w:lineRule="atLeast"/>
        <w:jc w:val="center"/>
        <w:rPr>
          <w:rFonts w:ascii="Arial" w:hAnsi="Arial" w:cs="Arial"/>
          <w:b/>
          <w:sz w:val="20"/>
          <w:szCs w:val="20"/>
        </w:rPr>
      </w:pPr>
      <w:r>
        <w:rPr>
          <w:rFonts w:ascii="Arial" w:hAnsi="Arial" w:cs="Arial"/>
          <w:b/>
          <w:sz w:val="20"/>
          <w:szCs w:val="20"/>
        </w:rPr>
        <w:lastRenderedPageBreak/>
        <w:t>İç talepte</w:t>
      </w:r>
      <w:r w:rsidR="0067660D">
        <w:rPr>
          <w:rFonts w:ascii="Arial" w:hAnsi="Arial" w:cs="Arial"/>
          <w:b/>
          <w:sz w:val="20"/>
          <w:szCs w:val="20"/>
        </w:rPr>
        <w:t xml:space="preserve"> yüksek artış</w:t>
      </w:r>
    </w:p>
    <w:p w:rsidR="009575C3" w:rsidRPr="00263EF1" w:rsidRDefault="009575C3" w:rsidP="00B207BA">
      <w:pPr>
        <w:pStyle w:val="NormalWeb"/>
        <w:spacing w:before="0" w:beforeAutospacing="0" w:after="0" w:afterAutospacing="0" w:line="300" w:lineRule="atLeast"/>
        <w:rPr>
          <w:rFonts w:ascii="Arial" w:hAnsi="Arial" w:cs="Arial"/>
          <w:sz w:val="20"/>
          <w:szCs w:val="20"/>
          <w:highlight w:val="yellow"/>
        </w:rPr>
      </w:pPr>
    </w:p>
    <w:p w:rsidR="007A2A39" w:rsidRDefault="007A2A39" w:rsidP="002028B0">
      <w:pPr>
        <w:pStyle w:val="NormalWeb"/>
        <w:spacing w:before="0" w:beforeAutospacing="0" w:after="0" w:afterAutospacing="0" w:line="360" w:lineRule="auto"/>
        <w:jc w:val="both"/>
        <w:rPr>
          <w:rFonts w:ascii="Arial" w:hAnsi="Arial" w:cs="Arial"/>
          <w:sz w:val="20"/>
          <w:szCs w:val="20"/>
        </w:rPr>
      </w:pPr>
      <w:r w:rsidRPr="007A2A39">
        <w:rPr>
          <w:rFonts w:ascii="Arial" w:hAnsi="Arial" w:cs="Arial"/>
          <w:sz w:val="20"/>
          <w:szCs w:val="20"/>
        </w:rPr>
        <w:t>2014’te çok ılımlı artış (yüzde 1,3) sergileyen özel tüketim siyasal be</w:t>
      </w:r>
      <w:r w:rsidR="00DC7DF8">
        <w:rPr>
          <w:rFonts w:ascii="Arial" w:hAnsi="Arial" w:cs="Arial"/>
          <w:sz w:val="20"/>
          <w:szCs w:val="20"/>
        </w:rPr>
        <w:t>li</w:t>
      </w:r>
      <w:r w:rsidRPr="007A2A39">
        <w:rPr>
          <w:rFonts w:ascii="Arial" w:hAnsi="Arial" w:cs="Arial"/>
          <w:sz w:val="20"/>
          <w:szCs w:val="20"/>
        </w:rPr>
        <w:t>rsizliklere rağmen 2015 yılında beklenenin bir hayli üzerinde yüzde 4,5 oranında artarak ekonomik büyümeyi</w:t>
      </w:r>
      <w:r w:rsidR="00DC7DF8">
        <w:rPr>
          <w:rFonts w:ascii="Arial" w:hAnsi="Arial" w:cs="Arial"/>
          <w:sz w:val="20"/>
          <w:szCs w:val="20"/>
        </w:rPr>
        <w:t xml:space="preserve"> sürükleyen talep kalemi oldu. İ</w:t>
      </w:r>
      <w:r w:rsidRPr="007A2A39">
        <w:rPr>
          <w:rFonts w:ascii="Arial" w:hAnsi="Arial" w:cs="Arial"/>
          <w:sz w:val="20"/>
          <w:szCs w:val="20"/>
        </w:rPr>
        <w:t>ki seçim arasında büy</w:t>
      </w:r>
      <w:r w:rsidR="00DC7DF8">
        <w:rPr>
          <w:rFonts w:ascii="Arial" w:hAnsi="Arial" w:cs="Arial"/>
          <w:sz w:val="20"/>
          <w:szCs w:val="20"/>
        </w:rPr>
        <w:t xml:space="preserve">ük düşüş yaşayan tüketici güven </w:t>
      </w:r>
      <w:r w:rsidRPr="007A2A39">
        <w:rPr>
          <w:rFonts w:ascii="Arial" w:hAnsi="Arial" w:cs="Arial"/>
          <w:sz w:val="20"/>
          <w:szCs w:val="20"/>
        </w:rPr>
        <w:t>endeksinin beklendiği kadar tüketimi frenlememesine dikkat çek</w:t>
      </w:r>
      <w:r w:rsidR="005F2EE5">
        <w:rPr>
          <w:rFonts w:ascii="Arial" w:hAnsi="Arial" w:cs="Arial"/>
          <w:sz w:val="20"/>
          <w:szCs w:val="20"/>
        </w:rPr>
        <w:t>mek</w:t>
      </w:r>
      <w:r w:rsidRPr="007A2A39">
        <w:rPr>
          <w:rFonts w:ascii="Arial" w:hAnsi="Arial" w:cs="Arial"/>
          <w:sz w:val="20"/>
          <w:szCs w:val="20"/>
        </w:rPr>
        <w:t xml:space="preserve"> istiyoruz.</w:t>
      </w:r>
    </w:p>
    <w:p w:rsidR="007A2A39" w:rsidRDefault="007A2A39" w:rsidP="002028B0">
      <w:pPr>
        <w:pStyle w:val="NormalWeb"/>
        <w:spacing w:before="0" w:beforeAutospacing="0" w:after="0" w:afterAutospacing="0" w:line="360" w:lineRule="auto"/>
        <w:jc w:val="both"/>
        <w:rPr>
          <w:rFonts w:ascii="Arial" w:hAnsi="Arial" w:cs="Arial"/>
          <w:sz w:val="20"/>
          <w:szCs w:val="20"/>
        </w:rPr>
      </w:pPr>
    </w:p>
    <w:p w:rsidR="00884058" w:rsidRDefault="007A2A39" w:rsidP="00B207BA">
      <w:pPr>
        <w:pStyle w:val="NormalWeb"/>
        <w:spacing w:before="0" w:beforeAutospacing="0" w:after="0" w:afterAutospacing="0" w:line="300" w:lineRule="atLeast"/>
        <w:jc w:val="both"/>
        <w:rPr>
          <w:rFonts w:ascii="Arial" w:hAnsi="Arial" w:cs="Arial"/>
          <w:sz w:val="20"/>
          <w:szCs w:val="20"/>
        </w:rPr>
      </w:pPr>
      <w:r>
        <w:rPr>
          <w:rFonts w:ascii="Arial" w:hAnsi="Arial" w:cs="Arial"/>
          <w:sz w:val="20"/>
          <w:szCs w:val="20"/>
        </w:rPr>
        <w:t>Büyük ölçüde tüketim harc</w:t>
      </w:r>
      <w:r w:rsidR="00884058">
        <w:rPr>
          <w:rFonts w:ascii="Arial" w:hAnsi="Arial" w:cs="Arial"/>
          <w:sz w:val="20"/>
          <w:szCs w:val="20"/>
        </w:rPr>
        <w:t>a</w:t>
      </w:r>
      <w:r>
        <w:rPr>
          <w:rFonts w:ascii="Arial" w:hAnsi="Arial" w:cs="Arial"/>
          <w:sz w:val="20"/>
          <w:szCs w:val="20"/>
        </w:rPr>
        <w:t xml:space="preserve">malarından </w:t>
      </w:r>
      <w:r w:rsidR="00884058">
        <w:rPr>
          <w:rFonts w:ascii="Arial" w:hAnsi="Arial" w:cs="Arial"/>
          <w:sz w:val="20"/>
          <w:szCs w:val="20"/>
        </w:rPr>
        <w:t>(per</w:t>
      </w:r>
      <w:r w:rsidR="00DC7DF8">
        <w:rPr>
          <w:rFonts w:ascii="Arial" w:hAnsi="Arial" w:cs="Arial"/>
          <w:sz w:val="20"/>
          <w:szCs w:val="20"/>
        </w:rPr>
        <w:t>so</w:t>
      </w:r>
      <w:r w:rsidR="00884058">
        <w:rPr>
          <w:rFonts w:ascii="Arial" w:hAnsi="Arial" w:cs="Arial"/>
          <w:sz w:val="20"/>
          <w:szCs w:val="20"/>
        </w:rPr>
        <w:t xml:space="preserve">nel ve malzeme) </w:t>
      </w:r>
      <w:r>
        <w:rPr>
          <w:rFonts w:ascii="Arial" w:hAnsi="Arial" w:cs="Arial"/>
          <w:sz w:val="20"/>
          <w:szCs w:val="20"/>
        </w:rPr>
        <w:t>oluşan</w:t>
      </w:r>
      <w:r w:rsidR="00884058">
        <w:rPr>
          <w:rFonts w:ascii="Arial" w:hAnsi="Arial" w:cs="Arial"/>
          <w:sz w:val="20"/>
          <w:szCs w:val="20"/>
        </w:rPr>
        <w:t xml:space="preserve"> kamu harcamalarında 2014’e kıyasla görülen yüksek artış (yüzde 0,5’e karşılık yüzde 7) iç talebi canlandıran ikinci etken oldu. Yüzde 4’lük GSYH artışının 1,1 puanı kamu harcamalarındaki toplam artıştan kaynaklandı. Seçim yılı için bu çapta bir artışın şaşırtıcı olmadığı söylenebilir.</w:t>
      </w:r>
    </w:p>
    <w:p w:rsidR="00770105" w:rsidRDefault="00770105" w:rsidP="00B207BA">
      <w:pPr>
        <w:pStyle w:val="NormalWeb"/>
        <w:spacing w:before="0" w:beforeAutospacing="0" w:after="0" w:afterAutospacing="0" w:line="300" w:lineRule="atLeast"/>
        <w:jc w:val="both"/>
        <w:rPr>
          <w:rFonts w:ascii="Arial" w:hAnsi="Arial" w:cs="Arial"/>
          <w:sz w:val="20"/>
          <w:szCs w:val="20"/>
        </w:rPr>
      </w:pPr>
    </w:p>
    <w:p w:rsidR="007A2A39" w:rsidRPr="007A2A39" w:rsidRDefault="00884058" w:rsidP="00B207BA">
      <w:pPr>
        <w:pStyle w:val="NormalWeb"/>
        <w:spacing w:before="0" w:beforeAutospacing="0" w:after="0" w:afterAutospacing="0" w:line="300" w:lineRule="atLeast"/>
        <w:jc w:val="both"/>
        <w:rPr>
          <w:rFonts w:ascii="Arial" w:hAnsi="Arial" w:cs="Arial"/>
          <w:sz w:val="20"/>
          <w:szCs w:val="20"/>
        </w:rPr>
      </w:pPr>
      <w:r>
        <w:rPr>
          <w:rFonts w:ascii="Arial" w:hAnsi="Arial" w:cs="Arial"/>
          <w:sz w:val="20"/>
          <w:szCs w:val="20"/>
        </w:rPr>
        <w:t xml:space="preserve">Bununla birlikte 2015’in son çeyreğinde büyümenin harcama kaynakları itibariyle önemli değişiklikler gözlemleniyor. </w:t>
      </w:r>
      <w:r w:rsidR="00D15352">
        <w:rPr>
          <w:rFonts w:ascii="Arial" w:hAnsi="Arial" w:cs="Arial"/>
          <w:sz w:val="20"/>
          <w:szCs w:val="20"/>
        </w:rPr>
        <w:t xml:space="preserve">Özel tüketim artışı çeyrekten çeyreğe yüzde 0,3 ile sınırlı kalırken, kamu harcama artışı da yüzde 0,2 ile </w:t>
      </w:r>
      <w:r w:rsidR="00722BF0">
        <w:rPr>
          <w:rFonts w:ascii="Arial" w:hAnsi="Arial" w:cs="Arial"/>
          <w:sz w:val="20"/>
          <w:szCs w:val="20"/>
        </w:rPr>
        <w:t>sınırlı. Bu iki kale</w:t>
      </w:r>
      <w:r w:rsidR="00D15352">
        <w:rPr>
          <w:rFonts w:ascii="Arial" w:hAnsi="Arial" w:cs="Arial"/>
          <w:sz w:val="20"/>
          <w:szCs w:val="20"/>
        </w:rPr>
        <w:t>min yüzde 0,7’lik GSYH artışın</w:t>
      </w:r>
      <w:r w:rsidR="002028B0">
        <w:rPr>
          <w:rFonts w:ascii="Arial" w:hAnsi="Arial" w:cs="Arial"/>
          <w:sz w:val="20"/>
          <w:szCs w:val="20"/>
        </w:rPr>
        <w:t>a katkısı 0,2 puandan ibaret (T</w:t>
      </w:r>
      <w:r w:rsidR="00770105">
        <w:rPr>
          <w:rFonts w:ascii="Arial" w:hAnsi="Arial" w:cs="Arial"/>
          <w:sz w:val="20"/>
          <w:szCs w:val="20"/>
        </w:rPr>
        <w:t xml:space="preserve">ablo 1). </w:t>
      </w:r>
    </w:p>
    <w:p w:rsidR="007A2A39" w:rsidRDefault="007A2A39" w:rsidP="00B207BA">
      <w:pPr>
        <w:pStyle w:val="NormalWeb"/>
        <w:spacing w:before="0" w:beforeAutospacing="0" w:after="0" w:afterAutospacing="0" w:line="300" w:lineRule="atLeast"/>
        <w:jc w:val="both"/>
        <w:rPr>
          <w:rFonts w:ascii="Arial" w:hAnsi="Arial" w:cs="Arial"/>
          <w:sz w:val="20"/>
          <w:szCs w:val="20"/>
          <w:highlight w:val="yellow"/>
        </w:rPr>
      </w:pPr>
      <w:r>
        <w:rPr>
          <w:rFonts w:ascii="Arial" w:hAnsi="Arial" w:cs="Arial"/>
          <w:sz w:val="20"/>
          <w:szCs w:val="20"/>
          <w:highlight w:val="yellow"/>
        </w:rPr>
        <w:t xml:space="preserve"> </w:t>
      </w:r>
    </w:p>
    <w:p w:rsidR="00637B8E" w:rsidRPr="00263EF1" w:rsidRDefault="00637B8E" w:rsidP="00B207BA">
      <w:pPr>
        <w:pStyle w:val="NormalWeb"/>
        <w:spacing w:before="0" w:beforeAutospacing="0" w:after="0" w:afterAutospacing="0" w:line="300" w:lineRule="atLeast"/>
        <w:jc w:val="both"/>
        <w:rPr>
          <w:rFonts w:ascii="Arial" w:hAnsi="Arial" w:cs="Arial"/>
          <w:sz w:val="20"/>
          <w:szCs w:val="20"/>
          <w:highlight w:val="yellow"/>
        </w:rPr>
      </w:pPr>
    </w:p>
    <w:p w:rsidR="00E51E5A" w:rsidRDefault="00622927" w:rsidP="00E51E5A">
      <w:pPr>
        <w:pStyle w:val="NormalWeb"/>
        <w:spacing w:before="0" w:beforeAutospacing="0" w:after="0" w:afterAutospacing="0" w:line="300" w:lineRule="atLeast"/>
        <w:jc w:val="center"/>
        <w:rPr>
          <w:rFonts w:ascii="Arial" w:hAnsi="Arial" w:cs="Arial"/>
          <w:b/>
          <w:sz w:val="20"/>
          <w:szCs w:val="20"/>
        </w:rPr>
      </w:pPr>
      <w:r>
        <w:rPr>
          <w:rFonts w:ascii="Arial" w:hAnsi="Arial" w:cs="Arial"/>
          <w:b/>
          <w:sz w:val="20"/>
          <w:szCs w:val="20"/>
        </w:rPr>
        <w:t>Özel y</w:t>
      </w:r>
      <w:r w:rsidR="00E51E5A" w:rsidRPr="00622927">
        <w:rPr>
          <w:rFonts w:ascii="Arial" w:hAnsi="Arial" w:cs="Arial"/>
          <w:b/>
          <w:sz w:val="20"/>
          <w:szCs w:val="20"/>
        </w:rPr>
        <w:t>atırımlar</w:t>
      </w:r>
      <w:r w:rsidRPr="00622927">
        <w:rPr>
          <w:rFonts w:ascii="Arial" w:hAnsi="Arial" w:cs="Arial"/>
          <w:b/>
          <w:sz w:val="20"/>
          <w:szCs w:val="20"/>
        </w:rPr>
        <w:t>da canlanma</w:t>
      </w:r>
    </w:p>
    <w:p w:rsidR="00622927" w:rsidRDefault="00622927" w:rsidP="00E51E5A">
      <w:pPr>
        <w:pStyle w:val="NormalWeb"/>
        <w:spacing w:before="0" w:beforeAutospacing="0" w:after="0" w:afterAutospacing="0" w:line="300" w:lineRule="atLeast"/>
        <w:jc w:val="center"/>
        <w:rPr>
          <w:rFonts w:ascii="Arial" w:hAnsi="Arial" w:cs="Arial"/>
          <w:b/>
          <w:sz w:val="20"/>
          <w:szCs w:val="20"/>
        </w:rPr>
      </w:pPr>
    </w:p>
    <w:p w:rsidR="00C32691" w:rsidRDefault="00622927" w:rsidP="00770105">
      <w:pPr>
        <w:pStyle w:val="NormalWeb"/>
        <w:spacing w:before="0" w:beforeAutospacing="0" w:after="0" w:afterAutospacing="0" w:line="300" w:lineRule="atLeast"/>
        <w:jc w:val="both"/>
        <w:rPr>
          <w:rFonts w:ascii="Arial" w:hAnsi="Arial" w:cs="Arial"/>
          <w:sz w:val="20"/>
          <w:szCs w:val="20"/>
        </w:rPr>
      </w:pPr>
      <w:r w:rsidRPr="00622927">
        <w:rPr>
          <w:rFonts w:ascii="Arial" w:hAnsi="Arial" w:cs="Arial"/>
          <w:sz w:val="20"/>
          <w:szCs w:val="20"/>
        </w:rPr>
        <w:t>2015</w:t>
      </w:r>
      <w:r>
        <w:rPr>
          <w:rFonts w:ascii="Arial" w:hAnsi="Arial" w:cs="Arial"/>
          <w:sz w:val="20"/>
          <w:szCs w:val="20"/>
        </w:rPr>
        <w:t xml:space="preserve"> büyümesinin kalite açısından yegane olumlu özelliği yatırımlarda mütevazi de olsa bir canlanmanın gözlemlenmesi. Düşük büyüme yılı olan 2014’te özel yatırımlarda yüzde 0,5 gibi zayıf bir artış sonucu büyüme katk</w:t>
      </w:r>
      <w:r w:rsidR="00770105">
        <w:rPr>
          <w:rFonts w:ascii="Arial" w:hAnsi="Arial" w:cs="Arial"/>
          <w:sz w:val="20"/>
          <w:szCs w:val="20"/>
        </w:rPr>
        <w:t xml:space="preserve">ısı 0,1 puanla sınırlı kalırken </w:t>
      </w:r>
      <w:r w:rsidR="00425883">
        <w:rPr>
          <w:rFonts w:ascii="Arial" w:hAnsi="Arial" w:cs="Arial"/>
          <w:sz w:val="20"/>
          <w:szCs w:val="20"/>
        </w:rPr>
        <w:t xml:space="preserve">özel yatırım artışı yüzde 2,7 oldu ve büyüme katkısı 0,5 puana yükseldi. </w:t>
      </w:r>
    </w:p>
    <w:p w:rsidR="00C32691" w:rsidRDefault="00C32691" w:rsidP="00770105">
      <w:pPr>
        <w:pStyle w:val="NormalWeb"/>
        <w:spacing w:before="0" w:beforeAutospacing="0" w:after="0" w:afterAutospacing="0" w:line="300" w:lineRule="atLeast"/>
        <w:jc w:val="both"/>
        <w:rPr>
          <w:rFonts w:ascii="Arial" w:hAnsi="Arial" w:cs="Arial"/>
          <w:sz w:val="20"/>
          <w:szCs w:val="20"/>
        </w:rPr>
      </w:pPr>
    </w:p>
    <w:p w:rsidR="00C32691" w:rsidRDefault="00C32691" w:rsidP="00770105">
      <w:pPr>
        <w:pStyle w:val="NormalWeb"/>
        <w:spacing w:before="0" w:beforeAutospacing="0" w:after="0" w:afterAutospacing="0" w:line="300" w:lineRule="atLeast"/>
        <w:jc w:val="both"/>
        <w:rPr>
          <w:rFonts w:ascii="Arial" w:hAnsi="Arial" w:cs="Arial"/>
          <w:sz w:val="20"/>
          <w:szCs w:val="20"/>
        </w:rPr>
      </w:pPr>
      <w:r>
        <w:rPr>
          <w:rFonts w:ascii="Arial" w:hAnsi="Arial" w:cs="Arial"/>
          <w:sz w:val="20"/>
          <w:szCs w:val="20"/>
        </w:rPr>
        <w:t>2015 yılının son çeyreğinde özel tüketim ve kamu harcamalarında belirgin yava</w:t>
      </w:r>
      <w:r w:rsidR="00770105">
        <w:rPr>
          <w:rFonts w:ascii="Arial" w:hAnsi="Arial" w:cs="Arial"/>
          <w:sz w:val="20"/>
          <w:szCs w:val="20"/>
        </w:rPr>
        <w:t>şlamalar kaydedilirken özel yatı</w:t>
      </w:r>
      <w:r>
        <w:rPr>
          <w:rFonts w:ascii="Arial" w:hAnsi="Arial" w:cs="Arial"/>
          <w:sz w:val="20"/>
          <w:szCs w:val="20"/>
        </w:rPr>
        <w:t>r</w:t>
      </w:r>
      <w:r w:rsidR="00770105">
        <w:rPr>
          <w:rFonts w:ascii="Arial" w:hAnsi="Arial" w:cs="Arial"/>
          <w:sz w:val="20"/>
          <w:szCs w:val="20"/>
        </w:rPr>
        <w:t>ı</w:t>
      </w:r>
      <w:r>
        <w:rPr>
          <w:rFonts w:ascii="Arial" w:hAnsi="Arial" w:cs="Arial"/>
          <w:sz w:val="20"/>
          <w:szCs w:val="20"/>
        </w:rPr>
        <w:t>mlardaki canlanmanın devam ettiği görülüyor. 3. Çeyrekten 4. Çeyreğe öz</w:t>
      </w:r>
      <w:r w:rsidR="00675593">
        <w:rPr>
          <w:rFonts w:ascii="Arial" w:hAnsi="Arial" w:cs="Arial"/>
          <w:sz w:val="20"/>
          <w:szCs w:val="20"/>
        </w:rPr>
        <w:t>el</w:t>
      </w:r>
      <w:r>
        <w:rPr>
          <w:rFonts w:ascii="Arial" w:hAnsi="Arial" w:cs="Arial"/>
          <w:sz w:val="20"/>
          <w:szCs w:val="20"/>
        </w:rPr>
        <w:t xml:space="preserve"> yatırımlar yüzde 2,6 oranında artarken yüzde 0,7’lik GSYH artışının da 0,5 puanı bu kalemden geliyor. </w:t>
      </w:r>
    </w:p>
    <w:p w:rsidR="00C32691" w:rsidRDefault="00C32691" w:rsidP="00622927">
      <w:pPr>
        <w:pStyle w:val="NormalWeb"/>
        <w:spacing w:before="0" w:beforeAutospacing="0" w:after="0" w:afterAutospacing="0" w:line="300" w:lineRule="atLeast"/>
        <w:rPr>
          <w:rFonts w:ascii="Arial" w:hAnsi="Arial" w:cs="Arial"/>
          <w:sz w:val="20"/>
          <w:szCs w:val="20"/>
        </w:rPr>
      </w:pPr>
    </w:p>
    <w:p w:rsidR="00622927" w:rsidRPr="00622927" w:rsidRDefault="00770105" w:rsidP="00770105">
      <w:pPr>
        <w:pStyle w:val="NormalWeb"/>
        <w:spacing w:before="0" w:beforeAutospacing="0" w:after="0" w:afterAutospacing="0" w:line="300" w:lineRule="atLeast"/>
        <w:jc w:val="both"/>
        <w:rPr>
          <w:rFonts w:ascii="Arial" w:hAnsi="Arial" w:cs="Arial"/>
          <w:sz w:val="20"/>
          <w:szCs w:val="20"/>
        </w:rPr>
      </w:pPr>
      <w:r>
        <w:rPr>
          <w:rFonts w:ascii="Arial" w:hAnsi="Arial" w:cs="Arial"/>
          <w:sz w:val="20"/>
          <w:szCs w:val="20"/>
        </w:rPr>
        <w:lastRenderedPageBreak/>
        <w:t>Son olarak y</w:t>
      </w:r>
      <w:r w:rsidR="00C32691">
        <w:rPr>
          <w:rFonts w:ascii="Arial" w:hAnsi="Arial" w:cs="Arial"/>
          <w:sz w:val="20"/>
          <w:szCs w:val="20"/>
        </w:rPr>
        <w:t>atırım kaleminin içinde yer alan stok değişiminin 2015 yılı için sınırlı ölçüde negatif olduğunu buna karşılık son çeyrekte büyüme 2 puan gibi büyük</w:t>
      </w:r>
      <w:r>
        <w:rPr>
          <w:rFonts w:ascii="Arial" w:hAnsi="Arial" w:cs="Arial"/>
          <w:sz w:val="20"/>
          <w:szCs w:val="20"/>
        </w:rPr>
        <w:t xml:space="preserve"> ölçüde katkı yaptığını (T</w:t>
      </w:r>
      <w:r w:rsidR="00C32691">
        <w:rPr>
          <w:rFonts w:ascii="Arial" w:hAnsi="Arial" w:cs="Arial"/>
          <w:sz w:val="20"/>
          <w:szCs w:val="20"/>
        </w:rPr>
        <w:t xml:space="preserve">ablo 1) belirtelim. </w:t>
      </w:r>
      <w:r w:rsidR="00622927">
        <w:rPr>
          <w:rFonts w:ascii="Arial" w:hAnsi="Arial" w:cs="Arial"/>
          <w:sz w:val="20"/>
          <w:szCs w:val="20"/>
        </w:rPr>
        <w:t xml:space="preserve"> </w:t>
      </w:r>
    </w:p>
    <w:p w:rsidR="00E51E5A" w:rsidRPr="00263EF1" w:rsidRDefault="00E51E5A" w:rsidP="00E51E5A">
      <w:pPr>
        <w:pStyle w:val="NormalWeb"/>
        <w:spacing w:before="0" w:beforeAutospacing="0" w:after="0" w:afterAutospacing="0" w:line="300" w:lineRule="atLeast"/>
        <w:jc w:val="center"/>
        <w:rPr>
          <w:rFonts w:ascii="Arial" w:hAnsi="Arial" w:cs="Arial"/>
          <w:b/>
          <w:sz w:val="20"/>
          <w:szCs w:val="20"/>
          <w:highlight w:val="yellow"/>
        </w:rPr>
      </w:pPr>
    </w:p>
    <w:p w:rsidR="00C32691" w:rsidRPr="009D28F7" w:rsidRDefault="009D28F7" w:rsidP="009D28F7">
      <w:pPr>
        <w:pStyle w:val="NormalWeb"/>
        <w:spacing w:before="0" w:beforeAutospacing="0" w:after="0" w:afterAutospacing="0" w:line="300" w:lineRule="atLeast"/>
        <w:jc w:val="center"/>
        <w:rPr>
          <w:rFonts w:ascii="Arial" w:hAnsi="Arial" w:cs="Arial"/>
          <w:b/>
          <w:sz w:val="20"/>
          <w:szCs w:val="20"/>
        </w:rPr>
      </w:pPr>
      <w:r w:rsidRPr="009D28F7">
        <w:rPr>
          <w:rFonts w:ascii="Arial" w:hAnsi="Arial" w:cs="Arial"/>
          <w:b/>
          <w:sz w:val="20"/>
          <w:szCs w:val="20"/>
        </w:rPr>
        <w:t>Dengesiz büyüme</w:t>
      </w:r>
    </w:p>
    <w:p w:rsidR="009D28F7" w:rsidRDefault="009D28F7" w:rsidP="00B207BA">
      <w:pPr>
        <w:pStyle w:val="NormalWeb"/>
        <w:spacing w:before="0" w:beforeAutospacing="0" w:after="0" w:afterAutospacing="0" w:line="300" w:lineRule="atLeast"/>
        <w:jc w:val="both"/>
        <w:rPr>
          <w:rFonts w:ascii="Arial" w:hAnsi="Arial" w:cs="Arial"/>
          <w:sz w:val="20"/>
          <w:szCs w:val="20"/>
        </w:rPr>
      </w:pPr>
    </w:p>
    <w:p w:rsidR="00EE0D52" w:rsidRDefault="009D28F7" w:rsidP="00B207BA">
      <w:pPr>
        <w:pStyle w:val="NormalWeb"/>
        <w:spacing w:before="0" w:beforeAutospacing="0" w:after="0" w:afterAutospacing="0" w:line="300" w:lineRule="atLeast"/>
        <w:jc w:val="both"/>
        <w:rPr>
          <w:rFonts w:ascii="Arial" w:hAnsi="Arial" w:cs="Arial"/>
          <w:sz w:val="20"/>
          <w:szCs w:val="20"/>
        </w:rPr>
      </w:pPr>
      <w:r>
        <w:rPr>
          <w:rFonts w:ascii="Arial" w:hAnsi="Arial" w:cs="Arial"/>
          <w:sz w:val="20"/>
          <w:szCs w:val="20"/>
        </w:rPr>
        <w:t xml:space="preserve">İhracat düşerken ithalatın sınırlı da olsa artması dolayısıyla net ihracatın büyümeye negatif katkı yapması </w:t>
      </w:r>
      <w:r w:rsidRPr="009D28F7">
        <w:rPr>
          <w:rFonts w:ascii="Arial" w:hAnsi="Arial" w:cs="Arial"/>
          <w:sz w:val="20"/>
          <w:szCs w:val="20"/>
        </w:rPr>
        <w:t>2015</w:t>
      </w:r>
      <w:r>
        <w:rPr>
          <w:rFonts w:ascii="Arial" w:hAnsi="Arial" w:cs="Arial"/>
          <w:sz w:val="20"/>
          <w:szCs w:val="20"/>
        </w:rPr>
        <w:t xml:space="preserve"> yılında iç talep kaynaklı yüzde 4’lük nispeten yüksek GSYH artışının bedeli olarak görülebilir.</w:t>
      </w:r>
      <w:r w:rsidR="009A105E">
        <w:rPr>
          <w:rFonts w:ascii="Arial" w:hAnsi="Arial" w:cs="Arial"/>
          <w:sz w:val="20"/>
          <w:szCs w:val="20"/>
        </w:rPr>
        <w:t xml:space="preserve"> İhracat yıllık bazda yüzde 0,8 oranında düşerken ithalat artışı yüzde 0,3 oldu. Sonuçta net ihracat büyümeyi 0,3 puan aşağıya çekti. </w:t>
      </w:r>
      <w:r>
        <w:rPr>
          <w:rFonts w:ascii="Arial" w:hAnsi="Arial" w:cs="Arial"/>
          <w:sz w:val="20"/>
          <w:szCs w:val="20"/>
        </w:rPr>
        <w:t xml:space="preserve"> </w:t>
      </w:r>
      <w:r w:rsidR="009A105E">
        <w:rPr>
          <w:rFonts w:ascii="Arial" w:hAnsi="Arial" w:cs="Arial"/>
          <w:sz w:val="20"/>
          <w:szCs w:val="20"/>
        </w:rPr>
        <w:t>İhracattaki gerilmenin esasen zayıflayan</w:t>
      </w:r>
      <w:r w:rsidR="00770105">
        <w:rPr>
          <w:rFonts w:ascii="Arial" w:hAnsi="Arial" w:cs="Arial"/>
          <w:sz w:val="20"/>
          <w:szCs w:val="20"/>
        </w:rPr>
        <w:t xml:space="preserve"> </w:t>
      </w:r>
      <w:r w:rsidR="009A105E">
        <w:rPr>
          <w:rFonts w:ascii="Arial" w:hAnsi="Arial" w:cs="Arial"/>
          <w:sz w:val="20"/>
          <w:szCs w:val="20"/>
        </w:rPr>
        <w:t>dış talepten kaynaklandığı not edilmelidir. Türkiye’nin ikinci en büyük pazarı haline gel</w:t>
      </w:r>
      <w:r w:rsidR="00770105">
        <w:rPr>
          <w:rFonts w:ascii="Arial" w:hAnsi="Arial" w:cs="Arial"/>
          <w:sz w:val="20"/>
          <w:szCs w:val="20"/>
        </w:rPr>
        <w:t>miş</w:t>
      </w:r>
      <w:r w:rsidR="009A105E">
        <w:rPr>
          <w:rFonts w:ascii="Arial" w:hAnsi="Arial" w:cs="Arial"/>
          <w:sz w:val="20"/>
          <w:szCs w:val="20"/>
        </w:rPr>
        <w:t xml:space="preserve"> olan Irak’a yapılan ihracat hemen hemen yarı yarıya azalırken</w:t>
      </w:r>
      <w:r w:rsidR="00A106CE">
        <w:rPr>
          <w:rFonts w:ascii="Arial" w:hAnsi="Arial" w:cs="Arial"/>
          <w:sz w:val="20"/>
          <w:szCs w:val="20"/>
        </w:rPr>
        <w:t>,</w:t>
      </w:r>
      <w:r w:rsidR="00675593">
        <w:rPr>
          <w:rFonts w:ascii="Arial" w:hAnsi="Arial" w:cs="Arial"/>
          <w:sz w:val="20"/>
          <w:szCs w:val="20"/>
        </w:rPr>
        <w:t xml:space="preserve"> Rusya’da</w:t>
      </w:r>
      <w:r w:rsidR="009A105E">
        <w:rPr>
          <w:rFonts w:ascii="Arial" w:hAnsi="Arial" w:cs="Arial"/>
          <w:sz w:val="20"/>
          <w:szCs w:val="20"/>
        </w:rPr>
        <w:t xml:space="preserve"> </w:t>
      </w:r>
      <w:r w:rsidR="00A106CE">
        <w:rPr>
          <w:rFonts w:ascii="Arial" w:hAnsi="Arial" w:cs="Arial"/>
          <w:sz w:val="20"/>
          <w:szCs w:val="20"/>
        </w:rPr>
        <w:t xml:space="preserve">yaşanmakta olan ekonomik </w:t>
      </w:r>
      <w:r w:rsidR="009A105E">
        <w:rPr>
          <w:rFonts w:ascii="Arial" w:hAnsi="Arial" w:cs="Arial"/>
          <w:sz w:val="20"/>
          <w:szCs w:val="20"/>
        </w:rPr>
        <w:t>kriz</w:t>
      </w:r>
      <w:r w:rsidR="00A106CE">
        <w:rPr>
          <w:rFonts w:ascii="Arial" w:hAnsi="Arial" w:cs="Arial"/>
          <w:sz w:val="20"/>
          <w:szCs w:val="20"/>
        </w:rPr>
        <w:t>e</w:t>
      </w:r>
      <w:r w:rsidR="009A105E">
        <w:rPr>
          <w:rFonts w:ascii="Arial" w:hAnsi="Arial" w:cs="Arial"/>
          <w:sz w:val="20"/>
          <w:szCs w:val="20"/>
        </w:rPr>
        <w:t xml:space="preserve"> son dö</w:t>
      </w:r>
      <w:r w:rsidR="00A106CE">
        <w:rPr>
          <w:rFonts w:ascii="Arial" w:hAnsi="Arial" w:cs="Arial"/>
          <w:sz w:val="20"/>
          <w:szCs w:val="20"/>
        </w:rPr>
        <w:t>nemde</w:t>
      </w:r>
      <w:r w:rsidR="009A105E">
        <w:rPr>
          <w:rFonts w:ascii="Arial" w:hAnsi="Arial" w:cs="Arial"/>
          <w:sz w:val="20"/>
          <w:szCs w:val="20"/>
        </w:rPr>
        <w:t xml:space="preserve"> iki ülke arasında yaşanan politik kriz </w:t>
      </w:r>
      <w:r w:rsidR="00A106CE">
        <w:rPr>
          <w:rFonts w:ascii="Arial" w:hAnsi="Arial" w:cs="Arial"/>
          <w:sz w:val="20"/>
          <w:szCs w:val="20"/>
        </w:rPr>
        <w:t xml:space="preserve">eklenince </w:t>
      </w:r>
      <w:r w:rsidR="009A105E">
        <w:rPr>
          <w:rFonts w:ascii="Arial" w:hAnsi="Arial" w:cs="Arial"/>
          <w:sz w:val="20"/>
          <w:szCs w:val="20"/>
        </w:rPr>
        <w:t>bu pazara yapılan ihracat da ö</w:t>
      </w:r>
      <w:r w:rsidR="00A106CE">
        <w:rPr>
          <w:rFonts w:ascii="Arial" w:hAnsi="Arial" w:cs="Arial"/>
          <w:sz w:val="20"/>
          <w:szCs w:val="20"/>
        </w:rPr>
        <w:t>nemli</w:t>
      </w:r>
      <w:r w:rsidR="009A105E">
        <w:rPr>
          <w:rFonts w:ascii="Arial" w:hAnsi="Arial" w:cs="Arial"/>
          <w:sz w:val="20"/>
          <w:szCs w:val="20"/>
        </w:rPr>
        <w:t xml:space="preserve"> ölçüde </w:t>
      </w:r>
      <w:r w:rsidR="00A106CE">
        <w:rPr>
          <w:rFonts w:ascii="Arial" w:hAnsi="Arial" w:cs="Arial"/>
          <w:sz w:val="20"/>
          <w:szCs w:val="20"/>
        </w:rPr>
        <w:t xml:space="preserve">olumsuz </w:t>
      </w:r>
      <w:r w:rsidR="009A105E">
        <w:rPr>
          <w:rFonts w:ascii="Arial" w:hAnsi="Arial" w:cs="Arial"/>
          <w:sz w:val="20"/>
          <w:szCs w:val="20"/>
        </w:rPr>
        <w:t>etkile</w:t>
      </w:r>
      <w:r w:rsidR="00A106CE">
        <w:rPr>
          <w:rFonts w:ascii="Arial" w:hAnsi="Arial" w:cs="Arial"/>
          <w:sz w:val="20"/>
          <w:szCs w:val="20"/>
        </w:rPr>
        <w:t>n</w:t>
      </w:r>
      <w:r w:rsidR="009A105E">
        <w:rPr>
          <w:rFonts w:ascii="Arial" w:hAnsi="Arial" w:cs="Arial"/>
          <w:sz w:val="20"/>
          <w:szCs w:val="20"/>
        </w:rPr>
        <w:t xml:space="preserve">di. Buna karşılık Avrupa pazarındaki sınırlı canlanma kayıpların telafisi </w:t>
      </w:r>
      <w:r w:rsidR="00A106CE">
        <w:rPr>
          <w:rFonts w:ascii="Arial" w:hAnsi="Arial" w:cs="Arial"/>
          <w:sz w:val="20"/>
          <w:szCs w:val="20"/>
        </w:rPr>
        <w:t xml:space="preserve">için </w:t>
      </w:r>
      <w:r w:rsidR="009A105E">
        <w:rPr>
          <w:rFonts w:ascii="Arial" w:hAnsi="Arial" w:cs="Arial"/>
          <w:sz w:val="20"/>
          <w:szCs w:val="20"/>
        </w:rPr>
        <w:t xml:space="preserve">yeterli olamadı. </w:t>
      </w:r>
    </w:p>
    <w:p w:rsidR="00EE0D52" w:rsidRDefault="00EE0D52" w:rsidP="00B207BA">
      <w:pPr>
        <w:pStyle w:val="NormalWeb"/>
        <w:spacing w:before="0" w:beforeAutospacing="0" w:after="0" w:afterAutospacing="0" w:line="300" w:lineRule="atLeast"/>
        <w:jc w:val="both"/>
        <w:rPr>
          <w:rFonts w:ascii="Arial" w:hAnsi="Arial" w:cs="Arial"/>
          <w:sz w:val="20"/>
          <w:szCs w:val="20"/>
        </w:rPr>
      </w:pPr>
    </w:p>
    <w:p w:rsidR="009622F6" w:rsidRPr="006908F6" w:rsidRDefault="00EE0D52" w:rsidP="00B207BA">
      <w:pPr>
        <w:pStyle w:val="NormalWeb"/>
        <w:spacing w:before="0" w:beforeAutospacing="0" w:after="0" w:afterAutospacing="0" w:line="300" w:lineRule="atLeast"/>
        <w:jc w:val="both"/>
        <w:rPr>
          <w:rFonts w:ascii="Arial" w:hAnsi="Arial" w:cs="Arial"/>
          <w:sz w:val="20"/>
          <w:szCs w:val="20"/>
        </w:rPr>
      </w:pPr>
      <w:r>
        <w:rPr>
          <w:rFonts w:ascii="Arial" w:hAnsi="Arial" w:cs="Arial"/>
          <w:sz w:val="20"/>
          <w:szCs w:val="20"/>
        </w:rPr>
        <w:t>2015 yılı geneline karşılık gelen dış ticaret gelişmelerinin son çeyrekte daha da ol</w:t>
      </w:r>
      <w:r w:rsidR="00770105">
        <w:rPr>
          <w:rFonts w:ascii="Arial" w:hAnsi="Arial" w:cs="Arial"/>
          <w:sz w:val="20"/>
          <w:szCs w:val="20"/>
        </w:rPr>
        <w:t>umsuz</w:t>
      </w:r>
      <w:r>
        <w:rPr>
          <w:rFonts w:ascii="Arial" w:hAnsi="Arial" w:cs="Arial"/>
          <w:sz w:val="20"/>
          <w:szCs w:val="20"/>
        </w:rPr>
        <w:t>laştığına dikkat çekmek istiyoruz. 3. Çeyrekten 4. Çeyreğe ihracatın yüzde 1,2 oranında gerilediğini ithalatın ise yüzde 6,5 oranında yüksek bir artış sergilediğini not etmek gerekiyor. Sonuçta net ihracat çeyreklik büyümeyi 2 puan aşağıya çekerek stok artışından kaynaklanan</w:t>
      </w:r>
      <w:r w:rsidR="00770105">
        <w:rPr>
          <w:rFonts w:ascii="Arial" w:hAnsi="Arial" w:cs="Arial"/>
          <w:sz w:val="20"/>
          <w:szCs w:val="20"/>
        </w:rPr>
        <w:t xml:space="preserve"> katkıyı sildiğini belirtelim (T</w:t>
      </w:r>
      <w:r>
        <w:rPr>
          <w:rFonts w:ascii="Arial" w:hAnsi="Arial" w:cs="Arial"/>
          <w:sz w:val="20"/>
          <w:szCs w:val="20"/>
        </w:rPr>
        <w:t>ablo 1).</w:t>
      </w:r>
      <w:r w:rsidR="009D28F7">
        <w:rPr>
          <w:rFonts w:ascii="Arial" w:hAnsi="Arial" w:cs="Arial"/>
          <w:sz w:val="20"/>
          <w:szCs w:val="20"/>
        </w:rPr>
        <w:t xml:space="preserve"> </w:t>
      </w:r>
    </w:p>
    <w:p w:rsidR="00B207BA" w:rsidRPr="00263EF1" w:rsidRDefault="00B207BA" w:rsidP="00B207BA">
      <w:pPr>
        <w:pStyle w:val="NormalWeb"/>
        <w:spacing w:before="0" w:beforeAutospacing="0" w:after="0" w:afterAutospacing="0" w:line="300" w:lineRule="atLeast"/>
        <w:jc w:val="both"/>
        <w:rPr>
          <w:rFonts w:ascii="Arial" w:hAnsi="Arial" w:cs="Arial"/>
          <w:sz w:val="20"/>
          <w:szCs w:val="20"/>
          <w:highlight w:val="yellow"/>
        </w:rPr>
      </w:pPr>
    </w:p>
    <w:p w:rsidR="00B207BA" w:rsidRPr="00263EF1" w:rsidRDefault="00B207BA" w:rsidP="00B207BA">
      <w:pPr>
        <w:pStyle w:val="NormalWeb"/>
        <w:spacing w:before="0" w:beforeAutospacing="0" w:after="0" w:afterAutospacing="0" w:line="300" w:lineRule="atLeast"/>
        <w:jc w:val="both"/>
        <w:rPr>
          <w:rFonts w:ascii="Arial" w:hAnsi="Arial" w:cs="Arial"/>
          <w:sz w:val="20"/>
          <w:szCs w:val="20"/>
          <w:highlight w:val="yellow"/>
        </w:rPr>
      </w:pPr>
    </w:p>
    <w:p w:rsidR="0055334A" w:rsidRPr="006908F6" w:rsidRDefault="006908F6" w:rsidP="00337278">
      <w:pPr>
        <w:pStyle w:val="NormalWeb"/>
        <w:spacing w:before="0" w:beforeAutospacing="0" w:after="0" w:afterAutospacing="0" w:line="300" w:lineRule="atLeast"/>
        <w:jc w:val="center"/>
        <w:rPr>
          <w:rFonts w:ascii="Arial" w:hAnsi="Arial" w:cs="Arial"/>
          <w:sz w:val="20"/>
          <w:szCs w:val="20"/>
        </w:rPr>
      </w:pPr>
      <w:r w:rsidRPr="006908F6">
        <w:rPr>
          <w:rFonts w:ascii="Arial" w:hAnsi="Arial" w:cs="Arial"/>
          <w:b/>
          <w:sz w:val="20"/>
          <w:szCs w:val="20"/>
        </w:rPr>
        <w:t>Ekonomik büyümede temel eğilimler</w:t>
      </w:r>
    </w:p>
    <w:p w:rsidR="00DA6EB1" w:rsidRDefault="00DA6EB1" w:rsidP="00B207BA">
      <w:pPr>
        <w:pStyle w:val="NormalWeb"/>
        <w:spacing w:before="0" w:beforeAutospacing="0" w:after="0" w:afterAutospacing="0" w:line="300" w:lineRule="atLeast"/>
        <w:jc w:val="both"/>
        <w:rPr>
          <w:rFonts w:ascii="Arial" w:hAnsi="Arial" w:cs="Arial"/>
          <w:sz w:val="20"/>
          <w:szCs w:val="20"/>
          <w:highlight w:val="yellow"/>
        </w:rPr>
      </w:pPr>
    </w:p>
    <w:p w:rsidR="00E30B42" w:rsidRPr="00770105" w:rsidRDefault="006908F6" w:rsidP="00B207BA">
      <w:pPr>
        <w:pStyle w:val="NormalWeb"/>
        <w:spacing w:before="0" w:beforeAutospacing="0" w:after="0" w:afterAutospacing="0" w:line="300" w:lineRule="atLeast"/>
        <w:jc w:val="both"/>
        <w:rPr>
          <w:rFonts w:ascii="Arial" w:hAnsi="Arial" w:cs="Arial"/>
          <w:sz w:val="20"/>
          <w:szCs w:val="20"/>
        </w:rPr>
      </w:pPr>
      <w:r w:rsidRPr="00E30B42">
        <w:rPr>
          <w:rFonts w:ascii="Arial" w:hAnsi="Arial" w:cs="Arial"/>
          <w:sz w:val="20"/>
          <w:szCs w:val="20"/>
        </w:rPr>
        <w:t xml:space="preserve">2015 yılının bütünü itibariyle yüksek bir büyüme performansı söz konusu olmakla birlikte bu </w:t>
      </w:r>
      <w:r w:rsidR="00E30B42" w:rsidRPr="00E30B42">
        <w:rPr>
          <w:rFonts w:ascii="Arial" w:hAnsi="Arial" w:cs="Arial"/>
          <w:sz w:val="20"/>
          <w:szCs w:val="20"/>
        </w:rPr>
        <w:t>performansın kalitesi sorgulanabilir. Yüzde 4 büyümeyi özel tüketim ve kamu harcamaları sürüklerken net ihracatın negati</w:t>
      </w:r>
      <w:r w:rsidR="00675593">
        <w:rPr>
          <w:rFonts w:ascii="Arial" w:hAnsi="Arial" w:cs="Arial"/>
          <w:sz w:val="20"/>
          <w:szCs w:val="20"/>
        </w:rPr>
        <w:t>f</w:t>
      </w:r>
      <w:r w:rsidR="00E30B42" w:rsidRPr="00E30B42">
        <w:rPr>
          <w:rFonts w:ascii="Arial" w:hAnsi="Arial" w:cs="Arial"/>
          <w:sz w:val="20"/>
          <w:szCs w:val="20"/>
        </w:rPr>
        <w:t xml:space="preserve"> katkısı “dengeli büyüme” stratejisine gölge düşürüyor. Dikkat çekilmesi gereken diğer özellik ise son çeyrekte büyümenin önce</w:t>
      </w:r>
      <w:r w:rsidR="00770105">
        <w:rPr>
          <w:rFonts w:ascii="Arial" w:hAnsi="Arial" w:cs="Arial"/>
          <w:sz w:val="20"/>
          <w:szCs w:val="20"/>
        </w:rPr>
        <w:t>ki çeyreklere kıyasla yavaşlamı</w:t>
      </w:r>
      <w:r w:rsidR="00E30B42" w:rsidRPr="00E30B42">
        <w:rPr>
          <w:rFonts w:ascii="Arial" w:hAnsi="Arial" w:cs="Arial"/>
          <w:sz w:val="20"/>
          <w:szCs w:val="20"/>
        </w:rPr>
        <w:t xml:space="preserve">ş olması. Bu yavaşlama özel tüketim ve kamu harcamalarındaki belirgin yavaşlama ile net ihracatın </w:t>
      </w:r>
      <w:r w:rsidR="00E30B42" w:rsidRPr="00770105">
        <w:rPr>
          <w:rFonts w:ascii="Arial" w:hAnsi="Arial" w:cs="Arial"/>
          <w:sz w:val="20"/>
          <w:szCs w:val="20"/>
        </w:rPr>
        <w:lastRenderedPageBreak/>
        <w:t xml:space="preserve">negatif katkısının derinleşmesinden kaynaklanırken yegane olumlu gelişmenin </w:t>
      </w:r>
      <w:r w:rsidR="00675593" w:rsidRPr="00770105">
        <w:rPr>
          <w:rFonts w:ascii="Arial" w:hAnsi="Arial" w:cs="Arial"/>
          <w:sz w:val="20"/>
          <w:szCs w:val="20"/>
        </w:rPr>
        <w:t>yatırımlarda</w:t>
      </w:r>
      <w:r w:rsidR="00E30B42" w:rsidRPr="00770105">
        <w:rPr>
          <w:rFonts w:ascii="Arial" w:hAnsi="Arial" w:cs="Arial"/>
          <w:sz w:val="20"/>
          <w:szCs w:val="20"/>
        </w:rPr>
        <w:t xml:space="preserve"> görülen canlanma </w:t>
      </w:r>
      <w:r w:rsidR="00675593" w:rsidRPr="00770105">
        <w:rPr>
          <w:rFonts w:ascii="Arial" w:hAnsi="Arial" w:cs="Arial"/>
          <w:sz w:val="20"/>
          <w:szCs w:val="20"/>
        </w:rPr>
        <w:t>olduğu görülüyor. Ekonomik</w:t>
      </w:r>
      <w:r w:rsidR="00E30B42" w:rsidRPr="00770105">
        <w:rPr>
          <w:rFonts w:ascii="Arial" w:hAnsi="Arial" w:cs="Arial"/>
          <w:sz w:val="20"/>
          <w:szCs w:val="20"/>
        </w:rPr>
        <w:t xml:space="preserve"> büyümede gözlemlenen yavaşlamanın Betam’ın 2016 1. Çeyrek Ekonomik Görünüm araştırma notunda da görüldüğünü hatırlatalım. Bu yılın 1. çeyreğinde ilk büyüme tahminimizin yüzde 0,5 olduğunu</w:t>
      </w:r>
      <w:r w:rsidR="00675593" w:rsidRPr="00770105">
        <w:rPr>
          <w:rFonts w:ascii="Arial" w:hAnsi="Arial" w:cs="Arial"/>
          <w:sz w:val="20"/>
          <w:szCs w:val="20"/>
        </w:rPr>
        <w:t>n da altını çizelim.</w:t>
      </w:r>
      <w:r w:rsidR="00E30B42" w:rsidRPr="00770105">
        <w:rPr>
          <w:rFonts w:ascii="Arial" w:hAnsi="Arial" w:cs="Arial"/>
          <w:sz w:val="20"/>
          <w:szCs w:val="20"/>
        </w:rPr>
        <w:t xml:space="preserve"> </w:t>
      </w:r>
    </w:p>
    <w:p w:rsidR="00E30B42" w:rsidRPr="00770105" w:rsidRDefault="00E30B42" w:rsidP="00B207BA">
      <w:pPr>
        <w:pStyle w:val="NormalWeb"/>
        <w:spacing w:before="0" w:beforeAutospacing="0" w:after="0" w:afterAutospacing="0" w:line="300" w:lineRule="atLeast"/>
        <w:jc w:val="both"/>
        <w:rPr>
          <w:rFonts w:ascii="Arial" w:hAnsi="Arial" w:cs="Arial"/>
          <w:sz w:val="20"/>
          <w:szCs w:val="20"/>
          <w:highlight w:val="yellow"/>
        </w:rPr>
      </w:pPr>
    </w:p>
    <w:p w:rsidR="00CD1FF9" w:rsidRPr="00770105" w:rsidRDefault="00CD1FF9" w:rsidP="009575C3">
      <w:pPr>
        <w:pStyle w:val="NormalWeb"/>
        <w:spacing w:before="0" w:beforeAutospacing="0" w:after="0" w:afterAutospacing="0"/>
        <w:jc w:val="both"/>
        <w:rPr>
          <w:rFonts w:ascii="Arial" w:hAnsi="Arial" w:cs="Arial"/>
          <w:b/>
          <w:sz w:val="20"/>
          <w:szCs w:val="20"/>
        </w:rPr>
      </w:pPr>
    </w:p>
    <w:p w:rsidR="00CD1FF9" w:rsidRDefault="00CD1FF9" w:rsidP="009575C3">
      <w:pPr>
        <w:pStyle w:val="NormalWeb"/>
        <w:spacing w:before="0" w:beforeAutospacing="0" w:after="0" w:afterAutospacing="0"/>
        <w:jc w:val="both"/>
        <w:rPr>
          <w:rFonts w:ascii="Arial" w:hAnsi="Arial" w:cs="Arial"/>
          <w:b/>
          <w:sz w:val="20"/>
          <w:szCs w:val="20"/>
        </w:rPr>
      </w:pPr>
    </w:p>
    <w:p w:rsidR="00CD1FF9" w:rsidRDefault="00CD1FF9" w:rsidP="009575C3">
      <w:pPr>
        <w:pStyle w:val="NormalWeb"/>
        <w:spacing w:before="0" w:beforeAutospacing="0" w:after="0" w:afterAutospacing="0"/>
        <w:jc w:val="both"/>
        <w:rPr>
          <w:rFonts w:ascii="Arial" w:hAnsi="Arial" w:cs="Arial"/>
          <w:b/>
          <w:sz w:val="20"/>
          <w:szCs w:val="20"/>
        </w:rPr>
      </w:pPr>
    </w:p>
    <w:p w:rsidR="00CD1FF9" w:rsidRDefault="00CD1FF9" w:rsidP="009575C3">
      <w:pPr>
        <w:pStyle w:val="NormalWeb"/>
        <w:spacing w:before="0" w:beforeAutospacing="0" w:after="0" w:afterAutospacing="0"/>
        <w:jc w:val="both"/>
        <w:rPr>
          <w:rFonts w:ascii="Arial" w:hAnsi="Arial" w:cs="Arial"/>
          <w:b/>
          <w:sz w:val="20"/>
          <w:szCs w:val="20"/>
        </w:rPr>
      </w:pPr>
    </w:p>
    <w:p w:rsidR="00CD1FF9" w:rsidRDefault="00CD1FF9" w:rsidP="009575C3">
      <w:pPr>
        <w:pStyle w:val="NormalWeb"/>
        <w:spacing w:before="0" w:beforeAutospacing="0" w:after="0" w:afterAutospacing="0"/>
        <w:jc w:val="both"/>
        <w:rPr>
          <w:rFonts w:ascii="Arial" w:hAnsi="Arial" w:cs="Arial"/>
          <w:b/>
          <w:sz w:val="20"/>
          <w:szCs w:val="20"/>
        </w:rPr>
      </w:pPr>
    </w:p>
    <w:p w:rsidR="00E333BE" w:rsidRPr="0024217A" w:rsidRDefault="00E333BE" w:rsidP="009575C3">
      <w:pPr>
        <w:pStyle w:val="NormalWeb"/>
        <w:spacing w:before="0" w:beforeAutospacing="0" w:after="0" w:afterAutospacing="0"/>
        <w:jc w:val="both"/>
        <w:rPr>
          <w:sz w:val="16"/>
          <w:szCs w:val="16"/>
        </w:rPr>
      </w:pPr>
    </w:p>
    <w:p w:rsidR="00B207BA" w:rsidRDefault="00B207BA" w:rsidP="00EA32A9">
      <w:pPr>
        <w:pStyle w:val="NormalWeb"/>
        <w:spacing w:before="0" w:beforeAutospacing="0" w:after="0" w:afterAutospacing="0"/>
        <w:rPr>
          <w:b/>
          <w:sz w:val="22"/>
          <w:szCs w:val="22"/>
        </w:rPr>
      </w:pPr>
    </w:p>
    <w:p w:rsidR="00EF6749" w:rsidRDefault="00EF6749" w:rsidP="00C335E9">
      <w:pPr>
        <w:pStyle w:val="NormalWeb"/>
        <w:spacing w:before="0" w:beforeAutospacing="0" w:after="0" w:afterAutospacing="0"/>
        <w:ind w:right="77"/>
        <w:rPr>
          <w:b/>
          <w:sz w:val="22"/>
          <w:szCs w:val="22"/>
        </w:rPr>
      </w:pPr>
    </w:p>
    <w:p w:rsidR="00EF6749" w:rsidRDefault="00EF6749" w:rsidP="00C335E9">
      <w:pPr>
        <w:pStyle w:val="NormalWeb"/>
        <w:spacing w:before="0" w:beforeAutospacing="0" w:after="0" w:afterAutospacing="0"/>
        <w:ind w:right="77"/>
        <w:rPr>
          <w:b/>
          <w:sz w:val="22"/>
          <w:szCs w:val="22"/>
        </w:rPr>
      </w:pPr>
    </w:p>
    <w:p w:rsidR="00EF6749" w:rsidRDefault="00EF6749" w:rsidP="00C335E9">
      <w:pPr>
        <w:pStyle w:val="NormalWeb"/>
        <w:spacing w:before="0" w:beforeAutospacing="0" w:after="0" w:afterAutospacing="0"/>
        <w:ind w:right="77"/>
        <w:rPr>
          <w:b/>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15B9C" w:rsidRPr="00983DBF" w:rsidRDefault="00915B9C" w:rsidP="00915B9C">
      <w:pPr>
        <w:pStyle w:val="NormalWeb"/>
        <w:spacing w:before="0" w:beforeAutospacing="0" w:after="0" w:afterAutospacing="0"/>
        <w:ind w:right="77"/>
        <w:jc w:val="both"/>
        <w:rPr>
          <w:rFonts w:ascii="Arial" w:hAnsi="Arial" w:cs="Arial"/>
          <w:b/>
          <w:bCs/>
          <w:sz w:val="20"/>
          <w:szCs w:val="20"/>
        </w:rPr>
      </w:pPr>
      <w:r w:rsidRPr="00983DBF">
        <w:rPr>
          <w:rFonts w:ascii="Arial" w:hAnsi="Arial" w:cs="Arial"/>
          <w:b/>
          <w:bCs/>
          <w:sz w:val="20"/>
          <w:szCs w:val="20"/>
        </w:rPr>
        <w:lastRenderedPageBreak/>
        <w:t>Tablo 1. 201</w:t>
      </w:r>
      <w:r w:rsidR="00263EF1">
        <w:rPr>
          <w:rFonts w:ascii="Arial" w:hAnsi="Arial" w:cs="Arial"/>
          <w:b/>
          <w:bCs/>
          <w:sz w:val="20"/>
          <w:szCs w:val="20"/>
        </w:rPr>
        <w:t>5</w:t>
      </w:r>
      <w:r w:rsidRPr="00983DBF">
        <w:rPr>
          <w:rFonts w:ascii="Arial" w:hAnsi="Arial" w:cs="Arial"/>
          <w:b/>
          <w:bCs/>
          <w:sz w:val="20"/>
          <w:szCs w:val="20"/>
        </w:rPr>
        <w:t xml:space="preserve"> 4. çeyrekte ve 201</w:t>
      </w:r>
      <w:r w:rsidR="00263EF1">
        <w:rPr>
          <w:rFonts w:ascii="Arial" w:hAnsi="Arial" w:cs="Arial"/>
          <w:b/>
          <w:bCs/>
          <w:sz w:val="20"/>
          <w:szCs w:val="20"/>
        </w:rPr>
        <w:t>5</w:t>
      </w:r>
      <w:r w:rsidRPr="00983DBF">
        <w:rPr>
          <w:rFonts w:ascii="Arial" w:hAnsi="Arial" w:cs="Arial"/>
          <w:b/>
          <w:bCs/>
          <w:sz w:val="20"/>
          <w:szCs w:val="20"/>
        </w:rPr>
        <w:t xml:space="preserve"> 3. çeyrekte GSYH alt</w:t>
      </w:r>
      <w:r w:rsidR="006E1C9F">
        <w:rPr>
          <w:rFonts w:ascii="Arial" w:hAnsi="Arial" w:cs="Arial"/>
          <w:b/>
          <w:bCs/>
          <w:sz w:val="20"/>
          <w:szCs w:val="20"/>
        </w:rPr>
        <w:t xml:space="preserve"> </w:t>
      </w:r>
      <w:r w:rsidRPr="00983DBF">
        <w:rPr>
          <w:rFonts w:ascii="Arial" w:hAnsi="Arial" w:cs="Arial"/>
          <w:b/>
          <w:bCs/>
          <w:sz w:val="20"/>
          <w:szCs w:val="20"/>
        </w:rPr>
        <w:t xml:space="preserve">kalemlerinin, </w:t>
      </w:r>
      <w:r w:rsidRPr="00983DBF">
        <w:rPr>
          <w:rFonts w:ascii="Arial" w:hAnsi="Arial" w:cs="Arial"/>
          <w:b/>
          <w:bCs/>
          <w:sz w:val="20"/>
          <w:szCs w:val="20"/>
          <w:u w:val="single"/>
        </w:rPr>
        <w:t>bir önceki çeyreğe</w:t>
      </w:r>
      <w:r w:rsidRPr="00983DBF">
        <w:rPr>
          <w:rFonts w:ascii="Arial" w:hAnsi="Arial" w:cs="Arial"/>
          <w:b/>
          <w:bCs/>
          <w:sz w:val="20"/>
          <w:szCs w:val="20"/>
        </w:rPr>
        <w:t xml:space="preserve"> göre değişimleri ve büyümeye katkıları</w:t>
      </w:r>
    </w:p>
    <w:p w:rsidR="00D30CE0" w:rsidRDefault="00D30CE0" w:rsidP="00915B9C">
      <w:pPr>
        <w:pStyle w:val="NormalWeb"/>
        <w:spacing w:before="0" w:beforeAutospacing="0" w:after="0" w:afterAutospacing="0"/>
        <w:ind w:right="77"/>
        <w:jc w:val="both"/>
        <w:rPr>
          <w:b/>
          <w:bCs/>
          <w:sz w:val="22"/>
          <w:szCs w:val="22"/>
        </w:rPr>
      </w:pPr>
    </w:p>
    <w:tbl>
      <w:tblPr>
        <w:tblW w:w="4749" w:type="dxa"/>
        <w:tblInd w:w="70" w:type="dxa"/>
        <w:tblLayout w:type="fixed"/>
        <w:tblCellMar>
          <w:left w:w="70" w:type="dxa"/>
          <w:right w:w="70" w:type="dxa"/>
        </w:tblCellMar>
        <w:tblLook w:val="0000" w:firstRow="0" w:lastRow="0" w:firstColumn="0" w:lastColumn="0" w:noHBand="0" w:noVBand="0"/>
      </w:tblPr>
      <w:tblGrid>
        <w:gridCol w:w="2009"/>
        <w:gridCol w:w="1110"/>
        <w:gridCol w:w="1630"/>
      </w:tblGrid>
      <w:tr w:rsidR="00915B9C" w:rsidTr="005A7BB0">
        <w:trPr>
          <w:trHeight w:val="254"/>
        </w:trPr>
        <w:tc>
          <w:tcPr>
            <w:tcW w:w="2009" w:type="dxa"/>
            <w:tcBorders>
              <w:top w:val="single" w:sz="4" w:space="0" w:color="auto"/>
              <w:left w:val="single" w:sz="4" w:space="0" w:color="auto"/>
              <w:bottom w:val="single" w:sz="4" w:space="0" w:color="auto"/>
              <w:right w:val="single" w:sz="4" w:space="0" w:color="auto"/>
            </w:tcBorders>
            <w:noWrap/>
            <w:vAlign w:val="bottom"/>
          </w:tcPr>
          <w:p w:rsidR="00915B9C" w:rsidRDefault="00263EF1" w:rsidP="00B16336">
            <w:pPr>
              <w:rPr>
                <w:rFonts w:ascii="Arial TUR" w:hAnsi="Arial TUR" w:cs="Arial TUR"/>
                <w:b/>
                <w:bCs/>
                <w:sz w:val="20"/>
                <w:szCs w:val="20"/>
              </w:rPr>
            </w:pPr>
            <w:r>
              <w:rPr>
                <w:rFonts w:ascii="Arial TUR" w:hAnsi="Arial TUR" w:cs="Arial TUR"/>
                <w:b/>
                <w:bCs/>
                <w:sz w:val="20"/>
                <w:szCs w:val="20"/>
              </w:rPr>
              <w:t>2015</w:t>
            </w:r>
            <w:r w:rsidR="00915B9C">
              <w:rPr>
                <w:rFonts w:ascii="Arial TUR" w:hAnsi="Arial TUR" w:cs="Arial TUR"/>
                <w:b/>
                <w:bCs/>
                <w:sz w:val="20"/>
                <w:szCs w:val="20"/>
              </w:rPr>
              <w:t xml:space="preserve"> – 4. Ç</w:t>
            </w:r>
          </w:p>
        </w:tc>
        <w:tc>
          <w:tcPr>
            <w:tcW w:w="1110" w:type="dxa"/>
            <w:tcBorders>
              <w:top w:val="single" w:sz="4" w:space="0" w:color="auto"/>
              <w:left w:val="nil"/>
              <w:bottom w:val="single" w:sz="4" w:space="0" w:color="auto"/>
              <w:right w:val="single" w:sz="4" w:space="0" w:color="auto"/>
            </w:tcBorders>
            <w:noWrap/>
            <w:vAlign w:val="bottom"/>
          </w:tcPr>
          <w:p w:rsidR="00915B9C" w:rsidRDefault="00915B9C" w:rsidP="00B16336">
            <w:pPr>
              <w:jc w:val="center"/>
              <w:rPr>
                <w:rFonts w:ascii="Arial TUR" w:hAnsi="Arial TUR" w:cs="Arial TUR"/>
                <w:b/>
                <w:bCs/>
                <w:sz w:val="20"/>
                <w:szCs w:val="20"/>
              </w:rPr>
            </w:pPr>
            <w:r>
              <w:rPr>
                <w:rFonts w:ascii="Arial TUR" w:hAnsi="Arial TUR" w:cs="Arial TUR"/>
                <w:b/>
                <w:bCs/>
                <w:sz w:val="20"/>
                <w:szCs w:val="20"/>
              </w:rPr>
              <w:t>Degişim</w:t>
            </w:r>
          </w:p>
        </w:tc>
        <w:tc>
          <w:tcPr>
            <w:tcW w:w="1630" w:type="dxa"/>
            <w:tcBorders>
              <w:top w:val="single" w:sz="4" w:space="0" w:color="auto"/>
              <w:left w:val="nil"/>
              <w:bottom w:val="single" w:sz="4" w:space="0" w:color="auto"/>
              <w:right w:val="single" w:sz="4" w:space="0" w:color="auto"/>
            </w:tcBorders>
            <w:noWrap/>
            <w:vAlign w:val="bottom"/>
          </w:tcPr>
          <w:p w:rsidR="00915B9C" w:rsidRDefault="00915B9C" w:rsidP="00B16336">
            <w:pPr>
              <w:jc w:val="center"/>
              <w:rPr>
                <w:rFonts w:ascii="Arial TUR" w:hAnsi="Arial TUR" w:cs="Arial TUR"/>
                <w:b/>
                <w:bCs/>
                <w:sz w:val="20"/>
                <w:szCs w:val="20"/>
              </w:rPr>
            </w:pPr>
            <w:r>
              <w:rPr>
                <w:rFonts w:ascii="Arial TUR" w:hAnsi="Arial TUR" w:cs="Arial TUR"/>
                <w:b/>
                <w:bCs/>
                <w:sz w:val="20"/>
                <w:szCs w:val="20"/>
              </w:rPr>
              <w:t>Katkılar</w:t>
            </w:r>
            <w:r w:rsidR="005A7BB0">
              <w:rPr>
                <w:rFonts w:ascii="Arial TUR" w:hAnsi="Arial TUR" w:cs="Arial TUR"/>
                <w:b/>
                <w:bCs/>
                <w:sz w:val="20"/>
                <w:szCs w:val="20"/>
              </w:rPr>
              <w:t xml:space="preserve">    (yüzde puan)</w:t>
            </w:r>
          </w:p>
        </w:tc>
      </w:tr>
      <w:tr w:rsidR="00263EF1" w:rsidTr="005A7BB0">
        <w:trPr>
          <w:trHeight w:val="254"/>
        </w:trPr>
        <w:tc>
          <w:tcPr>
            <w:tcW w:w="2009" w:type="dxa"/>
            <w:tcBorders>
              <w:top w:val="nil"/>
              <w:left w:val="single" w:sz="4" w:space="0" w:color="auto"/>
              <w:bottom w:val="single" w:sz="4" w:space="0" w:color="auto"/>
              <w:right w:val="single" w:sz="4" w:space="0" w:color="auto"/>
            </w:tcBorders>
            <w:noWrap/>
            <w:vAlign w:val="bottom"/>
          </w:tcPr>
          <w:p w:rsidR="00263EF1" w:rsidRDefault="00263EF1" w:rsidP="00B16336">
            <w:pPr>
              <w:rPr>
                <w:rFonts w:ascii="Arial TUR" w:hAnsi="Arial TUR" w:cs="Arial TUR"/>
                <w:b/>
                <w:bCs/>
                <w:sz w:val="20"/>
                <w:szCs w:val="20"/>
              </w:rPr>
            </w:pPr>
            <w:r>
              <w:rPr>
                <w:rFonts w:ascii="Arial TUR" w:hAnsi="Arial TUR" w:cs="Arial TUR"/>
                <w:b/>
                <w:bCs/>
                <w:sz w:val="20"/>
                <w:szCs w:val="20"/>
              </w:rPr>
              <w:t>Tüketim</w:t>
            </w:r>
          </w:p>
        </w:tc>
        <w:tc>
          <w:tcPr>
            <w:tcW w:w="1110" w:type="dxa"/>
            <w:tcBorders>
              <w:top w:val="nil"/>
              <w:left w:val="nil"/>
              <w:bottom w:val="single" w:sz="4" w:space="0" w:color="auto"/>
              <w:right w:val="single" w:sz="4" w:space="0" w:color="auto"/>
            </w:tcBorders>
            <w:noWrap/>
            <w:vAlign w:val="bottom"/>
          </w:tcPr>
          <w:p w:rsidR="00263EF1" w:rsidRDefault="00263EF1">
            <w:pPr>
              <w:jc w:val="right"/>
              <w:rPr>
                <w:rFonts w:ascii="Arial" w:hAnsi="Arial" w:cs="Arial"/>
                <w:sz w:val="20"/>
                <w:szCs w:val="20"/>
              </w:rPr>
            </w:pPr>
            <w:r>
              <w:rPr>
                <w:rFonts w:ascii="Arial" w:hAnsi="Arial" w:cs="Arial"/>
                <w:sz w:val="20"/>
                <w:szCs w:val="20"/>
              </w:rPr>
              <w:t>0.3%</w:t>
            </w:r>
          </w:p>
        </w:tc>
        <w:tc>
          <w:tcPr>
            <w:tcW w:w="1630" w:type="dxa"/>
            <w:tcBorders>
              <w:top w:val="nil"/>
              <w:left w:val="nil"/>
              <w:bottom w:val="single" w:sz="4" w:space="0" w:color="auto"/>
              <w:right w:val="single" w:sz="4" w:space="0" w:color="auto"/>
            </w:tcBorders>
            <w:noWrap/>
            <w:vAlign w:val="bottom"/>
          </w:tcPr>
          <w:p w:rsidR="00263EF1" w:rsidRPr="005A7BB0" w:rsidRDefault="00263EF1" w:rsidP="005A7BB0">
            <w:pPr>
              <w:jc w:val="right"/>
              <w:rPr>
                <w:rFonts w:ascii="Arial" w:hAnsi="Arial" w:cs="Arial"/>
                <w:sz w:val="20"/>
                <w:szCs w:val="20"/>
              </w:rPr>
            </w:pPr>
            <w:r w:rsidRPr="005A7BB0">
              <w:rPr>
                <w:rFonts w:ascii="Arial" w:hAnsi="Arial" w:cs="Arial"/>
                <w:sz w:val="20"/>
                <w:szCs w:val="20"/>
              </w:rPr>
              <w:t>0.2</w:t>
            </w:r>
          </w:p>
        </w:tc>
      </w:tr>
      <w:tr w:rsidR="00263EF1" w:rsidTr="005A7BB0">
        <w:trPr>
          <w:trHeight w:val="254"/>
        </w:trPr>
        <w:tc>
          <w:tcPr>
            <w:tcW w:w="2009" w:type="dxa"/>
            <w:tcBorders>
              <w:top w:val="nil"/>
              <w:left w:val="single" w:sz="4" w:space="0" w:color="auto"/>
              <w:bottom w:val="single" w:sz="4" w:space="0" w:color="auto"/>
              <w:right w:val="single" w:sz="4" w:space="0" w:color="auto"/>
            </w:tcBorders>
            <w:noWrap/>
            <w:vAlign w:val="bottom"/>
          </w:tcPr>
          <w:p w:rsidR="00263EF1" w:rsidRDefault="00263EF1" w:rsidP="00B16336">
            <w:pPr>
              <w:rPr>
                <w:rFonts w:ascii="Arial TUR" w:hAnsi="Arial TUR" w:cs="Arial TUR"/>
                <w:b/>
                <w:bCs/>
                <w:sz w:val="20"/>
                <w:szCs w:val="20"/>
              </w:rPr>
            </w:pPr>
            <w:r>
              <w:rPr>
                <w:rFonts w:ascii="Arial TUR" w:hAnsi="Arial TUR" w:cs="Arial TUR"/>
                <w:b/>
                <w:bCs/>
                <w:sz w:val="20"/>
                <w:szCs w:val="20"/>
              </w:rPr>
              <w:t>Özel Yatırım</w:t>
            </w:r>
          </w:p>
        </w:tc>
        <w:tc>
          <w:tcPr>
            <w:tcW w:w="1110" w:type="dxa"/>
            <w:tcBorders>
              <w:top w:val="nil"/>
              <w:left w:val="nil"/>
              <w:bottom w:val="single" w:sz="4" w:space="0" w:color="auto"/>
              <w:right w:val="single" w:sz="4" w:space="0" w:color="auto"/>
            </w:tcBorders>
            <w:noWrap/>
            <w:vAlign w:val="bottom"/>
          </w:tcPr>
          <w:p w:rsidR="00263EF1" w:rsidRDefault="00263EF1">
            <w:pPr>
              <w:jc w:val="right"/>
              <w:rPr>
                <w:rFonts w:ascii="Arial" w:hAnsi="Arial" w:cs="Arial"/>
                <w:sz w:val="20"/>
                <w:szCs w:val="20"/>
              </w:rPr>
            </w:pPr>
            <w:r>
              <w:rPr>
                <w:rFonts w:ascii="Arial" w:hAnsi="Arial" w:cs="Arial"/>
                <w:sz w:val="20"/>
                <w:szCs w:val="20"/>
              </w:rPr>
              <w:t>2.6%</w:t>
            </w:r>
          </w:p>
        </w:tc>
        <w:tc>
          <w:tcPr>
            <w:tcW w:w="1630" w:type="dxa"/>
            <w:tcBorders>
              <w:top w:val="nil"/>
              <w:left w:val="nil"/>
              <w:bottom w:val="single" w:sz="4" w:space="0" w:color="auto"/>
              <w:right w:val="single" w:sz="4" w:space="0" w:color="auto"/>
            </w:tcBorders>
            <w:noWrap/>
            <w:vAlign w:val="bottom"/>
          </w:tcPr>
          <w:p w:rsidR="00263EF1" w:rsidRPr="005A7BB0" w:rsidRDefault="00263EF1">
            <w:pPr>
              <w:jc w:val="right"/>
              <w:rPr>
                <w:rFonts w:ascii="Arial" w:hAnsi="Arial" w:cs="Arial"/>
                <w:sz w:val="20"/>
                <w:szCs w:val="20"/>
              </w:rPr>
            </w:pPr>
            <w:r w:rsidRPr="005A7BB0">
              <w:rPr>
                <w:rFonts w:ascii="Arial" w:hAnsi="Arial" w:cs="Arial"/>
                <w:sz w:val="20"/>
                <w:szCs w:val="20"/>
              </w:rPr>
              <w:t>0.5</w:t>
            </w:r>
          </w:p>
        </w:tc>
      </w:tr>
      <w:tr w:rsidR="00263EF1" w:rsidTr="005A7BB0">
        <w:trPr>
          <w:trHeight w:val="254"/>
        </w:trPr>
        <w:tc>
          <w:tcPr>
            <w:tcW w:w="2009" w:type="dxa"/>
            <w:tcBorders>
              <w:top w:val="nil"/>
              <w:left w:val="single" w:sz="4" w:space="0" w:color="auto"/>
              <w:bottom w:val="single" w:sz="4" w:space="0" w:color="auto"/>
              <w:right w:val="single" w:sz="4" w:space="0" w:color="auto"/>
            </w:tcBorders>
            <w:noWrap/>
            <w:vAlign w:val="bottom"/>
          </w:tcPr>
          <w:p w:rsidR="00263EF1" w:rsidRDefault="00263EF1" w:rsidP="00B16336">
            <w:pPr>
              <w:rPr>
                <w:rFonts w:ascii="Arial TUR" w:hAnsi="Arial TUR" w:cs="Arial TUR"/>
                <w:b/>
                <w:bCs/>
                <w:sz w:val="20"/>
                <w:szCs w:val="20"/>
              </w:rPr>
            </w:pPr>
            <w:r>
              <w:rPr>
                <w:rFonts w:ascii="Arial TUR" w:hAnsi="Arial TUR" w:cs="Arial TUR"/>
                <w:b/>
                <w:bCs/>
                <w:sz w:val="20"/>
                <w:szCs w:val="20"/>
              </w:rPr>
              <w:t>Kamu Harcamaları</w:t>
            </w:r>
          </w:p>
        </w:tc>
        <w:tc>
          <w:tcPr>
            <w:tcW w:w="1110" w:type="dxa"/>
            <w:tcBorders>
              <w:top w:val="nil"/>
              <w:left w:val="nil"/>
              <w:bottom w:val="single" w:sz="4" w:space="0" w:color="auto"/>
              <w:right w:val="single" w:sz="4" w:space="0" w:color="auto"/>
            </w:tcBorders>
            <w:noWrap/>
            <w:vAlign w:val="bottom"/>
          </w:tcPr>
          <w:p w:rsidR="00263EF1" w:rsidRDefault="00263EF1">
            <w:pPr>
              <w:jc w:val="right"/>
              <w:rPr>
                <w:rFonts w:ascii="Arial" w:hAnsi="Arial" w:cs="Arial"/>
                <w:sz w:val="20"/>
                <w:szCs w:val="20"/>
              </w:rPr>
            </w:pPr>
            <w:r>
              <w:rPr>
                <w:rFonts w:ascii="Arial" w:hAnsi="Arial" w:cs="Arial"/>
                <w:sz w:val="20"/>
                <w:szCs w:val="20"/>
              </w:rPr>
              <w:t>0.2%</w:t>
            </w:r>
          </w:p>
        </w:tc>
        <w:tc>
          <w:tcPr>
            <w:tcW w:w="1630" w:type="dxa"/>
            <w:tcBorders>
              <w:top w:val="nil"/>
              <w:left w:val="nil"/>
              <w:bottom w:val="single" w:sz="4" w:space="0" w:color="auto"/>
              <w:right w:val="single" w:sz="4" w:space="0" w:color="auto"/>
            </w:tcBorders>
            <w:noWrap/>
            <w:vAlign w:val="bottom"/>
          </w:tcPr>
          <w:p w:rsidR="00263EF1" w:rsidRPr="005A7BB0" w:rsidRDefault="00263EF1">
            <w:pPr>
              <w:jc w:val="right"/>
              <w:rPr>
                <w:rFonts w:ascii="Arial" w:hAnsi="Arial" w:cs="Arial"/>
                <w:sz w:val="20"/>
                <w:szCs w:val="20"/>
              </w:rPr>
            </w:pPr>
            <w:r w:rsidRPr="005A7BB0">
              <w:rPr>
                <w:rFonts w:ascii="Arial" w:hAnsi="Arial" w:cs="Arial"/>
                <w:sz w:val="20"/>
                <w:szCs w:val="20"/>
              </w:rPr>
              <w:t>0.0</w:t>
            </w:r>
          </w:p>
        </w:tc>
      </w:tr>
      <w:tr w:rsidR="00263EF1" w:rsidTr="005A7BB0">
        <w:trPr>
          <w:trHeight w:val="254"/>
        </w:trPr>
        <w:tc>
          <w:tcPr>
            <w:tcW w:w="2009" w:type="dxa"/>
            <w:tcBorders>
              <w:top w:val="nil"/>
              <w:left w:val="single" w:sz="4" w:space="0" w:color="auto"/>
              <w:bottom w:val="single" w:sz="4" w:space="0" w:color="auto"/>
              <w:right w:val="single" w:sz="4" w:space="0" w:color="auto"/>
            </w:tcBorders>
            <w:noWrap/>
            <w:vAlign w:val="bottom"/>
          </w:tcPr>
          <w:p w:rsidR="00263EF1" w:rsidRDefault="00263EF1" w:rsidP="00B16336">
            <w:pPr>
              <w:rPr>
                <w:rFonts w:ascii="Arial TUR" w:hAnsi="Arial TUR" w:cs="Arial TUR"/>
                <w:b/>
                <w:bCs/>
                <w:sz w:val="20"/>
                <w:szCs w:val="20"/>
              </w:rPr>
            </w:pPr>
            <w:r>
              <w:rPr>
                <w:rFonts w:ascii="Arial TUR" w:hAnsi="Arial TUR" w:cs="Arial TUR"/>
                <w:b/>
                <w:bCs/>
                <w:sz w:val="20"/>
                <w:szCs w:val="20"/>
              </w:rPr>
              <w:t>Stok Değişimi</w:t>
            </w:r>
          </w:p>
        </w:tc>
        <w:tc>
          <w:tcPr>
            <w:tcW w:w="1110" w:type="dxa"/>
            <w:tcBorders>
              <w:top w:val="nil"/>
              <w:left w:val="nil"/>
              <w:bottom w:val="single" w:sz="4" w:space="0" w:color="auto"/>
              <w:right w:val="single" w:sz="4" w:space="0" w:color="auto"/>
            </w:tcBorders>
            <w:noWrap/>
            <w:vAlign w:val="bottom"/>
          </w:tcPr>
          <w:p w:rsidR="00263EF1" w:rsidRDefault="00263EF1">
            <w:pPr>
              <w:rPr>
                <w:rFonts w:ascii="Arial" w:hAnsi="Arial" w:cs="Arial"/>
                <w:sz w:val="20"/>
                <w:szCs w:val="20"/>
              </w:rPr>
            </w:pPr>
            <w:r>
              <w:rPr>
                <w:rFonts w:ascii="Arial" w:hAnsi="Arial" w:cs="Arial"/>
                <w:sz w:val="20"/>
                <w:szCs w:val="20"/>
              </w:rPr>
              <w:t> </w:t>
            </w:r>
          </w:p>
        </w:tc>
        <w:tc>
          <w:tcPr>
            <w:tcW w:w="1630" w:type="dxa"/>
            <w:tcBorders>
              <w:top w:val="nil"/>
              <w:left w:val="nil"/>
              <w:bottom w:val="single" w:sz="4" w:space="0" w:color="auto"/>
              <w:right w:val="single" w:sz="4" w:space="0" w:color="auto"/>
            </w:tcBorders>
            <w:noWrap/>
            <w:vAlign w:val="bottom"/>
          </w:tcPr>
          <w:p w:rsidR="00263EF1" w:rsidRPr="005A7BB0" w:rsidRDefault="00263EF1">
            <w:pPr>
              <w:jc w:val="right"/>
              <w:rPr>
                <w:rFonts w:ascii="Arial" w:hAnsi="Arial" w:cs="Arial"/>
                <w:sz w:val="20"/>
                <w:szCs w:val="20"/>
              </w:rPr>
            </w:pPr>
            <w:r w:rsidRPr="005A7BB0">
              <w:rPr>
                <w:rFonts w:ascii="Arial" w:hAnsi="Arial" w:cs="Arial"/>
                <w:sz w:val="20"/>
                <w:szCs w:val="20"/>
              </w:rPr>
              <w:t>2.0</w:t>
            </w:r>
          </w:p>
        </w:tc>
      </w:tr>
      <w:tr w:rsidR="00263EF1" w:rsidTr="005A7BB0">
        <w:trPr>
          <w:trHeight w:val="254"/>
        </w:trPr>
        <w:tc>
          <w:tcPr>
            <w:tcW w:w="2009" w:type="dxa"/>
            <w:tcBorders>
              <w:top w:val="nil"/>
              <w:left w:val="single" w:sz="4" w:space="0" w:color="auto"/>
              <w:bottom w:val="single" w:sz="4" w:space="0" w:color="auto"/>
              <w:right w:val="single" w:sz="4" w:space="0" w:color="auto"/>
            </w:tcBorders>
            <w:noWrap/>
            <w:vAlign w:val="bottom"/>
          </w:tcPr>
          <w:p w:rsidR="00263EF1" w:rsidRDefault="00263EF1" w:rsidP="00B16336">
            <w:pPr>
              <w:rPr>
                <w:rFonts w:ascii="Arial TUR" w:hAnsi="Arial TUR" w:cs="Arial TUR"/>
                <w:b/>
                <w:bCs/>
                <w:sz w:val="20"/>
                <w:szCs w:val="20"/>
              </w:rPr>
            </w:pPr>
            <w:r>
              <w:rPr>
                <w:rFonts w:ascii="Arial TUR" w:hAnsi="Arial TUR" w:cs="Arial TUR"/>
                <w:b/>
                <w:bCs/>
                <w:sz w:val="20"/>
                <w:szCs w:val="20"/>
              </w:rPr>
              <w:t>İhracat</w:t>
            </w:r>
          </w:p>
        </w:tc>
        <w:tc>
          <w:tcPr>
            <w:tcW w:w="1110" w:type="dxa"/>
            <w:tcBorders>
              <w:top w:val="nil"/>
              <w:left w:val="nil"/>
              <w:bottom w:val="single" w:sz="4" w:space="0" w:color="auto"/>
              <w:right w:val="single" w:sz="4" w:space="0" w:color="auto"/>
            </w:tcBorders>
            <w:noWrap/>
            <w:vAlign w:val="bottom"/>
          </w:tcPr>
          <w:p w:rsidR="00263EF1" w:rsidRDefault="00263EF1">
            <w:pPr>
              <w:jc w:val="right"/>
              <w:rPr>
                <w:rFonts w:ascii="Arial" w:hAnsi="Arial" w:cs="Arial"/>
                <w:sz w:val="20"/>
                <w:szCs w:val="20"/>
              </w:rPr>
            </w:pPr>
            <w:r>
              <w:rPr>
                <w:rFonts w:ascii="Arial" w:hAnsi="Arial" w:cs="Arial"/>
                <w:sz w:val="20"/>
                <w:szCs w:val="20"/>
              </w:rPr>
              <w:t>-1.2%</w:t>
            </w:r>
          </w:p>
        </w:tc>
        <w:tc>
          <w:tcPr>
            <w:tcW w:w="1630" w:type="dxa"/>
            <w:tcBorders>
              <w:top w:val="nil"/>
              <w:left w:val="nil"/>
              <w:bottom w:val="single" w:sz="4" w:space="0" w:color="auto"/>
              <w:right w:val="single" w:sz="4" w:space="0" w:color="auto"/>
            </w:tcBorders>
            <w:noWrap/>
            <w:vAlign w:val="bottom"/>
          </w:tcPr>
          <w:p w:rsidR="00263EF1" w:rsidRPr="005A7BB0" w:rsidRDefault="00263EF1">
            <w:pPr>
              <w:jc w:val="right"/>
              <w:rPr>
                <w:rFonts w:ascii="Arial" w:hAnsi="Arial" w:cs="Arial"/>
                <w:sz w:val="20"/>
                <w:szCs w:val="20"/>
              </w:rPr>
            </w:pPr>
            <w:r w:rsidRPr="005A7BB0">
              <w:rPr>
                <w:rFonts w:ascii="Arial" w:hAnsi="Arial" w:cs="Arial"/>
                <w:sz w:val="20"/>
                <w:szCs w:val="20"/>
              </w:rPr>
              <w:t>-0.3</w:t>
            </w:r>
          </w:p>
        </w:tc>
      </w:tr>
      <w:tr w:rsidR="00263EF1" w:rsidTr="005A7BB0">
        <w:trPr>
          <w:trHeight w:val="254"/>
        </w:trPr>
        <w:tc>
          <w:tcPr>
            <w:tcW w:w="2009" w:type="dxa"/>
            <w:tcBorders>
              <w:top w:val="nil"/>
              <w:left w:val="single" w:sz="4" w:space="0" w:color="auto"/>
              <w:bottom w:val="single" w:sz="4" w:space="0" w:color="auto"/>
              <w:right w:val="single" w:sz="4" w:space="0" w:color="auto"/>
            </w:tcBorders>
            <w:noWrap/>
            <w:vAlign w:val="bottom"/>
          </w:tcPr>
          <w:p w:rsidR="00263EF1" w:rsidRDefault="00263EF1" w:rsidP="00B16336">
            <w:pPr>
              <w:rPr>
                <w:rFonts w:ascii="Arial TUR" w:hAnsi="Arial TUR" w:cs="Arial TUR"/>
                <w:b/>
                <w:bCs/>
                <w:sz w:val="20"/>
                <w:szCs w:val="20"/>
              </w:rPr>
            </w:pPr>
            <w:r>
              <w:rPr>
                <w:rFonts w:ascii="Arial TUR" w:hAnsi="Arial TUR" w:cs="Arial TUR"/>
                <w:b/>
                <w:bCs/>
                <w:sz w:val="20"/>
                <w:szCs w:val="20"/>
              </w:rPr>
              <w:t>İthalat</w:t>
            </w:r>
          </w:p>
        </w:tc>
        <w:tc>
          <w:tcPr>
            <w:tcW w:w="1110" w:type="dxa"/>
            <w:tcBorders>
              <w:top w:val="nil"/>
              <w:left w:val="nil"/>
              <w:bottom w:val="single" w:sz="4" w:space="0" w:color="auto"/>
              <w:right w:val="single" w:sz="4" w:space="0" w:color="auto"/>
            </w:tcBorders>
            <w:noWrap/>
            <w:vAlign w:val="bottom"/>
          </w:tcPr>
          <w:p w:rsidR="00263EF1" w:rsidRDefault="00263EF1">
            <w:pPr>
              <w:jc w:val="right"/>
              <w:rPr>
                <w:rFonts w:ascii="Arial" w:hAnsi="Arial" w:cs="Arial"/>
                <w:sz w:val="20"/>
                <w:szCs w:val="20"/>
              </w:rPr>
            </w:pPr>
            <w:r>
              <w:rPr>
                <w:rFonts w:ascii="Arial" w:hAnsi="Arial" w:cs="Arial"/>
                <w:sz w:val="20"/>
                <w:szCs w:val="20"/>
              </w:rPr>
              <w:t>6.5%</w:t>
            </w:r>
          </w:p>
        </w:tc>
        <w:tc>
          <w:tcPr>
            <w:tcW w:w="1630" w:type="dxa"/>
            <w:tcBorders>
              <w:top w:val="nil"/>
              <w:left w:val="nil"/>
              <w:bottom w:val="single" w:sz="4" w:space="0" w:color="auto"/>
              <w:right w:val="single" w:sz="4" w:space="0" w:color="auto"/>
            </w:tcBorders>
            <w:noWrap/>
            <w:vAlign w:val="bottom"/>
          </w:tcPr>
          <w:p w:rsidR="00263EF1" w:rsidRPr="005A7BB0" w:rsidRDefault="00263EF1">
            <w:pPr>
              <w:jc w:val="right"/>
              <w:rPr>
                <w:rFonts w:ascii="Arial" w:hAnsi="Arial" w:cs="Arial"/>
                <w:sz w:val="20"/>
                <w:szCs w:val="20"/>
              </w:rPr>
            </w:pPr>
            <w:r w:rsidRPr="005A7BB0">
              <w:rPr>
                <w:rFonts w:ascii="Arial" w:hAnsi="Arial" w:cs="Arial"/>
                <w:sz w:val="20"/>
                <w:szCs w:val="20"/>
              </w:rPr>
              <w:t>-1.7</w:t>
            </w:r>
          </w:p>
        </w:tc>
      </w:tr>
      <w:tr w:rsidR="00263EF1" w:rsidTr="005A7BB0">
        <w:trPr>
          <w:trHeight w:val="254"/>
        </w:trPr>
        <w:tc>
          <w:tcPr>
            <w:tcW w:w="2009" w:type="dxa"/>
            <w:tcBorders>
              <w:top w:val="nil"/>
              <w:left w:val="single" w:sz="4" w:space="0" w:color="auto"/>
              <w:bottom w:val="single" w:sz="4" w:space="0" w:color="auto"/>
              <w:right w:val="single" w:sz="4" w:space="0" w:color="auto"/>
            </w:tcBorders>
            <w:noWrap/>
            <w:vAlign w:val="bottom"/>
          </w:tcPr>
          <w:p w:rsidR="00263EF1" w:rsidRPr="00915B9C" w:rsidRDefault="00263EF1" w:rsidP="00B16336">
            <w:pPr>
              <w:rPr>
                <w:rFonts w:ascii="Arial" w:hAnsi="Arial" w:cs="Arial"/>
                <w:b/>
                <w:sz w:val="20"/>
                <w:szCs w:val="20"/>
              </w:rPr>
            </w:pPr>
            <w:r w:rsidRPr="00915B9C">
              <w:rPr>
                <w:rFonts w:ascii="Arial" w:hAnsi="Arial" w:cs="Arial"/>
                <w:b/>
                <w:sz w:val="20"/>
                <w:szCs w:val="20"/>
              </w:rPr>
              <w:t>GSYH </w:t>
            </w:r>
          </w:p>
        </w:tc>
        <w:tc>
          <w:tcPr>
            <w:tcW w:w="1110" w:type="dxa"/>
            <w:tcBorders>
              <w:top w:val="nil"/>
              <w:left w:val="nil"/>
              <w:bottom w:val="single" w:sz="4" w:space="0" w:color="auto"/>
              <w:right w:val="single" w:sz="4" w:space="0" w:color="auto"/>
            </w:tcBorders>
            <w:noWrap/>
            <w:vAlign w:val="bottom"/>
          </w:tcPr>
          <w:p w:rsidR="00263EF1" w:rsidRDefault="005E5EF0">
            <w:pPr>
              <w:jc w:val="right"/>
              <w:rPr>
                <w:rFonts w:ascii="Arial" w:hAnsi="Arial" w:cs="Arial"/>
                <w:sz w:val="20"/>
                <w:szCs w:val="20"/>
              </w:rPr>
            </w:pPr>
            <w:r>
              <w:rPr>
                <w:rFonts w:ascii="Arial" w:hAnsi="Arial" w:cs="Arial"/>
                <w:sz w:val="20"/>
                <w:szCs w:val="20"/>
              </w:rPr>
              <w:t>0.7%</w:t>
            </w:r>
          </w:p>
        </w:tc>
        <w:tc>
          <w:tcPr>
            <w:tcW w:w="1630" w:type="dxa"/>
            <w:tcBorders>
              <w:top w:val="nil"/>
              <w:left w:val="nil"/>
              <w:bottom w:val="single" w:sz="4" w:space="0" w:color="auto"/>
              <w:right w:val="single" w:sz="4" w:space="0" w:color="auto"/>
            </w:tcBorders>
            <w:noWrap/>
            <w:vAlign w:val="bottom"/>
          </w:tcPr>
          <w:p w:rsidR="00263EF1" w:rsidRPr="005A7BB0" w:rsidRDefault="00263EF1">
            <w:pPr>
              <w:jc w:val="right"/>
              <w:rPr>
                <w:rFonts w:ascii="Arial" w:hAnsi="Arial" w:cs="Arial"/>
                <w:sz w:val="20"/>
                <w:szCs w:val="20"/>
              </w:rPr>
            </w:pPr>
          </w:p>
        </w:tc>
      </w:tr>
      <w:tr w:rsidR="00915B9C" w:rsidTr="005A7BB0">
        <w:trPr>
          <w:trHeight w:val="254"/>
        </w:trPr>
        <w:tc>
          <w:tcPr>
            <w:tcW w:w="2009" w:type="dxa"/>
            <w:tcBorders>
              <w:top w:val="nil"/>
              <w:left w:val="single" w:sz="4" w:space="0" w:color="auto"/>
              <w:bottom w:val="single" w:sz="4" w:space="0" w:color="auto"/>
              <w:right w:val="single" w:sz="4" w:space="0" w:color="auto"/>
            </w:tcBorders>
            <w:noWrap/>
            <w:vAlign w:val="bottom"/>
          </w:tcPr>
          <w:p w:rsidR="00915B9C" w:rsidRDefault="00915B9C" w:rsidP="00B16336">
            <w:pPr>
              <w:rPr>
                <w:rFonts w:ascii="Arial" w:hAnsi="Arial" w:cs="Arial"/>
                <w:sz w:val="20"/>
                <w:szCs w:val="20"/>
              </w:rPr>
            </w:pPr>
          </w:p>
        </w:tc>
        <w:tc>
          <w:tcPr>
            <w:tcW w:w="1110" w:type="dxa"/>
            <w:tcBorders>
              <w:top w:val="nil"/>
              <w:left w:val="nil"/>
              <w:bottom w:val="single" w:sz="4" w:space="0" w:color="auto"/>
              <w:right w:val="single" w:sz="4" w:space="0" w:color="auto"/>
            </w:tcBorders>
            <w:noWrap/>
            <w:vAlign w:val="bottom"/>
          </w:tcPr>
          <w:p w:rsidR="00915B9C" w:rsidRDefault="00915B9C" w:rsidP="00B16336">
            <w:pPr>
              <w:rPr>
                <w:rFonts w:ascii="Arial" w:hAnsi="Arial" w:cs="Arial"/>
                <w:sz w:val="20"/>
                <w:szCs w:val="20"/>
              </w:rPr>
            </w:pPr>
          </w:p>
        </w:tc>
        <w:tc>
          <w:tcPr>
            <w:tcW w:w="1630" w:type="dxa"/>
            <w:tcBorders>
              <w:top w:val="nil"/>
              <w:left w:val="nil"/>
              <w:bottom w:val="single" w:sz="4" w:space="0" w:color="auto"/>
              <w:right w:val="single" w:sz="4" w:space="0" w:color="auto"/>
            </w:tcBorders>
            <w:noWrap/>
            <w:vAlign w:val="bottom"/>
          </w:tcPr>
          <w:p w:rsidR="00915B9C" w:rsidRDefault="00915B9C" w:rsidP="00B16336">
            <w:pPr>
              <w:rPr>
                <w:rFonts w:ascii="Arial" w:hAnsi="Arial" w:cs="Arial"/>
                <w:sz w:val="20"/>
                <w:szCs w:val="20"/>
              </w:rPr>
            </w:pPr>
          </w:p>
        </w:tc>
      </w:tr>
      <w:tr w:rsidR="00915B9C" w:rsidTr="005A7BB0">
        <w:trPr>
          <w:trHeight w:val="254"/>
        </w:trPr>
        <w:tc>
          <w:tcPr>
            <w:tcW w:w="2009" w:type="dxa"/>
            <w:tcBorders>
              <w:top w:val="nil"/>
              <w:left w:val="single" w:sz="4" w:space="0" w:color="auto"/>
              <w:bottom w:val="single" w:sz="4" w:space="0" w:color="auto"/>
              <w:right w:val="single" w:sz="4" w:space="0" w:color="auto"/>
            </w:tcBorders>
            <w:noWrap/>
            <w:vAlign w:val="bottom"/>
          </w:tcPr>
          <w:p w:rsidR="00915B9C" w:rsidRDefault="00263EF1" w:rsidP="00B16336">
            <w:pPr>
              <w:rPr>
                <w:rFonts w:ascii="Arial TUR" w:hAnsi="Arial TUR" w:cs="Arial TUR"/>
                <w:b/>
                <w:bCs/>
                <w:sz w:val="20"/>
                <w:szCs w:val="20"/>
              </w:rPr>
            </w:pPr>
            <w:r>
              <w:rPr>
                <w:rFonts w:ascii="Arial TUR" w:hAnsi="Arial TUR" w:cs="Arial TUR"/>
                <w:b/>
                <w:bCs/>
                <w:sz w:val="20"/>
                <w:szCs w:val="20"/>
              </w:rPr>
              <w:t>201</w:t>
            </w:r>
            <w:r w:rsidR="00B16336">
              <w:rPr>
                <w:rFonts w:ascii="Arial TUR" w:hAnsi="Arial TUR" w:cs="Arial TUR"/>
                <w:b/>
                <w:bCs/>
                <w:sz w:val="20"/>
                <w:szCs w:val="20"/>
              </w:rPr>
              <w:t>5</w:t>
            </w:r>
            <w:r w:rsidR="00915B9C">
              <w:rPr>
                <w:rFonts w:ascii="Arial TUR" w:hAnsi="Arial TUR" w:cs="Arial TUR"/>
                <w:b/>
                <w:bCs/>
                <w:sz w:val="20"/>
                <w:szCs w:val="20"/>
              </w:rPr>
              <w:t xml:space="preserve"> – 3. Ç</w:t>
            </w:r>
          </w:p>
        </w:tc>
        <w:tc>
          <w:tcPr>
            <w:tcW w:w="1110" w:type="dxa"/>
            <w:tcBorders>
              <w:top w:val="nil"/>
              <w:left w:val="nil"/>
              <w:bottom w:val="single" w:sz="4" w:space="0" w:color="auto"/>
              <w:right w:val="single" w:sz="4" w:space="0" w:color="auto"/>
            </w:tcBorders>
            <w:noWrap/>
            <w:vAlign w:val="bottom"/>
          </w:tcPr>
          <w:p w:rsidR="00915B9C" w:rsidRDefault="00915B9C" w:rsidP="00B16336">
            <w:pPr>
              <w:jc w:val="center"/>
              <w:rPr>
                <w:rFonts w:ascii="Arial TUR" w:hAnsi="Arial TUR" w:cs="Arial TUR"/>
                <w:b/>
                <w:bCs/>
                <w:sz w:val="20"/>
                <w:szCs w:val="20"/>
              </w:rPr>
            </w:pPr>
            <w:r>
              <w:rPr>
                <w:rFonts w:ascii="Arial TUR" w:hAnsi="Arial TUR" w:cs="Arial TUR"/>
                <w:b/>
                <w:bCs/>
                <w:sz w:val="20"/>
                <w:szCs w:val="20"/>
              </w:rPr>
              <w:t>Degişim</w:t>
            </w:r>
          </w:p>
        </w:tc>
        <w:tc>
          <w:tcPr>
            <w:tcW w:w="1630" w:type="dxa"/>
            <w:tcBorders>
              <w:top w:val="nil"/>
              <w:left w:val="nil"/>
              <w:bottom w:val="single" w:sz="4" w:space="0" w:color="auto"/>
              <w:right w:val="single" w:sz="4" w:space="0" w:color="auto"/>
            </w:tcBorders>
            <w:noWrap/>
            <w:vAlign w:val="bottom"/>
          </w:tcPr>
          <w:p w:rsidR="00915B9C" w:rsidRDefault="00915B9C" w:rsidP="00B16336">
            <w:pPr>
              <w:jc w:val="center"/>
              <w:rPr>
                <w:rFonts w:ascii="Arial TUR" w:hAnsi="Arial TUR" w:cs="Arial TUR"/>
                <w:b/>
                <w:bCs/>
                <w:sz w:val="20"/>
                <w:szCs w:val="20"/>
              </w:rPr>
            </w:pPr>
            <w:r>
              <w:rPr>
                <w:rFonts w:ascii="Arial TUR" w:hAnsi="Arial TUR" w:cs="Arial TUR"/>
                <w:b/>
                <w:bCs/>
                <w:sz w:val="20"/>
                <w:szCs w:val="20"/>
              </w:rPr>
              <w:t>Katkılar</w:t>
            </w:r>
            <w:r w:rsidR="005A7BB0">
              <w:rPr>
                <w:rFonts w:ascii="Arial TUR" w:hAnsi="Arial TUR" w:cs="Arial TUR"/>
                <w:b/>
                <w:bCs/>
                <w:sz w:val="20"/>
                <w:szCs w:val="20"/>
              </w:rPr>
              <w:t xml:space="preserve">    (yüzde puan)</w:t>
            </w:r>
          </w:p>
        </w:tc>
      </w:tr>
      <w:tr w:rsidR="005E5EF0" w:rsidTr="005A7BB0">
        <w:trPr>
          <w:trHeight w:val="254"/>
        </w:trPr>
        <w:tc>
          <w:tcPr>
            <w:tcW w:w="2009" w:type="dxa"/>
            <w:tcBorders>
              <w:top w:val="nil"/>
              <w:left w:val="single" w:sz="4" w:space="0" w:color="auto"/>
              <w:bottom w:val="single" w:sz="4" w:space="0" w:color="auto"/>
              <w:right w:val="single" w:sz="4" w:space="0" w:color="auto"/>
            </w:tcBorders>
            <w:noWrap/>
            <w:vAlign w:val="bottom"/>
          </w:tcPr>
          <w:p w:rsidR="005E5EF0" w:rsidRDefault="005E5EF0" w:rsidP="00B16336">
            <w:pPr>
              <w:rPr>
                <w:rFonts w:ascii="Arial TUR" w:hAnsi="Arial TUR" w:cs="Arial TUR"/>
                <w:b/>
                <w:bCs/>
                <w:sz w:val="20"/>
                <w:szCs w:val="20"/>
              </w:rPr>
            </w:pPr>
            <w:r>
              <w:rPr>
                <w:rFonts w:ascii="Arial TUR" w:hAnsi="Arial TUR" w:cs="Arial TUR"/>
                <w:b/>
                <w:bCs/>
                <w:sz w:val="20"/>
                <w:szCs w:val="20"/>
              </w:rPr>
              <w:t>Tüketim</w:t>
            </w:r>
          </w:p>
        </w:tc>
        <w:tc>
          <w:tcPr>
            <w:tcW w:w="1110" w:type="dxa"/>
            <w:tcBorders>
              <w:top w:val="nil"/>
              <w:left w:val="nil"/>
              <w:bottom w:val="single" w:sz="4" w:space="0" w:color="auto"/>
              <w:right w:val="single" w:sz="4" w:space="0" w:color="auto"/>
            </w:tcBorders>
            <w:noWrap/>
            <w:vAlign w:val="bottom"/>
          </w:tcPr>
          <w:p w:rsidR="005E5EF0" w:rsidRDefault="005E5EF0">
            <w:pPr>
              <w:jc w:val="right"/>
              <w:rPr>
                <w:rFonts w:ascii="Arial" w:hAnsi="Arial" w:cs="Arial"/>
                <w:sz w:val="20"/>
                <w:szCs w:val="20"/>
              </w:rPr>
            </w:pPr>
            <w:r>
              <w:rPr>
                <w:rFonts w:ascii="Arial" w:hAnsi="Arial" w:cs="Arial"/>
                <w:sz w:val="20"/>
                <w:szCs w:val="20"/>
              </w:rPr>
              <w:t>1.4%</w:t>
            </w:r>
          </w:p>
        </w:tc>
        <w:tc>
          <w:tcPr>
            <w:tcW w:w="1630" w:type="dxa"/>
            <w:tcBorders>
              <w:top w:val="nil"/>
              <w:left w:val="nil"/>
              <w:bottom w:val="single" w:sz="4" w:space="0" w:color="auto"/>
              <w:right w:val="single" w:sz="4" w:space="0" w:color="auto"/>
            </w:tcBorders>
            <w:noWrap/>
            <w:vAlign w:val="bottom"/>
          </w:tcPr>
          <w:p w:rsidR="005E5EF0" w:rsidRPr="005A7BB0" w:rsidRDefault="005E5EF0" w:rsidP="005A7BB0">
            <w:pPr>
              <w:jc w:val="right"/>
              <w:rPr>
                <w:rFonts w:ascii="Arial" w:hAnsi="Arial" w:cs="Arial"/>
                <w:sz w:val="20"/>
                <w:szCs w:val="20"/>
              </w:rPr>
            </w:pPr>
            <w:r w:rsidRPr="005A7BB0">
              <w:rPr>
                <w:rFonts w:ascii="Arial" w:hAnsi="Arial" w:cs="Arial"/>
                <w:sz w:val="20"/>
                <w:szCs w:val="20"/>
              </w:rPr>
              <w:t>0.9</w:t>
            </w:r>
          </w:p>
        </w:tc>
      </w:tr>
      <w:tr w:rsidR="005E5EF0" w:rsidTr="005A7BB0">
        <w:trPr>
          <w:trHeight w:val="254"/>
        </w:trPr>
        <w:tc>
          <w:tcPr>
            <w:tcW w:w="2009" w:type="dxa"/>
            <w:tcBorders>
              <w:top w:val="nil"/>
              <w:left w:val="single" w:sz="4" w:space="0" w:color="auto"/>
              <w:bottom w:val="single" w:sz="4" w:space="0" w:color="auto"/>
              <w:right w:val="single" w:sz="4" w:space="0" w:color="auto"/>
            </w:tcBorders>
            <w:noWrap/>
            <w:vAlign w:val="bottom"/>
          </w:tcPr>
          <w:p w:rsidR="005E5EF0" w:rsidRDefault="005E5EF0" w:rsidP="00B16336">
            <w:pPr>
              <w:rPr>
                <w:rFonts w:ascii="Arial TUR" w:hAnsi="Arial TUR" w:cs="Arial TUR"/>
                <w:b/>
                <w:bCs/>
                <w:sz w:val="20"/>
                <w:szCs w:val="20"/>
              </w:rPr>
            </w:pPr>
            <w:r>
              <w:rPr>
                <w:rFonts w:ascii="Arial TUR" w:hAnsi="Arial TUR" w:cs="Arial TUR"/>
                <w:b/>
                <w:bCs/>
                <w:sz w:val="20"/>
                <w:szCs w:val="20"/>
              </w:rPr>
              <w:t>Özel Yatırım</w:t>
            </w:r>
          </w:p>
        </w:tc>
        <w:tc>
          <w:tcPr>
            <w:tcW w:w="1110" w:type="dxa"/>
            <w:tcBorders>
              <w:top w:val="nil"/>
              <w:left w:val="nil"/>
              <w:bottom w:val="single" w:sz="4" w:space="0" w:color="auto"/>
              <w:right w:val="single" w:sz="4" w:space="0" w:color="auto"/>
            </w:tcBorders>
            <w:noWrap/>
            <w:vAlign w:val="bottom"/>
          </w:tcPr>
          <w:p w:rsidR="005E5EF0" w:rsidRDefault="005E5EF0">
            <w:pPr>
              <w:jc w:val="right"/>
              <w:rPr>
                <w:rFonts w:ascii="Arial" w:hAnsi="Arial" w:cs="Arial"/>
                <w:sz w:val="20"/>
                <w:szCs w:val="20"/>
              </w:rPr>
            </w:pPr>
            <w:r>
              <w:rPr>
                <w:rFonts w:ascii="Arial" w:hAnsi="Arial" w:cs="Arial"/>
                <w:sz w:val="20"/>
                <w:szCs w:val="20"/>
              </w:rPr>
              <w:t>-6.3%</w:t>
            </w:r>
          </w:p>
        </w:tc>
        <w:tc>
          <w:tcPr>
            <w:tcW w:w="1630" w:type="dxa"/>
            <w:tcBorders>
              <w:top w:val="nil"/>
              <w:left w:val="nil"/>
              <w:bottom w:val="single" w:sz="4" w:space="0" w:color="auto"/>
              <w:right w:val="single" w:sz="4" w:space="0" w:color="auto"/>
            </w:tcBorders>
            <w:noWrap/>
            <w:vAlign w:val="bottom"/>
          </w:tcPr>
          <w:p w:rsidR="005E5EF0" w:rsidRPr="005A7BB0" w:rsidRDefault="005E5EF0">
            <w:pPr>
              <w:jc w:val="right"/>
              <w:rPr>
                <w:rFonts w:ascii="Arial" w:hAnsi="Arial" w:cs="Arial"/>
                <w:sz w:val="20"/>
                <w:szCs w:val="20"/>
              </w:rPr>
            </w:pPr>
            <w:r w:rsidRPr="005A7BB0">
              <w:rPr>
                <w:rFonts w:ascii="Arial" w:hAnsi="Arial" w:cs="Arial"/>
                <w:sz w:val="20"/>
                <w:szCs w:val="20"/>
              </w:rPr>
              <w:t>-1.3</w:t>
            </w:r>
          </w:p>
        </w:tc>
      </w:tr>
      <w:tr w:rsidR="005E5EF0" w:rsidTr="005A7BB0">
        <w:trPr>
          <w:trHeight w:val="254"/>
        </w:trPr>
        <w:tc>
          <w:tcPr>
            <w:tcW w:w="2009" w:type="dxa"/>
            <w:tcBorders>
              <w:top w:val="nil"/>
              <w:left w:val="single" w:sz="4" w:space="0" w:color="auto"/>
              <w:bottom w:val="single" w:sz="4" w:space="0" w:color="auto"/>
              <w:right w:val="single" w:sz="4" w:space="0" w:color="auto"/>
            </w:tcBorders>
            <w:noWrap/>
            <w:vAlign w:val="bottom"/>
          </w:tcPr>
          <w:p w:rsidR="005E5EF0" w:rsidRDefault="005E5EF0" w:rsidP="00B16336">
            <w:pPr>
              <w:rPr>
                <w:rFonts w:ascii="Arial TUR" w:hAnsi="Arial TUR" w:cs="Arial TUR"/>
                <w:b/>
                <w:bCs/>
                <w:sz w:val="20"/>
                <w:szCs w:val="20"/>
              </w:rPr>
            </w:pPr>
            <w:r>
              <w:rPr>
                <w:rFonts w:ascii="Arial TUR" w:hAnsi="Arial TUR" w:cs="Arial TUR"/>
                <w:b/>
                <w:bCs/>
                <w:sz w:val="20"/>
                <w:szCs w:val="20"/>
              </w:rPr>
              <w:t>Kamu Harcamaları</w:t>
            </w:r>
          </w:p>
        </w:tc>
        <w:tc>
          <w:tcPr>
            <w:tcW w:w="1110" w:type="dxa"/>
            <w:tcBorders>
              <w:top w:val="nil"/>
              <w:left w:val="nil"/>
              <w:bottom w:val="single" w:sz="4" w:space="0" w:color="auto"/>
              <w:right w:val="single" w:sz="4" w:space="0" w:color="auto"/>
            </w:tcBorders>
            <w:noWrap/>
            <w:vAlign w:val="bottom"/>
          </w:tcPr>
          <w:p w:rsidR="005E5EF0" w:rsidRDefault="005E5EF0">
            <w:pPr>
              <w:jc w:val="right"/>
              <w:rPr>
                <w:rFonts w:ascii="Arial" w:hAnsi="Arial" w:cs="Arial"/>
                <w:sz w:val="20"/>
                <w:szCs w:val="20"/>
              </w:rPr>
            </w:pPr>
            <w:r>
              <w:rPr>
                <w:rFonts w:ascii="Arial" w:hAnsi="Arial" w:cs="Arial"/>
                <w:sz w:val="20"/>
                <w:szCs w:val="20"/>
              </w:rPr>
              <w:t>2.2%</w:t>
            </w:r>
          </w:p>
        </w:tc>
        <w:tc>
          <w:tcPr>
            <w:tcW w:w="1630" w:type="dxa"/>
            <w:tcBorders>
              <w:top w:val="nil"/>
              <w:left w:val="nil"/>
              <w:bottom w:val="single" w:sz="4" w:space="0" w:color="auto"/>
              <w:right w:val="single" w:sz="4" w:space="0" w:color="auto"/>
            </w:tcBorders>
            <w:noWrap/>
            <w:vAlign w:val="bottom"/>
          </w:tcPr>
          <w:p w:rsidR="005E5EF0" w:rsidRPr="005A7BB0" w:rsidRDefault="005E5EF0">
            <w:pPr>
              <w:jc w:val="right"/>
              <w:rPr>
                <w:rFonts w:ascii="Arial" w:hAnsi="Arial" w:cs="Arial"/>
                <w:sz w:val="20"/>
                <w:szCs w:val="20"/>
              </w:rPr>
            </w:pPr>
            <w:r w:rsidRPr="005A7BB0">
              <w:rPr>
                <w:rFonts w:ascii="Arial" w:hAnsi="Arial" w:cs="Arial"/>
                <w:sz w:val="20"/>
                <w:szCs w:val="20"/>
              </w:rPr>
              <w:t>0.3</w:t>
            </w:r>
          </w:p>
        </w:tc>
      </w:tr>
      <w:tr w:rsidR="005E5EF0" w:rsidTr="005A7BB0">
        <w:trPr>
          <w:trHeight w:val="254"/>
        </w:trPr>
        <w:tc>
          <w:tcPr>
            <w:tcW w:w="2009" w:type="dxa"/>
            <w:tcBorders>
              <w:top w:val="nil"/>
              <w:left w:val="single" w:sz="4" w:space="0" w:color="auto"/>
              <w:bottom w:val="single" w:sz="4" w:space="0" w:color="auto"/>
              <w:right w:val="single" w:sz="4" w:space="0" w:color="auto"/>
            </w:tcBorders>
            <w:noWrap/>
            <w:vAlign w:val="bottom"/>
          </w:tcPr>
          <w:p w:rsidR="005E5EF0" w:rsidRDefault="005E5EF0" w:rsidP="00B16336">
            <w:pPr>
              <w:rPr>
                <w:rFonts w:ascii="Arial TUR" w:hAnsi="Arial TUR" w:cs="Arial TUR"/>
                <w:b/>
                <w:bCs/>
                <w:sz w:val="20"/>
                <w:szCs w:val="20"/>
              </w:rPr>
            </w:pPr>
            <w:r>
              <w:rPr>
                <w:rFonts w:ascii="Arial TUR" w:hAnsi="Arial TUR" w:cs="Arial TUR"/>
                <w:b/>
                <w:bCs/>
                <w:sz w:val="20"/>
                <w:szCs w:val="20"/>
              </w:rPr>
              <w:t>Stok Değişimi</w:t>
            </w:r>
          </w:p>
        </w:tc>
        <w:tc>
          <w:tcPr>
            <w:tcW w:w="1110" w:type="dxa"/>
            <w:tcBorders>
              <w:top w:val="nil"/>
              <w:left w:val="nil"/>
              <w:bottom w:val="single" w:sz="4" w:space="0" w:color="auto"/>
              <w:right w:val="single" w:sz="4" w:space="0" w:color="auto"/>
            </w:tcBorders>
            <w:noWrap/>
            <w:vAlign w:val="bottom"/>
          </w:tcPr>
          <w:p w:rsidR="005E5EF0" w:rsidRDefault="005E5EF0">
            <w:pPr>
              <w:rPr>
                <w:rFonts w:ascii="Arial" w:hAnsi="Arial" w:cs="Arial"/>
                <w:sz w:val="20"/>
                <w:szCs w:val="20"/>
              </w:rPr>
            </w:pPr>
            <w:r>
              <w:rPr>
                <w:rFonts w:ascii="Arial" w:hAnsi="Arial" w:cs="Arial"/>
                <w:sz w:val="20"/>
                <w:szCs w:val="20"/>
              </w:rPr>
              <w:t> </w:t>
            </w:r>
          </w:p>
        </w:tc>
        <w:tc>
          <w:tcPr>
            <w:tcW w:w="1630" w:type="dxa"/>
            <w:tcBorders>
              <w:top w:val="nil"/>
              <w:left w:val="nil"/>
              <w:bottom w:val="single" w:sz="4" w:space="0" w:color="auto"/>
              <w:right w:val="single" w:sz="4" w:space="0" w:color="auto"/>
            </w:tcBorders>
            <w:noWrap/>
            <w:vAlign w:val="bottom"/>
          </w:tcPr>
          <w:p w:rsidR="005E5EF0" w:rsidRPr="005A7BB0" w:rsidRDefault="005E5EF0">
            <w:pPr>
              <w:jc w:val="right"/>
              <w:rPr>
                <w:rFonts w:ascii="Arial" w:hAnsi="Arial" w:cs="Arial"/>
                <w:sz w:val="20"/>
                <w:szCs w:val="20"/>
              </w:rPr>
            </w:pPr>
            <w:r w:rsidRPr="005A7BB0">
              <w:rPr>
                <w:rFonts w:ascii="Arial" w:hAnsi="Arial" w:cs="Arial"/>
                <w:sz w:val="20"/>
                <w:szCs w:val="20"/>
              </w:rPr>
              <w:t>-0.5</w:t>
            </w:r>
          </w:p>
        </w:tc>
      </w:tr>
      <w:tr w:rsidR="005E5EF0" w:rsidTr="005A7BB0">
        <w:trPr>
          <w:trHeight w:val="254"/>
        </w:trPr>
        <w:tc>
          <w:tcPr>
            <w:tcW w:w="2009" w:type="dxa"/>
            <w:tcBorders>
              <w:top w:val="nil"/>
              <w:left w:val="single" w:sz="4" w:space="0" w:color="auto"/>
              <w:bottom w:val="single" w:sz="4" w:space="0" w:color="auto"/>
              <w:right w:val="single" w:sz="4" w:space="0" w:color="auto"/>
            </w:tcBorders>
            <w:noWrap/>
            <w:vAlign w:val="bottom"/>
          </w:tcPr>
          <w:p w:rsidR="005E5EF0" w:rsidRDefault="005E5EF0" w:rsidP="00B16336">
            <w:pPr>
              <w:rPr>
                <w:rFonts w:ascii="Arial TUR" w:hAnsi="Arial TUR" w:cs="Arial TUR"/>
                <w:b/>
                <w:bCs/>
                <w:sz w:val="20"/>
                <w:szCs w:val="20"/>
              </w:rPr>
            </w:pPr>
            <w:r>
              <w:rPr>
                <w:rFonts w:ascii="Arial TUR" w:hAnsi="Arial TUR" w:cs="Arial TUR"/>
                <w:b/>
                <w:bCs/>
                <w:sz w:val="20"/>
                <w:szCs w:val="20"/>
              </w:rPr>
              <w:t>İhracat</w:t>
            </w:r>
          </w:p>
        </w:tc>
        <w:tc>
          <w:tcPr>
            <w:tcW w:w="1110" w:type="dxa"/>
            <w:tcBorders>
              <w:top w:val="nil"/>
              <w:left w:val="nil"/>
              <w:bottom w:val="single" w:sz="4" w:space="0" w:color="auto"/>
              <w:right w:val="single" w:sz="4" w:space="0" w:color="auto"/>
            </w:tcBorders>
            <w:noWrap/>
            <w:vAlign w:val="bottom"/>
          </w:tcPr>
          <w:p w:rsidR="005E5EF0" w:rsidRDefault="005E5EF0">
            <w:pPr>
              <w:jc w:val="right"/>
              <w:rPr>
                <w:rFonts w:ascii="Arial" w:hAnsi="Arial" w:cs="Arial"/>
                <w:sz w:val="20"/>
                <w:szCs w:val="20"/>
              </w:rPr>
            </w:pPr>
            <w:r>
              <w:rPr>
                <w:rFonts w:ascii="Arial" w:hAnsi="Arial" w:cs="Arial"/>
                <w:sz w:val="20"/>
                <w:szCs w:val="20"/>
              </w:rPr>
              <w:t>1.6%</w:t>
            </w:r>
          </w:p>
        </w:tc>
        <w:tc>
          <w:tcPr>
            <w:tcW w:w="1630" w:type="dxa"/>
            <w:tcBorders>
              <w:top w:val="nil"/>
              <w:left w:val="nil"/>
              <w:bottom w:val="single" w:sz="4" w:space="0" w:color="auto"/>
              <w:right w:val="single" w:sz="4" w:space="0" w:color="auto"/>
            </w:tcBorders>
            <w:noWrap/>
            <w:vAlign w:val="bottom"/>
          </w:tcPr>
          <w:p w:rsidR="005E5EF0" w:rsidRPr="005A7BB0" w:rsidRDefault="005E5EF0">
            <w:pPr>
              <w:jc w:val="right"/>
              <w:rPr>
                <w:rFonts w:ascii="Arial" w:hAnsi="Arial" w:cs="Arial"/>
                <w:sz w:val="20"/>
                <w:szCs w:val="20"/>
              </w:rPr>
            </w:pPr>
            <w:r w:rsidRPr="005A7BB0">
              <w:rPr>
                <w:rFonts w:ascii="Arial" w:hAnsi="Arial" w:cs="Arial"/>
                <w:sz w:val="20"/>
                <w:szCs w:val="20"/>
              </w:rPr>
              <w:t>0.4</w:t>
            </w:r>
          </w:p>
        </w:tc>
      </w:tr>
      <w:tr w:rsidR="005E5EF0" w:rsidTr="005A7BB0">
        <w:trPr>
          <w:trHeight w:val="254"/>
        </w:trPr>
        <w:tc>
          <w:tcPr>
            <w:tcW w:w="2009" w:type="dxa"/>
            <w:tcBorders>
              <w:top w:val="nil"/>
              <w:left w:val="single" w:sz="4" w:space="0" w:color="auto"/>
              <w:bottom w:val="single" w:sz="4" w:space="0" w:color="auto"/>
              <w:right w:val="single" w:sz="4" w:space="0" w:color="auto"/>
            </w:tcBorders>
            <w:noWrap/>
            <w:vAlign w:val="bottom"/>
          </w:tcPr>
          <w:p w:rsidR="005E5EF0" w:rsidRDefault="005E5EF0" w:rsidP="00B16336">
            <w:pPr>
              <w:rPr>
                <w:rFonts w:ascii="Arial TUR" w:hAnsi="Arial TUR" w:cs="Arial TUR"/>
                <w:b/>
                <w:bCs/>
                <w:sz w:val="20"/>
                <w:szCs w:val="20"/>
              </w:rPr>
            </w:pPr>
            <w:r>
              <w:rPr>
                <w:rFonts w:ascii="Arial TUR" w:hAnsi="Arial TUR" w:cs="Arial TUR"/>
                <w:b/>
                <w:bCs/>
                <w:sz w:val="20"/>
                <w:szCs w:val="20"/>
              </w:rPr>
              <w:t>İthalat</w:t>
            </w:r>
          </w:p>
        </w:tc>
        <w:tc>
          <w:tcPr>
            <w:tcW w:w="1110" w:type="dxa"/>
            <w:tcBorders>
              <w:top w:val="nil"/>
              <w:left w:val="nil"/>
              <w:bottom w:val="single" w:sz="4" w:space="0" w:color="auto"/>
              <w:right w:val="single" w:sz="4" w:space="0" w:color="auto"/>
            </w:tcBorders>
            <w:noWrap/>
            <w:vAlign w:val="bottom"/>
          </w:tcPr>
          <w:p w:rsidR="005E5EF0" w:rsidRDefault="005E5EF0">
            <w:pPr>
              <w:jc w:val="right"/>
              <w:rPr>
                <w:rFonts w:ascii="Arial" w:hAnsi="Arial" w:cs="Arial"/>
                <w:sz w:val="20"/>
                <w:szCs w:val="20"/>
              </w:rPr>
            </w:pPr>
            <w:r>
              <w:rPr>
                <w:rFonts w:ascii="Arial" w:hAnsi="Arial" w:cs="Arial"/>
                <w:sz w:val="20"/>
                <w:szCs w:val="20"/>
              </w:rPr>
              <w:t>-4.6%</w:t>
            </w:r>
          </w:p>
        </w:tc>
        <w:tc>
          <w:tcPr>
            <w:tcW w:w="1630" w:type="dxa"/>
            <w:tcBorders>
              <w:top w:val="nil"/>
              <w:left w:val="nil"/>
              <w:bottom w:val="single" w:sz="4" w:space="0" w:color="auto"/>
              <w:right w:val="single" w:sz="4" w:space="0" w:color="auto"/>
            </w:tcBorders>
            <w:noWrap/>
            <w:vAlign w:val="bottom"/>
          </w:tcPr>
          <w:p w:rsidR="005E5EF0" w:rsidRPr="005A7BB0" w:rsidRDefault="005E5EF0">
            <w:pPr>
              <w:jc w:val="right"/>
              <w:rPr>
                <w:rFonts w:ascii="Arial" w:hAnsi="Arial" w:cs="Arial"/>
                <w:sz w:val="20"/>
                <w:szCs w:val="20"/>
              </w:rPr>
            </w:pPr>
            <w:r w:rsidRPr="005A7BB0">
              <w:rPr>
                <w:rFonts w:ascii="Arial" w:hAnsi="Arial" w:cs="Arial"/>
                <w:sz w:val="20"/>
                <w:szCs w:val="20"/>
              </w:rPr>
              <w:t>1.3</w:t>
            </w:r>
          </w:p>
        </w:tc>
      </w:tr>
      <w:tr w:rsidR="00915B9C" w:rsidTr="005A7BB0">
        <w:trPr>
          <w:trHeight w:val="254"/>
        </w:trPr>
        <w:tc>
          <w:tcPr>
            <w:tcW w:w="2009" w:type="dxa"/>
            <w:tcBorders>
              <w:top w:val="single" w:sz="4" w:space="0" w:color="auto"/>
              <w:left w:val="single" w:sz="4" w:space="0" w:color="auto"/>
              <w:bottom w:val="single" w:sz="4" w:space="0" w:color="auto"/>
              <w:right w:val="single" w:sz="4" w:space="0" w:color="auto"/>
            </w:tcBorders>
            <w:noWrap/>
            <w:vAlign w:val="bottom"/>
          </w:tcPr>
          <w:p w:rsidR="00915B9C" w:rsidRDefault="00915B9C" w:rsidP="00B16336">
            <w:pPr>
              <w:rPr>
                <w:rFonts w:ascii="Arial TUR" w:hAnsi="Arial TUR" w:cs="Arial TUR"/>
                <w:b/>
                <w:bCs/>
                <w:sz w:val="20"/>
                <w:szCs w:val="20"/>
              </w:rPr>
            </w:pPr>
            <w:r w:rsidRPr="00915B9C">
              <w:rPr>
                <w:rFonts w:ascii="Arial" w:hAnsi="Arial" w:cs="Arial"/>
                <w:b/>
                <w:sz w:val="20"/>
                <w:szCs w:val="20"/>
              </w:rPr>
              <w:t>GSYH</w:t>
            </w:r>
          </w:p>
        </w:tc>
        <w:tc>
          <w:tcPr>
            <w:tcW w:w="1110" w:type="dxa"/>
            <w:tcBorders>
              <w:top w:val="single" w:sz="4" w:space="0" w:color="auto"/>
              <w:left w:val="nil"/>
              <w:bottom w:val="single" w:sz="4" w:space="0" w:color="auto"/>
              <w:right w:val="single" w:sz="4" w:space="0" w:color="auto"/>
            </w:tcBorders>
            <w:noWrap/>
            <w:vAlign w:val="bottom"/>
          </w:tcPr>
          <w:p w:rsidR="00915B9C" w:rsidRDefault="005E5EF0" w:rsidP="00B16336">
            <w:pPr>
              <w:jc w:val="right"/>
              <w:rPr>
                <w:rFonts w:ascii="Arial" w:hAnsi="Arial" w:cs="Arial"/>
                <w:sz w:val="20"/>
                <w:szCs w:val="20"/>
              </w:rPr>
            </w:pPr>
            <w:r>
              <w:rPr>
                <w:rFonts w:ascii="Arial" w:hAnsi="Arial" w:cs="Arial"/>
                <w:sz w:val="20"/>
                <w:szCs w:val="20"/>
              </w:rPr>
              <w:t>1.2%</w:t>
            </w:r>
          </w:p>
        </w:tc>
        <w:tc>
          <w:tcPr>
            <w:tcW w:w="1630" w:type="dxa"/>
            <w:tcBorders>
              <w:top w:val="single" w:sz="4" w:space="0" w:color="auto"/>
              <w:left w:val="nil"/>
              <w:bottom w:val="single" w:sz="4" w:space="0" w:color="auto"/>
              <w:right w:val="single" w:sz="4" w:space="0" w:color="auto"/>
            </w:tcBorders>
            <w:noWrap/>
            <w:vAlign w:val="bottom"/>
          </w:tcPr>
          <w:p w:rsidR="00915B9C" w:rsidRDefault="00915B9C" w:rsidP="00B16336">
            <w:pPr>
              <w:jc w:val="right"/>
              <w:rPr>
                <w:rFonts w:ascii="Arial" w:hAnsi="Arial" w:cs="Arial"/>
                <w:sz w:val="20"/>
                <w:szCs w:val="20"/>
              </w:rPr>
            </w:pPr>
          </w:p>
        </w:tc>
      </w:tr>
    </w:tbl>
    <w:p w:rsidR="00915B9C" w:rsidRDefault="00915B9C" w:rsidP="00915B9C">
      <w:pPr>
        <w:pStyle w:val="NormalWeb"/>
        <w:spacing w:before="0" w:beforeAutospacing="0" w:after="0" w:afterAutospacing="0"/>
        <w:jc w:val="both"/>
        <w:rPr>
          <w:rFonts w:ascii="Arial" w:hAnsi="Arial" w:cs="Arial"/>
          <w:sz w:val="20"/>
          <w:szCs w:val="20"/>
        </w:rPr>
      </w:pPr>
      <w:r w:rsidRPr="00660DE2">
        <w:rPr>
          <w:rFonts w:ascii="Arial" w:hAnsi="Arial" w:cs="Arial"/>
          <w:sz w:val="16"/>
          <w:szCs w:val="16"/>
        </w:rPr>
        <w:t>Kaynak : TÜİK.</w:t>
      </w:r>
    </w:p>
    <w:p w:rsidR="00915B9C" w:rsidRPr="00983DBF" w:rsidRDefault="00915B9C" w:rsidP="00915B9C">
      <w:pPr>
        <w:pStyle w:val="NormalWeb"/>
        <w:spacing w:before="0" w:beforeAutospacing="0" w:after="0" w:afterAutospacing="0"/>
        <w:ind w:right="77"/>
        <w:jc w:val="both"/>
        <w:rPr>
          <w:rFonts w:ascii="Arial" w:hAnsi="Arial" w:cs="Arial"/>
          <w:b/>
          <w:bCs/>
          <w:sz w:val="20"/>
          <w:szCs w:val="20"/>
        </w:rPr>
      </w:pPr>
      <w:r>
        <w:rPr>
          <w:b/>
          <w:bCs/>
          <w:sz w:val="22"/>
          <w:szCs w:val="22"/>
        </w:rPr>
        <w:br w:type="column"/>
      </w:r>
      <w:r w:rsidRPr="00983DBF">
        <w:rPr>
          <w:rFonts w:ascii="Arial" w:hAnsi="Arial" w:cs="Arial"/>
          <w:b/>
          <w:bCs/>
          <w:sz w:val="20"/>
          <w:szCs w:val="20"/>
        </w:rPr>
        <w:lastRenderedPageBreak/>
        <w:t xml:space="preserve">Tablo 2. 2014 4. çeyrekte ve 2014 3. çeyrekte GSYH altkalemlerinin, </w:t>
      </w:r>
      <w:r w:rsidRPr="00983DBF">
        <w:rPr>
          <w:rFonts w:ascii="Arial" w:hAnsi="Arial" w:cs="Arial"/>
          <w:b/>
          <w:bCs/>
          <w:sz w:val="20"/>
          <w:szCs w:val="20"/>
          <w:u w:val="single"/>
        </w:rPr>
        <w:t xml:space="preserve">bir önceki yılın aynı çeyreğine göre </w:t>
      </w:r>
      <w:r w:rsidRPr="00983DBF">
        <w:rPr>
          <w:rFonts w:ascii="Arial" w:hAnsi="Arial" w:cs="Arial"/>
          <w:b/>
          <w:bCs/>
          <w:sz w:val="20"/>
          <w:szCs w:val="20"/>
        </w:rPr>
        <w:t>değişimleri ve büyümeye katkıları</w:t>
      </w:r>
    </w:p>
    <w:p w:rsidR="00D30CE0" w:rsidRDefault="00D30CE0" w:rsidP="00915B9C">
      <w:pPr>
        <w:pStyle w:val="NormalWeb"/>
        <w:spacing w:before="0" w:beforeAutospacing="0" w:after="0" w:afterAutospacing="0"/>
        <w:ind w:right="77"/>
        <w:jc w:val="both"/>
        <w:rPr>
          <w:b/>
          <w:bCs/>
          <w:sz w:val="22"/>
          <w:szCs w:val="22"/>
        </w:rPr>
      </w:pPr>
    </w:p>
    <w:tbl>
      <w:tblPr>
        <w:tblW w:w="4680" w:type="dxa"/>
        <w:tblInd w:w="70" w:type="dxa"/>
        <w:tblLayout w:type="fixed"/>
        <w:tblCellMar>
          <w:left w:w="70" w:type="dxa"/>
          <w:right w:w="70" w:type="dxa"/>
        </w:tblCellMar>
        <w:tblLook w:val="0000" w:firstRow="0" w:lastRow="0" w:firstColumn="0" w:lastColumn="0" w:noHBand="0" w:noVBand="0"/>
      </w:tblPr>
      <w:tblGrid>
        <w:gridCol w:w="2070"/>
        <w:gridCol w:w="1191"/>
        <w:gridCol w:w="1419"/>
      </w:tblGrid>
      <w:tr w:rsidR="00915B9C" w:rsidTr="005A7BB0">
        <w:trPr>
          <w:trHeight w:val="255"/>
        </w:trPr>
        <w:tc>
          <w:tcPr>
            <w:tcW w:w="2070" w:type="dxa"/>
            <w:tcBorders>
              <w:top w:val="single" w:sz="4" w:space="0" w:color="auto"/>
              <w:left w:val="single" w:sz="4" w:space="0" w:color="auto"/>
              <w:bottom w:val="single" w:sz="4" w:space="0" w:color="auto"/>
              <w:right w:val="single" w:sz="4" w:space="0" w:color="auto"/>
            </w:tcBorders>
            <w:noWrap/>
            <w:vAlign w:val="bottom"/>
          </w:tcPr>
          <w:p w:rsidR="00915B9C" w:rsidRPr="005E763B" w:rsidRDefault="00915B9C" w:rsidP="00B16336">
            <w:pPr>
              <w:rPr>
                <w:rFonts w:ascii="Arial" w:hAnsi="Arial" w:cs="Arial"/>
                <w:b/>
                <w:bCs/>
                <w:sz w:val="20"/>
                <w:szCs w:val="20"/>
              </w:rPr>
            </w:pPr>
            <w:r>
              <w:rPr>
                <w:rFonts w:ascii="Arial" w:hAnsi="Arial" w:cs="Arial"/>
                <w:b/>
                <w:bCs/>
                <w:sz w:val="20"/>
                <w:szCs w:val="20"/>
              </w:rPr>
              <w:t>201</w:t>
            </w:r>
            <w:r w:rsidR="00B16336">
              <w:rPr>
                <w:rFonts w:ascii="Arial" w:hAnsi="Arial" w:cs="Arial"/>
                <w:b/>
                <w:bCs/>
                <w:sz w:val="20"/>
                <w:szCs w:val="20"/>
              </w:rPr>
              <w:t>5</w:t>
            </w:r>
            <w:r>
              <w:rPr>
                <w:rFonts w:ascii="Arial" w:hAnsi="Arial" w:cs="Arial"/>
                <w:b/>
                <w:bCs/>
                <w:sz w:val="20"/>
                <w:szCs w:val="20"/>
              </w:rPr>
              <w:t xml:space="preserve"> – 4</w:t>
            </w:r>
            <w:r w:rsidRPr="005E763B">
              <w:rPr>
                <w:rFonts w:ascii="Arial" w:hAnsi="Arial" w:cs="Arial"/>
                <w:b/>
                <w:bCs/>
                <w:sz w:val="20"/>
                <w:szCs w:val="20"/>
              </w:rPr>
              <w:t>. Ç</w:t>
            </w:r>
          </w:p>
        </w:tc>
        <w:tc>
          <w:tcPr>
            <w:tcW w:w="1191" w:type="dxa"/>
            <w:tcBorders>
              <w:top w:val="single" w:sz="4" w:space="0" w:color="auto"/>
              <w:left w:val="nil"/>
              <w:bottom w:val="single" w:sz="4" w:space="0" w:color="auto"/>
              <w:right w:val="single" w:sz="4" w:space="0" w:color="auto"/>
            </w:tcBorders>
            <w:noWrap/>
            <w:vAlign w:val="bottom"/>
          </w:tcPr>
          <w:p w:rsidR="00915B9C" w:rsidRPr="005E763B" w:rsidRDefault="00915B9C" w:rsidP="00B16336">
            <w:pPr>
              <w:jc w:val="center"/>
              <w:rPr>
                <w:rFonts w:ascii="Arial" w:hAnsi="Arial" w:cs="Arial"/>
                <w:b/>
                <w:bCs/>
                <w:sz w:val="20"/>
                <w:szCs w:val="20"/>
              </w:rPr>
            </w:pPr>
            <w:r w:rsidRPr="005E763B">
              <w:rPr>
                <w:rFonts w:ascii="Arial" w:hAnsi="Arial" w:cs="Arial"/>
                <w:b/>
                <w:bCs/>
                <w:sz w:val="20"/>
                <w:szCs w:val="20"/>
              </w:rPr>
              <w:t>Degişim</w:t>
            </w:r>
          </w:p>
        </w:tc>
        <w:tc>
          <w:tcPr>
            <w:tcW w:w="1419" w:type="dxa"/>
            <w:tcBorders>
              <w:top w:val="single" w:sz="4" w:space="0" w:color="auto"/>
              <w:left w:val="nil"/>
              <w:bottom w:val="single" w:sz="4" w:space="0" w:color="auto"/>
              <w:right w:val="single" w:sz="4" w:space="0" w:color="auto"/>
            </w:tcBorders>
            <w:noWrap/>
            <w:vAlign w:val="bottom"/>
          </w:tcPr>
          <w:p w:rsidR="00915B9C" w:rsidRPr="005E763B" w:rsidRDefault="00915B9C" w:rsidP="00B16336">
            <w:pPr>
              <w:jc w:val="center"/>
              <w:rPr>
                <w:rFonts w:ascii="Arial" w:hAnsi="Arial" w:cs="Arial"/>
                <w:b/>
                <w:bCs/>
                <w:sz w:val="20"/>
                <w:szCs w:val="20"/>
              </w:rPr>
            </w:pPr>
            <w:r w:rsidRPr="005E763B">
              <w:rPr>
                <w:rFonts w:ascii="Arial" w:hAnsi="Arial" w:cs="Arial"/>
                <w:b/>
                <w:bCs/>
                <w:sz w:val="20"/>
                <w:szCs w:val="20"/>
              </w:rPr>
              <w:t>Katkılar</w:t>
            </w:r>
            <w:r w:rsidR="005A7BB0">
              <w:rPr>
                <w:rFonts w:ascii="Arial" w:hAnsi="Arial" w:cs="Arial"/>
                <w:b/>
                <w:bCs/>
                <w:sz w:val="20"/>
                <w:szCs w:val="20"/>
              </w:rPr>
              <w:t xml:space="preserve"> (yüzde puan)</w:t>
            </w:r>
          </w:p>
        </w:tc>
      </w:tr>
      <w:tr w:rsidR="00B16336" w:rsidTr="005A7BB0">
        <w:trPr>
          <w:trHeight w:val="255"/>
        </w:trPr>
        <w:tc>
          <w:tcPr>
            <w:tcW w:w="2070" w:type="dxa"/>
            <w:tcBorders>
              <w:top w:val="nil"/>
              <w:left w:val="single" w:sz="4" w:space="0" w:color="auto"/>
              <w:bottom w:val="single" w:sz="4" w:space="0" w:color="auto"/>
              <w:right w:val="single" w:sz="4" w:space="0" w:color="auto"/>
            </w:tcBorders>
            <w:noWrap/>
            <w:vAlign w:val="bottom"/>
          </w:tcPr>
          <w:p w:rsidR="00B16336" w:rsidRPr="005E763B" w:rsidRDefault="00B16336" w:rsidP="00B16336">
            <w:pPr>
              <w:rPr>
                <w:rFonts w:ascii="Arial" w:hAnsi="Arial" w:cs="Arial"/>
                <w:b/>
                <w:bCs/>
                <w:sz w:val="20"/>
                <w:szCs w:val="20"/>
              </w:rPr>
            </w:pPr>
            <w:r w:rsidRPr="005E763B">
              <w:rPr>
                <w:rFonts w:ascii="Arial" w:hAnsi="Arial" w:cs="Arial"/>
                <w:b/>
                <w:bCs/>
                <w:sz w:val="20"/>
                <w:szCs w:val="20"/>
              </w:rPr>
              <w:t>Tüketim</w:t>
            </w:r>
          </w:p>
        </w:tc>
        <w:tc>
          <w:tcPr>
            <w:tcW w:w="1191" w:type="dxa"/>
            <w:tcBorders>
              <w:top w:val="nil"/>
              <w:left w:val="nil"/>
              <w:bottom w:val="single" w:sz="4" w:space="0" w:color="auto"/>
              <w:right w:val="single" w:sz="4" w:space="0" w:color="auto"/>
            </w:tcBorders>
            <w:noWrap/>
            <w:vAlign w:val="bottom"/>
          </w:tcPr>
          <w:p w:rsidR="00B16336" w:rsidRDefault="00B16336">
            <w:pPr>
              <w:jc w:val="right"/>
              <w:rPr>
                <w:rFonts w:ascii="Arial" w:hAnsi="Arial" w:cs="Arial"/>
                <w:sz w:val="20"/>
                <w:szCs w:val="20"/>
              </w:rPr>
            </w:pPr>
            <w:r>
              <w:rPr>
                <w:rFonts w:ascii="Arial" w:hAnsi="Arial" w:cs="Arial"/>
                <w:sz w:val="20"/>
                <w:szCs w:val="20"/>
              </w:rPr>
              <w:t>4.7%</w:t>
            </w:r>
          </w:p>
        </w:tc>
        <w:tc>
          <w:tcPr>
            <w:tcW w:w="1419" w:type="dxa"/>
            <w:tcBorders>
              <w:top w:val="nil"/>
              <w:left w:val="nil"/>
              <w:bottom w:val="single" w:sz="4" w:space="0" w:color="auto"/>
              <w:right w:val="single" w:sz="4" w:space="0" w:color="auto"/>
            </w:tcBorders>
            <w:noWrap/>
            <w:vAlign w:val="bottom"/>
          </w:tcPr>
          <w:p w:rsidR="00B16336" w:rsidRPr="005A7BB0" w:rsidRDefault="00B16336" w:rsidP="005A7BB0">
            <w:pPr>
              <w:jc w:val="right"/>
              <w:rPr>
                <w:rFonts w:ascii="Arial" w:hAnsi="Arial" w:cs="Arial"/>
                <w:sz w:val="20"/>
                <w:szCs w:val="20"/>
              </w:rPr>
            </w:pPr>
            <w:r w:rsidRPr="005A7BB0">
              <w:rPr>
                <w:rFonts w:ascii="Arial" w:hAnsi="Arial" w:cs="Arial"/>
                <w:sz w:val="20"/>
                <w:szCs w:val="20"/>
              </w:rPr>
              <w:t>3.2</w:t>
            </w:r>
          </w:p>
        </w:tc>
      </w:tr>
      <w:tr w:rsidR="00B16336" w:rsidTr="005A7BB0">
        <w:trPr>
          <w:trHeight w:val="255"/>
        </w:trPr>
        <w:tc>
          <w:tcPr>
            <w:tcW w:w="2070" w:type="dxa"/>
            <w:tcBorders>
              <w:top w:val="nil"/>
              <w:left w:val="single" w:sz="4" w:space="0" w:color="auto"/>
              <w:bottom w:val="single" w:sz="4" w:space="0" w:color="auto"/>
              <w:right w:val="single" w:sz="4" w:space="0" w:color="auto"/>
            </w:tcBorders>
            <w:noWrap/>
            <w:vAlign w:val="bottom"/>
          </w:tcPr>
          <w:p w:rsidR="00B16336" w:rsidRPr="005E763B" w:rsidRDefault="00B16336" w:rsidP="00B16336">
            <w:pPr>
              <w:rPr>
                <w:rFonts w:ascii="Arial" w:hAnsi="Arial" w:cs="Arial"/>
                <w:b/>
                <w:bCs/>
                <w:sz w:val="20"/>
                <w:szCs w:val="20"/>
              </w:rPr>
            </w:pPr>
            <w:r w:rsidRPr="005E763B">
              <w:rPr>
                <w:rFonts w:ascii="Arial" w:hAnsi="Arial" w:cs="Arial"/>
                <w:b/>
                <w:bCs/>
                <w:sz w:val="20"/>
                <w:szCs w:val="20"/>
              </w:rPr>
              <w:t>Özel Yatırım</w:t>
            </w:r>
          </w:p>
        </w:tc>
        <w:tc>
          <w:tcPr>
            <w:tcW w:w="1191" w:type="dxa"/>
            <w:tcBorders>
              <w:top w:val="nil"/>
              <w:left w:val="nil"/>
              <w:bottom w:val="single" w:sz="4" w:space="0" w:color="auto"/>
              <w:right w:val="single" w:sz="4" w:space="0" w:color="auto"/>
            </w:tcBorders>
            <w:noWrap/>
            <w:vAlign w:val="bottom"/>
          </w:tcPr>
          <w:p w:rsidR="00B16336" w:rsidRDefault="00B16336">
            <w:pPr>
              <w:jc w:val="right"/>
              <w:rPr>
                <w:rFonts w:ascii="Arial" w:hAnsi="Arial" w:cs="Arial"/>
                <w:sz w:val="20"/>
                <w:szCs w:val="20"/>
              </w:rPr>
            </w:pPr>
            <w:r>
              <w:rPr>
                <w:rFonts w:ascii="Arial" w:hAnsi="Arial" w:cs="Arial"/>
                <w:sz w:val="20"/>
                <w:szCs w:val="20"/>
              </w:rPr>
              <w:t>1.7%</w:t>
            </w:r>
          </w:p>
        </w:tc>
        <w:tc>
          <w:tcPr>
            <w:tcW w:w="1419" w:type="dxa"/>
            <w:tcBorders>
              <w:top w:val="nil"/>
              <w:left w:val="nil"/>
              <w:bottom w:val="single" w:sz="4" w:space="0" w:color="auto"/>
              <w:right w:val="single" w:sz="4" w:space="0" w:color="auto"/>
            </w:tcBorders>
            <w:noWrap/>
            <w:vAlign w:val="bottom"/>
          </w:tcPr>
          <w:p w:rsidR="00B16336" w:rsidRPr="005A7BB0" w:rsidRDefault="00B16336">
            <w:pPr>
              <w:jc w:val="right"/>
              <w:rPr>
                <w:rFonts w:ascii="Arial" w:hAnsi="Arial" w:cs="Arial"/>
                <w:sz w:val="20"/>
                <w:szCs w:val="20"/>
              </w:rPr>
            </w:pPr>
            <w:r w:rsidRPr="005A7BB0">
              <w:rPr>
                <w:rFonts w:ascii="Arial" w:hAnsi="Arial" w:cs="Arial"/>
                <w:sz w:val="20"/>
                <w:szCs w:val="20"/>
              </w:rPr>
              <w:t>0.3</w:t>
            </w:r>
          </w:p>
        </w:tc>
      </w:tr>
      <w:tr w:rsidR="00B16336" w:rsidTr="005A7BB0">
        <w:trPr>
          <w:trHeight w:val="255"/>
        </w:trPr>
        <w:tc>
          <w:tcPr>
            <w:tcW w:w="2070" w:type="dxa"/>
            <w:tcBorders>
              <w:top w:val="nil"/>
              <w:left w:val="single" w:sz="4" w:space="0" w:color="auto"/>
              <w:bottom w:val="single" w:sz="4" w:space="0" w:color="auto"/>
              <w:right w:val="single" w:sz="4" w:space="0" w:color="auto"/>
            </w:tcBorders>
            <w:noWrap/>
            <w:vAlign w:val="bottom"/>
          </w:tcPr>
          <w:p w:rsidR="00B16336" w:rsidRPr="005E763B" w:rsidRDefault="00B16336" w:rsidP="00B16336">
            <w:pPr>
              <w:rPr>
                <w:rFonts w:ascii="Arial" w:hAnsi="Arial" w:cs="Arial"/>
                <w:b/>
                <w:bCs/>
                <w:sz w:val="20"/>
                <w:szCs w:val="20"/>
              </w:rPr>
            </w:pPr>
            <w:r w:rsidRPr="005E763B">
              <w:rPr>
                <w:rFonts w:ascii="Arial" w:hAnsi="Arial" w:cs="Arial"/>
                <w:b/>
                <w:bCs/>
                <w:sz w:val="20"/>
                <w:szCs w:val="20"/>
              </w:rPr>
              <w:t>Kamu Harcamaları</w:t>
            </w:r>
          </w:p>
        </w:tc>
        <w:tc>
          <w:tcPr>
            <w:tcW w:w="1191" w:type="dxa"/>
            <w:tcBorders>
              <w:top w:val="nil"/>
              <w:left w:val="nil"/>
              <w:bottom w:val="single" w:sz="4" w:space="0" w:color="auto"/>
              <w:right w:val="single" w:sz="4" w:space="0" w:color="auto"/>
            </w:tcBorders>
            <w:noWrap/>
            <w:vAlign w:val="bottom"/>
          </w:tcPr>
          <w:p w:rsidR="00B16336" w:rsidRDefault="00B16336">
            <w:pPr>
              <w:jc w:val="right"/>
              <w:rPr>
                <w:rFonts w:ascii="Arial" w:hAnsi="Arial" w:cs="Arial"/>
                <w:sz w:val="20"/>
                <w:szCs w:val="20"/>
              </w:rPr>
            </w:pPr>
            <w:r>
              <w:rPr>
                <w:rFonts w:ascii="Arial" w:hAnsi="Arial" w:cs="Arial"/>
                <w:sz w:val="20"/>
                <w:szCs w:val="20"/>
              </w:rPr>
              <w:t>8.7%</w:t>
            </w:r>
          </w:p>
        </w:tc>
        <w:tc>
          <w:tcPr>
            <w:tcW w:w="1419" w:type="dxa"/>
            <w:tcBorders>
              <w:top w:val="nil"/>
              <w:left w:val="nil"/>
              <w:bottom w:val="single" w:sz="4" w:space="0" w:color="auto"/>
              <w:right w:val="single" w:sz="4" w:space="0" w:color="auto"/>
            </w:tcBorders>
            <w:noWrap/>
            <w:vAlign w:val="bottom"/>
          </w:tcPr>
          <w:p w:rsidR="00B16336" w:rsidRPr="005A7BB0" w:rsidRDefault="00B16336">
            <w:pPr>
              <w:jc w:val="right"/>
              <w:rPr>
                <w:rFonts w:ascii="Arial" w:hAnsi="Arial" w:cs="Arial"/>
                <w:sz w:val="20"/>
                <w:szCs w:val="20"/>
              </w:rPr>
            </w:pPr>
            <w:r w:rsidRPr="005A7BB0">
              <w:rPr>
                <w:rFonts w:ascii="Arial" w:hAnsi="Arial" w:cs="Arial"/>
                <w:sz w:val="20"/>
                <w:szCs w:val="20"/>
              </w:rPr>
              <w:t>1.6</w:t>
            </w:r>
          </w:p>
        </w:tc>
      </w:tr>
      <w:tr w:rsidR="00B16336" w:rsidTr="005A7BB0">
        <w:trPr>
          <w:trHeight w:val="255"/>
        </w:trPr>
        <w:tc>
          <w:tcPr>
            <w:tcW w:w="2070" w:type="dxa"/>
            <w:tcBorders>
              <w:top w:val="nil"/>
              <w:left w:val="single" w:sz="4" w:space="0" w:color="auto"/>
              <w:bottom w:val="single" w:sz="4" w:space="0" w:color="auto"/>
              <w:right w:val="single" w:sz="4" w:space="0" w:color="auto"/>
            </w:tcBorders>
            <w:noWrap/>
            <w:vAlign w:val="bottom"/>
          </w:tcPr>
          <w:p w:rsidR="00B16336" w:rsidRPr="005E763B" w:rsidRDefault="00B16336" w:rsidP="00B16336">
            <w:pPr>
              <w:rPr>
                <w:rFonts w:ascii="Arial" w:hAnsi="Arial" w:cs="Arial"/>
                <w:b/>
                <w:bCs/>
                <w:sz w:val="20"/>
                <w:szCs w:val="20"/>
              </w:rPr>
            </w:pPr>
            <w:r w:rsidRPr="005E763B">
              <w:rPr>
                <w:rFonts w:ascii="Arial" w:hAnsi="Arial" w:cs="Arial"/>
                <w:b/>
                <w:bCs/>
                <w:sz w:val="20"/>
                <w:szCs w:val="20"/>
              </w:rPr>
              <w:t>Stok Değişimi</w:t>
            </w:r>
          </w:p>
        </w:tc>
        <w:tc>
          <w:tcPr>
            <w:tcW w:w="1191" w:type="dxa"/>
            <w:tcBorders>
              <w:top w:val="nil"/>
              <w:left w:val="nil"/>
              <w:bottom w:val="single" w:sz="4" w:space="0" w:color="auto"/>
              <w:right w:val="single" w:sz="4" w:space="0" w:color="auto"/>
            </w:tcBorders>
            <w:noWrap/>
            <w:vAlign w:val="bottom"/>
          </w:tcPr>
          <w:p w:rsidR="00B16336" w:rsidRDefault="00B16336">
            <w:pPr>
              <w:rPr>
                <w:rFonts w:ascii="Arial" w:hAnsi="Arial" w:cs="Arial"/>
                <w:sz w:val="20"/>
                <w:szCs w:val="20"/>
              </w:rPr>
            </w:pPr>
            <w:r>
              <w:rPr>
                <w:rFonts w:ascii="Arial" w:hAnsi="Arial" w:cs="Arial"/>
                <w:sz w:val="20"/>
                <w:szCs w:val="20"/>
              </w:rPr>
              <w:t> </w:t>
            </w:r>
          </w:p>
        </w:tc>
        <w:tc>
          <w:tcPr>
            <w:tcW w:w="1419" w:type="dxa"/>
            <w:tcBorders>
              <w:top w:val="nil"/>
              <w:left w:val="nil"/>
              <w:bottom w:val="single" w:sz="4" w:space="0" w:color="auto"/>
              <w:right w:val="single" w:sz="4" w:space="0" w:color="auto"/>
            </w:tcBorders>
            <w:noWrap/>
            <w:vAlign w:val="bottom"/>
          </w:tcPr>
          <w:p w:rsidR="00B16336" w:rsidRPr="005A7BB0" w:rsidRDefault="00B16336">
            <w:pPr>
              <w:jc w:val="right"/>
              <w:rPr>
                <w:rFonts w:ascii="Arial" w:hAnsi="Arial" w:cs="Arial"/>
                <w:sz w:val="20"/>
                <w:szCs w:val="20"/>
              </w:rPr>
            </w:pPr>
            <w:r w:rsidRPr="005A7BB0">
              <w:rPr>
                <w:rFonts w:ascii="Arial" w:hAnsi="Arial" w:cs="Arial"/>
                <w:sz w:val="20"/>
                <w:szCs w:val="20"/>
              </w:rPr>
              <w:t>-0.7</w:t>
            </w:r>
          </w:p>
        </w:tc>
      </w:tr>
      <w:tr w:rsidR="00B16336" w:rsidTr="005A7BB0">
        <w:trPr>
          <w:trHeight w:val="255"/>
        </w:trPr>
        <w:tc>
          <w:tcPr>
            <w:tcW w:w="2070" w:type="dxa"/>
            <w:tcBorders>
              <w:top w:val="nil"/>
              <w:left w:val="single" w:sz="4" w:space="0" w:color="auto"/>
              <w:bottom w:val="single" w:sz="4" w:space="0" w:color="auto"/>
              <w:right w:val="single" w:sz="4" w:space="0" w:color="auto"/>
            </w:tcBorders>
            <w:noWrap/>
            <w:vAlign w:val="bottom"/>
          </w:tcPr>
          <w:p w:rsidR="00B16336" w:rsidRPr="005E763B" w:rsidRDefault="00B16336" w:rsidP="00B16336">
            <w:pPr>
              <w:rPr>
                <w:rFonts w:ascii="Arial" w:hAnsi="Arial" w:cs="Arial"/>
                <w:b/>
                <w:bCs/>
                <w:sz w:val="20"/>
                <w:szCs w:val="20"/>
              </w:rPr>
            </w:pPr>
            <w:r w:rsidRPr="005E763B">
              <w:rPr>
                <w:rFonts w:ascii="Arial" w:hAnsi="Arial" w:cs="Arial"/>
                <w:b/>
                <w:bCs/>
                <w:sz w:val="20"/>
                <w:szCs w:val="20"/>
              </w:rPr>
              <w:t>İhracat</w:t>
            </w:r>
          </w:p>
        </w:tc>
        <w:tc>
          <w:tcPr>
            <w:tcW w:w="1191" w:type="dxa"/>
            <w:tcBorders>
              <w:top w:val="nil"/>
              <w:left w:val="nil"/>
              <w:bottom w:val="single" w:sz="4" w:space="0" w:color="auto"/>
              <w:right w:val="single" w:sz="4" w:space="0" w:color="auto"/>
            </w:tcBorders>
            <w:noWrap/>
            <w:vAlign w:val="bottom"/>
          </w:tcPr>
          <w:p w:rsidR="00B16336" w:rsidRDefault="00B16336">
            <w:pPr>
              <w:jc w:val="right"/>
              <w:rPr>
                <w:rFonts w:ascii="Arial" w:hAnsi="Arial" w:cs="Arial"/>
                <w:sz w:val="20"/>
                <w:szCs w:val="20"/>
              </w:rPr>
            </w:pPr>
            <w:r>
              <w:rPr>
                <w:rFonts w:ascii="Arial" w:hAnsi="Arial" w:cs="Arial"/>
                <w:sz w:val="20"/>
                <w:szCs w:val="20"/>
              </w:rPr>
              <w:t>2.1%</w:t>
            </w:r>
          </w:p>
        </w:tc>
        <w:tc>
          <w:tcPr>
            <w:tcW w:w="1419" w:type="dxa"/>
            <w:tcBorders>
              <w:top w:val="nil"/>
              <w:left w:val="nil"/>
              <w:bottom w:val="single" w:sz="4" w:space="0" w:color="auto"/>
              <w:right w:val="single" w:sz="4" w:space="0" w:color="auto"/>
            </w:tcBorders>
            <w:noWrap/>
            <w:vAlign w:val="bottom"/>
          </w:tcPr>
          <w:p w:rsidR="00B16336" w:rsidRPr="005A7BB0" w:rsidRDefault="00B16336">
            <w:pPr>
              <w:jc w:val="right"/>
              <w:rPr>
                <w:rFonts w:ascii="Arial" w:hAnsi="Arial" w:cs="Arial"/>
                <w:sz w:val="20"/>
                <w:szCs w:val="20"/>
              </w:rPr>
            </w:pPr>
            <w:r w:rsidRPr="005A7BB0">
              <w:rPr>
                <w:rFonts w:ascii="Arial" w:hAnsi="Arial" w:cs="Arial"/>
                <w:sz w:val="20"/>
                <w:szCs w:val="20"/>
              </w:rPr>
              <w:t>0.6</w:t>
            </w:r>
          </w:p>
        </w:tc>
      </w:tr>
      <w:tr w:rsidR="00B16336" w:rsidTr="005A7BB0">
        <w:trPr>
          <w:trHeight w:val="255"/>
        </w:trPr>
        <w:tc>
          <w:tcPr>
            <w:tcW w:w="2070" w:type="dxa"/>
            <w:tcBorders>
              <w:top w:val="nil"/>
              <w:left w:val="single" w:sz="4" w:space="0" w:color="auto"/>
              <w:bottom w:val="single" w:sz="4" w:space="0" w:color="auto"/>
              <w:right w:val="single" w:sz="4" w:space="0" w:color="auto"/>
            </w:tcBorders>
            <w:noWrap/>
            <w:vAlign w:val="bottom"/>
          </w:tcPr>
          <w:p w:rsidR="00B16336" w:rsidRPr="005E763B" w:rsidRDefault="00B16336" w:rsidP="00B16336">
            <w:pPr>
              <w:rPr>
                <w:rFonts w:ascii="Arial" w:hAnsi="Arial" w:cs="Arial"/>
                <w:b/>
                <w:bCs/>
                <w:sz w:val="20"/>
                <w:szCs w:val="20"/>
              </w:rPr>
            </w:pPr>
            <w:r w:rsidRPr="005E763B">
              <w:rPr>
                <w:rFonts w:ascii="Arial" w:hAnsi="Arial" w:cs="Arial"/>
                <w:b/>
                <w:bCs/>
                <w:sz w:val="20"/>
                <w:szCs w:val="20"/>
              </w:rPr>
              <w:t>İthalat</w:t>
            </w:r>
          </w:p>
        </w:tc>
        <w:tc>
          <w:tcPr>
            <w:tcW w:w="1191" w:type="dxa"/>
            <w:tcBorders>
              <w:top w:val="nil"/>
              <w:left w:val="nil"/>
              <w:bottom w:val="single" w:sz="4" w:space="0" w:color="auto"/>
              <w:right w:val="single" w:sz="4" w:space="0" w:color="auto"/>
            </w:tcBorders>
            <w:noWrap/>
            <w:vAlign w:val="bottom"/>
          </w:tcPr>
          <w:p w:rsidR="00B16336" w:rsidRDefault="00B16336">
            <w:pPr>
              <w:jc w:val="right"/>
              <w:rPr>
                <w:rFonts w:ascii="Arial" w:hAnsi="Arial" w:cs="Arial"/>
                <w:sz w:val="20"/>
                <w:szCs w:val="20"/>
              </w:rPr>
            </w:pPr>
            <w:r>
              <w:rPr>
                <w:rFonts w:ascii="Arial" w:hAnsi="Arial" w:cs="Arial"/>
                <w:sz w:val="20"/>
                <w:szCs w:val="20"/>
              </w:rPr>
              <w:t>-2.6%</w:t>
            </w:r>
          </w:p>
        </w:tc>
        <w:tc>
          <w:tcPr>
            <w:tcW w:w="1419" w:type="dxa"/>
            <w:tcBorders>
              <w:top w:val="nil"/>
              <w:left w:val="nil"/>
              <w:bottom w:val="single" w:sz="4" w:space="0" w:color="auto"/>
              <w:right w:val="single" w:sz="4" w:space="0" w:color="auto"/>
            </w:tcBorders>
            <w:noWrap/>
            <w:vAlign w:val="bottom"/>
          </w:tcPr>
          <w:p w:rsidR="00B16336" w:rsidRPr="005A7BB0" w:rsidRDefault="00B16336">
            <w:pPr>
              <w:jc w:val="right"/>
              <w:rPr>
                <w:rFonts w:ascii="Arial" w:hAnsi="Arial" w:cs="Arial"/>
                <w:sz w:val="20"/>
                <w:szCs w:val="20"/>
              </w:rPr>
            </w:pPr>
            <w:r w:rsidRPr="005A7BB0">
              <w:rPr>
                <w:rFonts w:ascii="Arial" w:hAnsi="Arial" w:cs="Arial"/>
                <w:sz w:val="20"/>
                <w:szCs w:val="20"/>
              </w:rPr>
              <w:t>0.8</w:t>
            </w:r>
          </w:p>
        </w:tc>
      </w:tr>
      <w:tr w:rsidR="00915B9C" w:rsidTr="005A7BB0">
        <w:trPr>
          <w:trHeight w:val="255"/>
        </w:trPr>
        <w:tc>
          <w:tcPr>
            <w:tcW w:w="2070" w:type="dxa"/>
            <w:tcBorders>
              <w:top w:val="nil"/>
              <w:left w:val="single" w:sz="4" w:space="0" w:color="auto"/>
              <w:bottom w:val="single" w:sz="4" w:space="0" w:color="auto"/>
              <w:right w:val="single" w:sz="4" w:space="0" w:color="auto"/>
            </w:tcBorders>
            <w:noWrap/>
            <w:vAlign w:val="bottom"/>
          </w:tcPr>
          <w:p w:rsidR="00915B9C" w:rsidRPr="005E763B" w:rsidRDefault="00915B9C" w:rsidP="00B16336">
            <w:pPr>
              <w:rPr>
                <w:rFonts w:ascii="Arial" w:hAnsi="Arial" w:cs="Arial"/>
                <w:b/>
                <w:bCs/>
                <w:sz w:val="20"/>
                <w:szCs w:val="20"/>
              </w:rPr>
            </w:pPr>
            <w:r w:rsidRPr="00915B9C">
              <w:rPr>
                <w:rFonts w:ascii="Arial" w:hAnsi="Arial" w:cs="Arial"/>
                <w:b/>
                <w:sz w:val="20"/>
                <w:szCs w:val="20"/>
              </w:rPr>
              <w:t>GSYH </w:t>
            </w:r>
          </w:p>
        </w:tc>
        <w:tc>
          <w:tcPr>
            <w:tcW w:w="1191" w:type="dxa"/>
            <w:tcBorders>
              <w:top w:val="nil"/>
              <w:left w:val="nil"/>
              <w:bottom w:val="single" w:sz="4" w:space="0" w:color="auto"/>
              <w:right w:val="single" w:sz="4" w:space="0" w:color="auto"/>
            </w:tcBorders>
            <w:noWrap/>
            <w:vAlign w:val="bottom"/>
          </w:tcPr>
          <w:p w:rsidR="00915B9C" w:rsidRDefault="00915B9C" w:rsidP="00B16336">
            <w:pPr>
              <w:jc w:val="right"/>
              <w:rPr>
                <w:rFonts w:ascii="Arial" w:hAnsi="Arial" w:cs="Arial"/>
                <w:sz w:val="20"/>
                <w:szCs w:val="20"/>
              </w:rPr>
            </w:pPr>
            <w:r>
              <w:rPr>
                <w:rFonts w:ascii="Arial" w:hAnsi="Arial" w:cs="Arial"/>
                <w:sz w:val="20"/>
                <w:szCs w:val="20"/>
              </w:rPr>
              <w:t> </w:t>
            </w:r>
            <w:r w:rsidR="00B16336">
              <w:rPr>
                <w:rFonts w:ascii="Arial" w:hAnsi="Arial" w:cs="Arial"/>
                <w:sz w:val="20"/>
                <w:szCs w:val="20"/>
              </w:rPr>
              <w:t>5.7%</w:t>
            </w:r>
          </w:p>
        </w:tc>
        <w:tc>
          <w:tcPr>
            <w:tcW w:w="1419" w:type="dxa"/>
            <w:tcBorders>
              <w:top w:val="nil"/>
              <w:left w:val="nil"/>
              <w:bottom w:val="single" w:sz="4" w:space="0" w:color="auto"/>
              <w:right w:val="single" w:sz="4" w:space="0" w:color="auto"/>
            </w:tcBorders>
            <w:noWrap/>
            <w:vAlign w:val="bottom"/>
          </w:tcPr>
          <w:p w:rsidR="00915B9C" w:rsidRDefault="00915B9C" w:rsidP="00915B9C">
            <w:pPr>
              <w:jc w:val="right"/>
              <w:rPr>
                <w:rFonts w:ascii="Arial" w:hAnsi="Arial" w:cs="Arial"/>
                <w:sz w:val="20"/>
                <w:szCs w:val="20"/>
              </w:rPr>
            </w:pPr>
          </w:p>
        </w:tc>
      </w:tr>
      <w:tr w:rsidR="00915B9C" w:rsidTr="005A7BB0">
        <w:trPr>
          <w:trHeight w:val="255"/>
        </w:trPr>
        <w:tc>
          <w:tcPr>
            <w:tcW w:w="2070" w:type="dxa"/>
            <w:tcBorders>
              <w:top w:val="nil"/>
              <w:left w:val="single" w:sz="4" w:space="0" w:color="auto"/>
              <w:bottom w:val="single" w:sz="4" w:space="0" w:color="auto"/>
              <w:right w:val="single" w:sz="4" w:space="0" w:color="auto"/>
            </w:tcBorders>
            <w:noWrap/>
            <w:vAlign w:val="bottom"/>
          </w:tcPr>
          <w:p w:rsidR="00915B9C" w:rsidRPr="005E763B" w:rsidRDefault="00915B9C" w:rsidP="00B16336">
            <w:pPr>
              <w:rPr>
                <w:rFonts w:ascii="Arial" w:hAnsi="Arial" w:cs="Arial"/>
                <w:b/>
                <w:bCs/>
                <w:sz w:val="20"/>
                <w:szCs w:val="20"/>
              </w:rPr>
            </w:pPr>
          </w:p>
        </w:tc>
        <w:tc>
          <w:tcPr>
            <w:tcW w:w="1191" w:type="dxa"/>
            <w:tcBorders>
              <w:top w:val="nil"/>
              <w:left w:val="nil"/>
              <w:bottom w:val="single" w:sz="4" w:space="0" w:color="auto"/>
              <w:right w:val="single" w:sz="4" w:space="0" w:color="auto"/>
            </w:tcBorders>
            <w:noWrap/>
            <w:vAlign w:val="bottom"/>
          </w:tcPr>
          <w:p w:rsidR="00915B9C" w:rsidRDefault="00915B9C" w:rsidP="00B16336">
            <w:pPr>
              <w:rPr>
                <w:rFonts w:ascii="Arial" w:hAnsi="Arial" w:cs="Arial"/>
                <w:sz w:val="20"/>
                <w:szCs w:val="20"/>
              </w:rPr>
            </w:pPr>
          </w:p>
        </w:tc>
        <w:tc>
          <w:tcPr>
            <w:tcW w:w="1419" w:type="dxa"/>
            <w:tcBorders>
              <w:top w:val="nil"/>
              <w:left w:val="nil"/>
              <w:bottom w:val="single" w:sz="4" w:space="0" w:color="auto"/>
              <w:right w:val="single" w:sz="4" w:space="0" w:color="auto"/>
            </w:tcBorders>
            <w:noWrap/>
            <w:vAlign w:val="bottom"/>
          </w:tcPr>
          <w:p w:rsidR="00915B9C" w:rsidRDefault="00915B9C" w:rsidP="00B16336">
            <w:pPr>
              <w:rPr>
                <w:rFonts w:ascii="Arial" w:hAnsi="Arial" w:cs="Arial"/>
                <w:sz w:val="20"/>
                <w:szCs w:val="20"/>
              </w:rPr>
            </w:pPr>
          </w:p>
        </w:tc>
      </w:tr>
      <w:tr w:rsidR="00915B9C" w:rsidTr="005A7BB0">
        <w:trPr>
          <w:trHeight w:val="255"/>
        </w:trPr>
        <w:tc>
          <w:tcPr>
            <w:tcW w:w="2070" w:type="dxa"/>
            <w:tcBorders>
              <w:top w:val="nil"/>
              <w:left w:val="single" w:sz="4" w:space="0" w:color="auto"/>
              <w:bottom w:val="single" w:sz="4" w:space="0" w:color="auto"/>
              <w:right w:val="single" w:sz="4" w:space="0" w:color="auto"/>
            </w:tcBorders>
            <w:noWrap/>
            <w:vAlign w:val="bottom"/>
          </w:tcPr>
          <w:p w:rsidR="00915B9C" w:rsidRPr="005E763B" w:rsidRDefault="00915B9C" w:rsidP="00B16336">
            <w:pPr>
              <w:rPr>
                <w:rFonts w:ascii="Arial" w:hAnsi="Arial" w:cs="Arial"/>
                <w:b/>
                <w:bCs/>
                <w:sz w:val="20"/>
                <w:szCs w:val="20"/>
              </w:rPr>
            </w:pPr>
            <w:r>
              <w:rPr>
                <w:rFonts w:ascii="Arial" w:hAnsi="Arial" w:cs="Arial"/>
                <w:b/>
                <w:bCs/>
                <w:sz w:val="20"/>
                <w:szCs w:val="20"/>
              </w:rPr>
              <w:t>201</w:t>
            </w:r>
            <w:r w:rsidR="00B16336">
              <w:rPr>
                <w:rFonts w:ascii="Arial" w:hAnsi="Arial" w:cs="Arial"/>
                <w:b/>
                <w:bCs/>
                <w:sz w:val="20"/>
                <w:szCs w:val="20"/>
              </w:rPr>
              <w:t>5</w:t>
            </w:r>
            <w:r>
              <w:rPr>
                <w:rFonts w:ascii="Arial" w:hAnsi="Arial" w:cs="Arial"/>
                <w:b/>
                <w:bCs/>
                <w:sz w:val="20"/>
                <w:szCs w:val="20"/>
              </w:rPr>
              <w:t xml:space="preserve"> – 3</w:t>
            </w:r>
            <w:r w:rsidRPr="005E763B">
              <w:rPr>
                <w:rFonts w:ascii="Arial" w:hAnsi="Arial" w:cs="Arial"/>
                <w:b/>
                <w:bCs/>
                <w:sz w:val="20"/>
                <w:szCs w:val="20"/>
              </w:rPr>
              <w:t>. Ç</w:t>
            </w:r>
          </w:p>
        </w:tc>
        <w:tc>
          <w:tcPr>
            <w:tcW w:w="1191" w:type="dxa"/>
            <w:tcBorders>
              <w:top w:val="nil"/>
              <w:left w:val="nil"/>
              <w:bottom w:val="single" w:sz="4" w:space="0" w:color="auto"/>
              <w:right w:val="single" w:sz="4" w:space="0" w:color="auto"/>
            </w:tcBorders>
            <w:noWrap/>
            <w:vAlign w:val="bottom"/>
          </w:tcPr>
          <w:p w:rsidR="00915B9C" w:rsidRPr="005E763B" w:rsidRDefault="00915B9C" w:rsidP="00B16336">
            <w:pPr>
              <w:jc w:val="center"/>
              <w:rPr>
                <w:rFonts w:ascii="Arial" w:hAnsi="Arial" w:cs="Arial"/>
                <w:b/>
                <w:bCs/>
                <w:sz w:val="20"/>
                <w:szCs w:val="20"/>
              </w:rPr>
            </w:pPr>
            <w:r w:rsidRPr="005E763B">
              <w:rPr>
                <w:rFonts w:ascii="Arial" w:hAnsi="Arial" w:cs="Arial"/>
                <w:b/>
                <w:bCs/>
                <w:sz w:val="20"/>
                <w:szCs w:val="20"/>
              </w:rPr>
              <w:t>Degişim</w:t>
            </w:r>
          </w:p>
        </w:tc>
        <w:tc>
          <w:tcPr>
            <w:tcW w:w="1419" w:type="dxa"/>
            <w:tcBorders>
              <w:top w:val="nil"/>
              <w:left w:val="nil"/>
              <w:bottom w:val="single" w:sz="4" w:space="0" w:color="auto"/>
              <w:right w:val="single" w:sz="4" w:space="0" w:color="auto"/>
            </w:tcBorders>
            <w:noWrap/>
            <w:vAlign w:val="bottom"/>
          </w:tcPr>
          <w:p w:rsidR="00915B9C" w:rsidRPr="005E763B" w:rsidRDefault="00915B9C" w:rsidP="00B16336">
            <w:pPr>
              <w:jc w:val="center"/>
              <w:rPr>
                <w:rFonts w:ascii="Arial" w:hAnsi="Arial" w:cs="Arial"/>
                <w:b/>
                <w:bCs/>
                <w:sz w:val="20"/>
                <w:szCs w:val="20"/>
              </w:rPr>
            </w:pPr>
            <w:r w:rsidRPr="005E763B">
              <w:rPr>
                <w:rFonts w:ascii="Arial" w:hAnsi="Arial" w:cs="Arial"/>
                <w:b/>
                <w:bCs/>
                <w:sz w:val="20"/>
                <w:szCs w:val="20"/>
              </w:rPr>
              <w:t>Katkılar</w:t>
            </w:r>
            <w:r w:rsidR="005A7BB0">
              <w:rPr>
                <w:rFonts w:ascii="Arial" w:hAnsi="Arial" w:cs="Arial"/>
                <w:b/>
                <w:bCs/>
                <w:sz w:val="20"/>
                <w:szCs w:val="20"/>
              </w:rPr>
              <w:t xml:space="preserve"> (yüzde puan)</w:t>
            </w:r>
          </w:p>
        </w:tc>
      </w:tr>
      <w:tr w:rsidR="00B16336" w:rsidTr="005A7BB0">
        <w:trPr>
          <w:trHeight w:val="255"/>
        </w:trPr>
        <w:tc>
          <w:tcPr>
            <w:tcW w:w="2070" w:type="dxa"/>
            <w:tcBorders>
              <w:top w:val="nil"/>
              <w:left w:val="single" w:sz="4" w:space="0" w:color="auto"/>
              <w:bottom w:val="single" w:sz="4" w:space="0" w:color="auto"/>
              <w:right w:val="single" w:sz="4" w:space="0" w:color="auto"/>
            </w:tcBorders>
            <w:noWrap/>
            <w:vAlign w:val="bottom"/>
          </w:tcPr>
          <w:p w:rsidR="00B16336" w:rsidRPr="005E763B" w:rsidRDefault="00B16336" w:rsidP="00B16336">
            <w:pPr>
              <w:rPr>
                <w:rFonts w:ascii="Arial" w:hAnsi="Arial" w:cs="Arial"/>
                <w:b/>
                <w:bCs/>
                <w:sz w:val="20"/>
                <w:szCs w:val="20"/>
              </w:rPr>
            </w:pPr>
            <w:r w:rsidRPr="005E763B">
              <w:rPr>
                <w:rFonts w:ascii="Arial" w:hAnsi="Arial" w:cs="Arial"/>
                <w:b/>
                <w:bCs/>
                <w:sz w:val="20"/>
                <w:szCs w:val="20"/>
              </w:rPr>
              <w:t>Tüketim</w:t>
            </w:r>
          </w:p>
        </w:tc>
        <w:tc>
          <w:tcPr>
            <w:tcW w:w="1191" w:type="dxa"/>
            <w:tcBorders>
              <w:top w:val="nil"/>
              <w:left w:val="nil"/>
              <w:bottom w:val="single" w:sz="4" w:space="0" w:color="auto"/>
              <w:right w:val="single" w:sz="4" w:space="0" w:color="auto"/>
            </w:tcBorders>
            <w:noWrap/>
            <w:vAlign w:val="bottom"/>
          </w:tcPr>
          <w:p w:rsidR="00B16336" w:rsidRDefault="00B16336">
            <w:pPr>
              <w:jc w:val="right"/>
              <w:rPr>
                <w:rFonts w:ascii="Arial" w:hAnsi="Arial" w:cs="Arial"/>
                <w:sz w:val="20"/>
                <w:szCs w:val="20"/>
              </w:rPr>
            </w:pPr>
            <w:r>
              <w:rPr>
                <w:rFonts w:ascii="Arial" w:hAnsi="Arial" w:cs="Arial"/>
                <w:sz w:val="20"/>
                <w:szCs w:val="20"/>
              </w:rPr>
              <w:t>3.6%</w:t>
            </w:r>
          </w:p>
        </w:tc>
        <w:tc>
          <w:tcPr>
            <w:tcW w:w="1419" w:type="dxa"/>
            <w:tcBorders>
              <w:top w:val="nil"/>
              <w:left w:val="nil"/>
              <w:bottom w:val="single" w:sz="4" w:space="0" w:color="auto"/>
              <w:right w:val="single" w:sz="4" w:space="0" w:color="auto"/>
            </w:tcBorders>
            <w:noWrap/>
            <w:vAlign w:val="bottom"/>
          </w:tcPr>
          <w:p w:rsidR="00B16336" w:rsidRPr="005A7BB0" w:rsidRDefault="00B16336" w:rsidP="005A7BB0">
            <w:pPr>
              <w:jc w:val="right"/>
              <w:rPr>
                <w:rFonts w:ascii="Arial" w:hAnsi="Arial" w:cs="Arial"/>
                <w:sz w:val="20"/>
                <w:szCs w:val="20"/>
              </w:rPr>
            </w:pPr>
            <w:r w:rsidRPr="005A7BB0">
              <w:rPr>
                <w:rFonts w:ascii="Arial" w:hAnsi="Arial" w:cs="Arial"/>
                <w:sz w:val="20"/>
                <w:szCs w:val="20"/>
              </w:rPr>
              <w:t>2.3</w:t>
            </w:r>
          </w:p>
        </w:tc>
      </w:tr>
      <w:tr w:rsidR="00B16336" w:rsidTr="005A7BB0">
        <w:trPr>
          <w:trHeight w:val="255"/>
        </w:trPr>
        <w:tc>
          <w:tcPr>
            <w:tcW w:w="2070" w:type="dxa"/>
            <w:tcBorders>
              <w:top w:val="nil"/>
              <w:left w:val="single" w:sz="4" w:space="0" w:color="auto"/>
              <w:bottom w:val="single" w:sz="4" w:space="0" w:color="auto"/>
              <w:right w:val="single" w:sz="4" w:space="0" w:color="auto"/>
            </w:tcBorders>
            <w:noWrap/>
            <w:vAlign w:val="bottom"/>
          </w:tcPr>
          <w:p w:rsidR="00B16336" w:rsidRPr="005E763B" w:rsidRDefault="00B16336" w:rsidP="00B16336">
            <w:pPr>
              <w:rPr>
                <w:rFonts w:ascii="Arial" w:hAnsi="Arial" w:cs="Arial"/>
                <w:b/>
                <w:bCs/>
                <w:sz w:val="20"/>
                <w:szCs w:val="20"/>
              </w:rPr>
            </w:pPr>
            <w:r w:rsidRPr="005E763B">
              <w:rPr>
                <w:rFonts w:ascii="Arial" w:hAnsi="Arial" w:cs="Arial"/>
                <w:b/>
                <w:bCs/>
                <w:sz w:val="20"/>
                <w:szCs w:val="20"/>
              </w:rPr>
              <w:t>Özel Yatırım</w:t>
            </w:r>
          </w:p>
        </w:tc>
        <w:tc>
          <w:tcPr>
            <w:tcW w:w="1191" w:type="dxa"/>
            <w:tcBorders>
              <w:top w:val="nil"/>
              <w:left w:val="nil"/>
              <w:bottom w:val="single" w:sz="4" w:space="0" w:color="auto"/>
              <w:right w:val="single" w:sz="4" w:space="0" w:color="auto"/>
            </w:tcBorders>
            <w:noWrap/>
            <w:vAlign w:val="bottom"/>
          </w:tcPr>
          <w:p w:rsidR="00B16336" w:rsidRDefault="00B16336">
            <w:pPr>
              <w:jc w:val="right"/>
              <w:rPr>
                <w:rFonts w:ascii="Arial" w:hAnsi="Arial" w:cs="Arial"/>
                <w:sz w:val="20"/>
                <w:szCs w:val="20"/>
              </w:rPr>
            </w:pPr>
            <w:r>
              <w:rPr>
                <w:rFonts w:ascii="Arial" w:hAnsi="Arial" w:cs="Arial"/>
                <w:sz w:val="20"/>
                <w:szCs w:val="20"/>
              </w:rPr>
              <w:t>-2.1%</w:t>
            </w:r>
          </w:p>
        </w:tc>
        <w:tc>
          <w:tcPr>
            <w:tcW w:w="1419" w:type="dxa"/>
            <w:tcBorders>
              <w:top w:val="nil"/>
              <w:left w:val="nil"/>
              <w:bottom w:val="single" w:sz="4" w:space="0" w:color="auto"/>
              <w:right w:val="single" w:sz="4" w:space="0" w:color="auto"/>
            </w:tcBorders>
            <w:noWrap/>
            <w:vAlign w:val="bottom"/>
          </w:tcPr>
          <w:p w:rsidR="00B16336" w:rsidRPr="005A7BB0" w:rsidRDefault="00B16336">
            <w:pPr>
              <w:jc w:val="right"/>
              <w:rPr>
                <w:rFonts w:ascii="Arial" w:hAnsi="Arial" w:cs="Arial"/>
                <w:sz w:val="20"/>
                <w:szCs w:val="20"/>
              </w:rPr>
            </w:pPr>
            <w:r w:rsidRPr="005A7BB0">
              <w:rPr>
                <w:rFonts w:ascii="Arial" w:hAnsi="Arial" w:cs="Arial"/>
                <w:sz w:val="20"/>
                <w:szCs w:val="20"/>
              </w:rPr>
              <w:t>-0.4</w:t>
            </w:r>
          </w:p>
        </w:tc>
      </w:tr>
      <w:tr w:rsidR="00B16336" w:rsidTr="005A7BB0">
        <w:trPr>
          <w:trHeight w:val="255"/>
        </w:trPr>
        <w:tc>
          <w:tcPr>
            <w:tcW w:w="2070" w:type="dxa"/>
            <w:tcBorders>
              <w:top w:val="nil"/>
              <w:left w:val="single" w:sz="4" w:space="0" w:color="auto"/>
              <w:bottom w:val="single" w:sz="4" w:space="0" w:color="auto"/>
              <w:right w:val="single" w:sz="4" w:space="0" w:color="auto"/>
            </w:tcBorders>
            <w:noWrap/>
            <w:vAlign w:val="bottom"/>
          </w:tcPr>
          <w:p w:rsidR="00B16336" w:rsidRPr="005E763B" w:rsidRDefault="00B16336" w:rsidP="00B16336">
            <w:pPr>
              <w:rPr>
                <w:rFonts w:ascii="Arial" w:hAnsi="Arial" w:cs="Arial"/>
                <w:b/>
                <w:bCs/>
                <w:sz w:val="20"/>
                <w:szCs w:val="20"/>
              </w:rPr>
            </w:pPr>
            <w:r w:rsidRPr="005E763B">
              <w:rPr>
                <w:rFonts w:ascii="Arial" w:hAnsi="Arial" w:cs="Arial"/>
                <w:b/>
                <w:bCs/>
                <w:sz w:val="20"/>
                <w:szCs w:val="20"/>
              </w:rPr>
              <w:t>Kamu Harcamaları</w:t>
            </w:r>
          </w:p>
        </w:tc>
        <w:tc>
          <w:tcPr>
            <w:tcW w:w="1191" w:type="dxa"/>
            <w:tcBorders>
              <w:top w:val="nil"/>
              <w:left w:val="nil"/>
              <w:bottom w:val="single" w:sz="4" w:space="0" w:color="auto"/>
              <w:right w:val="single" w:sz="4" w:space="0" w:color="auto"/>
            </w:tcBorders>
            <w:noWrap/>
            <w:vAlign w:val="bottom"/>
          </w:tcPr>
          <w:p w:rsidR="00B16336" w:rsidRDefault="00B16336">
            <w:pPr>
              <w:jc w:val="right"/>
              <w:rPr>
                <w:rFonts w:ascii="Arial" w:hAnsi="Arial" w:cs="Arial"/>
                <w:sz w:val="20"/>
                <w:szCs w:val="20"/>
              </w:rPr>
            </w:pPr>
            <w:r>
              <w:rPr>
                <w:rFonts w:ascii="Arial" w:hAnsi="Arial" w:cs="Arial"/>
                <w:sz w:val="20"/>
                <w:szCs w:val="20"/>
              </w:rPr>
              <w:t>8.3%</w:t>
            </w:r>
          </w:p>
        </w:tc>
        <w:tc>
          <w:tcPr>
            <w:tcW w:w="1419" w:type="dxa"/>
            <w:tcBorders>
              <w:top w:val="nil"/>
              <w:left w:val="nil"/>
              <w:bottom w:val="single" w:sz="4" w:space="0" w:color="auto"/>
              <w:right w:val="single" w:sz="4" w:space="0" w:color="auto"/>
            </w:tcBorders>
            <w:noWrap/>
            <w:vAlign w:val="bottom"/>
          </w:tcPr>
          <w:p w:rsidR="00B16336" w:rsidRPr="005A7BB0" w:rsidRDefault="00B16336">
            <w:pPr>
              <w:jc w:val="right"/>
              <w:rPr>
                <w:rFonts w:ascii="Arial" w:hAnsi="Arial" w:cs="Arial"/>
                <w:sz w:val="20"/>
                <w:szCs w:val="20"/>
              </w:rPr>
            </w:pPr>
            <w:r w:rsidRPr="005A7BB0">
              <w:rPr>
                <w:rFonts w:ascii="Arial" w:hAnsi="Arial" w:cs="Arial"/>
                <w:sz w:val="20"/>
                <w:szCs w:val="20"/>
              </w:rPr>
              <w:t>1.1</w:t>
            </w:r>
          </w:p>
        </w:tc>
      </w:tr>
      <w:tr w:rsidR="00B16336" w:rsidTr="005A7BB0">
        <w:trPr>
          <w:trHeight w:val="255"/>
        </w:trPr>
        <w:tc>
          <w:tcPr>
            <w:tcW w:w="2070" w:type="dxa"/>
            <w:tcBorders>
              <w:top w:val="nil"/>
              <w:left w:val="single" w:sz="4" w:space="0" w:color="auto"/>
              <w:bottom w:val="single" w:sz="4" w:space="0" w:color="auto"/>
              <w:right w:val="single" w:sz="4" w:space="0" w:color="auto"/>
            </w:tcBorders>
            <w:noWrap/>
            <w:vAlign w:val="bottom"/>
          </w:tcPr>
          <w:p w:rsidR="00B16336" w:rsidRPr="005E763B" w:rsidRDefault="00B16336" w:rsidP="00B16336">
            <w:pPr>
              <w:rPr>
                <w:rFonts w:ascii="Arial" w:hAnsi="Arial" w:cs="Arial"/>
                <w:b/>
                <w:bCs/>
                <w:sz w:val="20"/>
                <w:szCs w:val="20"/>
              </w:rPr>
            </w:pPr>
            <w:r w:rsidRPr="005E763B">
              <w:rPr>
                <w:rFonts w:ascii="Arial" w:hAnsi="Arial" w:cs="Arial"/>
                <w:b/>
                <w:bCs/>
                <w:sz w:val="20"/>
                <w:szCs w:val="20"/>
              </w:rPr>
              <w:t>Stok Değişimi</w:t>
            </w:r>
          </w:p>
        </w:tc>
        <w:tc>
          <w:tcPr>
            <w:tcW w:w="1191" w:type="dxa"/>
            <w:tcBorders>
              <w:top w:val="nil"/>
              <w:left w:val="nil"/>
              <w:bottom w:val="single" w:sz="4" w:space="0" w:color="auto"/>
              <w:right w:val="single" w:sz="4" w:space="0" w:color="auto"/>
            </w:tcBorders>
            <w:noWrap/>
            <w:vAlign w:val="bottom"/>
          </w:tcPr>
          <w:p w:rsidR="00B16336" w:rsidRDefault="00B16336">
            <w:pPr>
              <w:jc w:val="right"/>
              <w:rPr>
                <w:rFonts w:ascii="Arial" w:hAnsi="Arial" w:cs="Arial"/>
                <w:sz w:val="20"/>
                <w:szCs w:val="20"/>
              </w:rPr>
            </w:pPr>
            <w:r>
              <w:rPr>
                <w:rFonts w:ascii="Arial" w:hAnsi="Arial" w:cs="Arial"/>
                <w:sz w:val="20"/>
                <w:szCs w:val="20"/>
              </w:rPr>
              <w:t>47.0%</w:t>
            </w:r>
          </w:p>
        </w:tc>
        <w:tc>
          <w:tcPr>
            <w:tcW w:w="1419" w:type="dxa"/>
            <w:tcBorders>
              <w:top w:val="nil"/>
              <w:left w:val="nil"/>
              <w:bottom w:val="single" w:sz="4" w:space="0" w:color="auto"/>
              <w:right w:val="single" w:sz="4" w:space="0" w:color="auto"/>
            </w:tcBorders>
            <w:noWrap/>
            <w:vAlign w:val="bottom"/>
          </w:tcPr>
          <w:p w:rsidR="00B16336" w:rsidRPr="005A7BB0" w:rsidRDefault="00B16336">
            <w:pPr>
              <w:jc w:val="right"/>
              <w:rPr>
                <w:rFonts w:ascii="Arial" w:hAnsi="Arial" w:cs="Arial"/>
                <w:sz w:val="20"/>
                <w:szCs w:val="20"/>
              </w:rPr>
            </w:pPr>
            <w:r w:rsidRPr="005A7BB0">
              <w:rPr>
                <w:rFonts w:ascii="Arial" w:hAnsi="Arial" w:cs="Arial"/>
                <w:sz w:val="20"/>
                <w:szCs w:val="20"/>
              </w:rPr>
              <w:t>0.9</w:t>
            </w:r>
          </w:p>
        </w:tc>
      </w:tr>
      <w:tr w:rsidR="00B16336" w:rsidTr="005A7BB0">
        <w:trPr>
          <w:trHeight w:val="255"/>
        </w:trPr>
        <w:tc>
          <w:tcPr>
            <w:tcW w:w="2070" w:type="dxa"/>
            <w:tcBorders>
              <w:top w:val="nil"/>
              <w:left w:val="single" w:sz="4" w:space="0" w:color="auto"/>
              <w:bottom w:val="single" w:sz="4" w:space="0" w:color="auto"/>
              <w:right w:val="single" w:sz="4" w:space="0" w:color="auto"/>
            </w:tcBorders>
            <w:noWrap/>
            <w:vAlign w:val="bottom"/>
          </w:tcPr>
          <w:p w:rsidR="00B16336" w:rsidRPr="005E763B" w:rsidRDefault="00B16336" w:rsidP="00B16336">
            <w:pPr>
              <w:rPr>
                <w:rFonts w:ascii="Arial" w:hAnsi="Arial" w:cs="Arial"/>
                <w:b/>
                <w:bCs/>
                <w:sz w:val="20"/>
                <w:szCs w:val="20"/>
              </w:rPr>
            </w:pPr>
            <w:r w:rsidRPr="005E763B">
              <w:rPr>
                <w:rFonts w:ascii="Arial" w:hAnsi="Arial" w:cs="Arial"/>
                <w:b/>
                <w:bCs/>
                <w:sz w:val="20"/>
                <w:szCs w:val="20"/>
              </w:rPr>
              <w:t>İhracat</w:t>
            </w:r>
          </w:p>
        </w:tc>
        <w:tc>
          <w:tcPr>
            <w:tcW w:w="1191" w:type="dxa"/>
            <w:tcBorders>
              <w:top w:val="nil"/>
              <w:left w:val="nil"/>
              <w:bottom w:val="single" w:sz="4" w:space="0" w:color="auto"/>
              <w:right w:val="single" w:sz="4" w:space="0" w:color="auto"/>
            </w:tcBorders>
            <w:noWrap/>
            <w:vAlign w:val="bottom"/>
          </w:tcPr>
          <w:p w:rsidR="00B16336" w:rsidRDefault="00B16336">
            <w:pPr>
              <w:jc w:val="right"/>
              <w:rPr>
                <w:rFonts w:ascii="Arial" w:hAnsi="Arial" w:cs="Arial"/>
                <w:sz w:val="20"/>
                <w:szCs w:val="20"/>
              </w:rPr>
            </w:pPr>
            <w:r>
              <w:rPr>
                <w:rFonts w:ascii="Arial" w:hAnsi="Arial" w:cs="Arial"/>
                <w:sz w:val="20"/>
                <w:szCs w:val="20"/>
              </w:rPr>
              <w:t>-1.4%</w:t>
            </w:r>
          </w:p>
        </w:tc>
        <w:tc>
          <w:tcPr>
            <w:tcW w:w="1419" w:type="dxa"/>
            <w:tcBorders>
              <w:top w:val="nil"/>
              <w:left w:val="nil"/>
              <w:bottom w:val="single" w:sz="4" w:space="0" w:color="auto"/>
              <w:right w:val="single" w:sz="4" w:space="0" w:color="auto"/>
            </w:tcBorders>
            <w:noWrap/>
            <w:vAlign w:val="bottom"/>
          </w:tcPr>
          <w:p w:rsidR="00B16336" w:rsidRPr="005A7BB0" w:rsidRDefault="00B16336">
            <w:pPr>
              <w:jc w:val="right"/>
              <w:rPr>
                <w:rFonts w:ascii="Arial" w:hAnsi="Arial" w:cs="Arial"/>
                <w:sz w:val="20"/>
                <w:szCs w:val="20"/>
              </w:rPr>
            </w:pPr>
            <w:r w:rsidRPr="005A7BB0">
              <w:rPr>
                <w:rFonts w:ascii="Arial" w:hAnsi="Arial" w:cs="Arial"/>
                <w:sz w:val="20"/>
                <w:szCs w:val="20"/>
              </w:rPr>
              <w:t>-0.4</w:t>
            </w:r>
          </w:p>
        </w:tc>
      </w:tr>
      <w:tr w:rsidR="00B16336" w:rsidTr="005A7BB0">
        <w:trPr>
          <w:trHeight w:val="255"/>
        </w:trPr>
        <w:tc>
          <w:tcPr>
            <w:tcW w:w="2070" w:type="dxa"/>
            <w:tcBorders>
              <w:top w:val="nil"/>
              <w:left w:val="single" w:sz="4" w:space="0" w:color="auto"/>
              <w:bottom w:val="single" w:sz="4" w:space="0" w:color="auto"/>
              <w:right w:val="single" w:sz="4" w:space="0" w:color="auto"/>
            </w:tcBorders>
            <w:noWrap/>
            <w:vAlign w:val="bottom"/>
          </w:tcPr>
          <w:p w:rsidR="00B16336" w:rsidRPr="005E763B" w:rsidRDefault="00B16336" w:rsidP="00B16336">
            <w:pPr>
              <w:rPr>
                <w:rFonts w:ascii="Arial" w:hAnsi="Arial" w:cs="Arial"/>
                <w:b/>
                <w:bCs/>
                <w:sz w:val="20"/>
                <w:szCs w:val="20"/>
              </w:rPr>
            </w:pPr>
            <w:r w:rsidRPr="005E763B">
              <w:rPr>
                <w:rFonts w:ascii="Arial" w:hAnsi="Arial" w:cs="Arial"/>
                <w:b/>
                <w:bCs/>
                <w:sz w:val="20"/>
                <w:szCs w:val="20"/>
              </w:rPr>
              <w:t>İthalat</w:t>
            </w:r>
          </w:p>
        </w:tc>
        <w:tc>
          <w:tcPr>
            <w:tcW w:w="1191" w:type="dxa"/>
            <w:tcBorders>
              <w:top w:val="nil"/>
              <w:left w:val="nil"/>
              <w:bottom w:val="single" w:sz="4" w:space="0" w:color="auto"/>
              <w:right w:val="single" w:sz="4" w:space="0" w:color="auto"/>
            </w:tcBorders>
            <w:noWrap/>
            <w:vAlign w:val="bottom"/>
          </w:tcPr>
          <w:p w:rsidR="00B16336" w:rsidRDefault="00B16336">
            <w:pPr>
              <w:jc w:val="right"/>
              <w:rPr>
                <w:rFonts w:ascii="Arial" w:hAnsi="Arial" w:cs="Arial"/>
                <w:sz w:val="20"/>
                <w:szCs w:val="20"/>
              </w:rPr>
            </w:pPr>
            <w:r>
              <w:rPr>
                <w:rFonts w:ascii="Arial" w:hAnsi="Arial" w:cs="Arial"/>
                <w:sz w:val="20"/>
                <w:szCs w:val="20"/>
              </w:rPr>
              <w:t>-1.2%</w:t>
            </w:r>
          </w:p>
        </w:tc>
        <w:tc>
          <w:tcPr>
            <w:tcW w:w="1419" w:type="dxa"/>
            <w:tcBorders>
              <w:top w:val="nil"/>
              <w:left w:val="nil"/>
              <w:bottom w:val="single" w:sz="4" w:space="0" w:color="auto"/>
              <w:right w:val="single" w:sz="4" w:space="0" w:color="auto"/>
            </w:tcBorders>
            <w:noWrap/>
            <w:vAlign w:val="bottom"/>
          </w:tcPr>
          <w:p w:rsidR="00B16336" w:rsidRPr="005A7BB0" w:rsidRDefault="00B16336">
            <w:pPr>
              <w:jc w:val="right"/>
              <w:rPr>
                <w:rFonts w:ascii="Arial" w:hAnsi="Arial" w:cs="Arial"/>
                <w:sz w:val="20"/>
                <w:szCs w:val="20"/>
              </w:rPr>
            </w:pPr>
            <w:r w:rsidRPr="005A7BB0">
              <w:rPr>
                <w:rFonts w:ascii="Arial" w:hAnsi="Arial" w:cs="Arial"/>
                <w:sz w:val="20"/>
                <w:szCs w:val="20"/>
              </w:rPr>
              <w:t>0.3</w:t>
            </w:r>
          </w:p>
        </w:tc>
      </w:tr>
      <w:tr w:rsidR="00915B9C" w:rsidTr="005A7BB0">
        <w:trPr>
          <w:trHeight w:val="255"/>
        </w:trPr>
        <w:tc>
          <w:tcPr>
            <w:tcW w:w="2070" w:type="dxa"/>
            <w:tcBorders>
              <w:top w:val="single" w:sz="4" w:space="0" w:color="auto"/>
              <w:left w:val="single" w:sz="4" w:space="0" w:color="auto"/>
              <w:bottom w:val="single" w:sz="4" w:space="0" w:color="auto"/>
              <w:right w:val="single" w:sz="4" w:space="0" w:color="auto"/>
            </w:tcBorders>
            <w:noWrap/>
            <w:vAlign w:val="bottom"/>
          </w:tcPr>
          <w:p w:rsidR="00915B9C" w:rsidRPr="005E763B" w:rsidRDefault="00915B9C" w:rsidP="00B16336">
            <w:pPr>
              <w:rPr>
                <w:rFonts w:ascii="Arial" w:hAnsi="Arial" w:cs="Arial"/>
                <w:b/>
                <w:bCs/>
                <w:sz w:val="20"/>
                <w:szCs w:val="20"/>
              </w:rPr>
            </w:pPr>
            <w:r w:rsidRPr="00915B9C">
              <w:rPr>
                <w:rFonts w:ascii="Arial" w:hAnsi="Arial" w:cs="Arial"/>
                <w:b/>
                <w:sz w:val="20"/>
                <w:szCs w:val="20"/>
              </w:rPr>
              <w:t>GSYH </w:t>
            </w:r>
          </w:p>
        </w:tc>
        <w:tc>
          <w:tcPr>
            <w:tcW w:w="1191" w:type="dxa"/>
            <w:tcBorders>
              <w:top w:val="single" w:sz="4" w:space="0" w:color="auto"/>
              <w:left w:val="nil"/>
              <w:bottom w:val="single" w:sz="4" w:space="0" w:color="auto"/>
              <w:right w:val="single" w:sz="4" w:space="0" w:color="auto"/>
            </w:tcBorders>
            <w:noWrap/>
            <w:vAlign w:val="bottom"/>
          </w:tcPr>
          <w:p w:rsidR="00915B9C" w:rsidRDefault="00B16336" w:rsidP="00B16336">
            <w:pPr>
              <w:jc w:val="right"/>
              <w:rPr>
                <w:rFonts w:ascii="Arial" w:hAnsi="Arial" w:cs="Arial"/>
                <w:sz w:val="20"/>
                <w:szCs w:val="20"/>
              </w:rPr>
            </w:pPr>
            <w:r>
              <w:rPr>
                <w:rFonts w:ascii="Arial" w:hAnsi="Arial" w:cs="Arial"/>
                <w:sz w:val="20"/>
                <w:szCs w:val="20"/>
              </w:rPr>
              <w:t>3.9%</w:t>
            </w:r>
          </w:p>
        </w:tc>
        <w:tc>
          <w:tcPr>
            <w:tcW w:w="1419" w:type="dxa"/>
            <w:tcBorders>
              <w:top w:val="single" w:sz="4" w:space="0" w:color="auto"/>
              <w:left w:val="nil"/>
              <w:bottom w:val="single" w:sz="4" w:space="0" w:color="auto"/>
              <w:right w:val="single" w:sz="4" w:space="0" w:color="auto"/>
            </w:tcBorders>
            <w:noWrap/>
            <w:vAlign w:val="bottom"/>
          </w:tcPr>
          <w:p w:rsidR="00915B9C" w:rsidRPr="005A7BB0" w:rsidRDefault="00915B9C" w:rsidP="00B16336">
            <w:pPr>
              <w:jc w:val="right"/>
              <w:rPr>
                <w:rFonts w:ascii="Arial" w:hAnsi="Arial" w:cs="Arial"/>
                <w:sz w:val="20"/>
                <w:szCs w:val="20"/>
              </w:rPr>
            </w:pPr>
          </w:p>
        </w:tc>
      </w:tr>
    </w:tbl>
    <w:p w:rsidR="00915B9C" w:rsidRDefault="00915B9C" w:rsidP="00915B9C">
      <w:pPr>
        <w:pStyle w:val="NormalWeb"/>
        <w:spacing w:before="0" w:beforeAutospacing="0" w:after="0" w:afterAutospacing="0"/>
        <w:jc w:val="both"/>
        <w:rPr>
          <w:rFonts w:ascii="Arial" w:hAnsi="Arial" w:cs="Arial"/>
          <w:sz w:val="20"/>
          <w:szCs w:val="20"/>
        </w:rPr>
      </w:pPr>
      <w:r w:rsidRPr="00660DE2">
        <w:rPr>
          <w:rFonts w:ascii="Arial" w:hAnsi="Arial" w:cs="Arial"/>
          <w:sz w:val="16"/>
          <w:szCs w:val="16"/>
        </w:rPr>
        <w:t>Kaynak : TÜİK.</w:t>
      </w:r>
    </w:p>
    <w:p w:rsidR="00DD06A2" w:rsidRDefault="00DD06A2" w:rsidP="00B16336">
      <w:pPr>
        <w:pStyle w:val="NormalWeb"/>
        <w:spacing w:before="0" w:beforeAutospacing="0" w:after="0" w:afterAutospacing="0"/>
        <w:ind w:right="79"/>
        <w:rPr>
          <w:rFonts w:ascii="Arial" w:hAnsi="Arial" w:cs="Arial"/>
          <w:b/>
          <w:bCs/>
          <w:sz w:val="20"/>
          <w:szCs w:val="20"/>
        </w:rPr>
        <w:sectPr w:rsidR="00DD06A2" w:rsidSect="00C335E9">
          <w:type w:val="continuous"/>
          <w:pgSz w:w="11906" w:h="16838"/>
          <w:pgMar w:top="1417" w:right="1106" w:bottom="1417" w:left="900" w:header="708" w:footer="708" w:gutter="0"/>
          <w:cols w:num="2" w:space="386"/>
          <w:docGrid w:linePitch="360"/>
        </w:sectPr>
      </w:pPr>
    </w:p>
    <w:tbl>
      <w:tblPr>
        <w:tblpPr w:leftFromText="141" w:rightFromText="141" w:vertAnchor="text" w:horzAnchor="margin" w:tblpY="592"/>
        <w:tblW w:w="9437" w:type="dxa"/>
        <w:tblCellMar>
          <w:left w:w="70" w:type="dxa"/>
          <w:right w:w="70" w:type="dxa"/>
        </w:tblCellMar>
        <w:tblLook w:val="04A0" w:firstRow="1" w:lastRow="0" w:firstColumn="1" w:lastColumn="0" w:noHBand="0" w:noVBand="1"/>
      </w:tblPr>
      <w:tblGrid>
        <w:gridCol w:w="1417"/>
        <w:gridCol w:w="960"/>
        <w:gridCol w:w="960"/>
        <w:gridCol w:w="1286"/>
        <w:gridCol w:w="974"/>
        <w:gridCol w:w="960"/>
        <w:gridCol w:w="960"/>
        <w:gridCol w:w="960"/>
        <w:gridCol w:w="960"/>
      </w:tblGrid>
      <w:tr w:rsidR="00915B9C" w:rsidRPr="008E5192" w:rsidTr="00B16336">
        <w:trPr>
          <w:trHeight w:val="765"/>
        </w:trPr>
        <w:tc>
          <w:tcPr>
            <w:tcW w:w="9437" w:type="dxa"/>
            <w:gridSpan w:val="9"/>
            <w:tcBorders>
              <w:bottom w:val="single" w:sz="4" w:space="0" w:color="auto"/>
            </w:tcBorders>
            <w:shd w:val="clear" w:color="auto" w:fill="auto"/>
            <w:noWrap/>
            <w:vAlign w:val="bottom"/>
            <w:hideMark/>
          </w:tcPr>
          <w:p w:rsidR="00915B9C" w:rsidRPr="00983DBF" w:rsidRDefault="00915B9C" w:rsidP="002A2231">
            <w:pPr>
              <w:pStyle w:val="NormalWeb"/>
              <w:spacing w:before="0" w:beforeAutospacing="0" w:after="0" w:afterAutospacing="0"/>
              <w:ind w:right="79"/>
              <w:rPr>
                <w:rFonts w:ascii="Arial" w:hAnsi="Arial" w:cs="Arial"/>
                <w:b/>
                <w:bCs/>
                <w:sz w:val="20"/>
                <w:szCs w:val="20"/>
              </w:rPr>
            </w:pPr>
            <w:r w:rsidRPr="00983DBF">
              <w:rPr>
                <w:rFonts w:ascii="Arial" w:hAnsi="Arial" w:cs="Arial"/>
                <w:b/>
                <w:bCs/>
                <w:sz w:val="20"/>
                <w:szCs w:val="20"/>
              </w:rPr>
              <w:t>Tablo 3. GSYH alt kalemlerinin bir önceki çeyreğe göre büyümeye katkıları ve toplam büyüme</w:t>
            </w:r>
            <w:r w:rsidRPr="00983DBF">
              <w:rPr>
                <w:b/>
                <w:bCs/>
                <w:sz w:val="20"/>
                <w:szCs w:val="20"/>
              </w:rPr>
              <w:t xml:space="preserve"> </w:t>
            </w:r>
          </w:p>
        </w:tc>
      </w:tr>
      <w:tr w:rsidR="00915B9C" w:rsidRPr="008E5192" w:rsidTr="00B16336">
        <w:trPr>
          <w:trHeight w:val="76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B9C" w:rsidRPr="008E5192" w:rsidRDefault="00915B9C" w:rsidP="00B16336">
            <w:pPr>
              <w:rPr>
                <w:rFonts w:ascii="Arial" w:hAnsi="Arial" w:cs="Arial"/>
                <w:sz w:val="20"/>
                <w:szCs w:val="20"/>
              </w:rPr>
            </w:pPr>
            <w:r w:rsidRPr="008E5192">
              <w:rPr>
                <w:rFonts w:ascii="Arial"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15B9C" w:rsidRPr="00B123F5" w:rsidRDefault="00915B9C" w:rsidP="00983DBF">
            <w:pPr>
              <w:jc w:val="center"/>
              <w:rPr>
                <w:rFonts w:ascii="Arial" w:hAnsi="Arial" w:cs="Arial"/>
                <w:b/>
                <w:sz w:val="20"/>
                <w:szCs w:val="20"/>
              </w:rPr>
            </w:pPr>
            <w:r w:rsidRPr="00B123F5">
              <w:rPr>
                <w:rFonts w:ascii="Arial" w:hAnsi="Arial" w:cs="Arial"/>
                <w:b/>
                <w:sz w:val="20"/>
                <w:szCs w:val="20"/>
              </w:rPr>
              <w:t>Tüketim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15B9C" w:rsidRPr="00B123F5" w:rsidRDefault="00915B9C" w:rsidP="00983DBF">
            <w:pPr>
              <w:jc w:val="center"/>
              <w:rPr>
                <w:rFonts w:ascii="Arial" w:hAnsi="Arial" w:cs="Arial"/>
                <w:b/>
                <w:sz w:val="20"/>
                <w:szCs w:val="20"/>
              </w:rPr>
            </w:pPr>
            <w:r w:rsidRPr="00B123F5">
              <w:rPr>
                <w:rFonts w:ascii="Arial" w:hAnsi="Arial" w:cs="Arial"/>
                <w:b/>
                <w:sz w:val="20"/>
                <w:szCs w:val="20"/>
              </w:rPr>
              <w:t>Özel Yatırım</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915B9C" w:rsidRPr="00B123F5" w:rsidRDefault="00915B9C" w:rsidP="00983DBF">
            <w:pPr>
              <w:jc w:val="center"/>
              <w:rPr>
                <w:rFonts w:ascii="Arial" w:hAnsi="Arial" w:cs="Arial"/>
                <w:b/>
                <w:sz w:val="20"/>
                <w:szCs w:val="20"/>
              </w:rPr>
            </w:pPr>
            <w:r w:rsidRPr="00B123F5">
              <w:rPr>
                <w:rFonts w:ascii="Arial" w:hAnsi="Arial" w:cs="Arial"/>
                <w:b/>
                <w:sz w:val="20"/>
                <w:szCs w:val="20"/>
              </w:rPr>
              <w:t>Kamu Harcamaları</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15B9C" w:rsidRPr="00B123F5" w:rsidRDefault="00915B9C" w:rsidP="00983DBF">
            <w:pPr>
              <w:jc w:val="center"/>
              <w:rPr>
                <w:rFonts w:ascii="Arial" w:hAnsi="Arial" w:cs="Arial"/>
                <w:b/>
                <w:sz w:val="20"/>
                <w:szCs w:val="20"/>
              </w:rPr>
            </w:pPr>
            <w:r w:rsidRPr="00B123F5">
              <w:rPr>
                <w:rFonts w:ascii="Arial" w:hAnsi="Arial" w:cs="Arial"/>
                <w:b/>
                <w:sz w:val="20"/>
                <w:szCs w:val="20"/>
              </w:rPr>
              <w:t>Stok Değişimi</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15B9C" w:rsidRPr="00B123F5" w:rsidRDefault="00915B9C" w:rsidP="00983DBF">
            <w:pPr>
              <w:jc w:val="center"/>
              <w:rPr>
                <w:rFonts w:ascii="Arial" w:hAnsi="Arial" w:cs="Arial"/>
                <w:b/>
                <w:sz w:val="20"/>
                <w:szCs w:val="20"/>
              </w:rPr>
            </w:pPr>
            <w:r w:rsidRPr="00B123F5">
              <w:rPr>
                <w:rFonts w:ascii="Arial" w:hAnsi="Arial" w:cs="Arial"/>
                <w:b/>
                <w:sz w:val="20"/>
                <w:szCs w:val="20"/>
              </w:rPr>
              <w:t>Net İhracat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15B9C" w:rsidRPr="00B123F5" w:rsidRDefault="00915B9C" w:rsidP="00983DBF">
            <w:pPr>
              <w:jc w:val="center"/>
              <w:rPr>
                <w:rFonts w:ascii="Arial" w:hAnsi="Arial" w:cs="Arial"/>
                <w:b/>
                <w:sz w:val="20"/>
                <w:szCs w:val="20"/>
              </w:rPr>
            </w:pPr>
            <w:r w:rsidRPr="00B123F5">
              <w:rPr>
                <w:rFonts w:ascii="Arial" w:hAnsi="Arial" w:cs="Arial"/>
                <w:b/>
                <w:sz w:val="20"/>
                <w:szCs w:val="20"/>
              </w:rPr>
              <w:t>İhracat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15B9C" w:rsidRPr="00B123F5" w:rsidRDefault="00915B9C" w:rsidP="00983DBF">
            <w:pPr>
              <w:jc w:val="center"/>
              <w:rPr>
                <w:rFonts w:ascii="Arial" w:hAnsi="Arial" w:cs="Arial"/>
                <w:b/>
                <w:sz w:val="20"/>
                <w:szCs w:val="20"/>
              </w:rPr>
            </w:pPr>
            <w:r w:rsidRPr="00B123F5">
              <w:rPr>
                <w:rFonts w:ascii="Arial" w:hAnsi="Arial" w:cs="Arial"/>
                <w:b/>
                <w:sz w:val="20"/>
                <w:szCs w:val="20"/>
              </w:rPr>
              <w:t>İthalat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15B9C" w:rsidRPr="00B123F5" w:rsidRDefault="00915B9C" w:rsidP="00983DBF">
            <w:pPr>
              <w:jc w:val="center"/>
              <w:rPr>
                <w:rFonts w:ascii="Arial" w:hAnsi="Arial" w:cs="Arial"/>
                <w:b/>
                <w:sz w:val="20"/>
                <w:szCs w:val="20"/>
              </w:rPr>
            </w:pPr>
            <w:r w:rsidRPr="00B123F5">
              <w:rPr>
                <w:rFonts w:ascii="Arial" w:hAnsi="Arial" w:cs="Arial"/>
                <w:b/>
                <w:sz w:val="20"/>
                <w:szCs w:val="20"/>
              </w:rPr>
              <w:t>Toplam</w:t>
            </w:r>
          </w:p>
        </w:tc>
      </w:tr>
      <w:tr w:rsidR="00B16336" w:rsidRPr="008E5192" w:rsidTr="002A2231">
        <w:trPr>
          <w:trHeight w:val="263"/>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16336" w:rsidRPr="008E5192" w:rsidRDefault="00B16336" w:rsidP="00B16336">
            <w:pPr>
              <w:rPr>
                <w:rFonts w:ascii="Arial" w:hAnsi="Arial" w:cs="Arial"/>
                <w:b/>
                <w:bCs/>
                <w:sz w:val="20"/>
                <w:szCs w:val="20"/>
              </w:rPr>
            </w:pPr>
            <w:r w:rsidRPr="008E5192">
              <w:rPr>
                <w:rFonts w:ascii="Arial" w:hAnsi="Arial" w:cs="Arial"/>
                <w:b/>
                <w:bCs/>
                <w:sz w:val="20"/>
                <w:szCs w:val="20"/>
              </w:rPr>
              <w:t>2012(1)</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-0.5%</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0.3%</w:t>
            </w:r>
          </w:p>
        </w:tc>
        <w:tc>
          <w:tcPr>
            <w:tcW w:w="1286"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0.3%</w:t>
            </w:r>
          </w:p>
        </w:tc>
        <w:tc>
          <w:tcPr>
            <w:tcW w:w="974"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-0.3%</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1.4%</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-1.5%</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-0.3%</w:t>
            </w:r>
          </w:p>
        </w:tc>
      </w:tr>
      <w:tr w:rsidR="00B16336" w:rsidRPr="008E5192" w:rsidTr="002A2231">
        <w:trPr>
          <w:trHeight w:val="263"/>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16336" w:rsidRPr="008E5192" w:rsidRDefault="00B16336" w:rsidP="00B16336">
            <w:pPr>
              <w:rPr>
                <w:rFonts w:ascii="Arial" w:hAnsi="Arial" w:cs="Arial"/>
                <w:b/>
                <w:bCs/>
                <w:sz w:val="20"/>
                <w:szCs w:val="20"/>
              </w:rPr>
            </w:pPr>
            <w:r w:rsidRPr="008E5192">
              <w:rPr>
                <w:rFonts w:ascii="Arial" w:hAnsi="Arial" w:cs="Arial"/>
                <w:b/>
                <w:bCs/>
                <w:sz w:val="20"/>
                <w:szCs w:val="20"/>
              </w:rPr>
              <w:t>2012(2)</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-0.7%</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-0.8%</w:t>
            </w:r>
          </w:p>
        </w:tc>
        <w:tc>
          <w:tcPr>
            <w:tcW w:w="1286"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0.8%</w:t>
            </w:r>
          </w:p>
        </w:tc>
        <w:tc>
          <w:tcPr>
            <w:tcW w:w="974"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0.3%</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1.6%</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2.1%</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-0.5%</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1.2%</w:t>
            </w:r>
          </w:p>
        </w:tc>
      </w:tr>
      <w:tr w:rsidR="00B16336" w:rsidRPr="008E5192" w:rsidTr="002A2231">
        <w:trPr>
          <w:trHeight w:val="263"/>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16336" w:rsidRPr="008E5192" w:rsidRDefault="00B16336" w:rsidP="00B16336">
            <w:pPr>
              <w:rPr>
                <w:rFonts w:ascii="Arial" w:hAnsi="Arial" w:cs="Arial"/>
                <w:b/>
                <w:bCs/>
                <w:sz w:val="20"/>
                <w:szCs w:val="20"/>
              </w:rPr>
            </w:pPr>
            <w:r w:rsidRPr="008E5192">
              <w:rPr>
                <w:rFonts w:ascii="Arial" w:hAnsi="Arial" w:cs="Arial"/>
                <w:b/>
                <w:bCs/>
                <w:sz w:val="20"/>
                <w:szCs w:val="20"/>
              </w:rPr>
              <w:t>2012(3)</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1.1%</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-0.7%</w:t>
            </w:r>
          </w:p>
        </w:tc>
        <w:tc>
          <w:tcPr>
            <w:tcW w:w="1286"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0.6%</w:t>
            </w:r>
          </w:p>
        </w:tc>
        <w:tc>
          <w:tcPr>
            <w:tcW w:w="974"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0.0%</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-0.7%</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-0.2%</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-0.5%</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0.2%</w:t>
            </w:r>
          </w:p>
        </w:tc>
      </w:tr>
      <w:tr w:rsidR="00B16336" w:rsidRPr="008E5192" w:rsidTr="002A2231">
        <w:trPr>
          <w:trHeight w:val="263"/>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16336" w:rsidRPr="008E5192" w:rsidRDefault="00B16336" w:rsidP="00B16336">
            <w:pPr>
              <w:rPr>
                <w:rFonts w:ascii="Arial" w:hAnsi="Arial" w:cs="Arial"/>
                <w:b/>
                <w:bCs/>
                <w:sz w:val="20"/>
                <w:szCs w:val="20"/>
              </w:rPr>
            </w:pPr>
            <w:r w:rsidRPr="008E5192">
              <w:rPr>
                <w:rFonts w:ascii="Arial" w:hAnsi="Arial" w:cs="Arial"/>
                <w:b/>
                <w:bCs/>
                <w:sz w:val="20"/>
                <w:szCs w:val="20"/>
              </w:rPr>
              <w:t>2012(4)</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-0.3%</w:t>
            </w:r>
          </w:p>
        </w:tc>
        <w:tc>
          <w:tcPr>
            <w:tcW w:w="1286"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-0.1%</w:t>
            </w:r>
          </w:p>
        </w:tc>
        <w:tc>
          <w:tcPr>
            <w:tcW w:w="974"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-0.3%</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1.2%</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0.2%</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0.9%</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0.4%</w:t>
            </w:r>
          </w:p>
        </w:tc>
      </w:tr>
      <w:tr w:rsidR="00B16336" w:rsidRPr="008E5192" w:rsidTr="002A2231">
        <w:trPr>
          <w:trHeight w:val="263"/>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16336" w:rsidRPr="008E5192" w:rsidRDefault="00B16336" w:rsidP="00B16336">
            <w:pPr>
              <w:rPr>
                <w:rFonts w:ascii="Arial" w:hAnsi="Arial" w:cs="Arial"/>
                <w:b/>
                <w:bCs/>
                <w:sz w:val="20"/>
                <w:szCs w:val="20"/>
              </w:rPr>
            </w:pPr>
            <w:r w:rsidRPr="008E5192">
              <w:rPr>
                <w:rFonts w:ascii="Arial" w:hAnsi="Arial" w:cs="Arial"/>
                <w:b/>
                <w:bCs/>
                <w:sz w:val="20"/>
                <w:szCs w:val="20"/>
              </w:rPr>
              <w:t>2013(1)</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1.7%</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0.6%</w:t>
            </w:r>
          </w:p>
        </w:tc>
        <w:tc>
          <w:tcPr>
            <w:tcW w:w="1286"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1.1%</w:t>
            </w:r>
          </w:p>
        </w:tc>
        <w:tc>
          <w:tcPr>
            <w:tcW w:w="974"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1.4%</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-3.1%</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-1.2%</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-1.9%</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1.6%</w:t>
            </w:r>
          </w:p>
        </w:tc>
      </w:tr>
      <w:tr w:rsidR="00B16336" w:rsidRPr="008E5192" w:rsidTr="002A2231">
        <w:trPr>
          <w:trHeight w:val="263"/>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16336" w:rsidRPr="008E5192" w:rsidRDefault="00B16336" w:rsidP="00B16336">
            <w:pPr>
              <w:rPr>
                <w:rFonts w:ascii="Arial" w:hAnsi="Arial" w:cs="Arial"/>
                <w:b/>
                <w:bCs/>
                <w:sz w:val="20"/>
                <w:szCs w:val="20"/>
              </w:rPr>
            </w:pPr>
            <w:r w:rsidRPr="008E5192">
              <w:rPr>
                <w:rFonts w:ascii="Arial" w:hAnsi="Arial" w:cs="Arial"/>
                <w:b/>
                <w:bCs/>
                <w:sz w:val="20"/>
                <w:szCs w:val="20"/>
              </w:rPr>
              <w:t>2013(2)</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1.2%</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0.2%</w:t>
            </w:r>
          </w:p>
        </w:tc>
        <w:tc>
          <w:tcPr>
            <w:tcW w:w="1286"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0.2%</w:t>
            </w:r>
          </w:p>
        </w:tc>
        <w:tc>
          <w:tcPr>
            <w:tcW w:w="974"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1.7%</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-1.2%</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0.8%</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-2.0%</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2.0%</w:t>
            </w:r>
          </w:p>
        </w:tc>
      </w:tr>
      <w:tr w:rsidR="00B16336" w:rsidRPr="008E5192" w:rsidTr="002A2231">
        <w:trPr>
          <w:trHeight w:val="263"/>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16336" w:rsidRPr="008E5192" w:rsidRDefault="00B16336" w:rsidP="00B16336">
            <w:pPr>
              <w:rPr>
                <w:rFonts w:ascii="Arial" w:hAnsi="Arial" w:cs="Arial"/>
                <w:b/>
                <w:bCs/>
                <w:sz w:val="20"/>
                <w:szCs w:val="20"/>
              </w:rPr>
            </w:pPr>
            <w:r w:rsidRPr="008E5192">
              <w:rPr>
                <w:rFonts w:ascii="Arial" w:hAnsi="Arial" w:cs="Arial"/>
                <w:b/>
                <w:bCs/>
                <w:sz w:val="20"/>
                <w:szCs w:val="20"/>
              </w:rPr>
              <w:t>2013(3)</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1.0%</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0.1%</w:t>
            </w:r>
          </w:p>
        </w:tc>
        <w:tc>
          <w:tcPr>
            <w:tcW w:w="1286"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-0.3%</w:t>
            </w:r>
          </w:p>
        </w:tc>
        <w:tc>
          <w:tcPr>
            <w:tcW w:w="974"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-1.4%</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0.8%</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-0.7%</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1.5%</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0.2%</w:t>
            </w:r>
          </w:p>
        </w:tc>
      </w:tr>
      <w:tr w:rsidR="00B16336" w:rsidRPr="008E5192" w:rsidTr="002A2231">
        <w:trPr>
          <w:trHeight w:val="263"/>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16336" w:rsidRPr="008E5192" w:rsidRDefault="00B16336" w:rsidP="00B16336">
            <w:pPr>
              <w:rPr>
                <w:rFonts w:ascii="Arial" w:hAnsi="Arial" w:cs="Arial"/>
                <w:b/>
                <w:bCs/>
                <w:sz w:val="20"/>
                <w:szCs w:val="20"/>
              </w:rPr>
            </w:pPr>
            <w:r w:rsidRPr="008E5192">
              <w:rPr>
                <w:rFonts w:ascii="Arial" w:hAnsi="Arial" w:cs="Arial"/>
                <w:b/>
                <w:bCs/>
                <w:sz w:val="20"/>
                <w:szCs w:val="20"/>
              </w:rPr>
              <w:t>2013(4)</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0.0%</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0.2%</w:t>
            </w:r>
          </w:p>
        </w:tc>
        <w:tc>
          <w:tcPr>
            <w:tcW w:w="1286"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0.7%</w:t>
            </w:r>
          </w:p>
        </w:tc>
        <w:tc>
          <w:tcPr>
            <w:tcW w:w="974"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-1.0%</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0.8%</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1.3%</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-0.5%</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0.7%</w:t>
            </w:r>
          </w:p>
        </w:tc>
      </w:tr>
      <w:tr w:rsidR="00B16336" w:rsidRPr="008E5192" w:rsidTr="002A2231">
        <w:trPr>
          <w:trHeight w:val="263"/>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16336" w:rsidRPr="008E5192" w:rsidRDefault="00B16336" w:rsidP="00B16336">
            <w:pPr>
              <w:rPr>
                <w:rFonts w:ascii="Arial" w:hAnsi="Arial" w:cs="Arial"/>
                <w:b/>
                <w:bCs/>
                <w:sz w:val="20"/>
                <w:szCs w:val="20"/>
              </w:rPr>
            </w:pPr>
            <w:r w:rsidRPr="008E5192">
              <w:rPr>
                <w:rFonts w:ascii="Arial" w:hAnsi="Arial" w:cs="Arial"/>
                <w:b/>
                <w:bCs/>
                <w:sz w:val="20"/>
                <w:szCs w:val="20"/>
              </w:rPr>
              <w:t>2014(1)</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-0.7%</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-0.4%</w:t>
            </w:r>
          </w:p>
        </w:tc>
        <w:tc>
          <w:tcPr>
            <w:tcW w:w="1286"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0.0%</w:t>
            </w:r>
          </w:p>
        </w:tc>
        <w:tc>
          <w:tcPr>
            <w:tcW w:w="974"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0.4%</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2.3%</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1.5%</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0.8%</w:t>
            </w:r>
          </w:p>
        </w:tc>
        <w:tc>
          <w:tcPr>
            <w:tcW w:w="960" w:type="dxa"/>
            <w:tcBorders>
              <w:top w:val="nil"/>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1.6%</w:t>
            </w:r>
          </w:p>
        </w:tc>
      </w:tr>
      <w:tr w:rsidR="00B16336" w:rsidRPr="008E5192" w:rsidTr="002A2231">
        <w:trPr>
          <w:trHeight w:val="263"/>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336" w:rsidRPr="008E5192" w:rsidRDefault="00B16336" w:rsidP="00B16336">
            <w:pPr>
              <w:rPr>
                <w:rFonts w:ascii="Arial" w:hAnsi="Arial" w:cs="Arial"/>
                <w:b/>
                <w:bCs/>
                <w:sz w:val="20"/>
                <w:szCs w:val="20"/>
              </w:rPr>
            </w:pPr>
            <w:r>
              <w:rPr>
                <w:rFonts w:ascii="Arial" w:hAnsi="Arial" w:cs="Arial"/>
                <w:b/>
                <w:bCs/>
                <w:sz w:val="20"/>
                <w:szCs w:val="20"/>
              </w:rPr>
              <w:t>2014(2)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-0.3%</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-0.6%</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-0.3%</w:t>
            </w:r>
          </w:p>
        </w:tc>
      </w:tr>
      <w:tr w:rsidR="00B16336" w:rsidRPr="008E5192" w:rsidTr="002A2231">
        <w:trPr>
          <w:trHeight w:val="263"/>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336" w:rsidRDefault="00B16336" w:rsidP="00B16336">
            <w:pPr>
              <w:rPr>
                <w:rFonts w:ascii="Arial" w:hAnsi="Arial" w:cs="Arial"/>
                <w:b/>
                <w:bCs/>
                <w:sz w:val="20"/>
                <w:szCs w:val="20"/>
              </w:rPr>
            </w:pPr>
            <w:r>
              <w:rPr>
                <w:rFonts w:ascii="Arial" w:hAnsi="Arial" w:cs="Arial"/>
                <w:b/>
                <w:bCs/>
                <w:sz w:val="20"/>
                <w:szCs w:val="20"/>
              </w:rPr>
              <w:t>2014(3)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0.2%</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-2.2%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0.2%</w:t>
            </w:r>
          </w:p>
        </w:tc>
      </w:tr>
      <w:tr w:rsidR="00B16336" w:rsidRPr="008E5192" w:rsidTr="002A2231">
        <w:trPr>
          <w:trHeight w:val="263"/>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336" w:rsidRDefault="00B16336" w:rsidP="00B16336">
            <w:pPr>
              <w:rPr>
                <w:rFonts w:ascii="Arial" w:hAnsi="Arial" w:cs="Arial"/>
                <w:b/>
                <w:bCs/>
                <w:sz w:val="20"/>
                <w:szCs w:val="20"/>
              </w:rPr>
            </w:pPr>
            <w:r>
              <w:rPr>
                <w:rFonts w:ascii="Arial" w:hAnsi="Arial" w:cs="Arial"/>
                <w:b/>
                <w:bCs/>
                <w:sz w:val="20"/>
                <w:szCs w:val="20"/>
              </w:rPr>
              <w:t>2014(4)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-0.2%</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0.4%</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2.5%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-2.5%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-2.2%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1.4%</w:t>
            </w:r>
          </w:p>
        </w:tc>
      </w:tr>
      <w:tr w:rsidR="00B16336" w:rsidRPr="008E5192" w:rsidTr="002A2231">
        <w:trPr>
          <w:trHeight w:val="263"/>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336" w:rsidRPr="008E5192" w:rsidRDefault="00B16336" w:rsidP="00B16336">
            <w:pPr>
              <w:rPr>
                <w:rFonts w:ascii="Arial" w:hAnsi="Arial" w:cs="Arial"/>
                <w:b/>
                <w:bCs/>
                <w:sz w:val="20"/>
                <w:szCs w:val="20"/>
              </w:rPr>
            </w:pPr>
            <w:r>
              <w:rPr>
                <w:rFonts w:ascii="Arial" w:hAnsi="Arial" w:cs="Arial"/>
                <w:b/>
                <w:bCs/>
                <w:sz w:val="20"/>
                <w:szCs w:val="20"/>
              </w:rPr>
              <w:t>2015</w:t>
            </w:r>
            <w:r w:rsidRPr="008E5192">
              <w:rPr>
                <w:rFonts w:ascii="Arial" w:hAnsi="Arial" w:cs="Arial"/>
                <w:b/>
                <w:bCs/>
                <w:sz w:val="20"/>
                <w:szCs w:val="20"/>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-0.2%</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0.4%</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1.1%</w:t>
            </w:r>
          </w:p>
        </w:tc>
      </w:tr>
      <w:tr w:rsidR="00B16336" w:rsidRPr="008E5192" w:rsidTr="002A2231">
        <w:trPr>
          <w:trHeight w:val="263"/>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336" w:rsidRPr="008E5192" w:rsidRDefault="00B16336" w:rsidP="00B16336">
            <w:pPr>
              <w:rPr>
                <w:rFonts w:ascii="Arial" w:hAnsi="Arial" w:cs="Arial"/>
                <w:b/>
                <w:bCs/>
                <w:sz w:val="20"/>
                <w:szCs w:val="20"/>
              </w:rPr>
            </w:pPr>
            <w:r>
              <w:rPr>
                <w:rFonts w:ascii="Arial" w:hAnsi="Arial" w:cs="Arial"/>
                <w:b/>
                <w:bCs/>
                <w:sz w:val="20"/>
                <w:szCs w:val="20"/>
              </w:rPr>
              <w:t>2015(2)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1.4%</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0.4%</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1.3%</w:t>
            </w:r>
          </w:p>
        </w:tc>
      </w:tr>
      <w:tr w:rsidR="00B16336" w:rsidRPr="008E5192" w:rsidTr="002A2231">
        <w:trPr>
          <w:trHeight w:val="263"/>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336" w:rsidRDefault="00B16336" w:rsidP="00B16336">
            <w:pPr>
              <w:rPr>
                <w:rFonts w:ascii="Arial" w:hAnsi="Arial" w:cs="Arial"/>
                <w:b/>
                <w:bCs/>
                <w:sz w:val="20"/>
                <w:szCs w:val="20"/>
              </w:rPr>
            </w:pPr>
            <w:r>
              <w:rPr>
                <w:rFonts w:ascii="Arial" w:hAnsi="Arial" w:cs="Arial"/>
                <w:b/>
                <w:bCs/>
                <w:sz w:val="20"/>
                <w:szCs w:val="20"/>
              </w:rPr>
              <w:t>2015(3)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-1.3%</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0.3%</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1.2%</w:t>
            </w:r>
          </w:p>
        </w:tc>
      </w:tr>
      <w:tr w:rsidR="00B16336" w:rsidRPr="008E5192" w:rsidTr="002A2231">
        <w:trPr>
          <w:trHeight w:val="263"/>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336" w:rsidRDefault="00B16336" w:rsidP="00B16336">
            <w:pPr>
              <w:rPr>
                <w:rFonts w:ascii="Arial" w:hAnsi="Arial" w:cs="Arial"/>
                <w:b/>
                <w:bCs/>
                <w:sz w:val="20"/>
                <w:szCs w:val="20"/>
              </w:rPr>
            </w:pPr>
            <w:r>
              <w:rPr>
                <w:rFonts w:ascii="Arial" w:hAnsi="Arial" w:cs="Arial"/>
                <w:b/>
                <w:bCs/>
                <w:sz w:val="20"/>
                <w:szCs w:val="20"/>
              </w:rPr>
              <w:t>2015(4)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0.5%</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0.0%</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16336" w:rsidRDefault="00B16336" w:rsidP="00B16336">
            <w:pPr>
              <w:jc w:val="center"/>
              <w:rPr>
                <w:rFonts w:ascii="Arial" w:hAnsi="Arial" w:cs="Arial"/>
                <w:sz w:val="20"/>
                <w:szCs w:val="20"/>
              </w:rPr>
            </w:pPr>
            <w:r>
              <w:rPr>
                <w:rFonts w:ascii="Arial" w:hAnsi="Arial" w:cs="Arial"/>
                <w:sz w:val="20"/>
                <w:szCs w:val="20"/>
              </w:rPr>
              <w:t>0.7%</w:t>
            </w:r>
          </w:p>
        </w:tc>
      </w:tr>
    </w:tbl>
    <w:p w:rsidR="00915B9C" w:rsidRDefault="00915B9C" w:rsidP="00915B9C">
      <w:pPr>
        <w:pStyle w:val="NormalWeb"/>
        <w:spacing w:before="0" w:beforeAutospacing="0" w:after="0" w:afterAutospacing="0" w:line="360" w:lineRule="auto"/>
        <w:ind w:right="77"/>
        <w:rPr>
          <w:rFonts w:ascii="Arial" w:hAnsi="Arial" w:cs="Arial"/>
          <w:b/>
          <w:bCs/>
          <w:sz w:val="20"/>
          <w:szCs w:val="20"/>
        </w:rPr>
      </w:pPr>
    </w:p>
    <w:p w:rsidR="00DD06A2" w:rsidRDefault="00DD06A2" w:rsidP="00915B9C">
      <w:pPr>
        <w:pStyle w:val="NormalWeb"/>
        <w:spacing w:before="0" w:beforeAutospacing="0" w:after="0" w:afterAutospacing="0" w:line="360" w:lineRule="auto"/>
        <w:ind w:right="77"/>
        <w:rPr>
          <w:rFonts w:ascii="Arial" w:hAnsi="Arial" w:cs="Arial"/>
          <w:b/>
          <w:bCs/>
          <w:sz w:val="20"/>
          <w:szCs w:val="20"/>
        </w:rPr>
      </w:pPr>
    </w:p>
    <w:p w:rsidR="00DD06A2" w:rsidRDefault="00DD06A2" w:rsidP="00915B9C">
      <w:pPr>
        <w:pStyle w:val="NormalWeb"/>
        <w:spacing w:before="0" w:beforeAutospacing="0" w:after="0" w:afterAutospacing="0" w:line="360" w:lineRule="auto"/>
        <w:ind w:right="77"/>
        <w:rPr>
          <w:rFonts w:ascii="Arial" w:hAnsi="Arial" w:cs="Arial"/>
          <w:b/>
          <w:bCs/>
          <w:sz w:val="20"/>
          <w:szCs w:val="20"/>
        </w:rPr>
      </w:pPr>
    </w:p>
    <w:p w:rsidR="00DD06A2" w:rsidRDefault="00DD06A2" w:rsidP="00915B9C">
      <w:pPr>
        <w:pStyle w:val="NormalWeb"/>
        <w:spacing w:before="0" w:beforeAutospacing="0" w:after="0" w:afterAutospacing="0" w:line="360" w:lineRule="auto"/>
        <w:ind w:right="77"/>
        <w:rPr>
          <w:rFonts w:ascii="Arial" w:hAnsi="Arial" w:cs="Arial"/>
          <w:b/>
          <w:bCs/>
          <w:sz w:val="20"/>
          <w:szCs w:val="20"/>
        </w:rPr>
      </w:pPr>
    </w:p>
    <w:p w:rsidR="00DD06A2" w:rsidRDefault="00DD06A2" w:rsidP="00915B9C">
      <w:pPr>
        <w:pStyle w:val="NormalWeb"/>
        <w:spacing w:before="0" w:beforeAutospacing="0" w:after="0" w:afterAutospacing="0" w:line="360" w:lineRule="auto"/>
        <w:ind w:right="77"/>
        <w:rPr>
          <w:rFonts w:ascii="Arial" w:hAnsi="Arial" w:cs="Arial"/>
          <w:b/>
          <w:bCs/>
          <w:sz w:val="20"/>
          <w:szCs w:val="20"/>
        </w:rPr>
      </w:pPr>
    </w:p>
    <w:p w:rsidR="00DD06A2" w:rsidRDefault="00DD06A2" w:rsidP="00915B9C">
      <w:pPr>
        <w:pStyle w:val="NormalWeb"/>
        <w:spacing w:before="0" w:beforeAutospacing="0" w:after="0" w:afterAutospacing="0" w:line="360" w:lineRule="auto"/>
        <w:ind w:right="77"/>
        <w:rPr>
          <w:rFonts w:ascii="Arial" w:hAnsi="Arial" w:cs="Arial"/>
          <w:b/>
          <w:bCs/>
          <w:sz w:val="20"/>
          <w:szCs w:val="20"/>
        </w:rPr>
      </w:pPr>
    </w:p>
    <w:p w:rsidR="00DD06A2" w:rsidRDefault="00DD06A2" w:rsidP="00915B9C">
      <w:pPr>
        <w:pStyle w:val="NormalWeb"/>
        <w:spacing w:before="0" w:beforeAutospacing="0" w:after="0" w:afterAutospacing="0" w:line="360" w:lineRule="auto"/>
        <w:ind w:right="77"/>
        <w:rPr>
          <w:rFonts w:ascii="Arial" w:hAnsi="Arial" w:cs="Arial"/>
          <w:b/>
          <w:bCs/>
          <w:sz w:val="20"/>
          <w:szCs w:val="20"/>
        </w:rPr>
      </w:pPr>
    </w:p>
    <w:p w:rsidR="00DD06A2" w:rsidRDefault="00DD06A2" w:rsidP="00915B9C">
      <w:pPr>
        <w:pStyle w:val="NormalWeb"/>
        <w:spacing w:before="0" w:beforeAutospacing="0" w:after="0" w:afterAutospacing="0" w:line="360" w:lineRule="auto"/>
        <w:ind w:right="77"/>
        <w:rPr>
          <w:rFonts w:ascii="Arial" w:hAnsi="Arial" w:cs="Arial"/>
          <w:b/>
          <w:bCs/>
          <w:sz w:val="20"/>
          <w:szCs w:val="20"/>
        </w:rPr>
      </w:pPr>
    </w:p>
    <w:p w:rsidR="00DD06A2" w:rsidRDefault="00DD06A2" w:rsidP="00915B9C">
      <w:pPr>
        <w:pStyle w:val="NormalWeb"/>
        <w:spacing w:before="0" w:beforeAutospacing="0" w:after="0" w:afterAutospacing="0" w:line="360" w:lineRule="auto"/>
        <w:ind w:right="77"/>
        <w:rPr>
          <w:rFonts w:ascii="Arial" w:hAnsi="Arial" w:cs="Arial"/>
          <w:b/>
          <w:bCs/>
          <w:sz w:val="20"/>
          <w:szCs w:val="20"/>
        </w:rPr>
      </w:pPr>
    </w:p>
    <w:p w:rsidR="00DD06A2" w:rsidRDefault="00DD06A2" w:rsidP="00915B9C">
      <w:pPr>
        <w:pStyle w:val="NormalWeb"/>
        <w:spacing w:before="0" w:beforeAutospacing="0" w:after="0" w:afterAutospacing="0" w:line="360" w:lineRule="auto"/>
        <w:ind w:right="77"/>
        <w:rPr>
          <w:rFonts w:ascii="Arial" w:hAnsi="Arial" w:cs="Arial"/>
          <w:b/>
          <w:bCs/>
          <w:sz w:val="20"/>
          <w:szCs w:val="20"/>
        </w:rPr>
      </w:pPr>
    </w:p>
    <w:p w:rsidR="00DD06A2" w:rsidRDefault="00DD06A2" w:rsidP="00915B9C">
      <w:pPr>
        <w:pStyle w:val="NormalWeb"/>
        <w:spacing w:before="0" w:beforeAutospacing="0" w:after="0" w:afterAutospacing="0" w:line="360" w:lineRule="auto"/>
        <w:ind w:right="77"/>
        <w:rPr>
          <w:rFonts w:ascii="Arial" w:hAnsi="Arial" w:cs="Arial"/>
          <w:b/>
          <w:bCs/>
          <w:sz w:val="20"/>
          <w:szCs w:val="20"/>
        </w:rPr>
      </w:pPr>
    </w:p>
    <w:p w:rsidR="00DD06A2" w:rsidRDefault="00DD06A2" w:rsidP="00915B9C">
      <w:pPr>
        <w:pStyle w:val="NormalWeb"/>
        <w:spacing w:before="0" w:beforeAutospacing="0" w:after="0" w:afterAutospacing="0" w:line="360" w:lineRule="auto"/>
        <w:ind w:right="77"/>
        <w:rPr>
          <w:rFonts w:ascii="Arial" w:hAnsi="Arial" w:cs="Arial"/>
          <w:b/>
          <w:bCs/>
          <w:sz w:val="20"/>
          <w:szCs w:val="20"/>
        </w:rPr>
      </w:pPr>
    </w:p>
    <w:p w:rsidR="00DD06A2" w:rsidRDefault="00DD06A2" w:rsidP="00915B9C">
      <w:pPr>
        <w:pStyle w:val="NormalWeb"/>
        <w:spacing w:before="0" w:beforeAutospacing="0" w:after="0" w:afterAutospacing="0" w:line="360" w:lineRule="auto"/>
        <w:ind w:right="77"/>
        <w:rPr>
          <w:rFonts w:ascii="Arial" w:hAnsi="Arial" w:cs="Arial"/>
          <w:b/>
          <w:bCs/>
          <w:sz w:val="20"/>
          <w:szCs w:val="20"/>
        </w:rPr>
      </w:pPr>
    </w:p>
    <w:p w:rsidR="00DD06A2" w:rsidRDefault="00DD06A2" w:rsidP="00DD06A2">
      <w:pPr>
        <w:pStyle w:val="NormalWeb"/>
        <w:spacing w:before="0" w:beforeAutospacing="0" w:after="0" w:afterAutospacing="0" w:line="360" w:lineRule="auto"/>
        <w:ind w:right="-23"/>
        <w:rPr>
          <w:rFonts w:ascii="Arial" w:hAnsi="Arial" w:cs="Arial"/>
          <w:b/>
          <w:bCs/>
          <w:sz w:val="20"/>
          <w:szCs w:val="20"/>
        </w:rPr>
      </w:pPr>
    </w:p>
    <w:p w:rsidR="002A2231" w:rsidRDefault="002A2231" w:rsidP="00915B9C">
      <w:pPr>
        <w:pStyle w:val="NormalWeb"/>
        <w:spacing w:before="0" w:beforeAutospacing="0" w:after="0" w:afterAutospacing="0" w:line="360" w:lineRule="auto"/>
        <w:ind w:right="77"/>
        <w:rPr>
          <w:rFonts w:ascii="Arial" w:hAnsi="Arial" w:cs="Arial"/>
          <w:b/>
          <w:bCs/>
          <w:sz w:val="20"/>
          <w:szCs w:val="20"/>
        </w:rPr>
      </w:pPr>
    </w:p>
    <w:p w:rsidR="002A2231" w:rsidRDefault="002A2231" w:rsidP="00915B9C">
      <w:pPr>
        <w:pStyle w:val="NormalWeb"/>
        <w:spacing w:before="0" w:beforeAutospacing="0" w:after="0" w:afterAutospacing="0" w:line="360" w:lineRule="auto"/>
        <w:ind w:right="77"/>
        <w:rPr>
          <w:rFonts w:ascii="Arial" w:hAnsi="Arial" w:cs="Arial"/>
          <w:b/>
          <w:bCs/>
          <w:sz w:val="20"/>
          <w:szCs w:val="20"/>
        </w:rPr>
      </w:pPr>
    </w:p>
    <w:p w:rsidR="00B16336" w:rsidRDefault="00B16336" w:rsidP="00915B9C">
      <w:pPr>
        <w:pStyle w:val="NormalWeb"/>
        <w:spacing w:before="0" w:beforeAutospacing="0" w:after="0" w:afterAutospacing="0" w:line="360" w:lineRule="auto"/>
        <w:ind w:right="77"/>
        <w:rPr>
          <w:rFonts w:ascii="Arial" w:hAnsi="Arial" w:cs="Arial"/>
          <w:bCs/>
          <w:sz w:val="16"/>
          <w:szCs w:val="16"/>
        </w:rPr>
      </w:pPr>
    </w:p>
    <w:p w:rsidR="00B16336" w:rsidRDefault="00B16336" w:rsidP="00915B9C">
      <w:pPr>
        <w:pStyle w:val="NormalWeb"/>
        <w:spacing w:before="0" w:beforeAutospacing="0" w:after="0" w:afterAutospacing="0" w:line="360" w:lineRule="auto"/>
        <w:ind w:right="77"/>
        <w:rPr>
          <w:rFonts w:ascii="Arial" w:hAnsi="Arial" w:cs="Arial"/>
          <w:bCs/>
          <w:sz w:val="16"/>
          <w:szCs w:val="16"/>
        </w:rPr>
      </w:pPr>
    </w:p>
    <w:p w:rsidR="00B16336" w:rsidRDefault="00B16336" w:rsidP="00915B9C">
      <w:pPr>
        <w:pStyle w:val="NormalWeb"/>
        <w:spacing w:before="0" w:beforeAutospacing="0" w:after="0" w:afterAutospacing="0" w:line="360" w:lineRule="auto"/>
        <w:ind w:right="77"/>
        <w:rPr>
          <w:rFonts w:ascii="Arial" w:hAnsi="Arial" w:cs="Arial"/>
          <w:bCs/>
          <w:sz w:val="16"/>
          <w:szCs w:val="16"/>
        </w:rPr>
      </w:pPr>
    </w:p>
    <w:p w:rsidR="00B16336" w:rsidRDefault="00B16336" w:rsidP="00915B9C">
      <w:pPr>
        <w:pStyle w:val="NormalWeb"/>
        <w:spacing w:before="0" w:beforeAutospacing="0" w:after="0" w:afterAutospacing="0" w:line="360" w:lineRule="auto"/>
        <w:ind w:right="77"/>
        <w:rPr>
          <w:rFonts w:ascii="Arial" w:hAnsi="Arial" w:cs="Arial"/>
          <w:bCs/>
          <w:sz w:val="16"/>
          <w:szCs w:val="16"/>
        </w:rPr>
      </w:pPr>
    </w:p>
    <w:p w:rsidR="00DD06A2" w:rsidRPr="00DD06A2" w:rsidRDefault="00DD06A2" w:rsidP="00915B9C">
      <w:pPr>
        <w:pStyle w:val="NormalWeb"/>
        <w:spacing w:before="0" w:beforeAutospacing="0" w:after="0" w:afterAutospacing="0" w:line="360" w:lineRule="auto"/>
        <w:ind w:right="77"/>
        <w:rPr>
          <w:rFonts w:ascii="Arial" w:hAnsi="Arial" w:cs="Arial"/>
          <w:bCs/>
          <w:sz w:val="16"/>
          <w:szCs w:val="16"/>
        </w:rPr>
        <w:sectPr w:rsidR="00DD06A2" w:rsidRPr="00DD06A2" w:rsidSect="00DD06A2">
          <w:type w:val="continuous"/>
          <w:pgSz w:w="11906" w:h="16838"/>
          <w:pgMar w:top="1417" w:right="1106" w:bottom="1417" w:left="900" w:header="708" w:footer="708" w:gutter="0"/>
          <w:cols w:space="386"/>
          <w:docGrid w:linePitch="360"/>
        </w:sectPr>
      </w:pPr>
      <w:r w:rsidRPr="00DD06A2">
        <w:rPr>
          <w:rFonts w:ascii="Arial" w:hAnsi="Arial" w:cs="Arial"/>
          <w:bCs/>
          <w:sz w:val="16"/>
          <w:szCs w:val="16"/>
        </w:rPr>
        <w:t>Kaynak:TUİK.</w:t>
      </w:r>
    </w:p>
    <w:p w:rsidR="00983DBF" w:rsidRDefault="00983DBF" w:rsidP="00983DBF">
      <w:pPr>
        <w:pStyle w:val="NormalWeb"/>
        <w:spacing w:before="0" w:beforeAutospacing="0" w:after="0" w:afterAutospacing="0"/>
        <w:ind w:right="79"/>
        <w:rPr>
          <w:rFonts w:ascii="Arial" w:hAnsi="Arial" w:cs="Arial"/>
          <w:b/>
          <w:bCs/>
          <w:sz w:val="20"/>
          <w:szCs w:val="20"/>
        </w:rPr>
      </w:pPr>
      <w:r>
        <w:rPr>
          <w:rFonts w:ascii="Arial" w:hAnsi="Arial" w:cs="Arial"/>
          <w:b/>
          <w:bCs/>
          <w:sz w:val="20"/>
          <w:szCs w:val="20"/>
        </w:rPr>
        <w:lastRenderedPageBreak/>
        <w:t xml:space="preserve">Tablo 4. </w:t>
      </w:r>
      <w:r w:rsidRPr="00983DBF">
        <w:rPr>
          <w:rFonts w:ascii="Arial" w:hAnsi="Arial" w:cs="Arial"/>
          <w:b/>
          <w:bCs/>
          <w:sz w:val="20"/>
          <w:szCs w:val="20"/>
        </w:rPr>
        <w:t>GSYH alt kalemlerinin b</w:t>
      </w:r>
      <w:r>
        <w:rPr>
          <w:rFonts w:ascii="Arial" w:hAnsi="Arial" w:cs="Arial"/>
          <w:b/>
          <w:bCs/>
          <w:sz w:val="20"/>
          <w:szCs w:val="20"/>
        </w:rPr>
        <w:t>ir önceki çeyreğe göre büyümeleri</w:t>
      </w:r>
    </w:p>
    <w:tbl>
      <w:tblPr>
        <w:tblStyle w:val="TableGrid"/>
        <w:tblW w:w="0" w:type="auto"/>
        <w:tblLook w:val="04A0" w:firstRow="1" w:lastRow="0" w:firstColumn="1" w:lastColumn="0" w:noHBand="0" w:noVBand="1"/>
      </w:tblPr>
      <w:tblGrid>
        <w:gridCol w:w="1064"/>
        <w:gridCol w:w="1810"/>
        <w:gridCol w:w="1810"/>
        <w:gridCol w:w="1811"/>
        <w:gridCol w:w="1810"/>
        <w:gridCol w:w="1811"/>
      </w:tblGrid>
      <w:tr w:rsidR="00983DBF" w:rsidTr="00B16336">
        <w:tc>
          <w:tcPr>
            <w:tcW w:w="1064" w:type="dxa"/>
          </w:tcPr>
          <w:p w:rsidR="00983DBF" w:rsidRDefault="00983DBF" w:rsidP="00983DBF">
            <w:pPr>
              <w:pStyle w:val="NormalWeb"/>
              <w:spacing w:before="0" w:beforeAutospacing="0" w:after="0" w:afterAutospacing="0" w:line="360" w:lineRule="auto"/>
              <w:ind w:right="77"/>
              <w:rPr>
                <w:rFonts w:ascii="Arial" w:hAnsi="Arial" w:cs="Arial"/>
                <w:b/>
                <w:bCs/>
                <w:sz w:val="20"/>
                <w:szCs w:val="20"/>
              </w:rPr>
            </w:pPr>
          </w:p>
        </w:tc>
        <w:tc>
          <w:tcPr>
            <w:tcW w:w="1810" w:type="dxa"/>
            <w:vAlign w:val="center"/>
          </w:tcPr>
          <w:p w:rsidR="00983DBF" w:rsidRPr="00B123F5" w:rsidRDefault="00983DBF" w:rsidP="00983DBF">
            <w:pPr>
              <w:jc w:val="center"/>
              <w:rPr>
                <w:rFonts w:ascii="Arial" w:hAnsi="Arial" w:cs="Arial"/>
                <w:b/>
                <w:sz w:val="20"/>
                <w:szCs w:val="20"/>
              </w:rPr>
            </w:pPr>
            <w:r w:rsidRPr="00B123F5">
              <w:rPr>
                <w:rFonts w:ascii="Arial" w:hAnsi="Arial" w:cs="Arial"/>
                <w:b/>
                <w:sz w:val="20"/>
                <w:szCs w:val="20"/>
              </w:rPr>
              <w:t>Tüketim</w:t>
            </w:r>
          </w:p>
        </w:tc>
        <w:tc>
          <w:tcPr>
            <w:tcW w:w="1810" w:type="dxa"/>
            <w:vAlign w:val="center"/>
          </w:tcPr>
          <w:p w:rsidR="00983DBF" w:rsidRPr="00B123F5" w:rsidRDefault="00983DBF" w:rsidP="00983DBF">
            <w:pPr>
              <w:jc w:val="center"/>
              <w:rPr>
                <w:rFonts w:ascii="Arial" w:hAnsi="Arial" w:cs="Arial"/>
                <w:b/>
                <w:sz w:val="20"/>
                <w:szCs w:val="20"/>
              </w:rPr>
            </w:pPr>
            <w:r w:rsidRPr="00B123F5">
              <w:rPr>
                <w:rFonts w:ascii="Arial" w:hAnsi="Arial" w:cs="Arial"/>
                <w:b/>
                <w:sz w:val="20"/>
                <w:szCs w:val="20"/>
              </w:rPr>
              <w:t>Özel Yatırım</w:t>
            </w:r>
          </w:p>
        </w:tc>
        <w:tc>
          <w:tcPr>
            <w:tcW w:w="1811" w:type="dxa"/>
            <w:vAlign w:val="center"/>
          </w:tcPr>
          <w:p w:rsidR="00983DBF" w:rsidRPr="00B123F5" w:rsidRDefault="00983DBF" w:rsidP="00983DBF">
            <w:pPr>
              <w:jc w:val="center"/>
              <w:rPr>
                <w:rFonts w:ascii="Arial" w:hAnsi="Arial" w:cs="Arial"/>
                <w:b/>
                <w:sz w:val="20"/>
                <w:szCs w:val="20"/>
              </w:rPr>
            </w:pPr>
            <w:r w:rsidRPr="00B123F5">
              <w:rPr>
                <w:rFonts w:ascii="Arial" w:hAnsi="Arial" w:cs="Arial"/>
                <w:b/>
                <w:sz w:val="20"/>
                <w:szCs w:val="20"/>
              </w:rPr>
              <w:t>Kamu Harcamaları</w:t>
            </w:r>
          </w:p>
        </w:tc>
        <w:tc>
          <w:tcPr>
            <w:tcW w:w="1810" w:type="dxa"/>
            <w:vAlign w:val="center"/>
          </w:tcPr>
          <w:p w:rsidR="00983DBF" w:rsidRPr="00B123F5" w:rsidRDefault="00983DBF" w:rsidP="00983DBF">
            <w:pPr>
              <w:jc w:val="center"/>
              <w:rPr>
                <w:rFonts w:ascii="Arial" w:hAnsi="Arial" w:cs="Arial"/>
                <w:b/>
                <w:sz w:val="20"/>
                <w:szCs w:val="20"/>
              </w:rPr>
            </w:pPr>
            <w:r w:rsidRPr="00B123F5">
              <w:rPr>
                <w:rFonts w:ascii="Arial" w:hAnsi="Arial" w:cs="Arial"/>
                <w:b/>
                <w:sz w:val="20"/>
                <w:szCs w:val="20"/>
              </w:rPr>
              <w:t>İhracat</w:t>
            </w:r>
          </w:p>
        </w:tc>
        <w:tc>
          <w:tcPr>
            <w:tcW w:w="1811" w:type="dxa"/>
            <w:vAlign w:val="center"/>
          </w:tcPr>
          <w:p w:rsidR="00983DBF" w:rsidRPr="00B123F5" w:rsidRDefault="00983DBF" w:rsidP="00983DBF">
            <w:pPr>
              <w:jc w:val="center"/>
              <w:rPr>
                <w:rFonts w:ascii="Arial" w:hAnsi="Arial" w:cs="Arial"/>
                <w:b/>
                <w:sz w:val="20"/>
                <w:szCs w:val="20"/>
              </w:rPr>
            </w:pPr>
            <w:r w:rsidRPr="00B123F5">
              <w:rPr>
                <w:rFonts w:ascii="Arial" w:hAnsi="Arial" w:cs="Arial"/>
                <w:b/>
                <w:sz w:val="20"/>
                <w:szCs w:val="20"/>
              </w:rPr>
              <w:t>İthalat</w:t>
            </w:r>
          </w:p>
        </w:tc>
      </w:tr>
      <w:tr w:rsidR="00B16336" w:rsidTr="00B16336">
        <w:tc>
          <w:tcPr>
            <w:tcW w:w="1064" w:type="dxa"/>
            <w:vAlign w:val="bottom"/>
          </w:tcPr>
          <w:p w:rsidR="00B16336" w:rsidRPr="008E5192" w:rsidRDefault="00B16336" w:rsidP="00983DBF">
            <w:pPr>
              <w:rPr>
                <w:rFonts w:ascii="Arial" w:hAnsi="Arial" w:cs="Arial"/>
                <w:b/>
                <w:bCs/>
                <w:sz w:val="20"/>
                <w:szCs w:val="20"/>
              </w:rPr>
            </w:pPr>
            <w:r w:rsidRPr="008E5192">
              <w:rPr>
                <w:rFonts w:ascii="Arial" w:hAnsi="Arial" w:cs="Arial"/>
                <w:b/>
                <w:bCs/>
                <w:sz w:val="20"/>
                <w:szCs w:val="20"/>
              </w:rPr>
              <w:t>2012(1)</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-0.8%</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1.5%</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2.2%</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5.9%</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5.9%</w:t>
            </w:r>
          </w:p>
        </w:tc>
      </w:tr>
      <w:tr w:rsidR="00B16336" w:rsidTr="00B16336">
        <w:tc>
          <w:tcPr>
            <w:tcW w:w="1064" w:type="dxa"/>
            <w:vAlign w:val="bottom"/>
          </w:tcPr>
          <w:p w:rsidR="00B16336" w:rsidRPr="008E5192" w:rsidRDefault="00B16336" w:rsidP="00983DBF">
            <w:pPr>
              <w:rPr>
                <w:rFonts w:ascii="Arial" w:hAnsi="Arial" w:cs="Arial"/>
                <w:b/>
                <w:bCs/>
                <w:sz w:val="20"/>
                <w:szCs w:val="20"/>
              </w:rPr>
            </w:pPr>
            <w:r w:rsidRPr="008E5192">
              <w:rPr>
                <w:rFonts w:ascii="Arial" w:hAnsi="Arial" w:cs="Arial"/>
                <w:b/>
                <w:bCs/>
                <w:sz w:val="20"/>
                <w:szCs w:val="20"/>
              </w:rPr>
              <w:t>2012(2)</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-1.1%</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-3.5%</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5.5%</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8.2%</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1.9%</w:t>
            </w:r>
          </w:p>
        </w:tc>
      </w:tr>
      <w:tr w:rsidR="00B16336" w:rsidTr="00B16336">
        <w:tc>
          <w:tcPr>
            <w:tcW w:w="1064" w:type="dxa"/>
            <w:vAlign w:val="bottom"/>
          </w:tcPr>
          <w:p w:rsidR="00B16336" w:rsidRPr="008E5192" w:rsidRDefault="00B16336" w:rsidP="00983DBF">
            <w:pPr>
              <w:rPr>
                <w:rFonts w:ascii="Arial" w:hAnsi="Arial" w:cs="Arial"/>
                <w:b/>
                <w:bCs/>
                <w:sz w:val="20"/>
                <w:szCs w:val="20"/>
              </w:rPr>
            </w:pPr>
            <w:r w:rsidRPr="008E5192">
              <w:rPr>
                <w:rFonts w:ascii="Arial" w:hAnsi="Arial" w:cs="Arial"/>
                <w:b/>
                <w:bCs/>
                <w:sz w:val="20"/>
                <w:szCs w:val="20"/>
              </w:rPr>
              <w:t>2012(3)</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1.6%</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-3.5%</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3.8%</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-0.7%</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1.8%</w:t>
            </w:r>
          </w:p>
        </w:tc>
      </w:tr>
      <w:tr w:rsidR="00B16336" w:rsidTr="00B16336">
        <w:tc>
          <w:tcPr>
            <w:tcW w:w="1064" w:type="dxa"/>
            <w:vAlign w:val="bottom"/>
          </w:tcPr>
          <w:p w:rsidR="00B16336" w:rsidRPr="008E5192" w:rsidRDefault="00B16336" w:rsidP="00983DBF">
            <w:pPr>
              <w:rPr>
                <w:rFonts w:ascii="Arial" w:hAnsi="Arial" w:cs="Arial"/>
                <w:b/>
                <w:bCs/>
                <w:sz w:val="20"/>
                <w:szCs w:val="20"/>
              </w:rPr>
            </w:pPr>
            <w:r w:rsidRPr="008E5192">
              <w:rPr>
                <w:rFonts w:ascii="Arial" w:hAnsi="Arial" w:cs="Arial"/>
                <w:b/>
                <w:bCs/>
                <w:sz w:val="20"/>
                <w:szCs w:val="20"/>
              </w:rPr>
              <w:t>2012(4)</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-0.2%</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-1.4%</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-0.5%</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0.8%</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-3.3%</w:t>
            </w:r>
          </w:p>
        </w:tc>
      </w:tr>
      <w:tr w:rsidR="00B16336" w:rsidTr="00B16336">
        <w:tc>
          <w:tcPr>
            <w:tcW w:w="1064" w:type="dxa"/>
            <w:vAlign w:val="bottom"/>
          </w:tcPr>
          <w:p w:rsidR="00B16336" w:rsidRPr="008E5192" w:rsidRDefault="00B16336" w:rsidP="00983DBF">
            <w:pPr>
              <w:rPr>
                <w:rFonts w:ascii="Arial" w:hAnsi="Arial" w:cs="Arial"/>
                <w:b/>
                <w:bCs/>
                <w:sz w:val="20"/>
                <w:szCs w:val="20"/>
              </w:rPr>
            </w:pPr>
            <w:r w:rsidRPr="008E5192">
              <w:rPr>
                <w:rFonts w:ascii="Arial" w:hAnsi="Arial" w:cs="Arial"/>
                <w:b/>
                <w:bCs/>
                <w:sz w:val="20"/>
                <w:szCs w:val="20"/>
              </w:rPr>
              <w:t>2013(1)</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2.6%</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3.0%</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7.3%</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-4.4%</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7.1%</w:t>
            </w:r>
          </w:p>
        </w:tc>
      </w:tr>
      <w:tr w:rsidR="00B16336" w:rsidTr="00B16336">
        <w:tc>
          <w:tcPr>
            <w:tcW w:w="1064" w:type="dxa"/>
            <w:vAlign w:val="bottom"/>
          </w:tcPr>
          <w:p w:rsidR="00B16336" w:rsidRPr="008E5192" w:rsidRDefault="00B16336" w:rsidP="00983DBF">
            <w:pPr>
              <w:rPr>
                <w:rFonts w:ascii="Arial" w:hAnsi="Arial" w:cs="Arial"/>
                <w:b/>
                <w:bCs/>
                <w:sz w:val="20"/>
                <w:szCs w:val="20"/>
              </w:rPr>
            </w:pPr>
            <w:r w:rsidRPr="008E5192">
              <w:rPr>
                <w:rFonts w:ascii="Arial" w:hAnsi="Arial" w:cs="Arial"/>
                <w:b/>
                <w:bCs/>
                <w:sz w:val="20"/>
                <w:szCs w:val="20"/>
              </w:rPr>
              <w:t>2013(2)</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1.7%</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1.1%</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1.0%</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3.0%</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6.9%</w:t>
            </w:r>
          </w:p>
        </w:tc>
      </w:tr>
      <w:tr w:rsidR="00B16336" w:rsidTr="00B16336">
        <w:tc>
          <w:tcPr>
            <w:tcW w:w="1064" w:type="dxa"/>
            <w:vAlign w:val="bottom"/>
          </w:tcPr>
          <w:p w:rsidR="00B16336" w:rsidRPr="008E5192" w:rsidRDefault="00B16336" w:rsidP="00983DBF">
            <w:pPr>
              <w:rPr>
                <w:rFonts w:ascii="Arial" w:hAnsi="Arial" w:cs="Arial"/>
                <w:b/>
                <w:bCs/>
                <w:sz w:val="20"/>
                <w:szCs w:val="20"/>
              </w:rPr>
            </w:pPr>
            <w:r w:rsidRPr="008E5192">
              <w:rPr>
                <w:rFonts w:ascii="Arial" w:hAnsi="Arial" w:cs="Arial"/>
                <w:b/>
                <w:bCs/>
                <w:sz w:val="20"/>
                <w:szCs w:val="20"/>
              </w:rPr>
              <w:t>2013(3)</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1.6%</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0.7%</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-1.9%</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-2.7%</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-4.9%</w:t>
            </w:r>
          </w:p>
        </w:tc>
      </w:tr>
      <w:tr w:rsidR="00B16336" w:rsidTr="00B16336">
        <w:tc>
          <w:tcPr>
            <w:tcW w:w="1064" w:type="dxa"/>
            <w:vAlign w:val="bottom"/>
          </w:tcPr>
          <w:p w:rsidR="00B16336" w:rsidRPr="008E5192" w:rsidRDefault="00B16336" w:rsidP="00983DBF">
            <w:pPr>
              <w:rPr>
                <w:rFonts w:ascii="Arial" w:hAnsi="Arial" w:cs="Arial"/>
                <w:b/>
                <w:bCs/>
                <w:sz w:val="20"/>
                <w:szCs w:val="20"/>
              </w:rPr>
            </w:pPr>
            <w:r w:rsidRPr="008E5192">
              <w:rPr>
                <w:rFonts w:ascii="Arial" w:hAnsi="Arial" w:cs="Arial"/>
                <w:b/>
                <w:bCs/>
                <w:sz w:val="20"/>
                <w:szCs w:val="20"/>
              </w:rPr>
              <w:t>2013(4)</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0.0%</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0.9%</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4.7%</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5.0%</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1.6%</w:t>
            </w:r>
          </w:p>
        </w:tc>
      </w:tr>
      <w:tr w:rsidR="00B16336" w:rsidTr="00B16336">
        <w:tc>
          <w:tcPr>
            <w:tcW w:w="1064" w:type="dxa"/>
            <w:vAlign w:val="bottom"/>
          </w:tcPr>
          <w:p w:rsidR="00B16336" w:rsidRPr="008E5192" w:rsidRDefault="00B16336" w:rsidP="00983DBF">
            <w:pPr>
              <w:rPr>
                <w:rFonts w:ascii="Arial" w:hAnsi="Arial" w:cs="Arial"/>
                <w:b/>
                <w:bCs/>
                <w:sz w:val="20"/>
                <w:szCs w:val="20"/>
              </w:rPr>
            </w:pPr>
            <w:r w:rsidRPr="008E5192">
              <w:rPr>
                <w:rFonts w:ascii="Arial" w:hAnsi="Arial" w:cs="Arial"/>
                <w:b/>
                <w:bCs/>
                <w:sz w:val="20"/>
                <w:szCs w:val="20"/>
              </w:rPr>
              <w:t>2014(1)</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-1.1%</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-1.8%</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-0.1%</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5.6%</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-2.7%</w:t>
            </w:r>
          </w:p>
        </w:tc>
      </w:tr>
      <w:tr w:rsidR="00B16336" w:rsidTr="00B16336">
        <w:tc>
          <w:tcPr>
            <w:tcW w:w="1064" w:type="dxa"/>
            <w:vAlign w:val="bottom"/>
          </w:tcPr>
          <w:p w:rsidR="00B16336" w:rsidRPr="008E5192" w:rsidRDefault="00B16336" w:rsidP="00983DBF">
            <w:pPr>
              <w:rPr>
                <w:rFonts w:ascii="Arial" w:hAnsi="Arial" w:cs="Arial"/>
                <w:b/>
                <w:bCs/>
                <w:sz w:val="20"/>
                <w:szCs w:val="20"/>
              </w:rPr>
            </w:pPr>
            <w:r>
              <w:rPr>
                <w:rFonts w:ascii="Arial" w:hAnsi="Arial" w:cs="Arial"/>
                <w:b/>
                <w:bCs/>
                <w:sz w:val="20"/>
                <w:szCs w:val="20"/>
              </w:rPr>
              <w:t>2014(2)</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0.0%</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-1.8%</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-3.9%</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-0.6%</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1.5%</w:t>
            </w:r>
          </w:p>
        </w:tc>
      </w:tr>
      <w:tr w:rsidR="00B16336" w:rsidTr="00B16336">
        <w:tc>
          <w:tcPr>
            <w:tcW w:w="1064" w:type="dxa"/>
            <w:vAlign w:val="bottom"/>
          </w:tcPr>
          <w:p w:rsidR="00B16336" w:rsidRDefault="00B16336" w:rsidP="00983DBF">
            <w:pPr>
              <w:rPr>
                <w:rFonts w:ascii="Arial" w:hAnsi="Arial" w:cs="Arial"/>
                <w:b/>
                <w:bCs/>
                <w:sz w:val="20"/>
                <w:szCs w:val="20"/>
              </w:rPr>
            </w:pPr>
            <w:r>
              <w:rPr>
                <w:rFonts w:ascii="Arial" w:hAnsi="Arial" w:cs="Arial"/>
                <w:b/>
                <w:bCs/>
                <w:sz w:val="20"/>
                <w:szCs w:val="20"/>
              </w:rPr>
              <w:t>2014(3)</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1.6%</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5.1%</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1.1%</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-1.3%</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-2.1%</w:t>
            </w:r>
          </w:p>
        </w:tc>
      </w:tr>
      <w:tr w:rsidR="00B16336" w:rsidTr="00B16336">
        <w:trPr>
          <w:trHeight w:val="53"/>
        </w:trPr>
        <w:tc>
          <w:tcPr>
            <w:tcW w:w="1064" w:type="dxa"/>
            <w:vAlign w:val="bottom"/>
          </w:tcPr>
          <w:p w:rsidR="00B16336" w:rsidRDefault="00B16336" w:rsidP="00983DBF">
            <w:pPr>
              <w:rPr>
                <w:rFonts w:ascii="Arial" w:hAnsi="Arial" w:cs="Arial"/>
                <w:b/>
                <w:bCs/>
                <w:sz w:val="20"/>
                <w:szCs w:val="20"/>
              </w:rPr>
            </w:pPr>
            <w:r>
              <w:rPr>
                <w:rFonts w:ascii="Arial" w:hAnsi="Arial" w:cs="Arial"/>
                <w:b/>
                <w:bCs/>
                <w:sz w:val="20"/>
                <w:szCs w:val="20"/>
              </w:rPr>
              <w:t>2014(4)</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1.8%</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-1.0%</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2.4%</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-0.8%</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8.2%</w:t>
            </w:r>
          </w:p>
        </w:tc>
      </w:tr>
      <w:tr w:rsidR="00B16336" w:rsidTr="00B16336">
        <w:trPr>
          <w:trHeight w:val="53"/>
        </w:trPr>
        <w:tc>
          <w:tcPr>
            <w:tcW w:w="1064" w:type="dxa"/>
            <w:vAlign w:val="bottom"/>
          </w:tcPr>
          <w:p w:rsidR="00B16336" w:rsidRPr="008E5192" w:rsidRDefault="00B16336" w:rsidP="00B16336">
            <w:pPr>
              <w:rPr>
                <w:rFonts w:ascii="Arial" w:hAnsi="Arial" w:cs="Arial"/>
                <w:b/>
                <w:bCs/>
                <w:sz w:val="20"/>
                <w:szCs w:val="20"/>
              </w:rPr>
            </w:pPr>
            <w:r>
              <w:rPr>
                <w:rFonts w:ascii="Arial" w:hAnsi="Arial" w:cs="Arial"/>
                <w:b/>
                <w:bCs/>
                <w:sz w:val="20"/>
                <w:szCs w:val="20"/>
              </w:rPr>
              <w:t>2015</w:t>
            </w:r>
            <w:r w:rsidRPr="008E5192">
              <w:rPr>
                <w:rFonts w:ascii="Arial" w:hAnsi="Arial" w:cs="Arial"/>
                <w:b/>
                <w:bCs/>
                <w:sz w:val="20"/>
                <w:szCs w:val="20"/>
              </w:rPr>
              <w:t>(1)</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1.0%</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-1.3%</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2.3%</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1.5%</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-3.7%</w:t>
            </w:r>
          </w:p>
        </w:tc>
      </w:tr>
      <w:tr w:rsidR="00B16336" w:rsidTr="00B16336">
        <w:trPr>
          <w:trHeight w:val="53"/>
        </w:trPr>
        <w:tc>
          <w:tcPr>
            <w:tcW w:w="1064" w:type="dxa"/>
            <w:vAlign w:val="bottom"/>
          </w:tcPr>
          <w:p w:rsidR="00B16336" w:rsidRPr="008E5192" w:rsidRDefault="00B16336" w:rsidP="00B16336">
            <w:pPr>
              <w:rPr>
                <w:rFonts w:ascii="Arial" w:hAnsi="Arial" w:cs="Arial"/>
                <w:b/>
                <w:bCs/>
                <w:sz w:val="20"/>
                <w:szCs w:val="20"/>
              </w:rPr>
            </w:pPr>
            <w:r>
              <w:rPr>
                <w:rFonts w:ascii="Arial" w:hAnsi="Arial" w:cs="Arial"/>
                <w:b/>
                <w:bCs/>
                <w:sz w:val="20"/>
                <w:szCs w:val="20"/>
              </w:rPr>
              <w:t>2015(2)</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0.7%</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7.3%</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2.7%</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-1.8%</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-0.5%</w:t>
            </w:r>
          </w:p>
        </w:tc>
      </w:tr>
      <w:tr w:rsidR="00B16336" w:rsidTr="00B16336">
        <w:trPr>
          <w:trHeight w:val="53"/>
        </w:trPr>
        <w:tc>
          <w:tcPr>
            <w:tcW w:w="1064" w:type="dxa"/>
            <w:vAlign w:val="bottom"/>
          </w:tcPr>
          <w:p w:rsidR="00B16336" w:rsidRDefault="00B16336" w:rsidP="00B16336">
            <w:pPr>
              <w:rPr>
                <w:rFonts w:ascii="Arial" w:hAnsi="Arial" w:cs="Arial"/>
                <w:b/>
                <w:bCs/>
                <w:sz w:val="20"/>
                <w:szCs w:val="20"/>
              </w:rPr>
            </w:pPr>
            <w:r>
              <w:rPr>
                <w:rFonts w:ascii="Arial" w:hAnsi="Arial" w:cs="Arial"/>
                <w:b/>
                <w:bCs/>
                <w:sz w:val="20"/>
                <w:szCs w:val="20"/>
              </w:rPr>
              <w:t>2015(3)</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1.4%</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-6.3%</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2.2%</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1.6%</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-4.6%</w:t>
            </w:r>
          </w:p>
        </w:tc>
      </w:tr>
      <w:tr w:rsidR="00B16336" w:rsidTr="00B16336">
        <w:trPr>
          <w:trHeight w:val="53"/>
        </w:trPr>
        <w:tc>
          <w:tcPr>
            <w:tcW w:w="1064" w:type="dxa"/>
            <w:vAlign w:val="bottom"/>
          </w:tcPr>
          <w:p w:rsidR="00B16336" w:rsidRDefault="00B16336" w:rsidP="00B16336">
            <w:pPr>
              <w:rPr>
                <w:rFonts w:ascii="Arial" w:hAnsi="Arial" w:cs="Arial"/>
                <w:b/>
                <w:bCs/>
                <w:sz w:val="20"/>
                <w:szCs w:val="20"/>
              </w:rPr>
            </w:pPr>
            <w:r>
              <w:rPr>
                <w:rFonts w:ascii="Arial" w:hAnsi="Arial" w:cs="Arial"/>
                <w:b/>
                <w:bCs/>
                <w:sz w:val="20"/>
                <w:szCs w:val="20"/>
              </w:rPr>
              <w:t>2015(4)</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0.3%</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2.6%</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0.2%</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-1.2%</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6.5%</w:t>
            </w:r>
          </w:p>
        </w:tc>
      </w:tr>
    </w:tbl>
    <w:p w:rsidR="00983DBF" w:rsidRDefault="00983DBF" w:rsidP="00915B9C">
      <w:pPr>
        <w:pStyle w:val="NormalWeb"/>
        <w:spacing w:before="0" w:beforeAutospacing="0" w:after="0" w:afterAutospacing="0" w:line="360" w:lineRule="auto"/>
        <w:ind w:right="77"/>
        <w:rPr>
          <w:rFonts w:ascii="Arial" w:hAnsi="Arial" w:cs="Arial"/>
          <w:bCs/>
          <w:sz w:val="16"/>
          <w:szCs w:val="16"/>
        </w:rPr>
      </w:pPr>
      <w:r w:rsidRPr="00983DBF">
        <w:rPr>
          <w:rFonts w:ascii="Arial" w:hAnsi="Arial" w:cs="Arial"/>
          <w:bCs/>
          <w:sz w:val="16"/>
          <w:szCs w:val="16"/>
        </w:rPr>
        <w:t>Kaynak: TÜİK.</w:t>
      </w:r>
    </w:p>
    <w:p w:rsidR="00B16336" w:rsidRDefault="00B16336" w:rsidP="00915B9C">
      <w:pPr>
        <w:pStyle w:val="NormalWeb"/>
        <w:spacing w:before="0" w:beforeAutospacing="0" w:after="0" w:afterAutospacing="0" w:line="360" w:lineRule="auto"/>
        <w:ind w:right="77"/>
        <w:rPr>
          <w:rFonts w:ascii="Arial" w:hAnsi="Arial" w:cs="Arial"/>
          <w:bCs/>
          <w:sz w:val="16"/>
          <w:szCs w:val="16"/>
        </w:rPr>
      </w:pPr>
    </w:p>
    <w:p w:rsidR="00B16336" w:rsidRPr="00983DBF" w:rsidRDefault="00B16336" w:rsidP="00915B9C">
      <w:pPr>
        <w:pStyle w:val="NormalWeb"/>
        <w:spacing w:before="0" w:beforeAutospacing="0" w:after="0" w:afterAutospacing="0" w:line="360" w:lineRule="auto"/>
        <w:ind w:right="77"/>
        <w:rPr>
          <w:rFonts w:ascii="Arial" w:hAnsi="Arial" w:cs="Arial"/>
          <w:bCs/>
          <w:sz w:val="16"/>
          <w:szCs w:val="16"/>
        </w:rPr>
      </w:pPr>
    </w:p>
    <w:sectPr w:rsidR="00B16336" w:rsidRPr="00983DBF" w:rsidSect="00B16336">
      <w:pgSz w:w="11906" w:h="16838"/>
      <w:pgMar w:top="1417" w:right="1106" w:bottom="1417" w:left="900" w:header="708" w:footer="708" w:gutter="0"/>
      <w:cols w:space="3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682" w:rsidRDefault="006E3682">
      <w:r>
        <w:separator/>
      </w:r>
    </w:p>
  </w:endnote>
  <w:endnote w:type="continuationSeparator" w:id="0">
    <w:p w:rsidR="006E3682" w:rsidRDefault="006E3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B7" w:rsidRDefault="004A5222" w:rsidP="007344A9">
    <w:pPr>
      <w:pStyle w:val="Footer"/>
      <w:framePr w:wrap="around" w:vAnchor="text" w:hAnchor="margin" w:xAlign="right" w:y="1"/>
      <w:rPr>
        <w:rStyle w:val="PageNumber"/>
      </w:rPr>
    </w:pPr>
    <w:r>
      <w:rPr>
        <w:rStyle w:val="PageNumber"/>
      </w:rPr>
      <w:fldChar w:fldCharType="begin"/>
    </w:r>
    <w:r w:rsidR="00E329B7">
      <w:rPr>
        <w:rStyle w:val="PageNumber"/>
      </w:rPr>
      <w:instrText xml:space="preserve">PAGE  </w:instrText>
    </w:r>
    <w:r>
      <w:rPr>
        <w:rStyle w:val="PageNumber"/>
      </w:rPr>
      <w:fldChar w:fldCharType="end"/>
    </w:r>
  </w:p>
  <w:p w:rsidR="00E329B7" w:rsidRDefault="00E329B7" w:rsidP="00B723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B7" w:rsidRDefault="004A5222" w:rsidP="007344A9">
    <w:pPr>
      <w:pStyle w:val="Footer"/>
      <w:framePr w:wrap="around" w:vAnchor="text" w:hAnchor="margin" w:xAlign="right" w:y="1"/>
      <w:rPr>
        <w:rStyle w:val="PageNumber"/>
      </w:rPr>
    </w:pPr>
    <w:r>
      <w:rPr>
        <w:rStyle w:val="PageNumber"/>
      </w:rPr>
      <w:fldChar w:fldCharType="begin"/>
    </w:r>
    <w:r w:rsidR="00E329B7">
      <w:rPr>
        <w:rStyle w:val="PageNumber"/>
      </w:rPr>
      <w:instrText xml:space="preserve">PAGE  </w:instrText>
    </w:r>
    <w:r>
      <w:rPr>
        <w:rStyle w:val="PageNumber"/>
      </w:rPr>
      <w:fldChar w:fldCharType="separate"/>
    </w:r>
    <w:r w:rsidR="003B0B5A">
      <w:rPr>
        <w:rStyle w:val="PageNumber"/>
        <w:noProof/>
      </w:rPr>
      <w:t>2</w:t>
    </w:r>
    <w:r>
      <w:rPr>
        <w:rStyle w:val="PageNumber"/>
      </w:rPr>
      <w:fldChar w:fldCharType="end"/>
    </w:r>
  </w:p>
  <w:p w:rsidR="00E329B7" w:rsidRPr="007750EF" w:rsidRDefault="00E329B7" w:rsidP="00017426">
    <w:pPr>
      <w:pStyle w:val="Footer"/>
      <w:ind w:right="360"/>
      <w:jc w:val="center"/>
      <w:rPr>
        <w:rFonts w:ascii="Arial" w:hAnsi="Arial" w:cs="Arial"/>
        <w:b/>
        <w:i/>
        <w:sz w:val="20"/>
        <w:szCs w:val="20"/>
      </w:rPr>
    </w:pPr>
    <w:r w:rsidRPr="007750EF">
      <w:rPr>
        <w:rFonts w:ascii="Arial" w:hAnsi="Arial" w:cs="Arial"/>
        <w:b/>
        <w:i/>
        <w:sz w:val="20"/>
        <w:szCs w:val="20"/>
      </w:rPr>
      <w:t>www.betam.bahcesehir.edu.tr</w:t>
    </w:r>
  </w:p>
  <w:p w:rsidR="00E329B7" w:rsidRDefault="00E329B7" w:rsidP="00B723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682" w:rsidRDefault="006E3682">
      <w:r>
        <w:separator/>
      </w:r>
    </w:p>
  </w:footnote>
  <w:footnote w:type="continuationSeparator" w:id="0">
    <w:p w:rsidR="006E3682" w:rsidRDefault="006E36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F5F4EC5"/>
    <w:multiLevelType w:val="hybridMultilevel"/>
    <w:tmpl w:val="5A30769A"/>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5CCE1052"/>
    <w:multiLevelType w:val="multilevel"/>
    <w:tmpl w:val="4C40BD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7DF506F2"/>
    <w:multiLevelType w:val="hybridMultilevel"/>
    <w:tmpl w:val="4C40BD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BB"/>
    <w:rsid w:val="00002CEE"/>
    <w:rsid w:val="0000598D"/>
    <w:rsid w:val="00017426"/>
    <w:rsid w:val="00022A70"/>
    <w:rsid w:val="000301E5"/>
    <w:rsid w:val="00034ECF"/>
    <w:rsid w:val="0003542C"/>
    <w:rsid w:val="00046455"/>
    <w:rsid w:val="000511DE"/>
    <w:rsid w:val="00052687"/>
    <w:rsid w:val="00052C71"/>
    <w:rsid w:val="00054DF2"/>
    <w:rsid w:val="00055872"/>
    <w:rsid w:val="00075070"/>
    <w:rsid w:val="00075E9D"/>
    <w:rsid w:val="00086F83"/>
    <w:rsid w:val="000A3710"/>
    <w:rsid w:val="000A4010"/>
    <w:rsid w:val="000A4BD1"/>
    <w:rsid w:val="000A701D"/>
    <w:rsid w:val="000B2FDA"/>
    <w:rsid w:val="000B6E76"/>
    <w:rsid w:val="000B7349"/>
    <w:rsid w:val="000B79EF"/>
    <w:rsid w:val="000C16A7"/>
    <w:rsid w:val="000C5B7E"/>
    <w:rsid w:val="000C5C8B"/>
    <w:rsid w:val="000D4F14"/>
    <w:rsid w:val="000E10A3"/>
    <w:rsid w:val="000F4941"/>
    <w:rsid w:val="00107363"/>
    <w:rsid w:val="0010795F"/>
    <w:rsid w:val="001105B2"/>
    <w:rsid w:val="00110EBA"/>
    <w:rsid w:val="00111AD6"/>
    <w:rsid w:val="00120C00"/>
    <w:rsid w:val="00121E7C"/>
    <w:rsid w:val="00131052"/>
    <w:rsid w:val="00141A2F"/>
    <w:rsid w:val="0014589B"/>
    <w:rsid w:val="0015047E"/>
    <w:rsid w:val="00150C5D"/>
    <w:rsid w:val="0015266B"/>
    <w:rsid w:val="0016522D"/>
    <w:rsid w:val="00165491"/>
    <w:rsid w:val="001660A6"/>
    <w:rsid w:val="00176C3C"/>
    <w:rsid w:val="00177D70"/>
    <w:rsid w:val="00177FE1"/>
    <w:rsid w:val="00177FE3"/>
    <w:rsid w:val="00196F0F"/>
    <w:rsid w:val="00197E61"/>
    <w:rsid w:val="001A0A58"/>
    <w:rsid w:val="001A2B1E"/>
    <w:rsid w:val="001B0683"/>
    <w:rsid w:val="001B2067"/>
    <w:rsid w:val="001D2A83"/>
    <w:rsid w:val="001D6E63"/>
    <w:rsid w:val="001E1BE7"/>
    <w:rsid w:val="001E5D74"/>
    <w:rsid w:val="001F0A81"/>
    <w:rsid w:val="002028B0"/>
    <w:rsid w:val="002040C5"/>
    <w:rsid w:val="00206831"/>
    <w:rsid w:val="002111EE"/>
    <w:rsid w:val="0022018E"/>
    <w:rsid w:val="002304FE"/>
    <w:rsid w:val="002317D2"/>
    <w:rsid w:val="00240B3E"/>
    <w:rsid w:val="0024217A"/>
    <w:rsid w:val="00251F2F"/>
    <w:rsid w:val="00254B09"/>
    <w:rsid w:val="00256199"/>
    <w:rsid w:val="00263147"/>
    <w:rsid w:val="00263EF1"/>
    <w:rsid w:val="00271677"/>
    <w:rsid w:val="00271F72"/>
    <w:rsid w:val="00280275"/>
    <w:rsid w:val="002829AF"/>
    <w:rsid w:val="0029115A"/>
    <w:rsid w:val="00293567"/>
    <w:rsid w:val="0029571B"/>
    <w:rsid w:val="002A2231"/>
    <w:rsid w:val="002A66ED"/>
    <w:rsid w:val="002A6FA1"/>
    <w:rsid w:val="002B57E2"/>
    <w:rsid w:val="002B63ED"/>
    <w:rsid w:val="002B7DE6"/>
    <w:rsid w:val="002C0A44"/>
    <w:rsid w:val="002C46D7"/>
    <w:rsid w:val="002C5230"/>
    <w:rsid w:val="002D0E73"/>
    <w:rsid w:val="002D2C9F"/>
    <w:rsid w:val="002E4EBB"/>
    <w:rsid w:val="002F27AE"/>
    <w:rsid w:val="002F5134"/>
    <w:rsid w:val="00303668"/>
    <w:rsid w:val="00305165"/>
    <w:rsid w:val="00306448"/>
    <w:rsid w:val="0031043B"/>
    <w:rsid w:val="003119E8"/>
    <w:rsid w:val="003142BA"/>
    <w:rsid w:val="00325CF1"/>
    <w:rsid w:val="00337278"/>
    <w:rsid w:val="00341A51"/>
    <w:rsid w:val="003425CC"/>
    <w:rsid w:val="0034543C"/>
    <w:rsid w:val="00350F40"/>
    <w:rsid w:val="0035437A"/>
    <w:rsid w:val="00354A04"/>
    <w:rsid w:val="0038631C"/>
    <w:rsid w:val="003956CB"/>
    <w:rsid w:val="00396382"/>
    <w:rsid w:val="00397F47"/>
    <w:rsid w:val="003A04BD"/>
    <w:rsid w:val="003A0ECD"/>
    <w:rsid w:val="003A4BEE"/>
    <w:rsid w:val="003B0931"/>
    <w:rsid w:val="003B0B5A"/>
    <w:rsid w:val="003C09C7"/>
    <w:rsid w:val="003C0C43"/>
    <w:rsid w:val="003C6611"/>
    <w:rsid w:val="003D248E"/>
    <w:rsid w:val="003D7E7F"/>
    <w:rsid w:val="003E3634"/>
    <w:rsid w:val="003E4461"/>
    <w:rsid w:val="00405EC6"/>
    <w:rsid w:val="0041456D"/>
    <w:rsid w:val="00421BC8"/>
    <w:rsid w:val="004254C3"/>
    <w:rsid w:val="00425883"/>
    <w:rsid w:val="004332BF"/>
    <w:rsid w:val="004409F6"/>
    <w:rsid w:val="00440EBC"/>
    <w:rsid w:val="004458F8"/>
    <w:rsid w:val="00450ACD"/>
    <w:rsid w:val="00457D4E"/>
    <w:rsid w:val="004626B7"/>
    <w:rsid w:val="00485423"/>
    <w:rsid w:val="004947B8"/>
    <w:rsid w:val="004A3A86"/>
    <w:rsid w:val="004A4704"/>
    <w:rsid w:val="004A5222"/>
    <w:rsid w:val="004B781D"/>
    <w:rsid w:val="004D2545"/>
    <w:rsid w:val="004D3CAD"/>
    <w:rsid w:val="004E272F"/>
    <w:rsid w:val="004E36FD"/>
    <w:rsid w:val="004F2B3D"/>
    <w:rsid w:val="00512FC3"/>
    <w:rsid w:val="00514BF6"/>
    <w:rsid w:val="0051655D"/>
    <w:rsid w:val="005171AD"/>
    <w:rsid w:val="00517CBA"/>
    <w:rsid w:val="00522EDB"/>
    <w:rsid w:val="005267B9"/>
    <w:rsid w:val="00542058"/>
    <w:rsid w:val="00544885"/>
    <w:rsid w:val="00545DA9"/>
    <w:rsid w:val="00552CE8"/>
    <w:rsid w:val="0055334A"/>
    <w:rsid w:val="00553F87"/>
    <w:rsid w:val="00562D56"/>
    <w:rsid w:val="005632F3"/>
    <w:rsid w:val="00576353"/>
    <w:rsid w:val="0058720D"/>
    <w:rsid w:val="005A7BB0"/>
    <w:rsid w:val="005B3336"/>
    <w:rsid w:val="005C0522"/>
    <w:rsid w:val="005C759E"/>
    <w:rsid w:val="005D00D5"/>
    <w:rsid w:val="005D2927"/>
    <w:rsid w:val="005D47AA"/>
    <w:rsid w:val="005E13DC"/>
    <w:rsid w:val="005E4EF0"/>
    <w:rsid w:val="005E5EF0"/>
    <w:rsid w:val="005E763B"/>
    <w:rsid w:val="005F1597"/>
    <w:rsid w:val="005F2EE5"/>
    <w:rsid w:val="005F31BE"/>
    <w:rsid w:val="005F50B6"/>
    <w:rsid w:val="005F51ED"/>
    <w:rsid w:val="00603643"/>
    <w:rsid w:val="00603DB9"/>
    <w:rsid w:val="006103C7"/>
    <w:rsid w:val="00615FF6"/>
    <w:rsid w:val="00622927"/>
    <w:rsid w:val="00624FC0"/>
    <w:rsid w:val="00633C51"/>
    <w:rsid w:val="00637B8E"/>
    <w:rsid w:val="006404AD"/>
    <w:rsid w:val="006442EA"/>
    <w:rsid w:val="00651F13"/>
    <w:rsid w:val="00663B4C"/>
    <w:rsid w:val="006640A7"/>
    <w:rsid w:val="00675593"/>
    <w:rsid w:val="0067660D"/>
    <w:rsid w:val="0067731E"/>
    <w:rsid w:val="006878CD"/>
    <w:rsid w:val="006908F6"/>
    <w:rsid w:val="006955AD"/>
    <w:rsid w:val="00695EB7"/>
    <w:rsid w:val="006C64A0"/>
    <w:rsid w:val="006C7D7F"/>
    <w:rsid w:val="006C7FF7"/>
    <w:rsid w:val="006D3857"/>
    <w:rsid w:val="006E0CBB"/>
    <w:rsid w:val="006E1C9F"/>
    <w:rsid w:val="006E3682"/>
    <w:rsid w:val="006F1199"/>
    <w:rsid w:val="006F3223"/>
    <w:rsid w:val="006F432C"/>
    <w:rsid w:val="006F4A63"/>
    <w:rsid w:val="00700658"/>
    <w:rsid w:val="007041DF"/>
    <w:rsid w:val="00704A5C"/>
    <w:rsid w:val="007065C1"/>
    <w:rsid w:val="00710DCF"/>
    <w:rsid w:val="00712EDE"/>
    <w:rsid w:val="00714E6F"/>
    <w:rsid w:val="00716BBE"/>
    <w:rsid w:val="00717B60"/>
    <w:rsid w:val="00720EA3"/>
    <w:rsid w:val="00722BF0"/>
    <w:rsid w:val="00726749"/>
    <w:rsid w:val="0072762E"/>
    <w:rsid w:val="007344A9"/>
    <w:rsid w:val="00737B23"/>
    <w:rsid w:val="00743F70"/>
    <w:rsid w:val="0074601C"/>
    <w:rsid w:val="0075696F"/>
    <w:rsid w:val="00757335"/>
    <w:rsid w:val="007619A4"/>
    <w:rsid w:val="0076354F"/>
    <w:rsid w:val="0076688A"/>
    <w:rsid w:val="00770105"/>
    <w:rsid w:val="007750EF"/>
    <w:rsid w:val="007777F0"/>
    <w:rsid w:val="0078038A"/>
    <w:rsid w:val="007818BA"/>
    <w:rsid w:val="00784E13"/>
    <w:rsid w:val="007868A5"/>
    <w:rsid w:val="00787484"/>
    <w:rsid w:val="007972B3"/>
    <w:rsid w:val="007A2A39"/>
    <w:rsid w:val="007A35F3"/>
    <w:rsid w:val="007A4941"/>
    <w:rsid w:val="007A7A86"/>
    <w:rsid w:val="007B5709"/>
    <w:rsid w:val="007B71AC"/>
    <w:rsid w:val="007B75C5"/>
    <w:rsid w:val="007C2C17"/>
    <w:rsid w:val="007C6915"/>
    <w:rsid w:val="007D27BC"/>
    <w:rsid w:val="007E62B1"/>
    <w:rsid w:val="007E773F"/>
    <w:rsid w:val="007F4650"/>
    <w:rsid w:val="007F50E5"/>
    <w:rsid w:val="00806083"/>
    <w:rsid w:val="00814181"/>
    <w:rsid w:val="008178BE"/>
    <w:rsid w:val="00817902"/>
    <w:rsid w:val="008231D3"/>
    <w:rsid w:val="008372E2"/>
    <w:rsid w:val="008517F6"/>
    <w:rsid w:val="00855C13"/>
    <w:rsid w:val="008664F4"/>
    <w:rsid w:val="0086684B"/>
    <w:rsid w:val="0086687F"/>
    <w:rsid w:val="0087093F"/>
    <w:rsid w:val="00872BDE"/>
    <w:rsid w:val="00880504"/>
    <w:rsid w:val="00884058"/>
    <w:rsid w:val="008870E7"/>
    <w:rsid w:val="00893ED6"/>
    <w:rsid w:val="008A2487"/>
    <w:rsid w:val="008A461F"/>
    <w:rsid w:val="008B2AB7"/>
    <w:rsid w:val="008B5D75"/>
    <w:rsid w:val="008C2E84"/>
    <w:rsid w:val="008C35D8"/>
    <w:rsid w:val="008C5984"/>
    <w:rsid w:val="008D0D43"/>
    <w:rsid w:val="008D1844"/>
    <w:rsid w:val="008D5294"/>
    <w:rsid w:val="008D711C"/>
    <w:rsid w:val="008F4857"/>
    <w:rsid w:val="00901601"/>
    <w:rsid w:val="009060B6"/>
    <w:rsid w:val="0091445B"/>
    <w:rsid w:val="00914B3D"/>
    <w:rsid w:val="00915A8A"/>
    <w:rsid w:val="00915B9C"/>
    <w:rsid w:val="009177F6"/>
    <w:rsid w:val="00923AE7"/>
    <w:rsid w:val="00925014"/>
    <w:rsid w:val="00930D19"/>
    <w:rsid w:val="009334C7"/>
    <w:rsid w:val="009344D3"/>
    <w:rsid w:val="009377F5"/>
    <w:rsid w:val="00937D5B"/>
    <w:rsid w:val="009443ED"/>
    <w:rsid w:val="00952256"/>
    <w:rsid w:val="00952683"/>
    <w:rsid w:val="009575C3"/>
    <w:rsid w:val="009622F6"/>
    <w:rsid w:val="00970251"/>
    <w:rsid w:val="00981AF5"/>
    <w:rsid w:val="00983059"/>
    <w:rsid w:val="00983DBF"/>
    <w:rsid w:val="009876C6"/>
    <w:rsid w:val="009920D0"/>
    <w:rsid w:val="00995F40"/>
    <w:rsid w:val="009A105E"/>
    <w:rsid w:val="009A3A23"/>
    <w:rsid w:val="009A5CBE"/>
    <w:rsid w:val="009B6A34"/>
    <w:rsid w:val="009D28F7"/>
    <w:rsid w:val="009D2F64"/>
    <w:rsid w:val="009D6D8E"/>
    <w:rsid w:val="009E0021"/>
    <w:rsid w:val="009E0068"/>
    <w:rsid w:val="009E3EA5"/>
    <w:rsid w:val="009F1285"/>
    <w:rsid w:val="009F5135"/>
    <w:rsid w:val="009F61FA"/>
    <w:rsid w:val="00A06590"/>
    <w:rsid w:val="00A106CE"/>
    <w:rsid w:val="00A13AC7"/>
    <w:rsid w:val="00A208D0"/>
    <w:rsid w:val="00A27158"/>
    <w:rsid w:val="00A31015"/>
    <w:rsid w:val="00A3171E"/>
    <w:rsid w:val="00A54173"/>
    <w:rsid w:val="00A57199"/>
    <w:rsid w:val="00A610C8"/>
    <w:rsid w:val="00A70CB2"/>
    <w:rsid w:val="00A75D44"/>
    <w:rsid w:val="00A76BDF"/>
    <w:rsid w:val="00A800E9"/>
    <w:rsid w:val="00A94AA1"/>
    <w:rsid w:val="00A950AE"/>
    <w:rsid w:val="00A96520"/>
    <w:rsid w:val="00AA5EC7"/>
    <w:rsid w:val="00AB4A1C"/>
    <w:rsid w:val="00AD49B2"/>
    <w:rsid w:val="00AE0BBB"/>
    <w:rsid w:val="00AE2554"/>
    <w:rsid w:val="00AE40FB"/>
    <w:rsid w:val="00AF26BD"/>
    <w:rsid w:val="00AF2D7A"/>
    <w:rsid w:val="00B00EBD"/>
    <w:rsid w:val="00B010E1"/>
    <w:rsid w:val="00B02ED5"/>
    <w:rsid w:val="00B10A46"/>
    <w:rsid w:val="00B14F53"/>
    <w:rsid w:val="00B16336"/>
    <w:rsid w:val="00B207BA"/>
    <w:rsid w:val="00B213B6"/>
    <w:rsid w:val="00B23C9A"/>
    <w:rsid w:val="00B276E9"/>
    <w:rsid w:val="00B30B41"/>
    <w:rsid w:val="00B3427A"/>
    <w:rsid w:val="00B34AC5"/>
    <w:rsid w:val="00B7120C"/>
    <w:rsid w:val="00B72337"/>
    <w:rsid w:val="00B7456E"/>
    <w:rsid w:val="00B75A4B"/>
    <w:rsid w:val="00B818B6"/>
    <w:rsid w:val="00BB00EA"/>
    <w:rsid w:val="00BB10F4"/>
    <w:rsid w:val="00BC2E4D"/>
    <w:rsid w:val="00BC55DB"/>
    <w:rsid w:val="00BC704B"/>
    <w:rsid w:val="00BD3858"/>
    <w:rsid w:val="00BF356F"/>
    <w:rsid w:val="00BF5C6A"/>
    <w:rsid w:val="00C22912"/>
    <w:rsid w:val="00C23A83"/>
    <w:rsid w:val="00C258F7"/>
    <w:rsid w:val="00C2731D"/>
    <w:rsid w:val="00C32546"/>
    <w:rsid w:val="00C32691"/>
    <w:rsid w:val="00C32712"/>
    <w:rsid w:val="00C335E9"/>
    <w:rsid w:val="00C33984"/>
    <w:rsid w:val="00C402A3"/>
    <w:rsid w:val="00C411C6"/>
    <w:rsid w:val="00C5094B"/>
    <w:rsid w:val="00C6121C"/>
    <w:rsid w:val="00C61305"/>
    <w:rsid w:val="00C6738C"/>
    <w:rsid w:val="00C67C65"/>
    <w:rsid w:val="00C7235A"/>
    <w:rsid w:val="00C72659"/>
    <w:rsid w:val="00C76F10"/>
    <w:rsid w:val="00C805B9"/>
    <w:rsid w:val="00C8511A"/>
    <w:rsid w:val="00C91E59"/>
    <w:rsid w:val="00C928E2"/>
    <w:rsid w:val="00C9454F"/>
    <w:rsid w:val="00CA4FAE"/>
    <w:rsid w:val="00CA5BA6"/>
    <w:rsid w:val="00CD1FF9"/>
    <w:rsid w:val="00CD6206"/>
    <w:rsid w:val="00CE0A0D"/>
    <w:rsid w:val="00CE6B6D"/>
    <w:rsid w:val="00CF1794"/>
    <w:rsid w:val="00CF233F"/>
    <w:rsid w:val="00D04A88"/>
    <w:rsid w:val="00D06FDE"/>
    <w:rsid w:val="00D139DF"/>
    <w:rsid w:val="00D15352"/>
    <w:rsid w:val="00D230EB"/>
    <w:rsid w:val="00D258E0"/>
    <w:rsid w:val="00D30CE0"/>
    <w:rsid w:val="00D43078"/>
    <w:rsid w:val="00D43D57"/>
    <w:rsid w:val="00D46FA0"/>
    <w:rsid w:val="00D51AB2"/>
    <w:rsid w:val="00D550A5"/>
    <w:rsid w:val="00D705E1"/>
    <w:rsid w:val="00D74F52"/>
    <w:rsid w:val="00D76E36"/>
    <w:rsid w:val="00D771C3"/>
    <w:rsid w:val="00D77718"/>
    <w:rsid w:val="00D83EEA"/>
    <w:rsid w:val="00D87146"/>
    <w:rsid w:val="00D87EC4"/>
    <w:rsid w:val="00D92377"/>
    <w:rsid w:val="00D97362"/>
    <w:rsid w:val="00DA4A6D"/>
    <w:rsid w:val="00DA6EB1"/>
    <w:rsid w:val="00DB1158"/>
    <w:rsid w:val="00DB6657"/>
    <w:rsid w:val="00DC7DF8"/>
    <w:rsid w:val="00DD06A2"/>
    <w:rsid w:val="00DE1039"/>
    <w:rsid w:val="00DE3FDF"/>
    <w:rsid w:val="00DF6453"/>
    <w:rsid w:val="00E04A42"/>
    <w:rsid w:val="00E06534"/>
    <w:rsid w:val="00E10719"/>
    <w:rsid w:val="00E10BEB"/>
    <w:rsid w:val="00E159A6"/>
    <w:rsid w:val="00E172A0"/>
    <w:rsid w:val="00E172B6"/>
    <w:rsid w:val="00E20174"/>
    <w:rsid w:val="00E21416"/>
    <w:rsid w:val="00E2274D"/>
    <w:rsid w:val="00E30B42"/>
    <w:rsid w:val="00E329B7"/>
    <w:rsid w:val="00E333BE"/>
    <w:rsid w:val="00E37281"/>
    <w:rsid w:val="00E416B0"/>
    <w:rsid w:val="00E51E5A"/>
    <w:rsid w:val="00E663A9"/>
    <w:rsid w:val="00E6776F"/>
    <w:rsid w:val="00E74CCB"/>
    <w:rsid w:val="00E82AB6"/>
    <w:rsid w:val="00E831DE"/>
    <w:rsid w:val="00E864F7"/>
    <w:rsid w:val="00E96583"/>
    <w:rsid w:val="00EA32A9"/>
    <w:rsid w:val="00EA55F1"/>
    <w:rsid w:val="00EB2FE3"/>
    <w:rsid w:val="00EB5E9B"/>
    <w:rsid w:val="00EC2603"/>
    <w:rsid w:val="00EC57EE"/>
    <w:rsid w:val="00ED17CA"/>
    <w:rsid w:val="00ED3519"/>
    <w:rsid w:val="00ED759D"/>
    <w:rsid w:val="00EE0D52"/>
    <w:rsid w:val="00EE5804"/>
    <w:rsid w:val="00EF6749"/>
    <w:rsid w:val="00F04250"/>
    <w:rsid w:val="00F13CED"/>
    <w:rsid w:val="00F26121"/>
    <w:rsid w:val="00F27DE2"/>
    <w:rsid w:val="00F36524"/>
    <w:rsid w:val="00F428BE"/>
    <w:rsid w:val="00F50073"/>
    <w:rsid w:val="00F562D3"/>
    <w:rsid w:val="00F6636F"/>
    <w:rsid w:val="00F66727"/>
    <w:rsid w:val="00F70C3E"/>
    <w:rsid w:val="00F83F3C"/>
    <w:rsid w:val="00F8470C"/>
    <w:rsid w:val="00F86020"/>
    <w:rsid w:val="00FA01C6"/>
    <w:rsid w:val="00FA0645"/>
    <w:rsid w:val="00FA07D1"/>
    <w:rsid w:val="00FB3BC1"/>
    <w:rsid w:val="00FB6EAF"/>
    <w:rsid w:val="00FC532D"/>
    <w:rsid w:val="00FD70DC"/>
    <w:rsid w:val="00FE4186"/>
    <w:rsid w:val="00FF0FE7"/>
    <w:rsid w:val="00FF11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FDE"/>
    <w:rPr>
      <w:sz w:val="24"/>
      <w:szCs w:val="24"/>
      <w:lang w:val="tr-TR" w:eastAsia="tr-TR"/>
    </w:rPr>
  </w:style>
  <w:style w:type="paragraph" w:styleId="Heading1">
    <w:name w:val="heading 1"/>
    <w:basedOn w:val="Normal"/>
    <w:next w:val="Normal"/>
    <w:qFormat/>
    <w:rsid w:val="007750EF"/>
    <w:pPr>
      <w:keepNext/>
      <w:tabs>
        <w:tab w:val="num" w:pos="432"/>
      </w:tabs>
      <w:suppressAutoHyphens/>
      <w:ind w:left="432" w:hanging="432"/>
      <w:jc w:val="center"/>
      <w:outlineLvl w:val="0"/>
    </w:pPr>
    <w:rPr>
      <w:rFonts w:ascii="Arial" w:hAnsi="Arial"/>
      <w:b/>
      <w:iCs/>
      <w:sz w:val="18"/>
      <w:szCs w:val="18"/>
      <w:lang w:eastAsia="ar-SA"/>
    </w:rPr>
  </w:style>
  <w:style w:type="paragraph" w:styleId="Heading2">
    <w:name w:val="heading 2"/>
    <w:basedOn w:val="Normal"/>
    <w:next w:val="Normal"/>
    <w:qFormat/>
    <w:rsid w:val="007750EF"/>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qFormat/>
    <w:rsid w:val="007750EF"/>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0A81"/>
    <w:rPr>
      <w:color w:val="0000FF"/>
      <w:u w:val="single"/>
    </w:rPr>
  </w:style>
  <w:style w:type="paragraph" w:styleId="DocumentMap">
    <w:name w:val="Document Map"/>
    <w:basedOn w:val="Normal"/>
    <w:semiHidden/>
    <w:rsid w:val="00C805B9"/>
    <w:pPr>
      <w:shd w:val="clear" w:color="auto" w:fill="000080"/>
    </w:pPr>
    <w:rPr>
      <w:rFonts w:ascii="Tahoma" w:hAnsi="Tahoma" w:cs="Tahoma"/>
      <w:sz w:val="20"/>
      <w:szCs w:val="20"/>
    </w:rPr>
  </w:style>
  <w:style w:type="paragraph" w:styleId="Footer">
    <w:name w:val="footer"/>
    <w:basedOn w:val="Normal"/>
    <w:rsid w:val="00B72337"/>
    <w:pPr>
      <w:tabs>
        <w:tab w:val="center" w:pos="4536"/>
        <w:tab w:val="right" w:pos="9072"/>
      </w:tabs>
    </w:pPr>
  </w:style>
  <w:style w:type="character" w:styleId="PageNumber">
    <w:name w:val="page number"/>
    <w:basedOn w:val="DefaultParagraphFont"/>
    <w:rsid w:val="00B72337"/>
  </w:style>
  <w:style w:type="paragraph" w:styleId="Header">
    <w:name w:val="header"/>
    <w:basedOn w:val="Normal"/>
    <w:rsid w:val="00017426"/>
    <w:pPr>
      <w:tabs>
        <w:tab w:val="center" w:pos="4536"/>
        <w:tab w:val="right" w:pos="9072"/>
      </w:tabs>
    </w:pPr>
  </w:style>
  <w:style w:type="character" w:customStyle="1" w:styleId="EmailStyle20">
    <w:name w:val="EmailStyle20"/>
    <w:basedOn w:val="DefaultParagraphFont"/>
    <w:semiHidden/>
    <w:rsid w:val="005171AD"/>
    <w:rPr>
      <w:rFonts w:ascii="Arial" w:hAnsi="Arial" w:cs="Arial"/>
      <w:color w:val="auto"/>
      <w:sz w:val="20"/>
      <w:szCs w:val="20"/>
    </w:rPr>
  </w:style>
  <w:style w:type="paragraph" w:styleId="FootnoteText">
    <w:name w:val="footnote text"/>
    <w:basedOn w:val="Normal"/>
    <w:semiHidden/>
    <w:rsid w:val="000C5C8B"/>
    <w:rPr>
      <w:sz w:val="20"/>
      <w:szCs w:val="20"/>
    </w:rPr>
  </w:style>
  <w:style w:type="character" w:styleId="FootnoteReference">
    <w:name w:val="footnote reference"/>
    <w:basedOn w:val="DefaultParagraphFont"/>
    <w:semiHidden/>
    <w:rsid w:val="000C5C8B"/>
    <w:rPr>
      <w:vertAlign w:val="superscript"/>
    </w:rPr>
  </w:style>
  <w:style w:type="paragraph" w:styleId="NormalWeb">
    <w:name w:val="Normal (Web)"/>
    <w:basedOn w:val="Normal"/>
    <w:uiPriority w:val="99"/>
    <w:rsid w:val="005F51ED"/>
    <w:pPr>
      <w:spacing w:before="100" w:beforeAutospacing="1" w:after="100" w:afterAutospacing="1"/>
    </w:pPr>
  </w:style>
  <w:style w:type="paragraph" w:styleId="BalloonText">
    <w:name w:val="Balloon Text"/>
    <w:basedOn w:val="Normal"/>
    <w:link w:val="BalloonTextChar"/>
    <w:rsid w:val="00AE40FB"/>
    <w:rPr>
      <w:rFonts w:ascii="Tahoma" w:hAnsi="Tahoma" w:cs="Tahoma"/>
      <w:sz w:val="16"/>
      <w:szCs w:val="16"/>
    </w:rPr>
  </w:style>
  <w:style w:type="character" w:customStyle="1" w:styleId="BalloonTextChar">
    <w:name w:val="Balloon Text Char"/>
    <w:basedOn w:val="DefaultParagraphFont"/>
    <w:link w:val="BalloonText"/>
    <w:rsid w:val="00AE40FB"/>
    <w:rPr>
      <w:rFonts w:ascii="Tahoma" w:hAnsi="Tahoma" w:cs="Tahoma"/>
      <w:sz w:val="16"/>
      <w:szCs w:val="16"/>
      <w:lang w:val="tr-TR" w:eastAsia="tr-TR"/>
    </w:rPr>
  </w:style>
  <w:style w:type="table" w:styleId="TableGrid">
    <w:name w:val="Table Grid"/>
    <w:basedOn w:val="TableNormal"/>
    <w:rsid w:val="00983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FDE"/>
    <w:rPr>
      <w:sz w:val="24"/>
      <w:szCs w:val="24"/>
      <w:lang w:val="tr-TR" w:eastAsia="tr-TR"/>
    </w:rPr>
  </w:style>
  <w:style w:type="paragraph" w:styleId="Heading1">
    <w:name w:val="heading 1"/>
    <w:basedOn w:val="Normal"/>
    <w:next w:val="Normal"/>
    <w:qFormat/>
    <w:rsid w:val="007750EF"/>
    <w:pPr>
      <w:keepNext/>
      <w:tabs>
        <w:tab w:val="num" w:pos="432"/>
      </w:tabs>
      <w:suppressAutoHyphens/>
      <w:ind w:left="432" w:hanging="432"/>
      <w:jc w:val="center"/>
      <w:outlineLvl w:val="0"/>
    </w:pPr>
    <w:rPr>
      <w:rFonts w:ascii="Arial" w:hAnsi="Arial"/>
      <w:b/>
      <w:iCs/>
      <w:sz w:val="18"/>
      <w:szCs w:val="18"/>
      <w:lang w:eastAsia="ar-SA"/>
    </w:rPr>
  </w:style>
  <w:style w:type="paragraph" w:styleId="Heading2">
    <w:name w:val="heading 2"/>
    <w:basedOn w:val="Normal"/>
    <w:next w:val="Normal"/>
    <w:qFormat/>
    <w:rsid w:val="007750EF"/>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qFormat/>
    <w:rsid w:val="007750EF"/>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0A81"/>
    <w:rPr>
      <w:color w:val="0000FF"/>
      <w:u w:val="single"/>
    </w:rPr>
  </w:style>
  <w:style w:type="paragraph" w:styleId="DocumentMap">
    <w:name w:val="Document Map"/>
    <w:basedOn w:val="Normal"/>
    <w:semiHidden/>
    <w:rsid w:val="00C805B9"/>
    <w:pPr>
      <w:shd w:val="clear" w:color="auto" w:fill="000080"/>
    </w:pPr>
    <w:rPr>
      <w:rFonts w:ascii="Tahoma" w:hAnsi="Tahoma" w:cs="Tahoma"/>
      <w:sz w:val="20"/>
      <w:szCs w:val="20"/>
    </w:rPr>
  </w:style>
  <w:style w:type="paragraph" w:styleId="Footer">
    <w:name w:val="footer"/>
    <w:basedOn w:val="Normal"/>
    <w:rsid w:val="00B72337"/>
    <w:pPr>
      <w:tabs>
        <w:tab w:val="center" w:pos="4536"/>
        <w:tab w:val="right" w:pos="9072"/>
      </w:tabs>
    </w:pPr>
  </w:style>
  <w:style w:type="character" w:styleId="PageNumber">
    <w:name w:val="page number"/>
    <w:basedOn w:val="DefaultParagraphFont"/>
    <w:rsid w:val="00B72337"/>
  </w:style>
  <w:style w:type="paragraph" w:styleId="Header">
    <w:name w:val="header"/>
    <w:basedOn w:val="Normal"/>
    <w:rsid w:val="00017426"/>
    <w:pPr>
      <w:tabs>
        <w:tab w:val="center" w:pos="4536"/>
        <w:tab w:val="right" w:pos="9072"/>
      </w:tabs>
    </w:pPr>
  </w:style>
  <w:style w:type="character" w:customStyle="1" w:styleId="EmailStyle20">
    <w:name w:val="EmailStyle20"/>
    <w:basedOn w:val="DefaultParagraphFont"/>
    <w:semiHidden/>
    <w:rsid w:val="005171AD"/>
    <w:rPr>
      <w:rFonts w:ascii="Arial" w:hAnsi="Arial" w:cs="Arial"/>
      <w:color w:val="auto"/>
      <w:sz w:val="20"/>
      <w:szCs w:val="20"/>
    </w:rPr>
  </w:style>
  <w:style w:type="paragraph" w:styleId="FootnoteText">
    <w:name w:val="footnote text"/>
    <w:basedOn w:val="Normal"/>
    <w:semiHidden/>
    <w:rsid w:val="000C5C8B"/>
    <w:rPr>
      <w:sz w:val="20"/>
      <w:szCs w:val="20"/>
    </w:rPr>
  </w:style>
  <w:style w:type="character" w:styleId="FootnoteReference">
    <w:name w:val="footnote reference"/>
    <w:basedOn w:val="DefaultParagraphFont"/>
    <w:semiHidden/>
    <w:rsid w:val="000C5C8B"/>
    <w:rPr>
      <w:vertAlign w:val="superscript"/>
    </w:rPr>
  </w:style>
  <w:style w:type="paragraph" w:styleId="NormalWeb">
    <w:name w:val="Normal (Web)"/>
    <w:basedOn w:val="Normal"/>
    <w:uiPriority w:val="99"/>
    <w:rsid w:val="005F51ED"/>
    <w:pPr>
      <w:spacing w:before="100" w:beforeAutospacing="1" w:after="100" w:afterAutospacing="1"/>
    </w:pPr>
  </w:style>
  <w:style w:type="paragraph" w:styleId="BalloonText">
    <w:name w:val="Balloon Text"/>
    <w:basedOn w:val="Normal"/>
    <w:link w:val="BalloonTextChar"/>
    <w:rsid w:val="00AE40FB"/>
    <w:rPr>
      <w:rFonts w:ascii="Tahoma" w:hAnsi="Tahoma" w:cs="Tahoma"/>
      <w:sz w:val="16"/>
      <w:szCs w:val="16"/>
    </w:rPr>
  </w:style>
  <w:style w:type="character" w:customStyle="1" w:styleId="BalloonTextChar">
    <w:name w:val="Balloon Text Char"/>
    <w:basedOn w:val="DefaultParagraphFont"/>
    <w:link w:val="BalloonText"/>
    <w:rsid w:val="00AE40FB"/>
    <w:rPr>
      <w:rFonts w:ascii="Tahoma" w:hAnsi="Tahoma" w:cs="Tahoma"/>
      <w:sz w:val="16"/>
      <w:szCs w:val="16"/>
      <w:lang w:val="tr-TR" w:eastAsia="tr-TR"/>
    </w:rPr>
  </w:style>
  <w:style w:type="table" w:styleId="TableGrid">
    <w:name w:val="Table Grid"/>
    <w:basedOn w:val="TableNormal"/>
    <w:rsid w:val="00983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2778">
      <w:bodyDiv w:val="1"/>
      <w:marLeft w:val="0"/>
      <w:marRight w:val="0"/>
      <w:marTop w:val="0"/>
      <w:marBottom w:val="0"/>
      <w:divBdr>
        <w:top w:val="none" w:sz="0" w:space="0" w:color="auto"/>
        <w:left w:val="none" w:sz="0" w:space="0" w:color="auto"/>
        <w:bottom w:val="none" w:sz="0" w:space="0" w:color="auto"/>
        <w:right w:val="none" w:sz="0" w:space="0" w:color="auto"/>
      </w:divBdr>
    </w:div>
    <w:div w:id="27684325">
      <w:bodyDiv w:val="1"/>
      <w:marLeft w:val="0"/>
      <w:marRight w:val="0"/>
      <w:marTop w:val="0"/>
      <w:marBottom w:val="0"/>
      <w:divBdr>
        <w:top w:val="none" w:sz="0" w:space="0" w:color="auto"/>
        <w:left w:val="none" w:sz="0" w:space="0" w:color="auto"/>
        <w:bottom w:val="none" w:sz="0" w:space="0" w:color="auto"/>
        <w:right w:val="none" w:sz="0" w:space="0" w:color="auto"/>
      </w:divBdr>
    </w:div>
    <w:div w:id="39013648">
      <w:bodyDiv w:val="1"/>
      <w:marLeft w:val="0"/>
      <w:marRight w:val="0"/>
      <w:marTop w:val="0"/>
      <w:marBottom w:val="0"/>
      <w:divBdr>
        <w:top w:val="none" w:sz="0" w:space="0" w:color="auto"/>
        <w:left w:val="none" w:sz="0" w:space="0" w:color="auto"/>
        <w:bottom w:val="none" w:sz="0" w:space="0" w:color="auto"/>
        <w:right w:val="none" w:sz="0" w:space="0" w:color="auto"/>
      </w:divBdr>
    </w:div>
    <w:div w:id="178545549">
      <w:bodyDiv w:val="1"/>
      <w:marLeft w:val="0"/>
      <w:marRight w:val="0"/>
      <w:marTop w:val="0"/>
      <w:marBottom w:val="0"/>
      <w:divBdr>
        <w:top w:val="none" w:sz="0" w:space="0" w:color="auto"/>
        <w:left w:val="none" w:sz="0" w:space="0" w:color="auto"/>
        <w:bottom w:val="none" w:sz="0" w:space="0" w:color="auto"/>
        <w:right w:val="none" w:sz="0" w:space="0" w:color="auto"/>
      </w:divBdr>
    </w:div>
    <w:div w:id="1002779988">
      <w:bodyDiv w:val="1"/>
      <w:marLeft w:val="0"/>
      <w:marRight w:val="0"/>
      <w:marTop w:val="0"/>
      <w:marBottom w:val="0"/>
      <w:divBdr>
        <w:top w:val="none" w:sz="0" w:space="0" w:color="auto"/>
        <w:left w:val="none" w:sz="0" w:space="0" w:color="auto"/>
        <w:bottom w:val="none" w:sz="0" w:space="0" w:color="auto"/>
        <w:right w:val="none" w:sz="0" w:space="0" w:color="auto"/>
      </w:divBdr>
    </w:div>
    <w:div w:id="1067342627">
      <w:bodyDiv w:val="1"/>
      <w:marLeft w:val="0"/>
      <w:marRight w:val="0"/>
      <w:marTop w:val="0"/>
      <w:marBottom w:val="0"/>
      <w:divBdr>
        <w:top w:val="none" w:sz="0" w:space="0" w:color="auto"/>
        <w:left w:val="none" w:sz="0" w:space="0" w:color="auto"/>
        <w:bottom w:val="none" w:sz="0" w:space="0" w:color="auto"/>
        <w:right w:val="none" w:sz="0" w:space="0" w:color="auto"/>
      </w:divBdr>
    </w:div>
    <w:div w:id="1185825825">
      <w:bodyDiv w:val="1"/>
      <w:marLeft w:val="0"/>
      <w:marRight w:val="0"/>
      <w:marTop w:val="0"/>
      <w:marBottom w:val="0"/>
      <w:divBdr>
        <w:top w:val="none" w:sz="0" w:space="0" w:color="auto"/>
        <w:left w:val="none" w:sz="0" w:space="0" w:color="auto"/>
        <w:bottom w:val="none" w:sz="0" w:space="0" w:color="auto"/>
        <w:right w:val="none" w:sz="0" w:space="0" w:color="auto"/>
      </w:divBdr>
    </w:div>
    <w:div w:id="1372457704">
      <w:bodyDiv w:val="1"/>
      <w:marLeft w:val="0"/>
      <w:marRight w:val="0"/>
      <w:marTop w:val="0"/>
      <w:marBottom w:val="0"/>
      <w:divBdr>
        <w:top w:val="none" w:sz="0" w:space="0" w:color="auto"/>
        <w:left w:val="none" w:sz="0" w:space="0" w:color="auto"/>
        <w:bottom w:val="none" w:sz="0" w:space="0" w:color="auto"/>
        <w:right w:val="none" w:sz="0" w:space="0" w:color="auto"/>
      </w:divBdr>
    </w:div>
    <w:div w:id="1727098738">
      <w:bodyDiv w:val="1"/>
      <w:marLeft w:val="0"/>
      <w:marRight w:val="0"/>
      <w:marTop w:val="0"/>
      <w:marBottom w:val="0"/>
      <w:divBdr>
        <w:top w:val="none" w:sz="0" w:space="0" w:color="auto"/>
        <w:left w:val="none" w:sz="0" w:space="0" w:color="auto"/>
        <w:bottom w:val="none" w:sz="0" w:space="0" w:color="auto"/>
        <w:right w:val="none" w:sz="0" w:space="0" w:color="auto"/>
      </w:divBdr>
    </w:div>
    <w:div w:id="210641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ocuments%20and%20Settings\seyfettin.gursel\Local%20Settings\Temporary%20Internet%20Files\Content.Outlook\XEHMCRWR\mine.durmaz@eas.bahcesehir.edu.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Documents%20and%20Settings\seyfettin.gursel\Local%20Settings\Temporary%20Internet%20Files\Content.Outlook\XEHMCRWR\seyfettin.gursel@eas.bahcesehir.edu.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Documents%20and%20Settings\seyfettin.gursel\Local%20Settings\Temporary%20Internet%20Files\Content.Outlook\XEHMCRWR\melike.kokkizil@eas.bahcesehir.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72C90-BB4F-4729-8021-2ABD27A46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baris.soybilgen</dc:creator>
  <cp:lastModifiedBy>merve.akgul</cp:lastModifiedBy>
  <cp:revision>2</cp:revision>
  <cp:lastPrinted>2016-03-31T10:33:00Z</cp:lastPrinted>
  <dcterms:created xsi:type="dcterms:W3CDTF">2016-03-31T11:48:00Z</dcterms:created>
  <dcterms:modified xsi:type="dcterms:W3CDTF">2016-03-31T11:48:00Z</dcterms:modified>
</cp:coreProperties>
</file>