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C4" w:rsidRDefault="00636F3F" w:rsidP="00A349EA">
      <w:pPr>
        <w:pStyle w:val="Caption"/>
        <w:keepNext/>
        <w:rPr>
          <w:color w:val="auto"/>
          <w:sz w:val="22"/>
          <w:szCs w:val="22"/>
        </w:rPr>
      </w:pPr>
      <w:bookmarkStart w:id="0" w:name="_GoBack"/>
      <w:bookmarkEnd w:id="0"/>
      <w:r>
        <w:rPr>
          <w:color w:val="auto"/>
          <w:sz w:val="22"/>
          <w:szCs w:val="22"/>
          <w:lang w:val="tr-TR" w:eastAsia="tr-TR"/>
        </w:rPr>
        <w:drawing>
          <wp:anchor distT="0" distB="0" distL="114300" distR="114300" simplePos="0" relativeHeight="251659264" behindDoc="1" locked="0" layoutInCell="1" allowOverlap="1">
            <wp:simplePos x="0" y="0"/>
            <wp:positionH relativeFrom="column">
              <wp:posOffset>-824230</wp:posOffset>
            </wp:positionH>
            <wp:positionV relativeFrom="paragraph">
              <wp:posOffset>-871220</wp:posOffset>
            </wp:positionV>
            <wp:extent cx="7467600" cy="1333163"/>
            <wp:effectExtent l="0" t="0" r="0" b="6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467600" cy="1333163"/>
                    </a:xfrm>
                    <a:prstGeom prst="rect">
                      <a:avLst/>
                    </a:prstGeom>
                    <a:noFill/>
                  </pic:spPr>
                </pic:pic>
              </a:graphicData>
            </a:graphic>
          </wp:anchor>
        </w:drawing>
      </w:r>
      <w:r w:rsidR="00EB340B">
        <w:rPr>
          <w:color w:val="auto"/>
          <w:sz w:val="22"/>
          <w:szCs w:val="22"/>
          <w:lang w:val="tr-TR" w:eastAsia="tr-TR"/>
        </w:rPr>
        <mc:AlternateContent>
          <mc:Choice Requires="wps">
            <w:drawing>
              <wp:anchor distT="0" distB="0" distL="114935" distR="114935" simplePos="0" relativeHeight="251661312" behindDoc="0" locked="0" layoutInCell="1" allowOverlap="1">
                <wp:simplePos x="0" y="0"/>
                <wp:positionH relativeFrom="column">
                  <wp:posOffset>5166995</wp:posOffset>
                </wp:positionH>
                <wp:positionV relativeFrom="paragraph">
                  <wp:posOffset>63500</wp:posOffset>
                </wp:positionV>
                <wp:extent cx="1478280" cy="299085"/>
                <wp:effectExtent l="0" t="0" r="0" b="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DA3" w:rsidRDefault="00F33DA3" w:rsidP="002953C4">
                            <w:pPr>
                              <w:pStyle w:val="Heading3"/>
                              <w:jc w:val="center"/>
                            </w:pPr>
                            <w:r>
                              <w:rPr>
                                <w:color w:val="FFFFFF"/>
                                <w:sz w:val="22"/>
                                <w:szCs w:val="22"/>
                                <w:lang w:val="tr-TR"/>
                              </w:rPr>
                              <w:t xml:space="preserve"> </w:t>
                            </w:r>
                            <w:r w:rsidR="0053464A">
                              <w:rPr>
                                <w:color w:val="FFFFFF"/>
                                <w:sz w:val="22"/>
                                <w:szCs w:val="22"/>
                                <w:lang w:val="tr-TR"/>
                              </w:rPr>
                              <w:t>4</w:t>
                            </w:r>
                            <w:r w:rsidR="00A06A76">
                              <w:rPr>
                                <w:color w:val="FFFFFF"/>
                                <w:sz w:val="22"/>
                                <w:szCs w:val="22"/>
                                <w:lang w:val="tr-TR"/>
                              </w:rPr>
                              <w:t xml:space="preserve"> </w:t>
                            </w:r>
                            <w:r w:rsidR="002417CE">
                              <w:rPr>
                                <w:color w:val="FFFFFF"/>
                                <w:sz w:val="22"/>
                                <w:szCs w:val="22"/>
                                <w:lang w:val="tr-TR"/>
                              </w:rPr>
                              <w:t>Mart</w:t>
                            </w:r>
                            <w:r>
                              <w:rPr>
                                <w:color w:val="FFFFFF"/>
                                <w:sz w:val="22"/>
                                <w:szCs w:val="22"/>
                                <w:lang w:val="tr-TR"/>
                              </w:rPr>
                              <w:t xml:space="preserve">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5" o:spid="_x0000_s1026" type="#_x0000_t202" style="position:absolute;margin-left:406.85pt;margin-top:5pt;width:116.4pt;height:23.5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" stroked="f">
                <v:fill opacity="0"/>
                <v:textbox inset="0,0,0,0">
                  <w:txbxContent>
                    <w:p w:rsidR="00F33DA3" w:rsidRDefault="00F33DA3" w:rsidP="002953C4">
                      <w:pPr>
                        <w:pStyle w:val="Heading3"/>
                        <w:jc w:val="center"/>
                      </w:pPr>
                      <w:r>
                        <w:rPr>
                          <w:color w:val="FFFFFF"/>
                          <w:sz w:val="22"/>
                          <w:szCs w:val="22"/>
                          <w:lang w:val="tr-TR"/>
                        </w:rPr>
                        <w:t xml:space="preserve"> </w:t>
                      </w:r>
                      <w:r w:rsidR="0053464A">
                        <w:rPr>
                          <w:color w:val="FFFFFF"/>
                          <w:sz w:val="22"/>
                          <w:szCs w:val="22"/>
                          <w:lang w:val="tr-TR"/>
                        </w:rPr>
                        <w:t>4</w:t>
                      </w:r>
                      <w:r w:rsidR="00A06A76">
                        <w:rPr>
                          <w:color w:val="FFFFFF"/>
                          <w:sz w:val="22"/>
                          <w:szCs w:val="22"/>
                          <w:lang w:val="tr-TR"/>
                        </w:rPr>
                        <w:t xml:space="preserve"> </w:t>
                      </w:r>
                      <w:r w:rsidR="002417CE">
                        <w:rPr>
                          <w:color w:val="FFFFFF"/>
                          <w:sz w:val="22"/>
                          <w:szCs w:val="22"/>
                          <w:lang w:val="tr-TR"/>
                        </w:rPr>
                        <w:t>Mart</w:t>
                      </w:r>
                      <w:r>
                        <w:rPr>
                          <w:color w:val="FFFFFF"/>
                          <w:sz w:val="22"/>
                          <w:szCs w:val="22"/>
                          <w:lang w:val="tr-TR"/>
                        </w:rPr>
                        <w:t xml:space="preserve"> 2016</w:t>
                      </w:r>
                    </w:p>
                  </w:txbxContent>
                </v:textbox>
              </v:shape>
            </w:pict>
          </mc:Fallback>
        </mc:AlternateContent>
      </w:r>
      <w:r w:rsidR="00EB340B">
        <w:rPr>
          <w:color w:val="auto"/>
          <w:sz w:val="22"/>
          <w:szCs w:val="22"/>
          <w:lang w:val="tr-TR" w:eastAsia="tr-TR"/>
        </w:rPr>
        <mc:AlternateContent>
          <mc:Choice Requires="wps">
            <w:drawing>
              <wp:anchor distT="0" distB="0" distL="114935" distR="114935" simplePos="0" relativeHeight="251660288" behindDoc="0" locked="0" layoutInCell="1" allowOverlap="1">
                <wp:simplePos x="0" y="0"/>
                <wp:positionH relativeFrom="column">
                  <wp:posOffset>1645920</wp:posOffset>
                </wp:positionH>
                <wp:positionV relativeFrom="paragraph">
                  <wp:posOffset>-612775</wp:posOffset>
                </wp:positionV>
                <wp:extent cx="3963670" cy="466725"/>
                <wp:effectExtent l="0" t="0" r="0" b="0"/>
                <wp:wrapNone/>
                <wp:docPr id="2"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466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DA3" w:rsidRPr="002865A7" w:rsidRDefault="00F33DA3" w:rsidP="002953C4">
                            <w:pPr>
                              <w:pStyle w:val="Heading1"/>
                              <w:rPr>
                                <w:rFonts w:ascii="Times New Roman" w:hAnsi="Times New Roman"/>
                                <w:sz w:val="52"/>
                                <w:szCs w:val="52"/>
                              </w:rPr>
                            </w:pPr>
                            <w:r>
                              <w:rPr>
                                <w:rFonts w:ascii="Times New Roman" w:hAnsi="Times New Roman"/>
                                <w:sz w:val="52"/>
                                <w:szCs w:val="52"/>
                              </w:rPr>
                              <w:t>Araştırma Notu 16/190</w:t>
                            </w:r>
                          </w:p>
                          <w:p w:rsidR="00F33DA3" w:rsidRPr="00526178" w:rsidRDefault="00F33DA3" w:rsidP="002953C4">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 o:spid="_x0000_s1027" type="#_x0000_t202" style="position:absolute;margin-left:129.6pt;margin-top:-48.25pt;width:312.1pt;height:36.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" stroked="f">
                <v:fill opacity="0"/>
                <v:textbox inset="0,0,0,0">
                  <w:txbxContent>
                    <w:p w:rsidR="00F33DA3" w:rsidRPr="002865A7" w:rsidRDefault="00F33DA3" w:rsidP="002953C4">
                      <w:pPr>
                        <w:pStyle w:val="Heading1"/>
                        <w:rPr>
                          <w:rFonts w:ascii="Times New Roman" w:hAnsi="Times New Roman"/>
                          <w:sz w:val="52"/>
                          <w:szCs w:val="52"/>
                        </w:rPr>
                      </w:pPr>
                      <w:r>
                        <w:rPr>
                          <w:rFonts w:ascii="Times New Roman" w:hAnsi="Times New Roman"/>
                          <w:sz w:val="52"/>
                          <w:szCs w:val="52"/>
                        </w:rPr>
                        <w:t>Araştırma Notu 16/190</w:t>
                      </w:r>
                    </w:p>
                    <w:p w:rsidR="00F33DA3" w:rsidRPr="00526178" w:rsidRDefault="00F33DA3" w:rsidP="002953C4">
                      <w:pPr>
                        <w:pStyle w:val="Heading2"/>
                        <w:rPr>
                          <w:b w:val="0"/>
                          <w:bCs w:val="0"/>
                          <w:i w:val="0"/>
                          <w:iCs w:val="0"/>
                        </w:rPr>
                      </w:pPr>
                    </w:p>
                  </w:txbxContent>
                </v:textbox>
              </v:shape>
            </w:pict>
          </mc:Fallback>
        </mc:AlternateContent>
      </w:r>
    </w:p>
    <w:p w:rsidR="002953C4" w:rsidRDefault="002953C4" w:rsidP="00A349EA">
      <w:pPr>
        <w:pStyle w:val="Caption"/>
        <w:keepNext/>
        <w:rPr>
          <w:color w:val="auto"/>
          <w:sz w:val="22"/>
          <w:szCs w:val="22"/>
        </w:rPr>
      </w:pPr>
    </w:p>
    <w:p w:rsidR="00AF6C6F" w:rsidRPr="00E5747D" w:rsidRDefault="00C122BB" w:rsidP="00AF6C6F">
      <w:pPr>
        <w:jc w:val="center"/>
        <w:rPr>
          <w:b/>
          <w:sz w:val="32"/>
          <w:szCs w:val="32"/>
          <w:lang w:val="tr-TR"/>
        </w:rPr>
      </w:pPr>
      <w:r>
        <w:rPr>
          <w:b/>
          <w:sz w:val="32"/>
          <w:szCs w:val="32"/>
          <w:lang w:val="tr-TR"/>
        </w:rPr>
        <w:t>ASGARİ ÜCRET ETKİSİ GENÇLERDE VE KADINLARDA YOĞUNLAŞIYOR</w:t>
      </w:r>
    </w:p>
    <w:p w:rsidR="00AF6C6F" w:rsidRPr="00595F9B" w:rsidRDefault="00AF6C6F" w:rsidP="00AF6C6F">
      <w:pPr>
        <w:spacing w:before="120"/>
        <w:jc w:val="center"/>
        <w:rPr>
          <w:rFonts w:cs="Arial"/>
          <w:b/>
          <w:bCs/>
          <w:szCs w:val="20"/>
          <w:lang w:val="tr-TR"/>
        </w:rPr>
      </w:pPr>
      <w:r w:rsidRPr="00595F9B">
        <w:rPr>
          <w:rFonts w:cs="Arial"/>
          <w:b/>
          <w:bCs/>
          <w:szCs w:val="20"/>
          <w:lang w:val="tr-TR"/>
        </w:rPr>
        <w:t>Seyfettin Gürsel</w:t>
      </w:r>
      <w:r w:rsidRPr="00595F9B">
        <w:rPr>
          <w:rStyle w:val="FootnoteReference"/>
          <w:szCs w:val="20"/>
          <w:lang w:val="tr-TR"/>
        </w:rPr>
        <w:footnoteReference w:customMarkFollows="1" w:id="1"/>
        <w:t>*</w:t>
      </w:r>
      <w:r w:rsidRPr="00595F9B">
        <w:rPr>
          <w:rFonts w:cs="Arial"/>
          <w:b/>
          <w:bCs/>
          <w:szCs w:val="20"/>
          <w:lang w:val="tr-TR"/>
        </w:rPr>
        <w:t xml:space="preserve"> Gökçe Uysal</w:t>
      </w:r>
      <w:r w:rsidRPr="00595F9B">
        <w:rPr>
          <w:rStyle w:val="FootnoteReference"/>
          <w:szCs w:val="20"/>
          <w:lang w:val="tr-TR"/>
        </w:rPr>
        <w:footnoteReference w:customMarkFollows="1" w:id="2"/>
        <w:sym w:font="Symbol" w:char="F02A"/>
      </w:r>
      <w:r w:rsidRPr="00595F9B">
        <w:rPr>
          <w:rStyle w:val="FootnoteReference"/>
          <w:szCs w:val="20"/>
          <w:lang w:val="tr-TR"/>
        </w:rPr>
        <w:sym w:font="Symbol" w:char="F02A"/>
      </w:r>
      <w:r w:rsidRPr="00595F9B">
        <w:rPr>
          <w:rFonts w:cs="Arial"/>
          <w:b/>
          <w:bCs/>
          <w:szCs w:val="20"/>
          <w:lang w:val="tr-TR"/>
        </w:rPr>
        <w:t xml:space="preserve"> ve Melike Kökkızıl</w:t>
      </w:r>
      <w:r w:rsidRPr="00595F9B">
        <w:rPr>
          <w:rStyle w:val="FootnoteReference"/>
          <w:szCs w:val="20"/>
          <w:lang w:val="tr-TR"/>
        </w:rPr>
        <w:footnoteReference w:customMarkFollows="1" w:id="3"/>
        <w:sym w:font="Symbol" w:char="F02A"/>
      </w:r>
      <w:r w:rsidRPr="00595F9B">
        <w:rPr>
          <w:rStyle w:val="FootnoteReference"/>
          <w:szCs w:val="20"/>
          <w:lang w:val="tr-TR"/>
        </w:rPr>
        <w:sym w:font="Symbol" w:char="F02A"/>
      </w:r>
      <w:r w:rsidRPr="00595F9B">
        <w:rPr>
          <w:rStyle w:val="FootnoteReference"/>
          <w:szCs w:val="20"/>
          <w:lang w:val="tr-TR"/>
        </w:rPr>
        <w:sym w:font="Symbol" w:char="F02A"/>
      </w:r>
    </w:p>
    <w:p w:rsidR="00AF6C6F" w:rsidRPr="002277F9" w:rsidRDefault="002277F9" w:rsidP="002277F9">
      <w:pPr>
        <w:jc w:val="center"/>
        <w:rPr>
          <w:b/>
          <w:lang w:val="tr-TR"/>
        </w:rPr>
      </w:pPr>
      <w:r>
        <w:rPr>
          <w:b/>
          <w:lang w:val="tr-TR"/>
        </w:rPr>
        <w:t>Yönetici Özeti</w:t>
      </w:r>
    </w:p>
    <w:p w:rsidR="00EF5017" w:rsidRDefault="00EF5017" w:rsidP="008042E1">
      <w:pPr>
        <w:jc w:val="both"/>
      </w:pPr>
      <w:r>
        <w:t xml:space="preserve">Bu araştırma notunda </w:t>
      </w:r>
      <w:r w:rsidR="00595F9B">
        <w:t>Ocak 2016'da</w:t>
      </w:r>
      <w:r w:rsidR="00BA1D61">
        <w:t>n itibaren geçerli olan asgari ücret artışının işgücü piyasası üzerindeki etkileri</w:t>
      </w:r>
      <w:r w:rsidR="00595F9B">
        <w:t>,</w:t>
      </w:r>
      <w:r w:rsidR="00BA1D61">
        <w:t xml:space="preserve"> </w:t>
      </w:r>
      <w:r>
        <w:t xml:space="preserve">TÜİK tarafından yayımlanan Hanehalkı İşgücü Anketi </w:t>
      </w:r>
      <w:r w:rsidR="00BA1D61">
        <w:t xml:space="preserve">2013 yılı </w:t>
      </w:r>
      <w:r>
        <w:t xml:space="preserve">verileri </w:t>
      </w:r>
      <w:r w:rsidR="00BA1D61">
        <w:t>güncelleştirilerek</w:t>
      </w:r>
      <w:r>
        <w:t xml:space="preserve"> incelenmektedir.</w:t>
      </w:r>
      <w:r w:rsidR="00B72926">
        <w:t xml:space="preserve"> Asgari ücretteki artışın işgücü piyasasındaki farklı grupları farklı oranlarda etkileyeceği görülmektedir.</w:t>
      </w:r>
      <w:r>
        <w:t xml:space="preserve"> Veriler </w:t>
      </w:r>
      <w:r w:rsidRPr="00153063">
        <w:rPr>
          <w:lang w:val="tr-TR"/>
        </w:rPr>
        <w:t>özellikle</w:t>
      </w:r>
      <w:r w:rsidR="00B72926">
        <w:rPr>
          <w:lang w:val="tr-TR"/>
        </w:rPr>
        <w:t xml:space="preserve"> 15-24 yaş grubundaki</w:t>
      </w:r>
      <w:r w:rsidRPr="00153063">
        <w:rPr>
          <w:lang w:val="tr-TR"/>
        </w:rPr>
        <w:t xml:space="preserve"> gençlerin, kısmen de kadınların ortalama ücretlerinde dikkate değer artışların olabileceğini</w:t>
      </w:r>
      <w:r>
        <w:rPr>
          <w:lang w:val="tr-TR"/>
        </w:rPr>
        <w:t xml:space="preserve"> göstermektedir. </w:t>
      </w:r>
      <w:r w:rsidRPr="00153063">
        <w:rPr>
          <w:lang w:val="tr-TR"/>
        </w:rPr>
        <w:t xml:space="preserve">Ancak, kayıt dışılığın ve işsizliğin göreli olarak yüksek olduğu </w:t>
      </w:r>
      <w:r w:rsidR="00B72926">
        <w:rPr>
          <w:lang w:val="tr-TR"/>
        </w:rPr>
        <w:t>bu gruplarda</w:t>
      </w:r>
      <w:r w:rsidRPr="00153063">
        <w:rPr>
          <w:lang w:val="tr-TR"/>
        </w:rPr>
        <w:t xml:space="preserve"> ücret artışların bu olumsuzlukları teşvik etmesi muhtemeldir.</w:t>
      </w:r>
    </w:p>
    <w:p w:rsidR="00EF5017" w:rsidRPr="00AA2D0E" w:rsidRDefault="00AA2D0E" w:rsidP="00AA2D0E">
      <w:pPr>
        <w:rPr>
          <w:b/>
          <w:lang w:val="tr-TR"/>
        </w:rPr>
      </w:pPr>
      <w:r w:rsidRPr="00E5747D">
        <w:rPr>
          <w:b/>
          <w:lang w:val="tr-TR"/>
        </w:rPr>
        <w:t xml:space="preserve">Asgari ücret </w:t>
      </w:r>
      <w:r w:rsidRPr="00E5747D">
        <w:rPr>
          <w:rFonts w:eastAsiaTheme="minorEastAsia"/>
          <w:b/>
          <w:bCs/>
          <w:lang w:val="tr-TR" w:eastAsia="tr-TR"/>
        </w:rPr>
        <w:t>tartışması</w:t>
      </w:r>
    </w:p>
    <w:p w:rsidR="00735E17" w:rsidRPr="00E5747D" w:rsidRDefault="00AA2D0E" w:rsidP="00735E17">
      <w:pPr>
        <w:rPr>
          <w:lang w:val="tr-TR"/>
        </w:rPr>
      </w:pPr>
      <w:r w:rsidRPr="00E5747D">
        <w:rPr>
          <w:lang w:val="tr-TR"/>
        </w:rPr>
        <w:t>1 Ocak itibariyle net asgari üc</w:t>
      </w:r>
      <w:r>
        <w:rPr>
          <w:lang w:val="tr-TR"/>
        </w:rPr>
        <w:t xml:space="preserve">ret yüzde 30 artışla 1300TL’ye, brüt </w:t>
      </w:r>
      <w:r w:rsidRPr="00E5747D">
        <w:rPr>
          <w:lang w:val="tr-TR"/>
        </w:rPr>
        <w:t xml:space="preserve">ücret ise </w:t>
      </w:r>
      <w:r>
        <w:rPr>
          <w:lang w:val="tr-TR"/>
        </w:rPr>
        <w:t>1</w:t>
      </w:r>
      <w:r w:rsidRPr="00F477EA">
        <w:rPr>
          <w:lang w:val="tr-TR"/>
        </w:rPr>
        <w:t>274</w:t>
      </w:r>
      <w:r w:rsidRPr="00E5747D">
        <w:rPr>
          <w:lang w:val="tr-TR"/>
        </w:rPr>
        <w:t xml:space="preserve"> TL’den </w:t>
      </w:r>
      <w:r w:rsidRPr="00F04C69">
        <w:rPr>
          <w:lang w:val="tr-TR"/>
        </w:rPr>
        <w:t>1647 TL’ye</w:t>
      </w:r>
      <w:r w:rsidRPr="00E5747D">
        <w:rPr>
          <w:lang w:val="tr-TR"/>
        </w:rPr>
        <w:t xml:space="preserve"> yükse</w:t>
      </w:r>
      <w:r>
        <w:rPr>
          <w:lang w:val="tr-TR"/>
        </w:rPr>
        <w:t xml:space="preserve">ltilmiştir. </w:t>
      </w:r>
      <w:r w:rsidRPr="00E5747D">
        <w:rPr>
          <w:rStyle w:val="FootnoteReference"/>
          <w:lang w:val="tr-TR"/>
        </w:rPr>
        <w:footnoteReference w:id="4"/>
      </w:r>
      <w:r w:rsidRPr="00E5747D">
        <w:rPr>
          <w:lang w:val="tr-TR"/>
        </w:rPr>
        <w:t xml:space="preserve"> </w:t>
      </w:r>
      <w:r>
        <w:rPr>
          <w:lang w:val="tr-TR"/>
        </w:rPr>
        <w:t>Betam olarak bu ücret şokunun bölgesel işgücü piyasalardaki olası etkilerini inceleyen bir araştırma notunu daha önce yayınlamıştık</w:t>
      </w:r>
      <w:r>
        <w:rPr>
          <w:rStyle w:val="FootnoteReference"/>
          <w:lang w:val="tr-TR"/>
        </w:rPr>
        <w:footnoteReference w:id="5"/>
      </w:r>
      <w:r>
        <w:rPr>
          <w:lang w:val="tr-TR"/>
        </w:rPr>
        <w:t xml:space="preserve">. </w:t>
      </w:r>
      <w:r w:rsidR="007B3BCC">
        <w:rPr>
          <w:lang w:val="tr-TR"/>
        </w:rPr>
        <w:t xml:space="preserve">Burada </w:t>
      </w:r>
      <w:r>
        <w:rPr>
          <w:lang w:val="tr-TR"/>
        </w:rPr>
        <w:t xml:space="preserve">ise aynı yöntem ve aynı örneklem kullanılarak cinsiyet ve yaş eksenlerinde asgari ücret artışının etkileri incelenmektedir. </w:t>
      </w:r>
    </w:p>
    <w:p w:rsidR="00735E17" w:rsidRPr="00520AB3" w:rsidRDefault="004B4ECC" w:rsidP="00735E17">
      <w:pPr>
        <w:rPr>
          <w:lang w:val="tr-TR"/>
        </w:rPr>
      </w:pPr>
      <w:r w:rsidRPr="00520AB3">
        <w:rPr>
          <w:lang w:val="tr-TR"/>
        </w:rPr>
        <w:t>Bu araştırma notu</w:t>
      </w:r>
      <w:r w:rsidR="00735E17" w:rsidRPr="00520AB3">
        <w:rPr>
          <w:lang w:val="tr-TR"/>
        </w:rPr>
        <w:t xml:space="preserve"> asgari ücretteki artışın yaratacağı ücret şokunun boyutuna ve dağılımına dair bir tahmin oluşturmayı hedeflemektedir. Bu doğrultuda hesapları kolaylaştırmak için birkaç basitleştirici varsayımda bulunmak istiyoruz. Bu varsayımlardan en önemlisi asgari ücret artışının, asgari ücretin üzerinde kalacak ücretlerde herhangi bir artış yaratmayacağıdır. Örnek vermek gerekirse Şubat 2016’da 1400 TL kazanan bir bireyin ücretinin, Ocak 2016’da asgari ücretin 1300 TL’ye çıkmasından etkilenemeyeceği varsayılmaktadır. Böylelikle asgari ücret artışı sadece eski asgari ücret ile yeni asgari ücret arasında kalan ücretleri etkileyeceği varsayılmaktadır. </w:t>
      </w:r>
    </w:p>
    <w:p w:rsidR="00735E17" w:rsidRPr="00520AB3" w:rsidRDefault="00520AB3" w:rsidP="00211136">
      <w:pPr>
        <w:rPr>
          <w:lang w:val="tr-TR"/>
        </w:rPr>
      </w:pPr>
      <w:r w:rsidRPr="00520AB3">
        <w:rPr>
          <w:lang w:val="tr-TR"/>
        </w:rPr>
        <w:t xml:space="preserve">Bu araştırma notunda diğer çalışmamızda olduğu gibi </w:t>
      </w:r>
      <w:r>
        <w:rPr>
          <w:lang w:val="tr-TR"/>
        </w:rPr>
        <w:t>özel veya kâr amacı gütmeyen kuruluşlarda yevmiyeli veya ücretli olarak kayıtlı çalışan bireylerin ücretlerine etkileri incelenmektedir. Dolayısıyla a</w:t>
      </w:r>
      <w:r w:rsidR="00735E17" w:rsidRPr="00520AB3">
        <w:rPr>
          <w:lang w:val="tr-TR"/>
        </w:rPr>
        <w:t>sgari ücretteki artışın kayıt dışı piyasadaki ücretler üzerinde</w:t>
      </w:r>
      <w:r w:rsidR="005C30F5" w:rsidRPr="00520AB3">
        <w:rPr>
          <w:lang w:val="tr-TR"/>
        </w:rPr>
        <w:t>ki</w:t>
      </w:r>
      <w:r w:rsidR="00735E17" w:rsidRPr="00520AB3">
        <w:rPr>
          <w:lang w:val="tr-TR"/>
        </w:rPr>
        <w:t xml:space="preserve"> etkisi de bu araştırma notunda irdelenmemektedir. Hâlbuki asgari ücret, kayıtlı piyasada olduğu gibi kayıt dışı piyasada</w:t>
      </w:r>
      <w:r w:rsidR="005C30F5" w:rsidRPr="00520AB3">
        <w:rPr>
          <w:lang w:val="tr-TR"/>
        </w:rPr>
        <w:t xml:space="preserve"> da</w:t>
      </w:r>
      <w:r w:rsidR="00735E17" w:rsidRPr="00520AB3">
        <w:rPr>
          <w:lang w:val="tr-TR"/>
        </w:rPr>
        <w:t xml:space="preserve"> bir fener işlevi görüyor olabilir. Diğer bir deyişle, asgari ücretin artması</w:t>
      </w:r>
      <w:r w:rsidR="005C30F5" w:rsidRPr="00520AB3">
        <w:rPr>
          <w:lang w:val="tr-TR"/>
        </w:rPr>
        <w:t xml:space="preserve">nın, </w:t>
      </w:r>
      <w:r w:rsidR="00735E17" w:rsidRPr="00520AB3">
        <w:rPr>
          <w:lang w:val="tr-TR"/>
        </w:rPr>
        <w:t>bu ücreti referans olarak alan kayıt dışı ücretleri de artırması çok muhtemeldir. Bu basitleştirici varsayımlar elbette tam geçerli değildir. Bu nedenle ücretlerde gerçekleşecek genel artışı asgari düzeyde tahmin ettiğimiz akılda tutulmalıdır.</w:t>
      </w:r>
      <w:r w:rsidR="00735E17" w:rsidRPr="00E5747D">
        <w:rPr>
          <w:lang w:val="tr-TR"/>
        </w:rPr>
        <w:t xml:space="preserve"> </w:t>
      </w:r>
    </w:p>
    <w:p w:rsidR="00F45137" w:rsidRPr="00735E17" w:rsidRDefault="00620441" w:rsidP="004409EE">
      <w:pPr>
        <w:rPr>
          <w:lang w:val="tr-TR"/>
        </w:rPr>
      </w:pPr>
      <w:r>
        <w:rPr>
          <w:lang w:val="tr-TR"/>
        </w:rPr>
        <w:t>Türkiye’de 2013 yılı itibariyle 9 milyon 575 bin çalışan</w:t>
      </w:r>
      <w:r w:rsidR="00595F9B">
        <w:rPr>
          <w:lang w:val="tr-TR"/>
        </w:rPr>
        <w:t>,</w:t>
      </w:r>
      <w:r>
        <w:rPr>
          <w:lang w:val="tr-TR"/>
        </w:rPr>
        <w:t xml:space="preserve"> özel veya kâr amacı gütmeyen kuruluşlarda yevmiyeli veya ücretli olarak kayıtlı çalışmaktadır </w:t>
      </w:r>
      <w:r w:rsidR="005551C6">
        <w:rPr>
          <w:lang w:val="tr-TR"/>
        </w:rPr>
        <w:t>(</w:t>
      </w:r>
      <w:r w:rsidR="00214AD9">
        <w:rPr>
          <w:lang w:val="tr-TR"/>
        </w:rPr>
        <w:fldChar w:fldCharType="begin"/>
      </w:r>
      <w:r w:rsidR="005551C6">
        <w:rPr>
          <w:lang w:val="tr-TR"/>
        </w:rPr>
        <w:instrText xml:space="preserve"> REF _Ref442727682 \h </w:instrText>
      </w:r>
      <w:r w:rsidR="00214AD9">
        <w:rPr>
          <w:lang w:val="tr-TR"/>
        </w:rPr>
      </w:r>
      <w:r w:rsidR="00214AD9">
        <w:rPr>
          <w:lang w:val="tr-TR"/>
        </w:rPr>
        <w:fldChar w:fldCharType="separate"/>
      </w:r>
      <w:r w:rsidR="005551C6" w:rsidRPr="00A349EA">
        <w:t xml:space="preserve">Tablo </w:t>
      </w:r>
      <w:r w:rsidR="005551C6">
        <w:t>1</w:t>
      </w:r>
      <w:r w:rsidR="00214AD9">
        <w:rPr>
          <w:lang w:val="tr-TR"/>
        </w:rPr>
        <w:fldChar w:fldCharType="end"/>
      </w:r>
      <w:r w:rsidR="005551C6">
        <w:rPr>
          <w:lang w:val="tr-TR"/>
        </w:rPr>
        <w:t>)</w:t>
      </w:r>
      <w:r>
        <w:rPr>
          <w:lang w:val="tr-TR"/>
        </w:rPr>
        <w:t xml:space="preserve">. Bu çalışanların yüzde 57,3’ü olan 5 milyon </w:t>
      </w:r>
      <w:r>
        <w:rPr>
          <w:lang w:val="tr-TR"/>
        </w:rPr>
        <w:lastRenderedPageBreak/>
        <w:t>484 bin çalışan</w:t>
      </w:r>
      <w:r w:rsidR="00595F9B">
        <w:rPr>
          <w:lang w:val="tr-TR"/>
        </w:rPr>
        <w:t>ın</w:t>
      </w:r>
      <w:r>
        <w:rPr>
          <w:lang w:val="tr-TR"/>
        </w:rPr>
        <w:t xml:space="preserve"> ise, 2015 Kasım fiyat güncellemesine dayanarak asgari ücret olarak belirlenen 1300TL’nin altında ücret aldığı öngörülmektedir. </w:t>
      </w:r>
      <w:bookmarkStart w:id="1" w:name="_Ref443040425"/>
    </w:p>
    <w:p w:rsidR="000B7367" w:rsidRPr="004409EE" w:rsidRDefault="000B7367" w:rsidP="004409EE">
      <w:pPr>
        <w:rPr>
          <w:b/>
          <w:lang w:val="tr-TR"/>
        </w:rPr>
      </w:pPr>
      <w:bookmarkStart w:id="2" w:name="_Ref444848324"/>
      <w:r w:rsidRPr="004409EE">
        <w:rPr>
          <w:b/>
        </w:rPr>
        <w:t xml:space="preserve">Tablo </w:t>
      </w:r>
      <w:r w:rsidR="00214AD9" w:rsidRPr="004409EE">
        <w:rPr>
          <w:b/>
        </w:rPr>
        <w:fldChar w:fldCharType="begin"/>
      </w:r>
      <w:r w:rsidRPr="004409EE">
        <w:rPr>
          <w:b/>
        </w:rPr>
        <w:instrText xml:space="preserve"> SEQ Tablo \* ARABIC </w:instrText>
      </w:r>
      <w:r w:rsidR="00214AD9" w:rsidRPr="004409EE">
        <w:rPr>
          <w:b/>
        </w:rPr>
        <w:fldChar w:fldCharType="separate"/>
      </w:r>
      <w:r w:rsidR="005551C6">
        <w:rPr>
          <w:b/>
        </w:rPr>
        <w:t>1</w:t>
      </w:r>
      <w:r w:rsidR="00214AD9" w:rsidRPr="004409EE">
        <w:rPr>
          <w:b/>
        </w:rPr>
        <w:fldChar w:fldCharType="end"/>
      </w:r>
      <w:bookmarkEnd w:id="1"/>
      <w:bookmarkEnd w:id="2"/>
      <w:r w:rsidRPr="004409EE">
        <w:rPr>
          <w:b/>
        </w:rPr>
        <w:t xml:space="preserve"> </w:t>
      </w:r>
      <w:r w:rsidR="004409EE" w:rsidRPr="004409EE">
        <w:rPr>
          <w:b/>
          <w:lang w:val="tr-TR"/>
        </w:rPr>
        <w:t>1300 TL'nin</w:t>
      </w:r>
      <w:r w:rsidR="004409EE" w:rsidRPr="00E5747D">
        <w:rPr>
          <w:b/>
          <w:lang w:val="tr-TR"/>
        </w:rPr>
        <w:t xml:space="preserve"> altında net ücret alanların sayısı ve oranı</w:t>
      </w:r>
    </w:p>
    <w:tbl>
      <w:tblPr>
        <w:tblW w:w="60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1798"/>
        <w:gridCol w:w="1037"/>
        <w:gridCol w:w="1134"/>
        <w:gridCol w:w="993"/>
        <w:gridCol w:w="1134"/>
      </w:tblGrid>
      <w:tr w:rsidR="002F04CE" w:rsidRPr="005377D3" w:rsidTr="002F04CE">
        <w:trPr>
          <w:trHeight w:val="321"/>
        </w:trPr>
        <w:tc>
          <w:tcPr>
            <w:tcW w:w="1798" w:type="dxa"/>
            <w:shd w:val="clear" w:color="auto" w:fill="auto"/>
            <w:noWrap/>
            <w:vAlign w:val="bottom"/>
            <w:hideMark/>
          </w:tcPr>
          <w:p w:rsidR="002F04CE" w:rsidRPr="00EC23F2" w:rsidRDefault="002F04CE" w:rsidP="00C94583">
            <w:pPr>
              <w:spacing w:after="0" w:line="240" w:lineRule="auto"/>
              <w:rPr>
                <w:rFonts w:ascii="Calibri" w:eastAsia="Times New Roman" w:hAnsi="Calibri" w:cs="Times New Roman"/>
                <w:noProof w:val="0"/>
                <w:color w:val="000000"/>
                <w:lang w:val="tr-TR" w:eastAsia="tr-TR"/>
              </w:rPr>
            </w:pPr>
          </w:p>
        </w:tc>
        <w:tc>
          <w:tcPr>
            <w:tcW w:w="2171" w:type="dxa"/>
            <w:gridSpan w:val="2"/>
            <w:shd w:val="clear" w:color="auto" w:fill="auto"/>
            <w:noWrap/>
            <w:vAlign w:val="bottom"/>
            <w:hideMark/>
          </w:tcPr>
          <w:p w:rsidR="002F04CE" w:rsidRPr="005377D3" w:rsidRDefault="002F04CE" w:rsidP="00C94583">
            <w:pPr>
              <w:spacing w:after="0" w:line="240" w:lineRule="auto"/>
              <w:jc w:val="center"/>
              <w:rPr>
                <w:rFonts w:ascii="Calibri" w:eastAsia="Times New Roman" w:hAnsi="Calibri" w:cs="Times New Roman"/>
                <w:b/>
                <w:noProof w:val="0"/>
                <w:color w:val="000000"/>
                <w:lang w:val="tr-TR" w:eastAsia="tr-TR"/>
              </w:rPr>
            </w:pPr>
            <w:r w:rsidRPr="005377D3">
              <w:rPr>
                <w:rFonts w:ascii="Calibri" w:eastAsia="Times New Roman" w:hAnsi="Calibri" w:cs="Times New Roman"/>
                <w:b/>
                <w:noProof w:val="0"/>
                <w:color w:val="000000"/>
                <w:lang w:val="tr-TR" w:eastAsia="tr-TR"/>
              </w:rPr>
              <w:t>1300TL ve üzeri alanlar</w:t>
            </w:r>
          </w:p>
        </w:tc>
        <w:tc>
          <w:tcPr>
            <w:tcW w:w="2127" w:type="dxa"/>
            <w:gridSpan w:val="2"/>
            <w:shd w:val="clear" w:color="auto" w:fill="auto"/>
            <w:noWrap/>
            <w:vAlign w:val="bottom"/>
            <w:hideMark/>
          </w:tcPr>
          <w:p w:rsidR="002F04CE" w:rsidRPr="005377D3" w:rsidRDefault="002F04CE" w:rsidP="00C94583">
            <w:pPr>
              <w:spacing w:after="0" w:line="240" w:lineRule="auto"/>
              <w:jc w:val="center"/>
              <w:rPr>
                <w:rFonts w:ascii="Calibri" w:eastAsia="Times New Roman" w:hAnsi="Calibri" w:cs="Times New Roman"/>
                <w:b/>
                <w:noProof w:val="0"/>
                <w:color w:val="000000"/>
                <w:lang w:val="tr-TR" w:eastAsia="tr-TR"/>
              </w:rPr>
            </w:pPr>
            <w:r w:rsidRPr="005377D3">
              <w:rPr>
                <w:rFonts w:ascii="Calibri" w:eastAsia="Times New Roman" w:hAnsi="Calibri" w:cs="Times New Roman"/>
                <w:b/>
                <w:noProof w:val="0"/>
                <w:color w:val="000000"/>
                <w:lang w:val="tr-TR" w:eastAsia="tr-TR"/>
              </w:rPr>
              <w:t xml:space="preserve">1300TL’nin altında </w:t>
            </w:r>
          </w:p>
          <w:p w:rsidR="002F04CE" w:rsidRPr="005377D3" w:rsidRDefault="002F04CE" w:rsidP="00C94583">
            <w:pPr>
              <w:spacing w:after="0" w:line="240" w:lineRule="auto"/>
              <w:jc w:val="center"/>
              <w:rPr>
                <w:rFonts w:ascii="Calibri" w:eastAsia="Times New Roman" w:hAnsi="Calibri" w:cs="Times New Roman"/>
                <w:b/>
                <w:noProof w:val="0"/>
                <w:color w:val="000000"/>
                <w:lang w:val="tr-TR" w:eastAsia="tr-TR"/>
              </w:rPr>
            </w:pPr>
            <w:r w:rsidRPr="005377D3">
              <w:rPr>
                <w:rFonts w:ascii="Calibri" w:eastAsia="Times New Roman" w:hAnsi="Calibri" w:cs="Times New Roman"/>
                <w:b/>
                <w:noProof w:val="0"/>
                <w:color w:val="000000"/>
                <w:lang w:val="tr-TR" w:eastAsia="tr-TR"/>
              </w:rPr>
              <w:t>alanlar</w:t>
            </w:r>
          </w:p>
        </w:tc>
      </w:tr>
      <w:tr w:rsidR="002F04CE" w:rsidRPr="005377D3" w:rsidTr="002F04CE">
        <w:trPr>
          <w:trHeight w:val="321"/>
        </w:trPr>
        <w:tc>
          <w:tcPr>
            <w:tcW w:w="1798" w:type="dxa"/>
            <w:shd w:val="clear" w:color="auto" w:fill="auto"/>
            <w:noWrap/>
            <w:vAlign w:val="bottom"/>
            <w:hideMark/>
          </w:tcPr>
          <w:p w:rsidR="002F04CE" w:rsidRPr="00EC23F2" w:rsidRDefault="002F04CE" w:rsidP="00C94583">
            <w:pPr>
              <w:spacing w:after="0" w:line="240" w:lineRule="auto"/>
              <w:rPr>
                <w:rFonts w:ascii="Calibri" w:eastAsia="Times New Roman" w:hAnsi="Calibri" w:cs="Times New Roman"/>
                <w:noProof w:val="0"/>
                <w:color w:val="000000"/>
                <w:lang w:val="tr-TR" w:eastAsia="tr-TR"/>
              </w:rPr>
            </w:pPr>
          </w:p>
        </w:tc>
        <w:tc>
          <w:tcPr>
            <w:tcW w:w="1037" w:type="dxa"/>
            <w:shd w:val="clear" w:color="auto" w:fill="auto"/>
            <w:noWrap/>
            <w:vAlign w:val="center"/>
            <w:hideMark/>
          </w:tcPr>
          <w:p w:rsidR="002F04CE" w:rsidRPr="005377D3" w:rsidRDefault="002F04CE" w:rsidP="00C94583">
            <w:pPr>
              <w:spacing w:after="0" w:line="240" w:lineRule="auto"/>
              <w:jc w:val="center"/>
              <w:rPr>
                <w:rFonts w:ascii="Calibri" w:eastAsia="Times New Roman" w:hAnsi="Calibri" w:cs="Times New Roman"/>
                <w:b/>
                <w:noProof w:val="0"/>
                <w:color w:val="000000"/>
                <w:lang w:val="tr-TR" w:eastAsia="tr-TR"/>
              </w:rPr>
            </w:pPr>
            <w:r w:rsidRPr="005377D3">
              <w:rPr>
                <w:rFonts w:ascii="Calibri" w:eastAsia="Times New Roman" w:hAnsi="Calibri" w:cs="Times New Roman"/>
                <w:b/>
                <w:noProof w:val="0"/>
                <w:color w:val="000000"/>
                <w:lang w:val="tr-TR" w:eastAsia="tr-TR"/>
              </w:rPr>
              <w:t>(000)</w:t>
            </w:r>
          </w:p>
        </w:tc>
        <w:tc>
          <w:tcPr>
            <w:tcW w:w="1134" w:type="dxa"/>
            <w:shd w:val="clear" w:color="auto" w:fill="auto"/>
            <w:noWrap/>
            <w:vAlign w:val="center"/>
            <w:hideMark/>
          </w:tcPr>
          <w:p w:rsidR="002F04CE" w:rsidRPr="005377D3" w:rsidRDefault="002F04CE" w:rsidP="00C94583">
            <w:pPr>
              <w:spacing w:after="0" w:line="240" w:lineRule="auto"/>
              <w:jc w:val="center"/>
              <w:rPr>
                <w:rFonts w:ascii="Calibri" w:eastAsia="Times New Roman" w:hAnsi="Calibri" w:cs="Times New Roman"/>
                <w:b/>
                <w:noProof w:val="0"/>
                <w:color w:val="000000"/>
                <w:lang w:val="tr-TR" w:eastAsia="tr-TR"/>
              </w:rPr>
            </w:pPr>
            <w:r w:rsidRPr="005377D3">
              <w:rPr>
                <w:rFonts w:ascii="Calibri" w:eastAsia="Times New Roman" w:hAnsi="Calibri" w:cs="Times New Roman"/>
                <w:b/>
                <w:noProof w:val="0"/>
                <w:color w:val="000000"/>
                <w:lang w:val="tr-TR" w:eastAsia="tr-TR"/>
              </w:rPr>
              <w:t>(%)</w:t>
            </w:r>
          </w:p>
        </w:tc>
        <w:tc>
          <w:tcPr>
            <w:tcW w:w="993" w:type="dxa"/>
            <w:shd w:val="clear" w:color="auto" w:fill="auto"/>
            <w:noWrap/>
            <w:vAlign w:val="center"/>
            <w:hideMark/>
          </w:tcPr>
          <w:p w:rsidR="002F04CE" w:rsidRPr="005377D3" w:rsidRDefault="002F04CE" w:rsidP="00C94583">
            <w:pPr>
              <w:spacing w:after="0" w:line="240" w:lineRule="auto"/>
              <w:jc w:val="center"/>
              <w:rPr>
                <w:rFonts w:ascii="Calibri" w:eastAsia="Times New Roman" w:hAnsi="Calibri" w:cs="Times New Roman"/>
                <w:b/>
                <w:noProof w:val="0"/>
                <w:color w:val="000000"/>
                <w:lang w:val="tr-TR" w:eastAsia="tr-TR"/>
              </w:rPr>
            </w:pPr>
            <w:r w:rsidRPr="005377D3">
              <w:rPr>
                <w:rFonts w:ascii="Calibri" w:eastAsia="Times New Roman" w:hAnsi="Calibri" w:cs="Times New Roman"/>
                <w:b/>
                <w:noProof w:val="0"/>
                <w:color w:val="000000"/>
                <w:lang w:val="tr-TR" w:eastAsia="tr-TR"/>
              </w:rPr>
              <w:t>(000)</w:t>
            </w:r>
          </w:p>
        </w:tc>
        <w:tc>
          <w:tcPr>
            <w:tcW w:w="1134" w:type="dxa"/>
            <w:shd w:val="clear" w:color="auto" w:fill="auto"/>
            <w:noWrap/>
            <w:vAlign w:val="center"/>
            <w:hideMark/>
          </w:tcPr>
          <w:p w:rsidR="002F04CE" w:rsidRPr="005377D3" w:rsidRDefault="002F04CE" w:rsidP="00C94583">
            <w:pPr>
              <w:spacing w:after="0" w:line="240" w:lineRule="auto"/>
              <w:jc w:val="center"/>
              <w:rPr>
                <w:rFonts w:ascii="Calibri" w:eastAsia="Times New Roman" w:hAnsi="Calibri" w:cs="Times New Roman"/>
                <w:b/>
                <w:noProof w:val="0"/>
                <w:color w:val="000000"/>
                <w:lang w:val="tr-TR" w:eastAsia="tr-TR"/>
              </w:rPr>
            </w:pPr>
            <w:r w:rsidRPr="005377D3">
              <w:rPr>
                <w:rFonts w:ascii="Calibri" w:eastAsia="Times New Roman" w:hAnsi="Calibri" w:cs="Times New Roman"/>
                <w:b/>
                <w:noProof w:val="0"/>
                <w:color w:val="000000"/>
                <w:lang w:val="tr-TR" w:eastAsia="tr-TR"/>
              </w:rPr>
              <w:t>(%)</w:t>
            </w:r>
          </w:p>
        </w:tc>
      </w:tr>
      <w:tr w:rsidR="002F04CE" w:rsidTr="002F04CE">
        <w:trPr>
          <w:trHeight w:val="385"/>
        </w:trPr>
        <w:tc>
          <w:tcPr>
            <w:tcW w:w="1798" w:type="dxa"/>
            <w:shd w:val="clear" w:color="auto" w:fill="auto"/>
            <w:noWrap/>
            <w:vAlign w:val="bottom"/>
            <w:hideMark/>
          </w:tcPr>
          <w:p w:rsidR="002F04CE" w:rsidRPr="00EC23F2" w:rsidRDefault="002F04CE" w:rsidP="00C94583">
            <w:pPr>
              <w:spacing w:after="0" w:line="240" w:lineRule="auto"/>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Türkiye geneli</w:t>
            </w:r>
          </w:p>
        </w:tc>
        <w:tc>
          <w:tcPr>
            <w:tcW w:w="1037" w:type="dxa"/>
            <w:shd w:val="clear" w:color="auto" w:fill="auto"/>
            <w:noWrap/>
            <w:vAlign w:val="bottom"/>
            <w:hideMark/>
          </w:tcPr>
          <w:p w:rsidR="002F04CE" w:rsidRPr="00EC23F2" w:rsidRDefault="002F04CE" w:rsidP="00C94583">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4.091</w:t>
            </w:r>
          </w:p>
        </w:tc>
        <w:tc>
          <w:tcPr>
            <w:tcW w:w="1134" w:type="dxa"/>
            <w:shd w:val="clear" w:color="auto" w:fill="auto"/>
            <w:noWrap/>
            <w:vAlign w:val="bottom"/>
            <w:hideMark/>
          </w:tcPr>
          <w:p w:rsidR="002F04CE" w:rsidRDefault="002F04CE" w:rsidP="00C94583">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42,7</w:t>
            </w:r>
          </w:p>
        </w:tc>
        <w:tc>
          <w:tcPr>
            <w:tcW w:w="993" w:type="dxa"/>
            <w:shd w:val="clear" w:color="auto" w:fill="auto"/>
            <w:noWrap/>
            <w:vAlign w:val="bottom"/>
            <w:hideMark/>
          </w:tcPr>
          <w:p w:rsidR="002F04CE" w:rsidRDefault="002F04CE" w:rsidP="00C94583">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5.484</w:t>
            </w:r>
          </w:p>
        </w:tc>
        <w:tc>
          <w:tcPr>
            <w:tcW w:w="1134" w:type="dxa"/>
            <w:shd w:val="clear" w:color="auto" w:fill="auto"/>
            <w:noWrap/>
            <w:vAlign w:val="bottom"/>
            <w:hideMark/>
          </w:tcPr>
          <w:p w:rsidR="002F04CE" w:rsidRDefault="002F04CE" w:rsidP="00C94583">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57,3</w:t>
            </w:r>
          </w:p>
        </w:tc>
      </w:tr>
    </w:tbl>
    <w:p w:rsidR="004409EE" w:rsidRDefault="004409EE" w:rsidP="00F45137">
      <w:pPr>
        <w:spacing w:after="0" w:line="240" w:lineRule="auto"/>
        <w:rPr>
          <w:sz w:val="20"/>
          <w:szCs w:val="20"/>
          <w:lang w:val="tr-TR"/>
        </w:rPr>
      </w:pPr>
      <w:r w:rsidRPr="00E5747D">
        <w:rPr>
          <w:sz w:val="20"/>
          <w:szCs w:val="20"/>
          <w:lang w:val="tr-TR"/>
        </w:rPr>
        <w:t>Kaynak: HİA 2013, Betam Kasım 2015 güncellemesi</w:t>
      </w:r>
    </w:p>
    <w:p w:rsidR="00F45137" w:rsidRPr="00F45137" w:rsidRDefault="00F45137" w:rsidP="00F45137">
      <w:pPr>
        <w:spacing w:after="0" w:line="240" w:lineRule="auto"/>
        <w:rPr>
          <w:sz w:val="20"/>
          <w:szCs w:val="20"/>
          <w:lang w:val="tr-TR"/>
        </w:rPr>
      </w:pPr>
    </w:p>
    <w:p w:rsidR="005F3619" w:rsidRPr="003E1FD7" w:rsidRDefault="001527EF" w:rsidP="00EC1447">
      <w:pPr>
        <w:rPr>
          <w:b/>
          <w:sz w:val="24"/>
          <w:szCs w:val="24"/>
          <w:lang w:val="tr-TR"/>
        </w:rPr>
      </w:pPr>
      <w:r>
        <w:rPr>
          <w:b/>
          <w:sz w:val="24"/>
          <w:szCs w:val="24"/>
          <w:lang w:val="tr-TR"/>
        </w:rPr>
        <w:t>Ü</w:t>
      </w:r>
      <w:r w:rsidR="005F3619" w:rsidRPr="003E1FD7">
        <w:rPr>
          <w:b/>
          <w:sz w:val="24"/>
          <w:szCs w:val="24"/>
          <w:lang w:val="tr-TR"/>
        </w:rPr>
        <w:t>cret artışı gençler</w:t>
      </w:r>
      <w:r>
        <w:rPr>
          <w:b/>
          <w:sz w:val="24"/>
          <w:szCs w:val="24"/>
          <w:lang w:val="tr-TR"/>
        </w:rPr>
        <w:t>de yoğunlaşıyor</w:t>
      </w:r>
      <w:r w:rsidR="005F3619" w:rsidRPr="003E1FD7">
        <w:rPr>
          <w:b/>
          <w:sz w:val="24"/>
          <w:szCs w:val="24"/>
          <w:lang w:val="tr-TR"/>
        </w:rPr>
        <w:t xml:space="preserve"> </w:t>
      </w:r>
    </w:p>
    <w:p w:rsidR="00144382" w:rsidRDefault="00422B84" w:rsidP="00144382">
      <w:pPr>
        <w:rPr>
          <w:lang w:val="tr-TR"/>
        </w:rPr>
      </w:pPr>
      <w:r>
        <w:rPr>
          <w:lang w:val="tr-TR"/>
        </w:rPr>
        <w:t>İktisat yazınında</w:t>
      </w:r>
      <w:r w:rsidR="005777B3">
        <w:rPr>
          <w:lang w:val="tr-TR"/>
        </w:rPr>
        <w:t>ki bulgular</w:t>
      </w:r>
      <w:r>
        <w:rPr>
          <w:lang w:val="tr-TR"/>
        </w:rPr>
        <w:t xml:space="preserve"> </w:t>
      </w:r>
      <w:r w:rsidR="005777B3">
        <w:rPr>
          <w:lang w:val="tr-TR"/>
        </w:rPr>
        <w:t xml:space="preserve">ücretler ile işgücü piyasası </w:t>
      </w:r>
      <w:r w:rsidR="007A38FD">
        <w:rPr>
          <w:lang w:val="tr-TR"/>
        </w:rPr>
        <w:t>deneyimi</w:t>
      </w:r>
      <w:r w:rsidR="005777B3">
        <w:rPr>
          <w:lang w:val="tr-TR"/>
        </w:rPr>
        <w:t xml:space="preserve"> arasında azalarak artan kuvvetli bir ilişki olduğunu ortaya koymaktadır. İşgücü piyasası </w:t>
      </w:r>
      <w:r w:rsidR="007A38FD">
        <w:rPr>
          <w:lang w:val="tr-TR"/>
        </w:rPr>
        <w:t>deneyiminin</w:t>
      </w:r>
      <w:r w:rsidR="005777B3">
        <w:rPr>
          <w:lang w:val="tr-TR"/>
        </w:rPr>
        <w:t xml:space="preserve"> yaşla birlikte artmasına paralel olarak genel olarak gençlerin ücretlerinin nispeten düşük olduğu söylenebilir. </w:t>
      </w:r>
      <w:r w:rsidR="00F371AF">
        <w:rPr>
          <w:lang w:val="tr-TR"/>
        </w:rPr>
        <w:t>Diğer bir ifade</w:t>
      </w:r>
      <w:r w:rsidR="00C77DB4">
        <w:rPr>
          <w:lang w:val="tr-TR"/>
        </w:rPr>
        <w:t xml:space="preserve">yle, genç yaşta </w:t>
      </w:r>
      <w:r w:rsidR="005777B3">
        <w:rPr>
          <w:lang w:val="tr-TR"/>
        </w:rPr>
        <w:t>olan bir birey</w:t>
      </w:r>
      <w:r w:rsidR="00F371AF">
        <w:rPr>
          <w:lang w:val="tr-TR"/>
        </w:rPr>
        <w:t xml:space="preserve"> yaş aldıkça, yani işgücü piyasasından edindiği </w:t>
      </w:r>
      <w:r w:rsidR="007A38FD">
        <w:rPr>
          <w:lang w:val="tr-TR"/>
        </w:rPr>
        <w:t>deneyim</w:t>
      </w:r>
      <w:r w:rsidR="005777B3">
        <w:rPr>
          <w:lang w:val="tr-TR"/>
        </w:rPr>
        <w:t xml:space="preserve"> ve dolayısıyla </w:t>
      </w:r>
      <w:r w:rsidR="00F371AF">
        <w:rPr>
          <w:lang w:val="tr-TR"/>
        </w:rPr>
        <w:t>beşeri sermayesi artıkça</w:t>
      </w:r>
      <w:r w:rsidR="005D0427">
        <w:rPr>
          <w:lang w:val="tr-TR"/>
        </w:rPr>
        <w:t>,</w:t>
      </w:r>
      <w:r w:rsidR="00223D6E">
        <w:rPr>
          <w:lang w:val="tr-TR"/>
        </w:rPr>
        <w:t xml:space="preserve"> ücreti de</w:t>
      </w:r>
      <w:r w:rsidR="00F371AF">
        <w:rPr>
          <w:lang w:val="tr-TR"/>
        </w:rPr>
        <w:t xml:space="preserve"> </w:t>
      </w:r>
      <w:r w:rsidR="00223D6E">
        <w:rPr>
          <w:lang w:val="tr-TR"/>
        </w:rPr>
        <w:t>artar</w:t>
      </w:r>
      <w:r w:rsidR="00C83D5C">
        <w:rPr>
          <w:lang w:val="tr-TR"/>
        </w:rPr>
        <w:t>,</w:t>
      </w:r>
      <w:r w:rsidR="00F371AF">
        <w:rPr>
          <w:lang w:val="tr-TR"/>
        </w:rPr>
        <w:t xml:space="preserve"> </w:t>
      </w:r>
      <w:r w:rsidR="005777B3">
        <w:rPr>
          <w:lang w:val="tr-TR"/>
        </w:rPr>
        <w:t>diğer taraftan da bu</w:t>
      </w:r>
      <w:r w:rsidR="00F371AF">
        <w:rPr>
          <w:lang w:val="tr-TR"/>
        </w:rPr>
        <w:t xml:space="preserve"> getiri</w:t>
      </w:r>
      <w:r w:rsidR="002772C0">
        <w:rPr>
          <w:lang w:val="tr-TR"/>
        </w:rPr>
        <w:t xml:space="preserve">nin boyutu </w:t>
      </w:r>
      <w:r w:rsidR="005D0427">
        <w:rPr>
          <w:lang w:val="tr-TR"/>
        </w:rPr>
        <w:t xml:space="preserve">birey </w:t>
      </w:r>
      <w:r w:rsidR="002772C0">
        <w:rPr>
          <w:lang w:val="tr-TR"/>
        </w:rPr>
        <w:t xml:space="preserve">yaş aldıkça </w:t>
      </w:r>
      <w:r w:rsidR="005777B3">
        <w:rPr>
          <w:lang w:val="tr-TR"/>
        </w:rPr>
        <w:t>azalı</w:t>
      </w:r>
      <w:r w:rsidR="002772C0">
        <w:rPr>
          <w:lang w:val="tr-TR"/>
        </w:rPr>
        <w:t xml:space="preserve">r. </w:t>
      </w:r>
      <w:r w:rsidR="005777B3">
        <w:rPr>
          <w:lang w:val="tr-TR"/>
        </w:rPr>
        <w:t>Bu durumun bir yansıması da asgari ücret kazananların profillerinde gözlemlenebilir. Genelde asgari ücret kazananla</w:t>
      </w:r>
      <w:r w:rsidR="005606B0">
        <w:rPr>
          <w:lang w:val="tr-TR"/>
        </w:rPr>
        <w:t>rın nispeten daha genç olması be</w:t>
      </w:r>
      <w:r w:rsidR="005777B3">
        <w:rPr>
          <w:lang w:val="tr-TR"/>
        </w:rPr>
        <w:t xml:space="preserve">klenir. </w:t>
      </w:r>
      <w:r w:rsidR="005D0427">
        <w:rPr>
          <w:lang w:val="tr-TR"/>
        </w:rPr>
        <w:t>Bu bağlamda, piyasa</w:t>
      </w:r>
      <w:r w:rsidR="006179AD">
        <w:rPr>
          <w:lang w:val="tr-TR"/>
        </w:rPr>
        <w:t>da</w:t>
      </w:r>
      <w:r w:rsidR="00845570">
        <w:rPr>
          <w:lang w:val="tr-TR"/>
        </w:rPr>
        <w:t xml:space="preserve">ki </w:t>
      </w:r>
      <w:r w:rsidR="005D3DD8">
        <w:rPr>
          <w:lang w:val="tr-TR"/>
        </w:rPr>
        <w:t>asgari ücret artışının sebep olacağı</w:t>
      </w:r>
      <w:r w:rsidR="005D0427">
        <w:rPr>
          <w:lang w:val="tr-TR"/>
        </w:rPr>
        <w:t xml:space="preserve"> dışsal şokun etkilerinin her bir yaş </w:t>
      </w:r>
      <w:r w:rsidR="00815E55">
        <w:rPr>
          <w:lang w:val="tr-TR"/>
        </w:rPr>
        <w:t>grubu i</w:t>
      </w:r>
      <w:r w:rsidR="003903D1">
        <w:rPr>
          <w:lang w:val="tr-TR"/>
        </w:rPr>
        <w:t>çin aynı olmayacağı düşünülebilir</w:t>
      </w:r>
      <w:r w:rsidR="005D0427">
        <w:rPr>
          <w:lang w:val="tr-TR"/>
        </w:rPr>
        <w:t xml:space="preserve">. </w:t>
      </w:r>
    </w:p>
    <w:p w:rsidR="00A349EA" w:rsidRPr="00144382" w:rsidRDefault="00214AD9" w:rsidP="00144382">
      <w:pPr>
        <w:rPr>
          <w:lang w:val="tr-TR"/>
        </w:rPr>
      </w:pPr>
      <w:r>
        <w:rPr>
          <w:lang w:val="tr-TR"/>
        </w:rPr>
        <w:fldChar w:fldCharType="begin"/>
      </w:r>
      <w:r w:rsidR="00144382">
        <w:rPr>
          <w:lang w:val="tr-TR"/>
        </w:rPr>
        <w:instrText xml:space="preserve"> REF _Ref443040433 \h </w:instrText>
      </w:r>
      <w:r>
        <w:rPr>
          <w:lang w:val="tr-TR"/>
        </w:rPr>
      </w:r>
      <w:r>
        <w:rPr>
          <w:lang w:val="tr-TR"/>
        </w:rPr>
        <w:fldChar w:fldCharType="separate"/>
      </w:r>
      <w:r w:rsidR="005551C6" w:rsidRPr="00144382">
        <w:rPr>
          <w:lang w:val="tr-TR"/>
        </w:rPr>
        <w:t xml:space="preserve">Tablo </w:t>
      </w:r>
      <w:r w:rsidR="005551C6">
        <w:rPr>
          <w:lang w:val="tr-TR"/>
        </w:rPr>
        <w:t>2</w:t>
      </w:r>
      <w:r>
        <w:rPr>
          <w:lang w:val="tr-TR"/>
        </w:rPr>
        <w:fldChar w:fldCharType="end"/>
      </w:r>
      <w:r w:rsidR="00144382">
        <w:rPr>
          <w:lang w:val="tr-TR"/>
        </w:rPr>
        <w:t>'</w:t>
      </w:r>
      <w:r w:rsidR="005377D3">
        <w:rPr>
          <w:lang w:val="tr-TR"/>
        </w:rPr>
        <w:t xml:space="preserve">de </w:t>
      </w:r>
      <w:r w:rsidR="00FB1120">
        <w:rPr>
          <w:lang w:val="tr-TR"/>
        </w:rPr>
        <w:t xml:space="preserve">özel veya </w:t>
      </w:r>
      <w:r w:rsidR="00C237E1">
        <w:rPr>
          <w:lang w:val="tr-TR"/>
        </w:rPr>
        <w:t>kâr amacı</w:t>
      </w:r>
      <w:r w:rsidR="00FB1120">
        <w:rPr>
          <w:lang w:val="tr-TR"/>
        </w:rPr>
        <w:t xml:space="preserve"> gütmeyen kuruluşlarda tam zamanlı ve ücretli veya yevmiyeli kayıtlı çalışanların ücretleri ya</w:t>
      </w:r>
      <w:r w:rsidR="00DB2A2C">
        <w:rPr>
          <w:lang w:val="tr-TR"/>
        </w:rPr>
        <w:t>ş grubuna göre incelenmektedir. Ç</w:t>
      </w:r>
      <w:r w:rsidR="00422B84">
        <w:rPr>
          <w:lang w:val="tr-TR"/>
        </w:rPr>
        <w:t>alışanların</w:t>
      </w:r>
      <w:r w:rsidR="00AB0315">
        <w:rPr>
          <w:lang w:val="tr-TR"/>
        </w:rPr>
        <w:t xml:space="preserve"> </w:t>
      </w:r>
      <w:r w:rsidR="000E58B3">
        <w:rPr>
          <w:lang w:val="tr-TR"/>
        </w:rPr>
        <w:t xml:space="preserve">büyük </w:t>
      </w:r>
      <w:r w:rsidR="00A344D5" w:rsidRPr="0007105E">
        <w:rPr>
          <w:lang w:val="tr-TR"/>
        </w:rPr>
        <w:t>bölümü</w:t>
      </w:r>
      <w:r w:rsidR="00A344D5">
        <w:rPr>
          <w:lang w:val="tr-TR"/>
        </w:rPr>
        <w:t xml:space="preserve"> </w:t>
      </w:r>
      <w:r w:rsidR="000E58B3">
        <w:rPr>
          <w:lang w:val="tr-TR"/>
        </w:rPr>
        <w:t>(</w:t>
      </w:r>
      <w:r w:rsidR="00AB0315">
        <w:rPr>
          <w:lang w:val="tr-TR"/>
        </w:rPr>
        <w:t>yüzde 41,8’i</w:t>
      </w:r>
      <w:r w:rsidR="000E58B3">
        <w:rPr>
          <w:lang w:val="tr-TR"/>
        </w:rPr>
        <w:t>)</w:t>
      </w:r>
      <w:r w:rsidR="00AB0315">
        <w:rPr>
          <w:lang w:val="tr-TR"/>
        </w:rPr>
        <w:t xml:space="preserve"> 25-34 yaş grubunda</w:t>
      </w:r>
      <w:r w:rsidR="00522450">
        <w:rPr>
          <w:lang w:val="tr-TR"/>
        </w:rPr>
        <w:t xml:space="preserve"> kümelenmiştir. Diğer büyük </w:t>
      </w:r>
      <w:r w:rsidR="00A344D5" w:rsidRPr="0007105E">
        <w:rPr>
          <w:lang w:val="tr-TR"/>
        </w:rPr>
        <w:t>bölümü</w:t>
      </w:r>
      <w:r w:rsidR="00A344D5">
        <w:rPr>
          <w:lang w:val="tr-TR"/>
        </w:rPr>
        <w:t xml:space="preserve"> </w:t>
      </w:r>
      <w:r w:rsidR="00522450">
        <w:rPr>
          <w:lang w:val="tr-TR"/>
        </w:rPr>
        <w:t xml:space="preserve"> ise 35-44 yaş grubundaki bireyler oluşturmaktadır</w:t>
      </w:r>
      <w:r w:rsidR="00A344D5">
        <w:rPr>
          <w:lang w:val="tr-TR"/>
        </w:rPr>
        <w:t xml:space="preserve"> </w:t>
      </w:r>
      <w:r w:rsidR="00A344D5" w:rsidRPr="0007105E">
        <w:rPr>
          <w:lang w:val="tr-TR"/>
        </w:rPr>
        <w:t>(yüzde 28,9)</w:t>
      </w:r>
      <w:r w:rsidR="00522450">
        <w:rPr>
          <w:lang w:val="tr-TR"/>
        </w:rPr>
        <w:t xml:space="preserve">. </w:t>
      </w:r>
      <w:r w:rsidR="00BD6B6B">
        <w:rPr>
          <w:lang w:val="tr-TR"/>
        </w:rPr>
        <w:t>Eğitime devam etme,</w:t>
      </w:r>
      <w:r w:rsidR="004E3C2D">
        <w:rPr>
          <w:lang w:val="tr-TR"/>
        </w:rPr>
        <w:t xml:space="preserve"> işgücüne katılmama veya işsizlik durumları gibi nedenlerle 15-24 yaş grubundaki gençlerin payı </w:t>
      </w:r>
      <w:r w:rsidR="0015128B">
        <w:rPr>
          <w:lang w:val="tr-TR"/>
        </w:rPr>
        <w:t>nüfus yapı</w:t>
      </w:r>
      <w:r w:rsidR="00BD6B6B">
        <w:rPr>
          <w:lang w:val="tr-TR"/>
        </w:rPr>
        <w:t xml:space="preserve">mız genç olmasına rağmen düşüktür </w:t>
      </w:r>
      <w:r w:rsidR="0015128B">
        <w:rPr>
          <w:lang w:val="tr-TR"/>
        </w:rPr>
        <w:t xml:space="preserve">(yüzde 15,9). </w:t>
      </w:r>
      <w:r w:rsidR="008E0847">
        <w:rPr>
          <w:lang w:val="tr-TR"/>
        </w:rPr>
        <w:t xml:space="preserve">Ayrıca, erken emeklilik veya kadınların işgücü piyasasından erken ayrılmaları gibi durumlar neticesinde 45 yaş ve üstü çalışanların payı nispeten düşük seyretmektedir. </w:t>
      </w:r>
    </w:p>
    <w:p w:rsidR="00144382" w:rsidRDefault="00144382" w:rsidP="00144382">
      <w:pPr>
        <w:pStyle w:val="Caption"/>
        <w:keepNext/>
      </w:pPr>
      <w:bookmarkStart w:id="3" w:name="_Ref443040433"/>
      <w:r w:rsidRPr="00144382">
        <w:rPr>
          <w:color w:val="auto"/>
          <w:sz w:val="22"/>
          <w:szCs w:val="22"/>
          <w:lang w:val="tr-TR"/>
        </w:rPr>
        <w:t xml:space="preserve">Tablo </w:t>
      </w:r>
      <w:r w:rsidR="00214AD9" w:rsidRPr="00144382">
        <w:rPr>
          <w:color w:val="auto"/>
          <w:sz w:val="22"/>
          <w:szCs w:val="22"/>
          <w:lang w:val="tr-TR"/>
        </w:rPr>
        <w:fldChar w:fldCharType="begin"/>
      </w:r>
      <w:r w:rsidRPr="00144382">
        <w:rPr>
          <w:color w:val="auto"/>
          <w:sz w:val="22"/>
          <w:szCs w:val="22"/>
          <w:lang w:val="tr-TR"/>
        </w:rPr>
        <w:instrText xml:space="preserve"> SEQ Tablo \* ARABIC </w:instrText>
      </w:r>
      <w:r w:rsidR="00214AD9" w:rsidRPr="00144382">
        <w:rPr>
          <w:color w:val="auto"/>
          <w:sz w:val="22"/>
          <w:szCs w:val="22"/>
          <w:lang w:val="tr-TR"/>
        </w:rPr>
        <w:fldChar w:fldCharType="separate"/>
      </w:r>
      <w:r w:rsidR="005551C6">
        <w:rPr>
          <w:color w:val="auto"/>
          <w:sz w:val="22"/>
          <w:szCs w:val="22"/>
          <w:lang w:val="tr-TR"/>
        </w:rPr>
        <w:t>2</w:t>
      </w:r>
      <w:r w:rsidR="00214AD9" w:rsidRPr="00144382">
        <w:rPr>
          <w:color w:val="auto"/>
          <w:sz w:val="22"/>
          <w:szCs w:val="22"/>
          <w:lang w:val="tr-TR"/>
        </w:rPr>
        <w:fldChar w:fldCharType="end"/>
      </w:r>
      <w:bookmarkEnd w:id="3"/>
      <w:r w:rsidRPr="00144382">
        <w:rPr>
          <w:color w:val="auto"/>
          <w:sz w:val="22"/>
          <w:szCs w:val="22"/>
          <w:lang w:val="tr-TR"/>
        </w:rPr>
        <w:t xml:space="preserve"> Yaş gruplarına</w:t>
      </w:r>
      <w:r>
        <w:rPr>
          <w:color w:val="auto"/>
          <w:sz w:val="22"/>
          <w:szCs w:val="22"/>
        </w:rPr>
        <w:t xml:space="preserve"> göre </w:t>
      </w:r>
      <w:r w:rsidRPr="00026C4E">
        <w:rPr>
          <w:color w:val="auto"/>
          <w:sz w:val="22"/>
          <w:szCs w:val="22"/>
          <w:lang w:val="tr-TR"/>
        </w:rPr>
        <w:t>1300 TL'nin altında net ücret alanların sayısı ve oranı</w:t>
      </w:r>
    </w:p>
    <w:tbl>
      <w:tblPr>
        <w:tblW w:w="73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1798"/>
        <w:gridCol w:w="1037"/>
        <w:gridCol w:w="1134"/>
        <w:gridCol w:w="993"/>
        <w:gridCol w:w="1134"/>
        <w:gridCol w:w="1229"/>
      </w:tblGrid>
      <w:tr w:rsidR="00374512" w:rsidRPr="00EC23F2" w:rsidTr="003F270D">
        <w:trPr>
          <w:trHeight w:val="321"/>
        </w:trPr>
        <w:tc>
          <w:tcPr>
            <w:tcW w:w="1798" w:type="dxa"/>
            <w:shd w:val="clear" w:color="auto" w:fill="auto"/>
            <w:noWrap/>
            <w:vAlign w:val="bottom"/>
            <w:hideMark/>
          </w:tcPr>
          <w:p w:rsidR="00374512" w:rsidRPr="00EC23F2" w:rsidRDefault="00374512" w:rsidP="00EC23F2">
            <w:pPr>
              <w:spacing w:after="0" w:line="240" w:lineRule="auto"/>
              <w:rPr>
                <w:rFonts w:ascii="Calibri" w:eastAsia="Times New Roman" w:hAnsi="Calibri" w:cs="Times New Roman"/>
                <w:noProof w:val="0"/>
                <w:color w:val="000000"/>
                <w:lang w:val="tr-TR" w:eastAsia="tr-TR"/>
              </w:rPr>
            </w:pPr>
          </w:p>
        </w:tc>
        <w:tc>
          <w:tcPr>
            <w:tcW w:w="2171" w:type="dxa"/>
            <w:gridSpan w:val="2"/>
            <w:shd w:val="clear" w:color="auto" w:fill="auto"/>
            <w:noWrap/>
            <w:vAlign w:val="bottom"/>
            <w:hideMark/>
          </w:tcPr>
          <w:p w:rsidR="00F93BAC" w:rsidRPr="005377D3" w:rsidRDefault="00F93BAC" w:rsidP="00F93BAC">
            <w:pPr>
              <w:spacing w:after="0" w:line="240" w:lineRule="auto"/>
              <w:jc w:val="center"/>
              <w:rPr>
                <w:rFonts w:ascii="Calibri" w:eastAsia="Times New Roman" w:hAnsi="Calibri" w:cs="Times New Roman"/>
                <w:b/>
                <w:noProof w:val="0"/>
                <w:color w:val="000000"/>
                <w:lang w:val="tr-TR" w:eastAsia="tr-TR"/>
              </w:rPr>
            </w:pPr>
            <w:r w:rsidRPr="005377D3">
              <w:rPr>
                <w:rFonts w:ascii="Calibri" w:eastAsia="Times New Roman" w:hAnsi="Calibri" w:cs="Times New Roman"/>
                <w:b/>
                <w:noProof w:val="0"/>
                <w:color w:val="000000"/>
                <w:lang w:val="tr-TR" w:eastAsia="tr-TR"/>
              </w:rPr>
              <w:t xml:space="preserve">1300TL’nin altında </w:t>
            </w:r>
          </w:p>
          <w:p w:rsidR="00374512" w:rsidRPr="005377D3" w:rsidRDefault="00F93BAC" w:rsidP="00F93BAC">
            <w:pPr>
              <w:spacing w:after="0" w:line="240" w:lineRule="auto"/>
              <w:jc w:val="center"/>
              <w:rPr>
                <w:rFonts w:ascii="Calibri" w:eastAsia="Times New Roman" w:hAnsi="Calibri" w:cs="Times New Roman"/>
                <w:b/>
                <w:noProof w:val="0"/>
                <w:color w:val="000000"/>
                <w:lang w:val="tr-TR" w:eastAsia="tr-TR"/>
              </w:rPr>
            </w:pPr>
            <w:r w:rsidRPr="005377D3">
              <w:rPr>
                <w:rFonts w:ascii="Calibri" w:eastAsia="Times New Roman" w:hAnsi="Calibri" w:cs="Times New Roman"/>
                <w:b/>
                <w:noProof w:val="0"/>
                <w:color w:val="000000"/>
                <w:lang w:val="tr-TR" w:eastAsia="tr-TR"/>
              </w:rPr>
              <w:t>alanlar</w:t>
            </w:r>
          </w:p>
        </w:tc>
        <w:tc>
          <w:tcPr>
            <w:tcW w:w="2127" w:type="dxa"/>
            <w:gridSpan w:val="2"/>
            <w:shd w:val="clear" w:color="auto" w:fill="auto"/>
            <w:noWrap/>
            <w:vAlign w:val="bottom"/>
            <w:hideMark/>
          </w:tcPr>
          <w:p w:rsidR="00374512" w:rsidRPr="005377D3" w:rsidRDefault="00F93BAC" w:rsidP="00EC23F2">
            <w:pPr>
              <w:spacing w:after="0" w:line="240" w:lineRule="auto"/>
              <w:jc w:val="center"/>
              <w:rPr>
                <w:rFonts w:ascii="Calibri" w:eastAsia="Times New Roman" w:hAnsi="Calibri" w:cs="Times New Roman"/>
                <w:b/>
                <w:noProof w:val="0"/>
                <w:color w:val="000000"/>
                <w:lang w:val="tr-TR" w:eastAsia="tr-TR"/>
              </w:rPr>
            </w:pPr>
            <w:r w:rsidRPr="005377D3">
              <w:rPr>
                <w:rFonts w:ascii="Calibri" w:eastAsia="Times New Roman" w:hAnsi="Calibri" w:cs="Times New Roman"/>
                <w:b/>
                <w:noProof w:val="0"/>
                <w:color w:val="000000"/>
                <w:lang w:val="tr-TR" w:eastAsia="tr-TR"/>
              </w:rPr>
              <w:t>1300TL ve üzeri alanlar</w:t>
            </w:r>
          </w:p>
        </w:tc>
        <w:tc>
          <w:tcPr>
            <w:tcW w:w="1229" w:type="dxa"/>
            <w:vAlign w:val="bottom"/>
          </w:tcPr>
          <w:p w:rsidR="00374512" w:rsidRPr="005377D3" w:rsidRDefault="00374512" w:rsidP="003F270D">
            <w:pPr>
              <w:spacing w:after="0" w:line="240" w:lineRule="auto"/>
              <w:jc w:val="right"/>
              <w:rPr>
                <w:rFonts w:ascii="Calibri" w:eastAsia="Times New Roman" w:hAnsi="Calibri" w:cs="Times New Roman"/>
                <w:b/>
                <w:noProof w:val="0"/>
                <w:color w:val="000000"/>
                <w:lang w:val="tr-TR" w:eastAsia="tr-TR"/>
              </w:rPr>
            </w:pPr>
            <w:r w:rsidRPr="005377D3">
              <w:rPr>
                <w:rFonts w:ascii="Calibri" w:eastAsia="Times New Roman" w:hAnsi="Calibri" w:cs="Times New Roman"/>
                <w:b/>
                <w:noProof w:val="0"/>
                <w:color w:val="000000"/>
                <w:lang w:val="tr-TR" w:eastAsia="tr-TR"/>
              </w:rPr>
              <w:t xml:space="preserve">Çalışanların yaş dağılımı </w:t>
            </w:r>
          </w:p>
        </w:tc>
      </w:tr>
      <w:tr w:rsidR="00374512" w:rsidRPr="00EC23F2" w:rsidTr="003F270D">
        <w:trPr>
          <w:trHeight w:val="321"/>
        </w:trPr>
        <w:tc>
          <w:tcPr>
            <w:tcW w:w="1798" w:type="dxa"/>
            <w:shd w:val="clear" w:color="auto" w:fill="auto"/>
            <w:noWrap/>
            <w:vAlign w:val="bottom"/>
            <w:hideMark/>
          </w:tcPr>
          <w:p w:rsidR="00374512" w:rsidRPr="00EC23F2" w:rsidRDefault="00374512" w:rsidP="005377D3">
            <w:pPr>
              <w:spacing w:after="0" w:line="240" w:lineRule="auto"/>
              <w:rPr>
                <w:rFonts w:ascii="Calibri" w:eastAsia="Times New Roman" w:hAnsi="Calibri" w:cs="Times New Roman"/>
                <w:noProof w:val="0"/>
                <w:color w:val="000000"/>
                <w:lang w:val="tr-TR" w:eastAsia="tr-TR"/>
              </w:rPr>
            </w:pPr>
          </w:p>
        </w:tc>
        <w:tc>
          <w:tcPr>
            <w:tcW w:w="1037" w:type="dxa"/>
            <w:shd w:val="clear" w:color="auto" w:fill="auto"/>
            <w:noWrap/>
            <w:vAlign w:val="center"/>
            <w:hideMark/>
          </w:tcPr>
          <w:p w:rsidR="00374512" w:rsidRPr="005377D3" w:rsidRDefault="00374512" w:rsidP="0011795F">
            <w:pPr>
              <w:spacing w:after="0" w:line="240" w:lineRule="auto"/>
              <w:jc w:val="center"/>
              <w:rPr>
                <w:rFonts w:ascii="Calibri" w:eastAsia="Times New Roman" w:hAnsi="Calibri" w:cs="Times New Roman"/>
                <w:b/>
                <w:noProof w:val="0"/>
                <w:color w:val="000000"/>
                <w:lang w:val="tr-TR" w:eastAsia="tr-TR"/>
              </w:rPr>
            </w:pPr>
            <w:r w:rsidRPr="005377D3">
              <w:rPr>
                <w:rFonts w:ascii="Calibri" w:eastAsia="Times New Roman" w:hAnsi="Calibri" w:cs="Times New Roman"/>
                <w:b/>
                <w:noProof w:val="0"/>
                <w:color w:val="000000"/>
                <w:lang w:val="tr-TR" w:eastAsia="tr-TR"/>
              </w:rPr>
              <w:t>(000)</w:t>
            </w:r>
          </w:p>
        </w:tc>
        <w:tc>
          <w:tcPr>
            <w:tcW w:w="1134" w:type="dxa"/>
            <w:shd w:val="clear" w:color="auto" w:fill="auto"/>
            <w:noWrap/>
            <w:vAlign w:val="center"/>
            <w:hideMark/>
          </w:tcPr>
          <w:p w:rsidR="00374512" w:rsidRPr="005377D3" w:rsidRDefault="00374512" w:rsidP="0011795F">
            <w:pPr>
              <w:spacing w:after="0" w:line="240" w:lineRule="auto"/>
              <w:jc w:val="center"/>
              <w:rPr>
                <w:rFonts w:ascii="Calibri" w:eastAsia="Times New Roman" w:hAnsi="Calibri" w:cs="Times New Roman"/>
                <w:b/>
                <w:noProof w:val="0"/>
                <w:color w:val="000000"/>
                <w:lang w:val="tr-TR" w:eastAsia="tr-TR"/>
              </w:rPr>
            </w:pPr>
            <w:r w:rsidRPr="005377D3">
              <w:rPr>
                <w:rFonts w:ascii="Calibri" w:eastAsia="Times New Roman" w:hAnsi="Calibri" w:cs="Times New Roman"/>
                <w:b/>
                <w:noProof w:val="0"/>
                <w:color w:val="000000"/>
                <w:lang w:val="tr-TR" w:eastAsia="tr-TR"/>
              </w:rPr>
              <w:t>(%)</w:t>
            </w:r>
          </w:p>
        </w:tc>
        <w:tc>
          <w:tcPr>
            <w:tcW w:w="993" w:type="dxa"/>
            <w:shd w:val="clear" w:color="auto" w:fill="auto"/>
            <w:noWrap/>
            <w:vAlign w:val="center"/>
            <w:hideMark/>
          </w:tcPr>
          <w:p w:rsidR="00374512" w:rsidRPr="005377D3" w:rsidRDefault="00374512" w:rsidP="00F27189">
            <w:pPr>
              <w:spacing w:after="0" w:line="240" w:lineRule="auto"/>
              <w:jc w:val="center"/>
              <w:rPr>
                <w:rFonts w:ascii="Calibri" w:eastAsia="Times New Roman" w:hAnsi="Calibri" w:cs="Times New Roman"/>
                <w:b/>
                <w:noProof w:val="0"/>
                <w:color w:val="000000"/>
                <w:lang w:val="tr-TR" w:eastAsia="tr-TR"/>
              </w:rPr>
            </w:pPr>
            <w:r w:rsidRPr="005377D3">
              <w:rPr>
                <w:rFonts w:ascii="Calibri" w:eastAsia="Times New Roman" w:hAnsi="Calibri" w:cs="Times New Roman"/>
                <w:b/>
                <w:noProof w:val="0"/>
                <w:color w:val="000000"/>
                <w:lang w:val="tr-TR" w:eastAsia="tr-TR"/>
              </w:rPr>
              <w:t>(000)</w:t>
            </w:r>
          </w:p>
        </w:tc>
        <w:tc>
          <w:tcPr>
            <w:tcW w:w="1134" w:type="dxa"/>
            <w:shd w:val="clear" w:color="auto" w:fill="auto"/>
            <w:noWrap/>
            <w:vAlign w:val="center"/>
            <w:hideMark/>
          </w:tcPr>
          <w:p w:rsidR="00374512" w:rsidRPr="005377D3" w:rsidRDefault="00374512" w:rsidP="00F27189">
            <w:pPr>
              <w:spacing w:after="0" w:line="240" w:lineRule="auto"/>
              <w:jc w:val="center"/>
              <w:rPr>
                <w:rFonts w:ascii="Calibri" w:eastAsia="Times New Roman" w:hAnsi="Calibri" w:cs="Times New Roman"/>
                <w:b/>
                <w:noProof w:val="0"/>
                <w:color w:val="000000"/>
                <w:lang w:val="tr-TR" w:eastAsia="tr-TR"/>
              </w:rPr>
            </w:pPr>
            <w:r w:rsidRPr="005377D3">
              <w:rPr>
                <w:rFonts w:ascii="Calibri" w:eastAsia="Times New Roman" w:hAnsi="Calibri" w:cs="Times New Roman"/>
                <w:b/>
                <w:noProof w:val="0"/>
                <w:color w:val="000000"/>
                <w:lang w:val="tr-TR" w:eastAsia="tr-TR"/>
              </w:rPr>
              <w:t>(%)</w:t>
            </w:r>
          </w:p>
        </w:tc>
        <w:tc>
          <w:tcPr>
            <w:tcW w:w="1229" w:type="dxa"/>
            <w:vAlign w:val="bottom"/>
          </w:tcPr>
          <w:p w:rsidR="00374512" w:rsidRPr="005377D3" w:rsidRDefault="00374512" w:rsidP="003F270D">
            <w:pPr>
              <w:spacing w:after="0" w:line="240" w:lineRule="auto"/>
              <w:jc w:val="right"/>
              <w:rPr>
                <w:rFonts w:ascii="Calibri" w:eastAsia="Times New Roman" w:hAnsi="Calibri" w:cs="Times New Roman"/>
                <w:b/>
                <w:noProof w:val="0"/>
                <w:color w:val="000000"/>
                <w:lang w:val="tr-TR" w:eastAsia="tr-TR"/>
              </w:rPr>
            </w:pPr>
            <w:r w:rsidRPr="005377D3">
              <w:rPr>
                <w:rFonts w:ascii="Calibri" w:eastAsia="Times New Roman" w:hAnsi="Calibri" w:cs="Times New Roman"/>
                <w:b/>
                <w:noProof w:val="0"/>
                <w:color w:val="000000"/>
                <w:lang w:val="tr-TR" w:eastAsia="tr-TR"/>
              </w:rPr>
              <w:t>(%)</w:t>
            </w:r>
          </w:p>
        </w:tc>
      </w:tr>
      <w:tr w:rsidR="00374512" w:rsidRPr="00EC23F2" w:rsidTr="003F270D">
        <w:trPr>
          <w:trHeight w:val="321"/>
        </w:trPr>
        <w:tc>
          <w:tcPr>
            <w:tcW w:w="1798" w:type="dxa"/>
            <w:shd w:val="clear" w:color="auto" w:fill="auto"/>
            <w:noWrap/>
            <w:vAlign w:val="bottom"/>
            <w:hideMark/>
          </w:tcPr>
          <w:p w:rsidR="00374512" w:rsidRPr="00B755D9" w:rsidRDefault="00374512" w:rsidP="00012B20">
            <w:pPr>
              <w:spacing w:after="0" w:line="240" w:lineRule="auto"/>
              <w:jc w:val="right"/>
              <w:rPr>
                <w:rFonts w:ascii="Calibri" w:eastAsia="Times New Roman" w:hAnsi="Calibri" w:cs="Times New Roman"/>
                <w:noProof w:val="0"/>
                <w:color w:val="000000"/>
                <w:sz w:val="20"/>
                <w:szCs w:val="20"/>
                <w:lang w:val="tr-TR" w:eastAsia="tr-TR"/>
              </w:rPr>
            </w:pPr>
            <w:r w:rsidRPr="00B755D9">
              <w:rPr>
                <w:rFonts w:ascii="Calibri" w:eastAsia="Times New Roman" w:hAnsi="Calibri" w:cs="Times New Roman"/>
                <w:noProof w:val="0"/>
                <w:color w:val="000000"/>
                <w:sz w:val="20"/>
                <w:szCs w:val="20"/>
                <w:lang w:val="tr-TR" w:eastAsia="tr-TR"/>
              </w:rPr>
              <w:t>15-24 yaş</w:t>
            </w:r>
          </w:p>
        </w:tc>
        <w:tc>
          <w:tcPr>
            <w:tcW w:w="1037" w:type="dxa"/>
            <w:shd w:val="clear" w:color="auto" w:fill="auto"/>
            <w:noWrap/>
            <w:vAlign w:val="bottom"/>
            <w:hideMark/>
          </w:tcPr>
          <w:p w:rsidR="00374512" w:rsidRPr="00EC23F2" w:rsidRDefault="00374512" w:rsidP="0011795F">
            <w:pPr>
              <w:spacing w:after="0" w:line="240" w:lineRule="auto"/>
              <w:jc w:val="right"/>
              <w:rPr>
                <w:rFonts w:ascii="Calibri" w:eastAsia="Times New Roman" w:hAnsi="Calibri" w:cs="Times New Roman"/>
                <w:noProof w:val="0"/>
                <w:color w:val="000000"/>
                <w:lang w:val="tr-TR" w:eastAsia="tr-TR"/>
              </w:rPr>
            </w:pPr>
            <w:r w:rsidRPr="00EC23F2">
              <w:rPr>
                <w:rFonts w:ascii="Calibri" w:eastAsia="Times New Roman" w:hAnsi="Calibri" w:cs="Times New Roman"/>
                <w:noProof w:val="0"/>
                <w:color w:val="000000"/>
                <w:lang w:val="tr-TR" w:eastAsia="tr-TR"/>
              </w:rPr>
              <w:t>1</w:t>
            </w:r>
            <w:r>
              <w:rPr>
                <w:rFonts w:ascii="Calibri" w:eastAsia="Times New Roman" w:hAnsi="Calibri" w:cs="Times New Roman"/>
                <w:noProof w:val="0"/>
                <w:color w:val="000000"/>
                <w:lang w:val="tr-TR" w:eastAsia="tr-TR"/>
              </w:rPr>
              <w:t>.</w:t>
            </w:r>
            <w:r w:rsidRPr="00EC23F2">
              <w:rPr>
                <w:rFonts w:ascii="Calibri" w:eastAsia="Times New Roman" w:hAnsi="Calibri" w:cs="Times New Roman"/>
                <w:noProof w:val="0"/>
                <w:color w:val="000000"/>
                <w:lang w:val="tr-TR" w:eastAsia="tr-TR"/>
              </w:rPr>
              <w:t>213</w:t>
            </w:r>
          </w:p>
        </w:tc>
        <w:tc>
          <w:tcPr>
            <w:tcW w:w="1134" w:type="dxa"/>
            <w:shd w:val="clear" w:color="auto" w:fill="auto"/>
            <w:noWrap/>
            <w:vAlign w:val="bottom"/>
            <w:hideMark/>
          </w:tcPr>
          <w:p w:rsidR="00374512" w:rsidRPr="00EC23F2" w:rsidRDefault="00374512" w:rsidP="0011795F">
            <w:pPr>
              <w:spacing w:after="0" w:line="240" w:lineRule="auto"/>
              <w:jc w:val="right"/>
              <w:rPr>
                <w:rFonts w:ascii="Calibri" w:eastAsia="Times New Roman" w:hAnsi="Calibri" w:cs="Times New Roman"/>
                <w:noProof w:val="0"/>
                <w:color w:val="000000"/>
                <w:lang w:val="tr-TR" w:eastAsia="tr-TR"/>
              </w:rPr>
            </w:pPr>
            <w:r w:rsidRPr="00EC23F2">
              <w:rPr>
                <w:rFonts w:ascii="Calibri" w:eastAsia="Times New Roman" w:hAnsi="Calibri" w:cs="Times New Roman"/>
                <w:noProof w:val="0"/>
                <w:color w:val="000000"/>
                <w:lang w:val="tr-TR" w:eastAsia="tr-TR"/>
              </w:rPr>
              <w:t>22</w:t>
            </w:r>
            <w:r>
              <w:rPr>
                <w:rFonts w:ascii="Calibri" w:eastAsia="Times New Roman" w:hAnsi="Calibri" w:cs="Times New Roman"/>
                <w:noProof w:val="0"/>
                <w:color w:val="000000"/>
                <w:lang w:val="tr-TR" w:eastAsia="tr-TR"/>
              </w:rPr>
              <w:t>,</w:t>
            </w:r>
            <w:r w:rsidRPr="00EC23F2">
              <w:rPr>
                <w:rFonts w:ascii="Calibri" w:eastAsia="Times New Roman" w:hAnsi="Calibri" w:cs="Times New Roman"/>
                <w:noProof w:val="0"/>
                <w:color w:val="000000"/>
                <w:lang w:val="tr-TR" w:eastAsia="tr-TR"/>
              </w:rPr>
              <w:t>1</w:t>
            </w:r>
          </w:p>
        </w:tc>
        <w:tc>
          <w:tcPr>
            <w:tcW w:w="993" w:type="dxa"/>
            <w:shd w:val="clear" w:color="auto" w:fill="auto"/>
            <w:noWrap/>
            <w:vAlign w:val="bottom"/>
            <w:hideMark/>
          </w:tcPr>
          <w:p w:rsidR="00374512" w:rsidRPr="00EC23F2" w:rsidRDefault="00374512" w:rsidP="00F27189">
            <w:pPr>
              <w:spacing w:after="0" w:line="240" w:lineRule="auto"/>
              <w:jc w:val="right"/>
              <w:rPr>
                <w:rFonts w:ascii="Calibri" w:eastAsia="Times New Roman" w:hAnsi="Calibri" w:cs="Times New Roman"/>
                <w:noProof w:val="0"/>
                <w:color w:val="000000"/>
                <w:lang w:val="tr-TR" w:eastAsia="tr-TR"/>
              </w:rPr>
            </w:pPr>
            <w:r w:rsidRPr="00EC23F2">
              <w:rPr>
                <w:rFonts w:ascii="Calibri" w:eastAsia="Times New Roman" w:hAnsi="Calibri" w:cs="Times New Roman"/>
                <w:noProof w:val="0"/>
                <w:color w:val="000000"/>
                <w:lang w:val="tr-TR" w:eastAsia="tr-TR"/>
              </w:rPr>
              <w:t>30</w:t>
            </w:r>
            <w:r>
              <w:rPr>
                <w:rFonts w:ascii="Calibri" w:eastAsia="Times New Roman" w:hAnsi="Calibri" w:cs="Times New Roman"/>
                <w:noProof w:val="0"/>
                <w:color w:val="000000"/>
                <w:lang w:val="tr-TR" w:eastAsia="tr-TR"/>
              </w:rPr>
              <w:t>8</w:t>
            </w:r>
          </w:p>
        </w:tc>
        <w:tc>
          <w:tcPr>
            <w:tcW w:w="1134" w:type="dxa"/>
            <w:shd w:val="clear" w:color="auto" w:fill="auto"/>
            <w:noWrap/>
            <w:vAlign w:val="bottom"/>
            <w:hideMark/>
          </w:tcPr>
          <w:p w:rsidR="00374512" w:rsidRPr="00EC23F2" w:rsidRDefault="00374512" w:rsidP="00F27189">
            <w:pPr>
              <w:spacing w:after="0" w:line="240" w:lineRule="auto"/>
              <w:jc w:val="right"/>
              <w:rPr>
                <w:rFonts w:ascii="Calibri" w:eastAsia="Times New Roman" w:hAnsi="Calibri" w:cs="Times New Roman"/>
                <w:noProof w:val="0"/>
                <w:color w:val="000000"/>
                <w:lang w:val="tr-TR" w:eastAsia="tr-TR"/>
              </w:rPr>
            </w:pPr>
            <w:r w:rsidRPr="00EC23F2">
              <w:rPr>
                <w:rFonts w:ascii="Calibri" w:eastAsia="Times New Roman" w:hAnsi="Calibri" w:cs="Times New Roman"/>
                <w:noProof w:val="0"/>
                <w:color w:val="000000"/>
                <w:lang w:val="tr-TR" w:eastAsia="tr-TR"/>
              </w:rPr>
              <w:t>7</w:t>
            </w:r>
            <w:r>
              <w:rPr>
                <w:rFonts w:ascii="Calibri" w:eastAsia="Times New Roman" w:hAnsi="Calibri" w:cs="Times New Roman"/>
                <w:noProof w:val="0"/>
                <w:color w:val="000000"/>
                <w:lang w:val="tr-TR" w:eastAsia="tr-TR"/>
              </w:rPr>
              <w:t>,</w:t>
            </w:r>
            <w:r w:rsidRPr="00EC23F2">
              <w:rPr>
                <w:rFonts w:ascii="Calibri" w:eastAsia="Times New Roman" w:hAnsi="Calibri" w:cs="Times New Roman"/>
                <w:noProof w:val="0"/>
                <w:color w:val="000000"/>
                <w:lang w:val="tr-TR" w:eastAsia="tr-TR"/>
              </w:rPr>
              <w:t>5</w:t>
            </w:r>
          </w:p>
        </w:tc>
        <w:tc>
          <w:tcPr>
            <w:tcW w:w="1229" w:type="dxa"/>
            <w:vAlign w:val="bottom"/>
          </w:tcPr>
          <w:p w:rsidR="00374512" w:rsidRPr="00EC23F2" w:rsidRDefault="00374512" w:rsidP="003F270D">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15,9</w:t>
            </w:r>
          </w:p>
        </w:tc>
      </w:tr>
      <w:tr w:rsidR="00374512" w:rsidRPr="00EC23F2" w:rsidTr="003F270D">
        <w:trPr>
          <w:trHeight w:val="321"/>
        </w:trPr>
        <w:tc>
          <w:tcPr>
            <w:tcW w:w="1798" w:type="dxa"/>
            <w:shd w:val="clear" w:color="auto" w:fill="auto"/>
            <w:noWrap/>
            <w:vAlign w:val="bottom"/>
            <w:hideMark/>
          </w:tcPr>
          <w:p w:rsidR="00374512" w:rsidRPr="00B755D9" w:rsidRDefault="00374512" w:rsidP="00012B20">
            <w:pPr>
              <w:spacing w:after="0" w:line="240" w:lineRule="auto"/>
              <w:jc w:val="right"/>
              <w:rPr>
                <w:rFonts w:ascii="Calibri" w:eastAsia="Times New Roman" w:hAnsi="Calibri" w:cs="Times New Roman"/>
                <w:noProof w:val="0"/>
                <w:color w:val="000000"/>
                <w:sz w:val="20"/>
                <w:szCs w:val="20"/>
                <w:lang w:val="tr-TR" w:eastAsia="tr-TR"/>
              </w:rPr>
            </w:pPr>
            <w:r w:rsidRPr="00B755D9">
              <w:rPr>
                <w:rFonts w:ascii="Calibri" w:eastAsia="Times New Roman" w:hAnsi="Calibri" w:cs="Times New Roman"/>
                <w:noProof w:val="0"/>
                <w:color w:val="000000"/>
                <w:sz w:val="20"/>
                <w:szCs w:val="20"/>
                <w:lang w:val="tr-TR" w:eastAsia="tr-TR"/>
              </w:rPr>
              <w:t>25-34 yaş</w:t>
            </w:r>
          </w:p>
        </w:tc>
        <w:tc>
          <w:tcPr>
            <w:tcW w:w="1037" w:type="dxa"/>
            <w:shd w:val="clear" w:color="auto" w:fill="auto"/>
            <w:noWrap/>
            <w:vAlign w:val="bottom"/>
            <w:hideMark/>
          </w:tcPr>
          <w:p w:rsidR="00374512" w:rsidRPr="00EC23F2" w:rsidRDefault="00374512" w:rsidP="0011795F">
            <w:pPr>
              <w:spacing w:after="0" w:line="240" w:lineRule="auto"/>
              <w:jc w:val="right"/>
              <w:rPr>
                <w:rFonts w:ascii="Calibri" w:eastAsia="Times New Roman" w:hAnsi="Calibri" w:cs="Times New Roman"/>
                <w:noProof w:val="0"/>
                <w:color w:val="000000"/>
                <w:lang w:val="tr-TR" w:eastAsia="tr-TR"/>
              </w:rPr>
            </w:pPr>
            <w:r w:rsidRPr="00EC23F2">
              <w:rPr>
                <w:rFonts w:ascii="Calibri" w:eastAsia="Times New Roman" w:hAnsi="Calibri" w:cs="Times New Roman"/>
                <w:noProof w:val="0"/>
                <w:color w:val="000000"/>
                <w:lang w:val="tr-TR" w:eastAsia="tr-TR"/>
              </w:rPr>
              <w:t>2</w:t>
            </w:r>
            <w:r>
              <w:rPr>
                <w:rFonts w:ascii="Calibri" w:eastAsia="Times New Roman" w:hAnsi="Calibri" w:cs="Times New Roman"/>
                <w:noProof w:val="0"/>
                <w:color w:val="000000"/>
                <w:lang w:val="tr-TR" w:eastAsia="tr-TR"/>
              </w:rPr>
              <w:t>.</w:t>
            </w:r>
            <w:r w:rsidRPr="00EC23F2">
              <w:rPr>
                <w:rFonts w:ascii="Calibri" w:eastAsia="Times New Roman" w:hAnsi="Calibri" w:cs="Times New Roman"/>
                <w:noProof w:val="0"/>
                <w:color w:val="000000"/>
                <w:lang w:val="tr-TR" w:eastAsia="tr-TR"/>
              </w:rPr>
              <w:t>128</w:t>
            </w:r>
          </w:p>
        </w:tc>
        <w:tc>
          <w:tcPr>
            <w:tcW w:w="1134" w:type="dxa"/>
            <w:shd w:val="clear" w:color="auto" w:fill="auto"/>
            <w:noWrap/>
            <w:vAlign w:val="bottom"/>
            <w:hideMark/>
          </w:tcPr>
          <w:p w:rsidR="00374512" w:rsidRPr="00EC23F2" w:rsidRDefault="00374512" w:rsidP="0011795F">
            <w:pPr>
              <w:spacing w:after="0" w:line="240" w:lineRule="auto"/>
              <w:jc w:val="right"/>
              <w:rPr>
                <w:rFonts w:ascii="Calibri" w:eastAsia="Times New Roman" w:hAnsi="Calibri" w:cs="Times New Roman"/>
                <w:noProof w:val="0"/>
                <w:color w:val="000000"/>
                <w:lang w:val="tr-TR" w:eastAsia="tr-TR"/>
              </w:rPr>
            </w:pPr>
            <w:r w:rsidRPr="00EC23F2">
              <w:rPr>
                <w:rFonts w:ascii="Calibri" w:eastAsia="Times New Roman" w:hAnsi="Calibri" w:cs="Times New Roman"/>
                <w:noProof w:val="0"/>
                <w:color w:val="000000"/>
                <w:lang w:val="tr-TR" w:eastAsia="tr-TR"/>
              </w:rPr>
              <w:t>38</w:t>
            </w:r>
            <w:r>
              <w:rPr>
                <w:rFonts w:ascii="Calibri" w:eastAsia="Times New Roman" w:hAnsi="Calibri" w:cs="Times New Roman"/>
                <w:noProof w:val="0"/>
                <w:color w:val="000000"/>
                <w:lang w:val="tr-TR" w:eastAsia="tr-TR"/>
              </w:rPr>
              <w:t>,</w:t>
            </w:r>
            <w:r w:rsidRPr="00EC23F2">
              <w:rPr>
                <w:rFonts w:ascii="Calibri" w:eastAsia="Times New Roman" w:hAnsi="Calibri" w:cs="Times New Roman"/>
                <w:noProof w:val="0"/>
                <w:color w:val="000000"/>
                <w:lang w:val="tr-TR" w:eastAsia="tr-TR"/>
              </w:rPr>
              <w:t>8</w:t>
            </w:r>
          </w:p>
        </w:tc>
        <w:tc>
          <w:tcPr>
            <w:tcW w:w="993" w:type="dxa"/>
            <w:shd w:val="clear" w:color="auto" w:fill="auto"/>
            <w:noWrap/>
            <w:vAlign w:val="bottom"/>
            <w:hideMark/>
          </w:tcPr>
          <w:p w:rsidR="00374512" w:rsidRPr="00EC23F2" w:rsidRDefault="00374512" w:rsidP="00F27189">
            <w:pPr>
              <w:spacing w:after="0" w:line="240" w:lineRule="auto"/>
              <w:jc w:val="right"/>
              <w:rPr>
                <w:rFonts w:ascii="Calibri" w:eastAsia="Times New Roman" w:hAnsi="Calibri" w:cs="Times New Roman"/>
                <w:noProof w:val="0"/>
                <w:color w:val="000000"/>
                <w:lang w:val="tr-TR" w:eastAsia="tr-TR"/>
              </w:rPr>
            </w:pPr>
            <w:r w:rsidRPr="00EC23F2">
              <w:rPr>
                <w:rFonts w:ascii="Calibri" w:eastAsia="Times New Roman" w:hAnsi="Calibri" w:cs="Times New Roman"/>
                <w:noProof w:val="0"/>
                <w:color w:val="000000"/>
                <w:lang w:val="tr-TR" w:eastAsia="tr-TR"/>
              </w:rPr>
              <w:t>1</w:t>
            </w:r>
            <w:r>
              <w:rPr>
                <w:rFonts w:ascii="Calibri" w:eastAsia="Times New Roman" w:hAnsi="Calibri" w:cs="Times New Roman"/>
                <w:noProof w:val="0"/>
                <w:color w:val="000000"/>
                <w:lang w:val="tr-TR" w:eastAsia="tr-TR"/>
              </w:rPr>
              <w:t>.</w:t>
            </w:r>
            <w:r w:rsidRPr="00EC23F2">
              <w:rPr>
                <w:rFonts w:ascii="Calibri" w:eastAsia="Times New Roman" w:hAnsi="Calibri" w:cs="Times New Roman"/>
                <w:noProof w:val="0"/>
                <w:color w:val="000000"/>
                <w:lang w:val="tr-TR" w:eastAsia="tr-TR"/>
              </w:rPr>
              <w:t>875</w:t>
            </w:r>
          </w:p>
        </w:tc>
        <w:tc>
          <w:tcPr>
            <w:tcW w:w="1134" w:type="dxa"/>
            <w:shd w:val="clear" w:color="auto" w:fill="auto"/>
            <w:noWrap/>
            <w:vAlign w:val="bottom"/>
            <w:hideMark/>
          </w:tcPr>
          <w:p w:rsidR="00374512" w:rsidRPr="00EC23F2" w:rsidRDefault="00374512" w:rsidP="00F27189">
            <w:pPr>
              <w:spacing w:after="0" w:line="240" w:lineRule="auto"/>
              <w:jc w:val="right"/>
              <w:rPr>
                <w:rFonts w:ascii="Calibri" w:eastAsia="Times New Roman" w:hAnsi="Calibri" w:cs="Times New Roman"/>
                <w:noProof w:val="0"/>
                <w:color w:val="000000"/>
                <w:lang w:val="tr-TR" w:eastAsia="tr-TR"/>
              </w:rPr>
            </w:pPr>
            <w:r w:rsidRPr="00EC23F2">
              <w:rPr>
                <w:rFonts w:ascii="Calibri" w:eastAsia="Times New Roman" w:hAnsi="Calibri" w:cs="Times New Roman"/>
                <w:noProof w:val="0"/>
                <w:color w:val="000000"/>
                <w:lang w:val="tr-TR" w:eastAsia="tr-TR"/>
              </w:rPr>
              <w:t>45</w:t>
            </w:r>
            <w:r>
              <w:rPr>
                <w:rFonts w:ascii="Calibri" w:eastAsia="Times New Roman" w:hAnsi="Calibri" w:cs="Times New Roman"/>
                <w:noProof w:val="0"/>
                <w:color w:val="000000"/>
                <w:lang w:val="tr-TR" w:eastAsia="tr-TR"/>
              </w:rPr>
              <w:t>,</w:t>
            </w:r>
            <w:r w:rsidRPr="00EC23F2">
              <w:rPr>
                <w:rFonts w:ascii="Calibri" w:eastAsia="Times New Roman" w:hAnsi="Calibri" w:cs="Times New Roman"/>
                <w:noProof w:val="0"/>
                <w:color w:val="000000"/>
                <w:lang w:val="tr-TR" w:eastAsia="tr-TR"/>
              </w:rPr>
              <w:t>8</w:t>
            </w:r>
          </w:p>
        </w:tc>
        <w:tc>
          <w:tcPr>
            <w:tcW w:w="1229" w:type="dxa"/>
            <w:vAlign w:val="bottom"/>
          </w:tcPr>
          <w:p w:rsidR="00374512" w:rsidRPr="00EC23F2" w:rsidRDefault="00374512" w:rsidP="003F270D">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41,8</w:t>
            </w:r>
          </w:p>
        </w:tc>
      </w:tr>
      <w:tr w:rsidR="00374512" w:rsidRPr="00EC23F2" w:rsidTr="003F270D">
        <w:trPr>
          <w:trHeight w:val="321"/>
        </w:trPr>
        <w:tc>
          <w:tcPr>
            <w:tcW w:w="1798" w:type="dxa"/>
            <w:shd w:val="clear" w:color="auto" w:fill="auto"/>
            <w:noWrap/>
            <w:vAlign w:val="bottom"/>
            <w:hideMark/>
          </w:tcPr>
          <w:p w:rsidR="00374512" w:rsidRPr="00B755D9" w:rsidRDefault="00374512" w:rsidP="00012B20">
            <w:pPr>
              <w:spacing w:after="0" w:line="240" w:lineRule="auto"/>
              <w:jc w:val="right"/>
              <w:rPr>
                <w:rFonts w:ascii="Calibri" w:eastAsia="Times New Roman" w:hAnsi="Calibri" w:cs="Times New Roman"/>
                <w:noProof w:val="0"/>
                <w:color w:val="000000"/>
                <w:sz w:val="20"/>
                <w:szCs w:val="20"/>
                <w:lang w:val="tr-TR" w:eastAsia="tr-TR"/>
              </w:rPr>
            </w:pPr>
            <w:r w:rsidRPr="00B755D9">
              <w:rPr>
                <w:rFonts w:ascii="Calibri" w:eastAsia="Times New Roman" w:hAnsi="Calibri" w:cs="Times New Roman"/>
                <w:noProof w:val="0"/>
                <w:color w:val="000000"/>
                <w:sz w:val="20"/>
                <w:szCs w:val="20"/>
                <w:lang w:val="tr-TR" w:eastAsia="tr-TR"/>
              </w:rPr>
              <w:t>35-44 yaş</w:t>
            </w:r>
          </w:p>
        </w:tc>
        <w:tc>
          <w:tcPr>
            <w:tcW w:w="1037" w:type="dxa"/>
            <w:shd w:val="clear" w:color="auto" w:fill="auto"/>
            <w:noWrap/>
            <w:vAlign w:val="bottom"/>
            <w:hideMark/>
          </w:tcPr>
          <w:p w:rsidR="00374512" w:rsidRPr="00EC23F2" w:rsidRDefault="00374512" w:rsidP="0011795F">
            <w:pPr>
              <w:spacing w:after="0" w:line="240" w:lineRule="auto"/>
              <w:jc w:val="right"/>
              <w:rPr>
                <w:rFonts w:ascii="Calibri" w:eastAsia="Times New Roman" w:hAnsi="Calibri" w:cs="Times New Roman"/>
                <w:noProof w:val="0"/>
                <w:color w:val="000000"/>
                <w:lang w:val="tr-TR" w:eastAsia="tr-TR"/>
              </w:rPr>
            </w:pPr>
            <w:r w:rsidRPr="00EC23F2">
              <w:rPr>
                <w:rFonts w:ascii="Calibri" w:eastAsia="Times New Roman" w:hAnsi="Calibri" w:cs="Times New Roman"/>
                <w:noProof w:val="0"/>
                <w:color w:val="000000"/>
                <w:lang w:val="tr-TR" w:eastAsia="tr-TR"/>
              </w:rPr>
              <w:t>1</w:t>
            </w:r>
            <w:r>
              <w:rPr>
                <w:rFonts w:ascii="Calibri" w:eastAsia="Times New Roman" w:hAnsi="Calibri" w:cs="Times New Roman"/>
                <w:noProof w:val="0"/>
                <w:color w:val="000000"/>
                <w:lang w:val="tr-TR" w:eastAsia="tr-TR"/>
              </w:rPr>
              <w:t>.</w:t>
            </w:r>
            <w:r w:rsidRPr="00EC23F2">
              <w:rPr>
                <w:rFonts w:ascii="Calibri" w:eastAsia="Times New Roman" w:hAnsi="Calibri" w:cs="Times New Roman"/>
                <w:noProof w:val="0"/>
                <w:color w:val="000000"/>
                <w:lang w:val="tr-TR" w:eastAsia="tr-TR"/>
              </w:rPr>
              <w:t>410</w:t>
            </w:r>
          </w:p>
        </w:tc>
        <w:tc>
          <w:tcPr>
            <w:tcW w:w="1134" w:type="dxa"/>
            <w:shd w:val="clear" w:color="auto" w:fill="auto"/>
            <w:noWrap/>
            <w:vAlign w:val="bottom"/>
            <w:hideMark/>
          </w:tcPr>
          <w:p w:rsidR="00374512" w:rsidRPr="00EC23F2" w:rsidRDefault="00374512" w:rsidP="0011795F">
            <w:pPr>
              <w:spacing w:after="0" w:line="240" w:lineRule="auto"/>
              <w:jc w:val="right"/>
              <w:rPr>
                <w:rFonts w:ascii="Calibri" w:eastAsia="Times New Roman" w:hAnsi="Calibri" w:cs="Times New Roman"/>
                <w:noProof w:val="0"/>
                <w:color w:val="000000"/>
                <w:lang w:val="tr-TR" w:eastAsia="tr-TR"/>
              </w:rPr>
            </w:pPr>
            <w:r w:rsidRPr="00EC23F2">
              <w:rPr>
                <w:rFonts w:ascii="Calibri" w:eastAsia="Times New Roman" w:hAnsi="Calibri" w:cs="Times New Roman"/>
                <w:noProof w:val="0"/>
                <w:color w:val="000000"/>
                <w:lang w:val="tr-TR" w:eastAsia="tr-TR"/>
              </w:rPr>
              <w:t>25</w:t>
            </w:r>
            <w:r>
              <w:rPr>
                <w:rFonts w:ascii="Calibri" w:eastAsia="Times New Roman" w:hAnsi="Calibri" w:cs="Times New Roman"/>
                <w:noProof w:val="0"/>
                <w:color w:val="000000"/>
                <w:lang w:val="tr-TR" w:eastAsia="tr-TR"/>
              </w:rPr>
              <w:t>,</w:t>
            </w:r>
            <w:r w:rsidRPr="00EC23F2">
              <w:rPr>
                <w:rFonts w:ascii="Calibri" w:eastAsia="Times New Roman" w:hAnsi="Calibri" w:cs="Times New Roman"/>
                <w:noProof w:val="0"/>
                <w:color w:val="000000"/>
                <w:lang w:val="tr-TR" w:eastAsia="tr-TR"/>
              </w:rPr>
              <w:t>7</w:t>
            </w:r>
          </w:p>
        </w:tc>
        <w:tc>
          <w:tcPr>
            <w:tcW w:w="993" w:type="dxa"/>
            <w:shd w:val="clear" w:color="auto" w:fill="auto"/>
            <w:noWrap/>
            <w:vAlign w:val="bottom"/>
            <w:hideMark/>
          </w:tcPr>
          <w:p w:rsidR="00374512" w:rsidRPr="00EC23F2" w:rsidRDefault="00374512" w:rsidP="00F27189">
            <w:pPr>
              <w:spacing w:after="0" w:line="240" w:lineRule="auto"/>
              <w:jc w:val="right"/>
              <w:rPr>
                <w:rFonts w:ascii="Calibri" w:eastAsia="Times New Roman" w:hAnsi="Calibri" w:cs="Times New Roman"/>
                <w:noProof w:val="0"/>
                <w:color w:val="000000"/>
                <w:lang w:val="tr-TR" w:eastAsia="tr-TR"/>
              </w:rPr>
            </w:pPr>
            <w:r w:rsidRPr="00EC23F2">
              <w:rPr>
                <w:rFonts w:ascii="Calibri" w:eastAsia="Times New Roman" w:hAnsi="Calibri" w:cs="Times New Roman"/>
                <w:noProof w:val="0"/>
                <w:color w:val="000000"/>
                <w:lang w:val="tr-TR" w:eastAsia="tr-TR"/>
              </w:rPr>
              <w:t>1</w:t>
            </w:r>
            <w:r>
              <w:rPr>
                <w:rFonts w:ascii="Calibri" w:eastAsia="Times New Roman" w:hAnsi="Calibri" w:cs="Times New Roman"/>
                <w:noProof w:val="0"/>
                <w:color w:val="000000"/>
                <w:lang w:val="tr-TR" w:eastAsia="tr-TR"/>
              </w:rPr>
              <w:t>.</w:t>
            </w:r>
            <w:r w:rsidRPr="00EC23F2">
              <w:rPr>
                <w:rFonts w:ascii="Calibri" w:eastAsia="Times New Roman" w:hAnsi="Calibri" w:cs="Times New Roman"/>
                <w:noProof w:val="0"/>
                <w:color w:val="000000"/>
                <w:lang w:val="tr-TR" w:eastAsia="tr-TR"/>
              </w:rPr>
              <w:t>35</w:t>
            </w:r>
            <w:r>
              <w:rPr>
                <w:rFonts w:ascii="Calibri" w:eastAsia="Times New Roman" w:hAnsi="Calibri" w:cs="Times New Roman"/>
                <w:noProof w:val="0"/>
                <w:color w:val="000000"/>
                <w:lang w:val="tr-TR" w:eastAsia="tr-TR"/>
              </w:rPr>
              <w:t>7</w:t>
            </w:r>
          </w:p>
        </w:tc>
        <w:tc>
          <w:tcPr>
            <w:tcW w:w="1134" w:type="dxa"/>
            <w:shd w:val="clear" w:color="auto" w:fill="auto"/>
            <w:noWrap/>
            <w:vAlign w:val="bottom"/>
            <w:hideMark/>
          </w:tcPr>
          <w:p w:rsidR="00374512" w:rsidRPr="00EC23F2" w:rsidRDefault="00374512" w:rsidP="00F27189">
            <w:pPr>
              <w:spacing w:after="0" w:line="240" w:lineRule="auto"/>
              <w:jc w:val="right"/>
              <w:rPr>
                <w:rFonts w:ascii="Calibri" w:eastAsia="Times New Roman" w:hAnsi="Calibri" w:cs="Times New Roman"/>
                <w:noProof w:val="0"/>
                <w:color w:val="000000"/>
                <w:lang w:val="tr-TR" w:eastAsia="tr-TR"/>
              </w:rPr>
            </w:pPr>
            <w:r w:rsidRPr="00EC23F2">
              <w:rPr>
                <w:rFonts w:ascii="Calibri" w:eastAsia="Times New Roman" w:hAnsi="Calibri" w:cs="Times New Roman"/>
                <w:noProof w:val="0"/>
                <w:color w:val="000000"/>
                <w:lang w:val="tr-TR" w:eastAsia="tr-TR"/>
              </w:rPr>
              <w:t>33</w:t>
            </w:r>
            <w:r>
              <w:rPr>
                <w:rFonts w:ascii="Calibri" w:eastAsia="Times New Roman" w:hAnsi="Calibri" w:cs="Times New Roman"/>
                <w:noProof w:val="0"/>
                <w:color w:val="000000"/>
                <w:lang w:val="tr-TR" w:eastAsia="tr-TR"/>
              </w:rPr>
              <w:t>,</w:t>
            </w:r>
            <w:r w:rsidRPr="00EC23F2">
              <w:rPr>
                <w:rFonts w:ascii="Calibri" w:eastAsia="Times New Roman" w:hAnsi="Calibri" w:cs="Times New Roman"/>
                <w:noProof w:val="0"/>
                <w:color w:val="000000"/>
                <w:lang w:val="tr-TR" w:eastAsia="tr-TR"/>
              </w:rPr>
              <w:t>2</w:t>
            </w:r>
          </w:p>
        </w:tc>
        <w:tc>
          <w:tcPr>
            <w:tcW w:w="1229" w:type="dxa"/>
            <w:vAlign w:val="bottom"/>
          </w:tcPr>
          <w:p w:rsidR="00374512" w:rsidRPr="00EC23F2" w:rsidRDefault="00374512" w:rsidP="003F270D">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28,9</w:t>
            </w:r>
          </w:p>
        </w:tc>
      </w:tr>
      <w:tr w:rsidR="00374512" w:rsidRPr="00EC23F2" w:rsidTr="003F270D">
        <w:trPr>
          <w:trHeight w:val="321"/>
        </w:trPr>
        <w:tc>
          <w:tcPr>
            <w:tcW w:w="1798" w:type="dxa"/>
            <w:shd w:val="clear" w:color="auto" w:fill="auto"/>
            <w:noWrap/>
            <w:vAlign w:val="bottom"/>
            <w:hideMark/>
          </w:tcPr>
          <w:p w:rsidR="00374512" w:rsidRPr="00B755D9" w:rsidRDefault="00374512" w:rsidP="00012B20">
            <w:pPr>
              <w:spacing w:after="0" w:line="240" w:lineRule="auto"/>
              <w:jc w:val="right"/>
              <w:rPr>
                <w:rFonts w:ascii="Calibri" w:eastAsia="Times New Roman" w:hAnsi="Calibri" w:cs="Times New Roman"/>
                <w:noProof w:val="0"/>
                <w:color w:val="000000"/>
                <w:sz w:val="20"/>
                <w:szCs w:val="20"/>
                <w:lang w:val="tr-TR" w:eastAsia="tr-TR"/>
              </w:rPr>
            </w:pPr>
            <w:r w:rsidRPr="00B755D9">
              <w:rPr>
                <w:rFonts w:ascii="Calibri" w:eastAsia="Times New Roman" w:hAnsi="Calibri" w:cs="Times New Roman"/>
                <w:noProof w:val="0"/>
                <w:color w:val="000000"/>
                <w:sz w:val="20"/>
                <w:szCs w:val="20"/>
                <w:lang w:val="tr-TR" w:eastAsia="tr-TR"/>
              </w:rPr>
              <w:t>45-54 yaş</w:t>
            </w:r>
          </w:p>
        </w:tc>
        <w:tc>
          <w:tcPr>
            <w:tcW w:w="1037" w:type="dxa"/>
            <w:shd w:val="clear" w:color="auto" w:fill="auto"/>
            <w:noWrap/>
            <w:vAlign w:val="bottom"/>
            <w:hideMark/>
          </w:tcPr>
          <w:p w:rsidR="00374512" w:rsidRPr="00EC23F2" w:rsidRDefault="00374512" w:rsidP="0011795F">
            <w:pPr>
              <w:spacing w:after="0" w:line="240" w:lineRule="auto"/>
              <w:jc w:val="right"/>
              <w:rPr>
                <w:rFonts w:ascii="Calibri" w:eastAsia="Times New Roman" w:hAnsi="Calibri" w:cs="Times New Roman"/>
                <w:noProof w:val="0"/>
                <w:color w:val="000000"/>
                <w:lang w:val="tr-TR" w:eastAsia="tr-TR"/>
              </w:rPr>
            </w:pPr>
            <w:r w:rsidRPr="00EC23F2">
              <w:rPr>
                <w:rFonts w:ascii="Calibri" w:eastAsia="Times New Roman" w:hAnsi="Calibri" w:cs="Times New Roman"/>
                <w:noProof w:val="0"/>
                <w:color w:val="000000"/>
                <w:lang w:val="tr-TR" w:eastAsia="tr-TR"/>
              </w:rPr>
              <w:t>63</w:t>
            </w:r>
            <w:r>
              <w:rPr>
                <w:rFonts w:ascii="Calibri" w:eastAsia="Times New Roman" w:hAnsi="Calibri" w:cs="Times New Roman"/>
                <w:noProof w:val="0"/>
                <w:color w:val="000000"/>
                <w:lang w:val="tr-TR" w:eastAsia="tr-TR"/>
              </w:rPr>
              <w:t>4</w:t>
            </w:r>
          </w:p>
        </w:tc>
        <w:tc>
          <w:tcPr>
            <w:tcW w:w="1134" w:type="dxa"/>
            <w:shd w:val="clear" w:color="auto" w:fill="auto"/>
            <w:noWrap/>
            <w:vAlign w:val="bottom"/>
            <w:hideMark/>
          </w:tcPr>
          <w:p w:rsidR="00374512" w:rsidRPr="00EC23F2" w:rsidRDefault="00374512" w:rsidP="0011795F">
            <w:pPr>
              <w:spacing w:after="0" w:line="240" w:lineRule="auto"/>
              <w:jc w:val="right"/>
              <w:rPr>
                <w:rFonts w:ascii="Calibri" w:eastAsia="Times New Roman" w:hAnsi="Calibri" w:cs="Times New Roman"/>
                <w:noProof w:val="0"/>
                <w:color w:val="000000"/>
                <w:lang w:val="tr-TR" w:eastAsia="tr-TR"/>
              </w:rPr>
            </w:pPr>
            <w:r w:rsidRPr="00EC23F2">
              <w:rPr>
                <w:rFonts w:ascii="Calibri" w:eastAsia="Times New Roman" w:hAnsi="Calibri" w:cs="Times New Roman"/>
                <w:noProof w:val="0"/>
                <w:color w:val="000000"/>
                <w:lang w:val="tr-TR" w:eastAsia="tr-TR"/>
              </w:rPr>
              <w:t>11</w:t>
            </w:r>
            <w:r>
              <w:rPr>
                <w:rFonts w:ascii="Calibri" w:eastAsia="Times New Roman" w:hAnsi="Calibri" w:cs="Times New Roman"/>
                <w:noProof w:val="0"/>
                <w:color w:val="000000"/>
                <w:lang w:val="tr-TR" w:eastAsia="tr-TR"/>
              </w:rPr>
              <w:t>,</w:t>
            </w:r>
            <w:r w:rsidRPr="00EC23F2">
              <w:rPr>
                <w:rFonts w:ascii="Calibri" w:eastAsia="Times New Roman" w:hAnsi="Calibri" w:cs="Times New Roman"/>
                <w:noProof w:val="0"/>
                <w:color w:val="000000"/>
                <w:lang w:val="tr-TR" w:eastAsia="tr-TR"/>
              </w:rPr>
              <w:t>6</w:t>
            </w:r>
          </w:p>
        </w:tc>
        <w:tc>
          <w:tcPr>
            <w:tcW w:w="993" w:type="dxa"/>
            <w:shd w:val="clear" w:color="auto" w:fill="auto"/>
            <w:noWrap/>
            <w:vAlign w:val="bottom"/>
            <w:hideMark/>
          </w:tcPr>
          <w:p w:rsidR="00374512" w:rsidRPr="00EC23F2" w:rsidRDefault="00374512" w:rsidP="00F27189">
            <w:pPr>
              <w:spacing w:after="0" w:line="240" w:lineRule="auto"/>
              <w:jc w:val="right"/>
              <w:rPr>
                <w:rFonts w:ascii="Calibri" w:eastAsia="Times New Roman" w:hAnsi="Calibri" w:cs="Times New Roman"/>
                <w:noProof w:val="0"/>
                <w:color w:val="000000"/>
                <w:lang w:val="tr-TR" w:eastAsia="tr-TR"/>
              </w:rPr>
            </w:pPr>
            <w:r w:rsidRPr="00EC23F2">
              <w:rPr>
                <w:rFonts w:ascii="Calibri" w:eastAsia="Times New Roman" w:hAnsi="Calibri" w:cs="Times New Roman"/>
                <w:noProof w:val="0"/>
                <w:color w:val="000000"/>
                <w:lang w:val="tr-TR" w:eastAsia="tr-TR"/>
              </w:rPr>
              <w:t>4</w:t>
            </w:r>
            <w:r>
              <w:rPr>
                <w:rFonts w:ascii="Calibri" w:eastAsia="Times New Roman" w:hAnsi="Calibri" w:cs="Times New Roman"/>
                <w:noProof w:val="0"/>
                <w:color w:val="000000"/>
                <w:lang w:val="tr-TR" w:eastAsia="tr-TR"/>
              </w:rPr>
              <w:t>70</w:t>
            </w:r>
          </w:p>
        </w:tc>
        <w:tc>
          <w:tcPr>
            <w:tcW w:w="1134" w:type="dxa"/>
            <w:shd w:val="clear" w:color="auto" w:fill="auto"/>
            <w:noWrap/>
            <w:vAlign w:val="bottom"/>
            <w:hideMark/>
          </w:tcPr>
          <w:p w:rsidR="00374512" w:rsidRPr="00EC23F2" w:rsidRDefault="00374512" w:rsidP="00F27189">
            <w:pPr>
              <w:spacing w:after="0" w:line="240" w:lineRule="auto"/>
              <w:jc w:val="right"/>
              <w:rPr>
                <w:rFonts w:ascii="Calibri" w:eastAsia="Times New Roman" w:hAnsi="Calibri" w:cs="Times New Roman"/>
                <w:noProof w:val="0"/>
                <w:color w:val="000000"/>
                <w:lang w:val="tr-TR" w:eastAsia="tr-TR"/>
              </w:rPr>
            </w:pPr>
            <w:r w:rsidRPr="00EC23F2">
              <w:rPr>
                <w:rFonts w:ascii="Calibri" w:eastAsia="Times New Roman" w:hAnsi="Calibri" w:cs="Times New Roman"/>
                <w:noProof w:val="0"/>
                <w:color w:val="000000"/>
                <w:lang w:val="tr-TR" w:eastAsia="tr-TR"/>
              </w:rPr>
              <w:t>11</w:t>
            </w:r>
            <w:r>
              <w:rPr>
                <w:rFonts w:ascii="Calibri" w:eastAsia="Times New Roman" w:hAnsi="Calibri" w:cs="Times New Roman"/>
                <w:noProof w:val="0"/>
                <w:color w:val="000000"/>
                <w:lang w:val="tr-TR" w:eastAsia="tr-TR"/>
              </w:rPr>
              <w:t>,</w:t>
            </w:r>
            <w:r w:rsidRPr="00EC23F2">
              <w:rPr>
                <w:rFonts w:ascii="Calibri" w:eastAsia="Times New Roman" w:hAnsi="Calibri" w:cs="Times New Roman"/>
                <w:noProof w:val="0"/>
                <w:color w:val="000000"/>
                <w:lang w:val="tr-TR" w:eastAsia="tr-TR"/>
              </w:rPr>
              <w:t>5</w:t>
            </w:r>
          </w:p>
        </w:tc>
        <w:tc>
          <w:tcPr>
            <w:tcW w:w="1229" w:type="dxa"/>
            <w:vAlign w:val="bottom"/>
          </w:tcPr>
          <w:p w:rsidR="00374512" w:rsidRPr="00EC23F2" w:rsidRDefault="00374512" w:rsidP="003F270D">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11,5</w:t>
            </w:r>
          </w:p>
        </w:tc>
      </w:tr>
      <w:tr w:rsidR="00374512" w:rsidRPr="00EC23F2" w:rsidTr="003F270D">
        <w:trPr>
          <w:trHeight w:val="321"/>
        </w:trPr>
        <w:tc>
          <w:tcPr>
            <w:tcW w:w="1798" w:type="dxa"/>
            <w:shd w:val="clear" w:color="auto" w:fill="auto"/>
            <w:noWrap/>
            <w:vAlign w:val="bottom"/>
            <w:hideMark/>
          </w:tcPr>
          <w:p w:rsidR="00374512" w:rsidRPr="00B755D9" w:rsidRDefault="00374512" w:rsidP="00012B20">
            <w:pPr>
              <w:spacing w:after="0" w:line="240" w:lineRule="auto"/>
              <w:jc w:val="right"/>
              <w:rPr>
                <w:rFonts w:ascii="Calibri" w:eastAsia="Times New Roman" w:hAnsi="Calibri" w:cs="Times New Roman"/>
                <w:noProof w:val="0"/>
                <w:color w:val="000000"/>
                <w:sz w:val="20"/>
                <w:szCs w:val="20"/>
                <w:lang w:val="tr-TR" w:eastAsia="tr-TR"/>
              </w:rPr>
            </w:pPr>
            <w:r w:rsidRPr="00B755D9">
              <w:rPr>
                <w:rFonts w:ascii="Calibri" w:eastAsia="Times New Roman" w:hAnsi="Calibri" w:cs="Times New Roman"/>
                <w:noProof w:val="0"/>
                <w:color w:val="000000"/>
                <w:sz w:val="20"/>
                <w:szCs w:val="20"/>
                <w:lang w:val="tr-TR" w:eastAsia="tr-TR"/>
              </w:rPr>
              <w:t>55-64 yaş</w:t>
            </w:r>
          </w:p>
        </w:tc>
        <w:tc>
          <w:tcPr>
            <w:tcW w:w="1037" w:type="dxa"/>
            <w:shd w:val="clear" w:color="auto" w:fill="auto"/>
            <w:noWrap/>
            <w:vAlign w:val="bottom"/>
            <w:hideMark/>
          </w:tcPr>
          <w:p w:rsidR="00374512" w:rsidRPr="00EC23F2" w:rsidRDefault="00374512" w:rsidP="0011795F">
            <w:pPr>
              <w:spacing w:after="0" w:line="240" w:lineRule="auto"/>
              <w:jc w:val="right"/>
              <w:rPr>
                <w:rFonts w:ascii="Calibri" w:eastAsia="Times New Roman" w:hAnsi="Calibri" w:cs="Times New Roman"/>
                <w:noProof w:val="0"/>
                <w:color w:val="000000"/>
                <w:lang w:val="tr-TR" w:eastAsia="tr-TR"/>
              </w:rPr>
            </w:pPr>
            <w:r w:rsidRPr="00EC23F2">
              <w:rPr>
                <w:rFonts w:ascii="Calibri" w:eastAsia="Times New Roman" w:hAnsi="Calibri" w:cs="Times New Roman"/>
                <w:noProof w:val="0"/>
                <w:color w:val="000000"/>
                <w:lang w:val="tr-TR" w:eastAsia="tr-TR"/>
              </w:rPr>
              <w:t>9</w:t>
            </w:r>
            <w:r>
              <w:rPr>
                <w:rFonts w:ascii="Calibri" w:eastAsia="Times New Roman" w:hAnsi="Calibri" w:cs="Times New Roman"/>
                <w:noProof w:val="0"/>
                <w:color w:val="000000"/>
                <w:lang w:val="tr-TR" w:eastAsia="tr-TR"/>
              </w:rPr>
              <w:t>1</w:t>
            </w:r>
          </w:p>
        </w:tc>
        <w:tc>
          <w:tcPr>
            <w:tcW w:w="1134" w:type="dxa"/>
            <w:shd w:val="clear" w:color="auto" w:fill="auto"/>
            <w:noWrap/>
            <w:vAlign w:val="bottom"/>
            <w:hideMark/>
          </w:tcPr>
          <w:p w:rsidR="00374512" w:rsidRPr="00EC23F2" w:rsidRDefault="00374512" w:rsidP="0011795F">
            <w:pPr>
              <w:spacing w:after="0" w:line="240" w:lineRule="auto"/>
              <w:jc w:val="right"/>
              <w:rPr>
                <w:rFonts w:ascii="Calibri" w:eastAsia="Times New Roman" w:hAnsi="Calibri" w:cs="Times New Roman"/>
                <w:noProof w:val="0"/>
                <w:color w:val="000000"/>
                <w:lang w:val="tr-TR" w:eastAsia="tr-TR"/>
              </w:rPr>
            </w:pPr>
            <w:r w:rsidRPr="00EC23F2">
              <w:rPr>
                <w:rFonts w:ascii="Calibri" w:eastAsia="Times New Roman" w:hAnsi="Calibri" w:cs="Times New Roman"/>
                <w:noProof w:val="0"/>
                <w:color w:val="000000"/>
                <w:lang w:val="tr-TR" w:eastAsia="tr-TR"/>
              </w:rPr>
              <w:t>1</w:t>
            </w:r>
            <w:r>
              <w:rPr>
                <w:rFonts w:ascii="Calibri" w:eastAsia="Times New Roman" w:hAnsi="Calibri" w:cs="Times New Roman"/>
                <w:noProof w:val="0"/>
                <w:color w:val="000000"/>
                <w:lang w:val="tr-TR" w:eastAsia="tr-TR"/>
              </w:rPr>
              <w:t>,</w:t>
            </w:r>
            <w:r w:rsidRPr="00EC23F2">
              <w:rPr>
                <w:rFonts w:ascii="Calibri" w:eastAsia="Times New Roman" w:hAnsi="Calibri" w:cs="Times New Roman"/>
                <w:noProof w:val="0"/>
                <w:color w:val="000000"/>
                <w:lang w:val="tr-TR" w:eastAsia="tr-TR"/>
              </w:rPr>
              <w:t>7</w:t>
            </w:r>
          </w:p>
        </w:tc>
        <w:tc>
          <w:tcPr>
            <w:tcW w:w="993" w:type="dxa"/>
            <w:shd w:val="clear" w:color="auto" w:fill="auto"/>
            <w:noWrap/>
            <w:vAlign w:val="bottom"/>
            <w:hideMark/>
          </w:tcPr>
          <w:p w:rsidR="00374512" w:rsidRPr="00EC23F2" w:rsidRDefault="00374512" w:rsidP="00F27189">
            <w:pPr>
              <w:spacing w:after="0" w:line="240" w:lineRule="auto"/>
              <w:jc w:val="right"/>
              <w:rPr>
                <w:rFonts w:ascii="Calibri" w:eastAsia="Times New Roman" w:hAnsi="Calibri" w:cs="Times New Roman"/>
                <w:noProof w:val="0"/>
                <w:color w:val="000000"/>
                <w:lang w:val="tr-TR" w:eastAsia="tr-TR"/>
              </w:rPr>
            </w:pPr>
            <w:r w:rsidRPr="00EC23F2">
              <w:rPr>
                <w:rFonts w:ascii="Calibri" w:eastAsia="Times New Roman" w:hAnsi="Calibri" w:cs="Times New Roman"/>
                <w:noProof w:val="0"/>
                <w:color w:val="000000"/>
                <w:lang w:val="tr-TR" w:eastAsia="tr-TR"/>
              </w:rPr>
              <w:t>75</w:t>
            </w:r>
          </w:p>
        </w:tc>
        <w:tc>
          <w:tcPr>
            <w:tcW w:w="1134" w:type="dxa"/>
            <w:shd w:val="clear" w:color="auto" w:fill="auto"/>
            <w:noWrap/>
            <w:vAlign w:val="bottom"/>
            <w:hideMark/>
          </w:tcPr>
          <w:p w:rsidR="00374512" w:rsidRPr="00EC23F2" w:rsidRDefault="00374512" w:rsidP="00F27189">
            <w:pPr>
              <w:spacing w:after="0" w:line="240" w:lineRule="auto"/>
              <w:jc w:val="right"/>
              <w:rPr>
                <w:rFonts w:ascii="Calibri" w:eastAsia="Times New Roman" w:hAnsi="Calibri" w:cs="Times New Roman"/>
                <w:noProof w:val="0"/>
                <w:color w:val="000000"/>
                <w:lang w:val="tr-TR" w:eastAsia="tr-TR"/>
              </w:rPr>
            </w:pPr>
            <w:r w:rsidRPr="00EC23F2">
              <w:rPr>
                <w:rFonts w:ascii="Calibri" w:eastAsia="Times New Roman" w:hAnsi="Calibri" w:cs="Times New Roman"/>
                <w:noProof w:val="0"/>
                <w:color w:val="000000"/>
                <w:lang w:val="tr-TR" w:eastAsia="tr-TR"/>
              </w:rPr>
              <w:t>1</w:t>
            </w:r>
            <w:r>
              <w:rPr>
                <w:rFonts w:ascii="Calibri" w:eastAsia="Times New Roman" w:hAnsi="Calibri" w:cs="Times New Roman"/>
                <w:noProof w:val="0"/>
                <w:color w:val="000000"/>
                <w:lang w:val="tr-TR" w:eastAsia="tr-TR"/>
              </w:rPr>
              <w:t>,</w:t>
            </w:r>
            <w:r w:rsidRPr="00EC23F2">
              <w:rPr>
                <w:rFonts w:ascii="Calibri" w:eastAsia="Times New Roman" w:hAnsi="Calibri" w:cs="Times New Roman"/>
                <w:noProof w:val="0"/>
                <w:color w:val="000000"/>
                <w:lang w:val="tr-TR" w:eastAsia="tr-TR"/>
              </w:rPr>
              <w:t>8</w:t>
            </w:r>
          </w:p>
        </w:tc>
        <w:tc>
          <w:tcPr>
            <w:tcW w:w="1229" w:type="dxa"/>
            <w:vAlign w:val="bottom"/>
          </w:tcPr>
          <w:p w:rsidR="00374512" w:rsidRPr="00EC23F2" w:rsidRDefault="00374512" w:rsidP="003F270D">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1,7</w:t>
            </w:r>
          </w:p>
        </w:tc>
      </w:tr>
      <w:tr w:rsidR="00374512" w:rsidRPr="00EC23F2" w:rsidTr="003F270D">
        <w:trPr>
          <w:trHeight w:val="321"/>
        </w:trPr>
        <w:tc>
          <w:tcPr>
            <w:tcW w:w="1798" w:type="dxa"/>
            <w:shd w:val="clear" w:color="auto" w:fill="auto"/>
            <w:noWrap/>
            <w:vAlign w:val="bottom"/>
            <w:hideMark/>
          </w:tcPr>
          <w:p w:rsidR="00374512" w:rsidRPr="00B755D9" w:rsidRDefault="00374512" w:rsidP="00012B20">
            <w:pPr>
              <w:spacing w:after="0" w:line="240" w:lineRule="auto"/>
              <w:jc w:val="right"/>
              <w:rPr>
                <w:rFonts w:ascii="Calibri" w:eastAsia="Times New Roman" w:hAnsi="Calibri" w:cs="Times New Roman"/>
                <w:noProof w:val="0"/>
                <w:color w:val="000000"/>
                <w:sz w:val="20"/>
                <w:szCs w:val="20"/>
                <w:lang w:val="tr-TR" w:eastAsia="tr-TR"/>
              </w:rPr>
            </w:pPr>
            <w:r w:rsidRPr="00B755D9">
              <w:rPr>
                <w:rFonts w:ascii="Calibri" w:eastAsia="Times New Roman" w:hAnsi="Calibri" w:cs="Times New Roman"/>
                <w:noProof w:val="0"/>
                <w:color w:val="000000"/>
                <w:sz w:val="20"/>
                <w:szCs w:val="20"/>
                <w:lang w:val="tr-TR" w:eastAsia="tr-TR"/>
              </w:rPr>
              <w:t>64 üstü yaş</w:t>
            </w:r>
          </w:p>
        </w:tc>
        <w:tc>
          <w:tcPr>
            <w:tcW w:w="1037" w:type="dxa"/>
            <w:shd w:val="clear" w:color="auto" w:fill="auto"/>
            <w:noWrap/>
            <w:vAlign w:val="bottom"/>
            <w:hideMark/>
          </w:tcPr>
          <w:p w:rsidR="00374512" w:rsidRPr="00EC23F2" w:rsidRDefault="00374512" w:rsidP="0011795F">
            <w:pPr>
              <w:spacing w:after="0" w:line="240" w:lineRule="auto"/>
              <w:jc w:val="right"/>
              <w:rPr>
                <w:rFonts w:ascii="Calibri" w:eastAsia="Times New Roman" w:hAnsi="Calibri" w:cs="Times New Roman"/>
                <w:noProof w:val="0"/>
                <w:color w:val="000000"/>
                <w:lang w:val="tr-TR" w:eastAsia="tr-TR"/>
              </w:rPr>
            </w:pPr>
            <w:r w:rsidRPr="00EC23F2">
              <w:rPr>
                <w:rFonts w:ascii="Calibri" w:eastAsia="Times New Roman" w:hAnsi="Calibri" w:cs="Times New Roman"/>
                <w:noProof w:val="0"/>
                <w:color w:val="000000"/>
                <w:lang w:val="tr-TR" w:eastAsia="tr-TR"/>
              </w:rPr>
              <w:t>8</w:t>
            </w:r>
          </w:p>
        </w:tc>
        <w:tc>
          <w:tcPr>
            <w:tcW w:w="1134" w:type="dxa"/>
            <w:shd w:val="clear" w:color="auto" w:fill="auto"/>
            <w:noWrap/>
            <w:vAlign w:val="bottom"/>
            <w:hideMark/>
          </w:tcPr>
          <w:p w:rsidR="00374512" w:rsidRPr="00EC23F2" w:rsidRDefault="00374512" w:rsidP="0011795F">
            <w:pPr>
              <w:spacing w:after="0" w:line="240" w:lineRule="auto"/>
              <w:jc w:val="right"/>
              <w:rPr>
                <w:rFonts w:ascii="Calibri" w:eastAsia="Times New Roman" w:hAnsi="Calibri" w:cs="Times New Roman"/>
                <w:noProof w:val="0"/>
                <w:color w:val="000000"/>
                <w:lang w:val="tr-TR" w:eastAsia="tr-TR"/>
              </w:rPr>
            </w:pPr>
            <w:r w:rsidRPr="00EC23F2">
              <w:rPr>
                <w:rFonts w:ascii="Calibri" w:eastAsia="Times New Roman" w:hAnsi="Calibri" w:cs="Times New Roman"/>
                <w:noProof w:val="0"/>
                <w:color w:val="000000"/>
                <w:lang w:val="tr-TR" w:eastAsia="tr-TR"/>
              </w:rPr>
              <w:t>0</w:t>
            </w:r>
            <w:r>
              <w:rPr>
                <w:rFonts w:ascii="Calibri" w:eastAsia="Times New Roman" w:hAnsi="Calibri" w:cs="Times New Roman"/>
                <w:noProof w:val="0"/>
                <w:color w:val="000000"/>
                <w:lang w:val="tr-TR" w:eastAsia="tr-TR"/>
              </w:rPr>
              <w:t>,</w:t>
            </w:r>
            <w:r w:rsidRPr="00EC23F2">
              <w:rPr>
                <w:rFonts w:ascii="Calibri" w:eastAsia="Times New Roman" w:hAnsi="Calibri" w:cs="Times New Roman"/>
                <w:noProof w:val="0"/>
                <w:color w:val="000000"/>
                <w:lang w:val="tr-TR" w:eastAsia="tr-TR"/>
              </w:rPr>
              <w:t>2</w:t>
            </w:r>
          </w:p>
        </w:tc>
        <w:tc>
          <w:tcPr>
            <w:tcW w:w="993" w:type="dxa"/>
            <w:shd w:val="clear" w:color="auto" w:fill="auto"/>
            <w:noWrap/>
            <w:vAlign w:val="bottom"/>
            <w:hideMark/>
          </w:tcPr>
          <w:p w:rsidR="00374512" w:rsidRPr="00EC23F2" w:rsidRDefault="00374512" w:rsidP="00F27189">
            <w:pPr>
              <w:spacing w:after="0" w:line="240" w:lineRule="auto"/>
              <w:jc w:val="right"/>
              <w:rPr>
                <w:rFonts w:ascii="Calibri" w:eastAsia="Times New Roman" w:hAnsi="Calibri" w:cs="Times New Roman"/>
                <w:noProof w:val="0"/>
                <w:color w:val="000000"/>
                <w:lang w:val="tr-TR" w:eastAsia="tr-TR"/>
              </w:rPr>
            </w:pPr>
            <w:r w:rsidRPr="00EC23F2">
              <w:rPr>
                <w:rFonts w:ascii="Calibri" w:eastAsia="Times New Roman" w:hAnsi="Calibri" w:cs="Times New Roman"/>
                <w:noProof w:val="0"/>
                <w:color w:val="000000"/>
                <w:lang w:val="tr-TR" w:eastAsia="tr-TR"/>
              </w:rPr>
              <w:t>6</w:t>
            </w:r>
          </w:p>
        </w:tc>
        <w:tc>
          <w:tcPr>
            <w:tcW w:w="1134" w:type="dxa"/>
            <w:shd w:val="clear" w:color="auto" w:fill="auto"/>
            <w:noWrap/>
            <w:vAlign w:val="bottom"/>
            <w:hideMark/>
          </w:tcPr>
          <w:p w:rsidR="00374512" w:rsidRPr="00EC23F2" w:rsidRDefault="00374512" w:rsidP="00F27189">
            <w:pPr>
              <w:spacing w:after="0" w:line="240" w:lineRule="auto"/>
              <w:jc w:val="right"/>
              <w:rPr>
                <w:rFonts w:ascii="Calibri" w:eastAsia="Times New Roman" w:hAnsi="Calibri" w:cs="Times New Roman"/>
                <w:noProof w:val="0"/>
                <w:color w:val="000000"/>
                <w:lang w:val="tr-TR" w:eastAsia="tr-TR"/>
              </w:rPr>
            </w:pPr>
            <w:r w:rsidRPr="00EC23F2">
              <w:rPr>
                <w:rFonts w:ascii="Calibri" w:eastAsia="Times New Roman" w:hAnsi="Calibri" w:cs="Times New Roman"/>
                <w:noProof w:val="0"/>
                <w:color w:val="000000"/>
                <w:lang w:val="tr-TR" w:eastAsia="tr-TR"/>
              </w:rPr>
              <w:t>0</w:t>
            </w:r>
            <w:r>
              <w:rPr>
                <w:rFonts w:ascii="Calibri" w:eastAsia="Times New Roman" w:hAnsi="Calibri" w:cs="Times New Roman"/>
                <w:noProof w:val="0"/>
                <w:color w:val="000000"/>
                <w:lang w:val="tr-TR" w:eastAsia="tr-TR"/>
              </w:rPr>
              <w:t>,</w:t>
            </w:r>
            <w:r w:rsidRPr="00EC23F2">
              <w:rPr>
                <w:rFonts w:ascii="Calibri" w:eastAsia="Times New Roman" w:hAnsi="Calibri" w:cs="Times New Roman"/>
                <w:noProof w:val="0"/>
                <w:color w:val="000000"/>
                <w:lang w:val="tr-TR" w:eastAsia="tr-TR"/>
              </w:rPr>
              <w:t>2</w:t>
            </w:r>
          </w:p>
        </w:tc>
        <w:tc>
          <w:tcPr>
            <w:tcW w:w="1229" w:type="dxa"/>
            <w:vAlign w:val="bottom"/>
          </w:tcPr>
          <w:p w:rsidR="00374512" w:rsidRPr="00EC23F2" w:rsidRDefault="005B3D4D" w:rsidP="003F270D">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0,</w:t>
            </w:r>
            <w:r w:rsidR="00374512">
              <w:rPr>
                <w:rFonts w:ascii="Calibri" w:eastAsia="Times New Roman" w:hAnsi="Calibri" w:cs="Times New Roman"/>
                <w:noProof w:val="0"/>
                <w:color w:val="000000"/>
                <w:lang w:val="tr-TR" w:eastAsia="tr-TR"/>
              </w:rPr>
              <w:t>1</w:t>
            </w:r>
          </w:p>
        </w:tc>
      </w:tr>
      <w:tr w:rsidR="00374512" w:rsidRPr="00EC23F2" w:rsidTr="003F270D">
        <w:trPr>
          <w:trHeight w:val="321"/>
        </w:trPr>
        <w:tc>
          <w:tcPr>
            <w:tcW w:w="1798" w:type="dxa"/>
            <w:shd w:val="clear" w:color="auto" w:fill="auto"/>
            <w:noWrap/>
            <w:vAlign w:val="bottom"/>
            <w:hideMark/>
          </w:tcPr>
          <w:p w:rsidR="00374512" w:rsidRPr="00EC23F2" w:rsidRDefault="00374512" w:rsidP="00EC23F2">
            <w:pPr>
              <w:spacing w:after="0" w:line="240" w:lineRule="auto"/>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Türkiye</w:t>
            </w:r>
          </w:p>
        </w:tc>
        <w:tc>
          <w:tcPr>
            <w:tcW w:w="1037" w:type="dxa"/>
            <w:shd w:val="clear" w:color="auto" w:fill="auto"/>
            <w:noWrap/>
            <w:vAlign w:val="bottom"/>
            <w:hideMark/>
          </w:tcPr>
          <w:p w:rsidR="00374512" w:rsidRPr="00EC23F2" w:rsidRDefault="00374512" w:rsidP="0011795F">
            <w:pPr>
              <w:spacing w:after="0" w:line="240" w:lineRule="auto"/>
              <w:jc w:val="right"/>
              <w:rPr>
                <w:rFonts w:ascii="Calibri" w:eastAsia="Times New Roman" w:hAnsi="Calibri" w:cs="Times New Roman"/>
                <w:noProof w:val="0"/>
                <w:color w:val="000000"/>
                <w:lang w:val="tr-TR" w:eastAsia="tr-TR"/>
              </w:rPr>
            </w:pPr>
            <w:r w:rsidRPr="00EC23F2">
              <w:rPr>
                <w:rFonts w:ascii="Calibri" w:eastAsia="Times New Roman" w:hAnsi="Calibri" w:cs="Times New Roman"/>
                <w:noProof w:val="0"/>
                <w:color w:val="000000"/>
                <w:lang w:val="tr-TR" w:eastAsia="tr-TR"/>
              </w:rPr>
              <w:t>5</w:t>
            </w:r>
            <w:r>
              <w:rPr>
                <w:rFonts w:ascii="Calibri" w:eastAsia="Times New Roman" w:hAnsi="Calibri" w:cs="Times New Roman"/>
                <w:noProof w:val="0"/>
                <w:color w:val="000000"/>
                <w:lang w:val="tr-TR" w:eastAsia="tr-TR"/>
              </w:rPr>
              <w:t>.</w:t>
            </w:r>
            <w:r w:rsidRPr="00EC23F2">
              <w:rPr>
                <w:rFonts w:ascii="Calibri" w:eastAsia="Times New Roman" w:hAnsi="Calibri" w:cs="Times New Roman"/>
                <w:noProof w:val="0"/>
                <w:color w:val="000000"/>
                <w:lang w:val="tr-TR" w:eastAsia="tr-TR"/>
              </w:rPr>
              <w:t>484</w:t>
            </w:r>
          </w:p>
        </w:tc>
        <w:tc>
          <w:tcPr>
            <w:tcW w:w="1134" w:type="dxa"/>
            <w:shd w:val="clear" w:color="auto" w:fill="auto"/>
            <w:noWrap/>
            <w:vAlign w:val="bottom"/>
            <w:hideMark/>
          </w:tcPr>
          <w:p w:rsidR="00374512" w:rsidRPr="00EC23F2" w:rsidRDefault="00374512" w:rsidP="0011795F">
            <w:pPr>
              <w:spacing w:after="0" w:line="240" w:lineRule="auto"/>
              <w:jc w:val="right"/>
              <w:rPr>
                <w:rFonts w:ascii="Calibri" w:eastAsia="Times New Roman" w:hAnsi="Calibri" w:cs="Times New Roman"/>
                <w:noProof w:val="0"/>
                <w:color w:val="000000"/>
                <w:lang w:val="tr-TR" w:eastAsia="tr-TR"/>
              </w:rPr>
            </w:pPr>
            <w:r w:rsidRPr="00EC23F2">
              <w:rPr>
                <w:rFonts w:ascii="Calibri" w:eastAsia="Times New Roman" w:hAnsi="Calibri" w:cs="Times New Roman"/>
                <w:noProof w:val="0"/>
                <w:color w:val="000000"/>
                <w:lang w:val="tr-TR" w:eastAsia="tr-TR"/>
              </w:rPr>
              <w:t>100</w:t>
            </w:r>
            <w:r>
              <w:rPr>
                <w:rFonts w:ascii="Calibri" w:eastAsia="Times New Roman" w:hAnsi="Calibri" w:cs="Times New Roman"/>
                <w:noProof w:val="0"/>
                <w:color w:val="000000"/>
                <w:lang w:val="tr-TR" w:eastAsia="tr-TR"/>
              </w:rPr>
              <w:t>,</w:t>
            </w:r>
            <w:r w:rsidRPr="00EC23F2">
              <w:rPr>
                <w:rFonts w:ascii="Calibri" w:eastAsia="Times New Roman" w:hAnsi="Calibri" w:cs="Times New Roman"/>
                <w:noProof w:val="0"/>
                <w:color w:val="000000"/>
                <w:lang w:val="tr-TR" w:eastAsia="tr-TR"/>
              </w:rPr>
              <w:t>0</w:t>
            </w:r>
          </w:p>
        </w:tc>
        <w:tc>
          <w:tcPr>
            <w:tcW w:w="993" w:type="dxa"/>
            <w:shd w:val="clear" w:color="auto" w:fill="auto"/>
            <w:noWrap/>
            <w:vAlign w:val="bottom"/>
            <w:hideMark/>
          </w:tcPr>
          <w:p w:rsidR="00374512" w:rsidRPr="00EC23F2" w:rsidRDefault="00374512" w:rsidP="00F27189">
            <w:pPr>
              <w:spacing w:after="0" w:line="240" w:lineRule="auto"/>
              <w:jc w:val="right"/>
              <w:rPr>
                <w:rFonts w:ascii="Calibri" w:eastAsia="Times New Roman" w:hAnsi="Calibri" w:cs="Times New Roman"/>
                <w:noProof w:val="0"/>
                <w:color w:val="000000"/>
                <w:lang w:val="tr-TR" w:eastAsia="tr-TR"/>
              </w:rPr>
            </w:pPr>
            <w:r w:rsidRPr="00EC23F2">
              <w:rPr>
                <w:rFonts w:ascii="Calibri" w:eastAsia="Times New Roman" w:hAnsi="Calibri" w:cs="Times New Roman"/>
                <w:noProof w:val="0"/>
                <w:color w:val="000000"/>
                <w:lang w:val="tr-TR" w:eastAsia="tr-TR"/>
              </w:rPr>
              <w:t>4</w:t>
            </w:r>
            <w:r>
              <w:rPr>
                <w:rFonts w:ascii="Calibri" w:eastAsia="Times New Roman" w:hAnsi="Calibri" w:cs="Times New Roman"/>
                <w:noProof w:val="0"/>
                <w:color w:val="000000"/>
                <w:lang w:val="tr-TR" w:eastAsia="tr-TR"/>
              </w:rPr>
              <w:t>.</w:t>
            </w:r>
            <w:r w:rsidRPr="00EC23F2">
              <w:rPr>
                <w:rFonts w:ascii="Calibri" w:eastAsia="Times New Roman" w:hAnsi="Calibri" w:cs="Times New Roman"/>
                <w:noProof w:val="0"/>
                <w:color w:val="000000"/>
                <w:lang w:val="tr-TR" w:eastAsia="tr-TR"/>
              </w:rPr>
              <w:t>09</w:t>
            </w:r>
            <w:r>
              <w:rPr>
                <w:rFonts w:ascii="Calibri" w:eastAsia="Times New Roman" w:hAnsi="Calibri" w:cs="Times New Roman"/>
                <w:noProof w:val="0"/>
                <w:color w:val="000000"/>
                <w:lang w:val="tr-TR" w:eastAsia="tr-TR"/>
              </w:rPr>
              <w:t>1</w:t>
            </w:r>
          </w:p>
        </w:tc>
        <w:tc>
          <w:tcPr>
            <w:tcW w:w="1134" w:type="dxa"/>
            <w:shd w:val="clear" w:color="auto" w:fill="auto"/>
            <w:noWrap/>
            <w:vAlign w:val="bottom"/>
            <w:hideMark/>
          </w:tcPr>
          <w:p w:rsidR="00374512" w:rsidRPr="00EC23F2" w:rsidRDefault="00374512" w:rsidP="00F27189">
            <w:pPr>
              <w:spacing w:after="0" w:line="240" w:lineRule="auto"/>
              <w:jc w:val="right"/>
              <w:rPr>
                <w:rFonts w:ascii="Calibri" w:eastAsia="Times New Roman" w:hAnsi="Calibri" w:cs="Times New Roman"/>
                <w:noProof w:val="0"/>
                <w:color w:val="000000"/>
                <w:lang w:val="tr-TR" w:eastAsia="tr-TR"/>
              </w:rPr>
            </w:pPr>
            <w:r w:rsidRPr="00EC23F2">
              <w:rPr>
                <w:rFonts w:ascii="Calibri" w:eastAsia="Times New Roman" w:hAnsi="Calibri" w:cs="Times New Roman"/>
                <w:noProof w:val="0"/>
                <w:color w:val="000000"/>
                <w:lang w:val="tr-TR" w:eastAsia="tr-TR"/>
              </w:rPr>
              <w:t>100</w:t>
            </w:r>
            <w:r>
              <w:rPr>
                <w:rFonts w:ascii="Calibri" w:eastAsia="Times New Roman" w:hAnsi="Calibri" w:cs="Times New Roman"/>
                <w:noProof w:val="0"/>
                <w:color w:val="000000"/>
                <w:lang w:val="tr-TR" w:eastAsia="tr-TR"/>
              </w:rPr>
              <w:t>,</w:t>
            </w:r>
            <w:r w:rsidRPr="00EC23F2">
              <w:rPr>
                <w:rFonts w:ascii="Calibri" w:eastAsia="Times New Roman" w:hAnsi="Calibri" w:cs="Times New Roman"/>
                <w:noProof w:val="0"/>
                <w:color w:val="000000"/>
                <w:lang w:val="tr-TR" w:eastAsia="tr-TR"/>
              </w:rPr>
              <w:t>00</w:t>
            </w:r>
          </w:p>
        </w:tc>
        <w:tc>
          <w:tcPr>
            <w:tcW w:w="1229" w:type="dxa"/>
            <w:vAlign w:val="bottom"/>
          </w:tcPr>
          <w:p w:rsidR="00374512" w:rsidRPr="00EC23F2" w:rsidRDefault="00374512" w:rsidP="003F270D">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100,0</w:t>
            </w:r>
          </w:p>
        </w:tc>
      </w:tr>
    </w:tbl>
    <w:p w:rsidR="00EC23F2" w:rsidRDefault="002B6304" w:rsidP="0049679C">
      <w:pPr>
        <w:spacing w:after="0" w:line="240" w:lineRule="auto"/>
        <w:rPr>
          <w:sz w:val="20"/>
          <w:szCs w:val="20"/>
          <w:lang w:val="tr-TR"/>
        </w:rPr>
      </w:pPr>
      <w:r w:rsidRPr="00E5747D">
        <w:rPr>
          <w:sz w:val="20"/>
          <w:szCs w:val="20"/>
          <w:lang w:val="tr-TR"/>
        </w:rPr>
        <w:t>Kaynak: HİA 2013, Betam Kasım 2015 güncellemesi</w:t>
      </w:r>
    </w:p>
    <w:p w:rsidR="0049679C" w:rsidRDefault="0049679C" w:rsidP="0049679C">
      <w:pPr>
        <w:spacing w:after="0" w:line="240" w:lineRule="auto"/>
        <w:rPr>
          <w:sz w:val="20"/>
          <w:szCs w:val="20"/>
          <w:lang w:val="tr-TR"/>
        </w:rPr>
      </w:pPr>
    </w:p>
    <w:p w:rsidR="00F4656B" w:rsidRDefault="00061BB9" w:rsidP="00A44DE9">
      <w:pPr>
        <w:rPr>
          <w:lang w:val="tr-TR"/>
        </w:rPr>
      </w:pPr>
      <w:r>
        <w:fldChar w:fldCharType="begin"/>
      </w:r>
      <w:r>
        <w:instrText xml:space="preserve"> REF _Ref443040433 \h  \* MERGEFORMAT </w:instrText>
      </w:r>
      <w:r>
        <w:fldChar w:fldCharType="separate"/>
      </w:r>
      <w:r w:rsidR="005551C6" w:rsidRPr="00144382">
        <w:rPr>
          <w:lang w:val="tr-TR"/>
        </w:rPr>
        <w:t xml:space="preserve">Tablo </w:t>
      </w:r>
      <w:r w:rsidR="005551C6">
        <w:rPr>
          <w:lang w:val="tr-TR"/>
        </w:rPr>
        <w:t>2</w:t>
      </w:r>
      <w:r>
        <w:fldChar w:fldCharType="end"/>
      </w:r>
      <w:r w:rsidR="00A44DE9" w:rsidRPr="00144382">
        <w:rPr>
          <w:lang w:val="tr-TR"/>
        </w:rPr>
        <w:t>’d</w:t>
      </w:r>
      <w:r w:rsidR="00A44DE9" w:rsidRPr="00A44DE9">
        <w:rPr>
          <w:lang w:val="tr-TR"/>
        </w:rPr>
        <w:t xml:space="preserve">e </w:t>
      </w:r>
      <w:r w:rsidR="007A38FD">
        <w:rPr>
          <w:lang w:val="tr-TR"/>
        </w:rPr>
        <w:t xml:space="preserve">görüldüğü gibi </w:t>
      </w:r>
      <w:r w:rsidR="00C23D3C">
        <w:rPr>
          <w:lang w:val="tr-TR"/>
        </w:rPr>
        <w:t xml:space="preserve">1300TL ve üzeri ücret alanların arasında 15-24 yaş grubunda bulunanların payı yüzde 7,5 ile sınırlı iken, 1300TL’nin altında ücret alanlarda aynı yaş grubunun payı yüzde 22,1’i bulmaktadır. </w:t>
      </w:r>
    </w:p>
    <w:p w:rsidR="002E5851" w:rsidRPr="00A44DE9" w:rsidRDefault="00214AD9" w:rsidP="00A44DE9">
      <w:pPr>
        <w:rPr>
          <w:lang w:val="tr-TR"/>
        </w:rPr>
      </w:pPr>
      <w:r>
        <w:rPr>
          <w:lang w:val="tr-TR"/>
        </w:rPr>
        <w:lastRenderedPageBreak/>
        <w:fldChar w:fldCharType="begin"/>
      </w:r>
      <w:r w:rsidR="00F4656B">
        <w:rPr>
          <w:lang w:val="tr-TR"/>
        </w:rPr>
        <w:instrText xml:space="preserve"> REF _Ref442733683 \h </w:instrText>
      </w:r>
      <w:r>
        <w:rPr>
          <w:lang w:val="tr-TR"/>
        </w:rPr>
      </w:r>
      <w:r>
        <w:rPr>
          <w:lang w:val="tr-TR"/>
        </w:rPr>
        <w:fldChar w:fldCharType="separate"/>
      </w:r>
      <w:r w:rsidR="005551C6" w:rsidRPr="00522B5F">
        <w:t xml:space="preserve">Şekil </w:t>
      </w:r>
      <w:r w:rsidR="005551C6">
        <w:t>1</w:t>
      </w:r>
      <w:r>
        <w:rPr>
          <w:lang w:val="tr-TR"/>
        </w:rPr>
        <w:fldChar w:fldCharType="end"/>
      </w:r>
      <w:r w:rsidR="00F4656B">
        <w:rPr>
          <w:lang w:val="tr-TR"/>
        </w:rPr>
        <w:t xml:space="preserve">’de </w:t>
      </w:r>
      <w:r w:rsidR="00B87A8E">
        <w:rPr>
          <w:lang w:val="tr-TR"/>
        </w:rPr>
        <w:t xml:space="preserve">özel sektörde yevmiyeli veya ücretli olarak tam zamanlı ve kayıtlı çalışanlar arasında </w:t>
      </w:r>
      <w:r w:rsidR="00F4656B">
        <w:rPr>
          <w:lang w:val="tr-TR"/>
        </w:rPr>
        <w:t xml:space="preserve">1300TL’nin altında ücret alanların yaş gruplarındaki payları verilmektedir. </w:t>
      </w:r>
      <w:r w:rsidR="00010BFF">
        <w:rPr>
          <w:lang w:val="tr-TR"/>
        </w:rPr>
        <w:t xml:space="preserve">Sonuçlar, 1300TL’nin altında ücret alanların payının 15-24 yaş grubunda </w:t>
      </w:r>
      <w:r w:rsidR="008978A5">
        <w:rPr>
          <w:lang w:val="tr-TR"/>
        </w:rPr>
        <w:t>en yüksek olduğunu</w:t>
      </w:r>
      <w:r w:rsidR="00010BFF">
        <w:rPr>
          <w:lang w:val="tr-TR"/>
        </w:rPr>
        <w:t xml:space="preserve"> göstermektedir. </w:t>
      </w:r>
      <w:r w:rsidR="003727B9">
        <w:rPr>
          <w:lang w:val="tr-TR"/>
        </w:rPr>
        <w:t>Diğer bir ifade</w:t>
      </w:r>
      <w:r w:rsidR="00A47BF4">
        <w:rPr>
          <w:lang w:val="tr-TR"/>
        </w:rPr>
        <w:t>yle, 15-24 yaş grubundakilerin</w:t>
      </w:r>
      <w:r w:rsidR="003727B9">
        <w:rPr>
          <w:lang w:val="tr-TR"/>
        </w:rPr>
        <w:t xml:space="preserve"> </w:t>
      </w:r>
      <w:r w:rsidR="008E3F23">
        <w:rPr>
          <w:lang w:val="tr-TR"/>
        </w:rPr>
        <w:t xml:space="preserve">yüzde 79,8’i 1300TL’nin altında ücret almaktadır. </w:t>
      </w:r>
      <w:r w:rsidR="00017D5B">
        <w:rPr>
          <w:lang w:val="tr-TR"/>
        </w:rPr>
        <w:t>Dolayısıyla, asgari ücret artışı</w:t>
      </w:r>
      <w:r w:rsidR="00BD6B6B">
        <w:rPr>
          <w:lang w:val="tr-TR"/>
        </w:rPr>
        <w:t>nın</w:t>
      </w:r>
      <w:r w:rsidR="00017D5B">
        <w:rPr>
          <w:lang w:val="tr-TR"/>
        </w:rPr>
        <w:t xml:space="preserve"> en çok işgücü piyasasın</w:t>
      </w:r>
      <w:r w:rsidR="00B562DB">
        <w:rPr>
          <w:lang w:val="tr-TR"/>
        </w:rPr>
        <w:t xml:space="preserve">a yeni girecek veya </w:t>
      </w:r>
      <w:r w:rsidR="00017D5B">
        <w:rPr>
          <w:lang w:val="tr-TR"/>
        </w:rPr>
        <w:t xml:space="preserve">nispeten az deneyime sahip gençleri etkilemesi beklenmektedir. </w:t>
      </w:r>
    </w:p>
    <w:p w:rsidR="00CB6CB4" w:rsidRPr="00522B5F" w:rsidRDefault="00CB6CB4" w:rsidP="00CB6CB4">
      <w:pPr>
        <w:pStyle w:val="Caption"/>
        <w:keepNext/>
        <w:rPr>
          <w:color w:val="auto"/>
          <w:sz w:val="22"/>
          <w:szCs w:val="22"/>
        </w:rPr>
      </w:pPr>
      <w:bookmarkStart w:id="4" w:name="_Ref442733683"/>
      <w:bookmarkStart w:id="5" w:name="_Ref442733670"/>
      <w:r w:rsidRPr="00522B5F">
        <w:rPr>
          <w:color w:val="auto"/>
          <w:sz w:val="22"/>
          <w:szCs w:val="22"/>
        </w:rPr>
        <w:t xml:space="preserve">Şekil </w:t>
      </w:r>
      <w:r w:rsidR="00214AD9" w:rsidRPr="00522B5F">
        <w:rPr>
          <w:color w:val="auto"/>
          <w:sz w:val="22"/>
          <w:szCs w:val="22"/>
        </w:rPr>
        <w:fldChar w:fldCharType="begin"/>
      </w:r>
      <w:r w:rsidRPr="00522B5F">
        <w:rPr>
          <w:color w:val="auto"/>
          <w:sz w:val="22"/>
          <w:szCs w:val="22"/>
        </w:rPr>
        <w:instrText xml:space="preserve"> SEQ Şekil \* ARABIC </w:instrText>
      </w:r>
      <w:r w:rsidR="00214AD9" w:rsidRPr="00522B5F">
        <w:rPr>
          <w:color w:val="auto"/>
          <w:sz w:val="22"/>
          <w:szCs w:val="22"/>
        </w:rPr>
        <w:fldChar w:fldCharType="separate"/>
      </w:r>
      <w:r w:rsidR="005551C6">
        <w:rPr>
          <w:color w:val="auto"/>
          <w:sz w:val="22"/>
          <w:szCs w:val="22"/>
        </w:rPr>
        <w:t>1</w:t>
      </w:r>
      <w:r w:rsidR="00214AD9" w:rsidRPr="00522B5F">
        <w:rPr>
          <w:color w:val="auto"/>
          <w:sz w:val="22"/>
          <w:szCs w:val="22"/>
        </w:rPr>
        <w:fldChar w:fldCharType="end"/>
      </w:r>
      <w:bookmarkEnd w:id="4"/>
      <w:r w:rsidRPr="00522B5F">
        <w:rPr>
          <w:color w:val="auto"/>
          <w:sz w:val="22"/>
          <w:szCs w:val="22"/>
        </w:rPr>
        <w:t xml:space="preserve"> Yaş gruplarına göre 1300TL'nin altında ücret alanların payı (%)</w:t>
      </w:r>
      <w:bookmarkEnd w:id="5"/>
    </w:p>
    <w:p w:rsidR="00133D9F" w:rsidRDefault="00CB6CB4" w:rsidP="00F41920">
      <w:pPr>
        <w:spacing w:after="0" w:line="240" w:lineRule="auto"/>
      </w:pPr>
      <w:r w:rsidRPr="00CB6CB4">
        <w:rPr>
          <w:lang w:val="tr-TR" w:eastAsia="tr-TR"/>
        </w:rPr>
        <w:drawing>
          <wp:inline distT="0" distB="0" distL="0" distR="0">
            <wp:extent cx="5387837" cy="2565096"/>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41920" w:rsidRPr="00E5747D" w:rsidRDefault="00F41920" w:rsidP="00F41920">
      <w:pPr>
        <w:spacing w:after="0" w:line="240" w:lineRule="auto"/>
        <w:rPr>
          <w:sz w:val="20"/>
          <w:szCs w:val="20"/>
          <w:lang w:val="tr-TR"/>
        </w:rPr>
      </w:pPr>
      <w:r w:rsidRPr="00E5747D">
        <w:rPr>
          <w:sz w:val="20"/>
          <w:szCs w:val="20"/>
          <w:lang w:val="tr-TR"/>
        </w:rPr>
        <w:t>Kaynak: HİA 2013, Betam Kasım 2015 güncellemesi</w:t>
      </w:r>
    </w:p>
    <w:p w:rsidR="00174354" w:rsidRDefault="00174354" w:rsidP="00174354"/>
    <w:p w:rsidR="00E729D2" w:rsidRPr="00144382" w:rsidRDefault="00174354" w:rsidP="00144382">
      <w:r>
        <w:t>Hatırlatmak gerekirse, Türkiye genelinde özel sektörde tam zamanlı, kayıtlı ve ücretli veya yevmiyeli olarak çalışanların yüzde 57,3’ü aylık 1300TL’nin altında kazanmaktadır</w:t>
      </w:r>
      <w:r w:rsidR="00C77DB4">
        <w:t xml:space="preserve"> (</w:t>
      </w:r>
      <w:r w:rsidR="00061BB9">
        <w:fldChar w:fldCharType="begin"/>
      </w:r>
      <w:r w:rsidR="00061BB9">
        <w:instrText xml:space="preserve"> REF _Ref444848324 \h  \* MERGEFORMAT </w:instrText>
      </w:r>
      <w:r w:rsidR="00061BB9">
        <w:fldChar w:fldCharType="separate"/>
      </w:r>
      <w:r w:rsidR="00C77DB4" w:rsidRPr="00C77DB4">
        <w:t>Tablo 1</w:t>
      </w:r>
      <w:r w:rsidR="00061BB9">
        <w:fldChar w:fldCharType="end"/>
      </w:r>
      <w:r w:rsidR="00C77DB4">
        <w:t>)</w:t>
      </w:r>
      <w:r>
        <w:t xml:space="preserve">. 45-54 yaş grubunda </w:t>
      </w:r>
      <w:r w:rsidR="00D35159">
        <w:t xml:space="preserve">yer alan ve 64 yaş üzeri </w:t>
      </w:r>
      <w:r w:rsidR="00902B65">
        <w:t xml:space="preserve">çalışanlardaki pay ise Türkiye ortalamasına yakınsamaktadır. </w:t>
      </w:r>
      <w:r w:rsidR="00497955">
        <w:t>A</w:t>
      </w:r>
      <w:r w:rsidR="00D35159">
        <w:t>sgari ücret artışından en az etkile</w:t>
      </w:r>
      <w:r w:rsidR="0014094B">
        <w:t>n</w:t>
      </w:r>
      <w:r w:rsidR="003018DB">
        <w:t>mesi beklenen</w:t>
      </w:r>
      <w:r w:rsidR="00D35159">
        <w:t xml:space="preserve"> yaş grubu ise yüzde 51’i 1300TL’nin altında ücrete sahip olan 35-44 yaş grubudur. </w:t>
      </w:r>
    </w:p>
    <w:p w:rsidR="00144382" w:rsidRDefault="00144382" w:rsidP="00144382">
      <w:pPr>
        <w:pStyle w:val="Caption"/>
        <w:keepNext/>
      </w:pPr>
      <w:bookmarkStart w:id="6" w:name="_Ref443040554"/>
      <w:r w:rsidRPr="00144382">
        <w:rPr>
          <w:color w:val="auto"/>
          <w:sz w:val="22"/>
          <w:szCs w:val="22"/>
          <w:lang w:val="tr-TR"/>
        </w:rPr>
        <w:t xml:space="preserve">Tablo </w:t>
      </w:r>
      <w:r w:rsidR="00214AD9" w:rsidRPr="00144382">
        <w:rPr>
          <w:color w:val="auto"/>
          <w:sz w:val="22"/>
          <w:szCs w:val="22"/>
          <w:lang w:val="tr-TR"/>
        </w:rPr>
        <w:fldChar w:fldCharType="begin"/>
      </w:r>
      <w:r w:rsidRPr="00144382">
        <w:rPr>
          <w:color w:val="auto"/>
          <w:sz w:val="22"/>
          <w:szCs w:val="22"/>
          <w:lang w:val="tr-TR"/>
        </w:rPr>
        <w:instrText xml:space="preserve"> SEQ Tablo \* ARABIC </w:instrText>
      </w:r>
      <w:r w:rsidR="00214AD9" w:rsidRPr="00144382">
        <w:rPr>
          <w:color w:val="auto"/>
          <w:sz w:val="22"/>
          <w:szCs w:val="22"/>
          <w:lang w:val="tr-TR"/>
        </w:rPr>
        <w:fldChar w:fldCharType="separate"/>
      </w:r>
      <w:r w:rsidR="005551C6">
        <w:rPr>
          <w:color w:val="auto"/>
          <w:sz w:val="22"/>
          <w:szCs w:val="22"/>
          <w:lang w:val="tr-TR"/>
        </w:rPr>
        <w:t>3</w:t>
      </w:r>
      <w:r w:rsidR="00214AD9" w:rsidRPr="00144382">
        <w:rPr>
          <w:color w:val="auto"/>
          <w:sz w:val="22"/>
          <w:szCs w:val="22"/>
          <w:lang w:val="tr-TR"/>
        </w:rPr>
        <w:fldChar w:fldCharType="end"/>
      </w:r>
      <w:bookmarkEnd w:id="6"/>
      <w:r w:rsidRPr="00144382">
        <w:rPr>
          <w:color w:val="auto"/>
          <w:sz w:val="22"/>
          <w:szCs w:val="22"/>
          <w:lang w:val="tr-TR"/>
        </w:rPr>
        <w:t xml:space="preserve"> </w:t>
      </w:r>
      <w:r w:rsidRPr="00522B5F">
        <w:rPr>
          <w:color w:val="auto"/>
          <w:sz w:val="22"/>
          <w:szCs w:val="22"/>
          <w:lang w:val="tr-TR"/>
        </w:rPr>
        <w:t>Yaş gruplarına göre asgari ücret artışının ücretlere etkileri</w:t>
      </w:r>
    </w:p>
    <w:tbl>
      <w:tblPr>
        <w:tblW w:w="9166" w:type="dxa"/>
        <w:tblInd w:w="7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Layout w:type="fixed"/>
        <w:tblCellMar>
          <w:left w:w="70" w:type="dxa"/>
          <w:right w:w="70" w:type="dxa"/>
        </w:tblCellMar>
        <w:tblLook w:val="04A0" w:firstRow="1" w:lastRow="0" w:firstColumn="1" w:lastColumn="0" w:noHBand="0" w:noVBand="1"/>
      </w:tblPr>
      <w:tblGrid>
        <w:gridCol w:w="1275"/>
        <w:gridCol w:w="2046"/>
        <w:gridCol w:w="1961"/>
        <w:gridCol w:w="1815"/>
        <w:gridCol w:w="2069"/>
      </w:tblGrid>
      <w:tr w:rsidR="00E55BE2" w:rsidRPr="00040EFE" w:rsidTr="00323A23">
        <w:trPr>
          <w:trHeight w:val="639"/>
        </w:trPr>
        <w:tc>
          <w:tcPr>
            <w:tcW w:w="1275" w:type="dxa"/>
            <w:shd w:val="clear" w:color="auto" w:fill="auto"/>
            <w:noWrap/>
            <w:vAlign w:val="bottom"/>
            <w:hideMark/>
          </w:tcPr>
          <w:p w:rsidR="00E55BE2" w:rsidRPr="00040EFE" w:rsidRDefault="00E55BE2" w:rsidP="00040EFE">
            <w:pPr>
              <w:spacing w:after="0" w:line="240" w:lineRule="auto"/>
              <w:rPr>
                <w:rFonts w:ascii="Calibri" w:eastAsia="Times New Roman" w:hAnsi="Calibri" w:cs="Times New Roman"/>
                <w:noProof w:val="0"/>
                <w:color w:val="000000"/>
                <w:lang w:val="tr-TR" w:eastAsia="tr-TR"/>
              </w:rPr>
            </w:pPr>
            <w:r w:rsidRPr="00040EFE">
              <w:rPr>
                <w:rFonts w:ascii="Calibri" w:eastAsia="Times New Roman" w:hAnsi="Calibri" w:cs="Times New Roman"/>
                <w:noProof w:val="0"/>
                <w:color w:val="000000"/>
                <w:lang w:val="tr-TR" w:eastAsia="tr-TR"/>
              </w:rPr>
              <w:t> </w:t>
            </w:r>
          </w:p>
        </w:tc>
        <w:tc>
          <w:tcPr>
            <w:tcW w:w="2046" w:type="dxa"/>
            <w:shd w:val="clear" w:color="auto" w:fill="auto"/>
            <w:vAlign w:val="bottom"/>
            <w:hideMark/>
          </w:tcPr>
          <w:p w:rsidR="00E55BE2" w:rsidRPr="00040EFE" w:rsidRDefault="00E55BE2" w:rsidP="00040EFE">
            <w:pPr>
              <w:spacing w:after="0" w:line="240" w:lineRule="auto"/>
              <w:jc w:val="right"/>
              <w:rPr>
                <w:rFonts w:ascii="Calibri" w:eastAsia="Times New Roman" w:hAnsi="Calibri" w:cs="Times New Roman"/>
                <w:b/>
                <w:bCs/>
                <w:noProof w:val="0"/>
                <w:color w:val="000000"/>
                <w:lang w:val="tr-TR" w:eastAsia="tr-TR"/>
              </w:rPr>
            </w:pPr>
            <w:r w:rsidRPr="00040EFE">
              <w:rPr>
                <w:rFonts w:ascii="Calibri" w:eastAsia="Times New Roman" w:hAnsi="Calibri" w:cs="Times New Roman"/>
                <w:b/>
                <w:bCs/>
                <w:noProof w:val="0"/>
                <w:color w:val="000000"/>
                <w:lang w:val="tr-TR" w:eastAsia="tr-TR"/>
              </w:rPr>
              <w:t>Ortalama ücret(TL)</w:t>
            </w:r>
          </w:p>
        </w:tc>
        <w:tc>
          <w:tcPr>
            <w:tcW w:w="1961" w:type="dxa"/>
            <w:shd w:val="clear" w:color="auto" w:fill="auto"/>
            <w:vAlign w:val="bottom"/>
            <w:hideMark/>
          </w:tcPr>
          <w:p w:rsidR="00E55BE2" w:rsidRPr="00040EFE" w:rsidRDefault="00E55BE2" w:rsidP="00040EFE">
            <w:pPr>
              <w:spacing w:after="0" w:line="240" w:lineRule="auto"/>
              <w:jc w:val="right"/>
              <w:rPr>
                <w:rFonts w:ascii="Calibri" w:eastAsia="Times New Roman" w:hAnsi="Calibri" w:cs="Times New Roman"/>
                <w:b/>
                <w:bCs/>
                <w:noProof w:val="0"/>
                <w:color w:val="000000"/>
                <w:lang w:val="tr-TR" w:eastAsia="tr-TR"/>
              </w:rPr>
            </w:pPr>
            <w:r w:rsidRPr="00040EFE">
              <w:rPr>
                <w:rFonts w:ascii="Calibri" w:eastAsia="Times New Roman" w:hAnsi="Calibri" w:cs="Times New Roman"/>
                <w:b/>
                <w:bCs/>
                <w:noProof w:val="0"/>
                <w:color w:val="000000"/>
                <w:lang w:val="tr-TR" w:eastAsia="tr-TR"/>
              </w:rPr>
              <w:t>1300 TL asgari ücret ile ortalama ücret(TL)</w:t>
            </w:r>
          </w:p>
        </w:tc>
        <w:tc>
          <w:tcPr>
            <w:tcW w:w="1815" w:type="dxa"/>
            <w:shd w:val="clear" w:color="auto" w:fill="auto"/>
            <w:vAlign w:val="bottom"/>
            <w:hideMark/>
          </w:tcPr>
          <w:p w:rsidR="00E55BE2" w:rsidRPr="00040EFE" w:rsidRDefault="00E55BE2" w:rsidP="00040EFE">
            <w:pPr>
              <w:spacing w:after="0" w:line="240" w:lineRule="auto"/>
              <w:jc w:val="right"/>
              <w:rPr>
                <w:rFonts w:ascii="Calibri" w:eastAsia="Times New Roman" w:hAnsi="Calibri" w:cs="Times New Roman"/>
                <w:b/>
                <w:bCs/>
                <w:noProof w:val="0"/>
                <w:color w:val="000000"/>
                <w:lang w:val="tr-TR" w:eastAsia="tr-TR"/>
              </w:rPr>
            </w:pPr>
            <w:r w:rsidRPr="00040EFE">
              <w:rPr>
                <w:rFonts w:ascii="Calibri" w:eastAsia="Times New Roman" w:hAnsi="Calibri" w:cs="Times New Roman"/>
                <w:b/>
                <w:bCs/>
                <w:noProof w:val="0"/>
                <w:color w:val="000000"/>
                <w:lang w:val="tr-TR" w:eastAsia="tr-TR"/>
              </w:rPr>
              <w:t>Ortalama ücretteki artış(TL)</w:t>
            </w:r>
          </w:p>
        </w:tc>
        <w:tc>
          <w:tcPr>
            <w:tcW w:w="2069" w:type="dxa"/>
            <w:shd w:val="clear" w:color="auto" w:fill="auto"/>
            <w:vAlign w:val="bottom"/>
            <w:hideMark/>
          </w:tcPr>
          <w:p w:rsidR="00E55BE2" w:rsidRPr="00040EFE" w:rsidRDefault="00E55BE2" w:rsidP="00040EFE">
            <w:pPr>
              <w:spacing w:after="0" w:line="240" w:lineRule="auto"/>
              <w:jc w:val="right"/>
              <w:rPr>
                <w:rFonts w:ascii="Calibri" w:eastAsia="Times New Roman" w:hAnsi="Calibri" w:cs="Times New Roman"/>
                <w:b/>
                <w:bCs/>
                <w:noProof w:val="0"/>
                <w:color w:val="000000"/>
                <w:lang w:val="tr-TR" w:eastAsia="tr-TR"/>
              </w:rPr>
            </w:pPr>
            <w:r w:rsidRPr="00040EFE">
              <w:rPr>
                <w:rFonts w:ascii="Calibri" w:eastAsia="Times New Roman" w:hAnsi="Calibri" w:cs="Times New Roman"/>
                <w:b/>
                <w:bCs/>
                <w:noProof w:val="0"/>
                <w:color w:val="000000"/>
                <w:lang w:val="tr-TR" w:eastAsia="tr-TR"/>
              </w:rPr>
              <w:t xml:space="preserve">Ortalama ücretteki artış(%) </w:t>
            </w:r>
          </w:p>
        </w:tc>
      </w:tr>
      <w:tr w:rsidR="00E55BE2" w:rsidRPr="00040EFE" w:rsidTr="00323A23">
        <w:trPr>
          <w:trHeight w:val="270"/>
        </w:trPr>
        <w:tc>
          <w:tcPr>
            <w:tcW w:w="1275" w:type="dxa"/>
            <w:shd w:val="clear" w:color="auto" w:fill="auto"/>
            <w:noWrap/>
            <w:vAlign w:val="bottom"/>
            <w:hideMark/>
          </w:tcPr>
          <w:p w:rsidR="00E55BE2" w:rsidRPr="00040EFE" w:rsidRDefault="00E55BE2" w:rsidP="00040EFE">
            <w:pPr>
              <w:spacing w:after="0" w:line="240" w:lineRule="auto"/>
              <w:rPr>
                <w:rFonts w:ascii="Calibri" w:eastAsia="Times New Roman" w:hAnsi="Calibri" w:cs="Times New Roman"/>
                <w:b/>
                <w:bCs/>
                <w:noProof w:val="0"/>
                <w:color w:val="000000"/>
                <w:lang w:val="tr-TR" w:eastAsia="tr-TR"/>
              </w:rPr>
            </w:pPr>
            <w:r w:rsidRPr="00040EFE">
              <w:rPr>
                <w:rFonts w:ascii="Calibri" w:eastAsia="Times New Roman" w:hAnsi="Calibri" w:cs="Times New Roman"/>
                <w:b/>
                <w:bCs/>
                <w:noProof w:val="0"/>
                <w:color w:val="000000"/>
                <w:lang w:val="tr-TR" w:eastAsia="tr-TR"/>
              </w:rPr>
              <w:t>15-24 yaş</w:t>
            </w:r>
          </w:p>
        </w:tc>
        <w:tc>
          <w:tcPr>
            <w:tcW w:w="2046" w:type="dxa"/>
            <w:shd w:val="clear" w:color="auto" w:fill="auto"/>
            <w:noWrap/>
            <w:vAlign w:val="bottom"/>
            <w:hideMark/>
          </w:tcPr>
          <w:p w:rsidR="00E55BE2" w:rsidRPr="00040EFE" w:rsidRDefault="00E55BE2" w:rsidP="00040EFE">
            <w:pPr>
              <w:spacing w:after="0" w:line="240" w:lineRule="auto"/>
              <w:jc w:val="right"/>
              <w:rPr>
                <w:rFonts w:ascii="Calibri" w:eastAsia="Times New Roman" w:hAnsi="Calibri" w:cs="Times New Roman"/>
                <w:noProof w:val="0"/>
                <w:color w:val="000000"/>
                <w:lang w:val="tr-TR" w:eastAsia="tr-TR"/>
              </w:rPr>
            </w:pPr>
            <w:r w:rsidRPr="00040EFE">
              <w:rPr>
                <w:rFonts w:ascii="Calibri" w:eastAsia="Times New Roman" w:hAnsi="Calibri" w:cs="Times New Roman"/>
                <w:noProof w:val="0"/>
                <w:color w:val="000000"/>
                <w:lang w:val="tr-TR" w:eastAsia="tr-TR"/>
              </w:rPr>
              <w:t>1</w:t>
            </w:r>
            <w:r>
              <w:rPr>
                <w:rFonts w:ascii="Calibri" w:eastAsia="Times New Roman" w:hAnsi="Calibri" w:cs="Times New Roman"/>
                <w:noProof w:val="0"/>
                <w:color w:val="000000"/>
                <w:lang w:val="tr-TR" w:eastAsia="tr-TR"/>
              </w:rPr>
              <w:t>.</w:t>
            </w:r>
            <w:r w:rsidRPr="00040EFE">
              <w:rPr>
                <w:rFonts w:ascii="Calibri" w:eastAsia="Times New Roman" w:hAnsi="Calibri" w:cs="Times New Roman"/>
                <w:noProof w:val="0"/>
                <w:color w:val="000000"/>
                <w:lang w:val="tr-TR" w:eastAsia="tr-TR"/>
              </w:rPr>
              <w:t>146</w:t>
            </w:r>
          </w:p>
        </w:tc>
        <w:tc>
          <w:tcPr>
            <w:tcW w:w="1961" w:type="dxa"/>
            <w:shd w:val="clear" w:color="auto" w:fill="auto"/>
            <w:noWrap/>
            <w:vAlign w:val="bottom"/>
            <w:hideMark/>
          </w:tcPr>
          <w:p w:rsidR="00E55BE2" w:rsidRPr="00040EFE" w:rsidRDefault="00E55BE2" w:rsidP="00040EFE">
            <w:pPr>
              <w:spacing w:after="0" w:line="240" w:lineRule="auto"/>
              <w:jc w:val="right"/>
              <w:rPr>
                <w:rFonts w:ascii="Calibri" w:eastAsia="Times New Roman" w:hAnsi="Calibri" w:cs="Times New Roman"/>
                <w:noProof w:val="0"/>
                <w:color w:val="000000"/>
                <w:lang w:val="tr-TR" w:eastAsia="tr-TR"/>
              </w:rPr>
            </w:pPr>
            <w:r w:rsidRPr="00040EFE">
              <w:rPr>
                <w:rFonts w:ascii="Calibri" w:eastAsia="Times New Roman" w:hAnsi="Calibri" w:cs="Times New Roman"/>
                <w:noProof w:val="0"/>
                <w:color w:val="000000"/>
                <w:lang w:val="tr-TR" w:eastAsia="tr-TR"/>
              </w:rPr>
              <w:t>1</w:t>
            </w:r>
            <w:r>
              <w:rPr>
                <w:rFonts w:ascii="Calibri" w:eastAsia="Times New Roman" w:hAnsi="Calibri" w:cs="Times New Roman"/>
                <w:noProof w:val="0"/>
                <w:color w:val="000000"/>
                <w:lang w:val="tr-TR" w:eastAsia="tr-TR"/>
              </w:rPr>
              <w:t>.</w:t>
            </w:r>
            <w:r w:rsidRPr="00040EFE">
              <w:rPr>
                <w:rFonts w:ascii="Calibri" w:eastAsia="Times New Roman" w:hAnsi="Calibri" w:cs="Times New Roman"/>
                <w:noProof w:val="0"/>
                <w:color w:val="000000"/>
                <w:lang w:val="tr-TR" w:eastAsia="tr-TR"/>
              </w:rPr>
              <w:t>396</w:t>
            </w:r>
          </w:p>
        </w:tc>
        <w:tc>
          <w:tcPr>
            <w:tcW w:w="1815" w:type="dxa"/>
            <w:shd w:val="clear" w:color="auto" w:fill="auto"/>
            <w:noWrap/>
            <w:vAlign w:val="bottom"/>
            <w:hideMark/>
          </w:tcPr>
          <w:p w:rsidR="00E55BE2" w:rsidRPr="00040EFE" w:rsidRDefault="00E55BE2" w:rsidP="00040EFE">
            <w:pPr>
              <w:spacing w:after="0" w:line="240" w:lineRule="auto"/>
              <w:jc w:val="right"/>
              <w:rPr>
                <w:rFonts w:ascii="Calibri" w:eastAsia="Times New Roman" w:hAnsi="Calibri" w:cs="Times New Roman"/>
                <w:noProof w:val="0"/>
                <w:color w:val="000000"/>
                <w:lang w:val="tr-TR" w:eastAsia="tr-TR"/>
              </w:rPr>
            </w:pPr>
            <w:r w:rsidRPr="00040EFE">
              <w:rPr>
                <w:rFonts w:ascii="Calibri" w:eastAsia="Times New Roman" w:hAnsi="Calibri" w:cs="Times New Roman"/>
                <w:noProof w:val="0"/>
                <w:color w:val="000000"/>
                <w:lang w:val="tr-TR" w:eastAsia="tr-TR"/>
              </w:rPr>
              <w:t>251</w:t>
            </w:r>
          </w:p>
        </w:tc>
        <w:tc>
          <w:tcPr>
            <w:tcW w:w="2069" w:type="dxa"/>
            <w:shd w:val="clear" w:color="auto" w:fill="auto"/>
            <w:noWrap/>
            <w:vAlign w:val="bottom"/>
            <w:hideMark/>
          </w:tcPr>
          <w:p w:rsidR="00E55BE2" w:rsidRPr="00040EFE" w:rsidRDefault="00E55BE2" w:rsidP="00ED138C">
            <w:pPr>
              <w:spacing w:after="0" w:line="240" w:lineRule="auto"/>
              <w:jc w:val="right"/>
              <w:rPr>
                <w:rFonts w:ascii="Calibri" w:eastAsia="Times New Roman" w:hAnsi="Calibri" w:cs="Times New Roman"/>
                <w:noProof w:val="0"/>
                <w:color w:val="000000"/>
                <w:lang w:val="tr-TR" w:eastAsia="tr-TR"/>
              </w:rPr>
            </w:pPr>
            <w:r w:rsidRPr="00040EFE">
              <w:rPr>
                <w:rFonts w:ascii="Calibri" w:eastAsia="Times New Roman" w:hAnsi="Calibri" w:cs="Times New Roman"/>
                <w:noProof w:val="0"/>
                <w:color w:val="000000"/>
                <w:lang w:val="tr-TR" w:eastAsia="tr-TR"/>
              </w:rPr>
              <w:t>21</w:t>
            </w:r>
            <w:r>
              <w:rPr>
                <w:rFonts w:ascii="Calibri" w:eastAsia="Times New Roman" w:hAnsi="Calibri" w:cs="Times New Roman"/>
                <w:noProof w:val="0"/>
                <w:color w:val="000000"/>
                <w:lang w:val="tr-TR" w:eastAsia="tr-TR"/>
              </w:rPr>
              <w:t>,</w:t>
            </w:r>
            <w:r w:rsidRPr="00040EFE">
              <w:rPr>
                <w:rFonts w:ascii="Calibri" w:eastAsia="Times New Roman" w:hAnsi="Calibri" w:cs="Times New Roman"/>
                <w:noProof w:val="0"/>
                <w:color w:val="000000"/>
                <w:lang w:val="tr-TR" w:eastAsia="tr-TR"/>
              </w:rPr>
              <w:t>9</w:t>
            </w:r>
          </w:p>
        </w:tc>
      </w:tr>
      <w:tr w:rsidR="00E55BE2" w:rsidRPr="00040EFE" w:rsidTr="00323A23">
        <w:trPr>
          <w:trHeight w:val="270"/>
        </w:trPr>
        <w:tc>
          <w:tcPr>
            <w:tcW w:w="1275" w:type="dxa"/>
            <w:shd w:val="clear" w:color="auto" w:fill="auto"/>
            <w:noWrap/>
            <w:vAlign w:val="bottom"/>
            <w:hideMark/>
          </w:tcPr>
          <w:p w:rsidR="00E55BE2" w:rsidRPr="00040EFE" w:rsidRDefault="00E55BE2" w:rsidP="00040EFE">
            <w:pPr>
              <w:spacing w:after="0" w:line="240" w:lineRule="auto"/>
              <w:rPr>
                <w:rFonts w:ascii="Calibri" w:eastAsia="Times New Roman" w:hAnsi="Calibri" w:cs="Times New Roman"/>
                <w:b/>
                <w:bCs/>
                <w:noProof w:val="0"/>
                <w:color w:val="000000"/>
                <w:lang w:val="tr-TR" w:eastAsia="tr-TR"/>
              </w:rPr>
            </w:pPr>
            <w:r w:rsidRPr="00040EFE">
              <w:rPr>
                <w:rFonts w:ascii="Calibri" w:eastAsia="Times New Roman" w:hAnsi="Calibri" w:cs="Times New Roman"/>
                <w:b/>
                <w:bCs/>
                <w:noProof w:val="0"/>
                <w:color w:val="000000"/>
                <w:lang w:val="tr-TR" w:eastAsia="tr-TR"/>
              </w:rPr>
              <w:t>25-34 yaş</w:t>
            </w:r>
          </w:p>
        </w:tc>
        <w:tc>
          <w:tcPr>
            <w:tcW w:w="2046" w:type="dxa"/>
            <w:shd w:val="clear" w:color="auto" w:fill="auto"/>
            <w:noWrap/>
            <w:vAlign w:val="bottom"/>
            <w:hideMark/>
          </w:tcPr>
          <w:p w:rsidR="00E55BE2" w:rsidRPr="00040EFE" w:rsidRDefault="00E55BE2" w:rsidP="00040EFE">
            <w:pPr>
              <w:spacing w:after="0" w:line="240" w:lineRule="auto"/>
              <w:jc w:val="right"/>
              <w:rPr>
                <w:rFonts w:ascii="Calibri" w:eastAsia="Times New Roman" w:hAnsi="Calibri" w:cs="Times New Roman"/>
                <w:noProof w:val="0"/>
                <w:color w:val="000000"/>
                <w:lang w:val="tr-TR" w:eastAsia="tr-TR"/>
              </w:rPr>
            </w:pPr>
            <w:r w:rsidRPr="00040EFE">
              <w:rPr>
                <w:rFonts w:ascii="Calibri" w:eastAsia="Times New Roman" w:hAnsi="Calibri" w:cs="Times New Roman"/>
                <w:noProof w:val="0"/>
                <w:color w:val="000000"/>
                <w:lang w:val="tr-TR" w:eastAsia="tr-TR"/>
              </w:rPr>
              <w:t>1</w:t>
            </w:r>
            <w:r>
              <w:rPr>
                <w:rFonts w:ascii="Calibri" w:eastAsia="Times New Roman" w:hAnsi="Calibri" w:cs="Times New Roman"/>
                <w:noProof w:val="0"/>
                <w:color w:val="000000"/>
                <w:lang w:val="tr-TR" w:eastAsia="tr-TR"/>
              </w:rPr>
              <w:t>.</w:t>
            </w:r>
            <w:r w:rsidRPr="00040EFE">
              <w:rPr>
                <w:rFonts w:ascii="Calibri" w:eastAsia="Times New Roman" w:hAnsi="Calibri" w:cs="Times New Roman"/>
                <w:noProof w:val="0"/>
                <w:color w:val="000000"/>
                <w:lang w:val="tr-TR" w:eastAsia="tr-TR"/>
              </w:rPr>
              <w:t>568</w:t>
            </w:r>
          </w:p>
        </w:tc>
        <w:tc>
          <w:tcPr>
            <w:tcW w:w="1961" w:type="dxa"/>
            <w:shd w:val="clear" w:color="auto" w:fill="auto"/>
            <w:noWrap/>
            <w:vAlign w:val="bottom"/>
            <w:hideMark/>
          </w:tcPr>
          <w:p w:rsidR="00E55BE2" w:rsidRPr="00040EFE" w:rsidRDefault="00E55BE2" w:rsidP="00040EFE">
            <w:pPr>
              <w:spacing w:after="0" w:line="240" w:lineRule="auto"/>
              <w:jc w:val="right"/>
              <w:rPr>
                <w:rFonts w:ascii="Calibri" w:eastAsia="Times New Roman" w:hAnsi="Calibri" w:cs="Times New Roman"/>
                <w:noProof w:val="0"/>
                <w:color w:val="000000"/>
                <w:lang w:val="tr-TR" w:eastAsia="tr-TR"/>
              </w:rPr>
            </w:pPr>
            <w:r w:rsidRPr="00040EFE">
              <w:rPr>
                <w:rFonts w:ascii="Calibri" w:eastAsia="Times New Roman" w:hAnsi="Calibri" w:cs="Times New Roman"/>
                <w:noProof w:val="0"/>
                <w:color w:val="000000"/>
                <w:lang w:val="tr-TR" w:eastAsia="tr-TR"/>
              </w:rPr>
              <w:t>1</w:t>
            </w:r>
            <w:r>
              <w:rPr>
                <w:rFonts w:ascii="Calibri" w:eastAsia="Times New Roman" w:hAnsi="Calibri" w:cs="Times New Roman"/>
                <w:noProof w:val="0"/>
                <w:color w:val="000000"/>
                <w:lang w:val="tr-TR" w:eastAsia="tr-TR"/>
              </w:rPr>
              <w:t>.</w:t>
            </w:r>
            <w:r w:rsidRPr="00040EFE">
              <w:rPr>
                <w:rFonts w:ascii="Calibri" w:eastAsia="Times New Roman" w:hAnsi="Calibri" w:cs="Times New Roman"/>
                <w:noProof w:val="0"/>
                <w:color w:val="000000"/>
                <w:lang w:val="tr-TR" w:eastAsia="tr-TR"/>
              </w:rPr>
              <w:t>700</w:t>
            </w:r>
          </w:p>
        </w:tc>
        <w:tc>
          <w:tcPr>
            <w:tcW w:w="1815" w:type="dxa"/>
            <w:shd w:val="clear" w:color="auto" w:fill="auto"/>
            <w:noWrap/>
            <w:vAlign w:val="bottom"/>
            <w:hideMark/>
          </w:tcPr>
          <w:p w:rsidR="00E55BE2" w:rsidRPr="00040EFE" w:rsidRDefault="00E55BE2" w:rsidP="00040EFE">
            <w:pPr>
              <w:spacing w:after="0" w:line="240" w:lineRule="auto"/>
              <w:jc w:val="right"/>
              <w:rPr>
                <w:rFonts w:ascii="Calibri" w:eastAsia="Times New Roman" w:hAnsi="Calibri" w:cs="Times New Roman"/>
                <w:noProof w:val="0"/>
                <w:color w:val="000000"/>
                <w:lang w:val="tr-TR" w:eastAsia="tr-TR"/>
              </w:rPr>
            </w:pPr>
            <w:r w:rsidRPr="00040EFE">
              <w:rPr>
                <w:rFonts w:ascii="Calibri" w:eastAsia="Times New Roman" w:hAnsi="Calibri" w:cs="Times New Roman"/>
                <w:noProof w:val="0"/>
                <w:color w:val="000000"/>
                <w:lang w:val="tr-TR" w:eastAsia="tr-TR"/>
              </w:rPr>
              <w:t>132</w:t>
            </w:r>
          </w:p>
        </w:tc>
        <w:tc>
          <w:tcPr>
            <w:tcW w:w="2069" w:type="dxa"/>
            <w:shd w:val="clear" w:color="auto" w:fill="auto"/>
            <w:noWrap/>
            <w:vAlign w:val="bottom"/>
            <w:hideMark/>
          </w:tcPr>
          <w:p w:rsidR="00E55BE2" w:rsidRPr="00040EFE" w:rsidRDefault="00E55BE2" w:rsidP="00040EFE">
            <w:pPr>
              <w:spacing w:after="0" w:line="240" w:lineRule="auto"/>
              <w:jc w:val="right"/>
              <w:rPr>
                <w:rFonts w:ascii="Calibri" w:eastAsia="Times New Roman" w:hAnsi="Calibri" w:cs="Times New Roman"/>
                <w:noProof w:val="0"/>
                <w:color w:val="000000"/>
                <w:lang w:val="tr-TR" w:eastAsia="tr-TR"/>
              </w:rPr>
            </w:pPr>
            <w:r w:rsidRPr="00040EFE">
              <w:rPr>
                <w:rFonts w:ascii="Calibri" w:eastAsia="Times New Roman" w:hAnsi="Calibri" w:cs="Times New Roman"/>
                <w:noProof w:val="0"/>
                <w:color w:val="000000"/>
                <w:lang w:val="tr-TR" w:eastAsia="tr-TR"/>
              </w:rPr>
              <w:t>8</w:t>
            </w:r>
            <w:r>
              <w:rPr>
                <w:rFonts w:ascii="Calibri" w:eastAsia="Times New Roman" w:hAnsi="Calibri" w:cs="Times New Roman"/>
                <w:noProof w:val="0"/>
                <w:color w:val="000000"/>
                <w:lang w:val="tr-TR" w:eastAsia="tr-TR"/>
              </w:rPr>
              <w:t>,</w:t>
            </w:r>
            <w:r w:rsidRPr="00040EFE">
              <w:rPr>
                <w:rFonts w:ascii="Calibri" w:eastAsia="Times New Roman" w:hAnsi="Calibri" w:cs="Times New Roman"/>
                <w:noProof w:val="0"/>
                <w:color w:val="000000"/>
                <w:lang w:val="tr-TR" w:eastAsia="tr-TR"/>
              </w:rPr>
              <w:t>4</w:t>
            </w:r>
          </w:p>
        </w:tc>
      </w:tr>
      <w:tr w:rsidR="00E55BE2" w:rsidRPr="00040EFE" w:rsidTr="00323A23">
        <w:trPr>
          <w:trHeight w:val="270"/>
        </w:trPr>
        <w:tc>
          <w:tcPr>
            <w:tcW w:w="1275" w:type="dxa"/>
            <w:shd w:val="clear" w:color="auto" w:fill="auto"/>
            <w:noWrap/>
            <w:vAlign w:val="bottom"/>
            <w:hideMark/>
          </w:tcPr>
          <w:p w:rsidR="00E55BE2" w:rsidRPr="00040EFE" w:rsidRDefault="00E55BE2" w:rsidP="00B11620">
            <w:pPr>
              <w:spacing w:after="0" w:line="240" w:lineRule="auto"/>
              <w:rPr>
                <w:rFonts w:ascii="Calibri" w:eastAsia="Times New Roman" w:hAnsi="Calibri" w:cs="Times New Roman"/>
                <w:b/>
                <w:bCs/>
                <w:noProof w:val="0"/>
                <w:color w:val="000000"/>
                <w:lang w:val="tr-TR" w:eastAsia="tr-TR"/>
              </w:rPr>
            </w:pPr>
            <w:r w:rsidRPr="00040EFE">
              <w:rPr>
                <w:rFonts w:ascii="Calibri" w:eastAsia="Times New Roman" w:hAnsi="Calibri" w:cs="Times New Roman"/>
                <w:b/>
                <w:bCs/>
                <w:noProof w:val="0"/>
                <w:color w:val="000000"/>
                <w:lang w:val="tr-TR" w:eastAsia="tr-TR"/>
              </w:rPr>
              <w:t>35-44 yaş</w:t>
            </w:r>
          </w:p>
        </w:tc>
        <w:tc>
          <w:tcPr>
            <w:tcW w:w="2046" w:type="dxa"/>
            <w:shd w:val="clear" w:color="auto" w:fill="auto"/>
            <w:noWrap/>
            <w:vAlign w:val="bottom"/>
            <w:hideMark/>
          </w:tcPr>
          <w:p w:rsidR="00E55BE2" w:rsidRPr="00040EFE" w:rsidRDefault="00E55BE2" w:rsidP="00B11620">
            <w:pPr>
              <w:spacing w:after="0" w:line="240" w:lineRule="auto"/>
              <w:jc w:val="right"/>
              <w:rPr>
                <w:rFonts w:ascii="Calibri" w:eastAsia="Times New Roman" w:hAnsi="Calibri" w:cs="Times New Roman"/>
                <w:noProof w:val="0"/>
                <w:color w:val="000000"/>
                <w:lang w:val="tr-TR" w:eastAsia="tr-TR"/>
              </w:rPr>
            </w:pPr>
            <w:r w:rsidRPr="00040EFE">
              <w:rPr>
                <w:rFonts w:ascii="Calibri" w:eastAsia="Times New Roman" w:hAnsi="Calibri" w:cs="Times New Roman"/>
                <w:noProof w:val="0"/>
                <w:color w:val="000000"/>
                <w:lang w:val="tr-TR" w:eastAsia="tr-TR"/>
              </w:rPr>
              <w:t>1</w:t>
            </w:r>
            <w:r>
              <w:rPr>
                <w:rFonts w:ascii="Calibri" w:eastAsia="Times New Roman" w:hAnsi="Calibri" w:cs="Times New Roman"/>
                <w:noProof w:val="0"/>
                <w:color w:val="000000"/>
                <w:lang w:val="tr-TR" w:eastAsia="tr-TR"/>
              </w:rPr>
              <w:t>.</w:t>
            </w:r>
            <w:r w:rsidRPr="00040EFE">
              <w:rPr>
                <w:rFonts w:ascii="Calibri" w:eastAsia="Times New Roman" w:hAnsi="Calibri" w:cs="Times New Roman"/>
                <w:noProof w:val="0"/>
                <w:color w:val="000000"/>
                <w:lang w:val="tr-TR" w:eastAsia="tr-TR"/>
              </w:rPr>
              <w:t>783</w:t>
            </w:r>
          </w:p>
        </w:tc>
        <w:tc>
          <w:tcPr>
            <w:tcW w:w="1961" w:type="dxa"/>
            <w:shd w:val="clear" w:color="auto" w:fill="auto"/>
            <w:noWrap/>
            <w:vAlign w:val="bottom"/>
            <w:hideMark/>
          </w:tcPr>
          <w:p w:rsidR="00E55BE2" w:rsidRPr="00040EFE" w:rsidRDefault="00E55BE2" w:rsidP="00B11620">
            <w:pPr>
              <w:spacing w:after="0" w:line="240" w:lineRule="auto"/>
              <w:jc w:val="right"/>
              <w:rPr>
                <w:rFonts w:ascii="Calibri" w:eastAsia="Times New Roman" w:hAnsi="Calibri" w:cs="Times New Roman"/>
                <w:noProof w:val="0"/>
                <w:color w:val="000000"/>
                <w:lang w:val="tr-TR" w:eastAsia="tr-TR"/>
              </w:rPr>
            </w:pPr>
            <w:r w:rsidRPr="00040EFE">
              <w:rPr>
                <w:rFonts w:ascii="Calibri" w:eastAsia="Times New Roman" w:hAnsi="Calibri" w:cs="Times New Roman"/>
                <w:noProof w:val="0"/>
                <w:color w:val="000000"/>
                <w:lang w:val="tr-TR" w:eastAsia="tr-TR"/>
              </w:rPr>
              <w:t>1</w:t>
            </w:r>
            <w:r>
              <w:rPr>
                <w:rFonts w:ascii="Calibri" w:eastAsia="Times New Roman" w:hAnsi="Calibri" w:cs="Times New Roman"/>
                <w:noProof w:val="0"/>
                <w:color w:val="000000"/>
                <w:lang w:val="tr-TR" w:eastAsia="tr-TR"/>
              </w:rPr>
              <w:t>.</w:t>
            </w:r>
            <w:r w:rsidRPr="00040EFE">
              <w:rPr>
                <w:rFonts w:ascii="Calibri" w:eastAsia="Times New Roman" w:hAnsi="Calibri" w:cs="Times New Roman"/>
                <w:noProof w:val="0"/>
                <w:color w:val="000000"/>
                <w:lang w:val="tr-TR" w:eastAsia="tr-TR"/>
              </w:rPr>
              <w:t>912</w:t>
            </w:r>
          </w:p>
        </w:tc>
        <w:tc>
          <w:tcPr>
            <w:tcW w:w="1815" w:type="dxa"/>
            <w:shd w:val="clear" w:color="auto" w:fill="auto"/>
            <w:noWrap/>
            <w:vAlign w:val="bottom"/>
            <w:hideMark/>
          </w:tcPr>
          <w:p w:rsidR="00E55BE2" w:rsidRPr="00040EFE" w:rsidRDefault="00E55BE2" w:rsidP="00B11620">
            <w:pPr>
              <w:spacing w:after="0" w:line="240" w:lineRule="auto"/>
              <w:jc w:val="right"/>
              <w:rPr>
                <w:rFonts w:ascii="Calibri" w:eastAsia="Times New Roman" w:hAnsi="Calibri" w:cs="Times New Roman"/>
                <w:noProof w:val="0"/>
                <w:color w:val="000000"/>
                <w:lang w:val="tr-TR" w:eastAsia="tr-TR"/>
              </w:rPr>
            </w:pPr>
            <w:r w:rsidRPr="00040EFE">
              <w:rPr>
                <w:rFonts w:ascii="Calibri" w:eastAsia="Times New Roman" w:hAnsi="Calibri" w:cs="Times New Roman"/>
                <w:noProof w:val="0"/>
                <w:color w:val="000000"/>
                <w:lang w:val="tr-TR" w:eastAsia="tr-TR"/>
              </w:rPr>
              <w:t>129</w:t>
            </w:r>
          </w:p>
        </w:tc>
        <w:tc>
          <w:tcPr>
            <w:tcW w:w="2069" w:type="dxa"/>
            <w:shd w:val="clear" w:color="auto" w:fill="auto"/>
            <w:noWrap/>
            <w:vAlign w:val="bottom"/>
            <w:hideMark/>
          </w:tcPr>
          <w:p w:rsidR="00E55BE2" w:rsidRPr="00040EFE" w:rsidRDefault="00E55BE2" w:rsidP="00B11620">
            <w:pPr>
              <w:spacing w:after="0" w:line="240" w:lineRule="auto"/>
              <w:jc w:val="right"/>
              <w:rPr>
                <w:rFonts w:ascii="Calibri" w:eastAsia="Times New Roman" w:hAnsi="Calibri" w:cs="Times New Roman"/>
                <w:noProof w:val="0"/>
                <w:color w:val="000000"/>
                <w:lang w:val="tr-TR" w:eastAsia="tr-TR"/>
              </w:rPr>
            </w:pPr>
            <w:r w:rsidRPr="00040EFE">
              <w:rPr>
                <w:rFonts w:ascii="Calibri" w:eastAsia="Times New Roman" w:hAnsi="Calibri" w:cs="Times New Roman"/>
                <w:noProof w:val="0"/>
                <w:color w:val="000000"/>
                <w:lang w:val="tr-TR" w:eastAsia="tr-TR"/>
              </w:rPr>
              <w:t>7</w:t>
            </w:r>
            <w:r>
              <w:rPr>
                <w:rFonts w:ascii="Calibri" w:eastAsia="Times New Roman" w:hAnsi="Calibri" w:cs="Times New Roman"/>
                <w:noProof w:val="0"/>
                <w:color w:val="000000"/>
                <w:lang w:val="tr-TR" w:eastAsia="tr-TR"/>
              </w:rPr>
              <w:t>,</w:t>
            </w:r>
            <w:r w:rsidRPr="00040EFE">
              <w:rPr>
                <w:rFonts w:ascii="Calibri" w:eastAsia="Times New Roman" w:hAnsi="Calibri" w:cs="Times New Roman"/>
                <w:noProof w:val="0"/>
                <w:color w:val="000000"/>
                <w:lang w:val="tr-TR" w:eastAsia="tr-TR"/>
              </w:rPr>
              <w:t>2</w:t>
            </w:r>
          </w:p>
        </w:tc>
      </w:tr>
      <w:tr w:rsidR="00E55BE2" w:rsidRPr="00040EFE" w:rsidTr="00323A23">
        <w:trPr>
          <w:trHeight w:val="270"/>
        </w:trPr>
        <w:tc>
          <w:tcPr>
            <w:tcW w:w="1275" w:type="dxa"/>
            <w:shd w:val="clear" w:color="auto" w:fill="auto"/>
            <w:noWrap/>
            <w:vAlign w:val="bottom"/>
            <w:hideMark/>
          </w:tcPr>
          <w:p w:rsidR="00E55BE2" w:rsidRPr="00040EFE" w:rsidRDefault="00E55BE2" w:rsidP="00B11620">
            <w:pPr>
              <w:spacing w:after="0" w:line="240" w:lineRule="auto"/>
              <w:rPr>
                <w:rFonts w:ascii="Calibri" w:eastAsia="Times New Roman" w:hAnsi="Calibri" w:cs="Times New Roman"/>
                <w:b/>
                <w:bCs/>
                <w:noProof w:val="0"/>
                <w:color w:val="000000"/>
                <w:lang w:val="tr-TR" w:eastAsia="tr-TR"/>
              </w:rPr>
            </w:pPr>
            <w:r w:rsidRPr="00040EFE">
              <w:rPr>
                <w:rFonts w:ascii="Calibri" w:eastAsia="Times New Roman" w:hAnsi="Calibri" w:cs="Times New Roman"/>
                <w:b/>
                <w:bCs/>
                <w:noProof w:val="0"/>
                <w:color w:val="000000"/>
                <w:lang w:val="tr-TR" w:eastAsia="tr-TR"/>
              </w:rPr>
              <w:t>45-54 yaş</w:t>
            </w:r>
          </w:p>
        </w:tc>
        <w:tc>
          <w:tcPr>
            <w:tcW w:w="2046" w:type="dxa"/>
            <w:shd w:val="clear" w:color="auto" w:fill="auto"/>
            <w:noWrap/>
            <w:vAlign w:val="bottom"/>
            <w:hideMark/>
          </w:tcPr>
          <w:p w:rsidR="00E55BE2" w:rsidRPr="00040EFE" w:rsidRDefault="00E55BE2" w:rsidP="00B11620">
            <w:pPr>
              <w:spacing w:after="0" w:line="240" w:lineRule="auto"/>
              <w:jc w:val="right"/>
              <w:rPr>
                <w:rFonts w:ascii="Calibri" w:eastAsia="Times New Roman" w:hAnsi="Calibri" w:cs="Times New Roman"/>
                <w:noProof w:val="0"/>
                <w:color w:val="000000"/>
                <w:lang w:val="tr-TR" w:eastAsia="tr-TR"/>
              </w:rPr>
            </w:pPr>
            <w:r w:rsidRPr="00040EFE">
              <w:rPr>
                <w:rFonts w:ascii="Calibri" w:eastAsia="Times New Roman" w:hAnsi="Calibri" w:cs="Times New Roman"/>
                <w:noProof w:val="0"/>
                <w:color w:val="000000"/>
                <w:lang w:val="tr-TR" w:eastAsia="tr-TR"/>
              </w:rPr>
              <w:t>1</w:t>
            </w:r>
            <w:r>
              <w:rPr>
                <w:rFonts w:ascii="Calibri" w:eastAsia="Times New Roman" w:hAnsi="Calibri" w:cs="Times New Roman"/>
                <w:noProof w:val="0"/>
                <w:color w:val="000000"/>
                <w:lang w:val="tr-TR" w:eastAsia="tr-TR"/>
              </w:rPr>
              <w:t>.</w:t>
            </w:r>
            <w:r w:rsidRPr="00040EFE">
              <w:rPr>
                <w:rFonts w:ascii="Calibri" w:eastAsia="Times New Roman" w:hAnsi="Calibri" w:cs="Times New Roman"/>
                <w:noProof w:val="0"/>
                <w:color w:val="000000"/>
                <w:lang w:val="tr-TR" w:eastAsia="tr-TR"/>
              </w:rPr>
              <w:t>759</w:t>
            </w:r>
          </w:p>
        </w:tc>
        <w:tc>
          <w:tcPr>
            <w:tcW w:w="1961" w:type="dxa"/>
            <w:shd w:val="clear" w:color="auto" w:fill="auto"/>
            <w:noWrap/>
            <w:vAlign w:val="bottom"/>
            <w:hideMark/>
          </w:tcPr>
          <w:p w:rsidR="00E55BE2" w:rsidRPr="00040EFE" w:rsidRDefault="00E55BE2" w:rsidP="00B11620">
            <w:pPr>
              <w:spacing w:after="0" w:line="240" w:lineRule="auto"/>
              <w:jc w:val="right"/>
              <w:rPr>
                <w:rFonts w:ascii="Calibri" w:eastAsia="Times New Roman" w:hAnsi="Calibri" w:cs="Times New Roman"/>
                <w:noProof w:val="0"/>
                <w:color w:val="000000"/>
                <w:lang w:val="tr-TR" w:eastAsia="tr-TR"/>
              </w:rPr>
            </w:pPr>
            <w:r w:rsidRPr="00040EFE">
              <w:rPr>
                <w:rFonts w:ascii="Calibri" w:eastAsia="Times New Roman" w:hAnsi="Calibri" w:cs="Times New Roman"/>
                <w:noProof w:val="0"/>
                <w:color w:val="000000"/>
                <w:lang w:val="tr-TR" w:eastAsia="tr-TR"/>
              </w:rPr>
              <w:t>1</w:t>
            </w:r>
            <w:r>
              <w:rPr>
                <w:rFonts w:ascii="Calibri" w:eastAsia="Times New Roman" w:hAnsi="Calibri" w:cs="Times New Roman"/>
                <w:noProof w:val="0"/>
                <w:color w:val="000000"/>
                <w:lang w:val="tr-TR" w:eastAsia="tr-TR"/>
              </w:rPr>
              <w:t>.</w:t>
            </w:r>
            <w:r w:rsidRPr="00040EFE">
              <w:rPr>
                <w:rFonts w:ascii="Calibri" w:eastAsia="Times New Roman" w:hAnsi="Calibri" w:cs="Times New Roman"/>
                <w:noProof w:val="0"/>
                <w:color w:val="000000"/>
                <w:lang w:val="tr-TR" w:eastAsia="tr-TR"/>
              </w:rPr>
              <w:t>914</w:t>
            </w:r>
          </w:p>
        </w:tc>
        <w:tc>
          <w:tcPr>
            <w:tcW w:w="1815" w:type="dxa"/>
            <w:shd w:val="clear" w:color="auto" w:fill="auto"/>
            <w:noWrap/>
            <w:vAlign w:val="bottom"/>
            <w:hideMark/>
          </w:tcPr>
          <w:p w:rsidR="00E55BE2" w:rsidRPr="00040EFE" w:rsidRDefault="00E55BE2" w:rsidP="00B11620">
            <w:pPr>
              <w:spacing w:after="0" w:line="240" w:lineRule="auto"/>
              <w:jc w:val="right"/>
              <w:rPr>
                <w:rFonts w:ascii="Calibri" w:eastAsia="Times New Roman" w:hAnsi="Calibri" w:cs="Times New Roman"/>
                <w:noProof w:val="0"/>
                <w:color w:val="000000"/>
                <w:lang w:val="tr-TR" w:eastAsia="tr-TR"/>
              </w:rPr>
            </w:pPr>
            <w:r w:rsidRPr="00040EFE">
              <w:rPr>
                <w:rFonts w:ascii="Calibri" w:eastAsia="Times New Roman" w:hAnsi="Calibri" w:cs="Times New Roman"/>
                <w:noProof w:val="0"/>
                <w:color w:val="000000"/>
                <w:lang w:val="tr-TR" w:eastAsia="tr-TR"/>
              </w:rPr>
              <w:t>155</w:t>
            </w:r>
          </w:p>
        </w:tc>
        <w:tc>
          <w:tcPr>
            <w:tcW w:w="2069" w:type="dxa"/>
            <w:shd w:val="clear" w:color="auto" w:fill="auto"/>
            <w:noWrap/>
            <w:vAlign w:val="bottom"/>
            <w:hideMark/>
          </w:tcPr>
          <w:p w:rsidR="00E55BE2" w:rsidRPr="00040EFE" w:rsidRDefault="00E55BE2" w:rsidP="00B11620">
            <w:pPr>
              <w:spacing w:after="0" w:line="240" w:lineRule="auto"/>
              <w:jc w:val="right"/>
              <w:rPr>
                <w:rFonts w:ascii="Calibri" w:eastAsia="Times New Roman" w:hAnsi="Calibri" w:cs="Times New Roman"/>
                <w:noProof w:val="0"/>
                <w:color w:val="000000"/>
                <w:lang w:val="tr-TR" w:eastAsia="tr-TR"/>
              </w:rPr>
            </w:pPr>
            <w:r w:rsidRPr="00040EFE">
              <w:rPr>
                <w:rFonts w:ascii="Calibri" w:eastAsia="Times New Roman" w:hAnsi="Calibri" w:cs="Times New Roman"/>
                <w:noProof w:val="0"/>
                <w:color w:val="000000"/>
                <w:lang w:val="tr-TR" w:eastAsia="tr-TR"/>
              </w:rPr>
              <w:t>8</w:t>
            </w:r>
            <w:r>
              <w:rPr>
                <w:rFonts w:ascii="Calibri" w:eastAsia="Times New Roman" w:hAnsi="Calibri" w:cs="Times New Roman"/>
                <w:noProof w:val="0"/>
                <w:color w:val="000000"/>
                <w:lang w:val="tr-TR" w:eastAsia="tr-TR"/>
              </w:rPr>
              <w:t>,</w:t>
            </w:r>
            <w:r w:rsidRPr="00040EFE">
              <w:rPr>
                <w:rFonts w:ascii="Calibri" w:eastAsia="Times New Roman" w:hAnsi="Calibri" w:cs="Times New Roman"/>
                <w:noProof w:val="0"/>
                <w:color w:val="000000"/>
                <w:lang w:val="tr-TR" w:eastAsia="tr-TR"/>
              </w:rPr>
              <w:t>8</w:t>
            </w:r>
          </w:p>
        </w:tc>
      </w:tr>
      <w:tr w:rsidR="00E55BE2" w:rsidRPr="00040EFE" w:rsidTr="00323A23">
        <w:trPr>
          <w:trHeight w:val="270"/>
        </w:trPr>
        <w:tc>
          <w:tcPr>
            <w:tcW w:w="1275" w:type="dxa"/>
            <w:shd w:val="clear" w:color="auto" w:fill="auto"/>
            <w:noWrap/>
            <w:vAlign w:val="bottom"/>
            <w:hideMark/>
          </w:tcPr>
          <w:p w:rsidR="00E55BE2" w:rsidRPr="00040EFE" w:rsidRDefault="00E55BE2" w:rsidP="00B11620">
            <w:pPr>
              <w:spacing w:after="0" w:line="240" w:lineRule="auto"/>
              <w:rPr>
                <w:rFonts w:ascii="Calibri" w:eastAsia="Times New Roman" w:hAnsi="Calibri" w:cs="Times New Roman"/>
                <w:b/>
                <w:bCs/>
                <w:noProof w:val="0"/>
                <w:color w:val="000000"/>
                <w:lang w:val="tr-TR" w:eastAsia="tr-TR"/>
              </w:rPr>
            </w:pPr>
            <w:r w:rsidRPr="00040EFE">
              <w:rPr>
                <w:rFonts w:ascii="Calibri" w:eastAsia="Times New Roman" w:hAnsi="Calibri" w:cs="Times New Roman"/>
                <w:b/>
                <w:bCs/>
                <w:noProof w:val="0"/>
                <w:color w:val="000000"/>
                <w:lang w:val="tr-TR" w:eastAsia="tr-TR"/>
              </w:rPr>
              <w:t>55-64 yaş</w:t>
            </w:r>
          </w:p>
        </w:tc>
        <w:tc>
          <w:tcPr>
            <w:tcW w:w="2046" w:type="dxa"/>
            <w:shd w:val="clear" w:color="auto" w:fill="auto"/>
            <w:noWrap/>
            <w:vAlign w:val="bottom"/>
            <w:hideMark/>
          </w:tcPr>
          <w:p w:rsidR="00E55BE2" w:rsidRPr="00040EFE" w:rsidRDefault="00E55BE2" w:rsidP="00B11620">
            <w:pPr>
              <w:spacing w:after="0" w:line="240" w:lineRule="auto"/>
              <w:jc w:val="right"/>
              <w:rPr>
                <w:rFonts w:ascii="Calibri" w:eastAsia="Times New Roman" w:hAnsi="Calibri" w:cs="Times New Roman"/>
                <w:noProof w:val="0"/>
                <w:color w:val="000000"/>
                <w:lang w:val="tr-TR" w:eastAsia="tr-TR"/>
              </w:rPr>
            </w:pPr>
            <w:r w:rsidRPr="00040EFE">
              <w:rPr>
                <w:rFonts w:ascii="Calibri" w:eastAsia="Times New Roman" w:hAnsi="Calibri" w:cs="Times New Roman"/>
                <w:noProof w:val="0"/>
                <w:color w:val="000000"/>
                <w:lang w:val="tr-TR" w:eastAsia="tr-TR"/>
              </w:rPr>
              <w:t>2</w:t>
            </w:r>
            <w:r>
              <w:rPr>
                <w:rFonts w:ascii="Calibri" w:eastAsia="Times New Roman" w:hAnsi="Calibri" w:cs="Times New Roman"/>
                <w:noProof w:val="0"/>
                <w:color w:val="000000"/>
                <w:lang w:val="tr-TR" w:eastAsia="tr-TR"/>
              </w:rPr>
              <w:t>.</w:t>
            </w:r>
            <w:r w:rsidRPr="00040EFE">
              <w:rPr>
                <w:rFonts w:ascii="Calibri" w:eastAsia="Times New Roman" w:hAnsi="Calibri" w:cs="Times New Roman"/>
                <w:noProof w:val="0"/>
                <w:color w:val="000000"/>
                <w:lang w:val="tr-TR" w:eastAsia="tr-TR"/>
              </w:rPr>
              <w:t>081</w:t>
            </w:r>
          </w:p>
        </w:tc>
        <w:tc>
          <w:tcPr>
            <w:tcW w:w="1961" w:type="dxa"/>
            <w:shd w:val="clear" w:color="auto" w:fill="auto"/>
            <w:noWrap/>
            <w:vAlign w:val="bottom"/>
            <w:hideMark/>
          </w:tcPr>
          <w:p w:rsidR="00E55BE2" w:rsidRPr="00040EFE" w:rsidRDefault="00E55BE2" w:rsidP="00B11620">
            <w:pPr>
              <w:spacing w:after="0" w:line="240" w:lineRule="auto"/>
              <w:jc w:val="right"/>
              <w:rPr>
                <w:rFonts w:ascii="Calibri" w:eastAsia="Times New Roman" w:hAnsi="Calibri" w:cs="Times New Roman"/>
                <w:noProof w:val="0"/>
                <w:color w:val="000000"/>
                <w:lang w:val="tr-TR" w:eastAsia="tr-TR"/>
              </w:rPr>
            </w:pPr>
            <w:r w:rsidRPr="00040EFE">
              <w:rPr>
                <w:rFonts w:ascii="Calibri" w:eastAsia="Times New Roman" w:hAnsi="Calibri" w:cs="Times New Roman"/>
                <w:noProof w:val="0"/>
                <w:color w:val="000000"/>
                <w:lang w:val="tr-TR" w:eastAsia="tr-TR"/>
              </w:rPr>
              <w:t>2</w:t>
            </w:r>
            <w:r>
              <w:rPr>
                <w:rFonts w:ascii="Calibri" w:eastAsia="Times New Roman" w:hAnsi="Calibri" w:cs="Times New Roman"/>
                <w:noProof w:val="0"/>
                <w:color w:val="000000"/>
                <w:lang w:val="tr-TR" w:eastAsia="tr-TR"/>
              </w:rPr>
              <w:t>.</w:t>
            </w:r>
            <w:r w:rsidRPr="00040EFE">
              <w:rPr>
                <w:rFonts w:ascii="Calibri" w:eastAsia="Times New Roman" w:hAnsi="Calibri" w:cs="Times New Roman"/>
                <w:noProof w:val="0"/>
                <w:color w:val="000000"/>
                <w:lang w:val="tr-TR" w:eastAsia="tr-TR"/>
              </w:rPr>
              <w:t>240</w:t>
            </w:r>
          </w:p>
        </w:tc>
        <w:tc>
          <w:tcPr>
            <w:tcW w:w="1815" w:type="dxa"/>
            <w:shd w:val="clear" w:color="auto" w:fill="auto"/>
            <w:noWrap/>
            <w:vAlign w:val="bottom"/>
            <w:hideMark/>
          </w:tcPr>
          <w:p w:rsidR="00E55BE2" w:rsidRPr="00040EFE" w:rsidRDefault="00E55BE2" w:rsidP="00B11620">
            <w:pPr>
              <w:spacing w:after="0" w:line="240" w:lineRule="auto"/>
              <w:jc w:val="right"/>
              <w:rPr>
                <w:rFonts w:ascii="Calibri" w:eastAsia="Times New Roman" w:hAnsi="Calibri" w:cs="Times New Roman"/>
                <w:noProof w:val="0"/>
                <w:color w:val="000000"/>
                <w:lang w:val="tr-TR" w:eastAsia="tr-TR"/>
              </w:rPr>
            </w:pPr>
            <w:r w:rsidRPr="00040EFE">
              <w:rPr>
                <w:rFonts w:ascii="Calibri" w:eastAsia="Times New Roman" w:hAnsi="Calibri" w:cs="Times New Roman"/>
                <w:noProof w:val="0"/>
                <w:color w:val="000000"/>
                <w:lang w:val="tr-TR" w:eastAsia="tr-TR"/>
              </w:rPr>
              <w:t>159</w:t>
            </w:r>
          </w:p>
        </w:tc>
        <w:tc>
          <w:tcPr>
            <w:tcW w:w="2069" w:type="dxa"/>
            <w:shd w:val="clear" w:color="auto" w:fill="auto"/>
            <w:noWrap/>
            <w:vAlign w:val="bottom"/>
            <w:hideMark/>
          </w:tcPr>
          <w:p w:rsidR="00E55BE2" w:rsidRPr="00040EFE" w:rsidRDefault="00E55BE2" w:rsidP="00B11620">
            <w:pPr>
              <w:spacing w:after="0" w:line="240" w:lineRule="auto"/>
              <w:jc w:val="right"/>
              <w:rPr>
                <w:rFonts w:ascii="Calibri" w:eastAsia="Times New Roman" w:hAnsi="Calibri" w:cs="Times New Roman"/>
                <w:noProof w:val="0"/>
                <w:color w:val="000000"/>
                <w:lang w:val="tr-TR" w:eastAsia="tr-TR"/>
              </w:rPr>
            </w:pPr>
            <w:r w:rsidRPr="00040EFE">
              <w:rPr>
                <w:rFonts w:ascii="Calibri" w:eastAsia="Times New Roman" w:hAnsi="Calibri" w:cs="Times New Roman"/>
                <w:noProof w:val="0"/>
                <w:color w:val="000000"/>
                <w:lang w:val="tr-TR" w:eastAsia="tr-TR"/>
              </w:rPr>
              <w:t>7</w:t>
            </w:r>
            <w:r>
              <w:rPr>
                <w:rFonts w:ascii="Calibri" w:eastAsia="Times New Roman" w:hAnsi="Calibri" w:cs="Times New Roman"/>
                <w:noProof w:val="0"/>
                <w:color w:val="000000"/>
                <w:lang w:val="tr-TR" w:eastAsia="tr-TR"/>
              </w:rPr>
              <w:t>,</w:t>
            </w:r>
            <w:r w:rsidRPr="00040EFE">
              <w:rPr>
                <w:rFonts w:ascii="Calibri" w:eastAsia="Times New Roman" w:hAnsi="Calibri" w:cs="Times New Roman"/>
                <w:noProof w:val="0"/>
                <w:color w:val="000000"/>
                <w:lang w:val="tr-TR" w:eastAsia="tr-TR"/>
              </w:rPr>
              <w:t>6</w:t>
            </w:r>
          </w:p>
        </w:tc>
      </w:tr>
      <w:tr w:rsidR="00B11620" w:rsidRPr="00040EFE" w:rsidTr="00323A23">
        <w:trPr>
          <w:trHeight w:val="282"/>
        </w:trPr>
        <w:tc>
          <w:tcPr>
            <w:tcW w:w="1275" w:type="dxa"/>
            <w:shd w:val="clear" w:color="auto" w:fill="auto"/>
            <w:noWrap/>
            <w:vAlign w:val="bottom"/>
            <w:hideMark/>
          </w:tcPr>
          <w:p w:rsidR="00E55BE2" w:rsidRPr="00040EFE" w:rsidRDefault="00E55BE2" w:rsidP="00B11620">
            <w:pPr>
              <w:spacing w:after="0" w:line="240" w:lineRule="auto"/>
              <w:rPr>
                <w:rFonts w:ascii="Calibri" w:eastAsia="Times New Roman" w:hAnsi="Calibri" w:cs="Times New Roman"/>
                <w:b/>
                <w:bCs/>
                <w:noProof w:val="0"/>
                <w:color w:val="000000"/>
                <w:lang w:val="tr-TR" w:eastAsia="tr-TR"/>
              </w:rPr>
            </w:pPr>
            <w:r w:rsidRPr="00040EFE">
              <w:rPr>
                <w:rFonts w:ascii="Calibri" w:eastAsia="Times New Roman" w:hAnsi="Calibri" w:cs="Times New Roman"/>
                <w:b/>
                <w:bCs/>
                <w:noProof w:val="0"/>
                <w:color w:val="000000"/>
                <w:lang w:val="tr-TR" w:eastAsia="tr-TR"/>
              </w:rPr>
              <w:t>64 üstü yaş</w:t>
            </w:r>
          </w:p>
        </w:tc>
        <w:tc>
          <w:tcPr>
            <w:tcW w:w="2046" w:type="dxa"/>
            <w:shd w:val="clear" w:color="auto" w:fill="auto"/>
            <w:noWrap/>
            <w:vAlign w:val="bottom"/>
            <w:hideMark/>
          </w:tcPr>
          <w:p w:rsidR="00E55BE2" w:rsidRPr="00040EFE" w:rsidRDefault="00E55BE2" w:rsidP="00B11620">
            <w:pPr>
              <w:spacing w:after="0" w:line="240" w:lineRule="auto"/>
              <w:jc w:val="right"/>
              <w:rPr>
                <w:rFonts w:ascii="Calibri" w:eastAsia="Times New Roman" w:hAnsi="Calibri" w:cs="Times New Roman"/>
                <w:noProof w:val="0"/>
                <w:color w:val="000000"/>
                <w:lang w:val="tr-TR" w:eastAsia="tr-TR"/>
              </w:rPr>
            </w:pPr>
            <w:r w:rsidRPr="00040EFE">
              <w:rPr>
                <w:rFonts w:ascii="Calibri" w:eastAsia="Times New Roman" w:hAnsi="Calibri" w:cs="Times New Roman"/>
                <w:noProof w:val="0"/>
                <w:color w:val="000000"/>
                <w:lang w:val="tr-TR" w:eastAsia="tr-TR"/>
              </w:rPr>
              <w:t>2</w:t>
            </w:r>
            <w:r>
              <w:rPr>
                <w:rFonts w:ascii="Calibri" w:eastAsia="Times New Roman" w:hAnsi="Calibri" w:cs="Times New Roman"/>
                <w:noProof w:val="0"/>
                <w:color w:val="000000"/>
                <w:lang w:val="tr-TR" w:eastAsia="tr-TR"/>
              </w:rPr>
              <w:t>.</w:t>
            </w:r>
            <w:r w:rsidRPr="00040EFE">
              <w:rPr>
                <w:rFonts w:ascii="Calibri" w:eastAsia="Times New Roman" w:hAnsi="Calibri" w:cs="Times New Roman"/>
                <w:noProof w:val="0"/>
                <w:color w:val="000000"/>
                <w:lang w:val="tr-TR" w:eastAsia="tr-TR"/>
              </w:rPr>
              <w:t>638</w:t>
            </w:r>
          </w:p>
        </w:tc>
        <w:tc>
          <w:tcPr>
            <w:tcW w:w="1961" w:type="dxa"/>
            <w:shd w:val="clear" w:color="auto" w:fill="auto"/>
            <w:noWrap/>
            <w:vAlign w:val="bottom"/>
            <w:hideMark/>
          </w:tcPr>
          <w:p w:rsidR="00E55BE2" w:rsidRPr="00040EFE" w:rsidRDefault="00E55BE2" w:rsidP="00B11620">
            <w:pPr>
              <w:spacing w:after="0" w:line="240" w:lineRule="auto"/>
              <w:jc w:val="right"/>
              <w:rPr>
                <w:rFonts w:ascii="Calibri" w:eastAsia="Times New Roman" w:hAnsi="Calibri" w:cs="Times New Roman"/>
                <w:noProof w:val="0"/>
                <w:color w:val="000000"/>
                <w:lang w:val="tr-TR" w:eastAsia="tr-TR"/>
              </w:rPr>
            </w:pPr>
            <w:r w:rsidRPr="00040EFE">
              <w:rPr>
                <w:rFonts w:ascii="Calibri" w:eastAsia="Times New Roman" w:hAnsi="Calibri" w:cs="Times New Roman"/>
                <w:noProof w:val="0"/>
                <w:color w:val="000000"/>
                <w:lang w:val="tr-TR" w:eastAsia="tr-TR"/>
              </w:rPr>
              <w:t>2</w:t>
            </w:r>
            <w:r>
              <w:rPr>
                <w:rFonts w:ascii="Calibri" w:eastAsia="Times New Roman" w:hAnsi="Calibri" w:cs="Times New Roman"/>
                <w:noProof w:val="0"/>
                <w:color w:val="000000"/>
                <w:lang w:val="tr-TR" w:eastAsia="tr-TR"/>
              </w:rPr>
              <w:t>.</w:t>
            </w:r>
            <w:r w:rsidRPr="00040EFE">
              <w:rPr>
                <w:rFonts w:ascii="Calibri" w:eastAsia="Times New Roman" w:hAnsi="Calibri" w:cs="Times New Roman"/>
                <w:noProof w:val="0"/>
                <w:color w:val="000000"/>
                <w:lang w:val="tr-TR" w:eastAsia="tr-TR"/>
              </w:rPr>
              <w:t>835</w:t>
            </w:r>
          </w:p>
        </w:tc>
        <w:tc>
          <w:tcPr>
            <w:tcW w:w="1815" w:type="dxa"/>
            <w:shd w:val="clear" w:color="auto" w:fill="auto"/>
            <w:noWrap/>
            <w:vAlign w:val="bottom"/>
            <w:hideMark/>
          </w:tcPr>
          <w:p w:rsidR="00E55BE2" w:rsidRPr="00040EFE" w:rsidRDefault="00E55BE2" w:rsidP="00B11620">
            <w:pPr>
              <w:spacing w:after="0" w:line="240" w:lineRule="auto"/>
              <w:jc w:val="right"/>
              <w:rPr>
                <w:rFonts w:ascii="Calibri" w:eastAsia="Times New Roman" w:hAnsi="Calibri" w:cs="Times New Roman"/>
                <w:noProof w:val="0"/>
                <w:color w:val="000000"/>
                <w:lang w:val="tr-TR" w:eastAsia="tr-TR"/>
              </w:rPr>
            </w:pPr>
            <w:r w:rsidRPr="00040EFE">
              <w:rPr>
                <w:rFonts w:ascii="Calibri" w:eastAsia="Times New Roman" w:hAnsi="Calibri" w:cs="Times New Roman"/>
                <w:noProof w:val="0"/>
                <w:color w:val="000000"/>
                <w:lang w:val="tr-TR" w:eastAsia="tr-TR"/>
              </w:rPr>
              <w:t>198</w:t>
            </w:r>
          </w:p>
        </w:tc>
        <w:tc>
          <w:tcPr>
            <w:tcW w:w="2069" w:type="dxa"/>
            <w:shd w:val="clear" w:color="auto" w:fill="auto"/>
            <w:noWrap/>
            <w:vAlign w:val="bottom"/>
            <w:hideMark/>
          </w:tcPr>
          <w:p w:rsidR="00E55BE2" w:rsidRPr="00040EFE" w:rsidRDefault="00E55BE2" w:rsidP="00B11620">
            <w:pPr>
              <w:spacing w:after="0" w:line="240" w:lineRule="auto"/>
              <w:jc w:val="right"/>
              <w:rPr>
                <w:rFonts w:ascii="Calibri" w:eastAsia="Times New Roman" w:hAnsi="Calibri" w:cs="Times New Roman"/>
                <w:noProof w:val="0"/>
                <w:color w:val="000000"/>
                <w:lang w:val="tr-TR" w:eastAsia="tr-TR"/>
              </w:rPr>
            </w:pPr>
            <w:r w:rsidRPr="00040EFE">
              <w:rPr>
                <w:rFonts w:ascii="Calibri" w:eastAsia="Times New Roman" w:hAnsi="Calibri" w:cs="Times New Roman"/>
                <w:noProof w:val="0"/>
                <w:color w:val="000000"/>
                <w:lang w:val="tr-TR" w:eastAsia="tr-TR"/>
              </w:rPr>
              <w:t>7</w:t>
            </w:r>
            <w:r>
              <w:rPr>
                <w:rFonts w:ascii="Calibri" w:eastAsia="Times New Roman" w:hAnsi="Calibri" w:cs="Times New Roman"/>
                <w:noProof w:val="0"/>
                <w:color w:val="000000"/>
                <w:lang w:val="tr-TR" w:eastAsia="tr-TR"/>
              </w:rPr>
              <w:t>,</w:t>
            </w:r>
            <w:r w:rsidRPr="00040EFE">
              <w:rPr>
                <w:rFonts w:ascii="Calibri" w:eastAsia="Times New Roman" w:hAnsi="Calibri" w:cs="Times New Roman"/>
                <w:noProof w:val="0"/>
                <w:color w:val="000000"/>
                <w:lang w:val="tr-TR" w:eastAsia="tr-TR"/>
              </w:rPr>
              <w:t>5</w:t>
            </w:r>
          </w:p>
        </w:tc>
      </w:tr>
      <w:tr w:rsidR="00B11620" w:rsidRPr="00040EFE" w:rsidTr="00323A23">
        <w:trPr>
          <w:trHeight w:val="240"/>
        </w:trPr>
        <w:tc>
          <w:tcPr>
            <w:tcW w:w="1275" w:type="dxa"/>
            <w:shd w:val="clear" w:color="auto" w:fill="auto"/>
            <w:noWrap/>
            <w:vAlign w:val="bottom"/>
          </w:tcPr>
          <w:p w:rsidR="00B11620" w:rsidRPr="00E5747D" w:rsidRDefault="00B11620" w:rsidP="00B11620">
            <w:pPr>
              <w:spacing w:after="0" w:line="240" w:lineRule="auto"/>
              <w:rPr>
                <w:b/>
                <w:lang w:val="tr-TR"/>
              </w:rPr>
            </w:pPr>
            <w:r w:rsidRPr="00E5747D">
              <w:rPr>
                <w:b/>
                <w:i/>
                <w:lang w:val="tr-TR"/>
              </w:rPr>
              <w:t>Türkiye</w:t>
            </w:r>
          </w:p>
        </w:tc>
        <w:tc>
          <w:tcPr>
            <w:tcW w:w="2046" w:type="dxa"/>
            <w:shd w:val="clear" w:color="auto" w:fill="auto"/>
            <w:noWrap/>
            <w:vAlign w:val="bottom"/>
          </w:tcPr>
          <w:p w:rsidR="00B11620" w:rsidRPr="00E5747D" w:rsidRDefault="00B11620" w:rsidP="00B11620">
            <w:pPr>
              <w:spacing w:after="0" w:line="240" w:lineRule="auto"/>
              <w:jc w:val="right"/>
              <w:rPr>
                <w:lang w:val="tr-TR"/>
              </w:rPr>
            </w:pPr>
            <w:r w:rsidRPr="00E5747D">
              <w:rPr>
                <w:lang w:val="tr-TR"/>
              </w:rPr>
              <w:t>1.595</w:t>
            </w:r>
          </w:p>
        </w:tc>
        <w:tc>
          <w:tcPr>
            <w:tcW w:w="1961" w:type="dxa"/>
            <w:shd w:val="clear" w:color="auto" w:fill="auto"/>
            <w:noWrap/>
            <w:vAlign w:val="bottom"/>
          </w:tcPr>
          <w:p w:rsidR="00B11620" w:rsidRPr="00E5747D" w:rsidRDefault="00B11620" w:rsidP="00B11620">
            <w:pPr>
              <w:spacing w:after="0" w:line="240" w:lineRule="auto"/>
              <w:jc w:val="right"/>
              <w:rPr>
                <w:lang w:val="tr-TR"/>
              </w:rPr>
            </w:pPr>
            <w:r w:rsidRPr="00E5747D">
              <w:rPr>
                <w:lang w:val="tr-TR"/>
              </w:rPr>
              <w:t>1.749</w:t>
            </w:r>
          </w:p>
        </w:tc>
        <w:tc>
          <w:tcPr>
            <w:tcW w:w="1815" w:type="dxa"/>
            <w:shd w:val="clear" w:color="auto" w:fill="auto"/>
            <w:noWrap/>
            <w:vAlign w:val="bottom"/>
          </w:tcPr>
          <w:p w:rsidR="00B11620" w:rsidRPr="00E5747D" w:rsidRDefault="00B11620" w:rsidP="00B11620">
            <w:pPr>
              <w:spacing w:after="0" w:line="240" w:lineRule="auto"/>
              <w:jc w:val="right"/>
              <w:rPr>
                <w:lang w:val="tr-TR"/>
              </w:rPr>
            </w:pPr>
            <w:r w:rsidRPr="00E5747D">
              <w:rPr>
                <w:lang w:val="tr-TR"/>
              </w:rPr>
              <w:t>154</w:t>
            </w:r>
          </w:p>
        </w:tc>
        <w:tc>
          <w:tcPr>
            <w:tcW w:w="2069" w:type="dxa"/>
            <w:shd w:val="clear" w:color="auto" w:fill="auto"/>
            <w:noWrap/>
            <w:vAlign w:val="bottom"/>
          </w:tcPr>
          <w:p w:rsidR="00B11620" w:rsidRPr="00E5747D" w:rsidRDefault="00B11620" w:rsidP="00B11620">
            <w:pPr>
              <w:spacing w:after="0" w:line="240" w:lineRule="auto"/>
              <w:jc w:val="right"/>
              <w:rPr>
                <w:lang w:val="tr-TR"/>
              </w:rPr>
            </w:pPr>
            <w:r w:rsidRPr="00E5747D">
              <w:rPr>
                <w:lang w:val="tr-TR"/>
              </w:rPr>
              <w:t>9,7</w:t>
            </w:r>
          </w:p>
        </w:tc>
      </w:tr>
    </w:tbl>
    <w:p w:rsidR="002B6304" w:rsidRDefault="00F41920" w:rsidP="002B6304">
      <w:pPr>
        <w:rPr>
          <w:sz w:val="20"/>
          <w:szCs w:val="20"/>
          <w:lang w:val="tr-TR"/>
        </w:rPr>
      </w:pPr>
      <w:r w:rsidRPr="00E5747D">
        <w:rPr>
          <w:sz w:val="20"/>
          <w:szCs w:val="20"/>
          <w:lang w:val="tr-TR"/>
        </w:rPr>
        <w:t>Kaynak: HİA 2013, Betam Kasım 2015 güncellemesi</w:t>
      </w:r>
    </w:p>
    <w:p w:rsidR="007E0846" w:rsidRDefault="00214AD9" w:rsidP="007E0846">
      <w:r>
        <w:rPr>
          <w:highlight w:val="yellow"/>
        </w:rPr>
        <w:fldChar w:fldCharType="begin"/>
      </w:r>
      <w:r w:rsidR="00144382">
        <w:instrText xml:space="preserve"> REF _Ref443040554 \h </w:instrText>
      </w:r>
      <w:r>
        <w:rPr>
          <w:highlight w:val="yellow"/>
        </w:rPr>
      </w:r>
      <w:r>
        <w:rPr>
          <w:highlight w:val="yellow"/>
        </w:rPr>
        <w:fldChar w:fldCharType="separate"/>
      </w:r>
      <w:r w:rsidR="005551C6" w:rsidRPr="00144382">
        <w:rPr>
          <w:lang w:val="tr-TR"/>
        </w:rPr>
        <w:t xml:space="preserve">Tablo </w:t>
      </w:r>
      <w:r w:rsidR="005551C6">
        <w:rPr>
          <w:lang w:val="tr-TR"/>
        </w:rPr>
        <w:t>3</w:t>
      </w:r>
      <w:r>
        <w:rPr>
          <w:highlight w:val="yellow"/>
        </w:rPr>
        <w:fldChar w:fldCharType="end"/>
      </w:r>
      <w:r w:rsidR="00144382">
        <w:t>'t</w:t>
      </w:r>
      <w:r w:rsidR="373BADD3">
        <w:t>e güncel</w:t>
      </w:r>
      <w:r w:rsidR="004B7E86">
        <w:t>leştirilmiş ücretler yaş grupları bazında</w:t>
      </w:r>
      <w:r w:rsidR="373BADD3">
        <w:t xml:space="preserve"> hesaplanmıştır. Tablonun ikinci </w:t>
      </w:r>
      <w:r w:rsidR="008A3671">
        <w:t>sütununda</w:t>
      </w:r>
      <w:r w:rsidR="373BADD3">
        <w:t xml:space="preserve"> ise, </w:t>
      </w:r>
      <w:r w:rsidR="00430EC5">
        <w:t>1300TL'den</w:t>
      </w:r>
      <w:r w:rsidR="00E11282">
        <w:t xml:space="preserve"> </w:t>
      </w:r>
      <w:r w:rsidR="00430EC5">
        <w:t>düşük ücret alan b</w:t>
      </w:r>
      <w:r w:rsidR="000F314D">
        <w:t>ireylerin Ocak 2016 itibariyle 1300TL ücret alm</w:t>
      </w:r>
      <w:r w:rsidR="00824E8A">
        <w:t xml:space="preserve">ası durumunda </w:t>
      </w:r>
      <w:r w:rsidR="00824E8A">
        <w:lastRenderedPageBreak/>
        <w:t>oluşması beklenen ortalama üc</w:t>
      </w:r>
      <w:r w:rsidR="00F96BE6">
        <w:t xml:space="preserve">retler </w:t>
      </w:r>
      <w:r w:rsidR="004B7E86">
        <w:t xml:space="preserve">farklı yaş grupları için </w:t>
      </w:r>
      <w:r w:rsidR="00F96BE6">
        <w:t>verilmiştir. Son iki sütu</w:t>
      </w:r>
      <w:r w:rsidR="00824E8A">
        <w:t>nda ise,</w:t>
      </w:r>
      <w:r w:rsidR="001526AB">
        <w:t xml:space="preserve"> ortalama ücretlerde </w:t>
      </w:r>
      <w:r w:rsidR="00817772">
        <w:t>olacak değişikliklerin</w:t>
      </w:r>
      <w:r w:rsidR="001526AB">
        <w:t xml:space="preserve"> </w:t>
      </w:r>
      <w:r w:rsidR="00BD6B6B">
        <w:t>tahmini</w:t>
      </w:r>
      <w:r w:rsidR="000221FB">
        <w:t>,</w:t>
      </w:r>
      <w:r w:rsidR="00BD6B6B">
        <w:t xml:space="preserve"> </w:t>
      </w:r>
      <w:r w:rsidR="001526AB">
        <w:t xml:space="preserve">miktar ve yüzdelik </w:t>
      </w:r>
      <w:r w:rsidR="00204A9D">
        <w:t>olarak</w:t>
      </w:r>
      <w:r w:rsidR="001526AB">
        <w:t xml:space="preserve"> verilmiştir.  </w:t>
      </w:r>
    </w:p>
    <w:p w:rsidR="003B3DD2" w:rsidRDefault="003B3DD2" w:rsidP="007E0846">
      <w:r>
        <w:t xml:space="preserve">Türkiye </w:t>
      </w:r>
      <w:r w:rsidR="00547156">
        <w:t>genelinde</w:t>
      </w:r>
      <w:r>
        <w:t xml:space="preserve"> ortalama </w:t>
      </w:r>
      <w:r w:rsidRPr="0007105E">
        <w:rPr>
          <w:lang w:val="tr-TR"/>
        </w:rPr>
        <w:t>ücretlerdeki artış</w:t>
      </w:r>
      <w:r w:rsidR="001F5C47" w:rsidRPr="0007105E">
        <w:rPr>
          <w:lang w:val="tr-TR"/>
        </w:rPr>
        <w:t>ın</w:t>
      </w:r>
      <w:r w:rsidRPr="0007105E">
        <w:rPr>
          <w:lang w:val="tr-TR"/>
        </w:rPr>
        <w:t xml:space="preserve"> </w:t>
      </w:r>
      <w:r w:rsidR="00140572" w:rsidRPr="0007105E">
        <w:rPr>
          <w:lang w:val="tr-TR"/>
        </w:rPr>
        <w:t>kısıtlayıcı varsayım</w:t>
      </w:r>
      <w:r w:rsidR="00B50B68">
        <w:rPr>
          <w:lang w:val="tr-TR"/>
        </w:rPr>
        <w:t>lar</w:t>
      </w:r>
      <w:r w:rsidR="00140572" w:rsidRPr="0007105E">
        <w:rPr>
          <w:lang w:val="tr-TR"/>
        </w:rPr>
        <w:t xml:space="preserve"> altında </w:t>
      </w:r>
      <w:r w:rsidRPr="0007105E">
        <w:rPr>
          <w:lang w:val="tr-TR"/>
        </w:rPr>
        <w:t>yüzde 9,</w:t>
      </w:r>
      <w:r>
        <w:t xml:space="preserve">7 oranında olması beklenmektedir. Dolayısıyla, </w:t>
      </w:r>
      <w:r w:rsidR="000D6A17">
        <w:t xml:space="preserve">25 ve üzeri yaşlardaki gruplarda ortalama ücret artışının Türkiye ortalamasından daha az olacağı beklenmektedir.  </w:t>
      </w:r>
      <w:r w:rsidR="001F5C47">
        <w:t>Diğer taraftan</w:t>
      </w:r>
      <w:r w:rsidR="000D6A17">
        <w:t>, 15-2</w:t>
      </w:r>
      <w:r w:rsidR="00AB1B80">
        <w:t>4 yaş grubundaki çalışanların (</w:t>
      </w:r>
      <w:r w:rsidR="000D6A17">
        <w:t>tam zamanlı, ücretli/yevmiy</w:t>
      </w:r>
      <w:r w:rsidR="004303B5">
        <w:t xml:space="preserve">eli ve özel sektör çalışanları) </w:t>
      </w:r>
      <w:r w:rsidR="00AB1B80">
        <w:t>ortalama ücretlerinde yüzde 2</w:t>
      </w:r>
      <w:r w:rsidR="00973DC4">
        <w:t>2</w:t>
      </w:r>
      <w:r w:rsidR="00AB1B80">
        <w:t xml:space="preserve"> civa</w:t>
      </w:r>
      <w:r w:rsidR="00BD6B6B">
        <w:t xml:space="preserve">rında bir artış </w:t>
      </w:r>
      <w:r w:rsidR="00BD6B6B" w:rsidRPr="00520AB3">
        <w:rPr>
          <w:lang w:val="tr-TR"/>
        </w:rPr>
        <w:t>beklenmektedir</w:t>
      </w:r>
      <w:r w:rsidR="00BD6B6B">
        <w:t>.</w:t>
      </w:r>
      <w:r w:rsidR="001C2FE6">
        <w:t xml:space="preserve"> Bu grup için beklenen ortalama ücret artışı 250 TL civarındadır. </w:t>
      </w:r>
    </w:p>
    <w:p w:rsidR="00277BF6" w:rsidRPr="00E865C7" w:rsidRDefault="00525936" w:rsidP="007E0846">
      <w:pPr>
        <w:rPr>
          <w:b/>
          <w:sz w:val="24"/>
          <w:szCs w:val="24"/>
        </w:rPr>
      </w:pPr>
      <w:r>
        <w:rPr>
          <w:b/>
          <w:sz w:val="24"/>
          <w:szCs w:val="24"/>
        </w:rPr>
        <w:t>Ü</w:t>
      </w:r>
      <w:r w:rsidR="00E865C7" w:rsidRPr="00E865C7">
        <w:rPr>
          <w:b/>
          <w:sz w:val="24"/>
          <w:szCs w:val="24"/>
        </w:rPr>
        <w:t>cret artış</w:t>
      </w:r>
      <w:r w:rsidR="005E167C">
        <w:rPr>
          <w:b/>
          <w:sz w:val="24"/>
          <w:szCs w:val="24"/>
        </w:rPr>
        <w:t>ları kadın-</w:t>
      </w:r>
      <w:r w:rsidR="00E865C7" w:rsidRPr="00E865C7">
        <w:rPr>
          <w:b/>
          <w:sz w:val="24"/>
          <w:szCs w:val="24"/>
        </w:rPr>
        <w:t>erkek ücret farkını azaltabilir</w:t>
      </w:r>
    </w:p>
    <w:p w:rsidR="00607CC3" w:rsidRDefault="00DA67DC" w:rsidP="002B6304">
      <w:r>
        <w:t xml:space="preserve">Alınan ücretlerdeki farklılıklarda belirgin olan bir diğer etken ise cinsiyettir. </w:t>
      </w:r>
      <w:r w:rsidR="00BD6B6B">
        <w:t>İktisat</w:t>
      </w:r>
      <w:r>
        <w:t xml:space="preserve"> yazınında, kadınların ücretlerinin erkeklerden düşük olmasına yönelik çok boyutlu </w:t>
      </w:r>
      <w:r w:rsidRPr="00144382">
        <w:t>çalışmalar mevcuttur.</w:t>
      </w:r>
      <w:r w:rsidR="002C3E9C" w:rsidRPr="00144382">
        <w:t xml:space="preserve"> K</w:t>
      </w:r>
      <w:r w:rsidR="00DC103D" w:rsidRPr="00144382">
        <w:t xml:space="preserve">adınların ve erkeklerin ücret dağılımının incelendiği </w:t>
      </w:r>
      <w:r w:rsidR="00061BB9">
        <w:fldChar w:fldCharType="begin"/>
      </w:r>
      <w:r w:rsidR="00061BB9">
        <w:instrText xml:space="preserve"> REF _Ref442790604 \h  \* MERGEFORMAT </w:instrText>
      </w:r>
      <w:r w:rsidR="00061BB9">
        <w:fldChar w:fldCharType="separate"/>
      </w:r>
      <w:r w:rsidR="005551C6" w:rsidRPr="005551C6">
        <w:t>Tablo 4</w:t>
      </w:r>
      <w:r w:rsidR="00061BB9">
        <w:fldChar w:fldCharType="end"/>
      </w:r>
      <w:r w:rsidR="00DC103D" w:rsidRPr="00F63ACA">
        <w:t xml:space="preserve">'te </w:t>
      </w:r>
      <w:r w:rsidR="00CD4486" w:rsidRPr="00F63ACA">
        <w:t>kadı</w:t>
      </w:r>
      <w:r w:rsidR="00CD4486" w:rsidRPr="00144382">
        <w:t>nların</w:t>
      </w:r>
      <w:r w:rsidR="00CD4486" w:rsidRPr="00101DA3">
        <w:t xml:space="preserve"> ve erkeklerin sırasıyla yüzde 65,9'unun ve yüzde 54,6'sının aylık 1300TL'den düşük ücretler</w:t>
      </w:r>
      <w:r w:rsidR="00CD4486">
        <w:t xml:space="preserve"> kazandıkları görülmektedir. </w:t>
      </w:r>
    </w:p>
    <w:p w:rsidR="00082E95" w:rsidRPr="00A349EA" w:rsidRDefault="00082E95" w:rsidP="002B6304">
      <w:pPr>
        <w:rPr>
          <w:b/>
          <w:sz w:val="20"/>
          <w:szCs w:val="20"/>
          <w:lang w:val="tr-TR"/>
        </w:rPr>
      </w:pPr>
      <w:bookmarkStart w:id="7" w:name="_Ref442790604"/>
      <w:r w:rsidRPr="00144382">
        <w:rPr>
          <w:b/>
        </w:rPr>
        <w:t xml:space="preserve">Tablo </w:t>
      </w:r>
      <w:r w:rsidR="00214AD9" w:rsidRPr="00144382">
        <w:rPr>
          <w:b/>
        </w:rPr>
        <w:fldChar w:fldCharType="begin"/>
      </w:r>
      <w:r w:rsidRPr="00144382">
        <w:rPr>
          <w:b/>
        </w:rPr>
        <w:instrText xml:space="preserve"> SEQ Tablo \* ARABIC </w:instrText>
      </w:r>
      <w:r w:rsidR="00214AD9" w:rsidRPr="00144382">
        <w:rPr>
          <w:b/>
        </w:rPr>
        <w:fldChar w:fldCharType="separate"/>
      </w:r>
      <w:r w:rsidR="005551C6">
        <w:rPr>
          <w:b/>
        </w:rPr>
        <w:t>4</w:t>
      </w:r>
      <w:r w:rsidR="00214AD9" w:rsidRPr="00144382">
        <w:rPr>
          <w:b/>
        </w:rPr>
        <w:fldChar w:fldCharType="end"/>
      </w:r>
      <w:bookmarkEnd w:id="7"/>
      <w:r w:rsidR="00F340B6" w:rsidRPr="00144382">
        <w:rPr>
          <w:b/>
        </w:rPr>
        <w:t xml:space="preserve"> Cinsiyete</w:t>
      </w:r>
      <w:r w:rsidR="00F340B6" w:rsidRPr="00A349EA">
        <w:rPr>
          <w:b/>
        </w:rPr>
        <w:t xml:space="preserve"> göre bugünkü ücretler</w:t>
      </w:r>
    </w:p>
    <w:tbl>
      <w:tblPr>
        <w:tblW w:w="5600" w:type="dxa"/>
        <w:tblInd w:w="57"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CellMar>
          <w:left w:w="70" w:type="dxa"/>
          <w:right w:w="70" w:type="dxa"/>
        </w:tblCellMar>
        <w:tblLook w:val="04A0" w:firstRow="1" w:lastRow="0" w:firstColumn="1" w:lastColumn="0" w:noHBand="0" w:noVBand="1"/>
      </w:tblPr>
      <w:tblGrid>
        <w:gridCol w:w="960"/>
        <w:gridCol w:w="1293"/>
        <w:gridCol w:w="907"/>
        <w:gridCol w:w="1434"/>
        <w:gridCol w:w="1006"/>
      </w:tblGrid>
      <w:tr w:rsidR="0070051F" w:rsidRPr="0070051F" w:rsidTr="00593878">
        <w:trPr>
          <w:trHeight w:val="315"/>
        </w:trPr>
        <w:tc>
          <w:tcPr>
            <w:tcW w:w="960" w:type="dxa"/>
            <w:shd w:val="clear" w:color="auto" w:fill="auto"/>
            <w:noWrap/>
            <w:vAlign w:val="bottom"/>
            <w:hideMark/>
          </w:tcPr>
          <w:p w:rsidR="0070051F" w:rsidRPr="0070051F" w:rsidRDefault="0070051F" w:rsidP="0070051F">
            <w:pPr>
              <w:spacing w:after="0" w:line="240" w:lineRule="auto"/>
              <w:rPr>
                <w:rFonts w:ascii="Calibri" w:eastAsia="Times New Roman" w:hAnsi="Calibri" w:cs="Times New Roman"/>
                <w:noProof w:val="0"/>
                <w:color w:val="000000"/>
                <w:lang w:val="tr-TR" w:eastAsia="tr-TR"/>
              </w:rPr>
            </w:pPr>
          </w:p>
        </w:tc>
        <w:tc>
          <w:tcPr>
            <w:tcW w:w="2200" w:type="dxa"/>
            <w:gridSpan w:val="2"/>
            <w:shd w:val="clear" w:color="auto" w:fill="auto"/>
            <w:noWrap/>
            <w:vAlign w:val="bottom"/>
            <w:hideMark/>
          </w:tcPr>
          <w:p w:rsidR="0070051F" w:rsidRPr="0070051F" w:rsidRDefault="0070051F" w:rsidP="0070051F">
            <w:pPr>
              <w:spacing w:after="0" w:line="240" w:lineRule="auto"/>
              <w:jc w:val="center"/>
              <w:rPr>
                <w:rFonts w:ascii="Calibri" w:eastAsia="Times New Roman" w:hAnsi="Calibri" w:cs="Times New Roman"/>
                <w:b/>
                <w:bCs/>
                <w:noProof w:val="0"/>
                <w:color w:val="000000"/>
                <w:lang w:val="tr-TR" w:eastAsia="tr-TR"/>
              </w:rPr>
            </w:pPr>
            <w:r w:rsidRPr="0070051F">
              <w:rPr>
                <w:rFonts w:ascii="Calibri" w:eastAsia="Times New Roman" w:hAnsi="Calibri" w:cs="Times New Roman"/>
                <w:b/>
                <w:bCs/>
                <w:noProof w:val="0"/>
                <w:color w:val="000000"/>
                <w:lang w:val="tr-TR" w:eastAsia="tr-TR"/>
              </w:rPr>
              <w:t>Erkek</w:t>
            </w:r>
          </w:p>
        </w:tc>
        <w:tc>
          <w:tcPr>
            <w:tcW w:w="2440" w:type="dxa"/>
            <w:gridSpan w:val="2"/>
            <w:shd w:val="clear" w:color="auto" w:fill="auto"/>
            <w:noWrap/>
            <w:vAlign w:val="bottom"/>
            <w:hideMark/>
          </w:tcPr>
          <w:p w:rsidR="0070051F" w:rsidRPr="0070051F" w:rsidRDefault="0070051F" w:rsidP="0070051F">
            <w:pPr>
              <w:spacing w:after="0" w:line="240" w:lineRule="auto"/>
              <w:jc w:val="center"/>
              <w:rPr>
                <w:rFonts w:ascii="Calibri" w:eastAsia="Times New Roman" w:hAnsi="Calibri" w:cs="Times New Roman"/>
                <w:b/>
                <w:bCs/>
                <w:noProof w:val="0"/>
                <w:color w:val="000000"/>
                <w:lang w:val="tr-TR" w:eastAsia="tr-TR"/>
              </w:rPr>
            </w:pPr>
            <w:r w:rsidRPr="0070051F">
              <w:rPr>
                <w:rFonts w:ascii="Calibri" w:eastAsia="Times New Roman" w:hAnsi="Calibri" w:cs="Times New Roman"/>
                <w:b/>
                <w:bCs/>
                <w:noProof w:val="0"/>
                <w:color w:val="000000"/>
                <w:lang w:val="tr-TR" w:eastAsia="tr-TR"/>
              </w:rPr>
              <w:t>Kadın</w:t>
            </w:r>
          </w:p>
        </w:tc>
      </w:tr>
      <w:tr w:rsidR="0070051F" w:rsidRPr="0070051F" w:rsidTr="00593878">
        <w:trPr>
          <w:trHeight w:val="315"/>
        </w:trPr>
        <w:tc>
          <w:tcPr>
            <w:tcW w:w="960" w:type="dxa"/>
            <w:shd w:val="clear" w:color="auto" w:fill="auto"/>
            <w:noWrap/>
            <w:vAlign w:val="bottom"/>
            <w:hideMark/>
          </w:tcPr>
          <w:p w:rsidR="0070051F" w:rsidRPr="0070051F" w:rsidRDefault="0070051F" w:rsidP="0070051F">
            <w:pPr>
              <w:spacing w:after="0" w:line="240" w:lineRule="auto"/>
              <w:rPr>
                <w:rFonts w:ascii="Calibri" w:eastAsia="Times New Roman" w:hAnsi="Calibri" w:cs="Times New Roman"/>
                <w:noProof w:val="0"/>
                <w:color w:val="000000"/>
                <w:lang w:val="tr-TR" w:eastAsia="tr-TR"/>
              </w:rPr>
            </w:pPr>
          </w:p>
        </w:tc>
        <w:tc>
          <w:tcPr>
            <w:tcW w:w="1293" w:type="dxa"/>
            <w:shd w:val="clear" w:color="auto" w:fill="auto"/>
            <w:noWrap/>
            <w:vAlign w:val="bottom"/>
            <w:hideMark/>
          </w:tcPr>
          <w:p w:rsidR="0070051F" w:rsidRPr="0070051F" w:rsidRDefault="0070051F" w:rsidP="0070051F">
            <w:pPr>
              <w:spacing w:after="0" w:line="240" w:lineRule="auto"/>
              <w:jc w:val="right"/>
              <w:rPr>
                <w:rFonts w:ascii="Calibri" w:eastAsia="Times New Roman" w:hAnsi="Calibri" w:cs="Times New Roman"/>
                <w:b/>
                <w:bCs/>
                <w:noProof w:val="0"/>
                <w:color w:val="000000"/>
                <w:lang w:val="tr-TR" w:eastAsia="tr-TR"/>
              </w:rPr>
            </w:pPr>
            <w:r w:rsidRPr="0070051F">
              <w:rPr>
                <w:rFonts w:ascii="Calibri" w:eastAsia="Times New Roman" w:hAnsi="Calibri" w:cs="Times New Roman"/>
                <w:b/>
                <w:bCs/>
                <w:noProof w:val="0"/>
                <w:color w:val="000000"/>
                <w:lang w:val="tr-TR" w:eastAsia="tr-TR"/>
              </w:rPr>
              <w:t>Kişi (bin)</w:t>
            </w:r>
          </w:p>
        </w:tc>
        <w:tc>
          <w:tcPr>
            <w:tcW w:w="907" w:type="dxa"/>
            <w:shd w:val="clear" w:color="auto" w:fill="auto"/>
            <w:noWrap/>
            <w:vAlign w:val="bottom"/>
            <w:hideMark/>
          </w:tcPr>
          <w:p w:rsidR="0070051F" w:rsidRPr="0070051F" w:rsidRDefault="0070051F" w:rsidP="0070051F">
            <w:pPr>
              <w:spacing w:after="0" w:line="240" w:lineRule="auto"/>
              <w:jc w:val="right"/>
              <w:rPr>
                <w:rFonts w:ascii="Calibri" w:eastAsia="Times New Roman" w:hAnsi="Calibri" w:cs="Times New Roman"/>
                <w:b/>
                <w:bCs/>
                <w:noProof w:val="0"/>
                <w:color w:val="000000"/>
                <w:lang w:val="tr-TR" w:eastAsia="tr-TR"/>
              </w:rPr>
            </w:pPr>
            <w:r w:rsidRPr="0070051F">
              <w:rPr>
                <w:rFonts w:ascii="Calibri" w:eastAsia="Times New Roman" w:hAnsi="Calibri" w:cs="Times New Roman"/>
                <w:b/>
                <w:bCs/>
                <w:noProof w:val="0"/>
                <w:color w:val="000000"/>
                <w:lang w:val="tr-TR" w:eastAsia="tr-TR"/>
              </w:rPr>
              <w:t>Yüzde</w:t>
            </w:r>
          </w:p>
        </w:tc>
        <w:tc>
          <w:tcPr>
            <w:tcW w:w="1434" w:type="dxa"/>
            <w:shd w:val="clear" w:color="auto" w:fill="auto"/>
            <w:noWrap/>
            <w:vAlign w:val="bottom"/>
            <w:hideMark/>
          </w:tcPr>
          <w:p w:rsidR="0070051F" w:rsidRPr="0070051F" w:rsidRDefault="0070051F" w:rsidP="0070051F">
            <w:pPr>
              <w:spacing w:after="0" w:line="240" w:lineRule="auto"/>
              <w:jc w:val="right"/>
              <w:rPr>
                <w:rFonts w:ascii="Calibri" w:eastAsia="Times New Roman" w:hAnsi="Calibri" w:cs="Times New Roman"/>
                <w:b/>
                <w:bCs/>
                <w:noProof w:val="0"/>
                <w:color w:val="000000"/>
                <w:lang w:val="tr-TR" w:eastAsia="tr-TR"/>
              </w:rPr>
            </w:pPr>
            <w:r w:rsidRPr="0070051F">
              <w:rPr>
                <w:rFonts w:ascii="Calibri" w:eastAsia="Times New Roman" w:hAnsi="Calibri" w:cs="Times New Roman"/>
                <w:b/>
                <w:bCs/>
                <w:noProof w:val="0"/>
                <w:color w:val="000000"/>
                <w:lang w:val="tr-TR" w:eastAsia="tr-TR"/>
              </w:rPr>
              <w:t>Kişi (bin)</w:t>
            </w:r>
          </w:p>
        </w:tc>
        <w:tc>
          <w:tcPr>
            <w:tcW w:w="1006" w:type="dxa"/>
            <w:shd w:val="clear" w:color="auto" w:fill="auto"/>
            <w:noWrap/>
            <w:vAlign w:val="bottom"/>
            <w:hideMark/>
          </w:tcPr>
          <w:p w:rsidR="0070051F" w:rsidRPr="0070051F" w:rsidRDefault="0070051F" w:rsidP="0070051F">
            <w:pPr>
              <w:spacing w:after="0" w:line="240" w:lineRule="auto"/>
              <w:jc w:val="right"/>
              <w:rPr>
                <w:rFonts w:ascii="Calibri" w:eastAsia="Times New Roman" w:hAnsi="Calibri" w:cs="Times New Roman"/>
                <w:b/>
                <w:bCs/>
                <w:noProof w:val="0"/>
                <w:color w:val="000000"/>
                <w:lang w:val="tr-TR" w:eastAsia="tr-TR"/>
              </w:rPr>
            </w:pPr>
            <w:r w:rsidRPr="0070051F">
              <w:rPr>
                <w:rFonts w:ascii="Calibri" w:eastAsia="Times New Roman" w:hAnsi="Calibri" w:cs="Times New Roman"/>
                <w:b/>
                <w:bCs/>
                <w:noProof w:val="0"/>
                <w:color w:val="000000"/>
                <w:lang w:val="tr-TR" w:eastAsia="tr-TR"/>
              </w:rPr>
              <w:t>Yüzde</w:t>
            </w:r>
          </w:p>
        </w:tc>
      </w:tr>
      <w:tr w:rsidR="0070051F" w:rsidRPr="0070051F" w:rsidTr="00593878">
        <w:trPr>
          <w:trHeight w:val="315"/>
        </w:trPr>
        <w:tc>
          <w:tcPr>
            <w:tcW w:w="960" w:type="dxa"/>
            <w:shd w:val="clear" w:color="auto" w:fill="auto"/>
            <w:noWrap/>
            <w:vAlign w:val="bottom"/>
            <w:hideMark/>
          </w:tcPr>
          <w:p w:rsidR="0070051F" w:rsidRPr="0070051F" w:rsidRDefault="0070051F" w:rsidP="0070051F">
            <w:pPr>
              <w:spacing w:after="0" w:line="240" w:lineRule="auto"/>
              <w:rPr>
                <w:rFonts w:ascii="Calibri" w:eastAsia="Times New Roman" w:hAnsi="Calibri" w:cs="Times New Roman"/>
                <w:b/>
                <w:bCs/>
                <w:noProof w:val="0"/>
                <w:color w:val="000000"/>
                <w:lang w:val="tr-TR" w:eastAsia="tr-TR"/>
              </w:rPr>
            </w:pPr>
            <w:r w:rsidRPr="0070051F">
              <w:rPr>
                <w:rFonts w:ascii="Calibri" w:eastAsia="Times New Roman" w:hAnsi="Calibri" w:cs="Times New Roman"/>
                <w:b/>
                <w:bCs/>
                <w:noProof w:val="0"/>
                <w:color w:val="000000"/>
                <w:lang w:val="tr-TR" w:eastAsia="tr-TR"/>
              </w:rPr>
              <w:t>&lt;1300</w:t>
            </w:r>
          </w:p>
        </w:tc>
        <w:tc>
          <w:tcPr>
            <w:tcW w:w="1293" w:type="dxa"/>
            <w:shd w:val="clear" w:color="auto" w:fill="auto"/>
            <w:noWrap/>
            <w:vAlign w:val="bottom"/>
            <w:hideMark/>
          </w:tcPr>
          <w:p w:rsidR="0070051F" w:rsidRPr="0070051F" w:rsidRDefault="0070051F" w:rsidP="0070051F">
            <w:pPr>
              <w:spacing w:after="0" w:line="240" w:lineRule="auto"/>
              <w:jc w:val="right"/>
              <w:rPr>
                <w:rFonts w:ascii="Calibri" w:eastAsia="Times New Roman" w:hAnsi="Calibri" w:cs="Times New Roman"/>
                <w:noProof w:val="0"/>
                <w:color w:val="000000"/>
                <w:lang w:val="tr-TR" w:eastAsia="tr-TR"/>
              </w:rPr>
            </w:pPr>
            <w:r w:rsidRPr="0070051F">
              <w:rPr>
                <w:rFonts w:ascii="Calibri" w:eastAsia="Times New Roman" w:hAnsi="Calibri" w:cs="Times New Roman"/>
                <w:noProof w:val="0"/>
                <w:color w:val="000000"/>
                <w:lang w:val="tr-TR" w:eastAsia="tr-TR"/>
              </w:rPr>
              <w:t>3</w:t>
            </w:r>
            <w:r w:rsidR="00026C4E">
              <w:rPr>
                <w:rFonts w:ascii="Calibri" w:eastAsia="Times New Roman" w:hAnsi="Calibri" w:cs="Times New Roman"/>
                <w:noProof w:val="0"/>
                <w:color w:val="000000"/>
                <w:lang w:val="tr-TR" w:eastAsia="tr-TR"/>
              </w:rPr>
              <w:t>.</w:t>
            </w:r>
            <w:r w:rsidRPr="0070051F">
              <w:rPr>
                <w:rFonts w:ascii="Calibri" w:eastAsia="Times New Roman" w:hAnsi="Calibri" w:cs="Times New Roman"/>
                <w:noProof w:val="0"/>
                <w:color w:val="000000"/>
                <w:lang w:val="tr-TR" w:eastAsia="tr-TR"/>
              </w:rPr>
              <w:t>990</w:t>
            </w:r>
          </w:p>
        </w:tc>
        <w:tc>
          <w:tcPr>
            <w:tcW w:w="907" w:type="dxa"/>
            <w:shd w:val="clear" w:color="auto" w:fill="auto"/>
            <w:noWrap/>
            <w:vAlign w:val="bottom"/>
            <w:hideMark/>
          </w:tcPr>
          <w:p w:rsidR="0070051F" w:rsidRPr="0070051F" w:rsidRDefault="00F63ACA" w:rsidP="0070051F">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54,</w:t>
            </w:r>
            <w:r w:rsidR="0070051F" w:rsidRPr="0070051F">
              <w:rPr>
                <w:rFonts w:ascii="Calibri" w:eastAsia="Times New Roman" w:hAnsi="Calibri" w:cs="Times New Roman"/>
                <w:noProof w:val="0"/>
                <w:color w:val="000000"/>
                <w:lang w:val="tr-TR" w:eastAsia="tr-TR"/>
              </w:rPr>
              <w:t>6</w:t>
            </w:r>
          </w:p>
        </w:tc>
        <w:tc>
          <w:tcPr>
            <w:tcW w:w="1434" w:type="dxa"/>
            <w:shd w:val="clear" w:color="auto" w:fill="auto"/>
            <w:noWrap/>
            <w:vAlign w:val="bottom"/>
            <w:hideMark/>
          </w:tcPr>
          <w:p w:rsidR="0070051F" w:rsidRPr="0070051F" w:rsidRDefault="0070051F" w:rsidP="0070051F">
            <w:pPr>
              <w:spacing w:after="0" w:line="240" w:lineRule="auto"/>
              <w:jc w:val="right"/>
              <w:rPr>
                <w:rFonts w:ascii="Calibri" w:eastAsia="Times New Roman" w:hAnsi="Calibri" w:cs="Times New Roman"/>
                <w:noProof w:val="0"/>
                <w:color w:val="000000"/>
                <w:lang w:val="tr-TR" w:eastAsia="tr-TR"/>
              </w:rPr>
            </w:pPr>
            <w:r w:rsidRPr="0070051F">
              <w:rPr>
                <w:rFonts w:ascii="Calibri" w:eastAsia="Times New Roman" w:hAnsi="Calibri" w:cs="Times New Roman"/>
                <w:noProof w:val="0"/>
                <w:color w:val="000000"/>
                <w:lang w:val="tr-TR" w:eastAsia="tr-TR"/>
              </w:rPr>
              <w:t>1</w:t>
            </w:r>
            <w:r w:rsidR="00026C4E">
              <w:rPr>
                <w:rFonts w:ascii="Calibri" w:eastAsia="Times New Roman" w:hAnsi="Calibri" w:cs="Times New Roman"/>
                <w:noProof w:val="0"/>
                <w:color w:val="000000"/>
                <w:lang w:val="tr-TR" w:eastAsia="tr-TR"/>
              </w:rPr>
              <w:t>.</w:t>
            </w:r>
            <w:r w:rsidRPr="0070051F">
              <w:rPr>
                <w:rFonts w:ascii="Calibri" w:eastAsia="Times New Roman" w:hAnsi="Calibri" w:cs="Times New Roman"/>
                <w:noProof w:val="0"/>
                <w:color w:val="000000"/>
                <w:lang w:val="tr-TR" w:eastAsia="tr-TR"/>
              </w:rPr>
              <w:t>494</w:t>
            </w:r>
          </w:p>
        </w:tc>
        <w:tc>
          <w:tcPr>
            <w:tcW w:w="1006" w:type="dxa"/>
            <w:shd w:val="clear" w:color="auto" w:fill="auto"/>
            <w:noWrap/>
            <w:vAlign w:val="bottom"/>
            <w:hideMark/>
          </w:tcPr>
          <w:p w:rsidR="0070051F" w:rsidRPr="0070051F" w:rsidRDefault="00F63ACA" w:rsidP="0070051F">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65,</w:t>
            </w:r>
            <w:r w:rsidR="0070051F" w:rsidRPr="0070051F">
              <w:rPr>
                <w:rFonts w:ascii="Calibri" w:eastAsia="Times New Roman" w:hAnsi="Calibri" w:cs="Times New Roman"/>
                <w:noProof w:val="0"/>
                <w:color w:val="000000"/>
                <w:lang w:val="tr-TR" w:eastAsia="tr-TR"/>
              </w:rPr>
              <w:t>9</w:t>
            </w:r>
          </w:p>
        </w:tc>
      </w:tr>
      <w:tr w:rsidR="00593878" w:rsidRPr="0070051F" w:rsidTr="00593878">
        <w:trPr>
          <w:trHeight w:val="315"/>
        </w:trPr>
        <w:tc>
          <w:tcPr>
            <w:tcW w:w="960" w:type="dxa"/>
            <w:shd w:val="clear" w:color="auto" w:fill="auto"/>
            <w:noWrap/>
            <w:vAlign w:val="bottom"/>
          </w:tcPr>
          <w:p w:rsidR="00593878" w:rsidRPr="0070051F" w:rsidRDefault="00593878" w:rsidP="0070051F">
            <w:pPr>
              <w:spacing w:after="0" w:line="240" w:lineRule="auto"/>
              <w:rPr>
                <w:rFonts w:ascii="Calibri" w:eastAsia="Times New Roman" w:hAnsi="Calibri" w:cs="Times New Roman"/>
                <w:b/>
                <w:bCs/>
                <w:noProof w:val="0"/>
                <w:color w:val="000000"/>
                <w:lang w:val="tr-TR" w:eastAsia="tr-TR"/>
              </w:rPr>
            </w:pPr>
            <w:r w:rsidRPr="0070051F">
              <w:rPr>
                <w:rFonts w:ascii="Calibri" w:eastAsia="Times New Roman" w:hAnsi="Calibri" w:cs="Times New Roman"/>
                <w:b/>
                <w:bCs/>
                <w:noProof w:val="0"/>
                <w:color w:val="000000"/>
                <w:lang w:val="tr-TR" w:eastAsia="tr-TR"/>
              </w:rPr>
              <w:t>&gt;1300</w:t>
            </w:r>
          </w:p>
        </w:tc>
        <w:tc>
          <w:tcPr>
            <w:tcW w:w="1293" w:type="dxa"/>
            <w:shd w:val="clear" w:color="auto" w:fill="auto"/>
            <w:noWrap/>
            <w:vAlign w:val="bottom"/>
          </w:tcPr>
          <w:p w:rsidR="00593878" w:rsidRPr="0070051F" w:rsidRDefault="00593878" w:rsidP="0070051F">
            <w:pPr>
              <w:spacing w:after="0" w:line="240" w:lineRule="auto"/>
              <w:jc w:val="right"/>
              <w:rPr>
                <w:rFonts w:ascii="Calibri" w:eastAsia="Times New Roman" w:hAnsi="Calibri" w:cs="Times New Roman"/>
                <w:noProof w:val="0"/>
                <w:color w:val="000000"/>
                <w:lang w:val="tr-TR" w:eastAsia="tr-TR"/>
              </w:rPr>
            </w:pPr>
            <w:r w:rsidRPr="0070051F">
              <w:rPr>
                <w:rFonts w:ascii="Calibri" w:eastAsia="Times New Roman" w:hAnsi="Calibri" w:cs="Times New Roman"/>
                <w:noProof w:val="0"/>
                <w:color w:val="000000"/>
                <w:lang w:val="tr-TR" w:eastAsia="tr-TR"/>
              </w:rPr>
              <w:t>3</w:t>
            </w:r>
            <w:r>
              <w:rPr>
                <w:rFonts w:ascii="Calibri" w:eastAsia="Times New Roman" w:hAnsi="Calibri" w:cs="Times New Roman"/>
                <w:noProof w:val="0"/>
                <w:color w:val="000000"/>
                <w:lang w:val="tr-TR" w:eastAsia="tr-TR"/>
              </w:rPr>
              <w:t>.</w:t>
            </w:r>
            <w:r w:rsidRPr="0070051F">
              <w:rPr>
                <w:rFonts w:ascii="Calibri" w:eastAsia="Times New Roman" w:hAnsi="Calibri" w:cs="Times New Roman"/>
                <w:noProof w:val="0"/>
                <w:color w:val="000000"/>
                <w:lang w:val="tr-TR" w:eastAsia="tr-TR"/>
              </w:rPr>
              <w:t>318</w:t>
            </w:r>
          </w:p>
        </w:tc>
        <w:tc>
          <w:tcPr>
            <w:tcW w:w="907" w:type="dxa"/>
            <w:shd w:val="clear" w:color="auto" w:fill="auto"/>
            <w:noWrap/>
            <w:vAlign w:val="bottom"/>
          </w:tcPr>
          <w:p w:rsidR="00593878" w:rsidRPr="0070051F" w:rsidRDefault="00F63ACA" w:rsidP="0070051F">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45,</w:t>
            </w:r>
            <w:r w:rsidR="00593878" w:rsidRPr="0070051F">
              <w:rPr>
                <w:rFonts w:ascii="Calibri" w:eastAsia="Times New Roman" w:hAnsi="Calibri" w:cs="Times New Roman"/>
                <w:noProof w:val="0"/>
                <w:color w:val="000000"/>
                <w:lang w:val="tr-TR" w:eastAsia="tr-TR"/>
              </w:rPr>
              <w:t>4</w:t>
            </w:r>
          </w:p>
        </w:tc>
        <w:tc>
          <w:tcPr>
            <w:tcW w:w="1434" w:type="dxa"/>
            <w:shd w:val="clear" w:color="auto" w:fill="auto"/>
            <w:noWrap/>
            <w:vAlign w:val="bottom"/>
          </w:tcPr>
          <w:p w:rsidR="00593878" w:rsidRPr="0070051F" w:rsidRDefault="00593878" w:rsidP="0070051F">
            <w:pPr>
              <w:spacing w:after="0" w:line="240" w:lineRule="auto"/>
              <w:jc w:val="right"/>
              <w:rPr>
                <w:rFonts w:ascii="Calibri" w:eastAsia="Times New Roman" w:hAnsi="Calibri" w:cs="Times New Roman"/>
                <w:noProof w:val="0"/>
                <w:color w:val="000000"/>
                <w:lang w:val="tr-TR" w:eastAsia="tr-TR"/>
              </w:rPr>
            </w:pPr>
            <w:r w:rsidRPr="0070051F">
              <w:rPr>
                <w:rFonts w:ascii="Calibri" w:eastAsia="Times New Roman" w:hAnsi="Calibri" w:cs="Times New Roman"/>
                <w:noProof w:val="0"/>
                <w:color w:val="000000"/>
                <w:lang w:val="tr-TR" w:eastAsia="tr-TR"/>
              </w:rPr>
              <w:t>773</w:t>
            </w:r>
          </w:p>
        </w:tc>
        <w:tc>
          <w:tcPr>
            <w:tcW w:w="1006" w:type="dxa"/>
            <w:shd w:val="clear" w:color="auto" w:fill="auto"/>
            <w:noWrap/>
            <w:vAlign w:val="bottom"/>
          </w:tcPr>
          <w:p w:rsidR="00593878" w:rsidRPr="0070051F" w:rsidRDefault="00F63ACA" w:rsidP="0070051F">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34,</w:t>
            </w:r>
            <w:r w:rsidR="00593878">
              <w:rPr>
                <w:rFonts w:ascii="Calibri" w:eastAsia="Times New Roman" w:hAnsi="Calibri" w:cs="Times New Roman"/>
                <w:noProof w:val="0"/>
                <w:color w:val="000000"/>
                <w:lang w:val="tr-TR" w:eastAsia="tr-TR"/>
              </w:rPr>
              <w:t>1</w:t>
            </w:r>
          </w:p>
        </w:tc>
      </w:tr>
      <w:tr w:rsidR="00F63ACA" w:rsidRPr="0070051F" w:rsidTr="00593878">
        <w:trPr>
          <w:trHeight w:val="315"/>
        </w:trPr>
        <w:tc>
          <w:tcPr>
            <w:tcW w:w="960" w:type="dxa"/>
            <w:shd w:val="clear" w:color="auto" w:fill="auto"/>
            <w:noWrap/>
            <w:vAlign w:val="bottom"/>
          </w:tcPr>
          <w:p w:rsidR="00F63ACA" w:rsidRPr="0070051F" w:rsidRDefault="00F63ACA" w:rsidP="0070051F">
            <w:pPr>
              <w:spacing w:after="0" w:line="240" w:lineRule="auto"/>
              <w:rPr>
                <w:rFonts w:ascii="Calibri" w:eastAsia="Times New Roman" w:hAnsi="Calibri" w:cs="Times New Roman"/>
                <w:b/>
                <w:bCs/>
                <w:noProof w:val="0"/>
                <w:color w:val="000000"/>
                <w:lang w:val="tr-TR" w:eastAsia="tr-TR"/>
              </w:rPr>
            </w:pPr>
            <w:r>
              <w:rPr>
                <w:rFonts w:ascii="Calibri" w:eastAsia="Times New Roman" w:hAnsi="Calibri" w:cs="Times New Roman"/>
                <w:b/>
                <w:bCs/>
                <w:noProof w:val="0"/>
                <w:color w:val="000000"/>
                <w:lang w:val="tr-TR" w:eastAsia="tr-TR"/>
              </w:rPr>
              <w:t>Toplam</w:t>
            </w:r>
          </w:p>
        </w:tc>
        <w:tc>
          <w:tcPr>
            <w:tcW w:w="1293" w:type="dxa"/>
            <w:shd w:val="clear" w:color="auto" w:fill="auto"/>
            <w:noWrap/>
            <w:vAlign w:val="bottom"/>
          </w:tcPr>
          <w:p w:rsidR="00F63ACA" w:rsidRPr="0070051F" w:rsidRDefault="00F63ACA" w:rsidP="0070051F">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7.308</w:t>
            </w:r>
          </w:p>
        </w:tc>
        <w:tc>
          <w:tcPr>
            <w:tcW w:w="907" w:type="dxa"/>
            <w:shd w:val="clear" w:color="auto" w:fill="auto"/>
            <w:noWrap/>
            <w:vAlign w:val="bottom"/>
          </w:tcPr>
          <w:p w:rsidR="00F63ACA" w:rsidRPr="0070051F" w:rsidRDefault="00F63ACA" w:rsidP="0070051F">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100,0</w:t>
            </w:r>
          </w:p>
        </w:tc>
        <w:tc>
          <w:tcPr>
            <w:tcW w:w="1434" w:type="dxa"/>
            <w:shd w:val="clear" w:color="auto" w:fill="auto"/>
            <w:noWrap/>
            <w:vAlign w:val="bottom"/>
          </w:tcPr>
          <w:p w:rsidR="00F63ACA" w:rsidRPr="0070051F" w:rsidRDefault="00F63ACA" w:rsidP="0070051F">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2.267</w:t>
            </w:r>
          </w:p>
        </w:tc>
        <w:tc>
          <w:tcPr>
            <w:tcW w:w="1006" w:type="dxa"/>
            <w:shd w:val="clear" w:color="auto" w:fill="auto"/>
            <w:noWrap/>
            <w:vAlign w:val="bottom"/>
          </w:tcPr>
          <w:p w:rsidR="00F63ACA" w:rsidRPr="0070051F" w:rsidRDefault="00F63ACA" w:rsidP="0070051F">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100,0</w:t>
            </w:r>
          </w:p>
        </w:tc>
      </w:tr>
    </w:tbl>
    <w:p w:rsidR="00607CC3" w:rsidRDefault="002B6304" w:rsidP="002D2D41">
      <w:pPr>
        <w:spacing w:after="0" w:line="240" w:lineRule="auto"/>
        <w:rPr>
          <w:sz w:val="20"/>
          <w:szCs w:val="20"/>
          <w:lang w:val="tr-TR"/>
        </w:rPr>
      </w:pPr>
      <w:r w:rsidRPr="00E5747D">
        <w:rPr>
          <w:sz w:val="20"/>
          <w:szCs w:val="20"/>
          <w:lang w:val="tr-TR"/>
        </w:rPr>
        <w:t>Kaynak: HİA 2013, Betam Kasım 2015 güncellemesi</w:t>
      </w:r>
    </w:p>
    <w:p w:rsidR="002D2D41" w:rsidRPr="002D2D41" w:rsidRDefault="002D2D41" w:rsidP="002D2D41">
      <w:pPr>
        <w:spacing w:after="0" w:line="240" w:lineRule="auto"/>
        <w:rPr>
          <w:sz w:val="20"/>
          <w:szCs w:val="20"/>
          <w:lang w:val="tr-TR"/>
        </w:rPr>
      </w:pPr>
    </w:p>
    <w:p w:rsidR="005551C6" w:rsidRPr="005C30F5" w:rsidRDefault="00607CC3" w:rsidP="007677CA">
      <w:pPr>
        <w:rPr>
          <w:lang w:val="tr-TR"/>
        </w:rPr>
      </w:pPr>
      <w:r>
        <w:t xml:space="preserve">Ücret </w:t>
      </w:r>
      <w:r w:rsidRPr="0007105E">
        <w:rPr>
          <w:lang w:val="tr-TR"/>
        </w:rPr>
        <w:t>farklılıklar</w:t>
      </w:r>
      <w:r w:rsidR="005F7D2C" w:rsidRPr="0007105E">
        <w:rPr>
          <w:lang w:val="tr-TR"/>
        </w:rPr>
        <w:t>ı</w:t>
      </w:r>
      <w:r w:rsidR="002D2D41" w:rsidRPr="0007105E">
        <w:rPr>
          <w:lang w:val="tr-TR"/>
        </w:rPr>
        <w:t>n</w:t>
      </w:r>
      <w:r w:rsidR="00E71B1D" w:rsidRPr="0007105E">
        <w:rPr>
          <w:lang w:val="tr-TR"/>
        </w:rPr>
        <w:t>a</w:t>
      </w:r>
      <w:r w:rsidR="005F7D2C" w:rsidRPr="0007105E">
        <w:rPr>
          <w:lang w:val="tr-TR"/>
        </w:rPr>
        <w:t xml:space="preserve"> ek olarak</w:t>
      </w:r>
      <w:r w:rsidRPr="0007105E">
        <w:rPr>
          <w:lang w:val="tr-TR"/>
        </w:rPr>
        <w:t>, kadınların istihdamdaki payları düşük seyretmektedir. 7 milyon 308 bin erkek özel sektörde tam zamanlı, ücretli/yevmiyeli ve kayıtlı istihdamda yer almaktayken, kad</w:t>
      </w:r>
      <w:r w:rsidR="005C30F5">
        <w:rPr>
          <w:lang w:val="tr-TR"/>
        </w:rPr>
        <w:t>ınların sadece 2 milyon 267 bin</w:t>
      </w:r>
      <w:r w:rsidRPr="0007105E">
        <w:rPr>
          <w:lang w:val="tr-TR"/>
        </w:rPr>
        <w:t xml:space="preserve">i benzer </w:t>
      </w:r>
      <w:r w:rsidR="00520AB3">
        <w:rPr>
          <w:lang w:val="tr-TR"/>
        </w:rPr>
        <w:t>biçimde</w:t>
      </w:r>
      <w:r w:rsidRPr="0007105E">
        <w:rPr>
          <w:lang w:val="tr-TR"/>
        </w:rPr>
        <w:t xml:space="preserve"> istihdamda yer almaktadır</w:t>
      </w:r>
      <w:r w:rsidR="00107819" w:rsidRPr="0007105E">
        <w:rPr>
          <w:lang w:val="tr-TR"/>
        </w:rPr>
        <w:t xml:space="preserve"> (</w:t>
      </w:r>
      <w:r w:rsidR="00061BB9">
        <w:fldChar w:fldCharType="begin"/>
      </w:r>
      <w:r w:rsidR="00061BB9">
        <w:instrText xml:space="preserve"> REF _Ref442790604 \h  \* MERGEFORMAT </w:instrText>
      </w:r>
      <w:r w:rsidR="00061BB9">
        <w:fldChar w:fldCharType="separate"/>
      </w:r>
      <w:r w:rsidR="005551C6" w:rsidRPr="005551C6">
        <w:rPr>
          <w:lang w:val="tr-TR"/>
        </w:rPr>
        <w:t>Tablo 4</w:t>
      </w:r>
      <w:r w:rsidR="00061BB9">
        <w:fldChar w:fldCharType="end"/>
      </w:r>
      <w:r w:rsidR="00107819" w:rsidRPr="0007105E">
        <w:rPr>
          <w:lang w:val="tr-TR"/>
        </w:rPr>
        <w:t>)</w:t>
      </w:r>
      <w:r w:rsidRPr="0007105E">
        <w:rPr>
          <w:lang w:val="tr-TR"/>
        </w:rPr>
        <w:t>.</w:t>
      </w:r>
      <w:r w:rsidR="00E71B1D" w:rsidRPr="0007105E">
        <w:rPr>
          <w:lang w:val="tr-TR"/>
        </w:rPr>
        <w:t xml:space="preserve"> </w:t>
      </w:r>
      <w:r w:rsidR="00214AD9" w:rsidRPr="00C77DB4">
        <w:rPr>
          <w:lang w:val="tr-TR"/>
        </w:rPr>
        <w:fldChar w:fldCharType="begin"/>
      </w:r>
      <w:r w:rsidR="00DA7D56" w:rsidRPr="00C77DB4">
        <w:rPr>
          <w:lang w:val="tr-TR"/>
        </w:rPr>
        <w:instrText xml:space="preserve"> REF _Ref442790796 \h  \* MERGEFORMAT </w:instrText>
      </w:r>
      <w:r w:rsidR="00214AD9" w:rsidRPr="00C77DB4">
        <w:rPr>
          <w:lang w:val="tr-TR"/>
        </w:rPr>
      </w:r>
      <w:r w:rsidR="00214AD9" w:rsidRPr="00C77DB4">
        <w:rPr>
          <w:lang w:val="tr-TR"/>
        </w:rPr>
        <w:fldChar w:fldCharType="separate"/>
      </w:r>
    </w:p>
    <w:p w:rsidR="00A45CA2" w:rsidRPr="004A6A34" w:rsidRDefault="005551C6" w:rsidP="007677CA">
      <w:r w:rsidRPr="00C77DB4">
        <w:rPr>
          <w:lang w:val="tr-TR"/>
        </w:rPr>
        <w:t>Şekil 2</w:t>
      </w:r>
      <w:r w:rsidR="00214AD9" w:rsidRPr="00C77DB4">
        <w:rPr>
          <w:lang w:val="tr-TR"/>
        </w:rPr>
        <w:fldChar w:fldCharType="end"/>
      </w:r>
      <w:r w:rsidR="005F7D2C" w:rsidRPr="005C30F5">
        <w:rPr>
          <w:lang w:val="tr-TR"/>
        </w:rPr>
        <w:t>'de</w:t>
      </w:r>
      <w:r w:rsidR="005F7D2C" w:rsidRPr="0007105E">
        <w:rPr>
          <w:lang w:val="tr-TR"/>
        </w:rPr>
        <w:t xml:space="preserve"> </w:t>
      </w:r>
      <w:r w:rsidR="00423AC5" w:rsidRPr="0007105E">
        <w:rPr>
          <w:lang w:val="tr-TR"/>
        </w:rPr>
        <w:t>1300TL</w:t>
      </w:r>
      <w:r w:rsidR="00907AD2" w:rsidRPr="0007105E">
        <w:rPr>
          <w:lang w:val="tr-TR"/>
        </w:rPr>
        <w:t xml:space="preserve"> ve üzerinde ücret alanlar ile bu ücretin altında ücret kazananların cinsiyete göre dağılımı verilmektedir. </w:t>
      </w:r>
      <w:r w:rsidR="00D313AF" w:rsidRPr="0007105E">
        <w:rPr>
          <w:lang w:val="tr-TR"/>
        </w:rPr>
        <w:t>Aylık 1300TL'nin altında ücret kazananların yüzde 72,8'ini erkekler</w:t>
      </w:r>
      <w:r w:rsidR="005C30F5">
        <w:rPr>
          <w:lang w:val="tr-TR"/>
        </w:rPr>
        <w:t>,</w:t>
      </w:r>
      <w:r w:rsidR="00D313AF" w:rsidRPr="0007105E">
        <w:rPr>
          <w:lang w:val="tr-TR"/>
        </w:rPr>
        <w:t xml:space="preserve"> </w:t>
      </w:r>
      <w:r w:rsidR="00E71B1D" w:rsidRPr="0007105E">
        <w:rPr>
          <w:lang w:val="tr-TR"/>
        </w:rPr>
        <w:t xml:space="preserve"> yüzde 27,2</w:t>
      </w:r>
      <w:r w:rsidR="00520AB3">
        <w:rPr>
          <w:lang w:val="tr-TR"/>
        </w:rPr>
        <w:t>'</w:t>
      </w:r>
      <w:r w:rsidR="00E71B1D" w:rsidRPr="0007105E">
        <w:rPr>
          <w:lang w:val="tr-TR"/>
        </w:rPr>
        <w:t xml:space="preserve">sini de kadınlar </w:t>
      </w:r>
      <w:r w:rsidR="00D313AF" w:rsidRPr="0007105E">
        <w:rPr>
          <w:lang w:val="tr-TR"/>
        </w:rPr>
        <w:t>oluştururken, 1300TL ve üzeri</w:t>
      </w:r>
      <w:r w:rsidR="00A37C32" w:rsidRPr="0007105E">
        <w:rPr>
          <w:lang w:val="tr-TR"/>
        </w:rPr>
        <w:t xml:space="preserve"> ücret</w:t>
      </w:r>
      <w:r w:rsidR="00D313AF" w:rsidRPr="0007105E">
        <w:rPr>
          <w:lang w:val="tr-TR"/>
        </w:rPr>
        <w:t xml:space="preserve"> alanlar aras</w:t>
      </w:r>
      <w:r w:rsidR="00211F15" w:rsidRPr="0007105E">
        <w:rPr>
          <w:lang w:val="tr-TR"/>
        </w:rPr>
        <w:t>ında erkeklerin payı yüzde 81,1</w:t>
      </w:r>
      <w:r w:rsidR="000221FB">
        <w:rPr>
          <w:lang w:val="tr-TR"/>
        </w:rPr>
        <w:t>, kadınların</w:t>
      </w:r>
      <w:r w:rsidR="00E71B1D" w:rsidRPr="0007105E">
        <w:rPr>
          <w:lang w:val="tr-TR"/>
        </w:rPr>
        <w:t xml:space="preserve">ki ise yüzde 18,9 </w:t>
      </w:r>
      <w:r w:rsidR="00211F15" w:rsidRPr="0007105E">
        <w:rPr>
          <w:lang w:val="tr-TR"/>
        </w:rPr>
        <w:t>seviyesindedir</w:t>
      </w:r>
      <w:r w:rsidR="00D313AF" w:rsidRPr="0007105E">
        <w:rPr>
          <w:lang w:val="tr-TR"/>
        </w:rPr>
        <w:t>.</w:t>
      </w:r>
      <w:r w:rsidR="00810111" w:rsidRPr="0007105E">
        <w:rPr>
          <w:lang w:val="tr-TR"/>
        </w:rPr>
        <w:t xml:space="preserve"> </w:t>
      </w:r>
      <w:r w:rsidR="005E13F6" w:rsidRPr="0007105E">
        <w:rPr>
          <w:lang w:val="tr-TR"/>
        </w:rPr>
        <w:t>Dolayısıyla, kadınlar özel sektörde, tam zamanlı</w:t>
      </w:r>
      <w:r w:rsidR="00A163C0" w:rsidRPr="0007105E">
        <w:rPr>
          <w:lang w:val="tr-TR"/>
        </w:rPr>
        <w:t>,</w:t>
      </w:r>
      <w:r w:rsidR="005E13F6" w:rsidRPr="0007105E">
        <w:rPr>
          <w:lang w:val="tr-TR"/>
        </w:rPr>
        <w:t xml:space="preserve"> kayıtlı ve ücretli olarak daha az çalışmakta ve erkeklere kıyasla daha düşük ücret almaktadırlar. </w:t>
      </w:r>
      <w:r w:rsidR="00810111" w:rsidRPr="0007105E">
        <w:rPr>
          <w:lang w:val="tr-TR"/>
        </w:rPr>
        <w:t xml:space="preserve">Bu bağlamda değerlendirildiğinde, </w:t>
      </w:r>
      <w:r w:rsidR="002F1A7D" w:rsidRPr="0007105E">
        <w:rPr>
          <w:lang w:val="tr-TR"/>
        </w:rPr>
        <w:t>asgari ücret artışı sonucunda</w:t>
      </w:r>
      <w:r w:rsidR="002F1A7D">
        <w:t xml:space="preserve"> eski asgari ücret seviyesi ile </w:t>
      </w:r>
      <w:r w:rsidR="005361D1">
        <w:t xml:space="preserve">yeni asgari ücret seviyesi arasında kalan çalışanların ücretlerinin 1300TL'ye çıkarılması durumunda kadınların ortalama ücretlerinde erkeklere kıyasla daha büyük bir artış </w:t>
      </w:r>
      <w:r w:rsidR="00C32320">
        <w:t>olacağı</w:t>
      </w:r>
      <w:r w:rsidR="005361D1">
        <w:t xml:space="preserve"> </w:t>
      </w:r>
      <w:r w:rsidR="003E62BA">
        <w:t xml:space="preserve">görülmektedir. </w:t>
      </w:r>
    </w:p>
    <w:p w:rsidR="00595F9B" w:rsidRDefault="00595F9B" w:rsidP="007677CA">
      <w:pPr>
        <w:rPr>
          <w:b/>
        </w:rPr>
      </w:pPr>
      <w:bookmarkStart w:id="8" w:name="_Ref442790796"/>
      <w:bookmarkStart w:id="9" w:name="_Ref442790791"/>
    </w:p>
    <w:p w:rsidR="00595F9B" w:rsidRDefault="00595F9B" w:rsidP="007677CA">
      <w:pPr>
        <w:rPr>
          <w:b/>
        </w:rPr>
      </w:pPr>
    </w:p>
    <w:p w:rsidR="00595F9B" w:rsidRDefault="00595F9B" w:rsidP="007677CA">
      <w:pPr>
        <w:rPr>
          <w:b/>
        </w:rPr>
      </w:pPr>
    </w:p>
    <w:p w:rsidR="00595F9B" w:rsidRDefault="00595F9B" w:rsidP="007677CA">
      <w:pPr>
        <w:rPr>
          <w:b/>
        </w:rPr>
      </w:pPr>
    </w:p>
    <w:p w:rsidR="00595F9B" w:rsidRDefault="00595F9B" w:rsidP="007677CA">
      <w:pPr>
        <w:rPr>
          <w:b/>
        </w:rPr>
      </w:pPr>
    </w:p>
    <w:p w:rsidR="00595F9B" w:rsidRDefault="00595F9B" w:rsidP="007677CA">
      <w:pPr>
        <w:rPr>
          <w:b/>
        </w:rPr>
      </w:pPr>
    </w:p>
    <w:p w:rsidR="00B8023D" w:rsidRPr="007677CA" w:rsidRDefault="00B8023D" w:rsidP="007677CA">
      <w:pPr>
        <w:rPr>
          <w:b/>
        </w:rPr>
      </w:pPr>
      <w:r w:rsidRPr="007677CA">
        <w:rPr>
          <w:b/>
        </w:rPr>
        <w:lastRenderedPageBreak/>
        <w:t xml:space="preserve">Şekil </w:t>
      </w:r>
      <w:r w:rsidR="00214AD9" w:rsidRPr="007677CA">
        <w:rPr>
          <w:b/>
        </w:rPr>
        <w:fldChar w:fldCharType="begin"/>
      </w:r>
      <w:r w:rsidR="005C69C7" w:rsidRPr="007677CA">
        <w:rPr>
          <w:b/>
        </w:rPr>
        <w:instrText xml:space="preserve"> SEQ Şekil \* ARABIC </w:instrText>
      </w:r>
      <w:r w:rsidR="00214AD9" w:rsidRPr="007677CA">
        <w:rPr>
          <w:b/>
        </w:rPr>
        <w:fldChar w:fldCharType="separate"/>
      </w:r>
      <w:r w:rsidR="005551C6">
        <w:rPr>
          <w:b/>
        </w:rPr>
        <w:t>2</w:t>
      </w:r>
      <w:r w:rsidR="00214AD9" w:rsidRPr="007677CA">
        <w:rPr>
          <w:b/>
        </w:rPr>
        <w:fldChar w:fldCharType="end"/>
      </w:r>
      <w:bookmarkEnd w:id="8"/>
      <w:r w:rsidRPr="007677CA">
        <w:rPr>
          <w:b/>
        </w:rPr>
        <w:t xml:space="preserve"> 1300TL'nin altında ve üzerinde net ücret kazananların cinsiyete göre dağılımı</w:t>
      </w:r>
      <w:bookmarkEnd w:id="9"/>
    </w:p>
    <w:p w:rsidR="00595F9B" w:rsidRDefault="00B8023D" w:rsidP="00476DB0">
      <w:r w:rsidRPr="00B8023D">
        <w:rPr>
          <w:lang w:val="tr-TR" w:eastAsia="tr-TR"/>
        </w:rPr>
        <w:drawing>
          <wp:inline distT="0" distB="0" distL="0" distR="0">
            <wp:extent cx="5724525" cy="2609850"/>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5F9B" w:rsidRPr="00595F9B" w:rsidRDefault="00595F9B" w:rsidP="00476DB0">
      <w:pPr>
        <w:rPr>
          <w:sz w:val="20"/>
        </w:rPr>
      </w:pPr>
      <w:r w:rsidRPr="00595F9B">
        <w:rPr>
          <w:sz w:val="20"/>
        </w:rPr>
        <w:t>Kaynak: HİA 2013, Betam Kasım 2015 güncellemesi</w:t>
      </w:r>
    </w:p>
    <w:p w:rsidR="004A6A34" w:rsidRDefault="00A163C0" w:rsidP="00476DB0">
      <w:pPr>
        <w:rPr>
          <w:lang w:val="tr-TR"/>
        </w:rPr>
      </w:pPr>
      <w:r>
        <w:t xml:space="preserve">Asgari ücret artışının ortalama ücretlere </w:t>
      </w:r>
      <w:r w:rsidR="00051C5E">
        <w:t>etkisi</w:t>
      </w:r>
      <w:r w:rsidRPr="00101DA3">
        <w:t xml:space="preserve"> </w:t>
      </w:r>
      <w:r w:rsidR="00C32320">
        <w:t>Tablo 5</w:t>
      </w:r>
      <w:r w:rsidR="00061BB9">
        <w:fldChar w:fldCharType="begin"/>
      </w:r>
      <w:r w:rsidR="00061BB9">
        <w:instrText xml:space="preserve"> REF _Ref442794022 \h  \* MERGEFORMAT </w:instrText>
      </w:r>
      <w:r w:rsidR="00061BB9">
        <w:fldChar w:fldCharType="separate"/>
      </w:r>
      <w:r w:rsidR="00061BB9">
        <w:fldChar w:fldCharType="end"/>
      </w:r>
      <w:r w:rsidRPr="00A45CA2">
        <w:t>'te</w:t>
      </w:r>
      <w:r w:rsidRPr="00101DA3">
        <w:t xml:space="preserve"> verilmektedir. Sonuçlar, kadınların or</w:t>
      </w:r>
      <w:r w:rsidR="00476DB0">
        <w:t xml:space="preserve">talama ücretinin </w:t>
      </w:r>
      <w:r w:rsidR="00E41248">
        <w:t>1</w:t>
      </w:r>
      <w:r w:rsidR="00520AB3">
        <w:t>.719</w:t>
      </w:r>
      <w:r w:rsidR="00E41248">
        <w:t>TL</w:t>
      </w:r>
      <w:r w:rsidR="00476DB0">
        <w:t>,</w:t>
      </w:r>
      <w:r w:rsidRPr="0007105E">
        <w:rPr>
          <w:lang w:val="tr-TR"/>
        </w:rPr>
        <w:t xml:space="preserve"> erkeklerin ortalama ü</w:t>
      </w:r>
      <w:r w:rsidR="00476DB0">
        <w:rPr>
          <w:lang w:val="tr-TR"/>
        </w:rPr>
        <w:t xml:space="preserve">cretlerinin </w:t>
      </w:r>
      <w:r w:rsidR="00E41248">
        <w:rPr>
          <w:lang w:val="tr-TR"/>
        </w:rPr>
        <w:t>1</w:t>
      </w:r>
      <w:r w:rsidR="00520AB3">
        <w:rPr>
          <w:lang w:val="tr-TR"/>
        </w:rPr>
        <w:t>.758</w:t>
      </w:r>
      <w:r w:rsidR="00E41248">
        <w:rPr>
          <w:lang w:val="tr-TR"/>
        </w:rPr>
        <w:t xml:space="preserve">TL'ye </w:t>
      </w:r>
      <w:r w:rsidR="00476DB0">
        <w:rPr>
          <w:lang w:val="tr-TR"/>
        </w:rPr>
        <w:t xml:space="preserve">yükseleceğini </w:t>
      </w:r>
      <w:r w:rsidRPr="0007105E">
        <w:rPr>
          <w:lang w:val="tr-TR"/>
        </w:rPr>
        <w:t xml:space="preserve">göstermektedir.  Ücret şoku ile beraber varsayımlar altında kadınların ücretinde </w:t>
      </w:r>
      <w:r w:rsidR="00560C82" w:rsidRPr="0007105E">
        <w:rPr>
          <w:lang w:val="tr-TR"/>
        </w:rPr>
        <w:t xml:space="preserve">200TL civarında bir artış olacağı ve erkeklerdeki ortalama ücret artışının 140TL civarında </w:t>
      </w:r>
      <w:r w:rsidR="006749F3" w:rsidRPr="0007105E">
        <w:rPr>
          <w:lang w:val="tr-TR"/>
        </w:rPr>
        <w:t xml:space="preserve">kalması </w:t>
      </w:r>
      <w:r w:rsidR="00560C82" w:rsidRPr="0007105E">
        <w:rPr>
          <w:lang w:val="tr-TR"/>
        </w:rPr>
        <w:t xml:space="preserve">tahmin edilmektedir. </w:t>
      </w:r>
      <w:r w:rsidR="00D41A64" w:rsidRPr="0007105E">
        <w:rPr>
          <w:lang w:val="tr-TR"/>
        </w:rPr>
        <w:t>Diğer bir ifadeyle, kadınların ort</w:t>
      </w:r>
      <w:r w:rsidR="00D21367" w:rsidRPr="0007105E">
        <w:rPr>
          <w:lang w:val="tr-TR"/>
        </w:rPr>
        <w:t>a</w:t>
      </w:r>
      <w:r w:rsidR="00D41A64" w:rsidRPr="0007105E">
        <w:rPr>
          <w:lang w:val="tr-TR"/>
        </w:rPr>
        <w:t>lama ücretinde yüzde 12,9</w:t>
      </w:r>
      <w:r w:rsidR="00520AB3">
        <w:rPr>
          <w:lang w:val="tr-TR"/>
        </w:rPr>
        <w:t xml:space="preserve"> ve</w:t>
      </w:r>
      <w:r w:rsidR="00D41A64" w:rsidRPr="0007105E">
        <w:rPr>
          <w:lang w:val="tr-TR"/>
        </w:rPr>
        <w:t xml:space="preserve"> erkeklerde yüzde 8,6 oran</w:t>
      </w:r>
      <w:r w:rsidR="00520AB3">
        <w:rPr>
          <w:lang w:val="tr-TR"/>
        </w:rPr>
        <w:t>larında</w:t>
      </w:r>
      <w:r w:rsidR="00D41A64" w:rsidRPr="0007105E">
        <w:rPr>
          <w:lang w:val="tr-TR"/>
        </w:rPr>
        <w:t xml:space="preserve"> artış tahmin edilmektedir. </w:t>
      </w:r>
      <w:r w:rsidR="00051C5E" w:rsidRPr="0007105E">
        <w:rPr>
          <w:lang w:val="tr-TR"/>
        </w:rPr>
        <w:t xml:space="preserve">Dolayısıyla asgari ücert artışının neden olacağı ücret artışlarının </w:t>
      </w:r>
      <w:r w:rsidR="001B724F" w:rsidRPr="0007105E">
        <w:rPr>
          <w:lang w:val="tr-TR"/>
        </w:rPr>
        <w:t>kadınlarla erkekler</w:t>
      </w:r>
      <w:r w:rsidR="00051C5E" w:rsidRPr="0007105E">
        <w:rPr>
          <w:lang w:val="tr-TR"/>
        </w:rPr>
        <w:t xml:space="preserve"> arasındaki </w:t>
      </w:r>
      <w:r w:rsidR="001B724F" w:rsidRPr="0007105E">
        <w:rPr>
          <w:lang w:val="tr-TR"/>
        </w:rPr>
        <w:t xml:space="preserve">ücret </w:t>
      </w:r>
      <w:r w:rsidR="00E41248">
        <w:rPr>
          <w:lang w:val="tr-TR"/>
        </w:rPr>
        <w:t xml:space="preserve">farklılığını daraltması </w:t>
      </w:r>
      <w:r w:rsidR="00051C5E" w:rsidRPr="0007105E">
        <w:rPr>
          <w:lang w:val="tr-TR"/>
        </w:rPr>
        <w:t>beklenmektedir</w:t>
      </w:r>
      <w:r w:rsidR="002D2D41" w:rsidRPr="0007105E">
        <w:rPr>
          <w:lang w:val="tr-TR"/>
        </w:rPr>
        <w:t>.</w:t>
      </w:r>
      <w:r w:rsidR="001B724F" w:rsidRPr="0007105E">
        <w:rPr>
          <w:lang w:val="tr-TR"/>
        </w:rPr>
        <w:t xml:space="preserve"> </w:t>
      </w:r>
      <w:r w:rsidR="00942EE1" w:rsidRPr="0007105E">
        <w:rPr>
          <w:lang w:val="tr-TR"/>
        </w:rPr>
        <w:t xml:space="preserve">Bununla birlikte </w:t>
      </w:r>
      <w:r w:rsidR="001B724F" w:rsidRPr="0007105E">
        <w:rPr>
          <w:lang w:val="tr-TR"/>
        </w:rPr>
        <w:t xml:space="preserve">ücret şokunun </w:t>
      </w:r>
      <w:r w:rsidR="00BD6B6B" w:rsidRPr="00FA7E5F">
        <w:rPr>
          <w:lang w:val="tr-TR"/>
        </w:rPr>
        <w:t>işgücü</w:t>
      </w:r>
      <w:r w:rsidR="001B724F" w:rsidRPr="00FA7E5F">
        <w:rPr>
          <w:lang w:val="tr-TR"/>
        </w:rPr>
        <w:t xml:space="preserve"> arzını ve </w:t>
      </w:r>
      <w:r w:rsidR="00942EE1">
        <w:rPr>
          <w:lang w:val="tr-TR"/>
        </w:rPr>
        <w:t>talebini etkilemesi muhtemeldir. Nihai sonucu kestirebilmek için bu etkilerin de dikkate alınması gerektiğini hatırlatmak isteriz</w:t>
      </w:r>
      <w:r w:rsidR="00AC43E6" w:rsidRPr="00FA7E5F">
        <w:rPr>
          <w:lang w:val="tr-TR"/>
        </w:rPr>
        <w:t>.</w:t>
      </w:r>
    </w:p>
    <w:p w:rsidR="00A45CA2" w:rsidRDefault="00A45CA2" w:rsidP="00A45CA2">
      <w:pPr>
        <w:pStyle w:val="Caption"/>
        <w:keepNext/>
        <w:rPr>
          <w:color w:val="auto"/>
          <w:sz w:val="22"/>
          <w:szCs w:val="22"/>
          <w:lang w:val="tr-TR"/>
        </w:rPr>
      </w:pPr>
      <w:r w:rsidRPr="00A45CA2">
        <w:rPr>
          <w:color w:val="auto"/>
          <w:sz w:val="22"/>
          <w:szCs w:val="22"/>
          <w:lang w:val="tr-TR"/>
        </w:rPr>
        <w:t xml:space="preserve">Tablo </w:t>
      </w:r>
      <w:r w:rsidR="00214AD9" w:rsidRPr="00A45CA2">
        <w:rPr>
          <w:color w:val="auto"/>
          <w:sz w:val="22"/>
          <w:szCs w:val="22"/>
          <w:lang w:val="tr-TR"/>
        </w:rPr>
        <w:fldChar w:fldCharType="begin"/>
      </w:r>
      <w:r w:rsidRPr="00A45CA2">
        <w:rPr>
          <w:color w:val="auto"/>
          <w:sz w:val="22"/>
          <w:szCs w:val="22"/>
          <w:lang w:val="tr-TR"/>
        </w:rPr>
        <w:instrText xml:space="preserve"> SEQ Tablo \* ARABIC </w:instrText>
      </w:r>
      <w:r w:rsidR="00214AD9" w:rsidRPr="00A45CA2">
        <w:rPr>
          <w:color w:val="auto"/>
          <w:sz w:val="22"/>
          <w:szCs w:val="22"/>
          <w:lang w:val="tr-TR"/>
        </w:rPr>
        <w:fldChar w:fldCharType="separate"/>
      </w:r>
      <w:r w:rsidR="005551C6">
        <w:rPr>
          <w:color w:val="auto"/>
          <w:sz w:val="22"/>
          <w:szCs w:val="22"/>
          <w:lang w:val="tr-TR"/>
        </w:rPr>
        <w:t>5</w:t>
      </w:r>
      <w:r w:rsidR="00214AD9" w:rsidRPr="00A45CA2">
        <w:rPr>
          <w:color w:val="auto"/>
          <w:sz w:val="22"/>
          <w:szCs w:val="22"/>
          <w:lang w:val="tr-TR"/>
        </w:rPr>
        <w:fldChar w:fldCharType="end"/>
      </w:r>
      <w:r w:rsidRPr="00A45CA2">
        <w:rPr>
          <w:color w:val="auto"/>
          <w:sz w:val="22"/>
          <w:szCs w:val="22"/>
          <w:lang w:val="tr-TR"/>
        </w:rPr>
        <w:t xml:space="preserve"> </w:t>
      </w:r>
      <w:r w:rsidRPr="00A349EA">
        <w:rPr>
          <w:color w:val="auto"/>
          <w:sz w:val="22"/>
          <w:szCs w:val="22"/>
          <w:lang w:val="tr-TR"/>
        </w:rPr>
        <w:t>Cinsiyete göre</w:t>
      </w:r>
      <w:r w:rsidRPr="00522B5F">
        <w:rPr>
          <w:color w:val="auto"/>
          <w:sz w:val="22"/>
          <w:szCs w:val="22"/>
          <w:lang w:val="tr-TR"/>
        </w:rPr>
        <w:t xml:space="preserve"> asgari ücret artışının ücretlere etkileri</w:t>
      </w:r>
    </w:p>
    <w:tbl>
      <w:tblPr>
        <w:tblW w:w="9432" w:type="dxa"/>
        <w:tblInd w:w="5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left w:w="70" w:type="dxa"/>
          <w:right w:w="70" w:type="dxa"/>
        </w:tblCellMar>
        <w:tblLook w:val="04A0" w:firstRow="1" w:lastRow="0" w:firstColumn="1" w:lastColumn="0" w:noHBand="0" w:noVBand="1"/>
      </w:tblPr>
      <w:tblGrid>
        <w:gridCol w:w="1241"/>
        <w:gridCol w:w="2047"/>
        <w:gridCol w:w="2048"/>
        <w:gridCol w:w="2048"/>
        <w:gridCol w:w="2048"/>
      </w:tblGrid>
      <w:tr w:rsidR="007E3012" w:rsidRPr="00026C4E" w:rsidTr="00FE1F00">
        <w:trPr>
          <w:trHeight w:val="300"/>
        </w:trPr>
        <w:tc>
          <w:tcPr>
            <w:tcW w:w="1241" w:type="dxa"/>
            <w:shd w:val="clear" w:color="auto" w:fill="auto"/>
            <w:noWrap/>
            <w:vAlign w:val="bottom"/>
            <w:hideMark/>
          </w:tcPr>
          <w:p w:rsidR="007E3012" w:rsidRPr="00026C4E" w:rsidRDefault="007E3012" w:rsidP="00FE1F00">
            <w:pPr>
              <w:spacing w:after="0" w:line="240" w:lineRule="auto"/>
              <w:rPr>
                <w:rFonts w:ascii="Calibri" w:eastAsia="Times New Roman" w:hAnsi="Calibri" w:cs="Times New Roman"/>
                <w:noProof w:val="0"/>
                <w:color w:val="000000"/>
                <w:lang w:val="tr-TR" w:eastAsia="tr-TR"/>
              </w:rPr>
            </w:pPr>
          </w:p>
        </w:tc>
        <w:tc>
          <w:tcPr>
            <w:tcW w:w="2047" w:type="dxa"/>
            <w:shd w:val="clear" w:color="auto" w:fill="auto"/>
            <w:noWrap/>
            <w:vAlign w:val="bottom"/>
            <w:hideMark/>
          </w:tcPr>
          <w:p w:rsidR="007E3012" w:rsidRPr="00026C4E" w:rsidRDefault="007E3012" w:rsidP="00FE1F00">
            <w:pPr>
              <w:spacing w:after="0" w:line="240" w:lineRule="auto"/>
              <w:rPr>
                <w:rFonts w:ascii="Calibri" w:eastAsia="Times New Roman" w:hAnsi="Calibri" w:cs="Times New Roman"/>
                <w:noProof w:val="0"/>
                <w:color w:val="000000"/>
                <w:lang w:val="tr-TR" w:eastAsia="tr-TR"/>
              </w:rPr>
            </w:pPr>
            <w:r w:rsidRPr="00026C4E">
              <w:rPr>
                <w:rFonts w:ascii="Calibri" w:eastAsia="Times New Roman" w:hAnsi="Calibri" w:cs="Times New Roman"/>
                <w:noProof w:val="0"/>
                <w:color w:val="000000"/>
                <w:lang w:val="tr-TR" w:eastAsia="tr-TR"/>
              </w:rPr>
              <w:t>Ortalama ücret(TL)</w:t>
            </w:r>
          </w:p>
        </w:tc>
        <w:tc>
          <w:tcPr>
            <w:tcW w:w="2048" w:type="dxa"/>
            <w:shd w:val="clear" w:color="auto" w:fill="auto"/>
            <w:noWrap/>
            <w:vAlign w:val="bottom"/>
            <w:hideMark/>
          </w:tcPr>
          <w:p w:rsidR="007E3012" w:rsidRPr="00026C4E" w:rsidRDefault="007E3012" w:rsidP="00FE1F00">
            <w:pPr>
              <w:spacing w:after="0" w:line="240" w:lineRule="auto"/>
              <w:rPr>
                <w:rFonts w:ascii="Calibri" w:eastAsia="Times New Roman" w:hAnsi="Calibri" w:cs="Times New Roman"/>
                <w:noProof w:val="0"/>
                <w:color w:val="000000"/>
                <w:lang w:val="tr-TR" w:eastAsia="tr-TR"/>
              </w:rPr>
            </w:pPr>
            <w:r w:rsidRPr="00026C4E">
              <w:rPr>
                <w:rFonts w:ascii="Calibri" w:eastAsia="Times New Roman" w:hAnsi="Calibri" w:cs="Times New Roman"/>
                <w:noProof w:val="0"/>
                <w:color w:val="000000"/>
                <w:lang w:val="tr-TR" w:eastAsia="tr-TR"/>
              </w:rPr>
              <w:t>1300 TL asgari ücret ile ortalama ücret(TL)</w:t>
            </w:r>
          </w:p>
        </w:tc>
        <w:tc>
          <w:tcPr>
            <w:tcW w:w="2048" w:type="dxa"/>
            <w:shd w:val="clear" w:color="auto" w:fill="auto"/>
            <w:noWrap/>
            <w:vAlign w:val="bottom"/>
            <w:hideMark/>
          </w:tcPr>
          <w:p w:rsidR="007E3012" w:rsidRPr="00026C4E" w:rsidRDefault="007E3012" w:rsidP="00FE1F00">
            <w:pPr>
              <w:spacing w:after="0" w:line="240" w:lineRule="auto"/>
              <w:rPr>
                <w:rFonts w:ascii="Calibri" w:eastAsia="Times New Roman" w:hAnsi="Calibri" w:cs="Times New Roman"/>
                <w:noProof w:val="0"/>
                <w:color w:val="000000"/>
                <w:lang w:val="tr-TR" w:eastAsia="tr-TR"/>
              </w:rPr>
            </w:pPr>
            <w:r w:rsidRPr="00026C4E">
              <w:rPr>
                <w:rFonts w:ascii="Calibri" w:eastAsia="Times New Roman" w:hAnsi="Calibri" w:cs="Times New Roman"/>
                <w:noProof w:val="0"/>
                <w:color w:val="000000"/>
                <w:lang w:val="tr-TR" w:eastAsia="tr-TR"/>
              </w:rPr>
              <w:t>Ortalama ücretteki artış(TL)</w:t>
            </w:r>
          </w:p>
        </w:tc>
        <w:tc>
          <w:tcPr>
            <w:tcW w:w="2048" w:type="dxa"/>
            <w:shd w:val="clear" w:color="auto" w:fill="auto"/>
            <w:noWrap/>
            <w:vAlign w:val="bottom"/>
            <w:hideMark/>
          </w:tcPr>
          <w:p w:rsidR="007E3012" w:rsidRPr="00026C4E" w:rsidRDefault="007E3012" w:rsidP="00FE1F00">
            <w:pPr>
              <w:spacing w:after="0" w:line="240" w:lineRule="auto"/>
              <w:rPr>
                <w:rFonts w:ascii="Calibri" w:eastAsia="Times New Roman" w:hAnsi="Calibri" w:cs="Times New Roman"/>
                <w:noProof w:val="0"/>
                <w:color w:val="000000"/>
                <w:lang w:val="tr-TR" w:eastAsia="tr-TR"/>
              </w:rPr>
            </w:pPr>
            <w:r w:rsidRPr="00026C4E">
              <w:rPr>
                <w:rFonts w:ascii="Calibri" w:eastAsia="Times New Roman" w:hAnsi="Calibri" w:cs="Times New Roman"/>
                <w:noProof w:val="0"/>
                <w:color w:val="000000"/>
                <w:lang w:val="tr-TR" w:eastAsia="tr-TR"/>
              </w:rPr>
              <w:t xml:space="preserve">Ortalama ücretteki artış(%) </w:t>
            </w:r>
          </w:p>
        </w:tc>
      </w:tr>
      <w:tr w:rsidR="007E3012" w:rsidRPr="00026C4E" w:rsidTr="00FE1F00">
        <w:trPr>
          <w:trHeight w:val="300"/>
        </w:trPr>
        <w:tc>
          <w:tcPr>
            <w:tcW w:w="1241" w:type="dxa"/>
            <w:shd w:val="clear" w:color="auto" w:fill="auto"/>
            <w:noWrap/>
            <w:vAlign w:val="bottom"/>
            <w:hideMark/>
          </w:tcPr>
          <w:p w:rsidR="007E3012" w:rsidRPr="00026C4E" w:rsidRDefault="007E3012" w:rsidP="00FE1F00">
            <w:pPr>
              <w:spacing w:after="0" w:line="240" w:lineRule="auto"/>
              <w:rPr>
                <w:rFonts w:ascii="Calibri" w:eastAsia="Times New Roman" w:hAnsi="Calibri" w:cs="Times New Roman"/>
                <w:noProof w:val="0"/>
                <w:color w:val="000000"/>
                <w:lang w:val="tr-TR" w:eastAsia="tr-TR"/>
              </w:rPr>
            </w:pPr>
            <w:r w:rsidRPr="00026C4E">
              <w:rPr>
                <w:rFonts w:ascii="Calibri" w:eastAsia="Times New Roman" w:hAnsi="Calibri" w:cs="Times New Roman"/>
                <w:noProof w:val="0"/>
                <w:color w:val="000000"/>
                <w:lang w:val="tr-TR" w:eastAsia="tr-TR"/>
              </w:rPr>
              <w:t>Erkek</w:t>
            </w:r>
          </w:p>
        </w:tc>
        <w:tc>
          <w:tcPr>
            <w:tcW w:w="2047" w:type="dxa"/>
            <w:shd w:val="clear" w:color="auto" w:fill="auto"/>
            <w:noWrap/>
            <w:vAlign w:val="bottom"/>
            <w:hideMark/>
          </w:tcPr>
          <w:p w:rsidR="007E3012" w:rsidRPr="00026C4E" w:rsidRDefault="007E3012" w:rsidP="00FE1F00">
            <w:pPr>
              <w:spacing w:after="0" w:line="240" w:lineRule="auto"/>
              <w:jc w:val="right"/>
              <w:rPr>
                <w:rFonts w:ascii="Calibri" w:eastAsia="Times New Roman" w:hAnsi="Calibri" w:cs="Times New Roman"/>
                <w:noProof w:val="0"/>
                <w:color w:val="000000"/>
                <w:lang w:val="tr-TR" w:eastAsia="tr-TR"/>
              </w:rPr>
            </w:pPr>
            <w:r w:rsidRPr="00026C4E">
              <w:rPr>
                <w:rFonts w:ascii="Calibri" w:eastAsia="Times New Roman" w:hAnsi="Calibri" w:cs="Times New Roman"/>
                <w:noProof w:val="0"/>
                <w:color w:val="000000"/>
                <w:lang w:val="tr-TR" w:eastAsia="tr-TR"/>
              </w:rPr>
              <w:t>1.618</w:t>
            </w:r>
          </w:p>
        </w:tc>
        <w:tc>
          <w:tcPr>
            <w:tcW w:w="2048" w:type="dxa"/>
            <w:shd w:val="clear" w:color="auto" w:fill="auto"/>
            <w:noWrap/>
            <w:vAlign w:val="bottom"/>
            <w:hideMark/>
          </w:tcPr>
          <w:p w:rsidR="007E3012" w:rsidRPr="00026C4E" w:rsidRDefault="007E3012" w:rsidP="00FE1F00">
            <w:pPr>
              <w:spacing w:after="0" w:line="240" w:lineRule="auto"/>
              <w:jc w:val="right"/>
              <w:rPr>
                <w:rFonts w:ascii="Calibri" w:eastAsia="Times New Roman" w:hAnsi="Calibri" w:cs="Times New Roman"/>
                <w:noProof w:val="0"/>
                <w:color w:val="000000"/>
                <w:lang w:val="tr-TR" w:eastAsia="tr-TR"/>
              </w:rPr>
            </w:pPr>
            <w:r w:rsidRPr="00026C4E">
              <w:rPr>
                <w:rFonts w:ascii="Calibri" w:eastAsia="Times New Roman" w:hAnsi="Calibri" w:cs="Times New Roman"/>
                <w:noProof w:val="0"/>
                <w:color w:val="000000"/>
                <w:lang w:val="tr-TR" w:eastAsia="tr-TR"/>
              </w:rPr>
              <w:t>1.758</w:t>
            </w:r>
          </w:p>
        </w:tc>
        <w:tc>
          <w:tcPr>
            <w:tcW w:w="2048" w:type="dxa"/>
            <w:shd w:val="clear" w:color="auto" w:fill="auto"/>
            <w:noWrap/>
            <w:vAlign w:val="bottom"/>
            <w:hideMark/>
          </w:tcPr>
          <w:p w:rsidR="007E3012" w:rsidRPr="00026C4E" w:rsidRDefault="007E3012" w:rsidP="00FE1F00">
            <w:pPr>
              <w:spacing w:after="0" w:line="240" w:lineRule="auto"/>
              <w:jc w:val="right"/>
              <w:rPr>
                <w:rFonts w:ascii="Calibri" w:eastAsia="Times New Roman" w:hAnsi="Calibri" w:cs="Times New Roman"/>
                <w:noProof w:val="0"/>
                <w:color w:val="000000"/>
                <w:lang w:val="tr-TR" w:eastAsia="tr-TR"/>
              </w:rPr>
            </w:pPr>
            <w:r w:rsidRPr="00026C4E">
              <w:rPr>
                <w:rFonts w:ascii="Calibri" w:eastAsia="Times New Roman" w:hAnsi="Calibri" w:cs="Times New Roman"/>
                <w:noProof w:val="0"/>
                <w:color w:val="000000"/>
                <w:lang w:val="tr-TR" w:eastAsia="tr-TR"/>
              </w:rPr>
              <w:t>139</w:t>
            </w:r>
          </w:p>
        </w:tc>
        <w:tc>
          <w:tcPr>
            <w:tcW w:w="2048" w:type="dxa"/>
            <w:shd w:val="clear" w:color="auto" w:fill="auto"/>
            <w:noWrap/>
            <w:vAlign w:val="bottom"/>
            <w:hideMark/>
          </w:tcPr>
          <w:p w:rsidR="007E3012" w:rsidRPr="00026C4E" w:rsidRDefault="007E3012" w:rsidP="00FE1F00">
            <w:pPr>
              <w:spacing w:after="0" w:line="240" w:lineRule="auto"/>
              <w:jc w:val="right"/>
              <w:rPr>
                <w:rFonts w:ascii="Calibri" w:eastAsia="Times New Roman" w:hAnsi="Calibri" w:cs="Times New Roman"/>
                <w:noProof w:val="0"/>
                <w:color w:val="000000"/>
                <w:lang w:val="tr-TR" w:eastAsia="tr-TR"/>
              </w:rPr>
            </w:pPr>
            <w:r w:rsidRPr="00026C4E">
              <w:rPr>
                <w:rFonts w:ascii="Calibri" w:eastAsia="Times New Roman" w:hAnsi="Calibri" w:cs="Times New Roman"/>
                <w:noProof w:val="0"/>
                <w:color w:val="000000"/>
                <w:lang w:val="tr-TR" w:eastAsia="tr-TR"/>
              </w:rPr>
              <w:t>8,6</w:t>
            </w:r>
          </w:p>
        </w:tc>
      </w:tr>
      <w:tr w:rsidR="007E3012" w:rsidRPr="00026C4E" w:rsidTr="00FE1F00">
        <w:trPr>
          <w:trHeight w:val="300"/>
        </w:trPr>
        <w:tc>
          <w:tcPr>
            <w:tcW w:w="1241" w:type="dxa"/>
            <w:shd w:val="clear" w:color="auto" w:fill="auto"/>
            <w:noWrap/>
            <w:vAlign w:val="bottom"/>
            <w:hideMark/>
          </w:tcPr>
          <w:p w:rsidR="007E3012" w:rsidRPr="00026C4E" w:rsidRDefault="007E3012" w:rsidP="00FE1F00">
            <w:pPr>
              <w:spacing w:after="0" w:line="240" w:lineRule="auto"/>
              <w:rPr>
                <w:rFonts w:ascii="Calibri" w:eastAsia="Times New Roman" w:hAnsi="Calibri" w:cs="Times New Roman"/>
                <w:noProof w:val="0"/>
                <w:color w:val="000000"/>
                <w:lang w:val="tr-TR" w:eastAsia="tr-TR"/>
              </w:rPr>
            </w:pPr>
            <w:r w:rsidRPr="00026C4E">
              <w:rPr>
                <w:rFonts w:ascii="Calibri" w:eastAsia="Times New Roman" w:hAnsi="Calibri" w:cs="Times New Roman"/>
                <w:noProof w:val="0"/>
                <w:color w:val="000000"/>
                <w:lang w:val="tr-TR" w:eastAsia="tr-TR"/>
              </w:rPr>
              <w:t>Kadın</w:t>
            </w:r>
          </w:p>
        </w:tc>
        <w:tc>
          <w:tcPr>
            <w:tcW w:w="2047" w:type="dxa"/>
            <w:shd w:val="clear" w:color="auto" w:fill="auto"/>
            <w:noWrap/>
            <w:vAlign w:val="bottom"/>
            <w:hideMark/>
          </w:tcPr>
          <w:p w:rsidR="007E3012" w:rsidRPr="00026C4E" w:rsidRDefault="007E3012" w:rsidP="00FE1F00">
            <w:pPr>
              <w:spacing w:after="0" w:line="240" w:lineRule="auto"/>
              <w:jc w:val="right"/>
              <w:rPr>
                <w:rFonts w:ascii="Calibri" w:eastAsia="Times New Roman" w:hAnsi="Calibri" w:cs="Times New Roman"/>
                <w:noProof w:val="0"/>
                <w:color w:val="000000"/>
                <w:lang w:val="tr-TR" w:eastAsia="tr-TR"/>
              </w:rPr>
            </w:pPr>
            <w:r w:rsidRPr="00026C4E">
              <w:rPr>
                <w:rFonts w:ascii="Calibri" w:eastAsia="Times New Roman" w:hAnsi="Calibri" w:cs="Times New Roman"/>
                <w:noProof w:val="0"/>
                <w:color w:val="000000"/>
                <w:lang w:val="tr-TR" w:eastAsia="tr-TR"/>
              </w:rPr>
              <w:t>1.523</w:t>
            </w:r>
          </w:p>
        </w:tc>
        <w:tc>
          <w:tcPr>
            <w:tcW w:w="2048" w:type="dxa"/>
            <w:shd w:val="clear" w:color="auto" w:fill="auto"/>
            <w:noWrap/>
            <w:vAlign w:val="bottom"/>
            <w:hideMark/>
          </w:tcPr>
          <w:p w:rsidR="007E3012" w:rsidRPr="00026C4E" w:rsidRDefault="007E3012" w:rsidP="00FE1F00">
            <w:pPr>
              <w:spacing w:after="0" w:line="240" w:lineRule="auto"/>
              <w:jc w:val="right"/>
              <w:rPr>
                <w:rFonts w:ascii="Calibri" w:eastAsia="Times New Roman" w:hAnsi="Calibri" w:cs="Times New Roman"/>
                <w:noProof w:val="0"/>
                <w:color w:val="000000"/>
                <w:lang w:val="tr-TR" w:eastAsia="tr-TR"/>
              </w:rPr>
            </w:pPr>
            <w:r w:rsidRPr="00026C4E">
              <w:rPr>
                <w:rFonts w:ascii="Calibri" w:eastAsia="Times New Roman" w:hAnsi="Calibri" w:cs="Times New Roman"/>
                <w:noProof w:val="0"/>
                <w:color w:val="000000"/>
                <w:lang w:val="tr-TR" w:eastAsia="tr-TR"/>
              </w:rPr>
              <w:t>1.719</w:t>
            </w:r>
          </w:p>
        </w:tc>
        <w:tc>
          <w:tcPr>
            <w:tcW w:w="2048" w:type="dxa"/>
            <w:shd w:val="clear" w:color="auto" w:fill="auto"/>
            <w:noWrap/>
            <w:vAlign w:val="bottom"/>
            <w:hideMark/>
          </w:tcPr>
          <w:p w:rsidR="007E3012" w:rsidRPr="00026C4E" w:rsidRDefault="007E3012" w:rsidP="00FE1F00">
            <w:pPr>
              <w:spacing w:after="0" w:line="240" w:lineRule="auto"/>
              <w:jc w:val="right"/>
              <w:rPr>
                <w:rFonts w:ascii="Calibri" w:eastAsia="Times New Roman" w:hAnsi="Calibri" w:cs="Times New Roman"/>
                <w:noProof w:val="0"/>
                <w:color w:val="000000"/>
                <w:lang w:val="tr-TR" w:eastAsia="tr-TR"/>
              </w:rPr>
            </w:pPr>
            <w:r w:rsidRPr="00026C4E">
              <w:rPr>
                <w:rFonts w:ascii="Calibri" w:eastAsia="Times New Roman" w:hAnsi="Calibri" w:cs="Times New Roman"/>
                <w:noProof w:val="0"/>
                <w:color w:val="000000"/>
                <w:lang w:val="tr-TR" w:eastAsia="tr-TR"/>
              </w:rPr>
              <w:t>196</w:t>
            </w:r>
          </w:p>
        </w:tc>
        <w:tc>
          <w:tcPr>
            <w:tcW w:w="2048" w:type="dxa"/>
            <w:shd w:val="clear" w:color="auto" w:fill="auto"/>
            <w:noWrap/>
            <w:vAlign w:val="bottom"/>
            <w:hideMark/>
          </w:tcPr>
          <w:p w:rsidR="007E3012" w:rsidRPr="00026C4E" w:rsidRDefault="007E3012" w:rsidP="00FE1F00">
            <w:pPr>
              <w:spacing w:after="0" w:line="240" w:lineRule="auto"/>
              <w:jc w:val="right"/>
              <w:rPr>
                <w:rFonts w:ascii="Calibri" w:eastAsia="Times New Roman" w:hAnsi="Calibri" w:cs="Times New Roman"/>
                <w:noProof w:val="0"/>
                <w:color w:val="000000"/>
                <w:lang w:val="tr-TR" w:eastAsia="tr-TR"/>
              </w:rPr>
            </w:pPr>
            <w:r w:rsidRPr="00026C4E">
              <w:rPr>
                <w:rFonts w:ascii="Calibri" w:eastAsia="Times New Roman" w:hAnsi="Calibri" w:cs="Times New Roman"/>
                <w:noProof w:val="0"/>
                <w:color w:val="000000"/>
                <w:lang w:val="tr-TR" w:eastAsia="tr-TR"/>
              </w:rPr>
              <w:t>12,9</w:t>
            </w:r>
          </w:p>
        </w:tc>
      </w:tr>
    </w:tbl>
    <w:p w:rsidR="004A6A34" w:rsidRDefault="007E3012" w:rsidP="004A6A34">
      <w:pPr>
        <w:spacing w:after="0" w:line="240" w:lineRule="auto"/>
        <w:rPr>
          <w:sz w:val="20"/>
          <w:szCs w:val="20"/>
          <w:lang w:val="tr-TR"/>
        </w:rPr>
      </w:pPr>
      <w:r w:rsidRPr="00E5747D">
        <w:rPr>
          <w:sz w:val="20"/>
          <w:szCs w:val="20"/>
          <w:lang w:val="tr-TR"/>
        </w:rPr>
        <w:t>Kaynak: HİA 2013, Betam Kasım 2015 güncellemesi</w:t>
      </w:r>
    </w:p>
    <w:p w:rsidR="00C73707" w:rsidRDefault="00C73707" w:rsidP="004A6A34">
      <w:pPr>
        <w:spacing w:after="0" w:line="240" w:lineRule="auto"/>
      </w:pPr>
    </w:p>
    <w:p w:rsidR="00EB7A7B" w:rsidRDefault="002D2D41" w:rsidP="00EB7A7B">
      <w:pPr>
        <w:spacing w:after="0"/>
        <w:rPr>
          <w:lang w:val="tr-TR"/>
        </w:rPr>
      </w:pPr>
      <w:r w:rsidRPr="00475B37">
        <w:rPr>
          <w:lang w:val="tr-TR"/>
        </w:rPr>
        <w:t>Asgari ücretteki artış d</w:t>
      </w:r>
      <w:r w:rsidR="006242DD" w:rsidRPr="00475B37">
        <w:rPr>
          <w:lang w:val="tr-TR"/>
        </w:rPr>
        <w:t xml:space="preserve">üşük katılım oranlı kadın işgücünün </w:t>
      </w:r>
      <w:r w:rsidR="0051466E" w:rsidRPr="00475B37">
        <w:rPr>
          <w:lang w:val="tr-TR"/>
        </w:rPr>
        <w:t>artmasın</w:t>
      </w:r>
      <w:r w:rsidR="00834FE9" w:rsidRPr="00475B37">
        <w:rPr>
          <w:lang w:val="tr-TR"/>
        </w:rPr>
        <w:t>ı sağlayabilir</w:t>
      </w:r>
      <w:r w:rsidR="004448D0" w:rsidRPr="00475B37">
        <w:rPr>
          <w:lang w:val="tr-TR"/>
        </w:rPr>
        <w:t>. Diğer ifadeyle</w:t>
      </w:r>
      <w:r w:rsidR="00834FE9" w:rsidRPr="00475B37">
        <w:rPr>
          <w:lang w:val="tr-TR"/>
        </w:rPr>
        <w:t xml:space="preserve"> </w:t>
      </w:r>
      <w:r w:rsidRPr="00475B37">
        <w:rPr>
          <w:lang w:val="tr-TR"/>
        </w:rPr>
        <w:t>bu artış</w:t>
      </w:r>
      <w:r w:rsidR="00834FE9" w:rsidRPr="00475B37">
        <w:rPr>
          <w:lang w:val="tr-TR"/>
        </w:rPr>
        <w:t xml:space="preserve"> </w:t>
      </w:r>
      <w:r w:rsidR="00147251">
        <w:rPr>
          <w:lang w:val="tr-TR"/>
        </w:rPr>
        <w:t>işgücünde olmanın getirisini artırarak halihazırda işgücü piyasasında olmayan kadınları işgücü piyasasına çekebilir</w:t>
      </w:r>
      <w:r w:rsidR="001C5D69" w:rsidRPr="00475B37">
        <w:rPr>
          <w:lang w:val="tr-TR"/>
        </w:rPr>
        <w:t xml:space="preserve">. </w:t>
      </w:r>
    </w:p>
    <w:p w:rsidR="00EB7A7B" w:rsidRDefault="00EB7A7B" w:rsidP="00EB7A7B">
      <w:pPr>
        <w:spacing w:after="0"/>
        <w:rPr>
          <w:lang w:val="tr-TR"/>
        </w:rPr>
      </w:pPr>
    </w:p>
    <w:p w:rsidR="00EB7A7B" w:rsidRPr="00EB7A7B" w:rsidRDefault="00EB7A7B" w:rsidP="00EB7A7B">
      <w:pPr>
        <w:spacing w:after="0"/>
        <w:rPr>
          <w:b/>
          <w:lang w:val="tr-TR"/>
        </w:rPr>
      </w:pPr>
      <w:r w:rsidRPr="00EB7A7B">
        <w:rPr>
          <w:b/>
          <w:lang w:val="tr-TR"/>
        </w:rPr>
        <w:t>Gençler, kadınlar ve kayıt</w:t>
      </w:r>
      <w:r w:rsidR="00C32320">
        <w:rPr>
          <w:b/>
          <w:lang w:val="tr-TR"/>
        </w:rPr>
        <w:t xml:space="preserve"> </w:t>
      </w:r>
      <w:r w:rsidRPr="00EB7A7B">
        <w:rPr>
          <w:b/>
          <w:lang w:val="tr-TR"/>
        </w:rPr>
        <w:t xml:space="preserve">dışılık </w:t>
      </w:r>
    </w:p>
    <w:p w:rsidR="00EB7A7B" w:rsidRDefault="00EB7A7B" w:rsidP="00EB7A7B">
      <w:pPr>
        <w:spacing w:after="0"/>
        <w:rPr>
          <w:lang w:val="tr-TR"/>
        </w:rPr>
      </w:pPr>
    </w:p>
    <w:p w:rsidR="00EB7A7B" w:rsidRPr="00EB7A7B" w:rsidRDefault="00EB7A7B" w:rsidP="00520AB3">
      <w:pPr>
        <w:rPr>
          <w:lang w:val="tr-TR"/>
        </w:rPr>
      </w:pPr>
      <w:r>
        <w:rPr>
          <w:lang w:val="tr-TR"/>
        </w:rPr>
        <w:t xml:space="preserve">Veriler asgari ücretteki artışın gençleri ve kadınları nispeten daha çok etkileyeceğine işaret etmektedir. Zira bu gruplar arasında asgari ücret karşılığı çalışanların oranı da nispeten yüksektir. Dolayısıyla asgari ücret artışının bu grupların aleyhine olan ücret farklılıklarını kapatması beklenebilir. Diğer taraftan gençler ve kadınların hem işsizlik hem de kayıt dışılık oranları diğer gruplara kıyasla </w:t>
      </w:r>
      <w:r>
        <w:rPr>
          <w:lang w:val="tr-TR"/>
        </w:rPr>
        <w:lastRenderedPageBreak/>
        <w:t xml:space="preserve">daha yüksektir. </w:t>
      </w:r>
      <w:r w:rsidR="00665C59" w:rsidRPr="00A61EE3">
        <w:t xml:space="preserve">2013 yılı verilerine göre 15-24 yaş grubundaki gençlerin beşte biri iş </w:t>
      </w:r>
      <w:r w:rsidR="00665C59" w:rsidRPr="00A61EE3">
        <w:rPr>
          <w:lang w:val="tr-TR"/>
        </w:rPr>
        <w:t xml:space="preserve">bulamamakta ve </w:t>
      </w:r>
      <w:r w:rsidR="00665C59">
        <w:rPr>
          <w:lang w:val="tr-TR"/>
        </w:rPr>
        <w:t>ü</w:t>
      </w:r>
      <w:r w:rsidR="00665C59" w:rsidRPr="00A61EE3">
        <w:rPr>
          <w:lang w:val="tr-TR"/>
        </w:rPr>
        <w:t>cretli/yevmiyeli veya maaşlı çalışanlarda kayıt dışılık oranları yüzde 35,3’e ulaşmaktadır (</w:t>
      </w:r>
      <w:r w:rsidR="00C32320">
        <w:t>Ek Tablo 1</w:t>
      </w:r>
      <w:r w:rsidR="00665C59" w:rsidRPr="00A61EE3">
        <w:rPr>
          <w:lang w:val="tr-TR"/>
        </w:rPr>
        <w:t xml:space="preserve">). </w:t>
      </w:r>
      <w:r w:rsidR="00520AB3">
        <w:rPr>
          <w:lang w:val="tr-TR"/>
        </w:rPr>
        <w:t>Kayıtdışılığa cinsiyet ayrımında bakıldığında,</w:t>
      </w:r>
      <w:r>
        <w:rPr>
          <w:lang w:val="tr-TR"/>
        </w:rPr>
        <w:t xml:space="preserve"> ücretli çalışan</w:t>
      </w:r>
      <w:r w:rsidR="00BB4383" w:rsidRPr="0007105E">
        <w:rPr>
          <w:lang w:val="tr-TR"/>
        </w:rPr>
        <w:t xml:space="preserve"> kadınların yüzde </w:t>
      </w:r>
      <w:r w:rsidR="005E167C" w:rsidRPr="0007105E">
        <w:rPr>
          <w:lang w:val="tr-TR"/>
        </w:rPr>
        <w:t>22,2</w:t>
      </w:r>
      <w:r w:rsidR="00BB4383" w:rsidRPr="0007105E">
        <w:rPr>
          <w:lang w:val="tr-TR"/>
        </w:rPr>
        <w:t>'si</w:t>
      </w:r>
      <w:r>
        <w:rPr>
          <w:lang w:val="tr-TR"/>
        </w:rPr>
        <w:t>, erkeklerin</w:t>
      </w:r>
      <w:r w:rsidRPr="00EB7A7B">
        <w:rPr>
          <w:lang w:val="tr-TR"/>
        </w:rPr>
        <w:t xml:space="preserve"> </w:t>
      </w:r>
      <w:r w:rsidRPr="0007105E">
        <w:rPr>
          <w:lang w:val="tr-TR"/>
        </w:rPr>
        <w:t>yüzde 19,1</w:t>
      </w:r>
      <w:r>
        <w:rPr>
          <w:lang w:val="tr-TR"/>
        </w:rPr>
        <w:t>'i</w:t>
      </w:r>
      <w:r w:rsidR="00BB4383" w:rsidRPr="0007105E">
        <w:rPr>
          <w:lang w:val="tr-TR"/>
        </w:rPr>
        <w:t xml:space="preserve"> kayıt dışı olarak çalış</w:t>
      </w:r>
      <w:r w:rsidR="00520AB3">
        <w:rPr>
          <w:lang w:val="tr-TR"/>
        </w:rPr>
        <w:t xml:space="preserve">tığı görülmektedir </w:t>
      </w:r>
      <w:r w:rsidR="00665C59">
        <w:rPr>
          <w:lang w:val="tr-TR"/>
        </w:rPr>
        <w:t>(</w:t>
      </w:r>
      <w:r w:rsidR="00061BB9">
        <w:fldChar w:fldCharType="begin"/>
      </w:r>
      <w:r w:rsidR="00061BB9">
        <w:instrText xml:space="preserve"> REF _Ref442815148 \h  \* MERGEFORMAT </w:instrText>
      </w:r>
      <w:r w:rsidR="00061BB9">
        <w:fldChar w:fldCharType="separate"/>
      </w:r>
      <w:r w:rsidR="005551C6" w:rsidRPr="005551C6">
        <w:rPr>
          <w:lang w:val="tr-TR"/>
        </w:rPr>
        <w:t>Ek Tablo 2</w:t>
      </w:r>
      <w:r w:rsidR="00061BB9">
        <w:fldChar w:fldCharType="end"/>
      </w:r>
      <w:r w:rsidR="00C50545" w:rsidRPr="0007105E">
        <w:rPr>
          <w:lang w:val="tr-TR"/>
        </w:rPr>
        <w:t xml:space="preserve">). </w:t>
      </w:r>
    </w:p>
    <w:p w:rsidR="00A61EE3" w:rsidRPr="00A61EE3" w:rsidRDefault="00A61EE3" w:rsidP="00A61EE3">
      <w:r w:rsidRPr="00A61EE3">
        <w:t xml:space="preserve">Asgari ücretin firmalar üzerinde yasal olarak bağlayıcı olması dolayısıyla üretim maliyetleri önemli ölçüde artış gösterecektir. </w:t>
      </w:r>
      <w:r w:rsidR="00022C8F">
        <w:t>D</w:t>
      </w:r>
      <w:r w:rsidRPr="00A61EE3">
        <w:t>enetimler artırılmadığı takdirde ekonomi yazınında da gösterildiği gibi kayıt</w:t>
      </w:r>
      <w:r w:rsidR="00520AB3">
        <w:t xml:space="preserve"> </w:t>
      </w:r>
      <w:r w:rsidRPr="00A61EE3">
        <w:t xml:space="preserve">dışılığa yönelişin olması çok muhtemeldir.  Ayrıca işgücü maliyetlerinin artmasıyla birlikte firmaların yaratacakları istihdamın bir miktar gerileyeceği tahmin </w:t>
      </w:r>
      <w:r w:rsidR="005F2575">
        <w:t>edilebilir</w:t>
      </w:r>
      <w:r w:rsidRPr="00A61EE3">
        <w:t xml:space="preserve">. </w:t>
      </w:r>
      <w:r w:rsidR="00022C8F">
        <w:t>Bu durumda işgücü piyasasında dezavantajlı k</w:t>
      </w:r>
      <w:r w:rsidR="00BD4BAC">
        <w:t xml:space="preserve">onumda olan gençlerin ve kadınların daha olumsuz etkilenmeleri muhtemeldir. </w:t>
      </w:r>
    </w:p>
    <w:p w:rsidR="007E3012" w:rsidRDefault="007E3012"/>
    <w:p w:rsidR="007E3012" w:rsidRDefault="007E3012"/>
    <w:p w:rsidR="007E3012" w:rsidRDefault="007E3012"/>
    <w:p w:rsidR="007E3012" w:rsidRPr="001A0B19" w:rsidRDefault="007E3012" w:rsidP="001A0B19">
      <w:pPr>
        <w:rPr>
          <w:b/>
          <w:bCs/>
          <w:sz w:val="18"/>
          <w:szCs w:val="18"/>
        </w:rPr>
      </w:pPr>
      <w:r w:rsidRPr="009C2A78">
        <w:t xml:space="preserve"> </w:t>
      </w:r>
    </w:p>
    <w:p w:rsidR="001A0B19" w:rsidRDefault="001A0B19">
      <w:pPr>
        <w:rPr>
          <w:b/>
          <w:bCs/>
        </w:rPr>
      </w:pPr>
      <w:r>
        <w:br w:type="page"/>
      </w:r>
    </w:p>
    <w:p w:rsidR="004E38FF" w:rsidRPr="00C75FA5" w:rsidRDefault="004E38FF" w:rsidP="004E38FF">
      <w:pPr>
        <w:pStyle w:val="Caption"/>
        <w:keepNext/>
      </w:pPr>
      <w:r w:rsidRPr="00C75FA5">
        <w:rPr>
          <w:color w:val="auto"/>
          <w:sz w:val="22"/>
          <w:szCs w:val="22"/>
        </w:rPr>
        <w:lastRenderedPageBreak/>
        <w:t xml:space="preserve">Ek Tablo </w:t>
      </w:r>
      <w:r w:rsidR="00214AD9" w:rsidRPr="00C75FA5">
        <w:rPr>
          <w:color w:val="auto"/>
          <w:sz w:val="22"/>
          <w:szCs w:val="22"/>
        </w:rPr>
        <w:fldChar w:fldCharType="begin"/>
      </w:r>
      <w:r w:rsidRPr="00C75FA5">
        <w:rPr>
          <w:color w:val="auto"/>
          <w:sz w:val="22"/>
          <w:szCs w:val="22"/>
        </w:rPr>
        <w:instrText xml:space="preserve"> SEQ Denklem \* ARABIC </w:instrText>
      </w:r>
      <w:r w:rsidR="00214AD9" w:rsidRPr="00C75FA5">
        <w:rPr>
          <w:color w:val="auto"/>
          <w:sz w:val="22"/>
          <w:szCs w:val="22"/>
        </w:rPr>
        <w:fldChar w:fldCharType="separate"/>
      </w:r>
      <w:r w:rsidR="005551C6">
        <w:rPr>
          <w:color w:val="auto"/>
          <w:sz w:val="22"/>
          <w:szCs w:val="22"/>
        </w:rPr>
        <w:t>1</w:t>
      </w:r>
      <w:r w:rsidR="00214AD9" w:rsidRPr="00C75FA5">
        <w:rPr>
          <w:color w:val="auto"/>
          <w:sz w:val="22"/>
          <w:szCs w:val="22"/>
        </w:rPr>
        <w:fldChar w:fldCharType="end"/>
      </w:r>
      <w:r w:rsidRPr="00C75FA5">
        <w:rPr>
          <w:color w:val="auto"/>
          <w:sz w:val="22"/>
          <w:szCs w:val="22"/>
        </w:rPr>
        <w:t xml:space="preserve"> </w:t>
      </w:r>
      <w:r w:rsidR="004F6056">
        <w:rPr>
          <w:color w:val="auto"/>
          <w:sz w:val="22"/>
          <w:szCs w:val="22"/>
        </w:rPr>
        <w:t>Gençlerde ve ülke genelinde işsizlik</w:t>
      </w:r>
      <w:r w:rsidR="0082446E">
        <w:rPr>
          <w:color w:val="auto"/>
          <w:sz w:val="22"/>
          <w:szCs w:val="22"/>
        </w:rPr>
        <w:t xml:space="preserve"> </w:t>
      </w:r>
      <w:r w:rsidR="004F6056">
        <w:rPr>
          <w:color w:val="auto"/>
          <w:sz w:val="22"/>
          <w:szCs w:val="22"/>
        </w:rPr>
        <w:t>ve</w:t>
      </w:r>
      <w:r w:rsidRPr="00C75FA5">
        <w:rPr>
          <w:color w:val="auto"/>
          <w:sz w:val="22"/>
          <w:szCs w:val="22"/>
        </w:rPr>
        <w:t xml:space="preserve"> kayıt dışılık oranları</w:t>
      </w:r>
    </w:p>
    <w:tbl>
      <w:tblPr>
        <w:tblW w:w="5690"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1906"/>
        <w:gridCol w:w="1664"/>
        <w:gridCol w:w="2120"/>
      </w:tblGrid>
      <w:tr w:rsidR="004E38FF" w:rsidRPr="00C75FA5" w:rsidTr="004E58DC">
        <w:trPr>
          <w:trHeight w:val="329"/>
        </w:trPr>
        <w:tc>
          <w:tcPr>
            <w:tcW w:w="1906" w:type="dxa"/>
            <w:shd w:val="clear" w:color="auto" w:fill="auto"/>
            <w:noWrap/>
            <w:vAlign w:val="bottom"/>
            <w:hideMark/>
          </w:tcPr>
          <w:p w:rsidR="004E38FF" w:rsidRPr="00C75FA5" w:rsidRDefault="004E38FF" w:rsidP="004E58DC">
            <w:pPr>
              <w:spacing w:after="0" w:line="240" w:lineRule="auto"/>
              <w:rPr>
                <w:rFonts w:ascii="Calibri" w:eastAsia="Times New Roman" w:hAnsi="Calibri" w:cs="Times New Roman"/>
                <w:noProof w:val="0"/>
                <w:color w:val="000000"/>
                <w:lang w:val="tr-TR" w:eastAsia="tr-TR"/>
              </w:rPr>
            </w:pPr>
          </w:p>
        </w:tc>
        <w:tc>
          <w:tcPr>
            <w:tcW w:w="1664" w:type="dxa"/>
            <w:shd w:val="clear" w:color="auto" w:fill="auto"/>
            <w:noWrap/>
            <w:vAlign w:val="bottom"/>
            <w:hideMark/>
          </w:tcPr>
          <w:p w:rsidR="004E38FF" w:rsidRPr="00C75FA5" w:rsidRDefault="004E38FF" w:rsidP="004E58DC">
            <w:pPr>
              <w:spacing w:after="0" w:line="240" w:lineRule="auto"/>
              <w:jc w:val="right"/>
              <w:rPr>
                <w:rFonts w:ascii="Calibri" w:eastAsia="Times New Roman" w:hAnsi="Calibri" w:cs="Times New Roman"/>
                <w:noProof w:val="0"/>
                <w:color w:val="000000"/>
                <w:lang w:val="tr-TR" w:eastAsia="tr-TR"/>
              </w:rPr>
            </w:pPr>
            <w:r w:rsidRPr="00C75FA5">
              <w:rPr>
                <w:rFonts w:ascii="Calibri" w:eastAsia="Times New Roman" w:hAnsi="Calibri" w:cs="Times New Roman"/>
                <w:noProof w:val="0"/>
                <w:color w:val="000000"/>
                <w:lang w:val="tr-TR" w:eastAsia="tr-TR"/>
              </w:rPr>
              <w:t>İşsizlik oranı (%)</w:t>
            </w:r>
          </w:p>
        </w:tc>
        <w:tc>
          <w:tcPr>
            <w:tcW w:w="2120" w:type="dxa"/>
            <w:shd w:val="clear" w:color="auto" w:fill="auto"/>
            <w:noWrap/>
            <w:vAlign w:val="bottom"/>
            <w:hideMark/>
          </w:tcPr>
          <w:p w:rsidR="004E38FF" w:rsidRPr="00C75FA5" w:rsidRDefault="004E38FF" w:rsidP="004E58DC">
            <w:pPr>
              <w:spacing w:after="0" w:line="240" w:lineRule="auto"/>
              <w:jc w:val="right"/>
              <w:rPr>
                <w:rFonts w:ascii="Calibri" w:eastAsia="Times New Roman" w:hAnsi="Calibri" w:cs="Times New Roman"/>
                <w:noProof w:val="0"/>
                <w:color w:val="000000"/>
                <w:lang w:val="tr-TR" w:eastAsia="tr-TR"/>
              </w:rPr>
            </w:pPr>
            <w:r w:rsidRPr="00C75FA5">
              <w:rPr>
                <w:rFonts w:ascii="Calibri" w:eastAsia="Times New Roman" w:hAnsi="Calibri" w:cs="Times New Roman"/>
                <w:noProof w:val="0"/>
                <w:color w:val="000000"/>
                <w:lang w:val="tr-TR" w:eastAsia="tr-TR"/>
              </w:rPr>
              <w:t>Kayıt dışılık oranı* (%)</w:t>
            </w:r>
          </w:p>
        </w:tc>
      </w:tr>
      <w:tr w:rsidR="004E38FF" w:rsidRPr="00C75FA5" w:rsidTr="004E58DC">
        <w:trPr>
          <w:trHeight w:val="329"/>
        </w:trPr>
        <w:tc>
          <w:tcPr>
            <w:tcW w:w="1906" w:type="dxa"/>
            <w:shd w:val="clear" w:color="auto" w:fill="auto"/>
            <w:noWrap/>
            <w:vAlign w:val="bottom"/>
            <w:hideMark/>
          </w:tcPr>
          <w:p w:rsidR="004E38FF" w:rsidRPr="00C75FA5" w:rsidRDefault="004E38FF" w:rsidP="004E58DC">
            <w:pPr>
              <w:spacing w:after="0" w:line="240" w:lineRule="auto"/>
              <w:jc w:val="right"/>
              <w:rPr>
                <w:rFonts w:ascii="Calibri" w:eastAsia="Times New Roman" w:hAnsi="Calibri" w:cs="Times New Roman"/>
                <w:noProof w:val="0"/>
                <w:color w:val="000000"/>
                <w:lang w:val="tr-TR" w:eastAsia="tr-TR"/>
              </w:rPr>
            </w:pPr>
            <w:r w:rsidRPr="00C75FA5">
              <w:rPr>
                <w:rFonts w:ascii="Calibri" w:eastAsia="Times New Roman" w:hAnsi="Calibri" w:cs="Times New Roman"/>
                <w:noProof w:val="0"/>
                <w:color w:val="000000"/>
                <w:lang w:val="tr-TR" w:eastAsia="tr-TR"/>
              </w:rPr>
              <w:t>15-24 yaş arasında</w:t>
            </w:r>
          </w:p>
        </w:tc>
        <w:tc>
          <w:tcPr>
            <w:tcW w:w="1664" w:type="dxa"/>
            <w:shd w:val="clear" w:color="auto" w:fill="auto"/>
            <w:noWrap/>
            <w:vAlign w:val="bottom"/>
            <w:hideMark/>
          </w:tcPr>
          <w:p w:rsidR="004E38FF" w:rsidRPr="00C75FA5" w:rsidRDefault="004E38FF" w:rsidP="004E58DC">
            <w:pPr>
              <w:spacing w:after="0" w:line="240" w:lineRule="auto"/>
              <w:jc w:val="right"/>
              <w:rPr>
                <w:rFonts w:ascii="Calibri" w:eastAsia="Times New Roman" w:hAnsi="Calibri" w:cs="Times New Roman"/>
                <w:noProof w:val="0"/>
                <w:color w:val="000000"/>
                <w:lang w:val="tr-TR" w:eastAsia="tr-TR"/>
              </w:rPr>
            </w:pPr>
            <w:r w:rsidRPr="00C75FA5">
              <w:rPr>
                <w:rFonts w:ascii="Calibri" w:eastAsia="Times New Roman" w:hAnsi="Calibri" w:cs="Times New Roman"/>
                <w:noProof w:val="0"/>
                <w:color w:val="000000"/>
                <w:lang w:val="tr-TR" w:eastAsia="tr-TR"/>
              </w:rPr>
              <w:t>18,7</w:t>
            </w:r>
          </w:p>
        </w:tc>
        <w:tc>
          <w:tcPr>
            <w:tcW w:w="2120" w:type="dxa"/>
            <w:shd w:val="clear" w:color="auto" w:fill="auto"/>
            <w:noWrap/>
            <w:vAlign w:val="bottom"/>
            <w:hideMark/>
          </w:tcPr>
          <w:p w:rsidR="004E38FF" w:rsidRPr="00C75FA5" w:rsidRDefault="004E38FF" w:rsidP="004E58DC">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35,3</w:t>
            </w:r>
          </w:p>
        </w:tc>
      </w:tr>
      <w:tr w:rsidR="004E38FF" w:rsidRPr="00C75FA5" w:rsidTr="004E58DC">
        <w:trPr>
          <w:trHeight w:val="329"/>
        </w:trPr>
        <w:tc>
          <w:tcPr>
            <w:tcW w:w="1906" w:type="dxa"/>
            <w:shd w:val="clear" w:color="auto" w:fill="auto"/>
            <w:noWrap/>
            <w:vAlign w:val="bottom"/>
            <w:hideMark/>
          </w:tcPr>
          <w:p w:rsidR="004E38FF" w:rsidRPr="00C75FA5" w:rsidRDefault="004E38FF" w:rsidP="004E58DC">
            <w:pPr>
              <w:spacing w:after="0" w:line="240" w:lineRule="auto"/>
              <w:rPr>
                <w:rFonts w:ascii="Calibri" w:eastAsia="Times New Roman" w:hAnsi="Calibri" w:cs="Times New Roman"/>
                <w:noProof w:val="0"/>
                <w:color w:val="000000"/>
                <w:lang w:val="tr-TR" w:eastAsia="tr-TR"/>
              </w:rPr>
            </w:pPr>
            <w:r w:rsidRPr="00C75FA5">
              <w:rPr>
                <w:rFonts w:ascii="Calibri" w:eastAsia="Times New Roman" w:hAnsi="Calibri" w:cs="Times New Roman"/>
                <w:noProof w:val="0"/>
                <w:color w:val="000000"/>
                <w:lang w:val="tr-TR" w:eastAsia="tr-TR"/>
              </w:rPr>
              <w:t>Türkiye geneli</w:t>
            </w:r>
          </w:p>
        </w:tc>
        <w:tc>
          <w:tcPr>
            <w:tcW w:w="1664" w:type="dxa"/>
            <w:shd w:val="clear" w:color="auto" w:fill="auto"/>
            <w:noWrap/>
            <w:vAlign w:val="bottom"/>
            <w:hideMark/>
          </w:tcPr>
          <w:p w:rsidR="004E38FF" w:rsidRPr="00C75FA5" w:rsidRDefault="004E38FF" w:rsidP="004E58DC">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9,7</w:t>
            </w:r>
          </w:p>
        </w:tc>
        <w:tc>
          <w:tcPr>
            <w:tcW w:w="2120" w:type="dxa"/>
            <w:shd w:val="clear" w:color="auto" w:fill="auto"/>
            <w:noWrap/>
            <w:vAlign w:val="bottom"/>
            <w:hideMark/>
          </w:tcPr>
          <w:p w:rsidR="004E38FF" w:rsidRPr="00C75FA5" w:rsidRDefault="004E38FF" w:rsidP="004E58DC">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19,9</w:t>
            </w:r>
          </w:p>
        </w:tc>
      </w:tr>
    </w:tbl>
    <w:p w:rsidR="004E38FF" w:rsidRPr="00C75FA5" w:rsidRDefault="004E38FF" w:rsidP="004E38FF">
      <w:pPr>
        <w:spacing w:after="0" w:line="240" w:lineRule="auto"/>
        <w:rPr>
          <w:sz w:val="20"/>
          <w:szCs w:val="20"/>
          <w:lang w:val="tr-TR"/>
        </w:rPr>
      </w:pPr>
      <w:r w:rsidRPr="00C75FA5">
        <w:rPr>
          <w:sz w:val="20"/>
          <w:szCs w:val="20"/>
          <w:lang w:val="tr-TR"/>
        </w:rPr>
        <w:t>Kaynak: HİA 2013, Betam</w:t>
      </w:r>
    </w:p>
    <w:p w:rsidR="004E38FF" w:rsidRPr="00C75FA5" w:rsidRDefault="004E38FF" w:rsidP="004E38FF">
      <w:pPr>
        <w:spacing w:after="0" w:line="240" w:lineRule="auto"/>
        <w:rPr>
          <w:sz w:val="20"/>
          <w:szCs w:val="20"/>
          <w:lang w:val="tr-TR"/>
        </w:rPr>
      </w:pPr>
      <w:r w:rsidRPr="00C75FA5">
        <w:rPr>
          <w:sz w:val="20"/>
          <w:szCs w:val="20"/>
          <w:lang w:val="tr-TR"/>
        </w:rPr>
        <w:t>*Ücretli/maaşlı/yevmiyeli çalışanlar arasında hesaplanmıştır.</w:t>
      </w:r>
    </w:p>
    <w:p w:rsidR="004E38FF" w:rsidRPr="00C75FA5" w:rsidRDefault="004E38FF" w:rsidP="004E38FF">
      <w:pPr>
        <w:pStyle w:val="Caption"/>
        <w:keepNext/>
        <w:rPr>
          <w:color w:val="auto"/>
          <w:sz w:val="22"/>
          <w:szCs w:val="22"/>
        </w:rPr>
      </w:pPr>
      <w:bookmarkStart w:id="10" w:name="_Ref442815009"/>
    </w:p>
    <w:p w:rsidR="00334E4B" w:rsidRDefault="003D1920" w:rsidP="008D407F">
      <w:pPr>
        <w:pStyle w:val="Caption"/>
        <w:keepNext/>
      </w:pPr>
      <w:bookmarkStart w:id="11" w:name="_Ref442815148"/>
      <w:bookmarkEnd w:id="10"/>
      <w:r w:rsidRPr="00C75FA5">
        <w:rPr>
          <w:color w:val="auto"/>
          <w:sz w:val="22"/>
          <w:szCs w:val="22"/>
        </w:rPr>
        <w:t>Ek Tablo</w:t>
      </w:r>
      <w:r w:rsidR="00334E4B" w:rsidRPr="00C75FA5">
        <w:rPr>
          <w:color w:val="auto"/>
          <w:sz w:val="22"/>
          <w:szCs w:val="22"/>
        </w:rPr>
        <w:t xml:space="preserve"> </w:t>
      </w:r>
      <w:r w:rsidR="00214AD9" w:rsidRPr="00C75FA5">
        <w:rPr>
          <w:color w:val="auto"/>
          <w:sz w:val="22"/>
          <w:szCs w:val="22"/>
        </w:rPr>
        <w:fldChar w:fldCharType="begin"/>
      </w:r>
      <w:r w:rsidR="00334E4B" w:rsidRPr="00C75FA5">
        <w:rPr>
          <w:color w:val="auto"/>
          <w:sz w:val="22"/>
          <w:szCs w:val="22"/>
        </w:rPr>
        <w:instrText xml:space="preserve"> SEQ Denklem \* ARABIC </w:instrText>
      </w:r>
      <w:r w:rsidR="00214AD9" w:rsidRPr="00C75FA5">
        <w:rPr>
          <w:color w:val="auto"/>
          <w:sz w:val="22"/>
          <w:szCs w:val="22"/>
        </w:rPr>
        <w:fldChar w:fldCharType="separate"/>
      </w:r>
      <w:r w:rsidR="005551C6">
        <w:rPr>
          <w:color w:val="auto"/>
          <w:sz w:val="22"/>
          <w:szCs w:val="22"/>
        </w:rPr>
        <w:t>2</w:t>
      </w:r>
      <w:r w:rsidR="00214AD9" w:rsidRPr="00C75FA5">
        <w:rPr>
          <w:color w:val="auto"/>
          <w:sz w:val="22"/>
          <w:szCs w:val="22"/>
        </w:rPr>
        <w:fldChar w:fldCharType="end"/>
      </w:r>
      <w:bookmarkEnd w:id="11"/>
      <w:r w:rsidR="00334E4B" w:rsidRPr="00C75FA5">
        <w:rPr>
          <w:color w:val="auto"/>
          <w:sz w:val="22"/>
          <w:szCs w:val="22"/>
        </w:rPr>
        <w:t xml:space="preserve"> Cinsiyete</w:t>
      </w:r>
      <w:r w:rsidR="00334E4B" w:rsidRPr="009C2A78">
        <w:rPr>
          <w:color w:val="auto"/>
          <w:sz w:val="22"/>
          <w:szCs w:val="22"/>
        </w:rPr>
        <w:t xml:space="preserve"> göre işgücü piyasası göstergeleri</w:t>
      </w:r>
    </w:p>
    <w:tbl>
      <w:tblPr>
        <w:tblW w:w="5690"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1906"/>
        <w:gridCol w:w="1664"/>
        <w:gridCol w:w="2120"/>
      </w:tblGrid>
      <w:tr w:rsidR="00C904AA" w:rsidRPr="003D2DAC" w:rsidTr="00DA6FC4">
        <w:trPr>
          <w:trHeight w:val="329"/>
        </w:trPr>
        <w:tc>
          <w:tcPr>
            <w:tcW w:w="1906" w:type="dxa"/>
            <w:shd w:val="clear" w:color="auto" w:fill="auto"/>
            <w:noWrap/>
            <w:vAlign w:val="bottom"/>
            <w:hideMark/>
          </w:tcPr>
          <w:p w:rsidR="00C904AA" w:rsidRPr="003D2DAC" w:rsidRDefault="00C904AA" w:rsidP="008D407F">
            <w:pPr>
              <w:spacing w:after="0" w:line="240" w:lineRule="auto"/>
              <w:rPr>
                <w:rFonts w:ascii="Calibri" w:eastAsia="Times New Roman" w:hAnsi="Calibri" w:cs="Times New Roman"/>
                <w:noProof w:val="0"/>
                <w:color w:val="000000"/>
                <w:lang w:val="tr-TR" w:eastAsia="tr-TR"/>
              </w:rPr>
            </w:pPr>
          </w:p>
        </w:tc>
        <w:tc>
          <w:tcPr>
            <w:tcW w:w="1664" w:type="dxa"/>
            <w:shd w:val="clear" w:color="auto" w:fill="auto"/>
            <w:noWrap/>
            <w:vAlign w:val="bottom"/>
            <w:hideMark/>
          </w:tcPr>
          <w:p w:rsidR="00C904AA" w:rsidRPr="003D2DAC" w:rsidRDefault="00C904AA" w:rsidP="008D407F">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İ</w:t>
            </w:r>
            <w:r w:rsidRPr="003D2DAC">
              <w:rPr>
                <w:rFonts w:ascii="Calibri" w:eastAsia="Times New Roman" w:hAnsi="Calibri" w:cs="Times New Roman"/>
                <w:noProof w:val="0"/>
                <w:color w:val="000000"/>
                <w:lang w:val="tr-TR" w:eastAsia="tr-TR"/>
              </w:rPr>
              <w:t>şsizlik oranı</w:t>
            </w:r>
            <w:r>
              <w:rPr>
                <w:rFonts w:ascii="Calibri" w:eastAsia="Times New Roman" w:hAnsi="Calibri" w:cs="Times New Roman"/>
                <w:noProof w:val="0"/>
                <w:color w:val="000000"/>
                <w:lang w:val="tr-TR" w:eastAsia="tr-TR"/>
              </w:rPr>
              <w:t xml:space="preserve"> (%)</w:t>
            </w:r>
          </w:p>
        </w:tc>
        <w:tc>
          <w:tcPr>
            <w:tcW w:w="2120" w:type="dxa"/>
            <w:shd w:val="clear" w:color="auto" w:fill="auto"/>
            <w:noWrap/>
            <w:vAlign w:val="bottom"/>
            <w:hideMark/>
          </w:tcPr>
          <w:p w:rsidR="00C904AA" w:rsidRPr="003D2DAC" w:rsidRDefault="00C904AA" w:rsidP="008D407F">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K</w:t>
            </w:r>
            <w:r w:rsidRPr="003D2DAC">
              <w:rPr>
                <w:rFonts w:ascii="Calibri" w:eastAsia="Times New Roman" w:hAnsi="Calibri" w:cs="Times New Roman"/>
                <w:noProof w:val="0"/>
                <w:color w:val="000000"/>
                <w:lang w:val="tr-TR" w:eastAsia="tr-TR"/>
              </w:rPr>
              <w:t>ayıt dışılık oranı</w:t>
            </w:r>
            <w:r w:rsidR="00AE08F9" w:rsidRPr="00C75FA5">
              <w:rPr>
                <w:rFonts w:ascii="Calibri" w:eastAsia="Times New Roman" w:hAnsi="Calibri" w:cs="Times New Roman"/>
                <w:noProof w:val="0"/>
                <w:color w:val="000000"/>
                <w:lang w:val="tr-TR" w:eastAsia="tr-TR"/>
              </w:rPr>
              <w:t>*</w:t>
            </w:r>
            <w:r>
              <w:rPr>
                <w:rFonts w:ascii="Calibri" w:eastAsia="Times New Roman" w:hAnsi="Calibri" w:cs="Times New Roman"/>
                <w:noProof w:val="0"/>
                <w:color w:val="000000"/>
                <w:lang w:val="tr-TR" w:eastAsia="tr-TR"/>
              </w:rPr>
              <w:t xml:space="preserve"> (%)</w:t>
            </w:r>
          </w:p>
        </w:tc>
      </w:tr>
      <w:tr w:rsidR="00C904AA" w:rsidRPr="003D2DAC" w:rsidTr="008D407F">
        <w:trPr>
          <w:trHeight w:val="329"/>
        </w:trPr>
        <w:tc>
          <w:tcPr>
            <w:tcW w:w="1906" w:type="dxa"/>
            <w:shd w:val="clear" w:color="auto" w:fill="auto"/>
            <w:noWrap/>
            <w:vAlign w:val="bottom"/>
          </w:tcPr>
          <w:p w:rsidR="00C904AA" w:rsidRPr="003D2DAC" w:rsidRDefault="00C904AA" w:rsidP="008D407F">
            <w:pPr>
              <w:spacing w:after="0" w:line="240" w:lineRule="auto"/>
              <w:jc w:val="center"/>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Erkek</w:t>
            </w:r>
          </w:p>
        </w:tc>
        <w:tc>
          <w:tcPr>
            <w:tcW w:w="1664" w:type="dxa"/>
            <w:shd w:val="clear" w:color="auto" w:fill="auto"/>
            <w:noWrap/>
            <w:vAlign w:val="bottom"/>
          </w:tcPr>
          <w:p w:rsidR="00C904AA" w:rsidRPr="003D2DAC" w:rsidRDefault="00C904AA" w:rsidP="008D407F">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8,7</w:t>
            </w:r>
          </w:p>
        </w:tc>
        <w:tc>
          <w:tcPr>
            <w:tcW w:w="2120" w:type="dxa"/>
            <w:shd w:val="clear" w:color="auto" w:fill="auto"/>
            <w:noWrap/>
            <w:vAlign w:val="bottom"/>
          </w:tcPr>
          <w:p w:rsidR="00C904AA" w:rsidRPr="003D2DAC" w:rsidRDefault="008D407F" w:rsidP="008D407F">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19,1</w:t>
            </w:r>
          </w:p>
        </w:tc>
      </w:tr>
      <w:tr w:rsidR="00C904AA" w:rsidRPr="003D2DAC" w:rsidTr="008D407F">
        <w:trPr>
          <w:trHeight w:val="329"/>
        </w:trPr>
        <w:tc>
          <w:tcPr>
            <w:tcW w:w="1906" w:type="dxa"/>
            <w:shd w:val="clear" w:color="auto" w:fill="auto"/>
            <w:noWrap/>
            <w:vAlign w:val="bottom"/>
          </w:tcPr>
          <w:p w:rsidR="00C904AA" w:rsidRPr="003D2DAC" w:rsidRDefault="00C904AA" w:rsidP="008D407F">
            <w:pPr>
              <w:spacing w:after="0" w:line="240" w:lineRule="auto"/>
              <w:jc w:val="center"/>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Kadın</w:t>
            </w:r>
          </w:p>
        </w:tc>
        <w:tc>
          <w:tcPr>
            <w:tcW w:w="1664" w:type="dxa"/>
            <w:shd w:val="clear" w:color="auto" w:fill="auto"/>
            <w:noWrap/>
            <w:vAlign w:val="bottom"/>
          </w:tcPr>
          <w:p w:rsidR="00C904AA" w:rsidRPr="003D2DAC" w:rsidRDefault="00C904AA" w:rsidP="008D407F">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11,9</w:t>
            </w:r>
          </w:p>
        </w:tc>
        <w:tc>
          <w:tcPr>
            <w:tcW w:w="2120" w:type="dxa"/>
            <w:shd w:val="clear" w:color="auto" w:fill="auto"/>
            <w:noWrap/>
            <w:vAlign w:val="bottom"/>
          </w:tcPr>
          <w:p w:rsidR="00C904AA" w:rsidRPr="003D2DAC" w:rsidRDefault="008D407F" w:rsidP="008D407F">
            <w:pPr>
              <w:spacing w:after="0" w:line="240" w:lineRule="auto"/>
              <w:jc w:val="right"/>
              <w:rPr>
                <w:rFonts w:ascii="Calibri" w:eastAsia="Times New Roman" w:hAnsi="Calibri" w:cs="Times New Roman"/>
                <w:noProof w:val="0"/>
                <w:color w:val="000000"/>
                <w:lang w:val="tr-TR" w:eastAsia="tr-TR"/>
              </w:rPr>
            </w:pPr>
            <w:r>
              <w:rPr>
                <w:rFonts w:ascii="Calibri" w:eastAsia="Times New Roman" w:hAnsi="Calibri" w:cs="Times New Roman"/>
                <w:noProof w:val="0"/>
                <w:color w:val="000000"/>
                <w:lang w:val="tr-TR" w:eastAsia="tr-TR"/>
              </w:rPr>
              <w:t>22,2</w:t>
            </w:r>
          </w:p>
        </w:tc>
      </w:tr>
    </w:tbl>
    <w:p w:rsidR="00AE08F9" w:rsidRPr="00C75FA5" w:rsidRDefault="00AE08F9" w:rsidP="008D407F">
      <w:pPr>
        <w:spacing w:after="0" w:line="240" w:lineRule="auto"/>
        <w:rPr>
          <w:sz w:val="20"/>
          <w:szCs w:val="20"/>
          <w:lang w:val="tr-TR"/>
        </w:rPr>
      </w:pPr>
      <w:r w:rsidRPr="00C75FA5">
        <w:rPr>
          <w:sz w:val="20"/>
          <w:szCs w:val="20"/>
          <w:lang w:val="tr-TR"/>
        </w:rPr>
        <w:t>Kaynak: HİA 2013, Betam</w:t>
      </w:r>
    </w:p>
    <w:p w:rsidR="00AE08F9" w:rsidRPr="00C75FA5" w:rsidRDefault="00AE08F9" w:rsidP="008D407F">
      <w:pPr>
        <w:spacing w:after="0" w:line="240" w:lineRule="auto"/>
        <w:rPr>
          <w:sz w:val="20"/>
          <w:szCs w:val="20"/>
          <w:lang w:val="tr-TR"/>
        </w:rPr>
      </w:pPr>
      <w:r w:rsidRPr="00C75FA5">
        <w:rPr>
          <w:sz w:val="20"/>
          <w:szCs w:val="20"/>
          <w:lang w:val="tr-TR"/>
        </w:rPr>
        <w:t>*Ücretli/maaşlı/yevmiyeli çalışanlar arasında hesaplanmıştır.</w:t>
      </w:r>
    </w:p>
    <w:sectPr w:rsidR="00AE08F9" w:rsidRPr="00C75FA5" w:rsidSect="00E55BE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BB9" w:rsidRDefault="00061BB9" w:rsidP="00737811">
      <w:pPr>
        <w:spacing w:after="0" w:line="240" w:lineRule="auto"/>
      </w:pPr>
      <w:r>
        <w:separator/>
      </w:r>
    </w:p>
  </w:endnote>
  <w:endnote w:type="continuationSeparator" w:id="0">
    <w:p w:rsidR="00061BB9" w:rsidRDefault="00061BB9" w:rsidP="00737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BB9" w:rsidRDefault="00061BB9" w:rsidP="00737811">
      <w:pPr>
        <w:spacing w:after="0" w:line="240" w:lineRule="auto"/>
      </w:pPr>
      <w:r>
        <w:separator/>
      </w:r>
    </w:p>
  </w:footnote>
  <w:footnote w:type="continuationSeparator" w:id="0">
    <w:p w:rsidR="00061BB9" w:rsidRDefault="00061BB9" w:rsidP="00737811">
      <w:pPr>
        <w:spacing w:after="0" w:line="240" w:lineRule="auto"/>
      </w:pPr>
      <w:r>
        <w:continuationSeparator/>
      </w:r>
    </w:p>
  </w:footnote>
  <w:footnote w:id="1">
    <w:p w:rsidR="00AF6C6F" w:rsidRPr="00F477EA" w:rsidRDefault="00AF6C6F" w:rsidP="00AF6C6F">
      <w:pPr>
        <w:pStyle w:val="FootnoteText"/>
      </w:pPr>
      <w:r w:rsidRPr="00F477EA">
        <w:rPr>
          <w:rStyle w:val="FootnoteReference"/>
          <w:sz w:val="16"/>
          <w:szCs w:val="16"/>
        </w:rPr>
        <w:t>*</w:t>
      </w:r>
      <w:r w:rsidRPr="00F477EA">
        <w:rPr>
          <w:rFonts w:cs="Arial"/>
          <w:sz w:val="16"/>
          <w:szCs w:val="16"/>
        </w:rPr>
        <w:t xml:space="preserve">Prof. Dr. Seyfettin Gürsel, Betam, Direktör, </w:t>
      </w:r>
      <w:hyperlink r:id="rId1" w:history="1">
        <w:r w:rsidRPr="00F477EA">
          <w:rPr>
            <w:rStyle w:val="Hyperlink"/>
            <w:rFonts w:cs="Arial"/>
            <w:sz w:val="16"/>
            <w:szCs w:val="16"/>
          </w:rPr>
          <w:t>seyfettin.gursel@eas.bahcesehir.edu.tr</w:t>
        </w:r>
      </w:hyperlink>
    </w:p>
  </w:footnote>
  <w:footnote w:id="2">
    <w:p w:rsidR="00AF6C6F" w:rsidRPr="00F477EA" w:rsidRDefault="00AF6C6F" w:rsidP="00AF6C6F">
      <w:pPr>
        <w:pStyle w:val="FootnoteText"/>
      </w:pPr>
      <w:r w:rsidRPr="00F477EA">
        <w:rPr>
          <w:rStyle w:val="FootnoteReference"/>
          <w:sz w:val="16"/>
          <w:szCs w:val="16"/>
        </w:rPr>
        <w:sym w:font="Symbol" w:char="F02A"/>
      </w:r>
      <w:r w:rsidRPr="00F477EA">
        <w:rPr>
          <w:rStyle w:val="FootnoteReference"/>
          <w:sz w:val="16"/>
          <w:szCs w:val="16"/>
        </w:rPr>
        <w:sym w:font="Symbol" w:char="F02A"/>
      </w:r>
      <w:r w:rsidRPr="00F477EA">
        <w:rPr>
          <w:rFonts w:cs="Arial"/>
          <w:sz w:val="16"/>
          <w:szCs w:val="16"/>
        </w:rPr>
        <w:t xml:space="preserve"> Yrd. Doç. Dr. Gökçe Uysal, Betam, Direktör Yardımcısı, </w:t>
      </w:r>
      <w:hyperlink r:id="rId2" w:history="1">
        <w:r w:rsidRPr="00F477EA">
          <w:rPr>
            <w:rStyle w:val="Hyperlink"/>
            <w:rFonts w:cs="Arial"/>
            <w:sz w:val="16"/>
            <w:szCs w:val="16"/>
          </w:rPr>
          <w:t>gokce.uysal@eas.bahcesehir.edu.tr</w:t>
        </w:r>
      </w:hyperlink>
    </w:p>
  </w:footnote>
  <w:footnote w:id="3">
    <w:p w:rsidR="00AF6C6F" w:rsidRPr="00F477EA" w:rsidRDefault="00AF6C6F" w:rsidP="00AF6C6F">
      <w:pPr>
        <w:pStyle w:val="FootnoteText"/>
      </w:pPr>
      <w:r w:rsidRPr="00F477EA">
        <w:rPr>
          <w:rStyle w:val="FootnoteReference"/>
          <w:sz w:val="16"/>
          <w:szCs w:val="16"/>
        </w:rPr>
        <w:sym w:font="Symbol" w:char="F02A"/>
      </w:r>
      <w:r w:rsidRPr="00F477EA">
        <w:rPr>
          <w:rStyle w:val="FootnoteReference"/>
          <w:sz w:val="16"/>
          <w:szCs w:val="16"/>
        </w:rPr>
        <w:sym w:font="Symbol" w:char="F02A"/>
      </w:r>
      <w:r w:rsidRPr="00F477EA">
        <w:rPr>
          <w:rStyle w:val="FootnoteReference"/>
          <w:sz w:val="16"/>
          <w:szCs w:val="16"/>
        </w:rPr>
        <w:sym w:font="Symbol" w:char="F02A"/>
      </w:r>
      <w:r w:rsidRPr="00F477EA">
        <w:rPr>
          <w:rFonts w:cs="Arial"/>
          <w:sz w:val="16"/>
          <w:szCs w:val="16"/>
        </w:rPr>
        <w:t xml:space="preserve">Melike Kökkızıl, Betam, Araştırma Görevlisi, </w:t>
      </w:r>
      <w:hyperlink r:id="rId3" w:history="1">
        <w:r w:rsidRPr="00F477EA">
          <w:rPr>
            <w:rStyle w:val="Hyperlink"/>
            <w:rFonts w:cs="Arial"/>
            <w:sz w:val="16"/>
            <w:szCs w:val="16"/>
          </w:rPr>
          <w:t>melike.kokkizil@eas.bahcesehir.edu.tr</w:t>
        </w:r>
      </w:hyperlink>
    </w:p>
  </w:footnote>
  <w:footnote w:id="4">
    <w:p w:rsidR="00AA2D0E" w:rsidRPr="00F477EA" w:rsidRDefault="00AA2D0E" w:rsidP="00AA2D0E">
      <w:pPr>
        <w:pStyle w:val="FootnoteText"/>
      </w:pPr>
      <w:r w:rsidRPr="00595F9B">
        <w:rPr>
          <w:rStyle w:val="FootnoteReference"/>
          <w:sz w:val="18"/>
        </w:rPr>
        <w:footnoteRef/>
      </w:r>
      <w:r w:rsidRPr="00595F9B">
        <w:rPr>
          <w:sz w:val="18"/>
        </w:rPr>
        <w:t xml:space="preserve"> 2015 yılı asgari ücret hesaplamaları şu adresten incelenebilir:  </w:t>
      </w:r>
      <w:hyperlink r:id="rId4" w:history="1">
        <w:r w:rsidRPr="00595F9B">
          <w:rPr>
            <w:rStyle w:val="Hyperlink"/>
            <w:sz w:val="16"/>
            <w:szCs w:val="18"/>
          </w:rPr>
          <w:t>http://www.turmob.org.tr/arsiv/mbs/pratikBilgiler/asgari_ucret2015.pdf</w:t>
        </w:r>
      </w:hyperlink>
    </w:p>
  </w:footnote>
  <w:footnote w:id="5">
    <w:p w:rsidR="00AA2D0E" w:rsidRDefault="00AA2D0E" w:rsidP="00AA2D0E">
      <w:pPr>
        <w:pStyle w:val="FootnoteText"/>
      </w:pPr>
      <w:r>
        <w:rPr>
          <w:rStyle w:val="FootnoteReference"/>
        </w:rPr>
        <w:footnoteRef/>
      </w:r>
      <w:r w:rsidR="005C30F5">
        <w:rPr>
          <w:sz w:val="18"/>
          <w:szCs w:val="18"/>
        </w:rPr>
        <w:t xml:space="preserve"> </w:t>
      </w:r>
      <w:r w:rsidRPr="008D125E">
        <w:rPr>
          <w:sz w:val="18"/>
          <w:szCs w:val="18"/>
        </w:rPr>
        <w:t xml:space="preserve">Seyfettin Gürsel </w:t>
      </w:r>
      <w:r>
        <w:rPr>
          <w:sz w:val="18"/>
          <w:szCs w:val="18"/>
        </w:rPr>
        <w:t>ve ark.</w:t>
      </w:r>
      <w:r w:rsidRPr="008D125E">
        <w:rPr>
          <w:sz w:val="18"/>
          <w:szCs w:val="18"/>
        </w:rPr>
        <w:t>, 201</w:t>
      </w:r>
      <w:r>
        <w:rPr>
          <w:sz w:val="18"/>
          <w:szCs w:val="18"/>
        </w:rPr>
        <w:t>6</w:t>
      </w:r>
      <w:r w:rsidRPr="008D125E">
        <w:rPr>
          <w:sz w:val="18"/>
          <w:szCs w:val="18"/>
        </w:rPr>
        <w:t>. "</w:t>
      </w:r>
      <w:r w:rsidRPr="00290A96">
        <w:t xml:space="preserve"> </w:t>
      </w:r>
      <w:r w:rsidRPr="00290A96">
        <w:rPr>
          <w:sz w:val="18"/>
          <w:szCs w:val="18"/>
        </w:rPr>
        <w:t>Asgari Ücretteki Artışın Bölgesel Etkileri</w:t>
      </w:r>
      <w:r w:rsidRPr="008D125E">
        <w:rPr>
          <w:sz w:val="18"/>
          <w:szCs w:val="18"/>
        </w:rPr>
        <w:t>", Betam Araştırma Notu 1</w:t>
      </w:r>
      <w:r>
        <w:rPr>
          <w:sz w:val="18"/>
          <w:szCs w:val="18"/>
        </w:rPr>
        <w:t>6</w:t>
      </w:r>
      <w:r w:rsidRPr="008D125E">
        <w:rPr>
          <w:sz w:val="18"/>
          <w:szCs w:val="18"/>
        </w:rPr>
        <w:t>/1</w:t>
      </w:r>
      <w:r>
        <w:rPr>
          <w:sz w:val="18"/>
          <w:szCs w:val="18"/>
        </w:rPr>
        <w:t>8</w:t>
      </w:r>
      <w:r w:rsidRPr="008D125E">
        <w:rPr>
          <w:sz w:val="18"/>
          <w:szCs w:val="18"/>
        </w:rPr>
        <w:t>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B4"/>
    <w:rsid w:val="00001CA7"/>
    <w:rsid w:val="00003CC9"/>
    <w:rsid w:val="000057B7"/>
    <w:rsid w:val="000062F4"/>
    <w:rsid w:val="00010BFF"/>
    <w:rsid w:val="0001178B"/>
    <w:rsid w:val="00012B20"/>
    <w:rsid w:val="000178C3"/>
    <w:rsid w:val="00017D5B"/>
    <w:rsid w:val="000221FB"/>
    <w:rsid w:val="00022C8F"/>
    <w:rsid w:val="000231F4"/>
    <w:rsid w:val="00026C4E"/>
    <w:rsid w:val="0003097E"/>
    <w:rsid w:val="000340A5"/>
    <w:rsid w:val="00035AA4"/>
    <w:rsid w:val="000367A9"/>
    <w:rsid w:val="00040EFE"/>
    <w:rsid w:val="00040FC1"/>
    <w:rsid w:val="00051C16"/>
    <w:rsid w:val="00051C5E"/>
    <w:rsid w:val="000529E1"/>
    <w:rsid w:val="000537A2"/>
    <w:rsid w:val="00054935"/>
    <w:rsid w:val="00061BB9"/>
    <w:rsid w:val="00065473"/>
    <w:rsid w:val="0007105E"/>
    <w:rsid w:val="00073ACB"/>
    <w:rsid w:val="00076343"/>
    <w:rsid w:val="000778D6"/>
    <w:rsid w:val="0008204E"/>
    <w:rsid w:val="00082388"/>
    <w:rsid w:val="00082E95"/>
    <w:rsid w:val="00083891"/>
    <w:rsid w:val="000930BE"/>
    <w:rsid w:val="00094429"/>
    <w:rsid w:val="000A1C2D"/>
    <w:rsid w:val="000A44A9"/>
    <w:rsid w:val="000A4F19"/>
    <w:rsid w:val="000A570F"/>
    <w:rsid w:val="000A628C"/>
    <w:rsid w:val="000B0DC8"/>
    <w:rsid w:val="000B0EDA"/>
    <w:rsid w:val="000B2E06"/>
    <w:rsid w:val="000B30BA"/>
    <w:rsid w:val="000B3EE8"/>
    <w:rsid w:val="000B45CD"/>
    <w:rsid w:val="000B52D7"/>
    <w:rsid w:val="000B7367"/>
    <w:rsid w:val="000D33A9"/>
    <w:rsid w:val="000D6A17"/>
    <w:rsid w:val="000D7D54"/>
    <w:rsid w:val="000E2187"/>
    <w:rsid w:val="000E24E4"/>
    <w:rsid w:val="000E3E8A"/>
    <w:rsid w:val="000E4D10"/>
    <w:rsid w:val="000E4FDF"/>
    <w:rsid w:val="000E5044"/>
    <w:rsid w:val="000E58B3"/>
    <w:rsid w:val="000F314D"/>
    <w:rsid w:val="001005D5"/>
    <w:rsid w:val="001019A3"/>
    <w:rsid w:val="00101B73"/>
    <w:rsid w:val="00101DA3"/>
    <w:rsid w:val="00102421"/>
    <w:rsid w:val="00107819"/>
    <w:rsid w:val="00112427"/>
    <w:rsid w:val="00114D5A"/>
    <w:rsid w:val="00122903"/>
    <w:rsid w:val="00123024"/>
    <w:rsid w:val="001231CF"/>
    <w:rsid w:val="0012329A"/>
    <w:rsid w:val="00131A0C"/>
    <w:rsid w:val="00131AB2"/>
    <w:rsid w:val="00133D9F"/>
    <w:rsid w:val="00140572"/>
    <w:rsid w:val="0014094B"/>
    <w:rsid w:val="00144382"/>
    <w:rsid w:val="00147251"/>
    <w:rsid w:val="0015128B"/>
    <w:rsid w:val="001526AB"/>
    <w:rsid w:val="001527EF"/>
    <w:rsid w:val="00153063"/>
    <w:rsid w:val="00155302"/>
    <w:rsid w:val="00156194"/>
    <w:rsid w:val="00162D49"/>
    <w:rsid w:val="00164B50"/>
    <w:rsid w:val="00174354"/>
    <w:rsid w:val="001778E8"/>
    <w:rsid w:val="00183462"/>
    <w:rsid w:val="00187045"/>
    <w:rsid w:val="00187146"/>
    <w:rsid w:val="00192C37"/>
    <w:rsid w:val="001945A1"/>
    <w:rsid w:val="00196506"/>
    <w:rsid w:val="001A0B19"/>
    <w:rsid w:val="001B206C"/>
    <w:rsid w:val="001B724F"/>
    <w:rsid w:val="001C2FE6"/>
    <w:rsid w:val="001C5D69"/>
    <w:rsid w:val="001C77DC"/>
    <w:rsid w:val="001D38C3"/>
    <w:rsid w:val="001D5D7B"/>
    <w:rsid w:val="001E5772"/>
    <w:rsid w:val="001F5B5E"/>
    <w:rsid w:val="001F5C47"/>
    <w:rsid w:val="001F6D4E"/>
    <w:rsid w:val="001F7FE5"/>
    <w:rsid w:val="00203580"/>
    <w:rsid w:val="00204A9D"/>
    <w:rsid w:val="00211136"/>
    <w:rsid w:val="00211F15"/>
    <w:rsid w:val="00214AD9"/>
    <w:rsid w:val="002167D1"/>
    <w:rsid w:val="00216991"/>
    <w:rsid w:val="002205D9"/>
    <w:rsid w:val="00223D6E"/>
    <w:rsid w:val="002277F9"/>
    <w:rsid w:val="00236A7C"/>
    <w:rsid w:val="00240D57"/>
    <w:rsid w:val="002417CE"/>
    <w:rsid w:val="00242A8F"/>
    <w:rsid w:val="00245C34"/>
    <w:rsid w:val="0025718F"/>
    <w:rsid w:val="002578BA"/>
    <w:rsid w:val="00263C21"/>
    <w:rsid w:val="00263FA2"/>
    <w:rsid w:val="00267F74"/>
    <w:rsid w:val="00271440"/>
    <w:rsid w:val="002753E4"/>
    <w:rsid w:val="002757B3"/>
    <w:rsid w:val="00275C61"/>
    <w:rsid w:val="0027633B"/>
    <w:rsid w:val="002772C0"/>
    <w:rsid w:val="002779AD"/>
    <w:rsid w:val="00277BF6"/>
    <w:rsid w:val="00290A96"/>
    <w:rsid w:val="00290F3D"/>
    <w:rsid w:val="00291DB3"/>
    <w:rsid w:val="002923AA"/>
    <w:rsid w:val="002948BE"/>
    <w:rsid w:val="002953C4"/>
    <w:rsid w:val="00297E14"/>
    <w:rsid w:val="002A51A1"/>
    <w:rsid w:val="002A6E34"/>
    <w:rsid w:val="002B1103"/>
    <w:rsid w:val="002B2B0E"/>
    <w:rsid w:val="002B5697"/>
    <w:rsid w:val="002B6304"/>
    <w:rsid w:val="002C12B1"/>
    <w:rsid w:val="002C3E9C"/>
    <w:rsid w:val="002D2D41"/>
    <w:rsid w:val="002E1FDD"/>
    <w:rsid w:val="002E5160"/>
    <w:rsid w:val="002E5851"/>
    <w:rsid w:val="002E764C"/>
    <w:rsid w:val="002E7A2F"/>
    <w:rsid w:val="002F04CE"/>
    <w:rsid w:val="002F1A7D"/>
    <w:rsid w:val="002F73F0"/>
    <w:rsid w:val="00301551"/>
    <w:rsid w:val="003018DB"/>
    <w:rsid w:val="00307A13"/>
    <w:rsid w:val="003110F7"/>
    <w:rsid w:val="003123B5"/>
    <w:rsid w:val="003136E4"/>
    <w:rsid w:val="003137CA"/>
    <w:rsid w:val="00314B99"/>
    <w:rsid w:val="00317F16"/>
    <w:rsid w:val="00323A23"/>
    <w:rsid w:val="00323C90"/>
    <w:rsid w:val="00324FFA"/>
    <w:rsid w:val="00334E4B"/>
    <w:rsid w:val="00341A64"/>
    <w:rsid w:val="00345301"/>
    <w:rsid w:val="0035528B"/>
    <w:rsid w:val="00356769"/>
    <w:rsid w:val="003704A2"/>
    <w:rsid w:val="00371E32"/>
    <w:rsid w:val="003727B9"/>
    <w:rsid w:val="00374512"/>
    <w:rsid w:val="00375760"/>
    <w:rsid w:val="003800BA"/>
    <w:rsid w:val="00386F93"/>
    <w:rsid w:val="00386F9E"/>
    <w:rsid w:val="003903D1"/>
    <w:rsid w:val="00395125"/>
    <w:rsid w:val="00396927"/>
    <w:rsid w:val="00396FF7"/>
    <w:rsid w:val="003A126D"/>
    <w:rsid w:val="003A213B"/>
    <w:rsid w:val="003B3DD2"/>
    <w:rsid w:val="003C3437"/>
    <w:rsid w:val="003D1920"/>
    <w:rsid w:val="003D2DAC"/>
    <w:rsid w:val="003D457A"/>
    <w:rsid w:val="003E1FD7"/>
    <w:rsid w:val="003E62BA"/>
    <w:rsid w:val="003F09D9"/>
    <w:rsid w:val="003F270D"/>
    <w:rsid w:val="003F793F"/>
    <w:rsid w:val="0040149C"/>
    <w:rsid w:val="0040443E"/>
    <w:rsid w:val="00410C95"/>
    <w:rsid w:val="00416743"/>
    <w:rsid w:val="004178AF"/>
    <w:rsid w:val="00420D12"/>
    <w:rsid w:val="00422B84"/>
    <w:rsid w:val="00422C83"/>
    <w:rsid w:val="00423AC5"/>
    <w:rsid w:val="004303B5"/>
    <w:rsid w:val="00430EC5"/>
    <w:rsid w:val="004335D8"/>
    <w:rsid w:val="0044014C"/>
    <w:rsid w:val="004409EE"/>
    <w:rsid w:val="00441DEF"/>
    <w:rsid w:val="004448D0"/>
    <w:rsid w:val="00446505"/>
    <w:rsid w:val="004470F8"/>
    <w:rsid w:val="00452581"/>
    <w:rsid w:val="00456758"/>
    <w:rsid w:val="00456D74"/>
    <w:rsid w:val="00461572"/>
    <w:rsid w:val="00470A43"/>
    <w:rsid w:val="00472E60"/>
    <w:rsid w:val="004743A8"/>
    <w:rsid w:val="004748D4"/>
    <w:rsid w:val="00475166"/>
    <w:rsid w:val="00475B37"/>
    <w:rsid w:val="00476DB0"/>
    <w:rsid w:val="004771DE"/>
    <w:rsid w:val="004843A2"/>
    <w:rsid w:val="00496770"/>
    <w:rsid w:val="0049679C"/>
    <w:rsid w:val="00497955"/>
    <w:rsid w:val="00497E55"/>
    <w:rsid w:val="004A0BE9"/>
    <w:rsid w:val="004A19AD"/>
    <w:rsid w:val="004A6A34"/>
    <w:rsid w:val="004B0971"/>
    <w:rsid w:val="004B4ECC"/>
    <w:rsid w:val="004B6E19"/>
    <w:rsid w:val="004B7E86"/>
    <w:rsid w:val="004C51AA"/>
    <w:rsid w:val="004D2227"/>
    <w:rsid w:val="004E0F9C"/>
    <w:rsid w:val="004E38FF"/>
    <w:rsid w:val="004E3C2D"/>
    <w:rsid w:val="004E71B1"/>
    <w:rsid w:val="004F01BC"/>
    <w:rsid w:val="004F0F1F"/>
    <w:rsid w:val="004F173C"/>
    <w:rsid w:val="004F2666"/>
    <w:rsid w:val="004F6056"/>
    <w:rsid w:val="00502FC0"/>
    <w:rsid w:val="00503D43"/>
    <w:rsid w:val="00503EE4"/>
    <w:rsid w:val="00503FF5"/>
    <w:rsid w:val="00504FD3"/>
    <w:rsid w:val="0051466E"/>
    <w:rsid w:val="00514DE6"/>
    <w:rsid w:val="005151E1"/>
    <w:rsid w:val="00516498"/>
    <w:rsid w:val="00516548"/>
    <w:rsid w:val="00520542"/>
    <w:rsid w:val="00520AB3"/>
    <w:rsid w:val="00522450"/>
    <w:rsid w:val="005229F7"/>
    <w:rsid w:val="00522B5F"/>
    <w:rsid w:val="00524046"/>
    <w:rsid w:val="00525936"/>
    <w:rsid w:val="00526C24"/>
    <w:rsid w:val="00531AC3"/>
    <w:rsid w:val="005333A8"/>
    <w:rsid w:val="0053464A"/>
    <w:rsid w:val="005361D1"/>
    <w:rsid w:val="005377D3"/>
    <w:rsid w:val="00540F6E"/>
    <w:rsid w:val="00541B9F"/>
    <w:rsid w:val="00547156"/>
    <w:rsid w:val="005551C6"/>
    <w:rsid w:val="005567F8"/>
    <w:rsid w:val="005606B0"/>
    <w:rsid w:val="00560C82"/>
    <w:rsid w:val="00561689"/>
    <w:rsid w:val="00562C82"/>
    <w:rsid w:val="00566F15"/>
    <w:rsid w:val="00571787"/>
    <w:rsid w:val="005777B3"/>
    <w:rsid w:val="00593878"/>
    <w:rsid w:val="00594A70"/>
    <w:rsid w:val="00595F9B"/>
    <w:rsid w:val="00597819"/>
    <w:rsid w:val="005A0F9B"/>
    <w:rsid w:val="005B3D4D"/>
    <w:rsid w:val="005B7B2C"/>
    <w:rsid w:val="005C00B1"/>
    <w:rsid w:val="005C30F5"/>
    <w:rsid w:val="005C407A"/>
    <w:rsid w:val="005C69C7"/>
    <w:rsid w:val="005D0427"/>
    <w:rsid w:val="005D09CB"/>
    <w:rsid w:val="005D3DD8"/>
    <w:rsid w:val="005E13F6"/>
    <w:rsid w:val="005E167C"/>
    <w:rsid w:val="005E43C3"/>
    <w:rsid w:val="005E5DAB"/>
    <w:rsid w:val="005F2029"/>
    <w:rsid w:val="005F22A6"/>
    <w:rsid w:val="005F2575"/>
    <w:rsid w:val="005F3619"/>
    <w:rsid w:val="005F49F9"/>
    <w:rsid w:val="005F7D2C"/>
    <w:rsid w:val="0060188B"/>
    <w:rsid w:val="00606A0E"/>
    <w:rsid w:val="0060726C"/>
    <w:rsid w:val="00607CC3"/>
    <w:rsid w:val="00610187"/>
    <w:rsid w:val="00613CD2"/>
    <w:rsid w:val="00616AC3"/>
    <w:rsid w:val="00616F82"/>
    <w:rsid w:val="006179AD"/>
    <w:rsid w:val="00620441"/>
    <w:rsid w:val="006242DD"/>
    <w:rsid w:val="0063341F"/>
    <w:rsid w:val="00636F3F"/>
    <w:rsid w:val="0064315F"/>
    <w:rsid w:val="00644CF9"/>
    <w:rsid w:val="00650357"/>
    <w:rsid w:val="00655343"/>
    <w:rsid w:val="00655ACD"/>
    <w:rsid w:val="0066200A"/>
    <w:rsid w:val="00665C59"/>
    <w:rsid w:val="006749F3"/>
    <w:rsid w:val="00675D0F"/>
    <w:rsid w:val="006766FC"/>
    <w:rsid w:val="006845DC"/>
    <w:rsid w:val="00687B1F"/>
    <w:rsid w:val="00690618"/>
    <w:rsid w:val="00691CAB"/>
    <w:rsid w:val="00694CE1"/>
    <w:rsid w:val="00695891"/>
    <w:rsid w:val="00697B0A"/>
    <w:rsid w:val="006A003B"/>
    <w:rsid w:val="006A22DA"/>
    <w:rsid w:val="006B116C"/>
    <w:rsid w:val="006C01D6"/>
    <w:rsid w:val="006C533A"/>
    <w:rsid w:val="006D51AE"/>
    <w:rsid w:val="006D7E5F"/>
    <w:rsid w:val="006E25FA"/>
    <w:rsid w:val="006E706A"/>
    <w:rsid w:val="006E791B"/>
    <w:rsid w:val="006F113D"/>
    <w:rsid w:val="006F407D"/>
    <w:rsid w:val="006F4D5D"/>
    <w:rsid w:val="006F5756"/>
    <w:rsid w:val="006F6DC8"/>
    <w:rsid w:val="00700019"/>
    <w:rsid w:val="00700399"/>
    <w:rsid w:val="0070051F"/>
    <w:rsid w:val="0070302C"/>
    <w:rsid w:val="007032C1"/>
    <w:rsid w:val="00707F23"/>
    <w:rsid w:val="0071264F"/>
    <w:rsid w:val="00720576"/>
    <w:rsid w:val="00720DE7"/>
    <w:rsid w:val="007215DC"/>
    <w:rsid w:val="00725247"/>
    <w:rsid w:val="00735E17"/>
    <w:rsid w:val="00737811"/>
    <w:rsid w:val="00740B09"/>
    <w:rsid w:val="00751D67"/>
    <w:rsid w:val="00752AA6"/>
    <w:rsid w:val="00754159"/>
    <w:rsid w:val="0075424A"/>
    <w:rsid w:val="00754D09"/>
    <w:rsid w:val="0075573A"/>
    <w:rsid w:val="007634D4"/>
    <w:rsid w:val="007677CA"/>
    <w:rsid w:val="007845C0"/>
    <w:rsid w:val="00786682"/>
    <w:rsid w:val="007922D7"/>
    <w:rsid w:val="0079363F"/>
    <w:rsid w:val="007A3008"/>
    <w:rsid w:val="007A38FD"/>
    <w:rsid w:val="007A5BFD"/>
    <w:rsid w:val="007A74E2"/>
    <w:rsid w:val="007B2916"/>
    <w:rsid w:val="007B3BCC"/>
    <w:rsid w:val="007B5BA8"/>
    <w:rsid w:val="007B76D0"/>
    <w:rsid w:val="007D6015"/>
    <w:rsid w:val="007D7B40"/>
    <w:rsid w:val="007E0846"/>
    <w:rsid w:val="007E1175"/>
    <w:rsid w:val="007E2126"/>
    <w:rsid w:val="007E3012"/>
    <w:rsid w:val="007E555C"/>
    <w:rsid w:val="007F1353"/>
    <w:rsid w:val="007F265F"/>
    <w:rsid w:val="007F26FC"/>
    <w:rsid w:val="007F3199"/>
    <w:rsid w:val="007F3F94"/>
    <w:rsid w:val="007F5EA6"/>
    <w:rsid w:val="007F7C3A"/>
    <w:rsid w:val="00803000"/>
    <w:rsid w:val="008042E1"/>
    <w:rsid w:val="00810111"/>
    <w:rsid w:val="00815E55"/>
    <w:rsid w:val="00817772"/>
    <w:rsid w:val="0082446E"/>
    <w:rsid w:val="00824E8A"/>
    <w:rsid w:val="00825246"/>
    <w:rsid w:val="00830ADB"/>
    <w:rsid w:val="00832A74"/>
    <w:rsid w:val="00832F31"/>
    <w:rsid w:val="00834FE9"/>
    <w:rsid w:val="00836511"/>
    <w:rsid w:val="00840380"/>
    <w:rsid w:val="0084346D"/>
    <w:rsid w:val="00845570"/>
    <w:rsid w:val="00854582"/>
    <w:rsid w:val="00855948"/>
    <w:rsid w:val="00870CAD"/>
    <w:rsid w:val="008736BD"/>
    <w:rsid w:val="00880FE5"/>
    <w:rsid w:val="00891895"/>
    <w:rsid w:val="00892039"/>
    <w:rsid w:val="008924B2"/>
    <w:rsid w:val="0089318F"/>
    <w:rsid w:val="00893C00"/>
    <w:rsid w:val="0089441F"/>
    <w:rsid w:val="008962CB"/>
    <w:rsid w:val="008978A5"/>
    <w:rsid w:val="008A2C7E"/>
    <w:rsid w:val="008A3671"/>
    <w:rsid w:val="008A3C95"/>
    <w:rsid w:val="008A518B"/>
    <w:rsid w:val="008B5DE9"/>
    <w:rsid w:val="008C28E2"/>
    <w:rsid w:val="008C5640"/>
    <w:rsid w:val="008C79CD"/>
    <w:rsid w:val="008D339C"/>
    <w:rsid w:val="008D407F"/>
    <w:rsid w:val="008D4522"/>
    <w:rsid w:val="008D5C48"/>
    <w:rsid w:val="008E0847"/>
    <w:rsid w:val="008E0A93"/>
    <w:rsid w:val="008E11F4"/>
    <w:rsid w:val="008E3F23"/>
    <w:rsid w:val="008E5218"/>
    <w:rsid w:val="008F28E3"/>
    <w:rsid w:val="008F4276"/>
    <w:rsid w:val="00902B65"/>
    <w:rsid w:val="009038C2"/>
    <w:rsid w:val="00907AD2"/>
    <w:rsid w:val="009112B9"/>
    <w:rsid w:val="0091376D"/>
    <w:rsid w:val="009167DA"/>
    <w:rsid w:val="00920FBC"/>
    <w:rsid w:val="00925BE4"/>
    <w:rsid w:val="00927067"/>
    <w:rsid w:val="00934A6D"/>
    <w:rsid w:val="00937206"/>
    <w:rsid w:val="00942B7C"/>
    <w:rsid w:val="00942EE1"/>
    <w:rsid w:val="00946555"/>
    <w:rsid w:val="00951391"/>
    <w:rsid w:val="00953338"/>
    <w:rsid w:val="00954A88"/>
    <w:rsid w:val="00954BA8"/>
    <w:rsid w:val="00955D20"/>
    <w:rsid w:val="0095741F"/>
    <w:rsid w:val="009649D6"/>
    <w:rsid w:val="00973DC4"/>
    <w:rsid w:val="00983373"/>
    <w:rsid w:val="00987050"/>
    <w:rsid w:val="0099013F"/>
    <w:rsid w:val="00991933"/>
    <w:rsid w:val="009A1CC6"/>
    <w:rsid w:val="009B10FA"/>
    <w:rsid w:val="009C2A78"/>
    <w:rsid w:val="009C543E"/>
    <w:rsid w:val="009C69DB"/>
    <w:rsid w:val="009D35E2"/>
    <w:rsid w:val="009D5FF4"/>
    <w:rsid w:val="009E0136"/>
    <w:rsid w:val="009F3163"/>
    <w:rsid w:val="009F61F6"/>
    <w:rsid w:val="00A04872"/>
    <w:rsid w:val="00A06A76"/>
    <w:rsid w:val="00A1104E"/>
    <w:rsid w:val="00A14AAC"/>
    <w:rsid w:val="00A150AF"/>
    <w:rsid w:val="00A163C0"/>
    <w:rsid w:val="00A228B5"/>
    <w:rsid w:val="00A308B8"/>
    <w:rsid w:val="00A30F61"/>
    <w:rsid w:val="00A320DA"/>
    <w:rsid w:val="00A344D5"/>
    <w:rsid w:val="00A349EA"/>
    <w:rsid w:val="00A37C32"/>
    <w:rsid w:val="00A37CB4"/>
    <w:rsid w:val="00A40170"/>
    <w:rsid w:val="00A44DE9"/>
    <w:rsid w:val="00A45CA2"/>
    <w:rsid w:val="00A46F4E"/>
    <w:rsid w:val="00A47BF4"/>
    <w:rsid w:val="00A55217"/>
    <w:rsid w:val="00A60293"/>
    <w:rsid w:val="00A61EE3"/>
    <w:rsid w:val="00A62A68"/>
    <w:rsid w:val="00A65928"/>
    <w:rsid w:val="00A67C21"/>
    <w:rsid w:val="00A761F4"/>
    <w:rsid w:val="00A86A7C"/>
    <w:rsid w:val="00A92741"/>
    <w:rsid w:val="00A92E26"/>
    <w:rsid w:val="00A95120"/>
    <w:rsid w:val="00A954D6"/>
    <w:rsid w:val="00AA2D0E"/>
    <w:rsid w:val="00AA3CB4"/>
    <w:rsid w:val="00AB0315"/>
    <w:rsid w:val="00AB1B80"/>
    <w:rsid w:val="00AC43E6"/>
    <w:rsid w:val="00AD126E"/>
    <w:rsid w:val="00AD3453"/>
    <w:rsid w:val="00AE08F9"/>
    <w:rsid w:val="00AE11B4"/>
    <w:rsid w:val="00AE2F52"/>
    <w:rsid w:val="00AE3049"/>
    <w:rsid w:val="00AE512E"/>
    <w:rsid w:val="00AE661A"/>
    <w:rsid w:val="00AE6D17"/>
    <w:rsid w:val="00AE7AAF"/>
    <w:rsid w:val="00AF6C6F"/>
    <w:rsid w:val="00B04DAF"/>
    <w:rsid w:val="00B06310"/>
    <w:rsid w:val="00B06C7A"/>
    <w:rsid w:val="00B11620"/>
    <w:rsid w:val="00B154EF"/>
    <w:rsid w:val="00B20B51"/>
    <w:rsid w:val="00B266A2"/>
    <w:rsid w:val="00B341DF"/>
    <w:rsid w:val="00B36406"/>
    <w:rsid w:val="00B37C9E"/>
    <w:rsid w:val="00B44E98"/>
    <w:rsid w:val="00B45D93"/>
    <w:rsid w:val="00B469BA"/>
    <w:rsid w:val="00B46D48"/>
    <w:rsid w:val="00B50315"/>
    <w:rsid w:val="00B50686"/>
    <w:rsid w:val="00B50B68"/>
    <w:rsid w:val="00B562DB"/>
    <w:rsid w:val="00B60C9F"/>
    <w:rsid w:val="00B60CB9"/>
    <w:rsid w:val="00B67AEE"/>
    <w:rsid w:val="00B72926"/>
    <w:rsid w:val="00B755D9"/>
    <w:rsid w:val="00B76ECE"/>
    <w:rsid w:val="00B77BF7"/>
    <w:rsid w:val="00B8023D"/>
    <w:rsid w:val="00B8071C"/>
    <w:rsid w:val="00B82B20"/>
    <w:rsid w:val="00B87A8E"/>
    <w:rsid w:val="00B919A8"/>
    <w:rsid w:val="00B93935"/>
    <w:rsid w:val="00B9506C"/>
    <w:rsid w:val="00B96CC7"/>
    <w:rsid w:val="00BA1D61"/>
    <w:rsid w:val="00BA23E6"/>
    <w:rsid w:val="00BA366D"/>
    <w:rsid w:val="00BB4383"/>
    <w:rsid w:val="00BC39BC"/>
    <w:rsid w:val="00BC7000"/>
    <w:rsid w:val="00BC7C3D"/>
    <w:rsid w:val="00BD4BAC"/>
    <w:rsid w:val="00BD61EA"/>
    <w:rsid w:val="00BD6B6B"/>
    <w:rsid w:val="00BE2549"/>
    <w:rsid w:val="00BE4882"/>
    <w:rsid w:val="00BE7BC3"/>
    <w:rsid w:val="00BF25F3"/>
    <w:rsid w:val="00BF5B81"/>
    <w:rsid w:val="00BF5DD6"/>
    <w:rsid w:val="00C01CB4"/>
    <w:rsid w:val="00C04E5F"/>
    <w:rsid w:val="00C07229"/>
    <w:rsid w:val="00C122BB"/>
    <w:rsid w:val="00C16E9E"/>
    <w:rsid w:val="00C16EC1"/>
    <w:rsid w:val="00C237E1"/>
    <w:rsid w:val="00C23D3C"/>
    <w:rsid w:val="00C32320"/>
    <w:rsid w:val="00C36071"/>
    <w:rsid w:val="00C40CE9"/>
    <w:rsid w:val="00C42AE3"/>
    <w:rsid w:val="00C50545"/>
    <w:rsid w:val="00C50FBA"/>
    <w:rsid w:val="00C52FE5"/>
    <w:rsid w:val="00C56D9B"/>
    <w:rsid w:val="00C56DDF"/>
    <w:rsid w:val="00C61A06"/>
    <w:rsid w:val="00C67205"/>
    <w:rsid w:val="00C73707"/>
    <w:rsid w:val="00C75FA5"/>
    <w:rsid w:val="00C77DB4"/>
    <w:rsid w:val="00C811D1"/>
    <w:rsid w:val="00C83D5C"/>
    <w:rsid w:val="00C87125"/>
    <w:rsid w:val="00C904AA"/>
    <w:rsid w:val="00C95B46"/>
    <w:rsid w:val="00CA270B"/>
    <w:rsid w:val="00CB0FCB"/>
    <w:rsid w:val="00CB6CB4"/>
    <w:rsid w:val="00CB71B8"/>
    <w:rsid w:val="00CB74B0"/>
    <w:rsid w:val="00CB7D70"/>
    <w:rsid w:val="00CC25A9"/>
    <w:rsid w:val="00CD0BC4"/>
    <w:rsid w:val="00CD1100"/>
    <w:rsid w:val="00CD4486"/>
    <w:rsid w:val="00CD6109"/>
    <w:rsid w:val="00CD6DC7"/>
    <w:rsid w:val="00CD74E2"/>
    <w:rsid w:val="00CD7A03"/>
    <w:rsid w:val="00CE0771"/>
    <w:rsid w:val="00CE07BD"/>
    <w:rsid w:val="00CE4DF7"/>
    <w:rsid w:val="00CE6A53"/>
    <w:rsid w:val="00CF0EE9"/>
    <w:rsid w:val="00CF1A0C"/>
    <w:rsid w:val="00CF4335"/>
    <w:rsid w:val="00CF7385"/>
    <w:rsid w:val="00D03F14"/>
    <w:rsid w:val="00D06A28"/>
    <w:rsid w:val="00D10B1E"/>
    <w:rsid w:val="00D13377"/>
    <w:rsid w:val="00D21367"/>
    <w:rsid w:val="00D21F7A"/>
    <w:rsid w:val="00D2773D"/>
    <w:rsid w:val="00D313AF"/>
    <w:rsid w:val="00D35159"/>
    <w:rsid w:val="00D3674A"/>
    <w:rsid w:val="00D41A64"/>
    <w:rsid w:val="00D479CB"/>
    <w:rsid w:val="00D53C36"/>
    <w:rsid w:val="00D60157"/>
    <w:rsid w:val="00D71D0C"/>
    <w:rsid w:val="00D7349D"/>
    <w:rsid w:val="00D73E12"/>
    <w:rsid w:val="00D760C2"/>
    <w:rsid w:val="00D86BD3"/>
    <w:rsid w:val="00D902EB"/>
    <w:rsid w:val="00D92F16"/>
    <w:rsid w:val="00DA67DC"/>
    <w:rsid w:val="00DA6AE9"/>
    <w:rsid w:val="00DA6F7E"/>
    <w:rsid w:val="00DA6FC4"/>
    <w:rsid w:val="00DA7D56"/>
    <w:rsid w:val="00DB2A2C"/>
    <w:rsid w:val="00DC103D"/>
    <w:rsid w:val="00DC2949"/>
    <w:rsid w:val="00DC6015"/>
    <w:rsid w:val="00DD04D8"/>
    <w:rsid w:val="00DD607F"/>
    <w:rsid w:val="00DD77D9"/>
    <w:rsid w:val="00DD7CEB"/>
    <w:rsid w:val="00DE2888"/>
    <w:rsid w:val="00DE7004"/>
    <w:rsid w:val="00DF0D28"/>
    <w:rsid w:val="00DF2881"/>
    <w:rsid w:val="00DF3837"/>
    <w:rsid w:val="00E06538"/>
    <w:rsid w:val="00E11282"/>
    <w:rsid w:val="00E15796"/>
    <w:rsid w:val="00E16582"/>
    <w:rsid w:val="00E248B8"/>
    <w:rsid w:val="00E40F9C"/>
    <w:rsid w:val="00E41248"/>
    <w:rsid w:val="00E52DD6"/>
    <w:rsid w:val="00E55BE2"/>
    <w:rsid w:val="00E56FD1"/>
    <w:rsid w:val="00E62033"/>
    <w:rsid w:val="00E670B6"/>
    <w:rsid w:val="00E6796E"/>
    <w:rsid w:val="00E71B1D"/>
    <w:rsid w:val="00E729D2"/>
    <w:rsid w:val="00E732D5"/>
    <w:rsid w:val="00E73AE2"/>
    <w:rsid w:val="00E805ED"/>
    <w:rsid w:val="00E843C0"/>
    <w:rsid w:val="00E8573B"/>
    <w:rsid w:val="00E865C7"/>
    <w:rsid w:val="00E86BB3"/>
    <w:rsid w:val="00E9394A"/>
    <w:rsid w:val="00E93F97"/>
    <w:rsid w:val="00E96807"/>
    <w:rsid w:val="00EA0749"/>
    <w:rsid w:val="00EA5D36"/>
    <w:rsid w:val="00EB2C34"/>
    <w:rsid w:val="00EB340B"/>
    <w:rsid w:val="00EB3555"/>
    <w:rsid w:val="00EB45F8"/>
    <w:rsid w:val="00EB70C4"/>
    <w:rsid w:val="00EB7A7B"/>
    <w:rsid w:val="00EC09F9"/>
    <w:rsid w:val="00EC128A"/>
    <w:rsid w:val="00EC1447"/>
    <w:rsid w:val="00EC1DE4"/>
    <w:rsid w:val="00EC23F2"/>
    <w:rsid w:val="00EC2A5D"/>
    <w:rsid w:val="00EC2C6F"/>
    <w:rsid w:val="00EC740B"/>
    <w:rsid w:val="00EC7FE6"/>
    <w:rsid w:val="00ED138C"/>
    <w:rsid w:val="00ED2D87"/>
    <w:rsid w:val="00EE3976"/>
    <w:rsid w:val="00EE577F"/>
    <w:rsid w:val="00EE646F"/>
    <w:rsid w:val="00EE64B9"/>
    <w:rsid w:val="00EE6E34"/>
    <w:rsid w:val="00EF3794"/>
    <w:rsid w:val="00EF5017"/>
    <w:rsid w:val="00EF6100"/>
    <w:rsid w:val="00EF61C7"/>
    <w:rsid w:val="00EF6627"/>
    <w:rsid w:val="00F01EB1"/>
    <w:rsid w:val="00F048FF"/>
    <w:rsid w:val="00F05EE6"/>
    <w:rsid w:val="00F159F3"/>
    <w:rsid w:val="00F17284"/>
    <w:rsid w:val="00F33444"/>
    <w:rsid w:val="00F33DA3"/>
    <w:rsid w:val="00F340B6"/>
    <w:rsid w:val="00F340EF"/>
    <w:rsid w:val="00F341E0"/>
    <w:rsid w:val="00F371AF"/>
    <w:rsid w:val="00F3778E"/>
    <w:rsid w:val="00F41920"/>
    <w:rsid w:val="00F45137"/>
    <w:rsid w:val="00F4656B"/>
    <w:rsid w:val="00F513BC"/>
    <w:rsid w:val="00F536A5"/>
    <w:rsid w:val="00F56765"/>
    <w:rsid w:val="00F621AD"/>
    <w:rsid w:val="00F63ACA"/>
    <w:rsid w:val="00F64883"/>
    <w:rsid w:val="00F667AF"/>
    <w:rsid w:val="00F6747C"/>
    <w:rsid w:val="00F70EEE"/>
    <w:rsid w:val="00F70FA4"/>
    <w:rsid w:val="00F751D4"/>
    <w:rsid w:val="00F76160"/>
    <w:rsid w:val="00F80666"/>
    <w:rsid w:val="00F80C57"/>
    <w:rsid w:val="00F83CE1"/>
    <w:rsid w:val="00F93BAC"/>
    <w:rsid w:val="00F96BE6"/>
    <w:rsid w:val="00FA4EF5"/>
    <w:rsid w:val="00FA5B34"/>
    <w:rsid w:val="00FA7E5F"/>
    <w:rsid w:val="00FB0236"/>
    <w:rsid w:val="00FB1120"/>
    <w:rsid w:val="00FB675D"/>
    <w:rsid w:val="00FC2CD0"/>
    <w:rsid w:val="00FC3982"/>
    <w:rsid w:val="00FD0016"/>
    <w:rsid w:val="00FD0E0C"/>
    <w:rsid w:val="00FD2C79"/>
    <w:rsid w:val="00FE3A9B"/>
    <w:rsid w:val="00FF07F3"/>
    <w:rsid w:val="00FF12E7"/>
    <w:rsid w:val="00FF32AA"/>
    <w:rsid w:val="00FF3C6E"/>
    <w:rsid w:val="373BADD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D9F"/>
    <w:rPr>
      <w:noProof/>
      <w:lang w:val="en-US"/>
    </w:rPr>
  </w:style>
  <w:style w:type="paragraph" w:styleId="Heading1">
    <w:name w:val="heading 1"/>
    <w:basedOn w:val="Normal"/>
    <w:next w:val="Normal"/>
    <w:link w:val="Heading1Char"/>
    <w:uiPriority w:val="99"/>
    <w:qFormat/>
    <w:rsid w:val="002953C4"/>
    <w:pPr>
      <w:keepNext/>
      <w:suppressAutoHyphens/>
      <w:spacing w:after="0" w:line="240" w:lineRule="auto"/>
      <w:jc w:val="center"/>
      <w:outlineLvl w:val="0"/>
    </w:pPr>
    <w:rPr>
      <w:rFonts w:ascii="Arial" w:eastAsia="Times New Roman" w:hAnsi="Arial" w:cs="Times New Roman"/>
      <w:b/>
      <w:iCs/>
      <w:noProof w:val="0"/>
      <w:sz w:val="18"/>
      <w:szCs w:val="18"/>
      <w:lang w:val="tr-TR" w:eastAsia="ar-SA"/>
    </w:rPr>
  </w:style>
  <w:style w:type="paragraph" w:styleId="Heading2">
    <w:name w:val="heading 2"/>
    <w:basedOn w:val="Normal"/>
    <w:next w:val="Normal"/>
    <w:link w:val="Heading2Char"/>
    <w:uiPriority w:val="99"/>
    <w:qFormat/>
    <w:rsid w:val="002953C4"/>
    <w:pPr>
      <w:keepNext/>
      <w:suppressAutoHyphens/>
      <w:spacing w:before="240" w:after="60" w:line="240" w:lineRule="auto"/>
      <w:outlineLvl w:val="1"/>
    </w:pPr>
    <w:rPr>
      <w:rFonts w:ascii="Arial" w:eastAsia="Times New Roman" w:hAnsi="Arial" w:cs="Arial"/>
      <w:b/>
      <w:bCs/>
      <w:i/>
      <w:iCs/>
      <w:noProof w:val="0"/>
      <w:sz w:val="28"/>
      <w:szCs w:val="28"/>
      <w:lang w:val="en-GB" w:eastAsia="ar-SA"/>
    </w:rPr>
  </w:style>
  <w:style w:type="paragraph" w:styleId="Heading3">
    <w:name w:val="heading 3"/>
    <w:basedOn w:val="Normal"/>
    <w:next w:val="Normal"/>
    <w:link w:val="Heading3Char"/>
    <w:uiPriority w:val="99"/>
    <w:qFormat/>
    <w:rsid w:val="002953C4"/>
    <w:pPr>
      <w:keepNext/>
      <w:suppressAutoHyphens/>
      <w:spacing w:before="240" w:after="60" w:line="240" w:lineRule="auto"/>
      <w:outlineLvl w:val="2"/>
    </w:pPr>
    <w:rPr>
      <w:rFonts w:ascii="Arial" w:eastAsia="Times New Roman" w:hAnsi="Arial" w:cs="Arial"/>
      <w:b/>
      <w:bCs/>
      <w:noProof w:val="0"/>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CB4"/>
    <w:rPr>
      <w:rFonts w:ascii="Tahoma" w:hAnsi="Tahoma" w:cs="Tahoma"/>
      <w:noProof/>
      <w:sz w:val="16"/>
      <w:szCs w:val="16"/>
      <w:lang w:val="en-US"/>
    </w:rPr>
  </w:style>
  <w:style w:type="paragraph" w:styleId="Caption">
    <w:name w:val="caption"/>
    <w:basedOn w:val="Normal"/>
    <w:next w:val="Normal"/>
    <w:uiPriority w:val="35"/>
    <w:unhideWhenUsed/>
    <w:qFormat/>
    <w:rsid w:val="00CB6CB4"/>
    <w:pPr>
      <w:spacing w:line="240" w:lineRule="auto"/>
    </w:pPr>
    <w:rPr>
      <w:b/>
      <w:bCs/>
      <w:color w:val="4F81BD" w:themeColor="accent1"/>
      <w:sz w:val="18"/>
      <w:szCs w:val="18"/>
    </w:rPr>
  </w:style>
  <w:style w:type="paragraph" w:styleId="ListParagraph">
    <w:name w:val="List Paragraph"/>
    <w:basedOn w:val="Normal"/>
    <w:uiPriority w:val="34"/>
    <w:qFormat/>
    <w:rsid w:val="00F513BC"/>
    <w:pPr>
      <w:ind w:left="720"/>
      <w:contextualSpacing/>
    </w:pPr>
  </w:style>
  <w:style w:type="paragraph" w:styleId="Header">
    <w:name w:val="header"/>
    <w:basedOn w:val="Normal"/>
    <w:link w:val="HeaderChar"/>
    <w:uiPriority w:val="99"/>
    <w:semiHidden/>
    <w:unhideWhenUsed/>
    <w:rsid w:val="0073781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37811"/>
    <w:rPr>
      <w:noProof/>
      <w:lang w:val="en-US"/>
    </w:rPr>
  </w:style>
  <w:style w:type="paragraph" w:styleId="Footer">
    <w:name w:val="footer"/>
    <w:basedOn w:val="Normal"/>
    <w:link w:val="FooterChar"/>
    <w:uiPriority w:val="99"/>
    <w:unhideWhenUsed/>
    <w:rsid w:val="007378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7811"/>
    <w:rPr>
      <w:noProof/>
      <w:lang w:val="en-US"/>
    </w:rPr>
  </w:style>
  <w:style w:type="character" w:styleId="LineNumber">
    <w:name w:val="line number"/>
    <w:basedOn w:val="DefaultParagraphFont"/>
    <w:uiPriority w:val="99"/>
    <w:semiHidden/>
    <w:unhideWhenUsed/>
    <w:rsid w:val="00737811"/>
  </w:style>
  <w:style w:type="character" w:customStyle="1" w:styleId="Heading1Char">
    <w:name w:val="Heading 1 Char"/>
    <w:basedOn w:val="DefaultParagraphFont"/>
    <w:link w:val="Heading1"/>
    <w:uiPriority w:val="99"/>
    <w:rsid w:val="002953C4"/>
    <w:rPr>
      <w:rFonts w:ascii="Arial" w:eastAsia="Times New Roman" w:hAnsi="Arial" w:cs="Times New Roman"/>
      <w:b/>
      <w:iCs/>
      <w:sz w:val="18"/>
      <w:szCs w:val="18"/>
      <w:lang w:eastAsia="ar-SA"/>
    </w:rPr>
  </w:style>
  <w:style w:type="character" w:customStyle="1" w:styleId="Heading2Char">
    <w:name w:val="Heading 2 Char"/>
    <w:basedOn w:val="DefaultParagraphFont"/>
    <w:link w:val="Heading2"/>
    <w:uiPriority w:val="99"/>
    <w:rsid w:val="002953C4"/>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2953C4"/>
    <w:rPr>
      <w:rFonts w:ascii="Arial" w:eastAsia="Times New Roman" w:hAnsi="Arial" w:cs="Arial"/>
      <w:b/>
      <w:bCs/>
      <w:sz w:val="26"/>
      <w:szCs w:val="26"/>
      <w:lang w:val="en-GB" w:eastAsia="ar-SA"/>
    </w:rPr>
  </w:style>
  <w:style w:type="paragraph" w:styleId="FootnoteText">
    <w:name w:val="footnote text"/>
    <w:basedOn w:val="Normal"/>
    <w:link w:val="FootnoteTextChar"/>
    <w:uiPriority w:val="99"/>
    <w:unhideWhenUsed/>
    <w:rsid w:val="00AF6C6F"/>
    <w:pPr>
      <w:spacing w:after="0" w:line="240" w:lineRule="auto"/>
    </w:pPr>
    <w:rPr>
      <w:rFonts w:eastAsiaTheme="minorEastAsia"/>
      <w:noProof w:val="0"/>
      <w:sz w:val="20"/>
      <w:szCs w:val="20"/>
      <w:lang w:val="tr-TR" w:eastAsia="tr-TR"/>
    </w:rPr>
  </w:style>
  <w:style w:type="character" w:customStyle="1" w:styleId="FootnoteTextChar">
    <w:name w:val="Footnote Text Char"/>
    <w:basedOn w:val="DefaultParagraphFont"/>
    <w:link w:val="FootnoteText"/>
    <w:uiPriority w:val="99"/>
    <w:rsid w:val="00AF6C6F"/>
    <w:rPr>
      <w:rFonts w:eastAsiaTheme="minorEastAsia"/>
      <w:sz w:val="20"/>
      <w:szCs w:val="20"/>
      <w:lang w:eastAsia="tr-TR"/>
    </w:rPr>
  </w:style>
  <w:style w:type="character" w:styleId="FootnoteReference">
    <w:name w:val="footnote reference"/>
    <w:basedOn w:val="DefaultParagraphFont"/>
    <w:uiPriority w:val="99"/>
    <w:unhideWhenUsed/>
    <w:rsid w:val="00AF6C6F"/>
    <w:rPr>
      <w:vertAlign w:val="superscript"/>
    </w:rPr>
  </w:style>
  <w:style w:type="character" w:styleId="Hyperlink">
    <w:name w:val="Hyperlink"/>
    <w:basedOn w:val="DefaultParagraphFont"/>
    <w:uiPriority w:val="99"/>
    <w:unhideWhenUsed/>
    <w:rsid w:val="00AF6C6F"/>
    <w:rPr>
      <w:color w:val="0000FF" w:themeColor="hyperlink"/>
      <w:u w:val="single"/>
    </w:rPr>
  </w:style>
  <w:style w:type="character" w:styleId="CommentReference">
    <w:name w:val="annotation reference"/>
    <w:basedOn w:val="DefaultParagraphFont"/>
    <w:uiPriority w:val="99"/>
    <w:semiHidden/>
    <w:unhideWhenUsed/>
    <w:rsid w:val="00655ACD"/>
    <w:rPr>
      <w:sz w:val="16"/>
      <w:szCs w:val="16"/>
    </w:rPr>
  </w:style>
  <w:style w:type="paragraph" w:styleId="CommentText">
    <w:name w:val="annotation text"/>
    <w:basedOn w:val="Normal"/>
    <w:link w:val="CommentTextChar"/>
    <w:uiPriority w:val="99"/>
    <w:semiHidden/>
    <w:unhideWhenUsed/>
    <w:rsid w:val="00655ACD"/>
    <w:pPr>
      <w:spacing w:line="240" w:lineRule="auto"/>
    </w:pPr>
    <w:rPr>
      <w:sz w:val="20"/>
      <w:szCs w:val="20"/>
    </w:rPr>
  </w:style>
  <w:style w:type="character" w:customStyle="1" w:styleId="CommentTextChar">
    <w:name w:val="Comment Text Char"/>
    <w:basedOn w:val="DefaultParagraphFont"/>
    <w:link w:val="CommentText"/>
    <w:uiPriority w:val="99"/>
    <w:semiHidden/>
    <w:rsid w:val="00655ACD"/>
    <w:rPr>
      <w:noProof/>
      <w:sz w:val="20"/>
      <w:szCs w:val="20"/>
      <w:lang w:val="en-US"/>
    </w:rPr>
  </w:style>
  <w:style w:type="paragraph" w:styleId="CommentSubject">
    <w:name w:val="annotation subject"/>
    <w:basedOn w:val="CommentText"/>
    <w:next w:val="CommentText"/>
    <w:link w:val="CommentSubjectChar"/>
    <w:uiPriority w:val="99"/>
    <w:semiHidden/>
    <w:unhideWhenUsed/>
    <w:rsid w:val="00655ACD"/>
    <w:rPr>
      <w:b/>
      <w:bCs/>
    </w:rPr>
  </w:style>
  <w:style w:type="character" w:customStyle="1" w:styleId="CommentSubjectChar">
    <w:name w:val="Comment Subject Char"/>
    <w:basedOn w:val="CommentTextChar"/>
    <w:link w:val="CommentSubject"/>
    <w:uiPriority w:val="99"/>
    <w:semiHidden/>
    <w:rsid w:val="00655ACD"/>
    <w:rPr>
      <w:b/>
      <w:bCs/>
      <w:noProof/>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D9F"/>
    <w:rPr>
      <w:noProof/>
      <w:lang w:val="en-US"/>
    </w:rPr>
  </w:style>
  <w:style w:type="paragraph" w:styleId="Heading1">
    <w:name w:val="heading 1"/>
    <w:basedOn w:val="Normal"/>
    <w:next w:val="Normal"/>
    <w:link w:val="Heading1Char"/>
    <w:uiPriority w:val="99"/>
    <w:qFormat/>
    <w:rsid w:val="002953C4"/>
    <w:pPr>
      <w:keepNext/>
      <w:suppressAutoHyphens/>
      <w:spacing w:after="0" w:line="240" w:lineRule="auto"/>
      <w:jc w:val="center"/>
      <w:outlineLvl w:val="0"/>
    </w:pPr>
    <w:rPr>
      <w:rFonts w:ascii="Arial" w:eastAsia="Times New Roman" w:hAnsi="Arial" w:cs="Times New Roman"/>
      <w:b/>
      <w:iCs/>
      <w:noProof w:val="0"/>
      <w:sz w:val="18"/>
      <w:szCs w:val="18"/>
      <w:lang w:val="tr-TR" w:eastAsia="ar-SA"/>
    </w:rPr>
  </w:style>
  <w:style w:type="paragraph" w:styleId="Heading2">
    <w:name w:val="heading 2"/>
    <w:basedOn w:val="Normal"/>
    <w:next w:val="Normal"/>
    <w:link w:val="Heading2Char"/>
    <w:uiPriority w:val="99"/>
    <w:qFormat/>
    <w:rsid w:val="002953C4"/>
    <w:pPr>
      <w:keepNext/>
      <w:suppressAutoHyphens/>
      <w:spacing w:before="240" w:after="60" w:line="240" w:lineRule="auto"/>
      <w:outlineLvl w:val="1"/>
    </w:pPr>
    <w:rPr>
      <w:rFonts w:ascii="Arial" w:eastAsia="Times New Roman" w:hAnsi="Arial" w:cs="Arial"/>
      <w:b/>
      <w:bCs/>
      <w:i/>
      <w:iCs/>
      <w:noProof w:val="0"/>
      <w:sz w:val="28"/>
      <w:szCs w:val="28"/>
      <w:lang w:val="en-GB" w:eastAsia="ar-SA"/>
    </w:rPr>
  </w:style>
  <w:style w:type="paragraph" w:styleId="Heading3">
    <w:name w:val="heading 3"/>
    <w:basedOn w:val="Normal"/>
    <w:next w:val="Normal"/>
    <w:link w:val="Heading3Char"/>
    <w:uiPriority w:val="99"/>
    <w:qFormat/>
    <w:rsid w:val="002953C4"/>
    <w:pPr>
      <w:keepNext/>
      <w:suppressAutoHyphens/>
      <w:spacing w:before="240" w:after="60" w:line="240" w:lineRule="auto"/>
      <w:outlineLvl w:val="2"/>
    </w:pPr>
    <w:rPr>
      <w:rFonts w:ascii="Arial" w:eastAsia="Times New Roman" w:hAnsi="Arial" w:cs="Arial"/>
      <w:b/>
      <w:bCs/>
      <w:noProof w:val="0"/>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CB4"/>
    <w:rPr>
      <w:rFonts w:ascii="Tahoma" w:hAnsi="Tahoma" w:cs="Tahoma"/>
      <w:noProof/>
      <w:sz w:val="16"/>
      <w:szCs w:val="16"/>
      <w:lang w:val="en-US"/>
    </w:rPr>
  </w:style>
  <w:style w:type="paragraph" w:styleId="Caption">
    <w:name w:val="caption"/>
    <w:basedOn w:val="Normal"/>
    <w:next w:val="Normal"/>
    <w:uiPriority w:val="35"/>
    <w:unhideWhenUsed/>
    <w:qFormat/>
    <w:rsid w:val="00CB6CB4"/>
    <w:pPr>
      <w:spacing w:line="240" w:lineRule="auto"/>
    </w:pPr>
    <w:rPr>
      <w:b/>
      <w:bCs/>
      <w:color w:val="4F81BD" w:themeColor="accent1"/>
      <w:sz w:val="18"/>
      <w:szCs w:val="18"/>
    </w:rPr>
  </w:style>
  <w:style w:type="paragraph" w:styleId="ListParagraph">
    <w:name w:val="List Paragraph"/>
    <w:basedOn w:val="Normal"/>
    <w:uiPriority w:val="34"/>
    <w:qFormat/>
    <w:rsid w:val="00F513BC"/>
    <w:pPr>
      <w:ind w:left="720"/>
      <w:contextualSpacing/>
    </w:pPr>
  </w:style>
  <w:style w:type="paragraph" w:styleId="Header">
    <w:name w:val="header"/>
    <w:basedOn w:val="Normal"/>
    <w:link w:val="HeaderChar"/>
    <w:uiPriority w:val="99"/>
    <w:semiHidden/>
    <w:unhideWhenUsed/>
    <w:rsid w:val="0073781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37811"/>
    <w:rPr>
      <w:noProof/>
      <w:lang w:val="en-US"/>
    </w:rPr>
  </w:style>
  <w:style w:type="paragraph" w:styleId="Footer">
    <w:name w:val="footer"/>
    <w:basedOn w:val="Normal"/>
    <w:link w:val="FooterChar"/>
    <w:uiPriority w:val="99"/>
    <w:unhideWhenUsed/>
    <w:rsid w:val="007378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7811"/>
    <w:rPr>
      <w:noProof/>
      <w:lang w:val="en-US"/>
    </w:rPr>
  </w:style>
  <w:style w:type="character" w:styleId="LineNumber">
    <w:name w:val="line number"/>
    <w:basedOn w:val="DefaultParagraphFont"/>
    <w:uiPriority w:val="99"/>
    <w:semiHidden/>
    <w:unhideWhenUsed/>
    <w:rsid w:val="00737811"/>
  </w:style>
  <w:style w:type="character" w:customStyle="1" w:styleId="Heading1Char">
    <w:name w:val="Heading 1 Char"/>
    <w:basedOn w:val="DefaultParagraphFont"/>
    <w:link w:val="Heading1"/>
    <w:uiPriority w:val="99"/>
    <w:rsid w:val="002953C4"/>
    <w:rPr>
      <w:rFonts w:ascii="Arial" w:eastAsia="Times New Roman" w:hAnsi="Arial" w:cs="Times New Roman"/>
      <w:b/>
      <w:iCs/>
      <w:sz w:val="18"/>
      <w:szCs w:val="18"/>
      <w:lang w:eastAsia="ar-SA"/>
    </w:rPr>
  </w:style>
  <w:style w:type="character" w:customStyle="1" w:styleId="Heading2Char">
    <w:name w:val="Heading 2 Char"/>
    <w:basedOn w:val="DefaultParagraphFont"/>
    <w:link w:val="Heading2"/>
    <w:uiPriority w:val="99"/>
    <w:rsid w:val="002953C4"/>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2953C4"/>
    <w:rPr>
      <w:rFonts w:ascii="Arial" w:eastAsia="Times New Roman" w:hAnsi="Arial" w:cs="Arial"/>
      <w:b/>
      <w:bCs/>
      <w:sz w:val="26"/>
      <w:szCs w:val="26"/>
      <w:lang w:val="en-GB" w:eastAsia="ar-SA"/>
    </w:rPr>
  </w:style>
  <w:style w:type="paragraph" w:styleId="FootnoteText">
    <w:name w:val="footnote text"/>
    <w:basedOn w:val="Normal"/>
    <w:link w:val="FootnoteTextChar"/>
    <w:uiPriority w:val="99"/>
    <w:unhideWhenUsed/>
    <w:rsid w:val="00AF6C6F"/>
    <w:pPr>
      <w:spacing w:after="0" w:line="240" w:lineRule="auto"/>
    </w:pPr>
    <w:rPr>
      <w:rFonts w:eastAsiaTheme="minorEastAsia"/>
      <w:noProof w:val="0"/>
      <w:sz w:val="20"/>
      <w:szCs w:val="20"/>
      <w:lang w:val="tr-TR" w:eastAsia="tr-TR"/>
    </w:rPr>
  </w:style>
  <w:style w:type="character" w:customStyle="1" w:styleId="FootnoteTextChar">
    <w:name w:val="Footnote Text Char"/>
    <w:basedOn w:val="DefaultParagraphFont"/>
    <w:link w:val="FootnoteText"/>
    <w:uiPriority w:val="99"/>
    <w:rsid w:val="00AF6C6F"/>
    <w:rPr>
      <w:rFonts w:eastAsiaTheme="minorEastAsia"/>
      <w:sz w:val="20"/>
      <w:szCs w:val="20"/>
      <w:lang w:eastAsia="tr-TR"/>
    </w:rPr>
  </w:style>
  <w:style w:type="character" w:styleId="FootnoteReference">
    <w:name w:val="footnote reference"/>
    <w:basedOn w:val="DefaultParagraphFont"/>
    <w:uiPriority w:val="99"/>
    <w:unhideWhenUsed/>
    <w:rsid w:val="00AF6C6F"/>
    <w:rPr>
      <w:vertAlign w:val="superscript"/>
    </w:rPr>
  </w:style>
  <w:style w:type="character" w:styleId="Hyperlink">
    <w:name w:val="Hyperlink"/>
    <w:basedOn w:val="DefaultParagraphFont"/>
    <w:uiPriority w:val="99"/>
    <w:unhideWhenUsed/>
    <w:rsid w:val="00AF6C6F"/>
    <w:rPr>
      <w:color w:val="0000FF" w:themeColor="hyperlink"/>
      <w:u w:val="single"/>
    </w:rPr>
  </w:style>
  <w:style w:type="character" w:styleId="CommentReference">
    <w:name w:val="annotation reference"/>
    <w:basedOn w:val="DefaultParagraphFont"/>
    <w:uiPriority w:val="99"/>
    <w:semiHidden/>
    <w:unhideWhenUsed/>
    <w:rsid w:val="00655ACD"/>
    <w:rPr>
      <w:sz w:val="16"/>
      <w:szCs w:val="16"/>
    </w:rPr>
  </w:style>
  <w:style w:type="paragraph" w:styleId="CommentText">
    <w:name w:val="annotation text"/>
    <w:basedOn w:val="Normal"/>
    <w:link w:val="CommentTextChar"/>
    <w:uiPriority w:val="99"/>
    <w:semiHidden/>
    <w:unhideWhenUsed/>
    <w:rsid w:val="00655ACD"/>
    <w:pPr>
      <w:spacing w:line="240" w:lineRule="auto"/>
    </w:pPr>
    <w:rPr>
      <w:sz w:val="20"/>
      <w:szCs w:val="20"/>
    </w:rPr>
  </w:style>
  <w:style w:type="character" w:customStyle="1" w:styleId="CommentTextChar">
    <w:name w:val="Comment Text Char"/>
    <w:basedOn w:val="DefaultParagraphFont"/>
    <w:link w:val="CommentText"/>
    <w:uiPriority w:val="99"/>
    <w:semiHidden/>
    <w:rsid w:val="00655ACD"/>
    <w:rPr>
      <w:noProof/>
      <w:sz w:val="20"/>
      <w:szCs w:val="20"/>
      <w:lang w:val="en-US"/>
    </w:rPr>
  </w:style>
  <w:style w:type="paragraph" w:styleId="CommentSubject">
    <w:name w:val="annotation subject"/>
    <w:basedOn w:val="CommentText"/>
    <w:next w:val="CommentText"/>
    <w:link w:val="CommentSubjectChar"/>
    <w:uiPriority w:val="99"/>
    <w:semiHidden/>
    <w:unhideWhenUsed/>
    <w:rsid w:val="00655ACD"/>
    <w:rPr>
      <w:b/>
      <w:bCs/>
    </w:rPr>
  </w:style>
  <w:style w:type="character" w:customStyle="1" w:styleId="CommentSubjectChar">
    <w:name w:val="Comment Subject Char"/>
    <w:basedOn w:val="CommentTextChar"/>
    <w:link w:val="CommentSubject"/>
    <w:uiPriority w:val="99"/>
    <w:semiHidden/>
    <w:rsid w:val="00655ACD"/>
    <w:rPr>
      <w:b/>
      <w:bCs/>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4812">
      <w:bodyDiv w:val="1"/>
      <w:marLeft w:val="0"/>
      <w:marRight w:val="0"/>
      <w:marTop w:val="0"/>
      <w:marBottom w:val="0"/>
      <w:divBdr>
        <w:top w:val="none" w:sz="0" w:space="0" w:color="auto"/>
        <w:left w:val="none" w:sz="0" w:space="0" w:color="auto"/>
        <w:bottom w:val="none" w:sz="0" w:space="0" w:color="auto"/>
        <w:right w:val="none" w:sz="0" w:space="0" w:color="auto"/>
      </w:divBdr>
    </w:div>
    <w:div w:id="112677966">
      <w:bodyDiv w:val="1"/>
      <w:marLeft w:val="0"/>
      <w:marRight w:val="0"/>
      <w:marTop w:val="0"/>
      <w:marBottom w:val="0"/>
      <w:divBdr>
        <w:top w:val="none" w:sz="0" w:space="0" w:color="auto"/>
        <w:left w:val="none" w:sz="0" w:space="0" w:color="auto"/>
        <w:bottom w:val="none" w:sz="0" w:space="0" w:color="auto"/>
        <w:right w:val="none" w:sz="0" w:space="0" w:color="auto"/>
      </w:divBdr>
    </w:div>
    <w:div w:id="125704347">
      <w:bodyDiv w:val="1"/>
      <w:marLeft w:val="0"/>
      <w:marRight w:val="0"/>
      <w:marTop w:val="0"/>
      <w:marBottom w:val="0"/>
      <w:divBdr>
        <w:top w:val="none" w:sz="0" w:space="0" w:color="auto"/>
        <w:left w:val="none" w:sz="0" w:space="0" w:color="auto"/>
        <w:bottom w:val="none" w:sz="0" w:space="0" w:color="auto"/>
        <w:right w:val="none" w:sz="0" w:space="0" w:color="auto"/>
      </w:divBdr>
    </w:div>
    <w:div w:id="229341262">
      <w:bodyDiv w:val="1"/>
      <w:marLeft w:val="0"/>
      <w:marRight w:val="0"/>
      <w:marTop w:val="0"/>
      <w:marBottom w:val="0"/>
      <w:divBdr>
        <w:top w:val="none" w:sz="0" w:space="0" w:color="auto"/>
        <w:left w:val="none" w:sz="0" w:space="0" w:color="auto"/>
        <w:bottom w:val="none" w:sz="0" w:space="0" w:color="auto"/>
        <w:right w:val="none" w:sz="0" w:space="0" w:color="auto"/>
      </w:divBdr>
    </w:div>
    <w:div w:id="287013036">
      <w:bodyDiv w:val="1"/>
      <w:marLeft w:val="0"/>
      <w:marRight w:val="0"/>
      <w:marTop w:val="0"/>
      <w:marBottom w:val="0"/>
      <w:divBdr>
        <w:top w:val="none" w:sz="0" w:space="0" w:color="auto"/>
        <w:left w:val="none" w:sz="0" w:space="0" w:color="auto"/>
        <w:bottom w:val="none" w:sz="0" w:space="0" w:color="auto"/>
        <w:right w:val="none" w:sz="0" w:space="0" w:color="auto"/>
      </w:divBdr>
    </w:div>
    <w:div w:id="428622985">
      <w:bodyDiv w:val="1"/>
      <w:marLeft w:val="0"/>
      <w:marRight w:val="0"/>
      <w:marTop w:val="0"/>
      <w:marBottom w:val="0"/>
      <w:divBdr>
        <w:top w:val="none" w:sz="0" w:space="0" w:color="auto"/>
        <w:left w:val="none" w:sz="0" w:space="0" w:color="auto"/>
        <w:bottom w:val="none" w:sz="0" w:space="0" w:color="auto"/>
        <w:right w:val="none" w:sz="0" w:space="0" w:color="auto"/>
      </w:divBdr>
    </w:div>
    <w:div w:id="447352545">
      <w:bodyDiv w:val="1"/>
      <w:marLeft w:val="0"/>
      <w:marRight w:val="0"/>
      <w:marTop w:val="0"/>
      <w:marBottom w:val="0"/>
      <w:divBdr>
        <w:top w:val="none" w:sz="0" w:space="0" w:color="auto"/>
        <w:left w:val="none" w:sz="0" w:space="0" w:color="auto"/>
        <w:bottom w:val="none" w:sz="0" w:space="0" w:color="auto"/>
        <w:right w:val="none" w:sz="0" w:space="0" w:color="auto"/>
      </w:divBdr>
    </w:div>
    <w:div w:id="477308063">
      <w:bodyDiv w:val="1"/>
      <w:marLeft w:val="0"/>
      <w:marRight w:val="0"/>
      <w:marTop w:val="0"/>
      <w:marBottom w:val="0"/>
      <w:divBdr>
        <w:top w:val="none" w:sz="0" w:space="0" w:color="auto"/>
        <w:left w:val="none" w:sz="0" w:space="0" w:color="auto"/>
        <w:bottom w:val="none" w:sz="0" w:space="0" w:color="auto"/>
        <w:right w:val="none" w:sz="0" w:space="0" w:color="auto"/>
      </w:divBdr>
    </w:div>
    <w:div w:id="613832460">
      <w:bodyDiv w:val="1"/>
      <w:marLeft w:val="0"/>
      <w:marRight w:val="0"/>
      <w:marTop w:val="0"/>
      <w:marBottom w:val="0"/>
      <w:divBdr>
        <w:top w:val="none" w:sz="0" w:space="0" w:color="auto"/>
        <w:left w:val="none" w:sz="0" w:space="0" w:color="auto"/>
        <w:bottom w:val="none" w:sz="0" w:space="0" w:color="auto"/>
        <w:right w:val="none" w:sz="0" w:space="0" w:color="auto"/>
      </w:divBdr>
    </w:div>
    <w:div w:id="630405777">
      <w:bodyDiv w:val="1"/>
      <w:marLeft w:val="0"/>
      <w:marRight w:val="0"/>
      <w:marTop w:val="0"/>
      <w:marBottom w:val="0"/>
      <w:divBdr>
        <w:top w:val="none" w:sz="0" w:space="0" w:color="auto"/>
        <w:left w:val="none" w:sz="0" w:space="0" w:color="auto"/>
        <w:bottom w:val="none" w:sz="0" w:space="0" w:color="auto"/>
        <w:right w:val="none" w:sz="0" w:space="0" w:color="auto"/>
      </w:divBdr>
    </w:div>
    <w:div w:id="665133316">
      <w:bodyDiv w:val="1"/>
      <w:marLeft w:val="0"/>
      <w:marRight w:val="0"/>
      <w:marTop w:val="0"/>
      <w:marBottom w:val="0"/>
      <w:divBdr>
        <w:top w:val="none" w:sz="0" w:space="0" w:color="auto"/>
        <w:left w:val="none" w:sz="0" w:space="0" w:color="auto"/>
        <w:bottom w:val="none" w:sz="0" w:space="0" w:color="auto"/>
        <w:right w:val="none" w:sz="0" w:space="0" w:color="auto"/>
      </w:divBdr>
    </w:div>
    <w:div w:id="735470670">
      <w:bodyDiv w:val="1"/>
      <w:marLeft w:val="0"/>
      <w:marRight w:val="0"/>
      <w:marTop w:val="0"/>
      <w:marBottom w:val="0"/>
      <w:divBdr>
        <w:top w:val="none" w:sz="0" w:space="0" w:color="auto"/>
        <w:left w:val="none" w:sz="0" w:space="0" w:color="auto"/>
        <w:bottom w:val="none" w:sz="0" w:space="0" w:color="auto"/>
        <w:right w:val="none" w:sz="0" w:space="0" w:color="auto"/>
      </w:divBdr>
    </w:div>
    <w:div w:id="1049183427">
      <w:bodyDiv w:val="1"/>
      <w:marLeft w:val="0"/>
      <w:marRight w:val="0"/>
      <w:marTop w:val="0"/>
      <w:marBottom w:val="0"/>
      <w:divBdr>
        <w:top w:val="none" w:sz="0" w:space="0" w:color="auto"/>
        <w:left w:val="none" w:sz="0" w:space="0" w:color="auto"/>
        <w:bottom w:val="none" w:sz="0" w:space="0" w:color="auto"/>
        <w:right w:val="none" w:sz="0" w:space="0" w:color="auto"/>
      </w:divBdr>
    </w:div>
    <w:div w:id="1058472809">
      <w:bodyDiv w:val="1"/>
      <w:marLeft w:val="0"/>
      <w:marRight w:val="0"/>
      <w:marTop w:val="0"/>
      <w:marBottom w:val="0"/>
      <w:divBdr>
        <w:top w:val="none" w:sz="0" w:space="0" w:color="auto"/>
        <w:left w:val="none" w:sz="0" w:space="0" w:color="auto"/>
        <w:bottom w:val="none" w:sz="0" w:space="0" w:color="auto"/>
        <w:right w:val="none" w:sz="0" w:space="0" w:color="auto"/>
      </w:divBdr>
    </w:div>
    <w:div w:id="1191990896">
      <w:bodyDiv w:val="1"/>
      <w:marLeft w:val="0"/>
      <w:marRight w:val="0"/>
      <w:marTop w:val="0"/>
      <w:marBottom w:val="0"/>
      <w:divBdr>
        <w:top w:val="none" w:sz="0" w:space="0" w:color="auto"/>
        <w:left w:val="none" w:sz="0" w:space="0" w:color="auto"/>
        <w:bottom w:val="none" w:sz="0" w:space="0" w:color="auto"/>
        <w:right w:val="none" w:sz="0" w:space="0" w:color="auto"/>
      </w:divBdr>
    </w:div>
    <w:div w:id="1283614313">
      <w:bodyDiv w:val="1"/>
      <w:marLeft w:val="0"/>
      <w:marRight w:val="0"/>
      <w:marTop w:val="0"/>
      <w:marBottom w:val="0"/>
      <w:divBdr>
        <w:top w:val="none" w:sz="0" w:space="0" w:color="auto"/>
        <w:left w:val="none" w:sz="0" w:space="0" w:color="auto"/>
        <w:bottom w:val="none" w:sz="0" w:space="0" w:color="auto"/>
        <w:right w:val="none" w:sz="0" w:space="0" w:color="auto"/>
      </w:divBdr>
    </w:div>
    <w:div w:id="1309242794">
      <w:bodyDiv w:val="1"/>
      <w:marLeft w:val="0"/>
      <w:marRight w:val="0"/>
      <w:marTop w:val="0"/>
      <w:marBottom w:val="0"/>
      <w:divBdr>
        <w:top w:val="none" w:sz="0" w:space="0" w:color="auto"/>
        <w:left w:val="none" w:sz="0" w:space="0" w:color="auto"/>
        <w:bottom w:val="none" w:sz="0" w:space="0" w:color="auto"/>
        <w:right w:val="none" w:sz="0" w:space="0" w:color="auto"/>
      </w:divBdr>
    </w:div>
    <w:div w:id="1580366268">
      <w:bodyDiv w:val="1"/>
      <w:marLeft w:val="0"/>
      <w:marRight w:val="0"/>
      <w:marTop w:val="0"/>
      <w:marBottom w:val="0"/>
      <w:divBdr>
        <w:top w:val="none" w:sz="0" w:space="0" w:color="auto"/>
        <w:left w:val="none" w:sz="0" w:space="0" w:color="auto"/>
        <w:bottom w:val="none" w:sz="0" w:space="0" w:color="auto"/>
        <w:right w:val="none" w:sz="0" w:space="0" w:color="auto"/>
      </w:divBdr>
    </w:div>
    <w:div w:id="1630547186">
      <w:bodyDiv w:val="1"/>
      <w:marLeft w:val="0"/>
      <w:marRight w:val="0"/>
      <w:marTop w:val="0"/>
      <w:marBottom w:val="0"/>
      <w:divBdr>
        <w:top w:val="none" w:sz="0" w:space="0" w:color="auto"/>
        <w:left w:val="none" w:sz="0" w:space="0" w:color="auto"/>
        <w:bottom w:val="none" w:sz="0" w:space="0" w:color="auto"/>
        <w:right w:val="none" w:sz="0" w:space="0" w:color="auto"/>
      </w:divBdr>
    </w:div>
    <w:div w:id="1652247715">
      <w:bodyDiv w:val="1"/>
      <w:marLeft w:val="0"/>
      <w:marRight w:val="0"/>
      <w:marTop w:val="0"/>
      <w:marBottom w:val="0"/>
      <w:divBdr>
        <w:top w:val="none" w:sz="0" w:space="0" w:color="auto"/>
        <w:left w:val="none" w:sz="0" w:space="0" w:color="auto"/>
        <w:bottom w:val="none" w:sz="0" w:space="0" w:color="auto"/>
        <w:right w:val="none" w:sz="0" w:space="0" w:color="auto"/>
      </w:divBdr>
    </w:div>
    <w:div w:id="1693799250">
      <w:bodyDiv w:val="1"/>
      <w:marLeft w:val="0"/>
      <w:marRight w:val="0"/>
      <w:marTop w:val="0"/>
      <w:marBottom w:val="0"/>
      <w:divBdr>
        <w:top w:val="none" w:sz="0" w:space="0" w:color="auto"/>
        <w:left w:val="none" w:sz="0" w:space="0" w:color="auto"/>
        <w:bottom w:val="none" w:sz="0" w:space="0" w:color="auto"/>
        <w:right w:val="none" w:sz="0" w:space="0" w:color="auto"/>
      </w:divBdr>
    </w:div>
    <w:div w:id="1742094529">
      <w:bodyDiv w:val="1"/>
      <w:marLeft w:val="0"/>
      <w:marRight w:val="0"/>
      <w:marTop w:val="0"/>
      <w:marBottom w:val="0"/>
      <w:divBdr>
        <w:top w:val="none" w:sz="0" w:space="0" w:color="auto"/>
        <w:left w:val="none" w:sz="0" w:space="0" w:color="auto"/>
        <w:bottom w:val="none" w:sz="0" w:space="0" w:color="auto"/>
        <w:right w:val="none" w:sz="0" w:space="0" w:color="auto"/>
      </w:divBdr>
    </w:div>
    <w:div w:id="1773429534">
      <w:bodyDiv w:val="1"/>
      <w:marLeft w:val="0"/>
      <w:marRight w:val="0"/>
      <w:marTop w:val="0"/>
      <w:marBottom w:val="0"/>
      <w:divBdr>
        <w:top w:val="none" w:sz="0" w:space="0" w:color="auto"/>
        <w:left w:val="none" w:sz="0" w:space="0" w:color="auto"/>
        <w:bottom w:val="none" w:sz="0" w:space="0" w:color="auto"/>
        <w:right w:val="none" w:sz="0" w:space="0" w:color="auto"/>
      </w:divBdr>
    </w:div>
    <w:div w:id="1859535985">
      <w:bodyDiv w:val="1"/>
      <w:marLeft w:val="0"/>
      <w:marRight w:val="0"/>
      <w:marTop w:val="0"/>
      <w:marBottom w:val="0"/>
      <w:divBdr>
        <w:top w:val="none" w:sz="0" w:space="0" w:color="auto"/>
        <w:left w:val="none" w:sz="0" w:space="0" w:color="auto"/>
        <w:bottom w:val="none" w:sz="0" w:space="0" w:color="auto"/>
        <w:right w:val="none" w:sz="0" w:space="0" w:color="auto"/>
      </w:divBdr>
    </w:div>
    <w:div w:id="1884250272">
      <w:bodyDiv w:val="1"/>
      <w:marLeft w:val="0"/>
      <w:marRight w:val="0"/>
      <w:marTop w:val="0"/>
      <w:marBottom w:val="0"/>
      <w:divBdr>
        <w:top w:val="none" w:sz="0" w:space="0" w:color="auto"/>
        <w:left w:val="none" w:sz="0" w:space="0" w:color="auto"/>
        <w:bottom w:val="none" w:sz="0" w:space="0" w:color="auto"/>
        <w:right w:val="none" w:sz="0" w:space="0" w:color="auto"/>
      </w:divBdr>
    </w:div>
    <w:div w:id="1911886571">
      <w:bodyDiv w:val="1"/>
      <w:marLeft w:val="0"/>
      <w:marRight w:val="0"/>
      <w:marTop w:val="0"/>
      <w:marBottom w:val="0"/>
      <w:divBdr>
        <w:top w:val="none" w:sz="0" w:space="0" w:color="auto"/>
        <w:left w:val="none" w:sz="0" w:space="0" w:color="auto"/>
        <w:bottom w:val="none" w:sz="0" w:space="0" w:color="auto"/>
        <w:right w:val="none" w:sz="0" w:space="0" w:color="auto"/>
      </w:divBdr>
    </w:div>
    <w:div w:id="1949846203">
      <w:bodyDiv w:val="1"/>
      <w:marLeft w:val="0"/>
      <w:marRight w:val="0"/>
      <w:marTop w:val="0"/>
      <w:marBottom w:val="0"/>
      <w:divBdr>
        <w:top w:val="none" w:sz="0" w:space="0" w:color="auto"/>
        <w:left w:val="none" w:sz="0" w:space="0" w:color="auto"/>
        <w:bottom w:val="none" w:sz="0" w:space="0" w:color="auto"/>
        <w:right w:val="none" w:sz="0" w:space="0" w:color="auto"/>
      </w:divBdr>
    </w:div>
    <w:div w:id="1956332200">
      <w:bodyDiv w:val="1"/>
      <w:marLeft w:val="0"/>
      <w:marRight w:val="0"/>
      <w:marTop w:val="0"/>
      <w:marBottom w:val="0"/>
      <w:divBdr>
        <w:top w:val="none" w:sz="0" w:space="0" w:color="auto"/>
        <w:left w:val="none" w:sz="0" w:space="0" w:color="auto"/>
        <w:bottom w:val="none" w:sz="0" w:space="0" w:color="auto"/>
        <w:right w:val="none" w:sz="0" w:space="0" w:color="auto"/>
      </w:divBdr>
    </w:div>
    <w:div w:id="1994942216">
      <w:bodyDiv w:val="1"/>
      <w:marLeft w:val="0"/>
      <w:marRight w:val="0"/>
      <w:marTop w:val="0"/>
      <w:marBottom w:val="0"/>
      <w:divBdr>
        <w:top w:val="none" w:sz="0" w:space="0" w:color="auto"/>
        <w:left w:val="none" w:sz="0" w:space="0" w:color="auto"/>
        <w:bottom w:val="none" w:sz="0" w:space="0" w:color="auto"/>
        <w:right w:val="none" w:sz="0" w:space="0" w:color="auto"/>
      </w:divBdr>
    </w:div>
    <w:div w:id="199888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mailto:melike.kokkizil@eas.bahcesehir.edu.tr" TargetMode="External"/><Relationship Id="rId2" Type="http://schemas.openxmlformats.org/officeDocument/2006/relationships/hyperlink" Target="mailto:gokce.uysal@eas.bahcesehir.edu.tr" TargetMode="External"/><Relationship Id="rId1" Type="http://schemas.openxmlformats.org/officeDocument/2006/relationships/hyperlink" Target="mailto:seyfettin.gursel@eas.bahcesehir.edu.tr" TargetMode="External"/><Relationship Id="rId4" Type="http://schemas.openxmlformats.org/officeDocument/2006/relationships/hyperlink" Target="http://www.turmob.org.tr/arsiv/mbs/pratikBilgiler/asgari_ucret2015.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elike.kokkizil\Dropbox\AN_AsgariUcret\AN_Asgari%20ucret_Sosyo%20ekonomik%20grupl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159425944029"/>
          <c:y val="5.4461899281742533E-2"/>
          <c:w val="0.81968107052979577"/>
          <c:h val="0.82150531598037702"/>
        </c:manualLayout>
      </c:layout>
      <c:barChart>
        <c:barDir val="bar"/>
        <c:grouping val="clustered"/>
        <c:varyColors val="0"/>
        <c:ser>
          <c:idx val="0"/>
          <c:order val="0"/>
          <c:tx>
            <c:strRef>
              <c:f>YAŞ!$C$12</c:f>
              <c:strCache>
                <c:ptCount val="1"/>
                <c:pt idx="0">
                  <c:v>age</c:v>
                </c:pt>
              </c:strCache>
            </c:strRef>
          </c:tx>
          <c:spPr>
            <a:solidFill>
              <a:schemeClr val="tx2">
                <a:lumMod val="40000"/>
                <a:lumOff val="60000"/>
              </a:schemeClr>
            </a:solidFill>
            <a:ln>
              <a:solidFill>
                <a:schemeClr val="accent1">
                  <a:lumMod val="60000"/>
                  <a:lumOff val="40000"/>
                </a:schemeClr>
              </a:solidFill>
            </a:ln>
          </c:spPr>
          <c:invertIfNegative val="0"/>
          <c:dLbls>
            <c:dLbl>
              <c:idx val="0"/>
              <c:tx>
                <c:rich>
                  <a:bodyPr/>
                  <a:lstStyle/>
                  <a:p>
                    <a:r>
                      <a:rPr lang="en-US"/>
                      <a:t>79,8</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53,2</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51,0</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57,4</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54,6</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56,7</a:t>
                    </a:r>
                  </a:p>
                </c:rich>
              </c:tx>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YAŞ!$H$16:$H$21</c:f>
              <c:strCache>
                <c:ptCount val="6"/>
                <c:pt idx="0">
                  <c:v>15-24 yaş</c:v>
                </c:pt>
                <c:pt idx="1">
                  <c:v>25-34 yaş</c:v>
                </c:pt>
                <c:pt idx="2">
                  <c:v>35-44 yaş</c:v>
                </c:pt>
                <c:pt idx="3">
                  <c:v>45-54 yaş</c:v>
                </c:pt>
                <c:pt idx="4">
                  <c:v>55-64 yaş</c:v>
                </c:pt>
                <c:pt idx="5">
                  <c:v>64 üstü yaş</c:v>
                </c:pt>
              </c:strCache>
            </c:strRef>
          </c:cat>
          <c:val>
            <c:numRef>
              <c:f>YAŞ!$J$16:$J$21</c:f>
              <c:numCache>
                <c:formatCode>General</c:formatCode>
                <c:ptCount val="6"/>
                <c:pt idx="0">
                  <c:v>79.790000000000006</c:v>
                </c:pt>
                <c:pt idx="1">
                  <c:v>53.160000000000011</c:v>
                </c:pt>
                <c:pt idx="2">
                  <c:v>50.96</c:v>
                </c:pt>
                <c:pt idx="3">
                  <c:v>57.42</c:v>
                </c:pt>
                <c:pt idx="4">
                  <c:v>54.61</c:v>
                </c:pt>
                <c:pt idx="5">
                  <c:v>56.71</c:v>
                </c:pt>
              </c:numCache>
            </c:numRef>
          </c:val>
        </c:ser>
        <c:dLbls>
          <c:showLegendKey val="0"/>
          <c:showVal val="0"/>
          <c:showCatName val="0"/>
          <c:showSerName val="0"/>
          <c:showPercent val="0"/>
          <c:showBubbleSize val="0"/>
        </c:dLbls>
        <c:gapWidth val="86"/>
        <c:overlap val="100"/>
        <c:axId val="107649280"/>
        <c:axId val="152279680"/>
      </c:barChart>
      <c:catAx>
        <c:axId val="107649280"/>
        <c:scaling>
          <c:orientation val="minMax"/>
        </c:scaling>
        <c:delete val="0"/>
        <c:axPos val="l"/>
        <c:numFmt formatCode="General" sourceLinked="1"/>
        <c:majorTickMark val="out"/>
        <c:minorTickMark val="none"/>
        <c:tickLblPos val="nextTo"/>
        <c:crossAx val="152279680"/>
        <c:crosses val="autoZero"/>
        <c:auto val="1"/>
        <c:lblAlgn val="ctr"/>
        <c:lblOffset val="100"/>
        <c:noMultiLvlLbl val="0"/>
      </c:catAx>
      <c:valAx>
        <c:axId val="152279680"/>
        <c:scaling>
          <c:orientation val="minMax"/>
        </c:scaling>
        <c:delete val="0"/>
        <c:axPos val="b"/>
        <c:numFmt formatCode="General" sourceLinked="1"/>
        <c:majorTickMark val="out"/>
        <c:minorTickMark val="none"/>
        <c:tickLblPos val="nextTo"/>
        <c:crossAx val="107649280"/>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CİNSİYET!$H$55</c:f>
              <c:strCache>
                <c:ptCount val="1"/>
                <c:pt idx="0">
                  <c:v>erkek</c:v>
                </c:pt>
              </c:strCache>
            </c:strRef>
          </c:tx>
          <c:invertIfNegative val="0"/>
          <c:dLbls>
            <c:dLbl>
              <c:idx val="0"/>
              <c:tx>
                <c:rich>
                  <a:bodyPr/>
                  <a:lstStyle/>
                  <a:p>
                    <a:r>
                      <a:rPr lang="en-US"/>
                      <a:t>erkek; 81,1</a:t>
                    </a:r>
                  </a:p>
                </c:rich>
              </c:tx>
              <c:showLegendKey val="0"/>
              <c:showVal val="1"/>
              <c:showCatName val="0"/>
              <c:showSerName val="1"/>
              <c:showPercent val="0"/>
              <c:showBubbleSize val="0"/>
              <c:extLst>
                <c:ext xmlns:c15="http://schemas.microsoft.com/office/drawing/2012/chart" uri="{CE6537A1-D6FC-4f65-9D91-7224C49458BB}"/>
              </c:extLst>
            </c:dLbl>
            <c:dLbl>
              <c:idx val="1"/>
              <c:tx>
                <c:rich>
                  <a:bodyPr/>
                  <a:lstStyle/>
                  <a:p>
                    <a:r>
                      <a:rPr lang="en-US"/>
                      <a:t>erkek; 72,8</a:t>
                    </a:r>
                  </a:p>
                </c:rich>
              </c:tx>
              <c:showLegendKey val="0"/>
              <c:showVal val="1"/>
              <c:showCatName val="0"/>
              <c:showSerName val="1"/>
              <c:showPercent val="0"/>
              <c:showBubbleSize val="0"/>
              <c:extLst>
                <c:ext xmlns:c15="http://schemas.microsoft.com/office/drawing/2012/chart" uri="{CE6537A1-D6FC-4f65-9D91-7224C49458BB}"/>
              </c:extLst>
            </c:dLbl>
            <c:spPr>
              <a:noFill/>
              <a:ln>
                <a:noFill/>
              </a:ln>
              <a:effectLst/>
            </c:sp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CİNSİYET!$I$54:$J$54</c:f>
              <c:strCache>
                <c:ptCount val="2"/>
                <c:pt idx="0">
                  <c:v>1300TL ve üzerinde</c:v>
                </c:pt>
                <c:pt idx="1">
                  <c:v>1300 TL'nin altında</c:v>
                </c:pt>
              </c:strCache>
            </c:strRef>
          </c:cat>
          <c:val>
            <c:numRef>
              <c:f>CİNSİYET!$I$55:$J$55</c:f>
              <c:numCache>
                <c:formatCode>0.0</c:formatCode>
                <c:ptCount val="2"/>
                <c:pt idx="0">
                  <c:v>81.11</c:v>
                </c:pt>
                <c:pt idx="1">
                  <c:v>72.760000000000005</c:v>
                </c:pt>
              </c:numCache>
            </c:numRef>
          </c:val>
        </c:ser>
        <c:ser>
          <c:idx val="1"/>
          <c:order val="1"/>
          <c:tx>
            <c:strRef>
              <c:f>CİNSİYET!$H$56</c:f>
              <c:strCache>
                <c:ptCount val="1"/>
                <c:pt idx="0">
                  <c:v>kadın</c:v>
                </c:pt>
              </c:strCache>
            </c:strRef>
          </c:tx>
          <c:invertIfNegative val="0"/>
          <c:dLbls>
            <c:dLbl>
              <c:idx val="0"/>
              <c:tx>
                <c:rich>
                  <a:bodyPr/>
                  <a:lstStyle/>
                  <a:p>
                    <a:r>
                      <a:rPr lang="en-US"/>
                      <a:t>kadın; 18,9</a:t>
                    </a:r>
                  </a:p>
                </c:rich>
              </c:tx>
              <c:showLegendKey val="0"/>
              <c:showVal val="1"/>
              <c:showCatName val="0"/>
              <c:showSerName val="1"/>
              <c:showPercent val="0"/>
              <c:showBubbleSize val="0"/>
              <c:extLst>
                <c:ext xmlns:c15="http://schemas.microsoft.com/office/drawing/2012/chart" uri="{CE6537A1-D6FC-4f65-9D91-7224C49458BB}"/>
              </c:extLst>
            </c:dLbl>
            <c:dLbl>
              <c:idx val="1"/>
              <c:tx>
                <c:rich>
                  <a:bodyPr/>
                  <a:lstStyle/>
                  <a:p>
                    <a:r>
                      <a:rPr lang="en-US"/>
                      <a:t>kadın; 27,2</a:t>
                    </a:r>
                  </a:p>
                </c:rich>
              </c:tx>
              <c:showLegendKey val="0"/>
              <c:showVal val="1"/>
              <c:showCatName val="0"/>
              <c:showSerName val="1"/>
              <c:showPercent val="0"/>
              <c:showBubbleSize val="0"/>
              <c:extLst>
                <c:ext xmlns:c15="http://schemas.microsoft.com/office/drawing/2012/chart" uri="{CE6537A1-D6FC-4f65-9D91-7224C49458BB}"/>
              </c:extLst>
            </c:dLbl>
            <c:spPr>
              <a:noFill/>
              <a:ln>
                <a:noFill/>
              </a:ln>
              <a:effectLst/>
            </c:sp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CİNSİYET!$I$54:$J$54</c:f>
              <c:strCache>
                <c:ptCount val="2"/>
                <c:pt idx="0">
                  <c:v>1300TL ve üzerinde</c:v>
                </c:pt>
                <c:pt idx="1">
                  <c:v>1300 TL'nin altında</c:v>
                </c:pt>
              </c:strCache>
            </c:strRef>
          </c:cat>
          <c:val>
            <c:numRef>
              <c:f>CİNSİYET!$I$56:$J$56</c:f>
              <c:numCache>
                <c:formatCode>0.0</c:formatCode>
                <c:ptCount val="2"/>
                <c:pt idx="0">
                  <c:v>18.89</c:v>
                </c:pt>
                <c:pt idx="1">
                  <c:v>27.24</c:v>
                </c:pt>
              </c:numCache>
            </c:numRef>
          </c:val>
        </c:ser>
        <c:dLbls>
          <c:showLegendKey val="0"/>
          <c:showVal val="0"/>
          <c:showCatName val="0"/>
          <c:showSerName val="0"/>
          <c:showPercent val="0"/>
          <c:showBubbleSize val="0"/>
        </c:dLbls>
        <c:gapWidth val="55"/>
        <c:overlap val="100"/>
        <c:axId val="112853376"/>
        <c:axId val="112854912"/>
      </c:barChart>
      <c:catAx>
        <c:axId val="112853376"/>
        <c:scaling>
          <c:orientation val="minMax"/>
        </c:scaling>
        <c:delete val="0"/>
        <c:axPos val="l"/>
        <c:numFmt formatCode="#,##0.00" sourceLinked="0"/>
        <c:majorTickMark val="none"/>
        <c:minorTickMark val="none"/>
        <c:tickLblPos val="nextTo"/>
        <c:crossAx val="112854912"/>
        <c:crosses val="autoZero"/>
        <c:auto val="1"/>
        <c:lblAlgn val="ctr"/>
        <c:lblOffset val="100"/>
        <c:noMultiLvlLbl val="0"/>
      </c:catAx>
      <c:valAx>
        <c:axId val="112854912"/>
        <c:scaling>
          <c:orientation val="minMax"/>
          <c:max val="100"/>
        </c:scaling>
        <c:delete val="0"/>
        <c:axPos val="b"/>
        <c:title>
          <c:tx>
            <c:rich>
              <a:bodyPr/>
              <a:lstStyle/>
              <a:p>
                <a:pPr>
                  <a:defRPr/>
                </a:pPr>
                <a:r>
                  <a:rPr lang="tr-TR"/>
                  <a:t>%</a:t>
                </a:r>
              </a:p>
            </c:rich>
          </c:tx>
          <c:overlay val="0"/>
        </c:title>
        <c:numFmt formatCode="#,##0" sourceLinked="0"/>
        <c:majorTickMark val="none"/>
        <c:minorTickMark val="none"/>
        <c:tickLblPos val="nextTo"/>
        <c:crossAx val="112853376"/>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51CBDEA-04EB-4F8C-B793-042BDE9E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melike.kokkizil</dc:creator>
  <cp:lastModifiedBy>merve.akgul</cp:lastModifiedBy>
  <cp:revision>2</cp:revision>
  <cp:lastPrinted>2016-03-03T11:59:00Z</cp:lastPrinted>
  <dcterms:created xsi:type="dcterms:W3CDTF">2016-03-04T08:04:00Z</dcterms:created>
  <dcterms:modified xsi:type="dcterms:W3CDTF">2016-03-04T08:04:00Z</dcterms:modified>
</cp:coreProperties>
</file>