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BD3" w:rsidRPr="00F247C3" w:rsidRDefault="005E3ECE" w:rsidP="001E4BF5">
      <w:pPr>
        <w:spacing w:line="360" w:lineRule="auto"/>
        <w:ind w:right="-319"/>
        <w:jc w:val="center"/>
        <w:outlineLvl w:val="0"/>
        <w:rPr>
          <w:rFonts w:ascii="Arial" w:hAnsi="Arial" w:cs="Arial"/>
          <w:b/>
          <w:bCs/>
          <w:sz w:val="32"/>
          <w:szCs w:val="32"/>
        </w:rPr>
      </w:pPr>
      <w:bookmarkStart w:id="0" w:name="_GoBack"/>
      <w:bookmarkEnd w:id="0"/>
      <w:r>
        <w:rPr>
          <w:noProof/>
        </w:rPr>
        <w:drawing>
          <wp:anchor distT="0" distB="0" distL="114300" distR="114300" simplePos="0" relativeHeight="251658752" behindDoc="1" locked="0" layoutInCell="1" allowOverlap="1">
            <wp:simplePos x="0" y="0"/>
            <wp:positionH relativeFrom="column">
              <wp:posOffset>-785495</wp:posOffset>
            </wp:positionH>
            <wp:positionV relativeFrom="paragraph">
              <wp:posOffset>-809625</wp:posOffset>
            </wp:positionV>
            <wp:extent cx="7258050" cy="1390650"/>
            <wp:effectExtent l="19050" t="0" r="0" b="0"/>
            <wp:wrapNone/>
            <wp:docPr id="8" name="Picture 1" descr="Description: :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anner(TUR).jpg"/>
                    <pic:cNvPicPr>
                      <a:picLocks noChangeAspect="1" noChangeArrowheads="1"/>
                    </pic:cNvPicPr>
                  </pic:nvPicPr>
                  <pic:blipFill>
                    <a:blip r:embed="rId9"/>
                    <a:srcRect/>
                    <a:stretch>
                      <a:fillRect/>
                    </a:stretch>
                  </pic:blipFill>
                  <pic:spPr bwMode="auto">
                    <a:xfrm>
                      <a:off x="0" y="0"/>
                      <a:ext cx="7258050" cy="1390650"/>
                    </a:xfrm>
                    <a:prstGeom prst="rect">
                      <a:avLst/>
                    </a:prstGeom>
                    <a:noFill/>
                    <a:ln w="9525">
                      <a:noFill/>
                      <a:miter lim="800000"/>
                      <a:headEnd/>
                      <a:tailEnd/>
                    </a:ln>
                  </pic:spPr>
                </pic:pic>
              </a:graphicData>
            </a:graphic>
          </wp:anchor>
        </w:drawing>
      </w:r>
      <w:r w:rsidR="00EC74AD">
        <w:rPr>
          <w:noProof/>
        </w:rPr>
        <mc:AlternateContent>
          <mc:Choice Requires="wps">
            <w:drawing>
              <wp:anchor distT="0" distB="0" distL="114935" distR="114935" simplePos="0" relativeHeight="251663360" behindDoc="0" locked="0" layoutInCell="1" allowOverlap="1">
                <wp:simplePos x="0" y="0"/>
                <wp:positionH relativeFrom="column">
                  <wp:posOffset>1613535</wp:posOffset>
                </wp:positionH>
                <wp:positionV relativeFrom="paragraph">
                  <wp:posOffset>-653415</wp:posOffset>
                </wp:positionV>
                <wp:extent cx="4396740" cy="56896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740" cy="568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6E90" w:rsidRPr="0026114C" w:rsidRDefault="00C76E90" w:rsidP="00347B6F">
                            <w:pPr>
                              <w:pStyle w:val="Heading1"/>
                              <w:jc w:val="left"/>
                              <w:rPr>
                                <w:rFonts w:ascii="Times New Roman" w:hAnsi="Times New Roman"/>
                                <w:sz w:val="40"/>
                                <w:szCs w:val="40"/>
                              </w:rPr>
                            </w:pPr>
                            <w:r>
                              <w:rPr>
                                <w:rFonts w:ascii="Times New Roman" w:hAnsi="Times New Roman"/>
                                <w:sz w:val="40"/>
                                <w:szCs w:val="40"/>
                              </w:rPr>
                              <w:t xml:space="preserve">Ekonomik Görünüm ve Tahminler: </w:t>
                            </w:r>
                            <w:r>
                              <w:rPr>
                                <w:rFonts w:ascii="Times New Roman" w:hAnsi="Times New Roman"/>
                                <w:sz w:val="40"/>
                                <w:szCs w:val="40"/>
                              </w:rPr>
                              <w:tab/>
                            </w:r>
                            <w:r>
                              <w:rPr>
                                <w:rFonts w:ascii="Times New Roman" w:hAnsi="Times New Roman"/>
                                <w:sz w:val="40"/>
                                <w:szCs w:val="40"/>
                              </w:rPr>
                              <w:tab/>
                            </w:r>
                            <w:r>
                              <w:rPr>
                                <w:rFonts w:ascii="Times New Roman" w:hAnsi="Times New Roman"/>
                                <w:sz w:val="40"/>
                                <w:szCs w:val="40"/>
                              </w:rPr>
                              <w:tab/>
                            </w:r>
                            <w:r>
                              <w:rPr>
                                <w:rFonts w:ascii="Times New Roman" w:hAnsi="Times New Roman"/>
                                <w:sz w:val="40"/>
                                <w:szCs w:val="40"/>
                              </w:rPr>
                              <w:tab/>
                            </w:r>
                            <w:r w:rsidR="00886932">
                              <w:rPr>
                                <w:rFonts w:ascii="Times New Roman" w:hAnsi="Times New Roman"/>
                                <w:sz w:val="40"/>
                                <w:szCs w:val="40"/>
                              </w:rPr>
                              <w:t>Mart</w:t>
                            </w:r>
                            <w:r w:rsidR="00A13EC9">
                              <w:rPr>
                                <w:rFonts w:ascii="Times New Roman" w:hAnsi="Times New Roman"/>
                                <w:sz w:val="40"/>
                                <w:szCs w:val="40"/>
                              </w:rPr>
                              <w:t xml:space="preserve"> 2016</w:t>
                            </w:r>
                          </w:p>
                          <w:p w:rsidR="00C76E90" w:rsidRPr="00A75A46" w:rsidRDefault="00C76E90" w:rsidP="00E57928">
                            <w:pPr>
                              <w:pStyle w:val="Heading2"/>
                              <w:rPr>
                                <w:b w:val="0"/>
                                <w:bCs w:val="0"/>
                                <w:i w:val="0"/>
                                <w:iCs w:val="0"/>
                                <w:lang w:val="nl-N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7.05pt;margin-top:-51.45pt;width:346.2pt;height:44.8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" stroked="f">
                <v:fill opacity="0"/>
                <v:textbox inset="0,0,0,0">
                  <w:txbxContent>
                    <w:p w:rsidR="00C76E90" w:rsidRPr="0026114C" w:rsidRDefault="00C76E90" w:rsidP="00347B6F">
                      <w:pPr>
                        <w:pStyle w:val="Heading1"/>
                        <w:jc w:val="left"/>
                        <w:rPr>
                          <w:rFonts w:ascii="Times New Roman" w:hAnsi="Times New Roman"/>
                          <w:sz w:val="40"/>
                          <w:szCs w:val="40"/>
                        </w:rPr>
                      </w:pPr>
                      <w:r>
                        <w:rPr>
                          <w:rFonts w:ascii="Times New Roman" w:hAnsi="Times New Roman"/>
                          <w:sz w:val="40"/>
                          <w:szCs w:val="40"/>
                        </w:rPr>
                        <w:t xml:space="preserve">Ekonomik Görünüm ve Tahminler: </w:t>
                      </w:r>
                      <w:r>
                        <w:rPr>
                          <w:rFonts w:ascii="Times New Roman" w:hAnsi="Times New Roman"/>
                          <w:sz w:val="40"/>
                          <w:szCs w:val="40"/>
                        </w:rPr>
                        <w:tab/>
                      </w:r>
                      <w:r>
                        <w:rPr>
                          <w:rFonts w:ascii="Times New Roman" w:hAnsi="Times New Roman"/>
                          <w:sz w:val="40"/>
                          <w:szCs w:val="40"/>
                        </w:rPr>
                        <w:tab/>
                      </w:r>
                      <w:r>
                        <w:rPr>
                          <w:rFonts w:ascii="Times New Roman" w:hAnsi="Times New Roman"/>
                          <w:sz w:val="40"/>
                          <w:szCs w:val="40"/>
                        </w:rPr>
                        <w:tab/>
                      </w:r>
                      <w:r>
                        <w:rPr>
                          <w:rFonts w:ascii="Times New Roman" w:hAnsi="Times New Roman"/>
                          <w:sz w:val="40"/>
                          <w:szCs w:val="40"/>
                        </w:rPr>
                        <w:tab/>
                      </w:r>
                      <w:r w:rsidR="00886932">
                        <w:rPr>
                          <w:rFonts w:ascii="Times New Roman" w:hAnsi="Times New Roman"/>
                          <w:sz w:val="40"/>
                          <w:szCs w:val="40"/>
                        </w:rPr>
                        <w:t>Mart</w:t>
                      </w:r>
                      <w:r w:rsidR="00A13EC9">
                        <w:rPr>
                          <w:rFonts w:ascii="Times New Roman" w:hAnsi="Times New Roman"/>
                          <w:sz w:val="40"/>
                          <w:szCs w:val="40"/>
                        </w:rPr>
                        <w:t xml:space="preserve"> 2016</w:t>
                      </w:r>
                    </w:p>
                    <w:p w:rsidR="00C76E90" w:rsidRPr="00A75A46" w:rsidRDefault="00C76E90" w:rsidP="00E57928">
                      <w:pPr>
                        <w:pStyle w:val="Heading2"/>
                        <w:rPr>
                          <w:b w:val="0"/>
                          <w:bCs w:val="0"/>
                          <w:i w:val="0"/>
                          <w:iCs w:val="0"/>
                          <w:lang w:val="nl-NL"/>
                        </w:rPr>
                      </w:pPr>
                    </w:p>
                  </w:txbxContent>
                </v:textbox>
              </v:shape>
            </w:pict>
          </mc:Fallback>
        </mc:AlternateContent>
      </w:r>
    </w:p>
    <w:p w:rsidR="00054BD3" w:rsidRPr="00F247C3" w:rsidRDefault="00054BD3" w:rsidP="001E4BF5">
      <w:pPr>
        <w:spacing w:line="360" w:lineRule="auto"/>
        <w:ind w:right="-319"/>
        <w:jc w:val="center"/>
        <w:outlineLvl w:val="0"/>
        <w:rPr>
          <w:rFonts w:ascii="Arial" w:hAnsi="Arial" w:cs="Arial"/>
          <w:b/>
          <w:bCs/>
          <w:sz w:val="32"/>
          <w:szCs w:val="32"/>
        </w:rPr>
      </w:pPr>
    </w:p>
    <w:p w:rsidR="000F0372" w:rsidRPr="00F247C3" w:rsidRDefault="00864F55" w:rsidP="000F0372">
      <w:pPr>
        <w:ind w:right="-317"/>
        <w:jc w:val="center"/>
        <w:outlineLvl w:val="0"/>
        <w:rPr>
          <w:rFonts w:ascii="Arial" w:hAnsi="Arial" w:cs="Arial"/>
          <w:b/>
          <w:bCs/>
          <w:caps/>
          <w:sz w:val="28"/>
          <w:szCs w:val="28"/>
        </w:rPr>
      </w:pPr>
      <w:r w:rsidRPr="00864F55">
        <w:rPr>
          <w:rFonts w:ascii="Arial" w:hAnsi="Arial" w:cs="Arial"/>
          <w:b/>
          <w:bCs/>
          <w:caps/>
          <w:sz w:val="28"/>
          <w:szCs w:val="28"/>
        </w:rPr>
        <w:t>İLK</w:t>
      </w:r>
      <w:r w:rsidR="00143DE9" w:rsidRPr="00864F55">
        <w:rPr>
          <w:rFonts w:ascii="Arial" w:hAnsi="Arial" w:cs="Arial"/>
          <w:b/>
          <w:bCs/>
          <w:caps/>
          <w:sz w:val="28"/>
          <w:szCs w:val="28"/>
        </w:rPr>
        <w:t xml:space="preserve"> ÇEYREKTE BÜYÜME</w:t>
      </w:r>
      <w:r>
        <w:rPr>
          <w:rFonts w:ascii="Arial" w:hAnsi="Arial" w:cs="Arial"/>
          <w:b/>
          <w:bCs/>
          <w:caps/>
          <w:sz w:val="28"/>
          <w:szCs w:val="28"/>
        </w:rPr>
        <w:t>DE YAVAŞLAMA</w:t>
      </w:r>
    </w:p>
    <w:p w:rsidR="00EB408D" w:rsidRPr="00F247C3" w:rsidRDefault="00EB408D" w:rsidP="00EB408D">
      <w:pPr>
        <w:ind w:right="-317"/>
        <w:jc w:val="center"/>
        <w:outlineLvl w:val="0"/>
        <w:rPr>
          <w:rFonts w:ascii="Arial" w:hAnsi="Arial" w:cs="Arial"/>
          <w:b/>
          <w:bCs/>
          <w:caps/>
          <w:sz w:val="28"/>
          <w:szCs w:val="28"/>
        </w:rPr>
      </w:pPr>
    </w:p>
    <w:p w:rsidR="00EB408D" w:rsidRPr="00F247C3" w:rsidRDefault="00EC74AD" w:rsidP="00EB408D">
      <w:pPr>
        <w:ind w:right="-317"/>
        <w:jc w:val="center"/>
        <w:outlineLvl w:val="0"/>
        <w:rPr>
          <w:rFonts w:ascii="Arial" w:hAnsi="Arial" w:cs="Arial"/>
          <w:b/>
          <w:bCs/>
          <w:sz w:val="21"/>
          <w:szCs w:val="21"/>
          <w:vertAlign w:val="superscript"/>
        </w:rPr>
      </w:pPr>
      <w:r>
        <w:rPr>
          <w:rFonts w:ascii="Arial" w:hAnsi="Arial" w:cs="Arial"/>
          <w:b/>
          <w:bCs/>
          <w:noProof/>
          <w:sz w:val="21"/>
          <w:szCs w:val="21"/>
        </w:rPr>
        <mc:AlternateContent>
          <mc:Choice Requires="wps">
            <w:drawing>
              <wp:anchor distT="0" distB="0" distL="114935" distR="114935" simplePos="0" relativeHeight="251667456" behindDoc="0" locked="0" layoutInCell="1" allowOverlap="1">
                <wp:simplePos x="0" y="0"/>
                <wp:positionH relativeFrom="column">
                  <wp:posOffset>5159375</wp:posOffset>
                </wp:positionH>
                <wp:positionV relativeFrom="paragraph">
                  <wp:posOffset>-920115</wp:posOffset>
                </wp:positionV>
                <wp:extent cx="2187575" cy="34861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7575" cy="3486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3ECE" w:rsidRPr="00DB7229" w:rsidRDefault="005E3ECE" w:rsidP="005E3ECE">
                            <w:pPr>
                              <w:pStyle w:val="Heading3"/>
                              <w:rPr>
                                <w:color w:val="FFFFFF"/>
                                <w:sz w:val="22"/>
                                <w:szCs w:val="22"/>
                              </w:rPr>
                            </w:pPr>
                            <w:r>
                              <w:rPr>
                                <w:color w:val="FFFFFF"/>
                                <w:sz w:val="22"/>
                                <w:szCs w:val="22"/>
                              </w:rPr>
                              <w:t xml:space="preserve">   2</w:t>
                            </w:r>
                            <w:r w:rsidR="00886932">
                              <w:rPr>
                                <w:color w:val="FFFFFF"/>
                                <w:sz w:val="22"/>
                                <w:szCs w:val="22"/>
                              </w:rPr>
                              <w:t>5</w:t>
                            </w:r>
                            <w:r>
                              <w:rPr>
                                <w:color w:val="FFFFFF"/>
                                <w:sz w:val="22"/>
                                <w:szCs w:val="22"/>
                              </w:rPr>
                              <w:t xml:space="preserve"> </w:t>
                            </w:r>
                            <w:r w:rsidR="00886932">
                              <w:rPr>
                                <w:color w:val="FFFFFF"/>
                                <w:sz w:val="22"/>
                                <w:szCs w:val="22"/>
                              </w:rPr>
                              <w:t>Mart</w:t>
                            </w:r>
                            <w:r>
                              <w:rPr>
                                <w:color w:val="FFFFFF"/>
                                <w:sz w:val="22"/>
                                <w:szCs w:val="22"/>
                              </w:rPr>
                              <w:t xml:space="preserve"> 201</w:t>
                            </w:r>
                            <w:r w:rsidR="00886932">
                              <w:rPr>
                                <w:color w:val="FFFFFF"/>
                                <w:sz w:val="22"/>
                                <w:szCs w:val="22"/>
                              </w:rPr>
                              <w:t>6</w:t>
                            </w:r>
                          </w:p>
                          <w:p w:rsidR="005E3ECE" w:rsidRDefault="005E3ECE" w:rsidP="005E3EC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06.25pt;margin-top:-72.45pt;width:172.25pt;height:27.4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" stroked="f">
                <v:fill opacity="0"/>
                <v:textbox inset="0,0,0,0">
                  <w:txbxContent>
                    <w:p w:rsidR="005E3ECE" w:rsidRPr="00DB7229" w:rsidRDefault="005E3ECE" w:rsidP="005E3ECE">
                      <w:pPr>
                        <w:pStyle w:val="Heading3"/>
                        <w:rPr>
                          <w:color w:val="FFFFFF"/>
                          <w:sz w:val="22"/>
                          <w:szCs w:val="22"/>
                        </w:rPr>
                      </w:pPr>
                      <w:r>
                        <w:rPr>
                          <w:color w:val="FFFFFF"/>
                          <w:sz w:val="22"/>
                          <w:szCs w:val="22"/>
                        </w:rPr>
                        <w:t xml:space="preserve">   2</w:t>
                      </w:r>
                      <w:r w:rsidR="00886932">
                        <w:rPr>
                          <w:color w:val="FFFFFF"/>
                          <w:sz w:val="22"/>
                          <w:szCs w:val="22"/>
                        </w:rPr>
                        <w:t>5</w:t>
                      </w:r>
                      <w:r>
                        <w:rPr>
                          <w:color w:val="FFFFFF"/>
                          <w:sz w:val="22"/>
                          <w:szCs w:val="22"/>
                        </w:rPr>
                        <w:t xml:space="preserve"> </w:t>
                      </w:r>
                      <w:r w:rsidR="00886932">
                        <w:rPr>
                          <w:color w:val="FFFFFF"/>
                          <w:sz w:val="22"/>
                          <w:szCs w:val="22"/>
                        </w:rPr>
                        <w:t>Mart</w:t>
                      </w:r>
                      <w:r>
                        <w:rPr>
                          <w:color w:val="FFFFFF"/>
                          <w:sz w:val="22"/>
                          <w:szCs w:val="22"/>
                        </w:rPr>
                        <w:t xml:space="preserve"> 201</w:t>
                      </w:r>
                      <w:r w:rsidR="00886932">
                        <w:rPr>
                          <w:color w:val="FFFFFF"/>
                          <w:sz w:val="22"/>
                          <w:szCs w:val="22"/>
                        </w:rPr>
                        <w:t>6</w:t>
                      </w:r>
                    </w:p>
                    <w:p w:rsidR="005E3ECE" w:rsidRDefault="005E3ECE" w:rsidP="005E3ECE"/>
                  </w:txbxContent>
                </v:textbox>
              </v:shape>
            </w:pict>
          </mc:Fallback>
        </mc:AlternateContent>
      </w:r>
      <w:r w:rsidR="000F0372" w:rsidRPr="00F247C3">
        <w:rPr>
          <w:rFonts w:ascii="Arial" w:hAnsi="Arial" w:cs="Arial"/>
          <w:b/>
          <w:bCs/>
          <w:sz w:val="21"/>
          <w:szCs w:val="21"/>
        </w:rPr>
        <w:t>Seyfettin Gürsel*,</w:t>
      </w:r>
      <w:r w:rsidR="00EB408D" w:rsidRPr="00F247C3">
        <w:rPr>
          <w:rFonts w:ascii="Arial" w:hAnsi="Arial" w:cs="Arial"/>
          <w:b/>
          <w:bCs/>
          <w:sz w:val="21"/>
          <w:szCs w:val="21"/>
        </w:rPr>
        <w:t xml:space="preserve"> </w:t>
      </w:r>
      <w:r w:rsidR="000F0372" w:rsidRPr="00F247C3">
        <w:rPr>
          <w:rFonts w:ascii="Arial" w:hAnsi="Arial" w:cs="Arial"/>
          <w:b/>
          <w:bCs/>
          <w:sz w:val="21"/>
          <w:szCs w:val="21"/>
        </w:rPr>
        <w:t>Mine Durmaz</w:t>
      </w:r>
      <w:r w:rsidR="000F0372" w:rsidRPr="00F247C3">
        <w:rPr>
          <w:rFonts w:ascii="Arial" w:hAnsi="Arial" w:cs="Arial"/>
          <w:b/>
          <w:bCs/>
          <w:sz w:val="21"/>
          <w:szCs w:val="21"/>
          <w:vertAlign w:val="superscript"/>
        </w:rPr>
        <w:t>**</w:t>
      </w:r>
      <w:r w:rsidR="000F0372" w:rsidRPr="00F247C3">
        <w:rPr>
          <w:rFonts w:ascii="Arial" w:hAnsi="Arial" w:cs="Arial"/>
          <w:b/>
          <w:bCs/>
          <w:sz w:val="21"/>
          <w:szCs w:val="21"/>
        </w:rPr>
        <w:t>, Melike Kökkızıl***</w:t>
      </w:r>
    </w:p>
    <w:p w:rsidR="00EB408D" w:rsidRPr="00F247C3" w:rsidRDefault="00EB408D" w:rsidP="00EB408D">
      <w:pPr>
        <w:spacing w:line="360" w:lineRule="auto"/>
        <w:ind w:right="-319"/>
        <w:jc w:val="center"/>
        <w:outlineLvl w:val="0"/>
        <w:rPr>
          <w:rFonts w:ascii="Arial" w:hAnsi="Arial" w:cs="Arial"/>
          <w:sz w:val="22"/>
          <w:szCs w:val="22"/>
          <w:vertAlign w:val="superscript"/>
        </w:rPr>
      </w:pPr>
    </w:p>
    <w:p w:rsidR="00EB408D" w:rsidRPr="00F247C3" w:rsidRDefault="00EB408D" w:rsidP="00EB408D">
      <w:pPr>
        <w:spacing w:line="360" w:lineRule="auto"/>
        <w:ind w:right="-319"/>
        <w:jc w:val="center"/>
        <w:outlineLvl w:val="0"/>
        <w:rPr>
          <w:rFonts w:ascii="Arial" w:hAnsi="Arial" w:cs="Arial"/>
          <w:sz w:val="22"/>
          <w:szCs w:val="22"/>
          <w:vertAlign w:val="superscript"/>
        </w:rPr>
        <w:sectPr w:rsidR="00EB408D" w:rsidRPr="00F247C3" w:rsidSect="008651A8">
          <w:footerReference w:type="default" r:id="rId10"/>
          <w:type w:val="continuous"/>
          <w:pgSz w:w="11906" w:h="16838"/>
          <w:pgMar w:top="1417" w:right="1417" w:bottom="1417" w:left="1417" w:header="708" w:footer="708" w:gutter="0"/>
          <w:cols w:space="708"/>
          <w:docGrid w:linePitch="360"/>
        </w:sectPr>
      </w:pPr>
    </w:p>
    <w:p w:rsidR="00EB408D" w:rsidRDefault="00EB408D" w:rsidP="00EB408D">
      <w:pPr>
        <w:spacing w:line="360" w:lineRule="auto"/>
        <w:ind w:left="-360" w:right="42" w:firstLine="360"/>
        <w:jc w:val="center"/>
        <w:rPr>
          <w:b/>
          <w:bCs/>
          <w:sz w:val="22"/>
          <w:szCs w:val="22"/>
        </w:rPr>
      </w:pPr>
      <w:r w:rsidRPr="00C87594">
        <w:rPr>
          <w:b/>
          <w:bCs/>
          <w:sz w:val="22"/>
          <w:szCs w:val="22"/>
        </w:rPr>
        <w:lastRenderedPageBreak/>
        <w:t>Yönetici Özeti</w:t>
      </w:r>
    </w:p>
    <w:p w:rsidR="00693E0B" w:rsidRPr="00693E0B" w:rsidRDefault="00693E0B" w:rsidP="00EB408D">
      <w:pPr>
        <w:spacing w:line="360" w:lineRule="auto"/>
        <w:ind w:left="-360" w:right="42" w:firstLine="360"/>
        <w:jc w:val="center"/>
        <w:rPr>
          <w:b/>
          <w:bCs/>
          <w:sz w:val="22"/>
          <w:szCs w:val="22"/>
        </w:rPr>
      </w:pPr>
    </w:p>
    <w:p w:rsidR="00693E0B" w:rsidRDefault="007B6C34" w:rsidP="00AC66B2">
      <w:pPr>
        <w:spacing w:line="360" w:lineRule="auto"/>
        <w:ind w:left="-360" w:right="40"/>
        <w:jc w:val="both"/>
        <w:rPr>
          <w:sz w:val="22"/>
          <w:szCs w:val="22"/>
        </w:rPr>
      </w:pPr>
      <w:r>
        <w:rPr>
          <w:sz w:val="22"/>
          <w:szCs w:val="22"/>
        </w:rPr>
        <w:t>Bu ayki Ekonomik G</w:t>
      </w:r>
      <w:r w:rsidR="00935194" w:rsidRPr="00AC66B2">
        <w:rPr>
          <w:sz w:val="22"/>
          <w:szCs w:val="22"/>
        </w:rPr>
        <w:t xml:space="preserve">örünüm notunda </w:t>
      </w:r>
      <w:r w:rsidR="00C87594" w:rsidRPr="00AC66B2">
        <w:rPr>
          <w:sz w:val="22"/>
          <w:szCs w:val="22"/>
        </w:rPr>
        <w:t xml:space="preserve">2015 </w:t>
      </w:r>
      <w:r w:rsidR="001D39B6" w:rsidRPr="00AC66B2">
        <w:rPr>
          <w:sz w:val="22"/>
          <w:szCs w:val="22"/>
        </w:rPr>
        <w:t>Aralık ayı verileri</w:t>
      </w:r>
      <w:r w:rsidR="00935194" w:rsidRPr="00AC66B2">
        <w:rPr>
          <w:sz w:val="22"/>
          <w:szCs w:val="22"/>
        </w:rPr>
        <w:t>nin tama</w:t>
      </w:r>
      <w:r>
        <w:rPr>
          <w:sz w:val="22"/>
          <w:szCs w:val="22"/>
        </w:rPr>
        <w:t>mlanmasıyla birlikte 2015 4.ç</w:t>
      </w:r>
      <w:r w:rsidR="00935194" w:rsidRPr="00AC66B2">
        <w:rPr>
          <w:sz w:val="22"/>
          <w:szCs w:val="22"/>
        </w:rPr>
        <w:t>eyrek nihai</w:t>
      </w:r>
      <w:r w:rsidR="001D39B6" w:rsidRPr="00AC66B2">
        <w:rPr>
          <w:sz w:val="22"/>
          <w:szCs w:val="22"/>
        </w:rPr>
        <w:t xml:space="preserve"> GSYH</w:t>
      </w:r>
      <w:r>
        <w:rPr>
          <w:sz w:val="22"/>
          <w:szCs w:val="22"/>
        </w:rPr>
        <w:t xml:space="preserve"> tahminimiz ile 2016 1.ç</w:t>
      </w:r>
      <w:r w:rsidR="00935194" w:rsidRPr="00AC66B2">
        <w:rPr>
          <w:sz w:val="22"/>
          <w:szCs w:val="22"/>
        </w:rPr>
        <w:t xml:space="preserve">eyrek ilk tahminimizi birlikte sunuyoruz. </w:t>
      </w:r>
      <w:r w:rsidR="001D39B6" w:rsidRPr="00AC66B2">
        <w:rPr>
          <w:sz w:val="22"/>
          <w:szCs w:val="22"/>
        </w:rPr>
        <w:t xml:space="preserve"> 2015 son çeyrek tahminimizi </w:t>
      </w:r>
      <w:r w:rsidR="00935194" w:rsidRPr="00AC66B2">
        <w:rPr>
          <w:sz w:val="22"/>
          <w:szCs w:val="22"/>
        </w:rPr>
        <w:t>sanayi üretimi</w:t>
      </w:r>
      <w:r w:rsidR="00AC66B2">
        <w:rPr>
          <w:sz w:val="22"/>
          <w:szCs w:val="22"/>
        </w:rPr>
        <w:t>ndeki</w:t>
      </w:r>
      <w:r>
        <w:rPr>
          <w:sz w:val="22"/>
          <w:szCs w:val="22"/>
        </w:rPr>
        <w:t xml:space="preserve"> artış nedeniyle </w:t>
      </w:r>
      <w:r w:rsidR="001D39B6" w:rsidRPr="00AC66B2">
        <w:rPr>
          <w:sz w:val="22"/>
          <w:szCs w:val="22"/>
        </w:rPr>
        <w:t>yüzde 0,6</w:t>
      </w:r>
      <w:r w:rsidR="00F205E8" w:rsidRPr="00AC66B2">
        <w:rPr>
          <w:sz w:val="22"/>
          <w:szCs w:val="22"/>
        </w:rPr>
        <w:t xml:space="preserve">’dan </w:t>
      </w:r>
      <w:r>
        <w:rPr>
          <w:sz w:val="22"/>
          <w:szCs w:val="22"/>
        </w:rPr>
        <w:t xml:space="preserve">yüzde </w:t>
      </w:r>
      <w:r w:rsidR="00F205E8" w:rsidRPr="00AC66B2">
        <w:rPr>
          <w:sz w:val="22"/>
          <w:szCs w:val="22"/>
        </w:rPr>
        <w:t>0,8’e revize ediyoruz.</w:t>
      </w:r>
      <w:r w:rsidR="001D39B6" w:rsidRPr="00AC66B2">
        <w:rPr>
          <w:sz w:val="22"/>
          <w:szCs w:val="22"/>
        </w:rPr>
        <w:t xml:space="preserve"> </w:t>
      </w:r>
      <w:r w:rsidR="00F205E8" w:rsidRPr="00AC66B2">
        <w:rPr>
          <w:sz w:val="22"/>
          <w:szCs w:val="22"/>
        </w:rPr>
        <w:t>İlk üç çeyrekteki GSYH gerçekleşmeleri ve 4.çeyrek büyüme tahmini dikkate alındığında 2014’ten 2015’e GSYH büyüme oranını</w:t>
      </w:r>
      <w:r w:rsidR="00AC66B2">
        <w:rPr>
          <w:sz w:val="22"/>
          <w:szCs w:val="22"/>
        </w:rPr>
        <w:t>n</w:t>
      </w:r>
      <w:r w:rsidR="00F205E8" w:rsidRPr="00AC66B2">
        <w:rPr>
          <w:sz w:val="22"/>
          <w:szCs w:val="22"/>
        </w:rPr>
        <w:t xml:space="preserve"> yüzde 4’ün biraz üzerinde gelmesini bekliyoruz. Cari açık/ GSYH oranını ise 2015 yılını yüzde 4,5</w:t>
      </w:r>
      <w:r w:rsidR="0064070D">
        <w:rPr>
          <w:sz w:val="22"/>
          <w:szCs w:val="22"/>
        </w:rPr>
        <w:t xml:space="preserve"> dü</w:t>
      </w:r>
      <w:r w:rsidR="00F205E8" w:rsidRPr="00AC66B2">
        <w:rPr>
          <w:sz w:val="22"/>
          <w:szCs w:val="22"/>
        </w:rPr>
        <w:t>zeyinde kapatacağını tahmin ediyoruz.</w:t>
      </w:r>
    </w:p>
    <w:p w:rsidR="00693E0B" w:rsidRPr="00AC66B2" w:rsidRDefault="00693E0B" w:rsidP="00AC66B2">
      <w:pPr>
        <w:spacing w:line="360" w:lineRule="auto"/>
        <w:ind w:left="-360" w:right="40"/>
        <w:jc w:val="both"/>
        <w:rPr>
          <w:sz w:val="22"/>
          <w:szCs w:val="22"/>
        </w:rPr>
      </w:pPr>
    </w:p>
    <w:p w:rsidR="00FB0FBD" w:rsidRDefault="007B6C34" w:rsidP="00693E0B">
      <w:pPr>
        <w:spacing w:line="360" w:lineRule="auto"/>
        <w:ind w:left="-360" w:right="40"/>
        <w:jc w:val="both"/>
        <w:rPr>
          <w:sz w:val="22"/>
          <w:szCs w:val="22"/>
        </w:rPr>
      </w:pPr>
      <w:r>
        <w:rPr>
          <w:sz w:val="22"/>
          <w:szCs w:val="22"/>
        </w:rPr>
        <w:t>2016 1.ç</w:t>
      </w:r>
      <w:r w:rsidR="00AC66B2" w:rsidRPr="005459C3">
        <w:rPr>
          <w:sz w:val="22"/>
          <w:szCs w:val="22"/>
        </w:rPr>
        <w:t xml:space="preserve">eyrekte </w:t>
      </w:r>
      <w:r w:rsidR="00C87594" w:rsidRPr="005459C3">
        <w:rPr>
          <w:sz w:val="22"/>
          <w:szCs w:val="22"/>
        </w:rPr>
        <w:t>GSYH</w:t>
      </w:r>
      <w:r w:rsidR="00E95987" w:rsidRPr="005459C3">
        <w:rPr>
          <w:sz w:val="22"/>
          <w:szCs w:val="22"/>
        </w:rPr>
        <w:t xml:space="preserve"> </w:t>
      </w:r>
      <w:r w:rsidR="00D9364A" w:rsidRPr="005459C3">
        <w:rPr>
          <w:sz w:val="22"/>
          <w:szCs w:val="22"/>
        </w:rPr>
        <w:t>art</w:t>
      </w:r>
      <w:r>
        <w:rPr>
          <w:sz w:val="22"/>
          <w:szCs w:val="22"/>
        </w:rPr>
        <w:t>ı</w:t>
      </w:r>
      <w:r w:rsidR="00D9364A" w:rsidRPr="005459C3">
        <w:rPr>
          <w:sz w:val="22"/>
          <w:szCs w:val="22"/>
        </w:rPr>
        <w:t xml:space="preserve">şının çeyreklik bazda yüzde 0,5 olarak tahmin ediyoruz. Yıllık büyümenin ise baz etkisi nedeniyle yüzde 2,3’e gerileyeceğini tahmin ediyoruz. Ocak </w:t>
      </w:r>
      <w:r w:rsidR="008107EB">
        <w:rPr>
          <w:sz w:val="22"/>
          <w:szCs w:val="22"/>
        </w:rPr>
        <w:t xml:space="preserve">ve </w:t>
      </w:r>
      <w:r w:rsidR="00D9364A" w:rsidRPr="005459C3">
        <w:rPr>
          <w:sz w:val="22"/>
          <w:szCs w:val="22"/>
        </w:rPr>
        <w:t xml:space="preserve">kısmen de Şubat </w:t>
      </w:r>
      <w:r w:rsidR="00EF1E51">
        <w:rPr>
          <w:sz w:val="22"/>
          <w:szCs w:val="22"/>
        </w:rPr>
        <w:t xml:space="preserve">ayı </w:t>
      </w:r>
      <w:r w:rsidR="00D9364A" w:rsidRPr="005459C3">
        <w:rPr>
          <w:sz w:val="22"/>
          <w:szCs w:val="22"/>
        </w:rPr>
        <w:t>öncü göstergeleri tüketim</w:t>
      </w:r>
      <w:r w:rsidR="001B4435">
        <w:rPr>
          <w:sz w:val="22"/>
          <w:szCs w:val="22"/>
        </w:rPr>
        <w:t xml:space="preserve"> artışının zayıfladığına</w:t>
      </w:r>
      <w:r w:rsidR="00EF1E51">
        <w:rPr>
          <w:sz w:val="22"/>
          <w:szCs w:val="22"/>
        </w:rPr>
        <w:t>,</w:t>
      </w:r>
      <w:r w:rsidR="00D9364A" w:rsidRPr="005459C3">
        <w:rPr>
          <w:sz w:val="22"/>
          <w:szCs w:val="22"/>
        </w:rPr>
        <w:t xml:space="preserve">  yatırı</w:t>
      </w:r>
      <w:r w:rsidR="00EF1E51">
        <w:rPr>
          <w:sz w:val="22"/>
          <w:szCs w:val="22"/>
        </w:rPr>
        <w:t>m</w:t>
      </w:r>
      <w:r w:rsidR="00D9364A" w:rsidRPr="005459C3">
        <w:rPr>
          <w:sz w:val="22"/>
          <w:szCs w:val="22"/>
        </w:rPr>
        <w:t>larda ise göreli durgunluğun devam ettiğine işaret ediyor. Net ihracatın büyüme katkısının sınırlı ölçüde negatif olduğu</w:t>
      </w:r>
      <w:r w:rsidR="008107EB">
        <w:rPr>
          <w:sz w:val="22"/>
          <w:szCs w:val="22"/>
        </w:rPr>
        <w:t>,</w:t>
      </w:r>
      <w:r w:rsidR="00D9364A" w:rsidRPr="005459C3">
        <w:rPr>
          <w:sz w:val="22"/>
          <w:szCs w:val="22"/>
        </w:rPr>
        <w:t xml:space="preserve"> kamu harcamalarının ise büyümeye poztif katkı yaptığı görül</w:t>
      </w:r>
      <w:r w:rsidR="001B4435">
        <w:rPr>
          <w:sz w:val="22"/>
          <w:szCs w:val="22"/>
        </w:rPr>
        <w:t>üyor</w:t>
      </w:r>
      <w:r w:rsidR="00D9364A" w:rsidRPr="005459C3">
        <w:rPr>
          <w:sz w:val="22"/>
          <w:szCs w:val="22"/>
        </w:rPr>
        <w:t xml:space="preserve">. </w:t>
      </w:r>
      <w:r w:rsidR="00BD2DFB">
        <w:rPr>
          <w:sz w:val="22"/>
          <w:szCs w:val="22"/>
        </w:rPr>
        <w:t>Cari açık / GSYH oranının ilk çeyrekte düşmeye devam etmesini bekliyoruz.</w:t>
      </w:r>
      <w:r w:rsidR="00693E0B">
        <w:rPr>
          <w:sz w:val="22"/>
          <w:szCs w:val="22"/>
        </w:rPr>
        <w:t xml:space="preserve"> </w:t>
      </w:r>
    </w:p>
    <w:p w:rsidR="00EB408D" w:rsidRPr="00F247C3" w:rsidRDefault="00EC74AD" w:rsidP="00EB408D">
      <w:pPr>
        <w:spacing w:line="288" w:lineRule="auto"/>
        <w:ind w:right="-318"/>
        <w:jc w:val="both"/>
        <w:rPr>
          <w:rFonts w:ascii="Arial" w:hAnsi="Arial" w:cs="Arial"/>
          <w:sz w:val="16"/>
          <w:szCs w:val="16"/>
        </w:rPr>
      </w:pPr>
      <w:r>
        <w:rPr>
          <w:noProof/>
        </w:rPr>
        <mc:AlternateContent>
          <mc:Choice Requires="wps">
            <w:drawing>
              <wp:anchor distT="0" distB="0" distL="114300" distR="114300" simplePos="0" relativeHeight="251666432" behindDoc="0" locked="0" layoutInCell="1" allowOverlap="1">
                <wp:simplePos x="0" y="0"/>
                <wp:positionH relativeFrom="column">
                  <wp:posOffset>-219075</wp:posOffset>
                </wp:positionH>
                <wp:positionV relativeFrom="paragraph">
                  <wp:posOffset>67945</wp:posOffset>
                </wp:positionV>
                <wp:extent cx="2514600" cy="635"/>
                <wp:effectExtent l="0" t="0" r="19050" b="3746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5.35pt" to="180.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"/>
            </w:pict>
          </mc:Fallback>
        </mc:AlternateContent>
      </w:r>
      <w:r>
        <w:rPr>
          <w:rFonts w:ascii="Arial" w:hAnsi="Arial" w:cs="Arial"/>
          <w:noProof/>
          <w:sz w:val="16"/>
          <w:szCs w:val="16"/>
        </w:rPr>
        <mc:AlternateContent>
          <mc:Choice Requires="wpc">
            <w:drawing>
              <wp:inline distT="0" distB="0" distL="0" distR="0">
                <wp:extent cx="2514600" cy="45720"/>
                <wp:effectExtent l="0" t="0" r="0" b="0"/>
                <wp:docPr id="4" name="Canvas 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9" o:spid="_x0000_s1026" editas="canvas" style="width:198pt;height:3.6pt;mso-position-horizontal-relative:char;mso-position-vertical-relative:line" coordsize="25146,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146;height:457;visibility:visible;mso-wrap-style:square">
                  <v:fill o:detectmouseclick="t"/>
                  <v:path o:connecttype="none"/>
                </v:shape>
                <w10:anchorlock/>
              </v:group>
            </w:pict>
          </mc:Fallback>
        </mc:AlternateContent>
      </w:r>
    </w:p>
    <w:p w:rsidR="00EB408D" w:rsidRPr="00F247C3" w:rsidRDefault="00EB408D" w:rsidP="00EB408D">
      <w:pPr>
        <w:spacing w:line="288" w:lineRule="auto"/>
        <w:ind w:left="-360" w:right="-318"/>
        <w:jc w:val="both"/>
        <w:rPr>
          <w:sz w:val="16"/>
          <w:szCs w:val="16"/>
        </w:rPr>
      </w:pPr>
      <w:r w:rsidRPr="00F247C3">
        <w:rPr>
          <w:sz w:val="16"/>
          <w:szCs w:val="16"/>
        </w:rPr>
        <w:t xml:space="preserve">* </w:t>
      </w:r>
      <w:r w:rsidR="000F0372" w:rsidRPr="00F247C3">
        <w:rPr>
          <w:sz w:val="16"/>
          <w:szCs w:val="16"/>
        </w:rPr>
        <w:t xml:space="preserve">Prof. Dr. Seyfettin Gürsel, Betam Direktörü, </w:t>
      </w:r>
    </w:p>
    <w:p w:rsidR="00EB408D" w:rsidRPr="00F247C3" w:rsidRDefault="00286387" w:rsidP="00EB408D">
      <w:pPr>
        <w:spacing w:line="288" w:lineRule="auto"/>
        <w:ind w:left="-360" w:right="-318"/>
        <w:jc w:val="both"/>
        <w:rPr>
          <w:rStyle w:val="Hyperlink"/>
          <w:color w:val="auto"/>
        </w:rPr>
      </w:pPr>
      <w:hyperlink r:id="rId11" w:history="1">
        <w:r w:rsidR="000F0372" w:rsidRPr="00F247C3">
          <w:rPr>
            <w:rStyle w:val="Hyperlink"/>
            <w:color w:val="auto"/>
            <w:sz w:val="16"/>
            <w:szCs w:val="16"/>
          </w:rPr>
          <w:t>seyfettin.gursel</w:t>
        </w:r>
        <w:r w:rsidR="00EB408D" w:rsidRPr="00F247C3">
          <w:rPr>
            <w:rStyle w:val="Hyperlink"/>
            <w:color w:val="auto"/>
            <w:sz w:val="16"/>
            <w:szCs w:val="16"/>
          </w:rPr>
          <w:t>@eas.bahcesehir.edu.tr</w:t>
        </w:r>
      </w:hyperlink>
    </w:p>
    <w:p w:rsidR="00EB408D" w:rsidRPr="00F247C3" w:rsidRDefault="00EB408D" w:rsidP="00EB408D">
      <w:pPr>
        <w:spacing w:line="288" w:lineRule="auto"/>
        <w:ind w:left="-360" w:right="-318"/>
        <w:jc w:val="both"/>
        <w:rPr>
          <w:sz w:val="16"/>
          <w:szCs w:val="16"/>
        </w:rPr>
      </w:pPr>
      <w:r w:rsidRPr="00F247C3">
        <w:rPr>
          <w:sz w:val="16"/>
          <w:szCs w:val="16"/>
        </w:rPr>
        <w:t xml:space="preserve">** </w:t>
      </w:r>
      <w:r w:rsidR="000F0372" w:rsidRPr="00F247C3">
        <w:rPr>
          <w:sz w:val="16"/>
          <w:szCs w:val="16"/>
        </w:rPr>
        <w:t>Mine Durmaz</w:t>
      </w:r>
      <w:r w:rsidRPr="00F247C3">
        <w:rPr>
          <w:sz w:val="16"/>
          <w:szCs w:val="16"/>
        </w:rPr>
        <w:t>, Betam, Araştırma Görevlisi</w:t>
      </w:r>
    </w:p>
    <w:p w:rsidR="00EB408D" w:rsidRPr="00F247C3" w:rsidRDefault="00286387" w:rsidP="00EB408D">
      <w:pPr>
        <w:ind w:left="-360"/>
      </w:pPr>
      <w:hyperlink r:id="rId12" w:history="1">
        <w:r w:rsidR="000F0372" w:rsidRPr="00F247C3">
          <w:rPr>
            <w:rStyle w:val="Hyperlink"/>
            <w:color w:val="auto"/>
            <w:sz w:val="16"/>
            <w:szCs w:val="16"/>
          </w:rPr>
          <w:t>mine.durmaz</w:t>
        </w:r>
        <w:r w:rsidR="00EB408D" w:rsidRPr="00F247C3">
          <w:rPr>
            <w:rStyle w:val="Hyperlink"/>
            <w:color w:val="auto"/>
            <w:sz w:val="16"/>
            <w:szCs w:val="16"/>
          </w:rPr>
          <w:t>@eas.bahcesehir.edu.tr</w:t>
        </w:r>
      </w:hyperlink>
    </w:p>
    <w:p w:rsidR="00F43211" w:rsidRPr="00F247C3" w:rsidRDefault="00F43211" w:rsidP="00EB408D">
      <w:pPr>
        <w:ind w:left="-360"/>
        <w:rPr>
          <w:sz w:val="16"/>
          <w:szCs w:val="16"/>
        </w:rPr>
      </w:pPr>
      <w:r w:rsidRPr="00F247C3">
        <w:rPr>
          <w:sz w:val="16"/>
          <w:szCs w:val="16"/>
        </w:rPr>
        <w:t>***Melike Kökkızıl, Betam, Araştırma Görevlisi</w:t>
      </w:r>
    </w:p>
    <w:p w:rsidR="00EB408D" w:rsidRPr="00F247C3" w:rsidRDefault="00286387" w:rsidP="00B161B7">
      <w:pPr>
        <w:ind w:left="-360"/>
        <w:rPr>
          <w:sz w:val="16"/>
          <w:szCs w:val="16"/>
        </w:rPr>
      </w:pPr>
      <w:hyperlink r:id="rId13" w:history="1">
        <w:r w:rsidR="00F43211" w:rsidRPr="00F247C3">
          <w:rPr>
            <w:rStyle w:val="Hyperlink"/>
            <w:color w:val="auto"/>
            <w:sz w:val="16"/>
            <w:szCs w:val="16"/>
          </w:rPr>
          <w:t>melike.kokkızıl@eas.bahcsehir.edu.tr</w:t>
        </w:r>
      </w:hyperlink>
    </w:p>
    <w:p w:rsidR="00FB0FBD" w:rsidRPr="00F247C3" w:rsidRDefault="00FB0FBD" w:rsidP="000B100E">
      <w:pPr>
        <w:spacing w:line="360" w:lineRule="auto"/>
        <w:ind w:left="-360" w:right="40"/>
        <w:jc w:val="both"/>
        <w:rPr>
          <w:sz w:val="22"/>
          <w:szCs w:val="22"/>
        </w:rPr>
      </w:pPr>
    </w:p>
    <w:p w:rsidR="00FB0FBD" w:rsidRPr="00F247C3" w:rsidRDefault="00EB408D" w:rsidP="00EB408D">
      <w:pPr>
        <w:outlineLvl w:val="0"/>
        <w:rPr>
          <w:b/>
          <w:bCs/>
          <w:sz w:val="22"/>
          <w:szCs w:val="22"/>
        </w:rPr>
      </w:pPr>
      <w:r w:rsidRPr="00F247C3">
        <w:rPr>
          <w:b/>
          <w:bCs/>
          <w:sz w:val="22"/>
          <w:szCs w:val="22"/>
        </w:rPr>
        <w:lastRenderedPageBreak/>
        <w:t>Tablo 1. Betam’ın GSYH ve Cari Açık Tahminleri</w:t>
      </w:r>
    </w:p>
    <w:tbl>
      <w:tblPr>
        <w:tblpPr w:leftFromText="141" w:rightFromText="141" w:vertAnchor="text" w:horzAnchor="margin" w:tblpXSpec="right" w:tblpY="129"/>
        <w:tblW w:w="4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0"/>
        <w:gridCol w:w="1276"/>
        <w:gridCol w:w="1152"/>
      </w:tblGrid>
      <w:tr w:rsidR="00D13DB7" w:rsidRPr="00F247C3" w:rsidTr="00EF4AF8">
        <w:trPr>
          <w:trHeight w:val="842"/>
        </w:trPr>
        <w:tc>
          <w:tcPr>
            <w:tcW w:w="2240" w:type="dxa"/>
            <w:tcMar>
              <w:left w:w="28" w:type="dxa"/>
              <w:right w:w="28" w:type="dxa"/>
            </w:tcMar>
            <w:vAlign w:val="center"/>
          </w:tcPr>
          <w:p w:rsidR="00D13DB7" w:rsidRPr="00F247C3" w:rsidRDefault="00D13DB7" w:rsidP="001763E1">
            <w:pPr>
              <w:ind w:right="42"/>
              <w:jc w:val="center"/>
              <w:rPr>
                <w:sz w:val="20"/>
                <w:szCs w:val="20"/>
              </w:rPr>
            </w:pPr>
          </w:p>
        </w:tc>
        <w:tc>
          <w:tcPr>
            <w:tcW w:w="1276" w:type="dxa"/>
            <w:vAlign w:val="center"/>
          </w:tcPr>
          <w:p w:rsidR="00D13DB7" w:rsidRPr="00F247C3" w:rsidRDefault="00D13DB7" w:rsidP="001763E1">
            <w:pPr>
              <w:ind w:right="40"/>
              <w:jc w:val="center"/>
              <w:rPr>
                <w:b/>
                <w:bCs/>
                <w:sz w:val="20"/>
                <w:szCs w:val="20"/>
              </w:rPr>
            </w:pPr>
            <w:r w:rsidRPr="00F247C3">
              <w:rPr>
                <w:b/>
                <w:bCs/>
                <w:sz w:val="20"/>
                <w:szCs w:val="20"/>
              </w:rPr>
              <w:t>2015</w:t>
            </w:r>
          </w:p>
          <w:p w:rsidR="00D13DB7" w:rsidRPr="00F247C3" w:rsidRDefault="00D13DB7" w:rsidP="001763E1">
            <w:pPr>
              <w:ind w:right="40"/>
              <w:jc w:val="center"/>
              <w:rPr>
                <w:b/>
                <w:bCs/>
                <w:sz w:val="20"/>
                <w:szCs w:val="20"/>
              </w:rPr>
            </w:pPr>
            <w:r w:rsidRPr="00F247C3">
              <w:rPr>
                <w:b/>
                <w:bCs/>
                <w:sz w:val="20"/>
                <w:szCs w:val="20"/>
              </w:rPr>
              <w:t>4. Çeyrek</w:t>
            </w:r>
          </w:p>
          <w:p w:rsidR="00D13DB7" w:rsidRPr="00F247C3" w:rsidRDefault="00D13DB7" w:rsidP="001763E1">
            <w:pPr>
              <w:ind w:right="40"/>
              <w:jc w:val="center"/>
              <w:rPr>
                <w:b/>
                <w:bCs/>
                <w:sz w:val="20"/>
                <w:szCs w:val="20"/>
              </w:rPr>
            </w:pPr>
            <w:r w:rsidRPr="00F247C3">
              <w:rPr>
                <w:b/>
                <w:bCs/>
                <w:sz w:val="20"/>
                <w:szCs w:val="20"/>
              </w:rPr>
              <w:t>Tahmin</w:t>
            </w:r>
          </w:p>
          <w:p w:rsidR="00D13DB7" w:rsidRPr="00F247C3" w:rsidRDefault="00D13DB7" w:rsidP="001763E1">
            <w:pPr>
              <w:ind w:right="40"/>
              <w:jc w:val="center"/>
              <w:rPr>
                <w:b/>
                <w:bCs/>
                <w:sz w:val="20"/>
                <w:szCs w:val="20"/>
              </w:rPr>
            </w:pPr>
            <w:r w:rsidRPr="00F247C3">
              <w:rPr>
                <w:b/>
                <w:bCs/>
                <w:sz w:val="20"/>
                <w:szCs w:val="20"/>
              </w:rPr>
              <w:t>(%)</w:t>
            </w:r>
          </w:p>
        </w:tc>
        <w:tc>
          <w:tcPr>
            <w:tcW w:w="1152" w:type="dxa"/>
          </w:tcPr>
          <w:p w:rsidR="00D13DB7" w:rsidRDefault="00D13DB7" w:rsidP="001763E1">
            <w:pPr>
              <w:ind w:right="40"/>
              <w:jc w:val="center"/>
              <w:rPr>
                <w:b/>
                <w:bCs/>
                <w:sz w:val="20"/>
                <w:szCs w:val="20"/>
              </w:rPr>
            </w:pPr>
            <w:r>
              <w:rPr>
                <w:b/>
                <w:bCs/>
                <w:sz w:val="20"/>
                <w:szCs w:val="20"/>
              </w:rPr>
              <w:t>2016 1.Çeyrek Tahmin</w:t>
            </w:r>
          </w:p>
          <w:p w:rsidR="00D13DB7" w:rsidRPr="00F247C3" w:rsidRDefault="00D13DB7" w:rsidP="001763E1">
            <w:pPr>
              <w:ind w:right="40"/>
              <w:jc w:val="center"/>
              <w:rPr>
                <w:b/>
                <w:bCs/>
                <w:sz w:val="20"/>
                <w:szCs w:val="20"/>
              </w:rPr>
            </w:pPr>
            <w:r>
              <w:rPr>
                <w:b/>
                <w:bCs/>
                <w:sz w:val="20"/>
                <w:szCs w:val="20"/>
              </w:rPr>
              <w:t xml:space="preserve"> (%)</w:t>
            </w:r>
          </w:p>
        </w:tc>
      </w:tr>
      <w:tr w:rsidR="00D13DB7" w:rsidRPr="00F247C3" w:rsidTr="00EF4AF8">
        <w:trPr>
          <w:trHeight w:val="659"/>
        </w:trPr>
        <w:tc>
          <w:tcPr>
            <w:tcW w:w="2240" w:type="dxa"/>
            <w:tcMar>
              <w:left w:w="28" w:type="dxa"/>
              <w:right w:w="28" w:type="dxa"/>
            </w:tcMar>
            <w:vAlign w:val="center"/>
          </w:tcPr>
          <w:p w:rsidR="00D13DB7" w:rsidRPr="00F247C3" w:rsidRDefault="00D13DB7" w:rsidP="001763E1">
            <w:pPr>
              <w:ind w:right="42"/>
              <w:rPr>
                <w:sz w:val="20"/>
                <w:szCs w:val="20"/>
              </w:rPr>
            </w:pPr>
            <w:r w:rsidRPr="00F247C3">
              <w:rPr>
                <w:sz w:val="20"/>
                <w:szCs w:val="20"/>
              </w:rPr>
              <w:t>GSYH büyüme, reel</w:t>
            </w:r>
          </w:p>
          <w:p w:rsidR="00D13DB7" w:rsidRPr="00F247C3" w:rsidRDefault="00D13DB7" w:rsidP="001763E1">
            <w:pPr>
              <w:ind w:right="42"/>
              <w:rPr>
                <w:sz w:val="20"/>
                <w:szCs w:val="20"/>
              </w:rPr>
            </w:pPr>
            <w:r w:rsidRPr="00F247C3">
              <w:rPr>
                <w:sz w:val="20"/>
                <w:szCs w:val="20"/>
              </w:rPr>
              <w:t>(bir önceki çeyreğe göre, mea*)</w:t>
            </w:r>
          </w:p>
        </w:tc>
        <w:tc>
          <w:tcPr>
            <w:tcW w:w="1276" w:type="dxa"/>
            <w:vAlign w:val="center"/>
          </w:tcPr>
          <w:p w:rsidR="00D13DB7" w:rsidRPr="00F247C3" w:rsidRDefault="00F81C11" w:rsidP="00991315">
            <w:pPr>
              <w:ind w:right="42"/>
              <w:jc w:val="center"/>
              <w:rPr>
                <w:sz w:val="20"/>
                <w:szCs w:val="20"/>
              </w:rPr>
            </w:pPr>
            <w:r>
              <w:rPr>
                <w:sz w:val="20"/>
                <w:szCs w:val="20"/>
              </w:rPr>
              <w:t>0,8</w:t>
            </w:r>
          </w:p>
        </w:tc>
        <w:tc>
          <w:tcPr>
            <w:tcW w:w="1152" w:type="dxa"/>
          </w:tcPr>
          <w:p w:rsidR="00D13DB7" w:rsidRDefault="00D13DB7" w:rsidP="00991315">
            <w:pPr>
              <w:ind w:right="42"/>
              <w:jc w:val="center"/>
              <w:rPr>
                <w:sz w:val="20"/>
                <w:szCs w:val="20"/>
              </w:rPr>
            </w:pPr>
          </w:p>
          <w:p w:rsidR="00F81C11" w:rsidRPr="00F247C3" w:rsidRDefault="00F81C11" w:rsidP="00991315">
            <w:pPr>
              <w:ind w:right="42"/>
              <w:jc w:val="center"/>
              <w:rPr>
                <w:sz w:val="20"/>
                <w:szCs w:val="20"/>
              </w:rPr>
            </w:pPr>
            <w:r>
              <w:rPr>
                <w:sz w:val="20"/>
                <w:szCs w:val="20"/>
              </w:rPr>
              <w:t>0,5</w:t>
            </w:r>
          </w:p>
        </w:tc>
      </w:tr>
      <w:tr w:rsidR="00D13DB7" w:rsidRPr="00F247C3" w:rsidTr="00F81C11">
        <w:trPr>
          <w:trHeight w:val="498"/>
        </w:trPr>
        <w:tc>
          <w:tcPr>
            <w:tcW w:w="2240" w:type="dxa"/>
            <w:tcMar>
              <w:left w:w="28" w:type="dxa"/>
              <w:right w:w="28" w:type="dxa"/>
            </w:tcMar>
            <w:vAlign w:val="center"/>
          </w:tcPr>
          <w:p w:rsidR="00D13DB7" w:rsidRPr="00F247C3" w:rsidRDefault="00D13DB7" w:rsidP="004D609D">
            <w:pPr>
              <w:ind w:right="40"/>
              <w:rPr>
                <w:sz w:val="20"/>
                <w:szCs w:val="20"/>
              </w:rPr>
            </w:pPr>
            <w:r w:rsidRPr="00F247C3">
              <w:rPr>
                <w:sz w:val="20"/>
                <w:szCs w:val="20"/>
              </w:rPr>
              <w:t xml:space="preserve">Cari açık </w:t>
            </w:r>
            <w:r>
              <w:rPr>
                <w:sz w:val="20"/>
                <w:szCs w:val="20"/>
              </w:rPr>
              <w:t xml:space="preserve">/ GSYH </w:t>
            </w:r>
            <w:r w:rsidRPr="00F247C3">
              <w:rPr>
                <w:sz w:val="20"/>
                <w:szCs w:val="20"/>
              </w:rPr>
              <w:t>(yıllık)</w:t>
            </w:r>
          </w:p>
        </w:tc>
        <w:tc>
          <w:tcPr>
            <w:tcW w:w="1276" w:type="dxa"/>
            <w:vAlign w:val="center"/>
          </w:tcPr>
          <w:p w:rsidR="00D13DB7" w:rsidRPr="00F247C3" w:rsidRDefault="00F81C11" w:rsidP="00F81C11">
            <w:pPr>
              <w:ind w:right="40"/>
              <w:jc w:val="center"/>
              <w:rPr>
                <w:sz w:val="20"/>
                <w:szCs w:val="20"/>
              </w:rPr>
            </w:pPr>
            <w:r>
              <w:rPr>
                <w:sz w:val="20"/>
                <w:szCs w:val="20"/>
              </w:rPr>
              <w:t>4,5</w:t>
            </w:r>
          </w:p>
        </w:tc>
        <w:tc>
          <w:tcPr>
            <w:tcW w:w="1152" w:type="dxa"/>
            <w:vAlign w:val="center"/>
          </w:tcPr>
          <w:p w:rsidR="00F81C11" w:rsidRDefault="00F81C11" w:rsidP="00F81C11">
            <w:pPr>
              <w:ind w:right="40"/>
              <w:jc w:val="center"/>
              <w:rPr>
                <w:sz w:val="20"/>
                <w:szCs w:val="20"/>
              </w:rPr>
            </w:pPr>
            <w:r>
              <w:rPr>
                <w:sz w:val="20"/>
                <w:szCs w:val="20"/>
              </w:rPr>
              <w:t>4,0</w:t>
            </w:r>
          </w:p>
        </w:tc>
      </w:tr>
      <w:tr w:rsidR="00D13DB7" w:rsidRPr="00F247C3" w:rsidTr="00F81C11">
        <w:trPr>
          <w:trHeight w:val="498"/>
        </w:trPr>
        <w:tc>
          <w:tcPr>
            <w:tcW w:w="2240" w:type="dxa"/>
            <w:tcMar>
              <w:left w:w="28" w:type="dxa"/>
              <w:right w:w="28" w:type="dxa"/>
            </w:tcMar>
            <w:vAlign w:val="center"/>
          </w:tcPr>
          <w:p w:rsidR="00D13DB7" w:rsidRPr="00F247C3" w:rsidRDefault="00D13DB7" w:rsidP="00390F9C">
            <w:pPr>
              <w:ind w:right="40"/>
              <w:rPr>
                <w:sz w:val="20"/>
                <w:szCs w:val="20"/>
              </w:rPr>
            </w:pPr>
            <w:r w:rsidRPr="00F247C3">
              <w:rPr>
                <w:sz w:val="20"/>
                <w:szCs w:val="20"/>
              </w:rPr>
              <w:t>Altın hariç cari açık</w:t>
            </w:r>
            <w:r>
              <w:rPr>
                <w:sz w:val="20"/>
                <w:szCs w:val="20"/>
              </w:rPr>
              <w:t xml:space="preserve"> / GSYH </w:t>
            </w:r>
            <w:r w:rsidRPr="00F247C3">
              <w:rPr>
                <w:sz w:val="20"/>
                <w:szCs w:val="20"/>
              </w:rPr>
              <w:t>(yıllık)</w:t>
            </w:r>
          </w:p>
        </w:tc>
        <w:tc>
          <w:tcPr>
            <w:tcW w:w="1276" w:type="dxa"/>
            <w:vAlign w:val="center"/>
          </w:tcPr>
          <w:p w:rsidR="00D13DB7" w:rsidRPr="00F247C3" w:rsidRDefault="00F81C11" w:rsidP="00F81C11">
            <w:pPr>
              <w:ind w:right="40"/>
              <w:jc w:val="center"/>
              <w:rPr>
                <w:sz w:val="20"/>
                <w:szCs w:val="20"/>
              </w:rPr>
            </w:pPr>
            <w:r>
              <w:rPr>
                <w:sz w:val="20"/>
                <w:szCs w:val="20"/>
              </w:rPr>
              <w:t>5,2</w:t>
            </w:r>
          </w:p>
        </w:tc>
        <w:tc>
          <w:tcPr>
            <w:tcW w:w="1152" w:type="dxa"/>
            <w:vAlign w:val="center"/>
          </w:tcPr>
          <w:p w:rsidR="00D13DB7" w:rsidRDefault="00F81C11" w:rsidP="00F81C11">
            <w:pPr>
              <w:ind w:right="40"/>
              <w:jc w:val="center"/>
              <w:rPr>
                <w:sz w:val="20"/>
                <w:szCs w:val="20"/>
              </w:rPr>
            </w:pPr>
            <w:r>
              <w:rPr>
                <w:sz w:val="20"/>
                <w:szCs w:val="20"/>
              </w:rPr>
              <w:t>4,3</w:t>
            </w:r>
          </w:p>
        </w:tc>
      </w:tr>
    </w:tbl>
    <w:p w:rsidR="00EB408D" w:rsidRPr="00F247C3" w:rsidRDefault="00EB408D" w:rsidP="00EB408D">
      <w:pPr>
        <w:ind w:left="-360" w:right="40"/>
        <w:rPr>
          <w:sz w:val="4"/>
          <w:szCs w:val="4"/>
        </w:rPr>
      </w:pPr>
    </w:p>
    <w:p w:rsidR="00EB408D" w:rsidRPr="00444109" w:rsidRDefault="00EB408D" w:rsidP="00EB408D">
      <w:pPr>
        <w:ind w:left="-360" w:right="40"/>
        <w:rPr>
          <w:sz w:val="18"/>
          <w:szCs w:val="18"/>
        </w:rPr>
      </w:pPr>
      <w:r w:rsidRPr="00444109">
        <w:rPr>
          <w:sz w:val="18"/>
          <w:szCs w:val="18"/>
        </w:rPr>
        <w:t xml:space="preserve">Kaynak: Betam. *mea: mevsim ve takvim etkilerinden </w:t>
      </w:r>
      <w:r w:rsidR="00F43211" w:rsidRPr="00444109">
        <w:rPr>
          <w:sz w:val="18"/>
          <w:szCs w:val="18"/>
        </w:rPr>
        <w:t>arındırılmış.</w:t>
      </w:r>
    </w:p>
    <w:p w:rsidR="00F43211" w:rsidRPr="00444109" w:rsidRDefault="00F43211" w:rsidP="00EB408D">
      <w:pPr>
        <w:spacing w:line="360" w:lineRule="auto"/>
        <w:ind w:left="-360" w:right="42"/>
        <w:jc w:val="center"/>
        <w:rPr>
          <w:b/>
          <w:sz w:val="22"/>
          <w:szCs w:val="22"/>
          <w:highlight w:val="yellow"/>
        </w:rPr>
      </w:pPr>
    </w:p>
    <w:p w:rsidR="00F43211" w:rsidRPr="005870AA" w:rsidRDefault="00F43211" w:rsidP="00F43211">
      <w:pPr>
        <w:spacing w:line="360" w:lineRule="auto"/>
        <w:ind w:left="-360" w:right="42"/>
        <w:jc w:val="center"/>
        <w:rPr>
          <w:b/>
          <w:sz w:val="22"/>
          <w:szCs w:val="22"/>
        </w:rPr>
      </w:pPr>
      <w:r w:rsidRPr="00C3138C">
        <w:rPr>
          <w:b/>
          <w:sz w:val="22"/>
          <w:szCs w:val="22"/>
        </w:rPr>
        <w:t>Sanayi üretimi</w:t>
      </w:r>
      <w:r w:rsidR="002A17E5" w:rsidRPr="00C3138C">
        <w:rPr>
          <w:b/>
          <w:sz w:val="22"/>
          <w:szCs w:val="22"/>
        </w:rPr>
        <w:t xml:space="preserve">nde </w:t>
      </w:r>
      <w:r w:rsidR="002F10BD" w:rsidRPr="00C3138C">
        <w:rPr>
          <w:b/>
          <w:sz w:val="22"/>
          <w:szCs w:val="22"/>
        </w:rPr>
        <w:t>artış</w:t>
      </w:r>
    </w:p>
    <w:p w:rsidR="00F43211" w:rsidRPr="00B77AD2" w:rsidRDefault="00F43211" w:rsidP="00F43211">
      <w:pPr>
        <w:spacing w:line="360" w:lineRule="auto"/>
        <w:ind w:left="-360" w:right="42"/>
        <w:jc w:val="center"/>
        <w:rPr>
          <w:b/>
          <w:color w:val="7030A0"/>
          <w:sz w:val="22"/>
          <w:szCs w:val="22"/>
        </w:rPr>
      </w:pPr>
    </w:p>
    <w:p w:rsidR="00DA21FB" w:rsidRDefault="00C3138C" w:rsidP="003E3D21">
      <w:pPr>
        <w:spacing w:line="360" w:lineRule="auto"/>
        <w:ind w:left="-360" w:right="42"/>
        <w:jc w:val="both"/>
        <w:rPr>
          <w:color w:val="7030A0"/>
          <w:sz w:val="22"/>
          <w:szCs w:val="22"/>
        </w:rPr>
      </w:pPr>
      <w:r>
        <w:rPr>
          <w:sz w:val="22"/>
          <w:szCs w:val="22"/>
        </w:rPr>
        <w:t>Aralık</w:t>
      </w:r>
      <w:r w:rsidR="00FE7315">
        <w:rPr>
          <w:sz w:val="22"/>
          <w:szCs w:val="22"/>
        </w:rPr>
        <w:t xml:space="preserve"> ayındaki yüzde 0,8’lik </w:t>
      </w:r>
      <w:r w:rsidR="005A4EAB">
        <w:rPr>
          <w:sz w:val="22"/>
          <w:szCs w:val="22"/>
        </w:rPr>
        <w:t>artşın</w:t>
      </w:r>
      <w:r w:rsidR="00FE7315">
        <w:rPr>
          <w:sz w:val="22"/>
          <w:szCs w:val="22"/>
        </w:rPr>
        <w:t xml:space="preserve"> ardından </w:t>
      </w:r>
      <w:r w:rsidR="00546B72" w:rsidRPr="00DA21FB">
        <w:rPr>
          <w:sz w:val="22"/>
          <w:szCs w:val="22"/>
        </w:rPr>
        <w:t xml:space="preserve">Sanayi Üretim Endeksi (SÜE) </w:t>
      </w:r>
      <w:r>
        <w:rPr>
          <w:sz w:val="22"/>
          <w:szCs w:val="22"/>
        </w:rPr>
        <w:t>Ocak</w:t>
      </w:r>
      <w:r w:rsidR="00FE7315">
        <w:rPr>
          <w:sz w:val="22"/>
          <w:szCs w:val="22"/>
        </w:rPr>
        <w:t xml:space="preserve"> </w:t>
      </w:r>
      <w:r>
        <w:rPr>
          <w:sz w:val="22"/>
          <w:szCs w:val="22"/>
        </w:rPr>
        <w:t>2016'da</w:t>
      </w:r>
      <w:r w:rsidR="00FE7315">
        <w:rPr>
          <w:sz w:val="22"/>
          <w:szCs w:val="22"/>
        </w:rPr>
        <w:t xml:space="preserve"> </w:t>
      </w:r>
      <w:r w:rsidR="00BF4EEB">
        <w:rPr>
          <w:sz w:val="22"/>
          <w:szCs w:val="22"/>
        </w:rPr>
        <w:t xml:space="preserve">da </w:t>
      </w:r>
      <w:r>
        <w:rPr>
          <w:sz w:val="22"/>
          <w:szCs w:val="22"/>
        </w:rPr>
        <w:t>artışını sürdürdü ve yüzde 1,0</w:t>
      </w:r>
      <w:r w:rsidR="00546B72" w:rsidRPr="00DA21FB">
        <w:rPr>
          <w:sz w:val="22"/>
          <w:szCs w:val="22"/>
        </w:rPr>
        <w:t xml:space="preserve"> oranında </w:t>
      </w:r>
      <w:r w:rsidR="00CB5BA5" w:rsidRPr="00DA21FB">
        <w:rPr>
          <w:sz w:val="22"/>
          <w:szCs w:val="22"/>
        </w:rPr>
        <w:t>a</w:t>
      </w:r>
      <w:r w:rsidR="00FE7315">
        <w:rPr>
          <w:sz w:val="22"/>
          <w:szCs w:val="22"/>
        </w:rPr>
        <w:t>rttı</w:t>
      </w:r>
      <w:r w:rsidR="00F147DF">
        <w:rPr>
          <w:sz w:val="22"/>
          <w:szCs w:val="22"/>
        </w:rPr>
        <w:t xml:space="preserve"> </w:t>
      </w:r>
      <w:r w:rsidR="00546B72" w:rsidRPr="00DA21FB">
        <w:rPr>
          <w:sz w:val="22"/>
          <w:szCs w:val="22"/>
        </w:rPr>
        <w:t xml:space="preserve"> (Tablo 2).</w:t>
      </w:r>
      <w:r w:rsidR="00546B72" w:rsidRPr="00B77AD2">
        <w:rPr>
          <w:color w:val="7030A0"/>
          <w:sz w:val="22"/>
          <w:szCs w:val="22"/>
        </w:rPr>
        <w:t xml:space="preserve"> </w:t>
      </w:r>
      <w:r w:rsidR="00546B72" w:rsidRPr="00DA21FB">
        <w:rPr>
          <w:sz w:val="22"/>
          <w:szCs w:val="22"/>
        </w:rPr>
        <w:t xml:space="preserve">Aynı dönemde </w:t>
      </w:r>
      <w:r w:rsidR="003E4681">
        <w:rPr>
          <w:sz w:val="22"/>
          <w:szCs w:val="22"/>
        </w:rPr>
        <w:t xml:space="preserve">ara malı üretimi ve dayanıksız tüketim malı imalatı sırasıyla yüzde 0,9 ve yüzde 4,3 oranında artış gösterdi. </w:t>
      </w:r>
      <w:r w:rsidR="00DA21FB" w:rsidRPr="00DA21FB">
        <w:rPr>
          <w:sz w:val="22"/>
          <w:szCs w:val="22"/>
        </w:rPr>
        <w:t>Yatırım malı imalat</w:t>
      </w:r>
      <w:r w:rsidR="003E4681">
        <w:rPr>
          <w:sz w:val="22"/>
          <w:szCs w:val="22"/>
        </w:rPr>
        <w:t>ı ile dayanıklı tüketim malı imalatında</w:t>
      </w:r>
      <w:r w:rsidR="00DA21FB" w:rsidRPr="00DA21FB">
        <w:rPr>
          <w:sz w:val="22"/>
          <w:szCs w:val="22"/>
        </w:rPr>
        <w:t xml:space="preserve"> ise </w:t>
      </w:r>
      <w:r w:rsidR="003E4681">
        <w:rPr>
          <w:sz w:val="22"/>
          <w:szCs w:val="22"/>
        </w:rPr>
        <w:t xml:space="preserve">sırasıyla </w:t>
      </w:r>
      <w:r w:rsidR="00DA21FB" w:rsidRPr="00DA21FB">
        <w:rPr>
          <w:sz w:val="22"/>
          <w:szCs w:val="22"/>
        </w:rPr>
        <w:t>yüzde 0,</w:t>
      </w:r>
      <w:r w:rsidR="003E4681">
        <w:rPr>
          <w:sz w:val="22"/>
          <w:szCs w:val="22"/>
        </w:rPr>
        <w:t>4 ve yüzde 3,4</w:t>
      </w:r>
      <w:r w:rsidR="00FE7315">
        <w:rPr>
          <w:sz w:val="22"/>
          <w:szCs w:val="22"/>
        </w:rPr>
        <w:t xml:space="preserve"> </w:t>
      </w:r>
      <w:r w:rsidR="00DA21FB" w:rsidRPr="00DA21FB">
        <w:rPr>
          <w:sz w:val="22"/>
          <w:szCs w:val="22"/>
        </w:rPr>
        <w:t xml:space="preserve">oranında </w:t>
      </w:r>
      <w:r w:rsidR="003E4681">
        <w:rPr>
          <w:sz w:val="22"/>
          <w:szCs w:val="22"/>
        </w:rPr>
        <w:t>düşüş</w:t>
      </w:r>
      <w:r w:rsidR="00DA21FB" w:rsidRPr="00DA21FB">
        <w:rPr>
          <w:sz w:val="22"/>
          <w:szCs w:val="22"/>
        </w:rPr>
        <w:t xml:space="preserve"> gözlemlendi. </w:t>
      </w:r>
    </w:p>
    <w:p w:rsidR="00DA21FB" w:rsidRDefault="00DA21FB" w:rsidP="003E3D21">
      <w:pPr>
        <w:spacing w:line="360" w:lineRule="auto"/>
        <w:ind w:left="-360" w:right="42"/>
        <w:jc w:val="both"/>
        <w:rPr>
          <w:color w:val="7030A0"/>
          <w:sz w:val="22"/>
          <w:szCs w:val="22"/>
        </w:rPr>
      </w:pPr>
    </w:p>
    <w:p w:rsidR="00BA3A88" w:rsidRPr="00DA21FB" w:rsidRDefault="00BA3A88" w:rsidP="00BA3A88">
      <w:pPr>
        <w:spacing w:line="360" w:lineRule="auto"/>
        <w:ind w:left="-360" w:right="42"/>
        <w:jc w:val="center"/>
        <w:rPr>
          <w:b/>
          <w:bCs/>
          <w:sz w:val="22"/>
          <w:szCs w:val="22"/>
        </w:rPr>
      </w:pPr>
      <w:r w:rsidRPr="005C0E02">
        <w:rPr>
          <w:b/>
          <w:bCs/>
          <w:sz w:val="22"/>
          <w:szCs w:val="22"/>
        </w:rPr>
        <w:t xml:space="preserve">Özel tüketimde </w:t>
      </w:r>
      <w:r w:rsidR="00E337E7">
        <w:rPr>
          <w:b/>
          <w:bCs/>
          <w:sz w:val="22"/>
          <w:szCs w:val="22"/>
        </w:rPr>
        <w:t>zayıflama</w:t>
      </w:r>
    </w:p>
    <w:p w:rsidR="00BA3A88" w:rsidRPr="00B77AD2" w:rsidRDefault="00BA3A88" w:rsidP="00BA3A88">
      <w:pPr>
        <w:spacing w:line="360" w:lineRule="auto"/>
        <w:ind w:left="-360" w:right="42"/>
        <w:jc w:val="center"/>
        <w:rPr>
          <w:b/>
          <w:bCs/>
          <w:color w:val="7030A0"/>
          <w:sz w:val="22"/>
          <w:szCs w:val="22"/>
        </w:rPr>
      </w:pPr>
    </w:p>
    <w:p w:rsidR="00BA3A88" w:rsidRPr="002A5EBF" w:rsidRDefault="00143D50" w:rsidP="00E337E7">
      <w:pPr>
        <w:spacing w:line="360" w:lineRule="auto"/>
        <w:ind w:left="-360" w:right="42"/>
        <w:jc w:val="both"/>
        <w:rPr>
          <w:sz w:val="22"/>
          <w:szCs w:val="22"/>
        </w:rPr>
      </w:pPr>
      <w:r>
        <w:rPr>
          <w:sz w:val="22"/>
          <w:szCs w:val="22"/>
        </w:rPr>
        <w:t>Ocak</w:t>
      </w:r>
      <w:r w:rsidR="00BA3A88" w:rsidRPr="003161A5">
        <w:rPr>
          <w:sz w:val="22"/>
          <w:szCs w:val="22"/>
        </w:rPr>
        <w:t xml:space="preserve"> ayında bir önceki aya göre tüketim malı ithalatı ve dayanıklı tüketim malı imalatı sırasıyla</w:t>
      </w:r>
      <w:r w:rsidR="003161A5">
        <w:rPr>
          <w:sz w:val="22"/>
          <w:szCs w:val="22"/>
        </w:rPr>
        <w:t xml:space="preserve"> </w:t>
      </w:r>
      <w:r w:rsidR="00BA3A88" w:rsidRPr="003161A5">
        <w:rPr>
          <w:sz w:val="22"/>
          <w:szCs w:val="22"/>
        </w:rPr>
        <w:t xml:space="preserve">yüzde </w:t>
      </w:r>
      <w:r w:rsidR="00006C4D">
        <w:rPr>
          <w:sz w:val="22"/>
          <w:szCs w:val="22"/>
        </w:rPr>
        <w:t>1,9</w:t>
      </w:r>
      <w:r w:rsidR="00BA3A88" w:rsidRPr="003161A5">
        <w:rPr>
          <w:sz w:val="22"/>
          <w:szCs w:val="22"/>
        </w:rPr>
        <w:t xml:space="preserve"> ve yüzde </w:t>
      </w:r>
      <w:r w:rsidR="00006C4D">
        <w:rPr>
          <w:sz w:val="22"/>
          <w:szCs w:val="22"/>
        </w:rPr>
        <w:t>3,4</w:t>
      </w:r>
      <w:r w:rsidR="00BA3A88" w:rsidRPr="003161A5">
        <w:rPr>
          <w:sz w:val="22"/>
          <w:szCs w:val="22"/>
        </w:rPr>
        <w:t xml:space="preserve"> </w:t>
      </w:r>
      <w:r w:rsidR="00006C4D">
        <w:rPr>
          <w:sz w:val="22"/>
          <w:szCs w:val="22"/>
        </w:rPr>
        <w:t>azalırken</w:t>
      </w:r>
      <w:r w:rsidR="00BA3A88" w:rsidRPr="003161A5">
        <w:rPr>
          <w:sz w:val="22"/>
          <w:szCs w:val="22"/>
        </w:rPr>
        <w:t xml:space="preserve">, dayanıksız tüketim malı imalatı </w:t>
      </w:r>
      <w:r w:rsidR="009438E7">
        <w:rPr>
          <w:sz w:val="22"/>
          <w:szCs w:val="22"/>
        </w:rPr>
        <w:t>aynı dönemde yüzde 4,</w:t>
      </w:r>
      <w:r w:rsidR="00B842F0">
        <w:rPr>
          <w:sz w:val="22"/>
          <w:szCs w:val="22"/>
        </w:rPr>
        <w:t xml:space="preserve">3 oranında artış gösterdi </w:t>
      </w:r>
      <w:r w:rsidR="00BA3A88" w:rsidRPr="003161A5">
        <w:rPr>
          <w:sz w:val="22"/>
          <w:szCs w:val="22"/>
        </w:rPr>
        <w:t xml:space="preserve">(Tablo 2). </w:t>
      </w:r>
      <w:r w:rsidR="00745DD1">
        <w:rPr>
          <w:sz w:val="22"/>
          <w:szCs w:val="22"/>
        </w:rPr>
        <w:t xml:space="preserve">Seçim sonrasında yüksek artışın ardından gerileme </w:t>
      </w:r>
      <w:r w:rsidR="00745DD1">
        <w:rPr>
          <w:sz w:val="22"/>
          <w:szCs w:val="22"/>
        </w:rPr>
        <w:lastRenderedPageBreak/>
        <w:t>gösteren T</w:t>
      </w:r>
      <w:r w:rsidR="00B842F0">
        <w:rPr>
          <w:sz w:val="22"/>
          <w:szCs w:val="22"/>
        </w:rPr>
        <w:t>üketici G</w:t>
      </w:r>
      <w:r w:rsidR="00BA3A88" w:rsidRPr="003161A5">
        <w:rPr>
          <w:sz w:val="22"/>
          <w:szCs w:val="22"/>
        </w:rPr>
        <w:t xml:space="preserve">üven </w:t>
      </w:r>
      <w:r w:rsidR="00B842F0">
        <w:rPr>
          <w:sz w:val="22"/>
          <w:szCs w:val="22"/>
        </w:rPr>
        <w:t>E</w:t>
      </w:r>
      <w:r w:rsidR="00BA3A88" w:rsidRPr="003161A5">
        <w:rPr>
          <w:sz w:val="22"/>
          <w:szCs w:val="22"/>
        </w:rPr>
        <w:t xml:space="preserve">ndeksi </w:t>
      </w:r>
      <w:r w:rsidR="00745DD1">
        <w:rPr>
          <w:sz w:val="22"/>
          <w:szCs w:val="22"/>
        </w:rPr>
        <w:t>Ocak</w:t>
      </w:r>
      <w:r w:rsidR="00BA3A88" w:rsidRPr="003161A5">
        <w:rPr>
          <w:sz w:val="22"/>
          <w:szCs w:val="22"/>
        </w:rPr>
        <w:t xml:space="preserve"> </w:t>
      </w:r>
      <w:r w:rsidR="00745DD1">
        <w:rPr>
          <w:sz w:val="22"/>
          <w:szCs w:val="22"/>
        </w:rPr>
        <w:t xml:space="preserve">ve Şubat </w:t>
      </w:r>
      <w:r w:rsidR="00BA3A88" w:rsidRPr="003161A5">
        <w:rPr>
          <w:sz w:val="22"/>
          <w:szCs w:val="22"/>
        </w:rPr>
        <w:t>ay</w:t>
      </w:r>
      <w:r w:rsidR="00745DD1">
        <w:rPr>
          <w:sz w:val="22"/>
          <w:szCs w:val="22"/>
        </w:rPr>
        <w:t xml:space="preserve">larında sırasıyla </w:t>
      </w:r>
      <w:r w:rsidR="00BA3A88" w:rsidRPr="003161A5">
        <w:rPr>
          <w:sz w:val="22"/>
          <w:szCs w:val="22"/>
        </w:rPr>
        <w:t xml:space="preserve">yüzde </w:t>
      </w:r>
      <w:r w:rsidR="00745DD1">
        <w:rPr>
          <w:sz w:val="22"/>
          <w:szCs w:val="22"/>
        </w:rPr>
        <w:t xml:space="preserve">3,0 ve </w:t>
      </w:r>
      <w:r w:rsidR="00B842F0">
        <w:rPr>
          <w:sz w:val="22"/>
          <w:szCs w:val="22"/>
        </w:rPr>
        <w:t xml:space="preserve">yüzde </w:t>
      </w:r>
      <w:r w:rsidR="00745DD1">
        <w:rPr>
          <w:sz w:val="22"/>
          <w:szCs w:val="22"/>
        </w:rPr>
        <w:t>7,7 oranında</w:t>
      </w:r>
      <w:r w:rsidR="00BA3A88" w:rsidRPr="002A5EBF">
        <w:rPr>
          <w:sz w:val="22"/>
          <w:szCs w:val="22"/>
        </w:rPr>
        <w:t xml:space="preserve"> </w:t>
      </w:r>
      <w:r w:rsidR="003161A5" w:rsidRPr="002A5EBF">
        <w:rPr>
          <w:sz w:val="22"/>
          <w:szCs w:val="22"/>
        </w:rPr>
        <w:t>azaldı</w:t>
      </w:r>
      <w:r w:rsidR="00CB5BA5" w:rsidRPr="002A5EBF">
        <w:rPr>
          <w:sz w:val="22"/>
          <w:szCs w:val="22"/>
        </w:rPr>
        <w:t>.</w:t>
      </w:r>
      <w:r w:rsidR="00BA3A88" w:rsidRPr="002A5EBF">
        <w:rPr>
          <w:sz w:val="22"/>
          <w:szCs w:val="22"/>
        </w:rPr>
        <w:t xml:space="preserve"> </w:t>
      </w:r>
      <w:r w:rsidR="005A4EAB" w:rsidRPr="00E337E7">
        <w:rPr>
          <w:sz w:val="22"/>
          <w:szCs w:val="22"/>
        </w:rPr>
        <w:t xml:space="preserve">Ocak ayında yüzde 4,3 oranında artan </w:t>
      </w:r>
      <w:r w:rsidR="002A5EBF" w:rsidRPr="00E337E7">
        <w:rPr>
          <w:sz w:val="22"/>
          <w:szCs w:val="22"/>
        </w:rPr>
        <w:t xml:space="preserve">özel tüketim vergisi </w:t>
      </w:r>
      <w:r w:rsidR="00745DD1" w:rsidRPr="00E337E7">
        <w:rPr>
          <w:sz w:val="22"/>
          <w:szCs w:val="22"/>
        </w:rPr>
        <w:t>Şubat ayı</w:t>
      </w:r>
      <w:r w:rsidR="005A4EAB" w:rsidRPr="00E337E7">
        <w:rPr>
          <w:sz w:val="22"/>
          <w:szCs w:val="22"/>
        </w:rPr>
        <w:t>nda</w:t>
      </w:r>
      <w:r w:rsidR="00745DD1" w:rsidRPr="00E337E7">
        <w:rPr>
          <w:sz w:val="22"/>
          <w:szCs w:val="22"/>
        </w:rPr>
        <w:t xml:space="preserve"> yüzde 11,7 oranında düş</w:t>
      </w:r>
      <w:r w:rsidR="005A4EAB" w:rsidRPr="00E337E7">
        <w:rPr>
          <w:sz w:val="22"/>
          <w:szCs w:val="22"/>
        </w:rPr>
        <w:t xml:space="preserve">tü. Bununla birlikte çeyrekten çeyreğe bu kalemde yüzde 1,4’lük </w:t>
      </w:r>
      <w:r w:rsidR="00B842F0">
        <w:rPr>
          <w:sz w:val="22"/>
          <w:szCs w:val="22"/>
        </w:rPr>
        <w:t xml:space="preserve">bir </w:t>
      </w:r>
      <w:r w:rsidR="005A4EAB" w:rsidRPr="00E337E7">
        <w:rPr>
          <w:sz w:val="22"/>
          <w:szCs w:val="22"/>
        </w:rPr>
        <w:t>artış hesaplıyoruz.</w:t>
      </w:r>
      <w:r w:rsidR="00E337E7">
        <w:rPr>
          <w:sz w:val="22"/>
          <w:szCs w:val="22"/>
        </w:rPr>
        <w:t xml:space="preserve"> Diğer yandan</w:t>
      </w:r>
      <w:r w:rsidR="002A5EBF">
        <w:rPr>
          <w:sz w:val="22"/>
          <w:szCs w:val="22"/>
        </w:rPr>
        <w:t xml:space="preserve"> </w:t>
      </w:r>
      <w:r w:rsidR="00745DD1" w:rsidRPr="00E337E7">
        <w:rPr>
          <w:sz w:val="22"/>
          <w:szCs w:val="22"/>
        </w:rPr>
        <w:t xml:space="preserve">Ocak ayında yüzde 8,8 oranında sert düşüş kaydeden binek otomobil üretimi Şubat ayında yüzde 3,7 oranında </w:t>
      </w:r>
      <w:r w:rsidR="005A4EAB" w:rsidRPr="00E337E7">
        <w:rPr>
          <w:sz w:val="22"/>
          <w:szCs w:val="22"/>
        </w:rPr>
        <w:t xml:space="preserve">arttı. Çeyrekten çeyreğe </w:t>
      </w:r>
      <w:r w:rsidR="00E337E7" w:rsidRPr="00E337E7">
        <w:rPr>
          <w:sz w:val="22"/>
          <w:szCs w:val="22"/>
        </w:rPr>
        <w:t>değişimi eksi</w:t>
      </w:r>
      <w:r w:rsidR="005A4EAB" w:rsidRPr="00E337E7">
        <w:rPr>
          <w:sz w:val="22"/>
          <w:szCs w:val="22"/>
        </w:rPr>
        <w:t xml:space="preserve"> yüzde </w:t>
      </w:r>
      <w:r w:rsidR="00733DDB" w:rsidRPr="00E337E7">
        <w:rPr>
          <w:sz w:val="22"/>
          <w:szCs w:val="22"/>
        </w:rPr>
        <w:t>4 olarak hesaplıyoruz</w:t>
      </w:r>
      <w:r w:rsidR="00696ABF" w:rsidRPr="00E337E7">
        <w:rPr>
          <w:sz w:val="22"/>
          <w:szCs w:val="22"/>
        </w:rPr>
        <w:t xml:space="preserve"> </w:t>
      </w:r>
      <w:r w:rsidR="005218A3" w:rsidRPr="00E337E7">
        <w:rPr>
          <w:sz w:val="22"/>
          <w:szCs w:val="22"/>
        </w:rPr>
        <w:t>(Tablo 2)</w:t>
      </w:r>
      <w:r w:rsidR="005A4EAB" w:rsidRPr="00E337E7">
        <w:rPr>
          <w:sz w:val="22"/>
          <w:szCs w:val="22"/>
        </w:rPr>
        <w:t>.</w:t>
      </w:r>
      <w:r w:rsidR="005218A3">
        <w:rPr>
          <w:sz w:val="22"/>
          <w:szCs w:val="22"/>
        </w:rPr>
        <w:t xml:space="preserve"> </w:t>
      </w:r>
      <w:r w:rsidR="00733DDB">
        <w:rPr>
          <w:sz w:val="22"/>
          <w:szCs w:val="22"/>
        </w:rPr>
        <w:t>B</w:t>
      </w:r>
      <w:r w:rsidR="005218A3">
        <w:rPr>
          <w:sz w:val="22"/>
          <w:szCs w:val="22"/>
        </w:rPr>
        <w:t xml:space="preserve">u göstergeler ışığında </w:t>
      </w:r>
      <w:r w:rsidR="00745DD1">
        <w:rPr>
          <w:sz w:val="22"/>
          <w:szCs w:val="22"/>
        </w:rPr>
        <w:t>2015 yılının 4</w:t>
      </w:r>
      <w:r w:rsidR="00B842F0">
        <w:rPr>
          <w:sz w:val="22"/>
          <w:szCs w:val="22"/>
        </w:rPr>
        <w:t>.ç</w:t>
      </w:r>
      <w:r w:rsidR="005218A3">
        <w:rPr>
          <w:sz w:val="22"/>
          <w:szCs w:val="22"/>
        </w:rPr>
        <w:t>eyre</w:t>
      </w:r>
      <w:r w:rsidR="00745DD1">
        <w:rPr>
          <w:sz w:val="22"/>
          <w:szCs w:val="22"/>
        </w:rPr>
        <w:t>ğinden</w:t>
      </w:r>
      <w:r w:rsidR="005218A3">
        <w:rPr>
          <w:sz w:val="22"/>
          <w:szCs w:val="22"/>
        </w:rPr>
        <w:t xml:space="preserve"> </w:t>
      </w:r>
      <w:r w:rsidR="00745DD1">
        <w:rPr>
          <w:sz w:val="22"/>
          <w:szCs w:val="22"/>
        </w:rPr>
        <w:t>2016 yılının 1</w:t>
      </w:r>
      <w:r w:rsidR="00B842F0">
        <w:rPr>
          <w:sz w:val="22"/>
          <w:szCs w:val="22"/>
        </w:rPr>
        <w:t>.ç</w:t>
      </w:r>
      <w:r w:rsidR="005218A3">
        <w:rPr>
          <w:sz w:val="22"/>
          <w:szCs w:val="22"/>
        </w:rPr>
        <w:t>eyreğ</w:t>
      </w:r>
      <w:r w:rsidR="00745DD1">
        <w:rPr>
          <w:sz w:val="22"/>
          <w:szCs w:val="22"/>
        </w:rPr>
        <w:t xml:space="preserve">ine </w:t>
      </w:r>
      <w:r w:rsidR="005218A3">
        <w:rPr>
          <w:sz w:val="22"/>
          <w:szCs w:val="22"/>
        </w:rPr>
        <w:t xml:space="preserve">özel tüketimde </w:t>
      </w:r>
      <w:r w:rsidR="00E337E7">
        <w:rPr>
          <w:sz w:val="22"/>
          <w:szCs w:val="22"/>
        </w:rPr>
        <w:t>sınırlı bir artış</w:t>
      </w:r>
      <w:r w:rsidR="00733DDB">
        <w:rPr>
          <w:sz w:val="22"/>
          <w:szCs w:val="22"/>
        </w:rPr>
        <w:t xml:space="preserve"> bekliyoruz</w:t>
      </w:r>
      <w:r w:rsidR="00B1161B">
        <w:rPr>
          <w:sz w:val="22"/>
          <w:szCs w:val="22"/>
        </w:rPr>
        <w:t>.</w:t>
      </w:r>
      <w:r w:rsidR="005218A3">
        <w:rPr>
          <w:sz w:val="22"/>
          <w:szCs w:val="22"/>
        </w:rPr>
        <w:t xml:space="preserve"> </w:t>
      </w:r>
    </w:p>
    <w:p w:rsidR="00307494" w:rsidRPr="002A5EBF" w:rsidRDefault="00307494" w:rsidP="004403F0">
      <w:pPr>
        <w:spacing w:line="360" w:lineRule="auto"/>
        <w:ind w:left="-360" w:right="42"/>
        <w:rPr>
          <w:b/>
          <w:bCs/>
          <w:color w:val="7030A0"/>
          <w:sz w:val="22"/>
          <w:szCs w:val="22"/>
          <w:highlight w:val="yellow"/>
        </w:rPr>
      </w:pPr>
    </w:p>
    <w:p w:rsidR="00BA3A88" w:rsidRPr="00D064A2" w:rsidRDefault="00760C78" w:rsidP="00BA3A88">
      <w:pPr>
        <w:spacing w:line="360" w:lineRule="auto"/>
        <w:ind w:left="-360" w:right="42"/>
        <w:jc w:val="center"/>
        <w:rPr>
          <w:b/>
          <w:sz w:val="22"/>
          <w:szCs w:val="22"/>
        </w:rPr>
      </w:pPr>
      <w:r w:rsidRPr="00D064A2">
        <w:rPr>
          <w:b/>
          <w:sz w:val="22"/>
          <w:szCs w:val="22"/>
        </w:rPr>
        <w:t>Net ihracat</w:t>
      </w:r>
      <w:r w:rsidR="000F14F4">
        <w:rPr>
          <w:b/>
          <w:sz w:val="22"/>
          <w:szCs w:val="22"/>
        </w:rPr>
        <w:t>tan</w:t>
      </w:r>
      <w:r w:rsidRPr="00D064A2">
        <w:rPr>
          <w:b/>
          <w:sz w:val="22"/>
          <w:szCs w:val="22"/>
        </w:rPr>
        <w:t xml:space="preserve"> negatif katkı</w:t>
      </w:r>
      <w:r w:rsidR="00BA3A88" w:rsidRPr="00D064A2">
        <w:rPr>
          <w:b/>
          <w:sz w:val="22"/>
          <w:szCs w:val="22"/>
        </w:rPr>
        <w:t xml:space="preserve"> </w:t>
      </w:r>
    </w:p>
    <w:p w:rsidR="00BA3A88" w:rsidRPr="00B77AD2" w:rsidRDefault="00BA3A88" w:rsidP="00BA3A88">
      <w:pPr>
        <w:spacing w:line="360" w:lineRule="auto"/>
        <w:ind w:left="-360" w:right="42"/>
        <w:jc w:val="center"/>
        <w:rPr>
          <w:color w:val="7030A0"/>
          <w:sz w:val="22"/>
          <w:szCs w:val="22"/>
        </w:rPr>
      </w:pPr>
    </w:p>
    <w:p w:rsidR="00BA3A88" w:rsidRPr="00B77AD2" w:rsidRDefault="0064070D" w:rsidP="00BA3A88">
      <w:pPr>
        <w:spacing w:line="360" w:lineRule="auto"/>
        <w:ind w:left="-360" w:right="42"/>
        <w:jc w:val="both"/>
        <w:rPr>
          <w:color w:val="7030A0"/>
          <w:sz w:val="22"/>
          <w:szCs w:val="22"/>
        </w:rPr>
      </w:pPr>
      <w:r w:rsidRPr="00F517FE">
        <w:rPr>
          <w:sz w:val="22"/>
          <w:szCs w:val="22"/>
        </w:rPr>
        <w:t>Ocak ayında d</w:t>
      </w:r>
      <w:r w:rsidR="000C52BF" w:rsidRPr="00F517FE">
        <w:rPr>
          <w:sz w:val="22"/>
          <w:szCs w:val="22"/>
        </w:rPr>
        <w:t xml:space="preserve">ış ticarete ilişkin </w:t>
      </w:r>
      <w:r w:rsidR="00772325" w:rsidRPr="00F517FE">
        <w:rPr>
          <w:sz w:val="22"/>
          <w:szCs w:val="22"/>
        </w:rPr>
        <w:t xml:space="preserve">gelişmeler </w:t>
      </w:r>
      <w:r w:rsidRPr="00F517FE">
        <w:rPr>
          <w:sz w:val="22"/>
          <w:szCs w:val="22"/>
        </w:rPr>
        <w:t>net ihracatın büyümeye sınırlı ölçüde negati</w:t>
      </w:r>
      <w:r w:rsidR="00E17FAA">
        <w:rPr>
          <w:sz w:val="22"/>
          <w:szCs w:val="22"/>
        </w:rPr>
        <w:t>f</w:t>
      </w:r>
      <w:r w:rsidRPr="00F517FE">
        <w:rPr>
          <w:sz w:val="22"/>
          <w:szCs w:val="22"/>
        </w:rPr>
        <w:t xml:space="preserve"> katkı yapacağına işaret ediyor. Çeyrekli</w:t>
      </w:r>
      <w:r w:rsidR="00F517FE" w:rsidRPr="00F517FE">
        <w:rPr>
          <w:sz w:val="22"/>
          <w:szCs w:val="22"/>
        </w:rPr>
        <w:t>k altın hariç</w:t>
      </w:r>
      <w:r w:rsidRPr="00F517FE">
        <w:rPr>
          <w:sz w:val="22"/>
          <w:szCs w:val="22"/>
        </w:rPr>
        <w:t xml:space="preserve"> değişimleri ihracatta eksi yüzde 2,5, ithalatta eksi yüzde 1 olarak hesaplıyoruz (Tablo 2).</w:t>
      </w:r>
      <w:r w:rsidR="00772325" w:rsidRPr="00C4447B">
        <w:rPr>
          <w:sz w:val="22"/>
          <w:szCs w:val="22"/>
          <w:highlight w:val="yellow"/>
        </w:rPr>
        <w:t xml:space="preserve"> </w:t>
      </w:r>
    </w:p>
    <w:p w:rsidR="00BA3A88" w:rsidRPr="00B77AD2" w:rsidRDefault="00BA3A88" w:rsidP="00307494">
      <w:pPr>
        <w:spacing w:line="360" w:lineRule="auto"/>
        <w:ind w:left="-360" w:right="42"/>
        <w:jc w:val="center"/>
        <w:rPr>
          <w:b/>
          <w:bCs/>
          <w:color w:val="7030A0"/>
          <w:sz w:val="22"/>
          <w:szCs w:val="22"/>
        </w:rPr>
      </w:pPr>
    </w:p>
    <w:p w:rsidR="00307494" w:rsidRPr="00D064A2" w:rsidRDefault="005C12C6" w:rsidP="00307494">
      <w:pPr>
        <w:spacing w:line="360" w:lineRule="auto"/>
        <w:ind w:left="-360" w:right="42"/>
        <w:jc w:val="center"/>
        <w:rPr>
          <w:b/>
          <w:bCs/>
          <w:sz w:val="22"/>
          <w:szCs w:val="22"/>
        </w:rPr>
      </w:pPr>
      <w:r>
        <w:rPr>
          <w:b/>
          <w:bCs/>
          <w:sz w:val="22"/>
          <w:szCs w:val="22"/>
        </w:rPr>
        <w:t>Özel yatırım</w:t>
      </w:r>
      <w:r w:rsidR="000F14F4">
        <w:rPr>
          <w:b/>
          <w:bCs/>
          <w:sz w:val="22"/>
          <w:szCs w:val="22"/>
        </w:rPr>
        <w:t>da durgunluk devam ediyor</w:t>
      </w:r>
    </w:p>
    <w:p w:rsidR="00307494" w:rsidRPr="00B77AD2" w:rsidRDefault="00307494" w:rsidP="00307494">
      <w:pPr>
        <w:spacing w:line="360" w:lineRule="auto"/>
        <w:ind w:left="-360" w:right="42"/>
        <w:rPr>
          <w:b/>
          <w:bCs/>
          <w:color w:val="7030A0"/>
          <w:sz w:val="22"/>
          <w:szCs w:val="22"/>
        </w:rPr>
      </w:pPr>
    </w:p>
    <w:p w:rsidR="008558C2" w:rsidRPr="002F4BA8" w:rsidRDefault="00E17FAA" w:rsidP="0033675F">
      <w:pPr>
        <w:spacing w:line="360" w:lineRule="auto"/>
        <w:ind w:left="-360" w:right="42"/>
        <w:jc w:val="both"/>
        <w:rPr>
          <w:sz w:val="22"/>
          <w:szCs w:val="22"/>
        </w:rPr>
      </w:pPr>
      <w:r>
        <w:rPr>
          <w:sz w:val="22"/>
          <w:szCs w:val="22"/>
        </w:rPr>
        <w:t>4.</w:t>
      </w:r>
      <w:r w:rsidR="001834EF" w:rsidRPr="00D064A2">
        <w:rPr>
          <w:sz w:val="22"/>
          <w:szCs w:val="22"/>
        </w:rPr>
        <w:t>çeyrekte özel yatırımlarda dalgalı bir seyir gözlem</w:t>
      </w:r>
      <w:r w:rsidR="007A2D1E">
        <w:rPr>
          <w:sz w:val="22"/>
          <w:szCs w:val="22"/>
        </w:rPr>
        <w:t>lenen yatırım göstergelerinde</w:t>
      </w:r>
      <w:r w:rsidR="001834EF" w:rsidRPr="00D064A2">
        <w:rPr>
          <w:sz w:val="22"/>
          <w:szCs w:val="22"/>
        </w:rPr>
        <w:t xml:space="preserve"> </w:t>
      </w:r>
      <w:r w:rsidR="007A2D1E">
        <w:rPr>
          <w:sz w:val="22"/>
          <w:szCs w:val="22"/>
        </w:rPr>
        <w:t xml:space="preserve">1.çeyrekte de zıt yönlü gelişmeler devam etmekte. </w:t>
      </w:r>
      <w:r w:rsidR="00696ABF">
        <w:rPr>
          <w:sz w:val="22"/>
          <w:szCs w:val="22"/>
        </w:rPr>
        <w:t xml:space="preserve">Yatırım malı ithalatında Ocak ayında yüzde 6,7'lik artışına </w:t>
      </w:r>
      <w:r w:rsidR="005D6106">
        <w:rPr>
          <w:sz w:val="22"/>
          <w:szCs w:val="22"/>
        </w:rPr>
        <w:t>karşın</w:t>
      </w:r>
      <w:r w:rsidR="00696ABF">
        <w:rPr>
          <w:sz w:val="22"/>
          <w:szCs w:val="22"/>
        </w:rPr>
        <w:t xml:space="preserve"> aynı dönemde yatırım malı imalatında yüzde 0,4 oranında bir düşüş kaydedildi</w:t>
      </w:r>
      <w:r w:rsidR="00CB3206">
        <w:rPr>
          <w:sz w:val="22"/>
          <w:szCs w:val="22"/>
        </w:rPr>
        <w:t xml:space="preserve"> </w:t>
      </w:r>
      <w:r w:rsidR="00CB3206" w:rsidRPr="003561F1">
        <w:rPr>
          <w:sz w:val="22"/>
          <w:szCs w:val="22"/>
        </w:rPr>
        <w:t>(Tablo 2)</w:t>
      </w:r>
      <w:r w:rsidR="00696ABF" w:rsidRPr="0023349A">
        <w:rPr>
          <w:sz w:val="22"/>
          <w:szCs w:val="22"/>
        </w:rPr>
        <w:t xml:space="preserve">.  </w:t>
      </w:r>
      <w:r w:rsidR="0023349A">
        <w:rPr>
          <w:sz w:val="22"/>
          <w:szCs w:val="22"/>
        </w:rPr>
        <w:t xml:space="preserve">Bunun yanı sıra, </w:t>
      </w:r>
      <w:r w:rsidR="00696ABF" w:rsidRPr="0023349A">
        <w:rPr>
          <w:sz w:val="22"/>
          <w:szCs w:val="22"/>
        </w:rPr>
        <w:t>Ocak ayında yüzde 2,7 oranında artan reel kesim güven endeksi Şubat ayında yüzde 0,7 oranında azaldı.</w:t>
      </w:r>
      <w:r w:rsidR="00F87CB7">
        <w:rPr>
          <w:sz w:val="22"/>
          <w:szCs w:val="22"/>
        </w:rPr>
        <w:t xml:space="preserve"> </w:t>
      </w:r>
      <w:r w:rsidR="005D6106" w:rsidRPr="002F4BA8">
        <w:rPr>
          <w:sz w:val="22"/>
          <w:szCs w:val="22"/>
        </w:rPr>
        <w:t xml:space="preserve">Binek </w:t>
      </w:r>
      <w:r w:rsidR="002F4BA8" w:rsidRPr="002F4BA8">
        <w:rPr>
          <w:sz w:val="22"/>
          <w:szCs w:val="22"/>
        </w:rPr>
        <w:t xml:space="preserve">olmayan </w:t>
      </w:r>
      <w:r w:rsidR="005D6106" w:rsidRPr="002F4BA8">
        <w:rPr>
          <w:sz w:val="22"/>
          <w:szCs w:val="22"/>
        </w:rPr>
        <w:t>otomobil üre</w:t>
      </w:r>
      <w:r w:rsidR="00987429" w:rsidRPr="002F4BA8">
        <w:rPr>
          <w:sz w:val="22"/>
          <w:szCs w:val="22"/>
        </w:rPr>
        <w:t xml:space="preserve">timinde ise Ocak </w:t>
      </w:r>
      <w:r w:rsidRPr="002F4BA8">
        <w:rPr>
          <w:sz w:val="22"/>
          <w:szCs w:val="22"/>
        </w:rPr>
        <w:t>ay</w:t>
      </w:r>
      <w:r w:rsidR="00987429" w:rsidRPr="002F4BA8">
        <w:rPr>
          <w:sz w:val="22"/>
          <w:szCs w:val="22"/>
        </w:rPr>
        <w:t>ında sert düşüş</w:t>
      </w:r>
      <w:r w:rsidRPr="002F4BA8">
        <w:rPr>
          <w:sz w:val="22"/>
          <w:szCs w:val="22"/>
        </w:rPr>
        <w:t>,</w:t>
      </w:r>
      <w:r w:rsidR="00987429" w:rsidRPr="002F4BA8">
        <w:rPr>
          <w:sz w:val="22"/>
          <w:szCs w:val="22"/>
        </w:rPr>
        <w:t xml:space="preserve"> Şubatta ise artış gerçekleşti. Bununla birlikte </w:t>
      </w:r>
      <w:r w:rsidR="00987429" w:rsidRPr="002F4BA8">
        <w:rPr>
          <w:sz w:val="22"/>
          <w:szCs w:val="22"/>
        </w:rPr>
        <w:lastRenderedPageBreak/>
        <w:t>önceki çeyreğe k</w:t>
      </w:r>
      <w:r w:rsidR="002F4BA8" w:rsidRPr="002F4BA8">
        <w:rPr>
          <w:sz w:val="22"/>
          <w:szCs w:val="22"/>
        </w:rPr>
        <w:t>ıyasla bu kalemde yüzde 12 oran</w:t>
      </w:r>
      <w:r w:rsidR="00987429" w:rsidRPr="002F4BA8">
        <w:rPr>
          <w:sz w:val="22"/>
          <w:szCs w:val="22"/>
        </w:rPr>
        <w:t xml:space="preserve">ında hatırı sayılır bir düşüş hesaplanıyor. </w:t>
      </w:r>
      <w:r w:rsidR="00F87CB7" w:rsidRPr="002F4BA8">
        <w:rPr>
          <w:sz w:val="22"/>
          <w:szCs w:val="22"/>
        </w:rPr>
        <w:t xml:space="preserve">Çoğunlukla daralmaya işaret eden bu </w:t>
      </w:r>
      <w:r w:rsidR="004403F0" w:rsidRPr="002F4BA8">
        <w:rPr>
          <w:sz w:val="22"/>
          <w:szCs w:val="22"/>
        </w:rPr>
        <w:t>göstergelerin ışığında özel yatırımların GSYH</w:t>
      </w:r>
      <w:r w:rsidR="00307494" w:rsidRPr="002F4BA8">
        <w:rPr>
          <w:sz w:val="22"/>
          <w:szCs w:val="22"/>
        </w:rPr>
        <w:t xml:space="preserve"> </w:t>
      </w:r>
      <w:r w:rsidR="00F87CB7" w:rsidRPr="002F4BA8">
        <w:rPr>
          <w:sz w:val="22"/>
          <w:szCs w:val="22"/>
        </w:rPr>
        <w:t>1</w:t>
      </w:r>
      <w:r w:rsidRPr="002F4BA8">
        <w:rPr>
          <w:sz w:val="22"/>
          <w:szCs w:val="22"/>
        </w:rPr>
        <w:t>.ç</w:t>
      </w:r>
      <w:r w:rsidR="00307494" w:rsidRPr="002F4BA8">
        <w:rPr>
          <w:sz w:val="22"/>
          <w:szCs w:val="22"/>
        </w:rPr>
        <w:t>eyrek</w:t>
      </w:r>
      <w:r w:rsidR="004403F0" w:rsidRPr="002F4BA8">
        <w:rPr>
          <w:sz w:val="22"/>
          <w:szCs w:val="22"/>
        </w:rPr>
        <w:t xml:space="preserve"> değişimine </w:t>
      </w:r>
      <w:r w:rsidR="00F87CB7" w:rsidRPr="002F4BA8">
        <w:rPr>
          <w:sz w:val="22"/>
          <w:szCs w:val="22"/>
        </w:rPr>
        <w:t>negatif katkı yap</w:t>
      </w:r>
      <w:r w:rsidR="00CB3012" w:rsidRPr="002F4BA8">
        <w:rPr>
          <w:sz w:val="22"/>
          <w:szCs w:val="22"/>
        </w:rPr>
        <w:t>acağını tahmin edişoruz</w:t>
      </w:r>
      <w:r w:rsidR="004403F0" w:rsidRPr="002F4BA8">
        <w:rPr>
          <w:sz w:val="22"/>
          <w:szCs w:val="22"/>
        </w:rPr>
        <w:t>.</w:t>
      </w:r>
      <w:r w:rsidR="00307494" w:rsidRPr="002F4BA8">
        <w:rPr>
          <w:sz w:val="22"/>
          <w:szCs w:val="22"/>
        </w:rPr>
        <w:t xml:space="preserve"> </w:t>
      </w:r>
    </w:p>
    <w:p w:rsidR="004A4431" w:rsidRPr="002F4BA8" w:rsidRDefault="008558C2" w:rsidP="001510B5">
      <w:pPr>
        <w:spacing w:line="360" w:lineRule="auto"/>
        <w:ind w:left="-360" w:right="42"/>
        <w:jc w:val="both"/>
        <w:rPr>
          <w:color w:val="7030A0"/>
          <w:sz w:val="22"/>
          <w:szCs w:val="22"/>
        </w:rPr>
      </w:pPr>
      <w:r w:rsidRPr="002F4BA8">
        <w:rPr>
          <w:color w:val="7030A0"/>
          <w:sz w:val="22"/>
          <w:szCs w:val="22"/>
        </w:rPr>
        <w:t xml:space="preserve"> </w:t>
      </w:r>
    </w:p>
    <w:p w:rsidR="001510B5" w:rsidRPr="002F4BA8" w:rsidRDefault="00434AAB" w:rsidP="008558C2">
      <w:pPr>
        <w:spacing w:line="360" w:lineRule="auto"/>
        <w:ind w:left="-360" w:right="42"/>
        <w:jc w:val="center"/>
        <w:rPr>
          <w:b/>
          <w:sz w:val="22"/>
          <w:szCs w:val="22"/>
        </w:rPr>
      </w:pPr>
      <w:r w:rsidRPr="002F4BA8">
        <w:rPr>
          <w:b/>
          <w:sz w:val="22"/>
          <w:szCs w:val="22"/>
        </w:rPr>
        <w:t xml:space="preserve">Kamudan büyümeye </w:t>
      </w:r>
      <w:r w:rsidR="0021657F" w:rsidRPr="002F4BA8">
        <w:rPr>
          <w:b/>
          <w:sz w:val="22"/>
          <w:szCs w:val="22"/>
        </w:rPr>
        <w:t>katkı devam ediyor</w:t>
      </w:r>
    </w:p>
    <w:p w:rsidR="00A70678" w:rsidRPr="002F4BA8" w:rsidRDefault="00A70678" w:rsidP="008558C2">
      <w:pPr>
        <w:spacing w:line="360" w:lineRule="auto"/>
        <w:ind w:left="-360" w:right="42"/>
        <w:jc w:val="center"/>
        <w:rPr>
          <w:b/>
          <w:color w:val="7030A0"/>
          <w:sz w:val="22"/>
          <w:szCs w:val="22"/>
        </w:rPr>
      </w:pPr>
    </w:p>
    <w:p w:rsidR="00917FE8" w:rsidRPr="003561F1" w:rsidRDefault="00244553" w:rsidP="00F43211">
      <w:pPr>
        <w:spacing w:line="360" w:lineRule="auto"/>
        <w:ind w:left="-360" w:right="42"/>
        <w:jc w:val="both"/>
        <w:rPr>
          <w:sz w:val="22"/>
          <w:szCs w:val="22"/>
        </w:rPr>
      </w:pPr>
      <w:r w:rsidRPr="002F4BA8">
        <w:rPr>
          <w:sz w:val="22"/>
          <w:szCs w:val="22"/>
        </w:rPr>
        <w:t>Ocak</w:t>
      </w:r>
      <w:r w:rsidR="009827E9" w:rsidRPr="002F4BA8">
        <w:rPr>
          <w:sz w:val="22"/>
          <w:szCs w:val="22"/>
        </w:rPr>
        <w:t xml:space="preserve"> ayındaki yüzde </w:t>
      </w:r>
      <w:r w:rsidRPr="002F4BA8">
        <w:rPr>
          <w:sz w:val="22"/>
          <w:szCs w:val="22"/>
        </w:rPr>
        <w:t>0,2</w:t>
      </w:r>
      <w:r w:rsidR="002A5EBF" w:rsidRPr="002F4BA8">
        <w:rPr>
          <w:sz w:val="22"/>
          <w:szCs w:val="22"/>
        </w:rPr>
        <w:t>'lik</w:t>
      </w:r>
      <w:r w:rsidR="00917FE8" w:rsidRPr="002F4BA8">
        <w:rPr>
          <w:sz w:val="22"/>
          <w:szCs w:val="22"/>
        </w:rPr>
        <w:t xml:space="preserve"> </w:t>
      </w:r>
      <w:r w:rsidRPr="002F4BA8">
        <w:rPr>
          <w:sz w:val="22"/>
          <w:szCs w:val="22"/>
        </w:rPr>
        <w:t>sınırlı</w:t>
      </w:r>
      <w:r>
        <w:rPr>
          <w:sz w:val="22"/>
          <w:szCs w:val="22"/>
        </w:rPr>
        <w:t xml:space="preserve"> </w:t>
      </w:r>
      <w:r w:rsidR="009827E9" w:rsidRPr="003561F1">
        <w:rPr>
          <w:sz w:val="22"/>
          <w:szCs w:val="22"/>
        </w:rPr>
        <w:t>artışın ardından</w:t>
      </w:r>
      <w:r w:rsidR="00917FE8" w:rsidRPr="003561F1">
        <w:rPr>
          <w:sz w:val="22"/>
          <w:szCs w:val="22"/>
        </w:rPr>
        <w:t xml:space="preserve">, </w:t>
      </w:r>
      <w:r>
        <w:rPr>
          <w:sz w:val="22"/>
          <w:szCs w:val="22"/>
        </w:rPr>
        <w:t>Şubat ayında yüzde 4,3'lük bir artış ile kamu harcamalarında canlanma</w:t>
      </w:r>
      <w:r w:rsidR="0073024B">
        <w:rPr>
          <w:sz w:val="22"/>
          <w:szCs w:val="22"/>
        </w:rPr>
        <w:t xml:space="preserve"> görülüyor. </w:t>
      </w:r>
      <w:r>
        <w:rPr>
          <w:sz w:val="22"/>
          <w:szCs w:val="22"/>
        </w:rPr>
        <w:t xml:space="preserve">Kasım-2015 itibariyle yükseliş gösteren </w:t>
      </w:r>
      <w:r w:rsidR="00BF08B8">
        <w:rPr>
          <w:sz w:val="22"/>
          <w:szCs w:val="22"/>
        </w:rPr>
        <w:t>kamu</w:t>
      </w:r>
      <w:r>
        <w:rPr>
          <w:sz w:val="22"/>
          <w:szCs w:val="22"/>
        </w:rPr>
        <w:t xml:space="preserve"> harcamaları 2016'nın ilk çeyreğinde de olumlu seyrini sürdürüyor</w:t>
      </w:r>
      <w:r w:rsidR="00BF08B8">
        <w:rPr>
          <w:sz w:val="22"/>
          <w:szCs w:val="22"/>
        </w:rPr>
        <w:t xml:space="preserve">; çeyreklik artışı </w:t>
      </w:r>
      <w:r>
        <w:rPr>
          <w:sz w:val="22"/>
          <w:szCs w:val="22"/>
        </w:rPr>
        <w:t>yüzde 2,</w:t>
      </w:r>
      <w:r w:rsidR="00BF08B8">
        <w:rPr>
          <w:sz w:val="22"/>
          <w:szCs w:val="22"/>
        </w:rPr>
        <w:t>9 olarak hesaplıyoruz</w:t>
      </w:r>
      <w:r>
        <w:rPr>
          <w:sz w:val="22"/>
          <w:szCs w:val="22"/>
        </w:rPr>
        <w:t xml:space="preserve">. </w:t>
      </w:r>
    </w:p>
    <w:p w:rsidR="00A27CA3" w:rsidRPr="00B77AD2" w:rsidRDefault="00A27CA3" w:rsidP="00357DEF">
      <w:pPr>
        <w:spacing w:line="360" w:lineRule="auto"/>
        <w:ind w:right="42"/>
        <w:jc w:val="both"/>
        <w:rPr>
          <w:color w:val="7030A0"/>
          <w:sz w:val="22"/>
          <w:szCs w:val="22"/>
        </w:rPr>
      </w:pPr>
    </w:p>
    <w:p w:rsidR="00A87DBD" w:rsidRDefault="00BF08B8" w:rsidP="00A87DBD">
      <w:pPr>
        <w:spacing w:line="360" w:lineRule="auto"/>
        <w:ind w:left="-360" w:right="42"/>
        <w:jc w:val="center"/>
        <w:rPr>
          <w:b/>
          <w:sz w:val="22"/>
          <w:szCs w:val="22"/>
        </w:rPr>
      </w:pPr>
      <w:r w:rsidRPr="00BD6417">
        <w:rPr>
          <w:b/>
          <w:sz w:val="22"/>
          <w:szCs w:val="22"/>
        </w:rPr>
        <w:t>Ekonomik b</w:t>
      </w:r>
      <w:r w:rsidR="00B24BAA" w:rsidRPr="00BD6417">
        <w:rPr>
          <w:b/>
          <w:sz w:val="22"/>
          <w:szCs w:val="22"/>
        </w:rPr>
        <w:t>üyüme</w:t>
      </w:r>
      <w:r w:rsidRPr="00BD6417">
        <w:rPr>
          <w:b/>
          <w:sz w:val="22"/>
          <w:szCs w:val="22"/>
        </w:rPr>
        <w:t>de yavaşlama</w:t>
      </w:r>
    </w:p>
    <w:p w:rsidR="00E17FAA" w:rsidRPr="00BD6417" w:rsidRDefault="00E17FAA" w:rsidP="00A87DBD">
      <w:pPr>
        <w:spacing w:line="360" w:lineRule="auto"/>
        <w:ind w:left="-360" w:right="42"/>
        <w:jc w:val="center"/>
        <w:rPr>
          <w:b/>
          <w:sz w:val="22"/>
          <w:szCs w:val="22"/>
        </w:rPr>
      </w:pPr>
    </w:p>
    <w:p w:rsidR="001F1FC1" w:rsidRDefault="001F1FC1" w:rsidP="00A87DBD">
      <w:pPr>
        <w:spacing w:line="360" w:lineRule="auto"/>
        <w:ind w:left="-360" w:right="42"/>
        <w:jc w:val="both"/>
        <w:rPr>
          <w:sz w:val="22"/>
          <w:szCs w:val="22"/>
          <w:highlight w:val="yellow"/>
        </w:rPr>
      </w:pPr>
      <w:r w:rsidRPr="00BD6417">
        <w:rPr>
          <w:sz w:val="22"/>
          <w:szCs w:val="22"/>
        </w:rPr>
        <w:t>Ekonomik büyümenin nispeten yüksek düzeyde gerçekleştiği 2015 yılının ardından ilk öncü gö</w:t>
      </w:r>
      <w:r w:rsidR="00E17FAA">
        <w:rPr>
          <w:sz w:val="22"/>
          <w:szCs w:val="22"/>
        </w:rPr>
        <w:t>s</w:t>
      </w:r>
      <w:r w:rsidRPr="00BD6417">
        <w:rPr>
          <w:sz w:val="22"/>
          <w:szCs w:val="22"/>
        </w:rPr>
        <w:t>tergeler 2016 yılına zayıf bir başlangıç yapıldığına işaret ediyor. Mevsim etkilerinden arındırılmış GSYH serisinde geçen yıl yüzde 1,5 olan çeyreklik büyümenin ilk tahminimize göre yüzde 0,5’e, yıllık büyüme temposunun da b</w:t>
      </w:r>
      <w:r w:rsidR="00E17FAA">
        <w:rPr>
          <w:sz w:val="22"/>
          <w:szCs w:val="22"/>
        </w:rPr>
        <w:t xml:space="preserve">u koşullarda yavaşlayarak yüzde </w:t>
      </w:r>
      <w:r w:rsidRPr="00BD6417">
        <w:rPr>
          <w:sz w:val="22"/>
          <w:szCs w:val="22"/>
        </w:rPr>
        <w:t>2,3’e</w:t>
      </w:r>
      <w:r w:rsidR="00E17FAA">
        <w:rPr>
          <w:sz w:val="22"/>
          <w:szCs w:val="22"/>
        </w:rPr>
        <w:t xml:space="preserve"> </w:t>
      </w:r>
      <w:r w:rsidRPr="00BD6417">
        <w:rPr>
          <w:sz w:val="22"/>
          <w:szCs w:val="22"/>
        </w:rPr>
        <w:t>gerileyeceğini tahmin ediyoruz.</w:t>
      </w:r>
      <w:r w:rsidRPr="00BD6417">
        <w:rPr>
          <w:sz w:val="22"/>
          <w:szCs w:val="22"/>
          <w:highlight w:val="yellow"/>
        </w:rPr>
        <w:t xml:space="preserve"> </w:t>
      </w:r>
    </w:p>
    <w:p w:rsidR="00A978BD" w:rsidRDefault="00A978BD" w:rsidP="00A87DBD">
      <w:pPr>
        <w:spacing w:line="360" w:lineRule="auto"/>
        <w:ind w:left="-360" w:right="42"/>
        <w:jc w:val="both"/>
        <w:rPr>
          <w:color w:val="7030A0"/>
          <w:sz w:val="22"/>
          <w:szCs w:val="22"/>
        </w:rPr>
      </w:pPr>
    </w:p>
    <w:p w:rsidR="00F87CB7" w:rsidRDefault="00F87CB7" w:rsidP="00A87DBD">
      <w:pPr>
        <w:spacing w:line="360" w:lineRule="auto"/>
        <w:ind w:left="-360" w:right="42"/>
        <w:jc w:val="both"/>
        <w:rPr>
          <w:color w:val="7030A0"/>
          <w:sz w:val="22"/>
          <w:szCs w:val="22"/>
        </w:rPr>
      </w:pPr>
    </w:p>
    <w:p w:rsidR="00F87CB7" w:rsidRDefault="00F87CB7" w:rsidP="00A87DBD">
      <w:pPr>
        <w:spacing w:line="360" w:lineRule="auto"/>
        <w:ind w:left="-360" w:right="42"/>
        <w:jc w:val="both"/>
        <w:rPr>
          <w:color w:val="7030A0"/>
          <w:sz w:val="22"/>
          <w:szCs w:val="22"/>
        </w:rPr>
      </w:pPr>
    </w:p>
    <w:p w:rsidR="00F87CB7" w:rsidRDefault="00F87CB7" w:rsidP="00A87DBD">
      <w:pPr>
        <w:spacing w:line="360" w:lineRule="auto"/>
        <w:ind w:left="-360" w:right="42"/>
        <w:jc w:val="both"/>
        <w:rPr>
          <w:color w:val="7030A0"/>
          <w:sz w:val="22"/>
          <w:szCs w:val="22"/>
        </w:rPr>
      </w:pPr>
    </w:p>
    <w:p w:rsidR="00F87CB7" w:rsidRPr="00B77AD2" w:rsidRDefault="00F87CB7" w:rsidP="00A87DBD">
      <w:pPr>
        <w:spacing w:line="360" w:lineRule="auto"/>
        <w:ind w:left="-360" w:right="42"/>
        <w:jc w:val="both"/>
        <w:rPr>
          <w:color w:val="7030A0"/>
          <w:sz w:val="22"/>
          <w:szCs w:val="22"/>
        </w:rPr>
      </w:pPr>
    </w:p>
    <w:p w:rsidR="00434AAB" w:rsidRPr="00B77AD2" w:rsidRDefault="00434AAB" w:rsidP="00A87DBD">
      <w:pPr>
        <w:spacing w:line="360" w:lineRule="auto"/>
        <w:ind w:left="-360" w:right="42"/>
        <w:jc w:val="both"/>
        <w:rPr>
          <w:color w:val="7030A0"/>
          <w:sz w:val="22"/>
          <w:szCs w:val="22"/>
        </w:rPr>
      </w:pPr>
    </w:p>
    <w:p w:rsidR="00434AAB" w:rsidRPr="00B77AD2" w:rsidRDefault="00434AAB" w:rsidP="00A87DBD">
      <w:pPr>
        <w:spacing w:line="360" w:lineRule="auto"/>
        <w:ind w:left="-360" w:right="42"/>
        <w:jc w:val="both"/>
        <w:rPr>
          <w:color w:val="7030A0"/>
          <w:sz w:val="22"/>
          <w:szCs w:val="22"/>
        </w:rPr>
      </w:pPr>
    </w:p>
    <w:p w:rsidR="00FA4290" w:rsidRPr="00A87DBD" w:rsidRDefault="00FA4290" w:rsidP="00A87DBD">
      <w:pPr>
        <w:spacing w:line="360" w:lineRule="auto"/>
        <w:ind w:left="-360" w:right="42"/>
        <w:jc w:val="both"/>
        <w:rPr>
          <w:sz w:val="22"/>
          <w:szCs w:val="22"/>
        </w:rPr>
        <w:sectPr w:rsidR="00FA4290" w:rsidRPr="00A87DBD" w:rsidSect="00D850C9">
          <w:footerReference w:type="default" r:id="rId14"/>
          <w:type w:val="continuous"/>
          <w:pgSz w:w="11906" w:h="16838"/>
          <w:pgMar w:top="1417" w:right="1417" w:bottom="1417" w:left="1417" w:header="708" w:footer="708" w:gutter="0"/>
          <w:cols w:num="2" w:space="708"/>
          <w:docGrid w:linePitch="360"/>
        </w:sectPr>
      </w:pPr>
    </w:p>
    <w:p w:rsidR="00693E0B" w:rsidRDefault="00693E0B" w:rsidP="00197085">
      <w:pPr>
        <w:spacing w:line="360" w:lineRule="auto"/>
        <w:ind w:right="42"/>
        <w:jc w:val="both"/>
        <w:rPr>
          <w:b/>
          <w:bCs/>
          <w:sz w:val="22"/>
          <w:szCs w:val="22"/>
        </w:rPr>
      </w:pPr>
    </w:p>
    <w:p w:rsidR="00693E0B" w:rsidRDefault="00693E0B" w:rsidP="00197085">
      <w:pPr>
        <w:spacing w:line="360" w:lineRule="auto"/>
        <w:ind w:right="42"/>
        <w:jc w:val="both"/>
        <w:rPr>
          <w:b/>
          <w:bCs/>
          <w:sz w:val="22"/>
          <w:szCs w:val="22"/>
        </w:rPr>
      </w:pPr>
    </w:p>
    <w:p w:rsidR="00197085" w:rsidRPr="001771BD" w:rsidRDefault="00197085" w:rsidP="00197085">
      <w:pPr>
        <w:spacing w:line="360" w:lineRule="auto"/>
        <w:ind w:right="42"/>
        <w:jc w:val="both"/>
        <w:rPr>
          <w:sz w:val="22"/>
          <w:szCs w:val="22"/>
        </w:rPr>
      </w:pPr>
      <w:r w:rsidRPr="001771BD">
        <w:rPr>
          <w:b/>
          <w:bCs/>
          <w:sz w:val="22"/>
          <w:szCs w:val="22"/>
        </w:rPr>
        <w:lastRenderedPageBreak/>
        <w:t>Tablo 2. Ekonomik göstergelerin aydan aya ve çeyrekten çeyreğe değişimleri (MEA)</w:t>
      </w:r>
    </w:p>
    <w:tbl>
      <w:tblPr>
        <w:tblW w:w="952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6"/>
        <w:gridCol w:w="1163"/>
        <w:gridCol w:w="1123"/>
        <w:gridCol w:w="1140"/>
        <w:gridCol w:w="1072"/>
        <w:gridCol w:w="959"/>
        <w:gridCol w:w="959"/>
      </w:tblGrid>
      <w:tr w:rsidR="009541EE" w:rsidRPr="00F247C3" w:rsidTr="003202F8">
        <w:trPr>
          <w:trHeight w:val="607"/>
        </w:trPr>
        <w:tc>
          <w:tcPr>
            <w:tcW w:w="3106" w:type="dxa"/>
            <w:vAlign w:val="center"/>
          </w:tcPr>
          <w:p w:rsidR="009541EE" w:rsidRPr="00F247C3" w:rsidRDefault="009541EE" w:rsidP="00E24F81">
            <w:pPr>
              <w:ind w:right="42"/>
              <w:jc w:val="center"/>
              <w:rPr>
                <w:b/>
                <w:bCs/>
                <w:sz w:val="20"/>
                <w:szCs w:val="20"/>
              </w:rPr>
            </w:pPr>
            <w:r w:rsidRPr="00F247C3">
              <w:rPr>
                <w:b/>
                <w:bCs/>
                <w:sz w:val="20"/>
                <w:szCs w:val="20"/>
              </w:rPr>
              <w:t>Ekonomik Göstergeler</w:t>
            </w:r>
          </w:p>
        </w:tc>
        <w:tc>
          <w:tcPr>
            <w:tcW w:w="1163" w:type="dxa"/>
            <w:vAlign w:val="center"/>
          </w:tcPr>
          <w:p w:rsidR="009541EE" w:rsidRPr="00F247C3" w:rsidRDefault="009541EE" w:rsidP="00133782">
            <w:pPr>
              <w:jc w:val="center"/>
              <w:rPr>
                <w:b/>
                <w:bCs/>
                <w:sz w:val="20"/>
                <w:szCs w:val="20"/>
              </w:rPr>
            </w:pPr>
            <w:r w:rsidRPr="00F247C3">
              <w:rPr>
                <w:b/>
                <w:bCs/>
                <w:sz w:val="20"/>
                <w:szCs w:val="20"/>
              </w:rPr>
              <w:t>Kasım</w:t>
            </w:r>
          </w:p>
        </w:tc>
        <w:tc>
          <w:tcPr>
            <w:tcW w:w="1123" w:type="dxa"/>
            <w:vAlign w:val="center"/>
          </w:tcPr>
          <w:p w:rsidR="009541EE" w:rsidRPr="00F247C3" w:rsidRDefault="009541EE" w:rsidP="00133782">
            <w:pPr>
              <w:jc w:val="center"/>
              <w:rPr>
                <w:b/>
                <w:bCs/>
                <w:sz w:val="20"/>
                <w:szCs w:val="20"/>
              </w:rPr>
            </w:pPr>
            <w:r>
              <w:rPr>
                <w:b/>
                <w:bCs/>
                <w:sz w:val="20"/>
                <w:szCs w:val="20"/>
              </w:rPr>
              <w:t>Aralık</w:t>
            </w:r>
          </w:p>
        </w:tc>
        <w:tc>
          <w:tcPr>
            <w:tcW w:w="1140" w:type="dxa"/>
            <w:vAlign w:val="center"/>
          </w:tcPr>
          <w:p w:rsidR="009541EE" w:rsidRPr="00F247C3" w:rsidRDefault="009541EE" w:rsidP="00133782">
            <w:pPr>
              <w:jc w:val="center"/>
              <w:rPr>
                <w:b/>
                <w:bCs/>
                <w:sz w:val="20"/>
                <w:szCs w:val="20"/>
              </w:rPr>
            </w:pPr>
            <w:r>
              <w:rPr>
                <w:b/>
                <w:bCs/>
                <w:sz w:val="20"/>
                <w:szCs w:val="20"/>
              </w:rPr>
              <w:t>Ocak</w:t>
            </w:r>
          </w:p>
        </w:tc>
        <w:tc>
          <w:tcPr>
            <w:tcW w:w="1072" w:type="dxa"/>
            <w:tcBorders>
              <w:right w:val="double" w:sz="4" w:space="0" w:color="auto"/>
            </w:tcBorders>
            <w:vAlign w:val="center"/>
          </w:tcPr>
          <w:p w:rsidR="009541EE" w:rsidRPr="00F247C3" w:rsidRDefault="009541EE" w:rsidP="00275675">
            <w:pPr>
              <w:jc w:val="center"/>
              <w:rPr>
                <w:b/>
                <w:bCs/>
                <w:sz w:val="20"/>
                <w:szCs w:val="20"/>
              </w:rPr>
            </w:pPr>
            <w:r>
              <w:rPr>
                <w:b/>
                <w:bCs/>
                <w:sz w:val="20"/>
                <w:szCs w:val="20"/>
              </w:rPr>
              <w:t>Şubat</w:t>
            </w:r>
          </w:p>
        </w:tc>
        <w:tc>
          <w:tcPr>
            <w:tcW w:w="959" w:type="dxa"/>
            <w:tcBorders>
              <w:left w:val="double" w:sz="4" w:space="0" w:color="auto"/>
            </w:tcBorders>
            <w:vAlign w:val="center"/>
          </w:tcPr>
          <w:p w:rsidR="009541EE" w:rsidRPr="00F247C3" w:rsidRDefault="009541EE" w:rsidP="009541EE">
            <w:pPr>
              <w:ind w:right="42"/>
              <w:jc w:val="center"/>
              <w:rPr>
                <w:b/>
                <w:bCs/>
                <w:sz w:val="20"/>
                <w:szCs w:val="20"/>
              </w:rPr>
            </w:pPr>
            <w:r w:rsidRPr="00F247C3">
              <w:rPr>
                <w:b/>
                <w:bCs/>
                <w:sz w:val="20"/>
                <w:szCs w:val="20"/>
              </w:rPr>
              <w:t xml:space="preserve">2015 </w:t>
            </w:r>
            <w:r>
              <w:rPr>
                <w:b/>
                <w:bCs/>
                <w:sz w:val="20"/>
                <w:szCs w:val="20"/>
              </w:rPr>
              <w:t>4</w:t>
            </w:r>
            <w:r w:rsidRPr="00F247C3">
              <w:rPr>
                <w:b/>
                <w:bCs/>
                <w:sz w:val="20"/>
                <w:szCs w:val="20"/>
              </w:rPr>
              <w:t>. Çeyrek</w:t>
            </w:r>
          </w:p>
        </w:tc>
        <w:tc>
          <w:tcPr>
            <w:tcW w:w="959" w:type="dxa"/>
            <w:vAlign w:val="center"/>
          </w:tcPr>
          <w:p w:rsidR="009541EE" w:rsidRPr="00F247C3" w:rsidRDefault="009541EE" w:rsidP="009541EE">
            <w:pPr>
              <w:ind w:right="42"/>
              <w:jc w:val="center"/>
              <w:rPr>
                <w:b/>
                <w:bCs/>
                <w:sz w:val="20"/>
                <w:szCs w:val="20"/>
              </w:rPr>
            </w:pPr>
            <w:r w:rsidRPr="00F247C3">
              <w:rPr>
                <w:b/>
                <w:bCs/>
                <w:sz w:val="20"/>
                <w:szCs w:val="20"/>
              </w:rPr>
              <w:t>201</w:t>
            </w:r>
            <w:r>
              <w:rPr>
                <w:b/>
                <w:bCs/>
                <w:sz w:val="20"/>
                <w:szCs w:val="20"/>
              </w:rPr>
              <w:t>6</w:t>
            </w:r>
            <w:r w:rsidRPr="00F247C3">
              <w:rPr>
                <w:b/>
                <w:bCs/>
                <w:sz w:val="20"/>
                <w:szCs w:val="20"/>
              </w:rPr>
              <w:t xml:space="preserve"> </w:t>
            </w:r>
            <w:r>
              <w:rPr>
                <w:b/>
                <w:bCs/>
                <w:sz w:val="20"/>
                <w:szCs w:val="20"/>
              </w:rPr>
              <w:t>1</w:t>
            </w:r>
            <w:r w:rsidRPr="00F247C3">
              <w:rPr>
                <w:b/>
                <w:bCs/>
                <w:sz w:val="20"/>
                <w:szCs w:val="20"/>
              </w:rPr>
              <w:t>. Çeyrek</w:t>
            </w:r>
          </w:p>
        </w:tc>
      </w:tr>
      <w:tr w:rsidR="007F6677" w:rsidRPr="00F247C3" w:rsidTr="003202F8">
        <w:trPr>
          <w:trHeight w:val="370"/>
        </w:trPr>
        <w:tc>
          <w:tcPr>
            <w:tcW w:w="3106" w:type="dxa"/>
            <w:vAlign w:val="center"/>
          </w:tcPr>
          <w:p w:rsidR="007F6677" w:rsidRPr="00F247C3" w:rsidRDefault="007F6677" w:rsidP="00E24F81">
            <w:pPr>
              <w:ind w:right="42"/>
              <w:jc w:val="center"/>
              <w:rPr>
                <w:b/>
                <w:bCs/>
                <w:sz w:val="20"/>
                <w:szCs w:val="20"/>
              </w:rPr>
            </w:pPr>
            <w:r w:rsidRPr="00F247C3">
              <w:rPr>
                <w:b/>
                <w:bCs/>
                <w:sz w:val="20"/>
                <w:szCs w:val="20"/>
              </w:rPr>
              <w:t>İhracat*</w:t>
            </w:r>
          </w:p>
        </w:tc>
        <w:tc>
          <w:tcPr>
            <w:tcW w:w="1163" w:type="dxa"/>
            <w:vAlign w:val="center"/>
          </w:tcPr>
          <w:p w:rsidR="007F6677" w:rsidRPr="00F247C3" w:rsidRDefault="00DE79BA" w:rsidP="00194572">
            <w:pPr>
              <w:jc w:val="center"/>
              <w:rPr>
                <w:sz w:val="20"/>
                <w:szCs w:val="20"/>
              </w:rPr>
            </w:pPr>
            <w:r>
              <w:rPr>
                <w:sz w:val="20"/>
                <w:szCs w:val="20"/>
              </w:rPr>
              <w:t>-3,7</w:t>
            </w:r>
          </w:p>
        </w:tc>
        <w:tc>
          <w:tcPr>
            <w:tcW w:w="1123" w:type="dxa"/>
            <w:vAlign w:val="center"/>
          </w:tcPr>
          <w:p w:rsidR="007F6677" w:rsidRPr="00F247C3" w:rsidRDefault="00DE79BA" w:rsidP="00194572">
            <w:pPr>
              <w:jc w:val="center"/>
              <w:rPr>
                <w:sz w:val="20"/>
                <w:szCs w:val="20"/>
              </w:rPr>
            </w:pPr>
            <w:r>
              <w:rPr>
                <w:sz w:val="20"/>
                <w:szCs w:val="20"/>
              </w:rPr>
              <w:t>-0,4</w:t>
            </w:r>
          </w:p>
        </w:tc>
        <w:tc>
          <w:tcPr>
            <w:tcW w:w="1140" w:type="dxa"/>
            <w:vAlign w:val="center"/>
          </w:tcPr>
          <w:p w:rsidR="007F6677" w:rsidRPr="00F247C3" w:rsidRDefault="00DE79BA" w:rsidP="00194572">
            <w:pPr>
              <w:jc w:val="center"/>
              <w:rPr>
                <w:sz w:val="20"/>
                <w:szCs w:val="20"/>
              </w:rPr>
            </w:pPr>
            <w:r>
              <w:rPr>
                <w:sz w:val="20"/>
                <w:szCs w:val="20"/>
              </w:rPr>
              <w:t>-3,5</w:t>
            </w:r>
          </w:p>
        </w:tc>
        <w:tc>
          <w:tcPr>
            <w:tcW w:w="1072" w:type="dxa"/>
            <w:tcBorders>
              <w:right w:val="double" w:sz="4" w:space="0" w:color="auto"/>
            </w:tcBorders>
            <w:vAlign w:val="center"/>
          </w:tcPr>
          <w:p w:rsidR="007F6677" w:rsidRPr="00F247C3" w:rsidRDefault="007D04F8" w:rsidP="00194572">
            <w:pPr>
              <w:jc w:val="center"/>
              <w:rPr>
                <w:sz w:val="20"/>
                <w:szCs w:val="20"/>
              </w:rPr>
            </w:pPr>
            <w:r w:rsidRPr="00F247C3">
              <w:rPr>
                <w:sz w:val="20"/>
                <w:szCs w:val="20"/>
              </w:rPr>
              <w:t>**</w:t>
            </w:r>
          </w:p>
        </w:tc>
        <w:tc>
          <w:tcPr>
            <w:tcW w:w="959" w:type="dxa"/>
            <w:tcBorders>
              <w:left w:val="double" w:sz="4" w:space="0" w:color="auto"/>
            </w:tcBorders>
            <w:vAlign w:val="center"/>
          </w:tcPr>
          <w:p w:rsidR="007F6677" w:rsidRPr="00F247C3" w:rsidRDefault="009151E9" w:rsidP="00194572">
            <w:pPr>
              <w:jc w:val="center"/>
              <w:rPr>
                <w:sz w:val="20"/>
                <w:szCs w:val="20"/>
              </w:rPr>
            </w:pPr>
            <w:r>
              <w:rPr>
                <w:sz w:val="20"/>
                <w:szCs w:val="20"/>
              </w:rPr>
              <w:t>-0,2</w:t>
            </w:r>
          </w:p>
        </w:tc>
        <w:tc>
          <w:tcPr>
            <w:tcW w:w="959" w:type="dxa"/>
            <w:vAlign w:val="center"/>
          </w:tcPr>
          <w:p w:rsidR="007F6677" w:rsidRPr="00F247C3" w:rsidRDefault="00A9700A" w:rsidP="009151E9">
            <w:pPr>
              <w:jc w:val="center"/>
              <w:rPr>
                <w:sz w:val="20"/>
                <w:szCs w:val="20"/>
              </w:rPr>
            </w:pPr>
            <w:r>
              <w:rPr>
                <w:sz w:val="20"/>
                <w:szCs w:val="20"/>
              </w:rPr>
              <w:t>-</w:t>
            </w:r>
            <w:r w:rsidR="009151E9">
              <w:rPr>
                <w:sz w:val="20"/>
                <w:szCs w:val="20"/>
              </w:rPr>
              <w:t>5,0</w:t>
            </w:r>
          </w:p>
        </w:tc>
      </w:tr>
      <w:tr w:rsidR="007F6677" w:rsidRPr="00F247C3" w:rsidTr="003202F8">
        <w:trPr>
          <w:trHeight w:val="370"/>
        </w:trPr>
        <w:tc>
          <w:tcPr>
            <w:tcW w:w="3106" w:type="dxa"/>
            <w:tcBorders>
              <w:bottom w:val="nil"/>
            </w:tcBorders>
            <w:vAlign w:val="center"/>
          </w:tcPr>
          <w:p w:rsidR="007F6677" w:rsidRPr="00F247C3" w:rsidRDefault="007F6677" w:rsidP="00E24F81">
            <w:pPr>
              <w:ind w:right="42"/>
              <w:jc w:val="center"/>
              <w:rPr>
                <w:b/>
                <w:bCs/>
                <w:sz w:val="20"/>
                <w:szCs w:val="20"/>
              </w:rPr>
            </w:pPr>
            <w:r w:rsidRPr="00F247C3">
              <w:rPr>
                <w:b/>
                <w:bCs/>
                <w:sz w:val="20"/>
                <w:szCs w:val="20"/>
              </w:rPr>
              <w:t>İthalat*</w:t>
            </w:r>
          </w:p>
        </w:tc>
        <w:tc>
          <w:tcPr>
            <w:tcW w:w="1163" w:type="dxa"/>
            <w:tcBorders>
              <w:bottom w:val="nil"/>
            </w:tcBorders>
            <w:vAlign w:val="center"/>
          </w:tcPr>
          <w:p w:rsidR="007F6677" w:rsidRPr="00F247C3" w:rsidRDefault="00DE79BA" w:rsidP="00DE79BA">
            <w:pPr>
              <w:jc w:val="center"/>
              <w:rPr>
                <w:sz w:val="20"/>
                <w:szCs w:val="20"/>
              </w:rPr>
            </w:pPr>
            <w:r>
              <w:rPr>
                <w:sz w:val="20"/>
                <w:szCs w:val="20"/>
              </w:rPr>
              <w:t>-6,8</w:t>
            </w:r>
          </w:p>
        </w:tc>
        <w:tc>
          <w:tcPr>
            <w:tcW w:w="1123" w:type="dxa"/>
            <w:tcBorders>
              <w:bottom w:val="nil"/>
            </w:tcBorders>
            <w:vAlign w:val="center"/>
          </w:tcPr>
          <w:p w:rsidR="007F6677" w:rsidRPr="00F247C3" w:rsidRDefault="00DE79BA" w:rsidP="00194572">
            <w:pPr>
              <w:jc w:val="center"/>
              <w:rPr>
                <w:sz w:val="20"/>
                <w:szCs w:val="20"/>
              </w:rPr>
            </w:pPr>
            <w:r>
              <w:rPr>
                <w:sz w:val="20"/>
                <w:szCs w:val="20"/>
              </w:rPr>
              <w:t>7,2</w:t>
            </w:r>
          </w:p>
        </w:tc>
        <w:tc>
          <w:tcPr>
            <w:tcW w:w="1140" w:type="dxa"/>
            <w:tcBorders>
              <w:bottom w:val="nil"/>
            </w:tcBorders>
            <w:vAlign w:val="center"/>
          </w:tcPr>
          <w:p w:rsidR="007F6677" w:rsidRPr="00F247C3" w:rsidRDefault="00DE79BA" w:rsidP="00194572">
            <w:pPr>
              <w:jc w:val="center"/>
              <w:rPr>
                <w:sz w:val="20"/>
                <w:szCs w:val="20"/>
              </w:rPr>
            </w:pPr>
            <w:r>
              <w:rPr>
                <w:sz w:val="20"/>
                <w:szCs w:val="20"/>
              </w:rPr>
              <w:t>-3,0</w:t>
            </w:r>
          </w:p>
        </w:tc>
        <w:tc>
          <w:tcPr>
            <w:tcW w:w="1072" w:type="dxa"/>
            <w:tcBorders>
              <w:bottom w:val="nil"/>
              <w:right w:val="double" w:sz="4" w:space="0" w:color="auto"/>
            </w:tcBorders>
            <w:vAlign w:val="center"/>
          </w:tcPr>
          <w:p w:rsidR="007F6677" w:rsidRPr="00F247C3" w:rsidRDefault="007D04F8" w:rsidP="00194572">
            <w:pPr>
              <w:jc w:val="center"/>
              <w:rPr>
                <w:sz w:val="20"/>
                <w:szCs w:val="20"/>
              </w:rPr>
            </w:pPr>
            <w:r w:rsidRPr="00F247C3">
              <w:rPr>
                <w:sz w:val="20"/>
                <w:szCs w:val="20"/>
              </w:rPr>
              <w:t>**</w:t>
            </w:r>
          </w:p>
        </w:tc>
        <w:tc>
          <w:tcPr>
            <w:tcW w:w="959" w:type="dxa"/>
            <w:tcBorders>
              <w:left w:val="double" w:sz="4" w:space="0" w:color="auto"/>
              <w:bottom w:val="nil"/>
            </w:tcBorders>
            <w:vAlign w:val="center"/>
          </w:tcPr>
          <w:p w:rsidR="007F6677" w:rsidRPr="00F247C3" w:rsidRDefault="009151E9" w:rsidP="00194572">
            <w:pPr>
              <w:jc w:val="center"/>
              <w:rPr>
                <w:sz w:val="20"/>
                <w:szCs w:val="20"/>
              </w:rPr>
            </w:pPr>
            <w:r>
              <w:rPr>
                <w:sz w:val="20"/>
                <w:szCs w:val="20"/>
              </w:rPr>
              <w:t>1,1</w:t>
            </w:r>
          </w:p>
        </w:tc>
        <w:tc>
          <w:tcPr>
            <w:tcW w:w="959" w:type="dxa"/>
            <w:tcBorders>
              <w:bottom w:val="nil"/>
            </w:tcBorders>
            <w:vAlign w:val="center"/>
          </w:tcPr>
          <w:p w:rsidR="007F6677" w:rsidRPr="00F247C3" w:rsidRDefault="009151E9" w:rsidP="00194572">
            <w:pPr>
              <w:jc w:val="center"/>
              <w:rPr>
                <w:sz w:val="20"/>
                <w:szCs w:val="20"/>
              </w:rPr>
            </w:pPr>
            <w:r>
              <w:rPr>
                <w:sz w:val="20"/>
                <w:szCs w:val="20"/>
              </w:rPr>
              <w:t>-0,8</w:t>
            </w:r>
          </w:p>
        </w:tc>
      </w:tr>
      <w:tr w:rsidR="007F6677" w:rsidRPr="00F247C3" w:rsidTr="003202F8">
        <w:trPr>
          <w:trHeight w:val="370"/>
        </w:trPr>
        <w:tc>
          <w:tcPr>
            <w:tcW w:w="3106" w:type="dxa"/>
            <w:tcBorders>
              <w:top w:val="nil"/>
              <w:bottom w:val="nil"/>
            </w:tcBorders>
            <w:vAlign w:val="center"/>
          </w:tcPr>
          <w:p w:rsidR="007F6677" w:rsidRPr="00E74C12" w:rsidRDefault="007F6677" w:rsidP="00E24F81">
            <w:pPr>
              <w:ind w:right="42"/>
              <w:jc w:val="center"/>
              <w:rPr>
                <w:sz w:val="20"/>
                <w:szCs w:val="20"/>
              </w:rPr>
            </w:pPr>
            <w:r w:rsidRPr="00E74C12">
              <w:rPr>
                <w:sz w:val="20"/>
                <w:szCs w:val="20"/>
              </w:rPr>
              <w:t>Ara malı ithalatı*</w:t>
            </w:r>
          </w:p>
        </w:tc>
        <w:tc>
          <w:tcPr>
            <w:tcW w:w="1163" w:type="dxa"/>
            <w:tcBorders>
              <w:top w:val="nil"/>
              <w:bottom w:val="nil"/>
            </w:tcBorders>
            <w:vAlign w:val="center"/>
          </w:tcPr>
          <w:p w:rsidR="007F6677" w:rsidRPr="00E74C12" w:rsidRDefault="00E74C12" w:rsidP="003009F0">
            <w:pPr>
              <w:jc w:val="center"/>
              <w:rPr>
                <w:sz w:val="20"/>
                <w:szCs w:val="20"/>
              </w:rPr>
            </w:pPr>
            <w:r w:rsidRPr="00E74C12">
              <w:rPr>
                <w:sz w:val="20"/>
                <w:szCs w:val="20"/>
              </w:rPr>
              <w:t>-3,1</w:t>
            </w:r>
          </w:p>
        </w:tc>
        <w:tc>
          <w:tcPr>
            <w:tcW w:w="1123" w:type="dxa"/>
            <w:tcBorders>
              <w:top w:val="nil"/>
              <w:bottom w:val="nil"/>
            </w:tcBorders>
            <w:vAlign w:val="center"/>
          </w:tcPr>
          <w:p w:rsidR="007F6677" w:rsidRPr="00E74C12" w:rsidRDefault="00E74C12" w:rsidP="00194572">
            <w:pPr>
              <w:jc w:val="center"/>
              <w:rPr>
                <w:sz w:val="20"/>
                <w:szCs w:val="20"/>
              </w:rPr>
            </w:pPr>
            <w:r w:rsidRPr="00E74C12">
              <w:rPr>
                <w:sz w:val="20"/>
                <w:szCs w:val="20"/>
              </w:rPr>
              <w:t>7,0</w:t>
            </w:r>
          </w:p>
        </w:tc>
        <w:tc>
          <w:tcPr>
            <w:tcW w:w="1140" w:type="dxa"/>
            <w:tcBorders>
              <w:top w:val="nil"/>
              <w:bottom w:val="nil"/>
            </w:tcBorders>
            <w:vAlign w:val="center"/>
          </w:tcPr>
          <w:p w:rsidR="007F6677" w:rsidRPr="00E74C12" w:rsidRDefault="00E74C12" w:rsidP="00194572">
            <w:pPr>
              <w:jc w:val="center"/>
              <w:rPr>
                <w:sz w:val="20"/>
                <w:szCs w:val="20"/>
              </w:rPr>
            </w:pPr>
            <w:r w:rsidRPr="00E74C12">
              <w:rPr>
                <w:sz w:val="20"/>
                <w:szCs w:val="20"/>
              </w:rPr>
              <w:t>-3,8</w:t>
            </w:r>
          </w:p>
        </w:tc>
        <w:tc>
          <w:tcPr>
            <w:tcW w:w="1072" w:type="dxa"/>
            <w:tcBorders>
              <w:top w:val="nil"/>
              <w:bottom w:val="nil"/>
              <w:right w:val="double" w:sz="4" w:space="0" w:color="auto"/>
            </w:tcBorders>
            <w:vAlign w:val="center"/>
          </w:tcPr>
          <w:p w:rsidR="007F6677" w:rsidRPr="00E74C12" w:rsidRDefault="00141143" w:rsidP="00194572">
            <w:pPr>
              <w:jc w:val="center"/>
              <w:rPr>
                <w:sz w:val="20"/>
                <w:szCs w:val="20"/>
              </w:rPr>
            </w:pPr>
            <w:r w:rsidRPr="00E74C12">
              <w:rPr>
                <w:sz w:val="20"/>
                <w:szCs w:val="20"/>
              </w:rPr>
              <w:t>**</w:t>
            </w:r>
          </w:p>
        </w:tc>
        <w:tc>
          <w:tcPr>
            <w:tcW w:w="959" w:type="dxa"/>
            <w:tcBorders>
              <w:top w:val="nil"/>
              <w:left w:val="double" w:sz="4" w:space="0" w:color="auto"/>
              <w:bottom w:val="nil"/>
            </w:tcBorders>
            <w:vAlign w:val="center"/>
          </w:tcPr>
          <w:p w:rsidR="007F6677" w:rsidRPr="00E74C12" w:rsidRDefault="00E74C12" w:rsidP="00194572">
            <w:pPr>
              <w:jc w:val="center"/>
              <w:rPr>
                <w:sz w:val="20"/>
                <w:szCs w:val="20"/>
              </w:rPr>
            </w:pPr>
            <w:r w:rsidRPr="00E74C12">
              <w:rPr>
                <w:sz w:val="20"/>
                <w:szCs w:val="20"/>
              </w:rPr>
              <w:t>5,4</w:t>
            </w:r>
          </w:p>
        </w:tc>
        <w:tc>
          <w:tcPr>
            <w:tcW w:w="959" w:type="dxa"/>
            <w:tcBorders>
              <w:top w:val="nil"/>
              <w:bottom w:val="nil"/>
            </w:tcBorders>
            <w:vAlign w:val="center"/>
          </w:tcPr>
          <w:p w:rsidR="007F6677" w:rsidRPr="00E74C12" w:rsidRDefault="00E74C12" w:rsidP="00194572">
            <w:pPr>
              <w:jc w:val="center"/>
              <w:rPr>
                <w:sz w:val="20"/>
                <w:szCs w:val="20"/>
              </w:rPr>
            </w:pPr>
            <w:r>
              <w:rPr>
                <w:sz w:val="20"/>
                <w:szCs w:val="20"/>
              </w:rPr>
              <w:t>-0,5</w:t>
            </w:r>
          </w:p>
        </w:tc>
      </w:tr>
      <w:tr w:rsidR="00C57133" w:rsidRPr="00F247C3" w:rsidTr="00E74C12">
        <w:trPr>
          <w:trHeight w:val="370"/>
        </w:trPr>
        <w:tc>
          <w:tcPr>
            <w:tcW w:w="3106" w:type="dxa"/>
            <w:tcBorders>
              <w:top w:val="nil"/>
              <w:bottom w:val="nil"/>
            </w:tcBorders>
            <w:vAlign w:val="center"/>
          </w:tcPr>
          <w:p w:rsidR="00C57133" w:rsidRPr="00E74C12" w:rsidRDefault="00C57133" w:rsidP="00E24F81">
            <w:pPr>
              <w:ind w:right="42"/>
              <w:jc w:val="center"/>
              <w:rPr>
                <w:sz w:val="20"/>
                <w:szCs w:val="20"/>
              </w:rPr>
            </w:pPr>
            <w:r w:rsidRPr="00E74C12">
              <w:rPr>
                <w:sz w:val="20"/>
                <w:szCs w:val="20"/>
              </w:rPr>
              <w:t>Tüketim malı ithalatı*</w:t>
            </w:r>
          </w:p>
        </w:tc>
        <w:tc>
          <w:tcPr>
            <w:tcW w:w="1163" w:type="dxa"/>
            <w:tcBorders>
              <w:top w:val="nil"/>
              <w:bottom w:val="nil"/>
            </w:tcBorders>
            <w:vAlign w:val="center"/>
          </w:tcPr>
          <w:p w:rsidR="00C57133" w:rsidRPr="00E74C12" w:rsidRDefault="00E74C12" w:rsidP="00316EF9">
            <w:pPr>
              <w:jc w:val="center"/>
              <w:rPr>
                <w:sz w:val="20"/>
                <w:szCs w:val="20"/>
              </w:rPr>
            </w:pPr>
            <w:r w:rsidRPr="00E74C12">
              <w:rPr>
                <w:sz w:val="20"/>
                <w:szCs w:val="20"/>
              </w:rPr>
              <w:t>-8,9</w:t>
            </w:r>
          </w:p>
        </w:tc>
        <w:tc>
          <w:tcPr>
            <w:tcW w:w="1123" w:type="dxa"/>
            <w:tcBorders>
              <w:top w:val="nil"/>
              <w:bottom w:val="nil"/>
            </w:tcBorders>
            <w:vAlign w:val="center"/>
          </w:tcPr>
          <w:p w:rsidR="00C57133" w:rsidRPr="00E74C12" w:rsidRDefault="00E74C12" w:rsidP="00316EF9">
            <w:pPr>
              <w:jc w:val="center"/>
              <w:rPr>
                <w:sz w:val="20"/>
                <w:szCs w:val="20"/>
              </w:rPr>
            </w:pPr>
            <w:r w:rsidRPr="00E74C12">
              <w:rPr>
                <w:sz w:val="20"/>
                <w:szCs w:val="20"/>
              </w:rPr>
              <w:t>2,2</w:t>
            </w:r>
          </w:p>
        </w:tc>
        <w:tc>
          <w:tcPr>
            <w:tcW w:w="1140" w:type="dxa"/>
            <w:tcBorders>
              <w:top w:val="nil"/>
              <w:bottom w:val="nil"/>
            </w:tcBorders>
            <w:vAlign w:val="center"/>
          </w:tcPr>
          <w:p w:rsidR="00C57133" w:rsidRPr="00E74C12" w:rsidRDefault="00E74C12" w:rsidP="00316EF9">
            <w:pPr>
              <w:jc w:val="center"/>
              <w:rPr>
                <w:sz w:val="20"/>
                <w:szCs w:val="20"/>
              </w:rPr>
            </w:pPr>
            <w:r w:rsidRPr="00E74C12">
              <w:rPr>
                <w:sz w:val="20"/>
                <w:szCs w:val="20"/>
              </w:rPr>
              <w:t>-1,9</w:t>
            </w:r>
          </w:p>
        </w:tc>
        <w:tc>
          <w:tcPr>
            <w:tcW w:w="1072" w:type="dxa"/>
            <w:tcBorders>
              <w:top w:val="nil"/>
              <w:bottom w:val="nil"/>
              <w:right w:val="double" w:sz="4" w:space="0" w:color="auto"/>
            </w:tcBorders>
            <w:vAlign w:val="center"/>
          </w:tcPr>
          <w:p w:rsidR="00C57133" w:rsidRPr="00E74C12" w:rsidRDefault="00C57133" w:rsidP="00194572">
            <w:pPr>
              <w:jc w:val="center"/>
              <w:rPr>
                <w:sz w:val="20"/>
                <w:szCs w:val="20"/>
              </w:rPr>
            </w:pPr>
            <w:r w:rsidRPr="00E74C12">
              <w:rPr>
                <w:sz w:val="20"/>
                <w:szCs w:val="20"/>
              </w:rPr>
              <w:t>**</w:t>
            </w:r>
          </w:p>
        </w:tc>
        <w:tc>
          <w:tcPr>
            <w:tcW w:w="959" w:type="dxa"/>
            <w:tcBorders>
              <w:top w:val="nil"/>
              <w:left w:val="double" w:sz="4" w:space="0" w:color="auto"/>
              <w:bottom w:val="nil"/>
            </w:tcBorders>
            <w:shd w:val="clear" w:color="auto" w:fill="auto"/>
            <w:vAlign w:val="center"/>
          </w:tcPr>
          <w:p w:rsidR="00C57133" w:rsidRPr="00E74C12" w:rsidRDefault="00E74C12" w:rsidP="00194572">
            <w:pPr>
              <w:jc w:val="center"/>
              <w:rPr>
                <w:sz w:val="20"/>
                <w:szCs w:val="20"/>
              </w:rPr>
            </w:pPr>
            <w:r w:rsidRPr="00E74C12">
              <w:rPr>
                <w:sz w:val="20"/>
                <w:szCs w:val="20"/>
              </w:rPr>
              <w:t>-4,3</w:t>
            </w:r>
          </w:p>
        </w:tc>
        <w:tc>
          <w:tcPr>
            <w:tcW w:w="959" w:type="dxa"/>
            <w:tcBorders>
              <w:top w:val="nil"/>
              <w:bottom w:val="nil"/>
            </w:tcBorders>
            <w:shd w:val="clear" w:color="auto" w:fill="auto"/>
            <w:vAlign w:val="center"/>
          </w:tcPr>
          <w:p w:rsidR="00C57133" w:rsidRPr="00E74C12" w:rsidRDefault="00E74C12" w:rsidP="00194572">
            <w:pPr>
              <w:jc w:val="center"/>
              <w:rPr>
                <w:sz w:val="20"/>
                <w:szCs w:val="20"/>
              </w:rPr>
            </w:pPr>
            <w:r w:rsidRPr="00E74C12">
              <w:rPr>
                <w:sz w:val="20"/>
                <w:szCs w:val="20"/>
              </w:rPr>
              <w:t>-3,6</w:t>
            </w:r>
          </w:p>
        </w:tc>
      </w:tr>
      <w:tr w:rsidR="00C57133" w:rsidRPr="00F247C3" w:rsidTr="00E74C12">
        <w:trPr>
          <w:trHeight w:val="370"/>
        </w:trPr>
        <w:tc>
          <w:tcPr>
            <w:tcW w:w="3106" w:type="dxa"/>
            <w:tcBorders>
              <w:top w:val="nil"/>
            </w:tcBorders>
            <w:vAlign w:val="center"/>
          </w:tcPr>
          <w:p w:rsidR="00C57133" w:rsidRPr="00E74C12" w:rsidRDefault="00C57133" w:rsidP="00E24F81">
            <w:pPr>
              <w:ind w:right="42"/>
              <w:jc w:val="center"/>
              <w:rPr>
                <w:sz w:val="20"/>
                <w:szCs w:val="20"/>
              </w:rPr>
            </w:pPr>
            <w:r w:rsidRPr="00E74C12">
              <w:rPr>
                <w:sz w:val="20"/>
                <w:szCs w:val="20"/>
              </w:rPr>
              <w:t>Yatırım malı ithalatı*</w:t>
            </w:r>
          </w:p>
        </w:tc>
        <w:tc>
          <w:tcPr>
            <w:tcW w:w="1163" w:type="dxa"/>
            <w:tcBorders>
              <w:top w:val="nil"/>
            </w:tcBorders>
            <w:vAlign w:val="center"/>
          </w:tcPr>
          <w:p w:rsidR="00C57133" w:rsidRPr="00E74C12" w:rsidRDefault="00E74C12" w:rsidP="00194572">
            <w:pPr>
              <w:jc w:val="center"/>
              <w:rPr>
                <w:sz w:val="20"/>
                <w:szCs w:val="20"/>
              </w:rPr>
            </w:pPr>
            <w:r w:rsidRPr="00E74C12">
              <w:rPr>
                <w:sz w:val="20"/>
                <w:szCs w:val="20"/>
              </w:rPr>
              <w:t>-10,0</w:t>
            </w:r>
          </w:p>
        </w:tc>
        <w:tc>
          <w:tcPr>
            <w:tcW w:w="1123" w:type="dxa"/>
            <w:tcBorders>
              <w:top w:val="nil"/>
            </w:tcBorders>
            <w:vAlign w:val="center"/>
          </w:tcPr>
          <w:p w:rsidR="00C57133" w:rsidRPr="00E74C12" w:rsidRDefault="00E74C12" w:rsidP="00194572">
            <w:pPr>
              <w:jc w:val="center"/>
              <w:rPr>
                <w:sz w:val="20"/>
                <w:szCs w:val="20"/>
              </w:rPr>
            </w:pPr>
            <w:r w:rsidRPr="00E74C12">
              <w:rPr>
                <w:sz w:val="20"/>
                <w:szCs w:val="20"/>
              </w:rPr>
              <w:t>0,3</w:t>
            </w:r>
          </w:p>
        </w:tc>
        <w:tc>
          <w:tcPr>
            <w:tcW w:w="1140" w:type="dxa"/>
            <w:tcBorders>
              <w:top w:val="nil"/>
            </w:tcBorders>
            <w:vAlign w:val="center"/>
          </w:tcPr>
          <w:p w:rsidR="00C57133" w:rsidRPr="00E74C12" w:rsidRDefault="00E74C12" w:rsidP="00194572">
            <w:pPr>
              <w:jc w:val="center"/>
              <w:rPr>
                <w:sz w:val="20"/>
                <w:szCs w:val="20"/>
              </w:rPr>
            </w:pPr>
            <w:r w:rsidRPr="00E74C12">
              <w:rPr>
                <w:sz w:val="20"/>
                <w:szCs w:val="20"/>
              </w:rPr>
              <w:t>6,7</w:t>
            </w:r>
          </w:p>
        </w:tc>
        <w:tc>
          <w:tcPr>
            <w:tcW w:w="1072" w:type="dxa"/>
            <w:tcBorders>
              <w:top w:val="nil"/>
              <w:right w:val="double" w:sz="4" w:space="0" w:color="auto"/>
            </w:tcBorders>
            <w:vAlign w:val="center"/>
          </w:tcPr>
          <w:p w:rsidR="00C57133" w:rsidRPr="00E74C12" w:rsidRDefault="00C57133" w:rsidP="00194572">
            <w:pPr>
              <w:jc w:val="center"/>
              <w:rPr>
                <w:sz w:val="20"/>
                <w:szCs w:val="20"/>
              </w:rPr>
            </w:pPr>
            <w:r w:rsidRPr="00E74C12">
              <w:rPr>
                <w:sz w:val="20"/>
                <w:szCs w:val="20"/>
              </w:rPr>
              <w:t>**</w:t>
            </w:r>
          </w:p>
        </w:tc>
        <w:tc>
          <w:tcPr>
            <w:tcW w:w="959" w:type="dxa"/>
            <w:tcBorders>
              <w:top w:val="nil"/>
              <w:left w:val="double" w:sz="4" w:space="0" w:color="auto"/>
            </w:tcBorders>
            <w:shd w:val="clear" w:color="auto" w:fill="auto"/>
            <w:vAlign w:val="center"/>
          </w:tcPr>
          <w:p w:rsidR="00C57133" w:rsidRPr="00E74C12" w:rsidRDefault="00E74C12" w:rsidP="00194572">
            <w:pPr>
              <w:jc w:val="center"/>
              <w:rPr>
                <w:sz w:val="20"/>
                <w:szCs w:val="20"/>
              </w:rPr>
            </w:pPr>
            <w:r w:rsidRPr="00E74C12">
              <w:rPr>
                <w:sz w:val="20"/>
                <w:szCs w:val="20"/>
              </w:rPr>
              <w:t>-8,0</w:t>
            </w:r>
          </w:p>
        </w:tc>
        <w:tc>
          <w:tcPr>
            <w:tcW w:w="959" w:type="dxa"/>
            <w:tcBorders>
              <w:top w:val="nil"/>
            </w:tcBorders>
            <w:shd w:val="clear" w:color="auto" w:fill="auto"/>
            <w:vAlign w:val="center"/>
          </w:tcPr>
          <w:p w:rsidR="00C57133" w:rsidRPr="00E74C12" w:rsidRDefault="00E74C12" w:rsidP="00194572">
            <w:pPr>
              <w:jc w:val="center"/>
              <w:rPr>
                <w:sz w:val="20"/>
                <w:szCs w:val="20"/>
              </w:rPr>
            </w:pPr>
            <w:r w:rsidRPr="00E74C12">
              <w:rPr>
                <w:sz w:val="20"/>
                <w:szCs w:val="20"/>
              </w:rPr>
              <w:t>3,0</w:t>
            </w:r>
          </w:p>
        </w:tc>
      </w:tr>
      <w:tr w:rsidR="00C57133" w:rsidRPr="00F247C3" w:rsidTr="003202F8">
        <w:trPr>
          <w:trHeight w:val="370"/>
        </w:trPr>
        <w:tc>
          <w:tcPr>
            <w:tcW w:w="3106" w:type="dxa"/>
            <w:vAlign w:val="center"/>
          </w:tcPr>
          <w:p w:rsidR="00C57133" w:rsidRPr="00655756" w:rsidRDefault="00C57133" w:rsidP="00E24F81">
            <w:pPr>
              <w:ind w:right="42"/>
              <w:jc w:val="center"/>
              <w:rPr>
                <w:b/>
                <w:bCs/>
                <w:sz w:val="20"/>
                <w:szCs w:val="20"/>
              </w:rPr>
            </w:pPr>
            <w:r w:rsidRPr="00655756">
              <w:rPr>
                <w:b/>
                <w:bCs/>
                <w:sz w:val="20"/>
                <w:szCs w:val="20"/>
              </w:rPr>
              <w:t>Altın hariç reel ihracat***</w:t>
            </w:r>
          </w:p>
        </w:tc>
        <w:tc>
          <w:tcPr>
            <w:tcW w:w="1163" w:type="dxa"/>
            <w:vAlign w:val="center"/>
          </w:tcPr>
          <w:p w:rsidR="00C57133" w:rsidRPr="00655756" w:rsidRDefault="00864CA1" w:rsidP="00194572">
            <w:pPr>
              <w:jc w:val="center"/>
              <w:rPr>
                <w:sz w:val="20"/>
                <w:szCs w:val="20"/>
              </w:rPr>
            </w:pPr>
            <w:r w:rsidRPr="00655756">
              <w:rPr>
                <w:sz w:val="20"/>
                <w:szCs w:val="20"/>
              </w:rPr>
              <w:t>-0,5</w:t>
            </w:r>
          </w:p>
        </w:tc>
        <w:tc>
          <w:tcPr>
            <w:tcW w:w="1123" w:type="dxa"/>
            <w:vAlign w:val="center"/>
          </w:tcPr>
          <w:p w:rsidR="00C57133" w:rsidRPr="00655756" w:rsidRDefault="00655756" w:rsidP="00194572">
            <w:pPr>
              <w:jc w:val="center"/>
              <w:rPr>
                <w:sz w:val="20"/>
                <w:szCs w:val="20"/>
              </w:rPr>
            </w:pPr>
            <w:r w:rsidRPr="00655756">
              <w:rPr>
                <w:sz w:val="20"/>
                <w:szCs w:val="20"/>
              </w:rPr>
              <w:t>-1,7</w:t>
            </w:r>
          </w:p>
        </w:tc>
        <w:tc>
          <w:tcPr>
            <w:tcW w:w="1140" w:type="dxa"/>
            <w:vAlign w:val="center"/>
          </w:tcPr>
          <w:p w:rsidR="00C57133" w:rsidRPr="00655756" w:rsidRDefault="00655756" w:rsidP="00194572">
            <w:pPr>
              <w:jc w:val="center"/>
              <w:rPr>
                <w:sz w:val="20"/>
                <w:szCs w:val="20"/>
              </w:rPr>
            </w:pPr>
            <w:r w:rsidRPr="00655756">
              <w:rPr>
                <w:sz w:val="20"/>
                <w:szCs w:val="20"/>
              </w:rPr>
              <w:t>-1,2</w:t>
            </w:r>
          </w:p>
        </w:tc>
        <w:tc>
          <w:tcPr>
            <w:tcW w:w="1072" w:type="dxa"/>
            <w:tcBorders>
              <w:right w:val="double" w:sz="4" w:space="0" w:color="auto"/>
            </w:tcBorders>
            <w:vAlign w:val="center"/>
          </w:tcPr>
          <w:p w:rsidR="00C57133" w:rsidRPr="00655756" w:rsidRDefault="00C57133" w:rsidP="00194572">
            <w:pPr>
              <w:jc w:val="center"/>
              <w:rPr>
                <w:sz w:val="20"/>
                <w:szCs w:val="20"/>
              </w:rPr>
            </w:pPr>
            <w:r w:rsidRPr="00655756">
              <w:rPr>
                <w:sz w:val="20"/>
                <w:szCs w:val="20"/>
              </w:rPr>
              <w:t>**</w:t>
            </w:r>
          </w:p>
        </w:tc>
        <w:tc>
          <w:tcPr>
            <w:tcW w:w="959" w:type="dxa"/>
            <w:tcBorders>
              <w:left w:val="double" w:sz="4" w:space="0" w:color="auto"/>
            </w:tcBorders>
            <w:vAlign w:val="center"/>
          </w:tcPr>
          <w:p w:rsidR="00C57133" w:rsidRPr="00655756" w:rsidRDefault="00655756" w:rsidP="00194572">
            <w:pPr>
              <w:jc w:val="center"/>
              <w:rPr>
                <w:sz w:val="20"/>
                <w:szCs w:val="20"/>
              </w:rPr>
            </w:pPr>
            <w:r w:rsidRPr="00655756">
              <w:rPr>
                <w:sz w:val="20"/>
                <w:szCs w:val="20"/>
              </w:rPr>
              <w:t>0,1</w:t>
            </w:r>
          </w:p>
        </w:tc>
        <w:tc>
          <w:tcPr>
            <w:tcW w:w="959" w:type="dxa"/>
            <w:vAlign w:val="center"/>
          </w:tcPr>
          <w:p w:rsidR="00C57133" w:rsidRPr="00655756" w:rsidRDefault="00655756" w:rsidP="00194572">
            <w:pPr>
              <w:jc w:val="center"/>
              <w:rPr>
                <w:sz w:val="20"/>
                <w:szCs w:val="20"/>
              </w:rPr>
            </w:pPr>
            <w:r w:rsidRPr="00655756">
              <w:rPr>
                <w:sz w:val="20"/>
                <w:szCs w:val="20"/>
              </w:rPr>
              <w:t>-2,5</w:t>
            </w:r>
          </w:p>
        </w:tc>
      </w:tr>
      <w:tr w:rsidR="00C57133" w:rsidRPr="00F247C3" w:rsidTr="003202F8">
        <w:trPr>
          <w:trHeight w:val="370"/>
        </w:trPr>
        <w:tc>
          <w:tcPr>
            <w:tcW w:w="3106" w:type="dxa"/>
            <w:vAlign w:val="center"/>
          </w:tcPr>
          <w:p w:rsidR="00C57133" w:rsidRPr="00655756" w:rsidRDefault="00C57133" w:rsidP="00E24F81">
            <w:pPr>
              <w:ind w:right="42"/>
              <w:jc w:val="center"/>
              <w:rPr>
                <w:b/>
                <w:bCs/>
                <w:sz w:val="20"/>
                <w:szCs w:val="20"/>
              </w:rPr>
            </w:pPr>
            <w:r w:rsidRPr="00655756">
              <w:rPr>
                <w:b/>
                <w:bCs/>
                <w:sz w:val="20"/>
                <w:szCs w:val="20"/>
              </w:rPr>
              <w:t>Altın hariç reel ithalat***</w:t>
            </w:r>
          </w:p>
        </w:tc>
        <w:tc>
          <w:tcPr>
            <w:tcW w:w="1163" w:type="dxa"/>
            <w:vAlign w:val="center"/>
          </w:tcPr>
          <w:p w:rsidR="00C57133" w:rsidRPr="00655756" w:rsidRDefault="00655756" w:rsidP="00194572">
            <w:pPr>
              <w:jc w:val="center"/>
              <w:rPr>
                <w:sz w:val="20"/>
                <w:szCs w:val="20"/>
              </w:rPr>
            </w:pPr>
            <w:r w:rsidRPr="00655756">
              <w:rPr>
                <w:sz w:val="20"/>
                <w:szCs w:val="20"/>
              </w:rPr>
              <w:t>-4,9</w:t>
            </w:r>
          </w:p>
        </w:tc>
        <w:tc>
          <w:tcPr>
            <w:tcW w:w="1123" w:type="dxa"/>
            <w:vAlign w:val="center"/>
          </w:tcPr>
          <w:p w:rsidR="00C57133" w:rsidRPr="00655756" w:rsidRDefault="00655756" w:rsidP="00194572">
            <w:pPr>
              <w:jc w:val="center"/>
              <w:rPr>
                <w:sz w:val="20"/>
                <w:szCs w:val="20"/>
              </w:rPr>
            </w:pPr>
            <w:r w:rsidRPr="00655756">
              <w:rPr>
                <w:sz w:val="20"/>
                <w:szCs w:val="20"/>
              </w:rPr>
              <w:t>3,6</w:t>
            </w:r>
          </w:p>
        </w:tc>
        <w:tc>
          <w:tcPr>
            <w:tcW w:w="1140" w:type="dxa"/>
            <w:vAlign w:val="center"/>
          </w:tcPr>
          <w:p w:rsidR="00C57133" w:rsidRPr="00655756" w:rsidRDefault="00655756" w:rsidP="00194572">
            <w:pPr>
              <w:jc w:val="center"/>
              <w:rPr>
                <w:sz w:val="20"/>
                <w:szCs w:val="20"/>
              </w:rPr>
            </w:pPr>
            <w:r w:rsidRPr="00655756">
              <w:rPr>
                <w:sz w:val="20"/>
                <w:szCs w:val="20"/>
              </w:rPr>
              <w:t>-1,6</w:t>
            </w:r>
          </w:p>
        </w:tc>
        <w:tc>
          <w:tcPr>
            <w:tcW w:w="1072" w:type="dxa"/>
            <w:tcBorders>
              <w:right w:val="double" w:sz="4" w:space="0" w:color="auto"/>
            </w:tcBorders>
            <w:vAlign w:val="center"/>
          </w:tcPr>
          <w:p w:rsidR="00C57133" w:rsidRPr="00655756" w:rsidRDefault="00C57133" w:rsidP="00194572">
            <w:pPr>
              <w:jc w:val="center"/>
              <w:rPr>
                <w:sz w:val="20"/>
                <w:szCs w:val="20"/>
              </w:rPr>
            </w:pPr>
            <w:r w:rsidRPr="00655756">
              <w:rPr>
                <w:sz w:val="20"/>
                <w:szCs w:val="20"/>
              </w:rPr>
              <w:t>**</w:t>
            </w:r>
          </w:p>
        </w:tc>
        <w:tc>
          <w:tcPr>
            <w:tcW w:w="959" w:type="dxa"/>
            <w:tcBorders>
              <w:left w:val="double" w:sz="4" w:space="0" w:color="auto"/>
            </w:tcBorders>
            <w:vAlign w:val="center"/>
          </w:tcPr>
          <w:p w:rsidR="00C57133" w:rsidRPr="00655756" w:rsidRDefault="00655756" w:rsidP="00194572">
            <w:pPr>
              <w:jc w:val="center"/>
              <w:rPr>
                <w:sz w:val="20"/>
                <w:szCs w:val="20"/>
              </w:rPr>
            </w:pPr>
            <w:r w:rsidRPr="00655756">
              <w:rPr>
                <w:sz w:val="20"/>
                <w:szCs w:val="20"/>
              </w:rPr>
              <w:t>2,7</w:t>
            </w:r>
          </w:p>
        </w:tc>
        <w:tc>
          <w:tcPr>
            <w:tcW w:w="959" w:type="dxa"/>
            <w:vAlign w:val="center"/>
          </w:tcPr>
          <w:p w:rsidR="00C57133" w:rsidRPr="00655756" w:rsidRDefault="00655756" w:rsidP="00194572">
            <w:pPr>
              <w:jc w:val="center"/>
              <w:rPr>
                <w:sz w:val="20"/>
                <w:szCs w:val="20"/>
              </w:rPr>
            </w:pPr>
            <w:r w:rsidRPr="00655756">
              <w:rPr>
                <w:sz w:val="20"/>
                <w:szCs w:val="20"/>
              </w:rPr>
              <w:t>-1,0</w:t>
            </w:r>
          </w:p>
        </w:tc>
      </w:tr>
      <w:tr w:rsidR="00C57133" w:rsidRPr="00F247C3" w:rsidTr="003202F8">
        <w:trPr>
          <w:trHeight w:val="370"/>
        </w:trPr>
        <w:tc>
          <w:tcPr>
            <w:tcW w:w="3106" w:type="dxa"/>
            <w:tcBorders>
              <w:bottom w:val="nil"/>
            </w:tcBorders>
            <w:vAlign w:val="center"/>
          </w:tcPr>
          <w:p w:rsidR="00C57133" w:rsidRPr="00CE7C47" w:rsidRDefault="00C57133" w:rsidP="00E24F81">
            <w:pPr>
              <w:ind w:right="42"/>
              <w:jc w:val="center"/>
              <w:rPr>
                <w:b/>
                <w:bCs/>
                <w:sz w:val="20"/>
                <w:szCs w:val="20"/>
              </w:rPr>
            </w:pPr>
            <w:r w:rsidRPr="00CE7C47">
              <w:rPr>
                <w:b/>
                <w:bCs/>
                <w:sz w:val="20"/>
                <w:szCs w:val="20"/>
              </w:rPr>
              <w:t>Sanayi üretim endeksi (SÜE)*</w:t>
            </w:r>
          </w:p>
        </w:tc>
        <w:tc>
          <w:tcPr>
            <w:tcW w:w="1163" w:type="dxa"/>
            <w:tcBorders>
              <w:bottom w:val="nil"/>
            </w:tcBorders>
            <w:vAlign w:val="center"/>
          </w:tcPr>
          <w:p w:rsidR="00C57133" w:rsidRPr="00CE7C47" w:rsidRDefault="007C67DB" w:rsidP="00194572">
            <w:pPr>
              <w:jc w:val="center"/>
              <w:rPr>
                <w:sz w:val="20"/>
                <w:szCs w:val="20"/>
              </w:rPr>
            </w:pPr>
            <w:r w:rsidRPr="00CE7C47">
              <w:rPr>
                <w:sz w:val="20"/>
                <w:szCs w:val="20"/>
              </w:rPr>
              <w:t>-0,8</w:t>
            </w:r>
          </w:p>
        </w:tc>
        <w:tc>
          <w:tcPr>
            <w:tcW w:w="1123" w:type="dxa"/>
            <w:tcBorders>
              <w:bottom w:val="nil"/>
            </w:tcBorders>
            <w:vAlign w:val="center"/>
          </w:tcPr>
          <w:p w:rsidR="00C57133" w:rsidRPr="007C67DB" w:rsidRDefault="007C67DB" w:rsidP="00194572">
            <w:pPr>
              <w:jc w:val="center"/>
              <w:rPr>
                <w:sz w:val="20"/>
                <w:szCs w:val="20"/>
              </w:rPr>
            </w:pPr>
            <w:r w:rsidRPr="007C67DB">
              <w:rPr>
                <w:sz w:val="20"/>
                <w:szCs w:val="20"/>
              </w:rPr>
              <w:t>0,8</w:t>
            </w:r>
          </w:p>
        </w:tc>
        <w:tc>
          <w:tcPr>
            <w:tcW w:w="1140" w:type="dxa"/>
            <w:tcBorders>
              <w:bottom w:val="nil"/>
            </w:tcBorders>
            <w:vAlign w:val="center"/>
          </w:tcPr>
          <w:p w:rsidR="00C57133" w:rsidRPr="007C67DB" w:rsidRDefault="007C67DB" w:rsidP="00194572">
            <w:pPr>
              <w:jc w:val="center"/>
              <w:rPr>
                <w:sz w:val="20"/>
                <w:szCs w:val="20"/>
              </w:rPr>
            </w:pPr>
            <w:r w:rsidRPr="007C67DB">
              <w:rPr>
                <w:sz w:val="20"/>
                <w:szCs w:val="20"/>
              </w:rPr>
              <w:t>1,0</w:t>
            </w:r>
          </w:p>
        </w:tc>
        <w:tc>
          <w:tcPr>
            <w:tcW w:w="1072" w:type="dxa"/>
            <w:tcBorders>
              <w:bottom w:val="nil"/>
              <w:right w:val="double" w:sz="4" w:space="0" w:color="auto"/>
            </w:tcBorders>
            <w:vAlign w:val="center"/>
          </w:tcPr>
          <w:p w:rsidR="00C57133" w:rsidRPr="00E203F3" w:rsidRDefault="00C57133" w:rsidP="00194572">
            <w:pPr>
              <w:jc w:val="center"/>
              <w:rPr>
                <w:sz w:val="20"/>
                <w:szCs w:val="20"/>
              </w:rPr>
            </w:pPr>
            <w:r w:rsidRPr="00E203F3">
              <w:rPr>
                <w:sz w:val="20"/>
                <w:szCs w:val="20"/>
              </w:rPr>
              <w:t>**</w:t>
            </w:r>
          </w:p>
        </w:tc>
        <w:tc>
          <w:tcPr>
            <w:tcW w:w="959" w:type="dxa"/>
            <w:tcBorders>
              <w:left w:val="double" w:sz="4" w:space="0" w:color="auto"/>
              <w:bottom w:val="nil"/>
            </w:tcBorders>
            <w:vAlign w:val="center"/>
          </w:tcPr>
          <w:p w:rsidR="00C57133" w:rsidRPr="00E203F3" w:rsidRDefault="00E203F3" w:rsidP="00A13EC9">
            <w:pPr>
              <w:jc w:val="center"/>
              <w:rPr>
                <w:sz w:val="20"/>
                <w:szCs w:val="20"/>
              </w:rPr>
            </w:pPr>
            <w:r w:rsidRPr="00E203F3">
              <w:rPr>
                <w:sz w:val="20"/>
                <w:szCs w:val="20"/>
              </w:rPr>
              <w:t>0,8</w:t>
            </w:r>
          </w:p>
        </w:tc>
        <w:tc>
          <w:tcPr>
            <w:tcW w:w="959" w:type="dxa"/>
            <w:tcBorders>
              <w:bottom w:val="nil"/>
            </w:tcBorders>
            <w:vAlign w:val="center"/>
          </w:tcPr>
          <w:p w:rsidR="00C57133" w:rsidRPr="00E203F3" w:rsidRDefault="00E203F3" w:rsidP="00194572">
            <w:pPr>
              <w:jc w:val="center"/>
              <w:rPr>
                <w:sz w:val="20"/>
                <w:szCs w:val="20"/>
              </w:rPr>
            </w:pPr>
            <w:r w:rsidRPr="00E203F3">
              <w:rPr>
                <w:sz w:val="20"/>
                <w:szCs w:val="20"/>
              </w:rPr>
              <w:t>1,3</w:t>
            </w:r>
          </w:p>
        </w:tc>
      </w:tr>
      <w:tr w:rsidR="00386F1D" w:rsidRPr="00F247C3" w:rsidTr="003202F8">
        <w:trPr>
          <w:trHeight w:val="370"/>
        </w:trPr>
        <w:tc>
          <w:tcPr>
            <w:tcW w:w="3106" w:type="dxa"/>
            <w:tcBorders>
              <w:top w:val="nil"/>
              <w:bottom w:val="nil"/>
            </w:tcBorders>
            <w:vAlign w:val="center"/>
          </w:tcPr>
          <w:p w:rsidR="00386F1D" w:rsidRPr="00C618E8" w:rsidRDefault="00386F1D" w:rsidP="00E24F81">
            <w:pPr>
              <w:ind w:right="42"/>
              <w:jc w:val="center"/>
              <w:rPr>
                <w:sz w:val="20"/>
                <w:szCs w:val="20"/>
              </w:rPr>
            </w:pPr>
            <w:r w:rsidRPr="00C618E8">
              <w:rPr>
                <w:sz w:val="20"/>
                <w:szCs w:val="20"/>
              </w:rPr>
              <w:t>Dayanıksız tüketim malı imalatı*</w:t>
            </w:r>
          </w:p>
        </w:tc>
        <w:tc>
          <w:tcPr>
            <w:tcW w:w="1163" w:type="dxa"/>
            <w:tcBorders>
              <w:top w:val="nil"/>
              <w:bottom w:val="nil"/>
            </w:tcBorders>
            <w:vAlign w:val="center"/>
          </w:tcPr>
          <w:p w:rsidR="00386F1D" w:rsidRPr="00C618E8" w:rsidRDefault="00386F1D" w:rsidP="00133782">
            <w:pPr>
              <w:jc w:val="center"/>
              <w:rPr>
                <w:sz w:val="20"/>
                <w:szCs w:val="20"/>
              </w:rPr>
            </w:pPr>
            <w:r w:rsidRPr="00C618E8">
              <w:rPr>
                <w:sz w:val="20"/>
                <w:szCs w:val="20"/>
              </w:rPr>
              <w:t>0,1</w:t>
            </w:r>
          </w:p>
        </w:tc>
        <w:tc>
          <w:tcPr>
            <w:tcW w:w="1123" w:type="dxa"/>
            <w:tcBorders>
              <w:top w:val="nil"/>
              <w:bottom w:val="nil"/>
            </w:tcBorders>
            <w:vAlign w:val="center"/>
          </w:tcPr>
          <w:p w:rsidR="00386F1D" w:rsidRPr="00C618E8" w:rsidRDefault="00386F1D" w:rsidP="00133782">
            <w:pPr>
              <w:jc w:val="center"/>
              <w:rPr>
                <w:sz w:val="20"/>
                <w:szCs w:val="20"/>
              </w:rPr>
            </w:pPr>
            <w:r w:rsidRPr="00C618E8">
              <w:rPr>
                <w:sz w:val="20"/>
                <w:szCs w:val="20"/>
              </w:rPr>
              <w:t>0,3</w:t>
            </w:r>
          </w:p>
        </w:tc>
        <w:tc>
          <w:tcPr>
            <w:tcW w:w="1140" w:type="dxa"/>
            <w:tcBorders>
              <w:top w:val="nil"/>
              <w:bottom w:val="nil"/>
            </w:tcBorders>
            <w:vAlign w:val="center"/>
          </w:tcPr>
          <w:p w:rsidR="00386F1D" w:rsidRPr="00C618E8" w:rsidRDefault="00386F1D" w:rsidP="00133782">
            <w:pPr>
              <w:jc w:val="center"/>
              <w:rPr>
                <w:sz w:val="20"/>
                <w:szCs w:val="20"/>
              </w:rPr>
            </w:pPr>
            <w:r w:rsidRPr="00C618E8">
              <w:rPr>
                <w:sz w:val="20"/>
                <w:szCs w:val="20"/>
              </w:rPr>
              <w:t>4,3</w:t>
            </w:r>
          </w:p>
        </w:tc>
        <w:tc>
          <w:tcPr>
            <w:tcW w:w="1072" w:type="dxa"/>
            <w:tcBorders>
              <w:top w:val="nil"/>
              <w:bottom w:val="nil"/>
              <w:right w:val="double" w:sz="4" w:space="0" w:color="auto"/>
            </w:tcBorders>
            <w:vAlign w:val="center"/>
          </w:tcPr>
          <w:p w:rsidR="00386F1D" w:rsidRPr="00C618E8" w:rsidRDefault="00386F1D" w:rsidP="00194572">
            <w:pPr>
              <w:jc w:val="center"/>
              <w:rPr>
                <w:sz w:val="20"/>
                <w:szCs w:val="20"/>
              </w:rPr>
            </w:pPr>
            <w:r w:rsidRPr="00C618E8">
              <w:rPr>
                <w:sz w:val="20"/>
                <w:szCs w:val="20"/>
              </w:rPr>
              <w:t>**</w:t>
            </w:r>
          </w:p>
        </w:tc>
        <w:tc>
          <w:tcPr>
            <w:tcW w:w="959" w:type="dxa"/>
            <w:tcBorders>
              <w:top w:val="nil"/>
              <w:left w:val="double" w:sz="4" w:space="0" w:color="auto"/>
              <w:bottom w:val="nil"/>
            </w:tcBorders>
            <w:vAlign w:val="center"/>
          </w:tcPr>
          <w:p w:rsidR="00386F1D" w:rsidRPr="00E203F3" w:rsidRDefault="00386F1D" w:rsidP="00194572">
            <w:pPr>
              <w:jc w:val="center"/>
              <w:rPr>
                <w:sz w:val="20"/>
                <w:szCs w:val="20"/>
              </w:rPr>
            </w:pPr>
            <w:r w:rsidRPr="00E203F3">
              <w:rPr>
                <w:sz w:val="20"/>
                <w:szCs w:val="20"/>
              </w:rPr>
              <w:t>-0,6</w:t>
            </w:r>
          </w:p>
        </w:tc>
        <w:tc>
          <w:tcPr>
            <w:tcW w:w="959" w:type="dxa"/>
            <w:tcBorders>
              <w:top w:val="nil"/>
              <w:bottom w:val="nil"/>
            </w:tcBorders>
            <w:vAlign w:val="center"/>
          </w:tcPr>
          <w:p w:rsidR="00386F1D" w:rsidRPr="00E203F3" w:rsidRDefault="00E203F3" w:rsidP="00194572">
            <w:pPr>
              <w:jc w:val="center"/>
              <w:rPr>
                <w:sz w:val="20"/>
                <w:szCs w:val="20"/>
              </w:rPr>
            </w:pPr>
            <w:r w:rsidRPr="00E203F3">
              <w:rPr>
                <w:sz w:val="20"/>
                <w:szCs w:val="20"/>
              </w:rPr>
              <w:t>4,6</w:t>
            </w:r>
          </w:p>
        </w:tc>
      </w:tr>
      <w:tr w:rsidR="00C57133" w:rsidRPr="00F247C3" w:rsidTr="003202F8">
        <w:trPr>
          <w:trHeight w:val="370"/>
        </w:trPr>
        <w:tc>
          <w:tcPr>
            <w:tcW w:w="3106" w:type="dxa"/>
            <w:tcBorders>
              <w:top w:val="nil"/>
              <w:bottom w:val="nil"/>
            </w:tcBorders>
            <w:vAlign w:val="center"/>
          </w:tcPr>
          <w:p w:rsidR="00C57133" w:rsidRPr="00C618E8" w:rsidRDefault="00C57133" w:rsidP="00E24F81">
            <w:pPr>
              <w:ind w:right="42"/>
              <w:jc w:val="center"/>
              <w:rPr>
                <w:b/>
                <w:bCs/>
                <w:sz w:val="20"/>
                <w:szCs w:val="20"/>
              </w:rPr>
            </w:pPr>
            <w:r w:rsidRPr="00C618E8">
              <w:rPr>
                <w:sz w:val="20"/>
                <w:szCs w:val="20"/>
              </w:rPr>
              <w:t>Dayanıklı tüketim malı imalatı*</w:t>
            </w:r>
          </w:p>
        </w:tc>
        <w:tc>
          <w:tcPr>
            <w:tcW w:w="1163" w:type="dxa"/>
            <w:tcBorders>
              <w:top w:val="nil"/>
              <w:bottom w:val="nil"/>
            </w:tcBorders>
            <w:vAlign w:val="center"/>
          </w:tcPr>
          <w:p w:rsidR="00C57133" w:rsidRPr="00C618E8" w:rsidRDefault="00386F1D" w:rsidP="00194572">
            <w:pPr>
              <w:jc w:val="center"/>
              <w:rPr>
                <w:sz w:val="20"/>
                <w:szCs w:val="20"/>
              </w:rPr>
            </w:pPr>
            <w:r w:rsidRPr="00C618E8">
              <w:rPr>
                <w:sz w:val="20"/>
                <w:szCs w:val="20"/>
              </w:rPr>
              <w:t>-6,2</w:t>
            </w:r>
          </w:p>
        </w:tc>
        <w:tc>
          <w:tcPr>
            <w:tcW w:w="1123" w:type="dxa"/>
            <w:tcBorders>
              <w:top w:val="nil"/>
              <w:bottom w:val="nil"/>
            </w:tcBorders>
            <w:vAlign w:val="center"/>
          </w:tcPr>
          <w:p w:rsidR="00C57133" w:rsidRPr="00C618E8" w:rsidRDefault="00386F1D" w:rsidP="00194572">
            <w:pPr>
              <w:jc w:val="center"/>
              <w:rPr>
                <w:sz w:val="20"/>
                <w:szCs w:val="20"/>
              </w:rPr>
            </w:pPr>
            <w:r w:rsidRPr="00C618E8">
              <w:rPr>
                <w:sz w:val="20"/>
                <w:szCs w:val="20"/>
              </w:rPr>
              <w:t>5,1</w:t>
            </w:r>
          </w:p>
        </w:tc>
        <w:tc>
          <w:tcPr>
            <w:tcW w:w="1140" w:type="dxa"/>
            <w:tcBorders>
              <w:top w:val="nil"/>
              <w:bottom w:val="nil"/>
            </w:tcBorders>
            <w:vAlign w:val="center"/>
          </w:tcPr>
          <w:p w:rsidR="00C57133" w:rsidRPr="00C618E8" w:rsidRDefault="00386F1D" w:rsidP="00194572">
            <w:pPr>
              <w:jc w:val="center"/>
              <w:rPr>
                <w:sz w:val="20"/>
                <w:szCs w:val="20"/>
              </w:rPr>
            </w:pPr>
            <w:r w:rsidRPr="00C618E8">
              <w:rPr>
                <w:sz w:val="20"/>
                <w:szCs w:val="20"/>
              </w:rPr>
              <w:t>-3,4</w:t>
            </w:r>
          </w:p>
        </w:tc>
        <w:tc>
          <w:tcPr>
            <w:tcW w:w="1072" w:type="dxa"/>
            <w:tcBorders>
              <w:top w:val="nil"/>
              <w:bottom w:val="nil"/>
              <w:right w:val="double" w:sz="4" w:space="0" w:color="auto"/>
            </w:tcBorders>
            <w:vAlign w:val="center"/>
          </w:tcPr>
          <w:p w:rsidR="00C57133" w:rsidRPr="00C618E8" w:rsidRDefault="00C57133" w:rsidP="00194572">
            <w:pPr>
              <w:jc w:val="center"/>
              <w:rPr>
                <w:sz w:val="20"/>
                <w:szCs w:val="20"/>
              </w:rPr>
            </w:pPr>
            <w:r w:rsidRPr="00C618E8">
              <w:rPr>
                <w:sz w:val="20"/>
                <w:szCs w:val="20"/>
              </w:rPr>
              <w:t>**</w:t>
            </w:r>
          </w:p>
        </w:tc>
        <w:tc>
          <w:tcPr>
            <w:tcW w:w="959" w:type="dxa"/>
            <w:tcBorders>
              <w:top w:val="nil"/>
              <w:left w:val="double" w:sz="4" w:space="0" w:color="auto"/>
              <w:bottom w:val="nil"/>
            </w:tcBorders>
            <w:vAlign w:val="center"/>
          </w:tcPr>
          <w:p w:rsidR="00C57133" w:rsidRPr="00E203F3" w:rsidRDefault="00E203F3" w:rsidP="00194572">
            <w:pPr>
              <w:jc w:val="center"/>
              <w:rPr>
                <w:sz w:val="20"/>
                <w:szCs w:val="20"/>
              </w:rPr>
            </w:pPr>
            <w:r w:rsidRPr="00E203F3">
              <w:rPr>
                <w:sz w:val="20"/>
                <w:szCs w:val="20"/>
              </w:rPr>
              <w:t>0,7</w:t>
            </w:r>
          </w:p>
        </w:tc>
        <w:tc>
          <w:tcPr>
            <w:tcW w:w="959" w:type="dxa"/>
            <w:tcBorders>
              <w:top w:val="nil"/>
              <w:bottom w:val="nil"/>
            </w:tcBorders>
            <w:vAlign w:val="center"/>
          </w:tcPr>
          <w:p w:rsidR="00C57133" w:rsidRPr="00E203F3" w:rsidRDefault="00E203F3" w:rsidP="00194572">
            <w:pPr>
              <w:jc w:val="center"/>
              <w:rPr>
                <w:sz w:val="20"/>
                <w:szCs w:val="20"/>
              </w:rPr>
            </w:pPr>
            <w:r w:rsidRPr="00E203F3">
              <w:rPr>
                <w:sz w:val="20"/>
                <w:szCs w:val="20"/>
              </w:rPr>
              <w:t>-2,3</w:t>
            </w:r>
          </w:p>
        </w:tc>
      </w:tr>
      <w:tr w:rsidR="00C57133" w:rsidRPr="00F247C3" w:rsidTr="003202F8">
        <w:trPr>
          <w:trHeight w:val="370"/>
        </w:trPr>
        <w:tc>
          <w:tcPr>
            <w:tcW w:w="3106" w:type="dxa"/>
            <w:tcBorders>
              <w:top w:val="nil"/>
              <w:bottom w:val="nil"/>
            </w:tcBorders>
            <w:vAlign w:val="center"/>
          </w:tcPr>
          <w:p w:rsidR="00C57133" w:rsidRPr="00C618E8" w:rsidRDefault="00C57133" w:rsidP="00E24F81">
            <w:pPr>
              <w:ind w:right="42"/>
              <w:jc w:val="center"/>
              <w:rPr>
                <w:sz w:val="20"/>
                <w:szCs w:val="20"/>
              </w:rPr>
            </w:pPr>
            <w:r w:rsidRPr="00C618E8">
              <w:rPr>
                <w:sz w:val="20"/>
                <w:szCs w:val="20"/>
              </w:rPr>
              <w:t>Ara malı imalatı*</w:t>
            </w:r>
          </w:p>
        </w:tc>
        <w:tc>
          <w:tcPr>
            <w:tcW w:w="1163" w:type="dxa"/>
            <w:tcBorders>
              <w:top w:val="nil"/>
              <w:bottom w:val="nil"/>
            </w:tcBorders>
            <w:vAlign w:val="center"/>
          </w:tcPr>
          <w:p w:rsidR="00C57133" w:rsidRPr="00C618E8" w:rsidRDefault="00386F1D" w:rsidP="00194572">
            <w:pPr>
              <w:jc w:val="center"/>
              <w:rPr>
                <w:sz w:val="20"/>
                <w:szCs w:val="20"/>
              </w:rPr>
            </w:pPr>
            <w:r w:rsidRPr="00C618E8">
              <w:rPr>
                <w:sz w:val="20"/>
                <w:szCs w:val="20"/>
              </w:rPr>
              <w:t>-0,7</w:t>
            </w:r>
          </w:p>
        </w:tc>
        <w:tc>
          <w:tcPr>
            <w:tcW w:w="1123" w:type="dxa"/>
            <w:tcBorders>
              <w:top w:val="nil"/>
              <w:bottom w:val="nil"/>
            </w:tcBorders>
            <w:vAlign w:val="center"/>
          </w:tcPr>
          <w:p w:rsidR="00C57133" w:rsidRPr="00C618E8" w:rsidRDefault="00386F1D" w:rsidP="00194572">
            <w:pPr>
              <w:jc w:val="center"/>
              <w:rPr>
                <w:sz w:val="20"/>
                <w:szCs w:val="20"/>
              </w:rPr>
            </w:pPr>
            <w:r w:rsidRPr="00C618E8">
              <w:rPr>
                <w:sz w:val="20"/>
                <w:szCs w:val="20"/>
              </w:rPr>
              <w:t>-0,3</w:t>
            </w:r>
          </w:p>
        </w:tc>
        <w:tc>
          <w:tcPr>
            <w:tcW w:w="1140" w:type="dxa"/>
            <w:tcBorders>
              <w:top w:val="nil"/>
              <w:bottom w:val="nil"/>
            </w:tcBorders>
            <w:vAlign w:val="center"/>
          </w:tcPr>
          <w:p w:rsidR="00C57133" w:rsidRPr="00C618E8" w:rsidRDefault="00386F1D" w:rsidP="00194572">
            <w:pPr>
              <w:jc w:val="center"/>
              <w:rPr>
                <w:sz w:val="20"/>
                <w:szCs w:val="20"/>
              </w:rPr>
            </w:pPr>
            <w:r w:rsidRPr="00C618E8">
              <w:rPr>
                <w:sz w:val="20"/>
                <w:szCs w:val="20"/>
              </w:rPr>
              <w:t>0,9</w:t>
            </w:r>
          </w:p>
        </w:tc>
        <w:tc>
          <w:tcPr>
            <w:tcW w:w="1072" w:type="dxa"/>
            <w:tcBorders>
              <w:top w:val="nil"/>
              <w:bottom w:val="nil"/>
              <w:right w:val="double" w:sz="4" w:space="0" w:color="auto"/>
            </w:tcBorders>
            <w:vAlign w:val="center"/>
          </w:tcPr>
          <w:p w:rsidR="00C57133" w:rsidRPr="00C618E8" w:rsidRDefault="00C57133" w:rsidP="00194572">
            <w:pPr>
              <w:jc w:val="center"/>
              <w:rPr>
                <w:sz w:val="20"/>
                <w:szCs w:val="20"/>
              </w:rPr>
            </w:pPr>
            <w:r w:rsidRPr="00C618E8">
              <w:rPr>
                <w:sz w:val="20"/>
                <w:szCs w:val="20"/>
              </w:rPr>
              <w:t>**</w:t>
            </w:r>
          </w:p>
        </w:tc>
        <w:tc>
          <w:tcPr>
            <w:tcW w:w="959" w:type="dxa"/>
            <w:tcBorders>
              <w:top w:val="nil"/>
              <w:left w:val="double" w:sz="4" w:space="0" w:color="auto"/>
              <w:bottom w:val="nil"/>
            </w:tcBorders>
            <w:vAlign w:val="center"/>
          </w:tcPr>
          <w:p w:rsidR="00C57133" w:rsidRPr="00E203F3" w:rsidRDefault="00E203F3" w:rsidP="00194572">
            <w:pPr>
              <w:jc w:val="center"/>
              <w:rPr>
                <w:sz w:val="20"/>
                <w:szCs w:val="20"/>
              </w:rPr>
            </w:pPr>
            <w:r w:rsidRPr="00E203F3">
              <w:rPr>
                <w:sz w:val="20"/>
                <w:szCs w:val="20"/>
              </w:rPr>
              <w:t>1,4</w:t>
            </w:r>
          </w:p>
        </w:tc>
        <w:tc>
          <w:tcPr>
            <w:tcW w:w="959" w:type="dxa"/>
            <w:tcBorders>
              <w:top w:val="nil"/>
              <w:bottom w:val="nil"/>
            </w:tcBorders>
            <w:vAlign w:val="center"/>
          </w:tcPr>
          <w:p w:rsidR="00C57133" w:rsidRPr="00E203F3" w:rsidRDefault="00E203F3" w:rsidP="00194572">
            <w:pPr>
              <w:jc w:val="center"/>
              <w:rPr>
                <w:sz w:val="20"/>
                <w:szCs w:val="20"/>
              </w:rPr>
            </w:pPr>
            <w:r w:rsidRPr="00E203F3">
              <w:rPr>
                <w:sz w:val="20"/>
                <w:szCs w:val="20"/>
              </w:rPr>
              <w:t>0,4</w:t>
            </w:r>
          </w:p>
        </w:tc>
      </w:tr>
      <w:tr w:rsidR="00C57133" w:rsidRPr="00F247C3" w:rsidTr="003202F8">
        <w:trPr>
          <w:trHeight w:val="370"/>
        </w:trPr>
        <w:tc>
          <w:tcPr>
            <w:tcW w:w="3106" w:type="dxa"/>
            <w:tcBorders>
              <w:top w:val="nil"/>
            </w:tcBorders>
            <w:vAlign w:val="center"/>
          </w:tcPr>
          <w:p w:rsidR="00C57133" w:rsidRPr="00C618E8" w:rsidRDefault="00C57133" w:rsidP="00E24F81">
            <w:pPr>
              <w:ind w:right="42"/>
              <w:jc w:val="center"/>
              <w:rPr>
                <w:sz w:val="20"/>
                <w:szCs w:val="20"/>
              </w:rPr>
            </w:pPr>
            <w:r w:rsidRPr="00C618E8">
              <w:rPr>
                <w:sz w:val="20"/>
                <w:szCs w:val="20"/>
              </w:rPr>
              <w:t>Yatırım malı imalatı*</w:t>
            </w:r>
          </w:p>
        </w:tc>
        <w:tc>
          <w:tcPr>
            <w:tcW w:w="1163" w:type="dxa"/>
            <w:tcBorders>
              <w:top w:val="nil"/>
            </w:tcBorders>
            <w:vAlign w:val="center"/>
          </w:tcPr>
          <w:p w:rsidR="00C57133" w:rsidRPr="00C618E8" w:rsidRDefault="00744601" w:rsidP="00194572">
            <w:pPr>
              <w:jc w:val="center"/>
              <w:rPr>
                <w:sz w:val="20"/>
                <w:szCs w:val="20"/>
              </w:rPr>
            </w:pPr>
            <w:r w:rsidRPr="00C618E8">
              <w:rPr>
                <w:sz w:val="20"/>
                <w:szCs w:val="20"/>
              </w:rPr>
              <w:t>-0,8</w:t>
            </w:r>
          </w:p>
        </w:tc>
        <w:tc>
          <w:tcPr>
            <w:tcW w:w="1123" w:type="dxa"/>
            <w:tcBorders>
              <w:top w:val="nil"/>
            </w:tcBorders>
            <w:vAlign w:val="center"/>
          </w:tcPr>
          <w:p w:rsidR="00C57133" w:rsidRPr="00C618E8" w:rsidRDefault="00744601" w:rsidP="00194572">
            <w:pPr>
              <w:jc w:val="center"/>
              <w:rPr>
                <w:sz w:val="20"/>
                <w:szCs w:val="20"/>
              </w:rPr>
            </w:pPr>
            <w:r w:rsidRPr="00C618E8">
              <w:rPr>
                <w:sz w:val="20"/>
                <w:szCs w:val="20"/>
              </w:rPr>
              <w:t>0,2</w:t>
            </w:r>
          </w:p>
        </w:tc>
        <w:tc>
          <w:tcPr>
            <w:tcW w:w="1140" w:type="dxa"/>
            <w:tcBorders>
              <w:top w:val="nil"/>
            </w:tcBorders>
            <w:vAlign w:val="center"/>
          </w:tcPr>
          <w:p w:rsidR="00C57133" w:rsidRPr="00C618E8" w:rsidRDefault="00744601" w:rsidP="00194572">
            <w:pPr>
              <w:jc w:val="center"/>
              <w:rPr>
                <w:sz w:val="20"/>
                <w:szCs w:val="20"/>
              </w:rPr>
            </w:pPr>
            <w:r w:rsidRPr="00C618E8">
              <w:rPr>
                <w:sz w:val="20"/>
                <w:szCs w:val="20"/>
              </w:rPr>
              <w:t>-0,4</w:t>
            </w:r>
          </w:p>
        </w:tc>
        <w:tc>
          <w:tcPr>
            <w:tcW w:w="1072" w:type="dxa"/>
            <w:tcBorders>
              <w:top w:val="nil"/>
              <w:right w:val="double" w:sz="4" w:space="0" w:color="auto"/>
            </w:tcBorders>
            <w:vAlign w:val="center"/>
          </w:tcPr>
          <w:p w:rsidR="00C57133" w:rsidRPr="00C618E8" w:rsidRDefault="00C57133" w:rsidP="00194572">
            <w:pPr>
              <w:jc w:val="center"/>
              <w:rPr>
                <w:sz w:val="20"/>
                <w:szCs w:val="20"/>
              </w:rPr>
            </w:pPr>
            <w:r w:rsidRPr="00C618E8">
              <w:rPr>
                <w:sz w:val="20"/>
                <w:szCs w:val="20"/>
              </w:rPr>
              <w:t>**</w:t>
            </w:r>
          </w:p>
        </w:tc>
        <w:tc>
          <w:tcPr>
            <w:tcW w:w="959" w:type="dxa"/>
            <w:tcBorders>
              <w:top w:val="nil"/>
              <w:left w:val="double" w:sz="4" w:space="0" w:color="auto"/>
            </w:tcBorders>
            <w:vAlign w:val="center"/>
          </w:tcPr>
          <w:p w:rsidR="00C57133" w:rsidRPr="00E203F3" w:rsidRDefault="00E203F3" w:rsidP="004E45AF">
            <w:pPr>
              <w:jc w:val="center"/>
              <w:rPr>
                <w:sz w:val="20"/>
                <w:szCs w:val="20"/>
              </w:rPr>
            </w:pPr>
            <w:r w:rsidRPr="00E203F3">
              <w:rPr>
                <w:sz w:val="20"/>
                <w:szCs w:val="20"/>
              </w:rPr>
              <w:t>1,1</w:t>
            </w:r>
          </w:p>
        </w:tc>
        <w:tc>
          <w:tcPr>
            <w:tcW w:w="959" w:type="dxa"/>
            <w:tcBorders>
              <w:top w:val="nil"/>
            </w:tcBorders>
            <w:vAlign w:val="center"/>
          </w:tcPr>
          <w:p w:rsidR="00C57133" w:rsidRPr="00E203F3" w:rsidRDefault="00E203F3" w:rsidP="004E45AF">
            <w:pPr>
              <w:jc w:val="center"/>
              <w:rPr>
                <w:sz w:val="20"/>
                <w:szCs w:val="20"/>
              </w:rPr>
            </w:pPr>
            <w:r w:rsidRPr="00E203F3">
              <w:rPr>
                <w:sz w:val="20"/>
                <w:szCs w:val="20"/>
              </w:rPr>
              <w:t>-0,5</w:t>
            </w:r>
          </w:p>
        </w:tc>
      </w:tr>
      <w:tr w:rsidR="00C57133" w:rsidRPr="00F247C3" w:rsidTr="003202F8">
        <w:trPr>
          <w:trHeight w:val="370"/>
        </w:trPr>
        <w:tc>
          <w:tcPr>
            <w:tcW w:w="3106" w:type="dxa"/>
            <w:tcBorders>
              <w:bottom w:val="nil"/>
            </w:tcBorders>
            <w:vAlign w:val="center"/>
          </w:tcPr>
          <w:p w:rsidR="00C57133" w:rsidRPr="00C618E8" w:rsidRDefault="00C57133" w:rsidP="00E24F81">
            <w:pPr>
              <w:ind w:right="42"/>
              <w:jc w:val="center"/>
              <w:rPr>
                <w:b/>
                <w:bCs/>
                <w:sz w:val="20"/>
                <w:szCs w:val="20"/>
              </w:rPr>
            </w:pPr>
            <w:r w:rsidRPr="00C618E8">
              <w:rPr>
                <w:b/>
                <w:bCs/>
                <w:sz w:val="20"/>
                <w:szCs w:val="20"/>
              </w:rPr>
              <w:t>Kapasite kullanım oranı (KKO)*</w:t>
            </w:r>
            <w:r w:rsidRPr="00C618E8">
              <w:rPr>
                <w:b/>
                <w:bCs/>
                <w:sz w:val="20"/>
                <w:szCs w:val="20"/>
                <w:vertAlign w:val="superscript"/>
              </w:rPr>
              <w:t>, ‡</w:t>
            </w:r>
          </w:p>
        </w:tc>
        <w:tc>
          <w:tcPr>
            <w:tcW w:w="1163" w:type="dxa"/>
            <w:tcBorders>
              <w:bottom w:val="nil"/>
            </w:tcBorders>
            <w:vAlign w:val="center"/>
          </w:tcPr>
          <w:p w:rsidR="00C57133" w:rsidRPr="00C618E8" w:rsidRDefault="00FB360E" w:rsidP="00FF3A33">
            <w:pPr>
              <w:jc w:val="center"/>
              <w:rPr>
                <w:sz w:val="20"/>
                <w:szCs w:val="20"/>
              </w:rPr>
            </w:pPr>
            <w:r w:rsidRPr="00C618E8">
              <w:rPr>
                <w:sz w:val="20"/>
                <w:szCs w:val="20"/>
              </w:rPr>
              <w:t>0,4</w:t>
            </w:r>
          </w:p>
        </w:tc>
        <w:tc>
          <w:tcPr>
            <w:tcW w:w="1123" w:type="dxa"/>
            <w:tcBorders>
              <w:bottom w:val="nil"/>
            </w:tcBorders>
            <w:vAlign w:val="center"/>
          </w:tcPr>
          <w:p w:rsidR="00C57133" w:rsidRPr="00C618E8" w:rsidRDefault="00FB360E" w:rsidP="00FF3A33">
            <w:pPr>
              <w:jc w:val="center"/>
              <w:rPr>
                <w:sz w:val="20"/>
                <w:szCs w:val="20"/>
              </w:rPr>
            </w:pPr>
            <w:r w:rsidRPr="00C618E8">
              <w:rPr>
                <w:sz w:val="20"/>
                <w:szCs w:val="20"/>
              </w:rPr>
              <w:t>0,3</w:t>
            </w:r>
          </w:p>
        </w:tc>
        <w:tc>
          <w:tcPr>
            <w:tcW w:w="1140" w:type="dxa"/>
            <w:tcBorders>
              <w:bottom w:val="nil"/>
            </w:tcBorders>
            <w:vAlign w:val="center"/>
          </w:tcPr>
          <w:p w:rsidR="00C57133" w:rsidRPr="00C618E8" w:rsidRDefault="00FB360E" w:rsidP="00FF3A33">
            <w:pPr>
              <w:jc w:val="center"/>
              <w:rPr>
                <w:sz w:val="20"/>
                <w:szCs w:val="20"/>
              </w:rPr>
            </w:pPr>
            <w:r w:rsidRPr="00C618E8">
              <w:rPr>
                <w:sz w:val="20"/>
                <w:szCs w:val="20"/>
              </w:rPr>
              <w:t>-0,2</w:t>
            </w:r>
          </w:p>
        </w:tc>
        <w:tc>
          <w:tcPr>
            <w:tcW w:w="1072" w:type="dxa"/>
            <w:tcBorders>
              <w:bottom w:val="nil"/>
              <w:right w:val="double" w:sz="4" w:space="0" w:color="auto"/>
            </w:tcBorders>
            <w:vAlign w:val="center"/>
          </w:tcPr>
          <w:p w:rsidR="00C57133" w:rsidRPr="00C618E8" w:rsidRDefault="00FB360E" w:rsidP="00194572">
            <w:pPr>
              <w:jc w:val="center"/>
              <w:rPr>
                <w:sz w:val="20"/>
                <w:szCs w:val="20"/>
              </w:rPr>
            </w:pPr>
            <w:r w:rsidRPr="00C618E8">
              <w:rPr>
                <w:sz w:val="20"/>
                <w:szCs w:val="20"/>
              </w:rPr>
              <w:t>-1,1</w:t>
            </w:r>
          </w:p>
        </w:tc>
        <w:tc>
          <w:tcPr>
            <w:tcW w:w="959" w:type="dxa"/>
            <w:tcBorders>
              <w:left w:val="double" w:sz="4" w:space="0" w:color="auto"/>
              <w:bottom w:val="nil"/>
            </w:tcBorders>
            <w:vAlign w:val="center"/>
          </w:tcPr>
          <w:p w:rsidR="00C57133" w:rsidRPr="0017663B" w:rsidRDefault="0017663B" w:rsidP="00194572">
            <w:pPr>
              <w:jc w:val="center"/>
              <w:rPr>
                <w:sz w:val="20"/>
                <w:szCs w:val="20"/>
              </w:rPr>
            </w:pPr>
            <w:r w:rsidRPr="0017663B">
              <w:rPr>
                <w:sz w:val="20"/>
                <w:szCs w:val="20"/>
              </w:rPr>
              <w:t>0,0</w:t>
            </w:r>
          </w:p>
        </w:tc>
        <w:tc>
          <w:tcPr>
            <w:tcW w:w="959" w:type="dxa"/>
            <w:tcBorders>
              <w:bottom w:val="nil"/>
            </w:tcBorders>
            <w:vAlign w:val="center"/>
          </w:tcPr>
          <w:p w:rsidR="00C57133" w:rsidRPr="0017663B" w:rsidRDefault="0017663B" w:rsidP="00194572">
            <w:pPr>
              <w:jc w:val="center"/>
              <w:rPr>
                <w:sz w:val="20"/>
                <w:szCs w:val="20"/>
              </w:rPr>
            </w:pPr>
            <w:r w:rsidRPr="0017663B">
              <w:rPr>
                <w:sz w:val="20"/>
                <w:szCs w:val="20"/>
              </w:rPr>
              <w:t>-0,2</w:t>
            </w:r>
          </w:p>
        </w:tc>
      </w:tr>
      <w:tr w:rsidR="00C57133" w:rsidRPr="00F247C3" w:rsidTr="003202F8">
        <w:trPr>
          <w:trHeight w:val="370"/>
        </w:trPr>
        <w:tc>
          <w:tcPr>
            <w:tcW w:w="3106" w:type="dxa"/>
            <w:tcBorders>
              <w:top w:val="nil"/>
              <w:bottom w:val="nil"/>
            </w:tcBorders>
            <w:vAlign w:val="center"/>
          </w:tcPr>
          <w:p w:rsidR="00C57133" w:rsidRPr="00C618E8" w:rsidRDefault="00C57133" w:rsidP="00E24F81">
            <w:pPr>
              <w:ind w:right="42"/>
              <w:jc w:val="center"/>
              <w:rPr>
                <w:sz w:val="20"/>
                <w:szCs w:val="20"/>
              </w:rPr>
            </w:pPr>
            <w:r w:rsidRPr="00C618E8">
              <w:rPr>
                <w:sz w:val="20"/>
                <w:szCs w:val="20"/>
              </w:rPr>
              <w:t>Dayanıksız tüketim malı imalatı</w:t>
            </w:r>
            <w:r w:rsidRPr="00C618E8">
              <w:rPr>
                <w:sz w:val="20"/>
                <w:szCs w:val="20"/>
                <w:vertAlign w:val="superscript"/>
              </w:rPr>
              <w:t>§,</w:t>
            </w:r>
            <w:r w:rsidRPr="00C618E8">
              <w:rPr>
                <w:b/>
                <w:bCs/>
                <w:sz w:val="20"/>
                <w:szCs w:val="20"/>
                <w:vertAlign w:val="superscript"/>
              </w:rPr>
              <w:t>‡</w:t>
            </w:r>
          </w:p>
        </w:tc>
        <w:tc>
          <w:tcPr>
            <w:tcW w:w="1163" w:type="dxa"/>
            <w:tcBorders>
              <w:top w:val="nil"/>
              <w:bottom w:val="nil"/>
            </w:tcBorders>
            <w:vAlign w:val="center"/>
          </w:tcPr>
          <w:p w:rsidR="00C57133" w:rsidRPr="00C618E8" w:rsidRDefault="00C618E8" w:rsidP="00194572">
            <w:pPr>
              <w:jc w:val="center"/>
              <w:rPr>
                <w:sz w:val="20"/>
                <w:szCs w:val="20"/>
              </w:rPr>
            </w:pPr>
            <w:r w:rsidRPr="00C618E8">
              <w:rPr>
                <w:sz w:val="20"/>
                <w:szCs w:val="20"/>
              </w:rPr>
              <w:t>-0,1</w:t>
            </w:r>
          </w:p>
        </w:tc>
        <w:tc>
          <w:tcPr>
            <w:tcW w:w="1123" w:type="dxa"/>
            <w:tcBorders>
              <w:top w:val="nil"/>
              <w:bottom w:val="nil"/>
            </w:tcBorders>
            <w:vAlign w:val="center"/>
          </w:tcPr>
          <w:p w:rsidR="00C57133" w:rsidRPr="00C618E8" w:rsidRDefault="00C618E8" w:rsidP="00194572">
            <w:pPr>
              <w:jc w:val="center"/>
              <w:rPr>
                <w:sz w:val="20"/>
                <w:szCs w:val="20"/>
              </w:rPr>
            </w:pPr>
            <w:r w:rsidRPr="00C618E8">
              <w:rPr>
                <w:sz w:val="20"/>
                <w:szCs w:val="20"/>
              </w:rPr>
              <w:t>0,0</w:t>
            </w:r>
          </w:p>
        </w:tc>
        <w:tc>
          <w:tcPr>
            <w:tcW w:w="1140" w:type="dxa"/>
            <w:tcBorders>
              <w:top w:val="nil"/>
              <w:bottom w:val="nil"/>
            </w:tcBorders>
            <w:vAlign w:val="center"/>
          </w:tcPr>
          <w:p w:rsidR="00C57133" w:rsidRPr="00C618E8" w:rsidRDefault="00C618E8" w:rsidP="00194572">
            <w:pPr>
              <w:jc w:val="center"/>
              <w:rPr>
                <w:sz w:val="20"/>
                <w:szCs w:val="20"/>
              </w:rPr>
            </w:pPr>
            <w:r w:rsidRPr="00C618E8">
              <w:rPr>
                <w:sz w:val="20"/>
                <w:szCs w:val="20"/>
              </w:rPr>
              <w:t>0,8</w:t>
            </w:r>
          </w:p>
        </w:tc>
        <w:tc>
          <w:tcPr>
            <w:tcW w:w="1072" w:type="dxa"/>
            <w:tcBorders>
              <w:top w:val="nil"/>
              <w:bottom w:val="nil"/>
              <w:right w:val="double" w:sz="4" w:space="0" w:color="auto"/>
            </w:tcBorders>
            <w:vAlign w:val="center"/>
          </w:tcPr>
          <w:p w:rsidR="00C57133" w:rsidRPr="00C618E8" w:rsidRDefault="00C618E8" w:rsidP="00194572">
            <w:pPr>
              <w:jc w:val="center"/>
              <w:rPr>
                <w:sz w:val="20"/>
                <w:szCs w:val="20"/>
              </w:rPr>
            </w:pPr>
            <w:r w:rsidRPr="00C618E8">
              <w:rPr>
                <w:sz w:val="20"/>
                <w:szCs w:val="20"/>
              </w:rPr>
              <w:t>0,0</w:t>
            </w:r>
          </w:p>
        </w:tc>
        <w:tc>
          <w:tcPr>
            <w:tcW w:w="959" w:type="dxa"/>
            <w:tcBorders>
              <w:top w:val="nil"/>
              <w:left w:val="double" w:sz="4" w:space="0" w:color="auto"/>
              <w:bottom w:val="nil"/>
            </w:tcBorders>
            <w:vAlign w:val="center"/>
          </w:tcPr>
          <w:p w:rsidR="00C57133" w:rsidRPr="0017663B" w:rsidRDefault="0017663B" w:rsidP="0017663B">
            <w:pPr>
              <w:jc w:val="center"/>
              <w:rPr>
                <w:sz w:val="20"/>
                <w:szCs w:val="20"/>
              </w:rPr>
            </w:pPr>
            <w:r w:rsidRPr="0017663B">
              <w:rPr>
                <w:sz w:val="20"/>
                <w:szCs w:val="20"/>
              </w:rPr>
              <w:t>-</w:t>
            </w:r>
            <w:r w:rsidR="00C57133" w:rsidRPr="0017663B">
              <w:rPr>
                <w:sz w:val="20"/>
                <w:szCs w:val="20"/>
              </w:rPr>
              <w:t>0,</w:t>
            </w:r>
            <w:r w:rsidRPr="0017663B">
              <w:rPr>
                <w:sz w:val="20"/>
                <w:szCs w:val="20"/>
              </w:rPr>
              <w:t>6</w:t>
            </w:r>
          </w:p>
        </w:tc>
        <w:tc>
          <w:tcPr>
            <w:tcW w:w="959" w:type="dxa"/>
            <w:tcBorders>
              <w:top w:val="nil"/>
              <w:bottom w:val="nil"/>
            </w:tcBorders>
            <w:vAlign w:val="center"/>
          </w:tcPr>
          <w:p w:rsidR="00C57133" w:rsidRPr="0017663B" w:rsidRDefault="0017663B" w:rsidP="00194572">
            <w:pPr>
              <w:jc w:val="center"/>
              <w:rPr>
                <w:sz w:val="20"/>
                <w:szCs w:val="20"/>
              </w:rPr>
            </w:pPr>
            <w:r w:rsidRPr="0017663B">
              <w:rPr>
                <w:sz w:val="20"/>
                <w:szCs w:val="20"/>
              </w:rPr>
              <w:t>0,8</w:t>
            </w:r>
          </w:p>
        </w:tc>
      </w:tr>
      <w:tr w:rsidR="00C57133" w:rsidRPr="00F247C3" w:rsidTr="003202F8">
        <w:trPr>
          <w:trHeight w:val="370"/>
        </w:trPr>
        <w:tc>
          <w:tcPr>
            <w:tcW w:w="3106" w:type="dxa"/>
            <w:tcBorders>
              <w:top w:val="nil"/>
              <w:bottom w:val="nil"/>
            </w:tcBorders>
            <w:vAlign w:val="center"/>
          </w:tcPr>
          <w:p w:rsidR="00C57133" w:rsidRPr="00C618E8" w:rsidRDefault="00C57133" w:rsidP="00E24F81">
            <w:pPr>
              <w:ind w:right="42"/>
              <w:jc w:val="center"/>
              <w:rPr>
                <w:b/>
                <w:bCs/>
                <w:sz w:val="20"/>
                <w:szCs w:val="20"/>
              </w:rPr>
            </w:pPr>
            <w:r w:rsidRPr="00C618E8">
              <w:rPr>
                <w:sz w:val="20"/>
                <w:szCs w:val="20"/>
              </w:rPr>
              <w:t>Dayanıklı tüketim malı imalatı</w:t>
            </w:r>
            <w:r w:rsidRPr="00C618E8">
              <w:rPr>
                <w:sz w:val="20"/>
                <w:szCs w:val="20"/>
                <w:vertAlign w:val="superscript"/>
              </w:rPr>
              <w:t>§,</w:t>
            </w:r>
            <w:r w:rsidRPr="00C618E8">
              <w:rPr>
                <w:b/>
                <w:bCs/>
                <w:sz w:val="20"/>
                <w:szCs w:val="20"/>
                <w:vertAlign w:val="superscript"/>
              </w:rPr>
              <w:t>‡</w:t>
            </w:r>
          </w:p>
        </w:tc>
        <w:tc>
          <w:tcPr>
            <w:tcW w:w="1163" w:type="dxa"/>
            <w:tcBorders>
              <w:top w:val="nil"/>
              <w:bottom w:val="nil"/>
            </w:tcBorders>
            <w:vAlign w:val="center"/>
          </w:tcPr>
          <w:p w:rsidR="00C57133" w:rsidRPr="00C618E8" w:rsidRDefault="00C618E8" w:rsidP="00194572">
            <w:pPr>
              <w:jc w:val="center"/>
              <w:rPr>
                <w:sz w:val="20"/>
                <w:szCs w:val="20"/>
              </w:rPr>
            </w:pPr>
            <w:r w:rsidRPr="00C618E8">
              <w:rPr>
                <w:sz w:val="20"/>
                <w:szCs w:val="20"/>
              </w:rPr>
              <w:t>1,3</w:t>
            </w:r>
          </w:p>
        </w:tc>
        <w:tc>
          <w:tcPr>
            <w:tcW w:w="1123" w:type="dxa"/>
            <w:tcBorders>
              <w:top w:val="nil"/>
              <w:bottom w:val="nil"/>
            </w:tcBorders>
            <w:vAlign w:val="center"/>
          </w:tcPr>
          <w:p w:rsidR="00C57133" w:rsidRPr="00C618E8" w:rsidRDefault="00C618E8" w:rsidP="00194572">
            <w:pPr>
              <w:jc w:val="center"/>
              <w:rPr>
                <w:sz w:val="20"/>
                <w:szCs w:val="20"/>
              </w:rPr>
            </w:pPr>
            <w:r w:rsidRPr="00C618E8">
              <w:rPr>
                <w:sz w:val="20"/>
                <w:szCs w:val="20"/>
              </w:rPr>
              <w:t>0,0</w:t>
            </w:r>
          </w:p>
        </w:tc>
        <w:tc>
          <w:tcPr>
            <w:tcW w:w="1140" w:type="dxa"/>
            <w:tcBorders>
              <w:top w:val="nil"/>
              <w:bottom w:val="nil"/>
            </w:tcBorders>
            <w:vAlign w:val="center"/>
          </w:tcPr>
          <w:p w:rsidR="00C57133" w:rsidRPr="00C618E8" w:rsidRDefault="00C618E8" w:rsidP="00194572">
            <w:pPr>
              <w:jc w:val="center"/>
              <w:rPr>
                <w:sz w:val="20"/>
                <w:szCs w:val="20"/>
              </w:rPr>
            </w:pPr>
            <w:r w:rsidRPr="00C618E8">
              <w:rPr>
                <w:sz w:val="20"/>
                <w:szCs w:val="20"/>
              </w:rPr>
              <w:t>-1,9</w:t>
            </w:r>
          </w:p>
        </w:tc>
        <w:tc>
          <w:tcPr>
            <w:tcW w:w="1072" w:type="dxa"/>
            <w:tcBorders>
              <w:top w:val="nil"/>
              <w:bottom w:val="nil"/>
              <w:right w:val="double" w:sz="4" w:space="0" w:color="auto"/>
            </w:tcBorders>
            <w:vAlign w:val="center"/>
          </w:tcPr>
          <w:p w:rsidR="00C57133" w:rsidRPr="00C618E8" w:rsidRDefault="00C618E8" w:rsidP="00194572">
            <w:pPr>
              <w:jc w:val="center"/>
              <w:rPr>
                <w:sz w:val="20"/>
                <w:szCs w:val="20"/>
              </w:rPr>
            </w:pPr>
            <w:r w:rsidRPr="00C618E8">
              <w:rPr>
                <w:sz w:val="20"/>
                <w:szCs w:val="20"/>
              </w:rPr>
              <w:t>-0,7</w:t>
            </w:r>
          </w:p>
        </w:tc>
        <w:tc>
          <w:tcPr>
            <w:tcW w:w="959" w:type="dxa"/>
            <w:tcBorders>
              <w:top w:val="nil"/>
              <w:left w:val="double" w:sz="4" w:space="0" w:color="auto"/>
              <w:bottom w:val="nil"/>
            </w:tcBorders>
            <w:vAlign w:val="center"/>
          </w:tcPr>
          <w:p w:rsidR="00C57133" w:rsidRPr="0017663B" w:rsidRDefault="0017663B" w:rsidP="00194572">
            <w:pPr>
              <w:jc w:val="center"/>
              <w:rPr>
                <w:sz w:val="20"/>
                <w:szCs w:val="20"/>
              </w:rPr>
            </w:pPr>
            <w:r w:rsidRPr="0017663B">
              <w:rPr>
                <w:sz w:val="20"/>
                <w:szCs w:val="20"/>
              </w:rPr>
              <w:t>1,4</w:t>
            </w:r>
          </w:p>
        </w:tc>
        <w:tc>
          <w:tcPr>
            <w:tcW w:w="959" w:type="dxa"/>
            <w:tcBorders>
              <w:top w:val="nil"/>
              <w:bottom w:val="nil"/>
            </w:tcBorders>
            <w:vAlign w:val="center"/>
          </w:tcPr>
          <w:p w:rsidR="00C57133" w:rsidRPr="0017663B" w:rsidRDefault="0017663B" w:rsidP="00194572">
            <w:pPr>
              <w:jc w:val="center"/>
              <w:rPr>
                <w:sz w:val="20"/>
                <w:szCs w:val="20"/>
              </w:rPr>
            </w:pPr>
            <w:r w:rsidRPr="0017663B">
              <w:rPr>
                <w:sz w:val="20"/>
                <w:szCs w:val="20"/>
              </w:rPr>
              <w:t>-1,9</w:t>
            </w:r>
          </w:p>
        </w:tc>
      </w:tr>
      <w:tr w:rsidR="00C57133" w:rsidRPr="00F247C3" w:rsidTr="003202F8">
        <w:trPr>
          <w:trHeight w:val="370"/>
        </w:trPr>
        <w:tc>
          <w:tcPr>
            <w:tcW w:w="3106" w:type="dxa"/>
            <w:tcBorders>
              <w:top w:val="nil"/>
              <w:bottom w:val="nil"/>
            </w:tcBorders>
            <w:vAlign w:val="center"/>
          </w:tcPr>
          <w:p w:rsidR="00C57133" w:rsidRPr="00145A62" w:rsidRDefault="00C57133" w:rsidP="00E24F81">
            <w:pPr>
              <w:ind w:right="42"/>
              <w:jc w:val="center"/>
              <w:rPr>
                <w:sz w:val="20"/>
                <w:szCs w:val="20"/>
              </w:rPr>
            </w:pPr>
            <w:r w:rsidRPr="00145A62">
              <w:rPr>
                <w:sz w:val="20"/>
                <w:szCs w:val="20"/>
              </w:rPr>
              <w:t>Ara malı imalatı</w:t>
            </w:r>
            <w:r w:rsidRPr="00145A62">
              <w:rPr>
                <w:sz w:val="20"/>
                <w:szCs w:val="20"/>
                <w:vertAlign w:val="superscript"/>
              </w:rPr>
              <w:t>§,</w:t>
            </w:r>
            <w:r w:rsidRPr="00145A62">
              <w:rPr>
                <w:b/>
                <w:bCs/>
                <w:sz w:val="20"/>
                <w:szCs w:val="20"/>
                <w:vertAlign w:val="superscript"/>
              </w:rPr>
              <w:t>‡</w:t>
            </w:r>
          </w:p>
        </w:tc>
        <w:tc>
          <w:tcPr>
            <w:tcW w:w="1163" w:type="dxa"/>
            <w:tcBorders>
              <w:top w:val="nil"/>
              <w:bottom w:val="nil"/>
            </w:tcBorders>
            <w:vAlign w:val="center"/>
          </w:tcPr>
          <w:p w:rsidR="00C57133" w:rsidRPr="00C618E8" w:rsidRDefault="00C618E8" w:rsidP="00194572">
            <w:pPr>
              <w:jc w:val="center"/>
              <w:rPr>
                <w:sz w:val="20"/>
                <w:szCs w:val="20"/>
              </w:rPr>
            </w:pPr>
            <w:r w:rsidRPr="00C618E8">
              <w:rPr>
                <w:sz w:val="20"/>
                <w:szCs w:val="20"/>
              </w:rPr>
              <w:t>0,7</w:t>
            </w:r>
          </w:p>
        </w:tc>
        <w:tc>
          <w:tcPr>
            <w:tcW w:w="1123" w:type="dxa"/>
            <w:tcBorders>
              <w:top w:val="nil"/>
              <w:bottom w:val="nil"/>
            </w:tcBorders>
            <w:vAlign w:val="center"/>
          </w:tcPr>
          <w:p w:rsidR="00C57133" w:rsidRPr="00C618E8" w:rsidRDefault="00C618E8" w:rsidP="00194572">
            <w:pPr>
              <w:jc w:val="center"/>
              <w:rPr>
                <w:sz w:val="20"/>
                <w:szCs w:val="20"/>
              </w:rPr>
            </w:pPr>
            <w:r w:rsidRPr="00C618E8">
              <w:rPr>
                <w:sz w:val="20"/>
                <w:szCs w:val="20"/>
              </w:rPr>
              <w:t>0,2</w:t>
            </w:r>
          </w:p>
        </w:tc>
        <w:tc>
          <w:tcPr>
            <w:tcW w:w="1140" w:type="dxa"/>
            <w:tcBorders>
              <w:top w:val="nil"/>
              <w:bottom w:val="nil"/>
            </w:tcBorders>
            <w:vAlign w:val="center"/>
          </w:tcPr>
          <w:p w:rsidR="00C57133" w:rsidRPr="00C618E8" w:rsidRDefault="00C618E8" w:rsidP="00194572">
            <w:pPr>
              <w:jc w:val="center"/>
              <w:rPr>
                <w:sz w:val="20"/>
                <w:szCs w:val="20"/>
              </w:rPr>
            </w:pPr>
            <w:r w:rsidRPr="00C618E8">
              <w:rPr>
                <w:sz w:val="20"/>
                <w:szCs w:val="20"/>
              </w:rPr>
              <w:t>-1,1</w:t>
            </w:r>
          </w:p>
        </w:tc>
        <w:tc>
          <w:tcPr>
            <w:tcW w:w="1072" w:type="dxa"/>
            <w:tcBorders>
              <w:top w:val="nil"/>
              <w:bottom w:val="nil"/>
              <w:right w:val="double" w:sz="4" w:space="0" w:color="auto"/>
            </w:tcBorders>
            <w:vAlign w:val="center"/>
          </w:tcPr>
          <w:p w:rsidR="00C57133" w:rsidRPr="00C618E8" w:rsidRDefault="00C618E8" w:rsidP="00194572">
            <w:pPr>
              <w:jc w:val="center"/>
              <w:rPr>
                <w:sz w:val="20"/>
                <w:szCs w:val="20"/>
              </w:rPr>
            </w:pPr>
            <w:r w:rsidRPr="00C618E8">
              <w:rPr>
                <w:sz w:val="20"/>
                <w:szCs w:val="20"/>
              </w:rPr>
              <w:t>-0,8</w:t>
            </w:r>
          </w:p>
        </w:tc>
        <w:tc>
          <w:tcPr>
            <w:tcW w:w="959" w:type="dxa"/>
            <w:tcBorders>
              <w:top w:val="nil"/>
              <w:left w:val="double" w:sz="4" w:space="0" w:color="auto"/>
              <w:bottom w:val="nil"/>
            </w:tcBorders>
            <w:vAlign w:val="center"/>
          </w:tcPr>
          <w:p w:rsidR="00C57133" w:rsidRPr="0017663B" w:rsidRDefault="0017663B" w:rsidP="00194572">
            <w:pPr>
              <w:jc w:val="center"/>
              <w:rPr>
                <w:sz w:val="20"/>
                <w:szCs w:val="20"/>
              </w:rPr>
            </w:pPr>
            <w:r w:rsidRPr="0017663B">
              <w:rPr>
                <w:sz w:val="20"/>
                <w:szCs w:val="20"/>
              </w:rPr>
              <w:t>0,6</w:t>
            </w:r>
          </w:p>
        </w:tc>
        <w:tc>
          <w:tcPr>
            <w:tcW w:w="959" w:type="dxa"/>
            <w:tcBorders>
              <w:top w:val="nil"/>
              <w:bottom w:val="nil"/>
            </w:tcBorders>
            <w:vAlign w:val="center"/>
          </w:tcPr>
          <w:p w:rsidR="00C57133" w:rsidRPr="0017663B" w:rsidRDefault="0017663B" w:rsidP="00194572">
            <w:pPr>
              <w:jc w:val="center"/>
              <w:rPr>
                <w:sz w:val="20"/>
                <w:szCs w:val="20"/>
              </w:rPr>
            </w:pPr>
            <w:r w:rsidRPr="0017663B">
              <w:rPr>
                <w:sz w:val="20"/>
                <w:szCs w:val="20"/>
              </w:rPr>
              <w:t>-1,1</w:t>
            </w:r>
          </w:p>
        </w:tc>
      </w:tr>
      <w:tr w:rsidR="00C57133" w:rsidRPr="00F247C3" w:rsidTr="003202F8">
        <w:trPr>
          <w:trHeight w:val="370"/>
        </w:trPr>
        <w:tc>
          <w:tcPr>
            <w:tcW w:w="3106" w:type="dxa"/>
            <w:tcBorders>
              <w:top w:val="nil"/>
            </w:tcBorders>
            <w:vAlign w:val="center"/>
          </w:tcPr>
          <w:p w:rsidR="00C57133" w:rsidRPr="00145A62" w:rsidRDefault="00C57133" w:rsidP="00E24F81">
            <w:pPr>
              <w:ind w:right="42"/>
              <w:jc w:val="center"/>
              <w:rPr>
                <w:sz w:val="20"/>
                <w:szCs w:val="20"/>
              </w:rPr>
            </w:pPr>
            <w:r w:rsidRPr="00145A62">
              <w:rPr>
                <w:sz w:val="20"/>
                <w:szCs w:val="20"/>
              </w:rPr>
              <w:t>Yatırım malı imalatı</w:t>
            </w:r>
            <w:r w:rsidRPr="00145A62">
              <w:rPr>
                <w:sz w:val="20"/>
                <w:szCs w:val="20"/>
                <w:vertAlign w:val="superscript"/>
              </w:rPr>
              <w:t>§,</w:t>
            </w:r>
            <w:r w:rsidRPr="00145A62">
              <w:rPr>
                <w:b/>
                <w:bCs/>
                <w:sz w:val="20"/>
                <w:szCs w:val="20"/>
                <w:vertAlign w:val="superscript"/>
              </w:rPr>
              <w:t>‡</w:t>
            </w:r>
          </w:p>
        </w:tc>
        <w:tc>
          <w:tcPr>
            <w:tcW w:w="1163" w:type="dxa"/>
            <w:tcBorders>
              <w:top w:val="nil"/>
            </w:tcBorders>
            <w:vAlign w:val="center"/>
          </w:tcPr>
          <w:p w:rsidR="00C57133" w:rsidRPr="00C618E8" w:rsidRDefault="00C618E8" w:rsidP="00194572">
            <w:pPr>
              <w:jc w:val="center"/>
              <w:rPr>
                <w:sz w:val="20"/>
                <w:szCs w:val="20"/>
              </w:rPr>
            </w:pPr>
            <w:r w:rsidRPr="00C618E8">
              <w:rPr>
                <w:sz w:val="20"/>
                <w:szCs w:val="20"/>
              </w:rPr>
              <w:t>0,9</w:t>
            </w:r>
          </w:p>
        </w:tc>
        <w:tc>
          <w:tcPr>
            <w:tcW w:w="1123" w:type="dxa"/>
            <w:tcBorders>
              <w:top w:val="nil"/>
            </w:tcBorders>
            <w:vAlign w:val="center"/>
          </w:tcPr>
          <w:p w:rsidR="00C57133" w:rsidRPr="00C618E8" w:rsidRDefault="00C618E8" w:rsidP="00194572">
            <w:pPr>
              <w:jc w:val="center"/>
              <w:rPr>
                <w:sz w:val="20"/>
                <w:szCs w:val="20"/>
              </w:rPr>
            </w:pPr>
            <w:r w:rsidRPr="00C618E8">
              <w:rPr>
                <w:sz w:val="20"/>
                <w:szCs w:val="20"/>
              </w:rPr>
              <w:t>0,3</w:t>
            </w:r>
          </w:p>
        </w:tc>
        <w:tc>
          <w:tcPr>
            <w:tcW w:w="1140" w:type="dxa"/>
            <w:tcBorders>
              <w:top w:val="nil"/>
            </w:tcBorders>
            <w:vAlign w:val="center"/>
          </w:tcPr>
          <w:p w:rsidR="00C57133" w:rsidRPr="00C618E8" w:rsidRDefault="00C618E8" w:rsidP="00194572">
            <w:pPr>
              <w:jc w:val="center"/>
              <w:rPr>
                <w:sz w:val="20"/>
                <w:szCs w:val="20"/>
              </w:rPr>
            </w:pPr>
            <w:r w:rsidRPr="00C618E8">
              <w:rPr>
                <w:sz w:val="20"/>
                <w:szCs w:val="20"/>
              </w:rPr>
              <w:t>-0,5</w:t>
            </w:r>
          </w:p>
        </w:tc>
        <w:tc>
          <w:tcPr>
            <w:tcW w:w="1072" w:type="dxa"/>
            <w:tcBorders>
              <w:top w:val="nil"/>
              <w:right w:val="double" w:sz="4" w:space="0" w:color="auto"/>
            </w:tcBorders>
            <w:vAlign w:val="center"/>
          </w:tcPr>
          <w:p w:rsidR="00C57133" w:rsidRPr="00C618E8" w:rsidRDefault="00C618E8" w:rsidP="00194572">
            <w:pPr>
              <w:jc w:val="center"/>
              <w:rPr>
                <w:sz w:val="20"/>
                <w:szCs w:val="20"/>
              </w:rPr>
            </w:pPr>
            <w:r w:rsidRPr="00C618E8">
              <w:rPr>
                <w:sz w:val="20"/>
                <w:szCs w:val="20"/>
              </w:rPr>
              <w:t>-2,3</w:t>
            </w:r>
          </w:p>
        </w:tc>
        <w:tc>
          <w:tcPr>
            <w:tcW w:w="959" w:type="dxa"/>
            <w:tcBorders>
              <w:top w:val="nil"/>
              <w:left w:val="double" w:sz="4" w:space="0" w:color="auto"/>
            </w:tcBorders>
            <w:vAlign w:val="center"/>
          </w:tcPr>
          <w:p w:rsidR="00C57133" w:rsidRPr="0017663B" w:rsidRDefault="0017663B" w:rsidP="00194572">
            <w:pPr>
              <w:jc w:val="center"/>
              <w:rPr>
                <w:sz w:val="20"/>
                <w:szCs w:val="20"/>
              </w:rPr>
            </w:pPr>
            <w:r w:rsidRPr="0017663B">
              <w:rPr>
                <w:sz w:val="20"/>
                <w:szCs w:val="20"/>
              </w:rPr>
              <w:t>0,8</w:t>
            </w:r>
          </w:p>
        </w:tc>
        <w:tc>
          <w:tcPr>
            <w:tcW w:w="959" w:type="dxa"/>
            <w:tcBorders>
              <w:top w:val="nil"/>
            </w:tcBorders>
            <w:vAlign w:val="center"/>
          </w:tcPr>
          <w:p w:rsidR="00C57133" w:rsidRPr="0017663B" w:rsidRDefault="0017663B" w:rsidP="00194572">
            <w:pPr>
              <w:jc w:val="center"/>
              <w:rPr>
                <w:sz w:val="20"/>
                <w:szCs w:val="20"/>
              </w:rPr>
            </w:pPr>
            <w:r w:rsidRPr="0017663B">
              <w:rPr>
                <w:sz w:val="20"/>
                <w:szCs w:val="20"/>
              </w:rPr>
              <w:t>-0,9</w:t>
            </w:r>
          </w:p>
        </w:tc>
      </w:tr>
      <w:tr w:rsidR="00C57133" w:rsidRPr="00F247C3" w:rsidTr="003202F8">
        <w:trPr>
          <w:trHeight w:val="370"/>
        </w:trPr>
        <w:tc>
          <w:tcPr>
            <w:tcW w:w="3106" w:type="dxa"/>
            <w:tcBorders>
              <w:bottom w:val="nil"/>
            </w:tcBorders>
            <w:vAlign w:val="center"/>
          </w:tcPr>
          <w:p w:rsidR="00C57133" w:rsidRPr="00846AA9" w:rsidRDefault="00C57133" w:rsidP="00E24F81">
            <w:pPr>
              <w:ind w:right="42"/>
              <w:jc w:val="center"/>
              <w:rPr>
                <w:b/>
                <w:bCs/>
                <w:sz w:val="20"/>
                <w:szCs w:val="20"/>
                <w:highlight w:val="yellow"/>
              </w:rPr>
            </w:pPr>
            <w:r w:rsidRPr="001020B3">
              <w:rPr>
                <w:b/>
                <w:bCs/>
                <w:sz w:val="20"/>
                <w:szCs w:val="20"/>
              </w:rPr>
              <w:t>Beklenti göstergeleri</w:t>
            </w:r>
          </w:p>
        </w:tc>
        <w:tc>
          <w:tcPr>
            <w:tcW w:w="1163" w:type="dxa"/>
            <w:tcBorders>
              <w:bottom w:val="nil"/>
            </w:tcBorders>
            <w:vAlign w:val="center"/>
          </w:tcPr>
          <w:p w:rsidR="00C57133" w:rsidRPr="00846AA9" w:rsidRDefault="00C57133" w:rsidP="00194572">
            <w:pPr>
              <w:jc w:val="center"/>
              <w:rPr>
                <w:sz w:val="20"/>
                <w:szCs w:val="20"/>
                <w:highlight w:val="yellow"/>
              </w:rPr>
            </w:pPr>
          </w:p>
        </w:tc>
        <w:tc>
          <w:tcPr>
            <w:tcW w:w="1123" w:type="dxa"/>
            <w:tcBorders>
              <w:bottom w:val="nil"/>
            </w:tcBorders>
            <w:vAlign w:val="center"/>
          </w:tcPr>
          <w:p w:rsidR="00C57133" w:rsidRPr="00846AA9" w:rsidRDefault="00C57133" w:rsidP="00194572">
            <w:pPr>
              <w:jc w:val="center"/>
              <w:rPr>
                <w:sz w:val="20"/>
                <w:szCs w:val="20"/>
                <w:highlight w:val="yellow"/>
              </w:rPr>
            </w:pPr>
          </w:p>
        </w:tc>
        <w:tc>
          <w:tcPr>
            <w:tcW w:w="1140" w:type="dxa"/>
            <w:tcBorders>
              <w:bottom w:val="nil"/>
            </w:tcBorders>
            <w:vAlign w:val="center"/>
          </w:tcPr>
          <w:p w:rsidR="00C57133" w:rsidRPr="00846AA9" w:rsidRDefault="00C57133" w:rsidP="00194572">
            <w:pPr>
              <w:jc w:val="center"/>
              <w:rPr>
                <w:sz w:val="20"/>
                <w:szCs w:val="20"/>
                <w:highlight w:val="yellow"/>
              </w:rPr>
            </w:pPr>
          </w:p>
        </w:tc>
        <w:tc>
          <w:tcPr>
            <w:tcW w:w="1072" w:type="dxa"/>
            <w:tcBorders>
              <w:bottom w:val="nil"/>
              <w:right w:val="double" w:sz="4" w:space="0" w:color="auto"/>
            </w:tcBorders>
            <w:vAlign w:val="center"/>
          </w:tcPr>
          <w:p w:rsidR="00C57133" w:rsidRPr="00846AA9" w:rsidRDefault="00C57133" w:rsidP="00194572">
            <w:pPr>
              <w:jc w:val="center"/>
              <w:rPr>
                <w:sz w:val="20"/>
                <w:szCs w:val="20"/>
                <w:highlight w:val="yellow"/>
              </w:rPr>
            </w:pPr>
          </w:p>
        </w:tc>
        <w:tc>
          <w:tcPr>
            <w:tcW w:w="959" w:type="dxa"/>
            <w:tcBorders>
              <w:left w:val="double" w:sz="4" w:space="0" w:color="auto"/>
              <w:bottom w:val="nil"/>
            </w:tcBorders>
            <w:vAlign w:val="center"/>
          </w:tcPr>
          <w:p w:rsidR="00C57133" w:rsidRPr="00846AA9" w:rsidRDefault="00C57133" w:rsidP="00194572">
            <w:pPr>
              <w:jc w:val="center"/>
              <w:rPr>
                <w:sz w:val="20"/>
                <w:szCs w:val="20"/>
                <w:highlight w:val="yellow"/>
              </w:rPr>
            </w:pPr>
          </w:p>
        </w:tc>
        <w:tc>
          <w:tcPr>
            <w:tcW w:w="959" w:type="dxa"/>
            <w:tcBorders>
              <w:bottom w:val="nil"/>
            </w:tcBorders>
            <w:vAlign w:val="center"/>
          </w:tcPr>
          <w:p w:rsidR="00C57133" w:rsidRPr="00846AA9" w:rsidRDefault="00C57133" w:rsidP="00194572">
            <w:pPr>
              <w:jc w:val="center"/>
              <w:rPr>
                <w:sz w:val="20"/>
                <w:szCs w:val="20"/>
                <w:highlight w:val="yellow"/>
              </w:rPr>
            </w:pPr>
          </w:p>
        </w:tc>
      </w:tr>
      <w:tr w:rsidR="00C57133" w:rsidRPr="00F247C3" w:rsidTr="003202F8">
        <w:trPr>
          <w:trHeight w:val="370"/>
        </w:trPr>
        <w:tc>
          <w:tcPr>
            <w:tcW w:w="3106" w:type="dxa"/>
            <w:tcBorders>
              <w:top w:val="nil"/>
              <w:bottom w:val="nil"/>
            </w:tcBorders>
            <w:vAlign w:val="center"/>
          </w:tcPr>
          <w:p w:rsidR="00C57133" w:rsidRPr="001020B3" w:rsidRDefault="00C57133" w:rsidP="00E24F81">
            <w:pPr>
              <w:ind w:right="42"/>
              <w:jc w:val="center"/>
              <w:rPr>
                <w:sz w:val="20"/>
                <w:szCs w:val="20"/>
              </w:rPr>
            </w:pPr>
            <w:r w:rsidRPr="001020B3">
              <w:rPr>
                <w:sz w:val="20"/>
                <w:szCs w:val="20"/>
              </w:rPr>
              <w:t xml:space="preserve">Tüketici güven endeksi (TÜİK) </w:t>
            </w:r>
            <w:r w:rsidRPr="001020B3">
              <w:rPr>
                <w:sz w:val="20"/>
                <w:szCs w:val="20"/>
                <w:vertAlign w:val="superscript"/>
              </w:rPr>
              <w:t>§</w:t>
            </w:r>
          </w:p>
        </w:tc>
        <w:tc>
          <w:tcPr>
            <w:tcW w:w="1163" w:type="dxa"/>
            <w:tcBorders>
              <w:top w:val="nil"/>
              <w:bottom w:val="nil"/>
            </w:tcBorders>
            <w:vAlign w:val="center"/>
          </w:tcPr>
          <w:p w:rsidR="00C57133" w:rsidRPr="001020B3" w:rsidRDefault="001020B3" w:rsidP="00194572">
            <w:pPr>
              <w:jc w:val="center"/>
              <w:rPr>
                <w:sz w:val="20"/>
                <w:szCs w:val="20"/>
              </w:rPr>
            </w:pPr>
            <w:r>
              <w:rPr>
                <w:sz w:val="20"/>
                <w:szCs w:val="20"/>
              </w:rPr>
              <w:t>22,1</w:t>
            </w:r>
          </w:p>
        </w:tc>
        <w:tc>
          <w:tcPr>
            <w:tcW w:w="1123" w:type="dxa"/>
            <w:tcBorders>
              <w:top w:val="nil"/>
              <w:bottom w:val="nil"/>
            </w:tcBorders>
            <w:vAlign w:val="center"/>
          </w:tcPr>
          <w:p w:rsidR="00C57133" w:rsidRPr="001020B3" w:rsidRDefault="001020B3" w:rsidP="00194572">
            <w:pPr>
              <w:jc w:val="center"/>
              <w:rPr>
                <w:sz w:val="20"/>
                <w:szCs w:val="20"/>
              </w:rPr>
            </w:pPr>
            <w:r>
              <w:rPr>
                <w:sz w:val="20"/>
                <w:szCs w:val="20"/>
              </w:rPr>
              <w:t>-5,2</w:t>
            </w:r>
          </w:p>
        </w:tc>
        <w:tc>
          <w:tcPr>
            <w:tcW w:w="1140" w:type="dxa"/>
            <w:tcBorders>
              <w:top w:val="nil"/>
              <w:bottom w:val="nil"/>
            </w:tcBorders>
            <w:vAlign w:val="center"/>
          </w:tcPr>
          <w:p w:rsidR="00C57133" w:rsidRPr="001020B3" w:rsidRDefault="001020B3" w:rsidP="00194572">
            <w:pPr>
              <w:jc w:val="center"/>
              <w:rPr>
                <w:sz w:val="20"/>
                <w:szCs w:val="20"/>
              </w:rPr>
            </w:pPr>
            <w:r>
              <w:rPr>
                <w:sz w:val="20"/>
                <w:szCs w:val="20"/>
              </w:rPr>
              <w:t>-3,0</w:t>
            </w:r>
          </w:p>
        </w:tc>
        <w:tc>
          <w:tcPr>
            <w:tcW w:w="1072" w:type="dxa"/>
            <w:tcBorders>
              <w:top w:val="nil"/>
              <w:bottom w:val="nil"/>
              <w:right w:val="double" w:sz="4" w:space="0" w:color="auto"/>
            </w:tcBorders>
            <w:vAlign w:val="center"/>
          </w:tcPr>
          <w:p w:rsidR="00C57133" w:rsidRPr="001020B3" w:rsidRDefault="001020B3" w:rsidP="00194572">
            <w:pPr>
              <w:jc w:val="center"/>
              <w:rPr>
                <w:sz w:val="20"/>
                <w:szCs w:val="20"/>
              </w:rPr>
            </w:pPr>
            <w:r>
              <w:rPr>
                <w:sz w:val="20"/>
                <w:szCs w:val="20"/>
              </w:rPr>
              <w:t>-7,7</w:t>
            </w:r>
          </w:p>
        </w:tc>
        <w:tc>
          <w:tcPr>
            <w:tcW w:w="959" w:type="dxa"/>
            <w:tcBorders>
              <w:top w:val="nil"/>
              <w:left w:val="double" w:sz="4" w:space="0" w:color="auto"/>
              <w:bottom w:val="nil"/>
            </w:tcBorders>
            <w:vAlign w:val="center"/>
          </w:tcPr>
          <w:p w:rsidR="00C57133" w:rsidRPr="001020B3" w:rsidRDefault="001020B3" w:rsidP="00194572">
            <w:pPr>
              <w:jc w:val="center"/>
              <w:rPr>
                <w:sz w:val="20"/>
                <w:szCs w:val="20"/>
              </w:rPr>
            </w:pPr>
            <w:r>
              <w:rPr>
                <w:sz w:val="20"/>
                <w:szCs w:val="20"/>
              </w:rPr>
              <w:t>16,2</w:t>
            </w:r>
          </w:p>
        </w:tc>
        <w:tc>
          <w:tcPr>
            <w:tcW w:w="959" w:type="dxa"/>
            <w:tcBorders>
              <w:top w:val="nil"/>
              <w:bottom w:val="nil"/>
            </w:tcBorders>
            <w:vAlign w:val="center"/>
          </w:tcPr>
          <w:p w:rsidR="00C57133" w:rsidRPr="001020B3" w:rsidRDefault="001020B3" w:rsidP="00194572">
            <w:pPr>
              <w:jc w:val="center"/>
              <w:rPr>
                <w:sz w:val="20"/>
                <w:szCs w:val="20"/>
              </w:rPr>
            </w:pPr>
            <w:r>
              <w:rPr>
                <w:sz w:val="20"/>
                <w:szCs w:val="20"/>
              </w:rPr>
              <w:t>-5,2</w:t>
            </w:r>
          </w:p>
        </w:tc>
      </w:tr>
      <w:tr w:rsidR="00C57133" w:rsidRPr="00B363C6" w:rsidTr="003202F8">
        <w:trPr>
          <w:trHeight w:val="370"/>
        </w:trPr>
        <w:tc>
          <w:tcPr>
            <w:tcW w:w="3106" w:type="dxa"/>
            <w:tcBorders>
              <w:top w:val="nil"/>
            </w:tcBorders>
            <w:vAlign w:val="center"/>
          </w:tcPr>
          <w:p w:rsidR="00C57133" w:rsidRPr="00B363C6" w:rsidRDefault="00C57133" w:rsidP="00E24F81">
            <w:pPr>
              <w:ind w:right="42"/>
              <w:jc w:val="center"/>
              <w:rPr>
                <w:sz w:val="20"/>
                <w:szCs w:val="20"/>
              </w:rPr>
            </w:pPr>
            <w:r w:rsidRPr="00B363C6">
              <w:rPr>
                <w:sz w:val="20"/>
                <w:szCs w:val="20"/>
              </w:rPr>
              <w:t>Reel kesim güven endeksi</w:t>
            </w:r>
            <w:r w:rsidRPr="00B363C6">
              <w:rPr>
                <w:sz w:val="20"/>
                <w:szCs w:val="20"/>
                <w:vertAlign w:val="superscript"/>
              </w:rPr>
              <w:t>†</w:t>
            </w:r>
          </w:p>
        </w:tc>
        <w:tc>
          <w:tcPr>
            <w:tcW w:w="1163" w:type="dxa"/>
            <w:tcBorders>
              <w:top w:val="nil"/>
            </w:tcBorders>
            <w:vAlign w:val="center"/>
          </w:tcPr>
          <w:p w:rsidR="00C57133" w:rsidRPr="00B363C6" w:rsidRDefault="00B363C6" w:rsidP="00194572">
            <w:pPr>
              <w:jc w:val="center"/>
              <w:rPr>
                <w:sz w:val="20"/>
                <w:szCs w:val="20"/>
              </w:rPr>
            </w:pPr>
            <w:r>
              <w:rPr>
                <w:sz w:val="20"/>
                <w:szCs w:val="20"/>
              </w:rPr>
              <w:t>6,4</w:t>
            </w:r>
          </w:p>
        </w:tc>
        <w:tc>
          <w:tcPr>
            <w:tcW w:w="1123" w:type="dxa"/>
            <w:tcBorders>
              <w:top w:val="nil"/>
            </w:tcBorders>
            <w:vAlign w:val="center"/>
          </w:tcPr>
          <w:p w:rsidR="00C57133" w:rsidRPr="00B363C6" w:rsidRDefault="00B363C6" w:rsidP="00194572">
            <w:pPr>
              <w:jc w:val="center"/>
              <w:rPr>
                <w:sz w:val="20"/>
                <w:szCs w:val="20"/>
              </w:rPr>
            </w:pPr>
            <w:r>
              <w:rPr>
                <w:sz w:val="20"/>
                <w:szCs w:val="20"/>
              </w:rPr>
              <w:t>-1,3</w:t>
            </w:r>
          </w:p>
        </w:tc>
        <w:tc>
          <w:tcPr>
            <w:tcW w:w="1140" w:type="dxa"/>
            <w:tcBorders>
              <w:top w:val="nil"/>
            </w:tcBorders>
            <w:vAlign w:val="center"/>
          </w:tcPr>
          <w:p w:rsidR="00C57133" w:rsidRPr="00B363C6" w:rsidRDefault="00B363C6" w:rsidP="00194572">
            <w:pPr>
              <w:jc w:val="center"/>
              <w:rPr>
                <w:sz w:val="20"/>
                <w:szCs w:val="20"/>
              </w:rPr>
            </w:pPr>
            <w:r>
              <w:rPr>
                <w:sz w:val="20"/>
                <w:szCs w:val="20"/>
              </w:rPr>
              <w:t>2,7</w:t>
            </w:r>
          </w:p>
        </w:tc>
        <w:tc>
          <w:tcPr>
            <w:tcW w:w="1072" w:type="dxa"/>
            <w:tcBorders>
              <w:top w:val="nil"/>
              <w:right w:val="double" w:sz="4" w:space="0" w:color="auto"/>
            </w:tcBorders>
            <w:vAlign w:val="center"/>
          </w:tcPr>
          <w:p w:rsidR="00C57133" w:rsidRPr="00B363C6" w:rsidRDefault="00B363C6" w:rsidP="00194572">
            <w:pPr>
              <w:jc w:val="center"/>
              <w:rPr>
                <w:sz w:val="20"/>
                <w:szCs w:val="20"/>
              </w:rPr>
            </w:pPr>
            <w:r>
              <w:rPr>
                <w:sz w:val="20"/>
                <w:szCs w:val="20"/>
              </w:rPr>
              <w:t>-0,7</w:t>
            </w:r>
          </w:p>
        </w:tc>
        <w:tc>
          <w:tcPr>
            <w:tcW w:w="959" w:type="dxa"/>
            <w:tcBorders>
              <w:top w:val="nil"/>
              <w:left w:val="double" w:sz="4" w:space="0" w:color="auto"/>
            </w:tcBorders>
            <w:vAlign w:val="center"/>
          </w:tcPr>
          <w:p w:rsidR="00C57133" w:rsidRPr="008F46C7" w:rsidRDefault="008F46C7" w:rsidP="00194572">
            <w:pPr>
              <w:jc w:val="center"/>
              <w:rPr>
                <w:sz w:val="20"/>
                <w:szCs w:val="20"/>
              </w:rPr>
            </w:pPr>
            <w:r w:rsidRPr="008F46C7">
              <w:rPr>
                <w:sz w:val="20"/>
                <w:szCs w:val="20"/>
              </w:rPr>
              <w:t>5,5</w:t>
            </w:r>
          </w:p>
        </w:tc>
        <w:tc>
          <w:tcPr>
            <w:tcW w:w="959" w:type="dxa"/>
            <w:tcBorders>
              <w:top w:val="nil"/>
            </w:tcBorders>
            <w:vAlign w:val="center"/>
          </w:tcPr>
          <w:p w:rsidR="00C57133" w:rsidRPr="008F46C7" w:rsidRDefault="008F46C7" w:rsidP="00194572">
            <w:pPr>
              <w:jc w:val="center"/>
              <w:rPr>
                <w:sz w:val="20"/>
                <w:szCs w:val="20"/>
              </w:rPr>
            </w:pPr>
            <w:r w:rsidRPr="008F46C7">
              <w:rPr>
                <w:sz w:val="20"/>
                <w:szCs w:val="20"/>
              </w:rPr>
              <w:t>2,3</w:t>
            </w:r>
          </w:p>
        </w:tc>
      </w:tr>
      <w:tr w:rsidR="00C57133" w:rsidRPr="00F247C3" w:rsidTr="003202F8">
        <w:trPr>
          <w:trHeight w:val="370"/>
        </w:trPr>
        <w:tc>
          <w:tcPr>
            <w:tcW w:w="3106" w:type="dxa"/>
            <w:tcBorders>
              <w:bottom w:val="nil"/>
            </w:tcBorders>
            <w:vAlign w:val="center"/>
          </w:tcPr>
          <w:p w:rsidR="00C57133" w:rsidRPr="005D4EB3" w:rsidRDefault="00C57133" w:rsidP="00E24F81">
            <w:pPr>
              <w:ind w:right="42"/>
              <w:jc w:val="center"/>
              <w:rPr>
                <w:b/>
                <w:bCs/>
                <w:sz w:val="20"/>
                <w:szCs w:val="20"/>
              </w:rPr>
            </w:pPr>
            <w:r w:rsidRPr="005D4EB3">
              <w:rPr>
                <w:b/>
                <w:bCs/>
                <w:sz w:val="20"/>
                <w:szCs w:val="20"/>
              </w:rPr>
              <w:t>Finansal göstergeler</w:t>
            </w:r>
          </w:p>
        </w:tc>
        <w:tc>
          <w:tcPr>
            <w:tcW w:w="1163" w:type="dxa"/>
            <w:tcBorders>
              <w:bottom w:val="nil"/>
            </w:tcBorders>
            <w:vAlign w:val="center"/>
          </w:tcPr>
          <w:p w:rsidR="00C57133" w:rsidRPr="005D4EB3" w:rsidRDefault="00C57133" w:rsidP="00194572">
            <w:pPr>
              <w:jc w:val="center"/>
              <w:rPr>
                <w:sz w:val="20"/>
                <w:szCs w:val="20"/>
              </w:rPr>
            </w:pPr>
          </w:p>
        </w:tc>
        <w:tc>
          <w:tcPr>
            <w:tcW w:w="1123" w:type="dxa"/>
            <w:tcBorders>
              <w:bottom w:val="nil"/>
            </w:tcBorders>
            <w:vAlign w:val="center"/>
          </w:tcPr>
          <w:p w:rsidR="00C57133" w:rsidRPr="005D4EB3" w:rsidRDefault="00C57133" w:rsidP="00194572">
            <w:pPr>
              <w:jc w:val="center"/>
              <w:rPr>
                <w:sz w:val="20"/>
                <w:szCs w:val="20"/>
              </w:rPr>
            </w:pPr>
          </w:p>
        </w:tc>
        <w:tc>
          <w:tcPr>
            <w:tcW w:w="1140" w:type="dxa"/>
            <w:tcBorders>
              <w:bottom w:val="nil"/>
            </w:tcBorders>
            <w:vAlign w:val="center"/>
          </w:tcPr>
          <w:p w:rsidR="00C57133" w:rsidRPr="005D4EB3" w:rsidRDefault="00C57133" w:rsidP="00194572">
            <w:pPr>
              <w:jc w:val="center"/>
              <w:rPr>
                <w:sz w:val="20"/>
                <w:szCs w:val="20"/>
              </w:rPr>
            </w:pPr>
          </w:p>
        </w:tc>
        <w:tc>
          <w:tcPr>
            <w:tcW w:w="1072" w:type="dxa"/>
            <w:tcBorders>
              <w:bottom w:val="nil"/>
              <w:right w:val="double" w:sz="4" w:space="0" w:color="auto"/>
            </w:tcBorders>
            <w:vAlign w:val="center"/>
          </w:tcPr>
          <w:p w:rsidR="00C57133" w:rsidRPr="005D4EB3" w:rsidRDefault="00C57133" w:rsidP="00194572">
            <w:pPr>
              <w:jc w:val="center"/>
              <w:rPr>
                <w:sz w:val="20"/>
                <w:szCs w:val="20"/>
              </w:rPr>
            </w:pPr>
          </w:p>
        </w:tc>
        <w:tc>
          <w:tcPr>
            <w:tcW w:w="959" w:type="dxa"/>
            <w:tcBorders>
              <w:left w:val="double" w:sz="4" w:space="0" w:color="auto"/>
              <w:bottom w:val="nil"/>
            </w:tcBorders>
            <w:vAlign w:val="center"/>
          </w:tcPr>
          <w:p w:rsidR="00C57133" w:rsidRPr="005D4EB3" w:rsidRDefault="00C57133" w:rsidP="00194572">
            <w:pPr>
              <w:jc w:val="center"/>
              <w:rPr>
                <w:sz w:val="20"/>
                <w:szCs w:val="20"/>
              </w:rPr>
            </w:pPr>
          </w:p>
        </w:tc>
        <w:tc>
          <w:tcPr>
            <w:tcW w:w="959" w:type="dxa"/>
            <w:tcBorders>
              <w:bottom w:val="nil"/>
            </w:tcBorders>
            <w:vAlign w:val="center"/>
          </w:tcPr>
          <w:p w:rsidR="00C57133" w:rsidRPr="005D4EB3" w:rsidRDefault="00C57133" w:rsidP="00194572">
            <w:pPr>
              <w:jc w:val="center"/>
              <w:rPr>
                <w:sz w:val="20"/>
                <w:szCs w:val="20"/>
              </w:rPr>
            </w:pPr>
          </w:p>
        </w:tc>
      </w:tr>
      <w:tr w:rsidR="00C57133" w:rsidRPr="00F247C3" w:rsidTr="003202F8">
        <w:trPr>
          <w:trHeight w:val="370"/>
        </w:trPr>
        <w:tc>
          <w:tcPr>
            <w:tcW w:w="3106" w:type="dxa"/>
            <w:tcBorders>
              <w:top w:val="nil"/>
            </w:tcBorders>
            <w:vAlign w:val="center"/>
          </w:tcPr>
          <w:p w:rsidR="00C57133" w:rsidRPr="005D4EB3" w:rsidRDefault="00C57133" w:rsidP="00E24F81">
            <w:pPr>
              <w:ind w:right="42"/>
              <w:jc w:val="center"/>
              <w:rPr>
                <w:sz w:val="20"/>
                <w:szCs w:val="20"/>
              </w:rPr>
            </w:pPr>
            <w:r w:rsidRPr="005D4EB3">
              <w:rPr>
                <w:sz w:val="20"/>
                <w:szCs w:val="20"/>
              </w:rPr>
              <w:t>BİST 100</w:t>
            </w:r>
            <w:r w:rsidRPr="005D4EB3">
              <w:rPr>
                <w:sz w:val="20"/>
                <w:szCs w:val="20"/>
                <w:vertAlign w:val="superscript"/>
              </w:rPr>
              <w:t>§</w:t>
            </w:r>
          </w:p>
        </w:tc>
        <w:tc>
          <w:tcPr>
            <w:tcW w:w="1163" w:type="dxa"/>
            <w:tcBorders>
              <w:top w:val="nil"/>
            </w:tcBorders>
            <w:vAlign w:val="center"/>
          </w:tcPr>
          <w:p w:rsidR="00C57133" w:rsidRPr="005D4EB3" w:rsidRDefault="005D4EB3" w:rsidP="00194572">
            <w:pPr>
              <w:jc w:val="center"/>
              <w:rPr>
                <w:sz w:val="20"/>
                <w:szCs w:val="20"/>
              </w:rPr>
            </w:pPr>
            <w:r w:rsidRPr="005D4EB3">
              <w:rPr>
                <w:sz w:val="20"/>
                <w:szCs w:val="20"/>
              </w:rPr>
              <w:t>0,9</w:t>
            </w:r>
          </w:p>
        </w:tc>
        <w:tc>
          <w:tcPr>
            <w:tcW w:w="1123" w:type="dxa"/>
            <w:tcBorders>
              <w:top w:val="nil"/>
            </w:tcBorders>
            <w:vAlign w:val="center"/>
          </w:tcPr>
          <w:p w:rsidR="00C57133" w:rsidRPr="005D4EB3" w:rsidRDefault="005D4EB3" w:rsidP="00194572">
            <w:pPr>
              <w:jc w:val="center"/>
              <w:rPr>
                <w:sz w:val="20"/>
                <w:szCs w:val="20"/>
              </w:rPr>
            </w:pPr>
            <w:r w:rsidRPr="005D4EB3">
              <w:rPr>
                <w:sz w:val="20"/>
                <w:szCs w:val="20"/>
              </w:rPr>
              <w:t>-8,7</w:t>
            </w:r>
          </w:p>
        </w:tc>
        <w:tc>
          <w:tcPr>
            <w:tcW w:w="1140" w:type="dxa"/>
            <w:tcBorders>
              <w:top w:val="nil"/>
            </w:tcBorders>
            <w:vAlign w:val="center"/>
          </w:tcPr>
          <w:p w:rsidR="00C57133" w:rsidRPr="005D4EB3" w:rsidRDefault="005D4EB3" w:rsidP="00194572">
            <w:pPr>
              <w:jc w:val="center"/>
              <w:rPr>
                <w:sz w:val="20"/>
                <w:szCs w:val="20"/>
              </w:rPr>
            </w:pPr>
            <w:r w:rsidRPr="005D4EB3">
              <w:rPr>
                <w:sz w:val="20"/>
                <w:szCs w:val="20"/>
              </w:rPr>
              <w:t>-4,5</w:t>
            </w:r>
          </w:p>
        </w:tc>
        <w:tc>
          <w:tcPr>
            <w:tcW w:w="1072" w:type="dxa"/>
            <w:tcBorders>
              <w:top w:val="nil"/>
              <w:right w:val="double" w:sz="4" w:space="0" w:color="auto"/>
            </w:tcBorders>
            <w:vAlign w:val="center"/>
          </w:tcPr>
          <w:p w:rsidR="00C57133" w:rsidRPr="005D4EB3" w:rsidRDefault="005D4EB3" w:rsidP="00194572">
            <w:pPr>
              <w:jc w:val="center"/>
              <w:rPr>
                <w:sz w:val="20"/>
                <w:szCs w:val="20"/>
              </w:rPr>
            </w:pPr>
            <w:r w:rsidRPr="005D4EB3">
              <w:rPr>
                <w:sz w:val="20"/>
                <w:szCs w:val="20"/>
              </w:rPr>
              <w:t>2,8</w:t>
            </w:r>
          </w:p>
        </w:tc>
        <w:tc>
          <w:tcPr>
            <w:tcW w:w="959" w:type="dxa"/>
            <w:tcBorders>
              <w:top w:val="nil"/>
              <w:left w:val="double" w:sz="4" w:space="0" w:color="auto"/>
            </w:tcBorders>
            <w:vAlign w:val="center"/>
          </w:tcPr>
          <w:p w:rsidR="00C57133" w:rsidRPr="005D4EB3" w:rsidRDefault="005D4EB3" w:rsidP="00194572">
            <w:pPr>
              <w:jc w:val="center"/>
              <w:rPr>
                <w:sz w:val="20"/>
                <w:szCs w:val="20"/>
              </w:rPr>
            </w:pPr>
            <w:r w:rsidRPr="005D4EB3">
              <w:rPr>
                <w:sz w:val="20"/>
                <w:szCs w:val="20"/>
              </w:rPr>
              <w:t>-2,4</w:t>
            </w:r>
          </w:p>
        </w:tc>
        <w:tc>
          <w:tcPr>
            <w:tcW w:w="959" w:type="dxa"/>
            <w:tcBorders>
              <w:top w:val="nil"/>
            </w:tcBorders>
            <w:vAlign w:val="center"/>
          </w:tcPr>
          <w:p w:rsidR="00C57133" w:rsidRPr="005D4EB3" w:rsidRDefault="005D4EB3" w:rsidP="00194572">
            <w:pPr>
              <w:jc w:val="center"/>
              <w:rPr>
                <w:sz w:val="20"/>
                <w:szCs w:val="20"/>
              </w:rPr>
            </w:pPr>
            <w:r w:rsidRPr="005D4EB3">
              <w:rPr>
                <w:sz w:val="20"/>
                <w:szCs w:val="20"/>
              </w:rPr>
              <w:t>-8,7</w:t>
            </w:r>
          </w:p>
        </w:tc>
      </w:tr>
      <w:tr w:rsidR="00C57133" w:rsidRPr="00F247C3" w:rsidTr="003202F8">
        <w:trPr>
          <w:trHeight w:val="370"/>
        </w:trPr>
        <w:tc>
          <w:tcPr>
            <w:tcW w:w="3106" w:type="dxa"/>
            <w:tcBorders>
              <w:bottom w:val="nil"/>
            </w:tcBorders>
            <w:vAlign w:val="center"/>
          </w:tcPr>
          <w:p w:rsidR="00C57133" w:rsidRPr="006D458F" w:rsidRDefault="00C57133" w:rsidP="00E24F81">
            <w:pPr>
              <w:ind w:right="42"/>
              <w:jc w:val="center"/>
              <w:rPr>
                <w:b/>
                <w:bCs/>
                <w:sz w:val="20"/>
                <w:szCs w:val="20"/>
              </w:rPr>
            </w:pPr>
            <w:r w:rsidRPr="006D458F">
              <w:rPr>
                <w:b/>
                <w:bCs/>
                <w:sz w:val="20"/>
                <w:szCs w:val="20"/>
              </w:rPr>
              <w:t>Diğerleri</w:t>
            </w:r>
          </w:p>
        </w:tc>
        <w:tc>
          <w:tcPr>
            <w:tcW w:w="1163" w:type="dxa"/>
            <w:tcBorders>
              <w:bottom w:val="nil"/>
            </w:tcBorders>
            <w:vAlign w:val="center"/>
          </w:tcPr>
          <w:p w:rsidR="00C57133" w:rsidRPr="006D458F" w:rsidRDefault="00C57133" w:rsidP="00194572">
            <w:pPr>
              <w:jc w:val="center"/>
              <w:rPr>
                <w:sz w:val="20"/>
                <w:szCs w:val="20"/>
              </w:rPr>
            </w:pPr>
          </w:p>
        </w:tc>
        <w:tc>
          <w:tcPr>
            <w:tcW w:w="1123" w:type="dxa"/>
            <w:tcBorders>
              <w:bottom w:val="nil"/>
            </w:tcBorders>
            <w:vAlign w:val="center"/>
          </w:tcPr>
          <w:p w:rsidR="00C57133" w:rsidRPr="00846AA9" w:rsidRDefault="00C57133" w:rsidP="00194572">
            <w:pPr>
              <w:jc w:val="center"/>
              <w:rPr>
                <w:sz w:val="20"/>
                <w:szCs w:val="20"/>
                <w:highlight w:val="yellow"/>
              </w:rPr>
            </w:pPr>
          </w:p>
        </w:tc>
        <w:tc>
          <w:tcPr>
            <w:tcW w:w="1140" w:type="dxa"/>
            <w:tcBorders>
              <w:bottom w:val="nil"/>
            </w:tcBorders>
            <w:vAlign w:val="center"/>
          </w:tcPr>
          <w:p w:rsidR="00C57133" w:rsidRPr="00846AA9" w:rsidRDefault="00C57133" w:rsidP="00194572">
            <w:pPr>
              <w:jc w:val="center"/>
              <w:rPr>
                <w:sz w:val="20"/>
                <w:szCs w:val="20"/>
                <w:highlight w:val="yellow"/>
              </w:rPr>
            </w:pPr>
          </w:p>
        </w:tc>
        <w:tc>
          <w:tcPr>
            <w:tcW w:w="1072" w:type="dxa"/>
            <w:tcBorders>
              <w:bottom w:val="nil"/>
              <w:right w:val="double" w:sz="4" w:space="0" w:color="auto"/>
            </w:tcBorders>
            <w:vAlign w:val="center"/>
          </w:tcPr>
          <w:p w:rsidR="00C57133" w:rsidRPr="00846AA9" w:rsidRDefault="00C57133" w:rsidP="00194572">
            <w:pPr>
              <w:jc w:val="center"/>
              <w:rPr>
                <w:sz w:val="20"/>
                <w:szCs w:val="20"/>
                <w:highlight w:val="yellow"/>
              </w:rPr>
            </w:pPr>
          </w:p>
        </w:tc>
        <w:tc>
          <w:tcPr>
            <w:tcW w:w="959" w:type="dxa"/>
            <w:tcBorders>
              <w:left w:val="double" w:sz="4" w:space="0" w:color="auto"/>
              <w:bottom w:val="nil"/>
            </w:tcBorders>
            <w:vAlign w:val="center"/>
          </w:tcPr>
          <w:p w:rsidR="00C57133" w:rsidRPr="00846AA9" w:rsidRDefault="00C57133" w:rsidP="00194572">
            <w:pPr>
              <w:jc w:val="center"/>
              <w:rPr>
                <w:sz w:val="20"/>
                <w:szCs w:val="20"/>
                <w:highlight w:val="yellow"/>
              </w:rPr>
            </w:pPr>
          </w:p>
        </w:tc>
        <w:tc>
          <w:tcPr>
            <w:tcW w:w="959" w:type="dxa"/>
            <w:tcBorders>
              <w:bottom w:val="nil"/>
            </w:tcBorders>
            <w:vAlign w:val="center"/>
          </w:tcPr>
          <w:p w:rsidR="00C57133" w:rsidRPr="00846AA9" w:rsidRDefault="00C57133" w:rsidP="00194572">
            <w:pPr>
              <w:jc w:val="center"/>
              <w:rPr>
                <w:sz w:val="20"/>
                <w:szCs w:val="20"/>
                <w:highlight w:val="yellow"/>
              </w:rPr>
            </w:pPr>
          </w:p>
        </w:tc>
      </w:tr>
      <w:tr w:rsidR="00C57133" w:rsidRPr="00F247C3" w:rsidTr="003202F8">
        <w:trPr>
          <w:trHeight w:val="370"/>
        </w:trPr>
        <w:tc>
          <w:tcPr>
            <w:tcW w:w="3106" w:type="dxa"/>
            <w:tcBorders>
              <w:bottom w:val="nil"/>
            </w:tcBorders>
            <w:vAlign w:val="center"/>
          </w:tcPr>
          <w:p w:rsidR="00C57133" w:rsidRPr="00422CBA" w:rsidRDefault="00C57133" w:rsidP="003202F8">
            <w:pPr>
              <w:ind w:right="42"/>
              <w:jc w:val="center"/>
              <w:rPr>
                <w:sz w:val="20"/>
                <w:szCs w:val="20"/>
              </w:rPr>
            </w:pPr>
            <w:r w:rsidRPr="00422CBA">
              <w:rPr>
                <w:sz w:val="20"/>
                <w:szCs w:val="20"/>
              </w:rPr>
              <w:t>Hükümet Harcamaları</w:t>
            </w:r>
            <w:r w:rsidRPr="00422CBA">
              <w:rPr>
                <w:sz w:val="20"/>
                <w:szCs w:val="20"/>
                <w:vertAlign w:val="superscript"/>
              </w:rPr>
              <w:t>§,</w:t>
            </w:r>
            <w:bookmarkStart w:id="1" w:name="OLE_LINK1"/>
            <w:bookmarkStart w:id="2" w:name="OLE_LINK2"/>
            <w:bookmarkStart w:id="3" w:name="OLE_LINK3"/>
            <w:r w:rsidRPr="00422CBA">
              <w:rPr>
                <w:rFonts w:ascii="Calibri" w:hAnsi="Calibri"/>
                <w:sz w:val="20"/>
                <w:szCs w:val="20"/>
              </w:rPr>
              <w:t>⁰</w:t>
            </w:r>
            <w:bookmarkEnd w:id="1"/>
            <w:bookmarkEnd w:id="2"/>
            <w:bookmarkEnd w:id="3"/>
          </w:p>
        </w:tc>
        <w:tc>
          <w:tcPr>
            <w:tcW w:w="1163" w:type="dxa"/>
            <w:tcBorders>
              <w:bottom w:val="nil"/>
            </w:tcBorders>
            <w:vAlign w:val="center"/>
          </w:tcPr>
          <w:p w:rsidR="00C57133" w:rsidRPr="00422CBA" w:rsidRDefault="00422CBA" w:rsidP="0083120A">
            <w:pPr>
              <w:jc w:val="center"/>
              <w:rPr>
                <w:sz w:val="20"/>
                <w:szCs w:val="20"/>
              </w:rPr>
            </w:pPr>
            <w:r w:rsidRPr="00422CBA">
              <w:rPr>
                <w:sz w:val="20"/>
                <w:szCs w:val="20"/>
              </w:rPr>
              <w:t>6,7</w:t>
            </w:r>
          </w:p>
        </w:tc>
        <w:tc>
          <w:tcPr>
            <w:tcW w:w="1123" w:type="dxa"/>
            <w:tcBorders>
              <w:bottom w:val="nil"/>
            </w:tcBorders>
            <w:vAlign w:val="center"/>
          </w:tcPr>
          <w:p w:rsidR="00C57133" w:rsidRPr="00422CBA" w:rsidRDefault="00422CBA" w:rsidP="0083120A">
            <w:pPr>
              <w:jc w:val="center"/>
              <w:rPr>
                <w:sz w:val="20"/>
                <w:szCs w:val="20"/>
              </w:rPr>
            </w:pPr>
            <w:r w:rsidRPr="00422CBA">
              <w:rPr>
                <w:sz w:val="20"/>
                <w:szCs w:val="20"/>
              </w:rPr>
              <w:t>-2,3</w:t>
            </w:r>
          </w:p>
        </w:tc>
        <w:tc>
          <w:tcPr>
            <w:tcW w:w="1140" w:type="dxa"/>
            <w:tcBorders>
              <w:bottom w:val="nil"/>
            </w:tcBorders>
            <w:vAlign w:val="center"/>
          </w:tcPr>
          <w:p w:rsidR="00C57133" w:rsidRPr="00422CBA" w:rsidRDefault="00422CBA" w:rsidP="0083120A">
            <w:pPr>
              <w:jc w:val="center"/>
              <w:rPr>
                <w:sz w:val="20"/>
                <w:szCs w:val="20"/>
              </w:rPr>
            </w:pPr>
            <w:r w:rsidRPr="00422CBA">
              <w:rPr>
                <w:sz w:val="20"/>
                <w:szCs w:val="20"/>
              </w:rPr>
              <w:t>0,2</w:t>
            </w:r>
          </w:p>
        </w:tc>
        <w:tc>
          <w:tcPr>
            <w:tcW w:w="1072" w:type="dxa"/>
            <w:tcBorders>
              <w:bottom w:val="nil"/>
              <w:right w:val="double" w:sz="4" w:space="0" w:color="auto"/>
            </w:tcBorders>
            <w:vAlign w:val="center"/>
          </w:tcPr>
          <w:p w:rsidR="00C57133" w:rsidRPr="00422CBA" w:rsidRDefault="00422CBA" w:rsidP="0083120A">
            <w:pPr>
              <w:jc w:val="center"/>
              <w:rPr>
                <w:sz w:val="20"/>
                <w:szCs w:val="20"/>
              </w:rPr>
            </w:pPr>
            <w:r w:rsidRPr="00422CBA">
              <w:rPr>
                <w:sz w:val="20"/>
                <w:szCs w:val="20"/>
              </w:rPr>
              <w:t>4,3</w:t>
            </w:r>
          </w:p>
        </w:tc>
        <w:tc>
          <w:tcPr>
            <w:tcW w:w="959" w:type="dxa"/>
            <w:tcBorders>
              <w:left w:val="double" w:sz="4" w:space="0" w:color="auto"/>
              <w:bottom w:val="nil"/>
            </w:tcBorders>
            <w:vAlign w:val="center"/>
          </w:tcPr>
          <w:p w:rsidR="00C57133" w:rsidRPr="00422CBA" w:rsidRDefault="00422CBA" w:rsidP="0083120A">
            <w:pPr>
              <w:jc w:val="center"/>
              <w:rPr>
                <w:sz w:val="20"/>
                <w:szCs w:val="20"/>
              </w:rPr>
            </w:pPr>
            <w:r w:rsidRPr="00422CBA">
              <w:rPr>
                <w:sz w:val="20"/>
                <w:szCs w:val="20"/>
              </w:rPr>
              <w:t>2,2</w:t>
            </w:r>
          </w:p>
        </w:tc>
        <w:tc>
          <w:tcPr>
            <w:tcW w:w="959" w:type="dxa"/>
            <w:tcBorders>
              <w:bottom w:val="nil"/>
            </w:tcBorders>
            <w:vAlign w:val="center"/>
          </w:tcPr>
          <w:p w:rsidR="00C57133" w:rsidRPr="00422CBA" w:rsidRDefault="00422CBA" w:rsidP="0083120A">
            <w:pPr>
              <w:jc w:val="center"/>
              <w:rPr>
                <w:sz w:val="20"/>
                <w:szCs w:val="20"/>
              </w:rPr>
            </w:pPr>
            <w:r w:rsidRPr="00422CBA">
              <w:rPr>
                <w:sz w:val="20"/>
                <w:szCs w:val="20"/>
              </w:rPr>
              <w:t>2,9</w:t>
            </w:r>
          </w:p>
        </w:tc>
      </w:tr>
      <w:tr w:rsidR="00C57133" w:rsidRPr="00F247C3" w:rsidTr="003202F8">
        <w:trPr>
          <w:trHeight w:val="370"/>
        </w:trPr>
        <w:tc>
          <w:tcPr>
            <w:tcW w:w="3106" w:type="dxa"/>
            <w:tcBorders>
              <w:top w:val="nil"/>
              <w:bottom w:val="nil"/>
            </w:tcBorders>
            <w:vAlign w:val="center"/>
          </w:tcPr>
          <w:p w:rsidR="00C57133" w:rsidRPr="00846AA9" w:rsidRDefault="00C57133" w:rsidP="00E24F81">
            <w:pPr>
              <w:ind w:right="42"/>
              <w:jc w:val="center"/>
              <w:rPr>
                <w:sz w:val="20"/>
                <w:szCs w:val="20"/>
                <w:highlight w:val="yellow"/>
              </w:rPr>
            </w:pPr>
            <w:r w:rsidRPr="008257B3">
              <w:rPr>
                <w:sz w:val="20"/>
                <w:szCs w:val="20"/>
              </w:rPr>
              <w:t xml:space="preserve">Özel tüketim vergisi (ÖTV) </w:t>
            </w:r>
            <w:r w:rsidRPr="008257B3">
              <w:rPr>
                <w:sz w:val="20"/>
                <w:szCs w:val="20"/>
                <w:vertAlign w:val="superscript"/>
              </w:rPr>
              <w:t>§</w:t>
            </w:r>
          </w:p>
        </w:tc>
        <w:tc>
          <w:tcPr>
            <w:tcW w:w="1163" w:type="dxa"/>
            <w:tcBorders>
              <w:top w:val="nil"/>
              <w:bottom w:val="nil"/>
            </w:tcBorders>
            <w:vAlign w:val="center"/>
          </w:tcPr>
          <w:p w:rsidR="00C57133" w:rsidRPr="008257B3" w:rsidRDefault="008257B3" w:rsidP="00194572">
            <w:pPr>
              <w:jc w:val="center"/>
              <w:rPr>
                <w:sz w:val="20"/>
                <w:szCs w:val="20"/>
              </w:rPr>
            </w:pPr>
            <w:r w:rsidRPr="008257B3">
              <w:rPr>
                <w:sz w:val="20"/>
                <w:szCs w:val="20"/>
              </w:rPr>
              <w:t>7,6</w:t>
            </w:r>
          </w:p>
        </w:tc>
        <w:tc>
          <w:tcPr>
            <w:tcW w:w="1123" w:type="dxa"/>
            <w:tcBorders>
              <w:top w:val="nil"/>
              <w:bottom w:val="nil"/>
            </w:tcBorders>
            <w:vAlign w:val="center"/>
          </w:tcPr>
          <w:p w:rsidR="00C57133" w:rsidRPr="008257B3" w:rsidRDefault="008257B3" w:rsidP="00194572">
            <w:pPr>
              <w:jc w:val="center"/>
              <w:rPr>
                <w:sz w:val="20"/>
                <w:szCs w:val="20"/>
              </w:rPr>
            </w:pPr>
            <w:r w:rsidRPr="008257B3">
              <w:rPr>
                <w:sz w:val="20"/>
                <w:szCs w:val="20"/>
              </w:rPr>
              <w:t>1,4</w:t>
            </w:r>
          </w:p>
        </w:tc>
        <w:tc>
          <w:tcPr>
            <w:tcW w:w="1140" w:type="dxa"/>
            <w:tcBorders>
              <w:top w:val="nil"/>
              <w:bottom w:val="nil"/>
            </w:tcBorders>
            <w:vAlign w:val="center"/>
          </w:tcPr>
          <w:p w:rsidR="00C57133" w:rsidRPr="008257B3" w:rsidRDefault="008257B3" w:rsidP="00194572">
            <w:pPr>
              <w:jc w:val="center"/>
              <w:rPr>
                <w:sz w:val="20"/>
                <w:szCs w:val="20"/>
              </w:rPr>
            </w:pPr>
            <w:r w:rsidRPr="008257B3">
              <w:rPr>
                <w:sz w:val="20"/>
                <w:szCs w:val="20"/>
              </w:rPr>
              <w:t>4,3</w:t>
            </w:r>
          </w:p>
        </w:tc>
        <w:tc>
          <w:tcPr>
            <w:tcW w:w="1072" w:type="dxa"/>
            <w:tcBorders>
              <w:top w:val="nil"/>
              <w:bottom w:val="nil"/>
              <w:right w:val="double" w:sz="4" w:space="0" w:color="auto"/>
            </w:tcBorders>
            <w:vAlign w:val="center"/>
          </w:tcPr>
          <w:p w:rsidR="00C57133" w:rsidRPr="0048361D" w:rsidRDefault="008257B3" w:rsidP="00194572">
            <w:pPr>
              <w:jc w:val="center"/>
              <w:rPr>
                <w:sz w:val="20"/>
                <w:szCs w:val="20"/>
              </w:rPr>
            </w:pPr>
            <w:r w:rsidRPr="0048361D">
              <w:rPr>
                <w:sz w:val="20"/>
                <w:szCs w:val="20"/>
              </w:rPr>
              <w:t>-11,7</w:t>
            </w:r>
          </w:p>
        </w:tc>
        <w:tc>
          <w:tcPr>
            <w:tcW w:w="959" w:type="dxa"/>
            <w:tcBorders>
              <w:top w:val="nil"/>
              <w:left w:val="double" w:sz="4" w:space="0" w:color="auto"/>
              <w:bottom w:val="nil"/>
            </w:tcBorders>
            <w:vAlign w:val="center"/>
          </w:tcPr>
          <w:p w:rsidR="00C57133" w:rsidRPr="0048361D" w:rsidRDefault="0048361D" w:rsidP="00194572">
            <w:pPr>
              <w:jc w:val="center"/>
              <w:rPr>
                <w:sz w:val="20"/>
                <w:szCs w:val="20"/>
              </w:rPr>
            </w:pPr>
            <w:r w:rsidRPr="0048361D">
              <w:rPr>
                <w:sz w:val="20"/>
                <w:szCs w:val="20"/>
              </w:rPr>
              <w:t>-2,3</w:t>
            </w:r>
          </w:p>
        </w:tc>
        <w:tc>
          <w:tcPr>
            <w:tcW w:w="959" w:type="dxa"/>
            <w:tcBorders>
              <w:top w:val="nil"/>
              <w:bottom w:val="nil"/>
            </w:tcBorders>
            <w:vAlign w:val="center"/>
          </w:tcPr>
          <w:p w:rsidR="00C57133" w:rsidRPr="0048361D" w:rsidRDefault="0048361D" w:rsidP="00194572">
            <w:pPr>
              <w:jc w:val="center"/>
              <w:rPr>
                <w:sz w:val="20"/>
                <w:szCs w:val="20"/>
              </w:rPr>
            </w:pPr>
            <w:r w:rsidRPr="0048361D">
              <w:rPr>
                <w:sz w:val="20"/>
                <w:szCs w:val="20"/>
              </w:rPr>
              <w:t>1,4</w:t>
            </w:r>
          </w:p>
        </w:tc>
      </w:tr>
      <w:tr w:rsidR="00C57133" w:rsidRPr="00F247C3" w:rsidTr="003202F8">
        <w:trPr>
          <w:trHeight w:val="370"/>
        </w:trPr>
        <w:tc>
          <w:tcPr>
            <w:tcW w:w="3106" w:type="dxa"/>
            <w:tcBorders>
              <w:top w:val="nil"/>
              <w:bottom w:val="nil"/>
            </w:tcBorders>
            <w:vAlign w:val="center"/>
          </w:tcPr>
          <w:p w:rsidR="00C57133" w:rsidRPr="00A86220" w:rsidRDefault="00C57133" w:rsidP="00E24F81">
            <w:pPr>
              <w:ind w:right="42"/>
              <w:jc w:val="center"/>
              <w:rPr>
                <w:sz w:val="20"/>
                <w:szCs w:val="20"/>
              </w:rPr>
            </w:pPr>
            <w:r w:rsidRPr="00A86220">
              <w:rPr>
                <w:sz w:val="20"/>
                <w:szCs w:val="20"/>
              </w:rPr>
              <w:t>Binek otomobil üretimi</w:t>
            </w:r>
            <w:r w:rsidRPr="00A86220">
              <w:rPr>
                <w:sz w:val="20"/>
                <w:szCs w:val="20"/>
                <w:vertAlign w:val="superscript"/>
              </w:rPr>
              <w:t>§</w:t>
            </w:r>
          </w:p>
        </w:tc>
        <w:tc>
          <w:tcPr>
            <w:tcW w:w="1163" w:type="dxa"/>
            <w:tcBorders>
              <w:top w:val="nil"/>
              <w:bottom w:val="nil"/>
            </w:tcBorders>
            <w:vAlign w:val="center"/>
          </w:tcPr>
          <w:p w:rsidR="00C57133" w:rsidRPr="00A86220" w:rsidRDefault="008C17EC" w:rsidP="007D694B">
            <w:pPr>
              <w:jc w:val="center"/>
              <w:rPr>
                <w:sz w:val="20"/>
                <w:szCs w:val="20"/>
              </w:rPr>
            </w:pPr>
            <w:r w:rsidRPr="00A86220">
              <w:rPr>
                <w:sz w:val="20"/>
                <w:szCs w:val="20"/>
              </w:rPr>
              <w:t>-3,4</w:t>
            </w:r>
          </w:p>
        </w:tc>
        <w:tc>
          <w:tcPr>
            <w:tcW w:w="1123" w:type="dxa"/>
            <w:tcBorders>
              <w:top w:val="nil"/>
              <w:bottom w:val="nil"/>
            </w:tcBorders>
            <w:vAlign w:val="center"/>
          </w:tcPr>
          <w:p w:rsidR="00C57133" w:rsidRPr="00A86220" w:rsidRDefault="008C17EC" w:rsidP="007D694B">
            <w:pPr>
              <w:jc w:val="center"/>
              <w:rPr>
                <w:sz w:val="20"/>
                <w:szCs w:val="20"/>
              </w:rPr>
            </w:pPr>
            <w:r w:rsidRPr="00A86220">
              <w:rPr>
                <w:sz w:val="20"/>
                <w:szCs w:val="20"/>
              </w:rPr>
              <w:t>7,1</w:t>
            </w:r>
          </w:p>
        </w:tc>
        <w:tc>
          <w:tcPr>
            <w:tcW w:w="1140" w:type="dxa"/>
            <w:tcBorders>
              <w:top w:val="nil"/>
              <w:bottom w:val="nil"/>
            </w:tcBorders>
            <w:vAlign w:val="center"/>
          </w:tcPr>
          <w:p w:rsidR="00C57133" w:rsidRPr="00A86220" w:rsidRDefault="008C17EC" w:rsidP="007D694B">
            <w:pPr>
              <w:jc w:val="center"/>
              <w:rPr>
                <w:sz w:val="20"/>
                <w:szCs w:val="20"/>
              </w:rPr>
            </w:pPr>
            <w:r w:rsidRPr="00A86220">
              <w:rPr>
                <w:sz w:val="20"/>
                <w:szCs w:val="20"/>
              </w:rPr>
              <w:t>-8,8</w:t>
            </w:r>
          </w:p>
        </w:tc>
        <w:tc>
          <w:tcPr>
            <w:tcW w:w="1072" w:type="dxa"/>
            <w:tcBorders>
              <w:top w:val="nil"/>
              <w:bottom w:val="nil"/>
              <w:right w:val="double" w:sz="4" w:space="0" w:color="auto"/>
            </w:tcBorders>
            <w:vAlign w:val="center"/>
          </w:tcPr>
          <w:p w:rsidR="00C57133" w:rsidRPr="00A86220" w:rsidRDefault="008C17EC" w:rsidP="00194572">
            <w:pPr>
              <w:jc w:val="center"/>
              <w:rPr>
                <w:sz w:val="20"/>
                <w:szCs w:val="20"/>
              </w:rPr>
            </w:pPr>
            <w:r w:rsidRPr="00A86220">
              <w:rPr>
                <w:sz w:val="20"/>
                <w:szCs w:val="20"/>
              </w:rPr>
              <w:t>3,7</w:t>
            </w:r>
          </w:p>
        </w:tc>
        <w:tc>
          <w:tcPr>
            <w:tcW w:w="959" w:type="dxa"/>
            <w:tcBorders>
              <w:top w:val="nil"/>
              <w:left w:val="double" w:sz="4" w:space="0" w:color="auto"/>
              <w:bottom w:val="nil"/>
            </w:tcBorders>
            <w:vAlign w:val="center"/>
          </w:tcPr>
          <w:p w:rsidR="00C57133" w:rsidRPr="00A86220" w:rsidRDefault="008C17EC" w:rsidP="00194572">
            <w:pPr>
              <w:jc w:val="center"/>
              <w:rPr>
                <w:sz w:val="20"/>
                <w:szCs w:val="20"/>
              </w:rPr>
            </w:pPr>
            <w:r w:rsidRPr="00A86220">
              <w:rPr>
                <w:sz w:val="20"/>
                <w:szCs w:val="20"/>
              </w:rPr>
              <w:t>9,6</w:t>
            </w:r>
          </w:p>
        </w:tc>
        <w:tc>
          <w:tcPr>
            <w:tcW w:w="959" w:type="dxa"/>
            <w:tcBorders>
              <w:top w:val="nil"/>
              <w:bottom w:val="nil"/>
            </w:tcBorders>
            <w:vAlign w:val="center"/>
          </w:tcPr>
          <w:p w:rsidR="00C57133" w:rsidRPr="00A86220" w:rsidRDefault="00416EB4" w:rsidP="00194572">
            <w:pPr>
              <w:jc w:val="center"/>
              <w:rPr>
                <w:sz w:val="20"/>
                <w:szCs w:val="20"/>
              </w:rPr>
            </w:pPr>
            <w:r>
              <w:rPr>
                <w:sz w:val="20"/>
                <w:szCs w:val="20"/>
              </w:rPr>
              <w:t>-</w:t>
            </w:r>
            <w:r w:rsidR="008C17EC" w:rsidRPr="00A86220">
              <w:rPr>
                <w:sz w:val="20"/>
                <w:szCs w:val="20"/>
              </w:rPr>
              <w:t>4,0</w:t>
            </w:r>
          </w:p>
        </w:tc>
      </w:tr>
      <w:tr w:rsidR="00C57133" w:rsidRPr="00F247C3" w:rsidTr="003202F8">
        <w:trPr>
          <w:trHeight w:val="370"/>
        </w:trPr>
        <w:tc>
          <w:tcPr>
            <w:tcW w:w="3106" w:type="dxa"/>
            <w:tcBorders>
              <w:top w:val="nil"/>
            </w:tcBorders>
            <w:vAlign w:val="center"/>
          </w:tcPr>
          <w:p w:rsidR="00C57133" w:rsidRPr="00A86220" w:rsidRDefault="00C57133" w:rsidP="00E24F81">
            <w:pPr>
              <w:ind w:right="42"/>
              <w:jc w:val="center"/>
              <w:rPr>
                <w:sz w:val="20"/>
                <w:szCs w:val="20"/>
              </w:rPr>
            </w:pPr>
            <w:r w:rsidRPr="00A86220">
              <w:rPr>
                <w:sz w:val="20"/>
                <w:szCs w:val="20"/>
              </w:rPr>
              <w:t>Binek olmayan otomobil üretimi</w:t>
            </w:r>
            <w:r w:rsidRPr="00A86220">
              <w:rPr>
                <w:sz w:val="20"/>
                <w:szCs w:val="20"/>
                <w:vertAlign w:val="superscript"/>
              </w:rPr>
              <w:t>§</w:t>
            </w:r>
          </w:p>
        </w:tc>
        <w:tc>
          <w:tcPr>
            <w:tcW w:w="1163" w:type="dxa"/>
            <w:tcBorders>
              <w:top w:val="nil"/>
            </w:tcBorders>
            <w:vAlign w:val="center"/>
          </w:tcPr>
          <w:p w:rsidR="008C17EC" w:rsidRPr="00A86220" w:rsidRDefault="008C17EC" w:rsidP="007D694B">
            <w:pPr>
              <w:jc w:val="center"/>
              <w:rPr>
                <w:sz w:val="20"/>
                <w:szCs w:val="20"/>
              </w:rPr>
            </w:pPr>
            <w:r w:rsidRPr="00A86220">
              <w:rPr>
                <w:sz w:val="20"/>
                <w:szCs w:val="20"/>
              </w:rPr>
              <w:t>-2,2</w:t>
            </w:r>
          </w:p>
        </w:tc>
        <w:tc>
          <w:tcPr>
            <w:tcW w:w="1123" w:type="dxa"/>
            <w:tcBorders>
              <w:top w:val="nil"/>
            </w:tcBorders>
            <w:vAlign w:val="center"/>
          </w:tcPr>
          <w:p w:rsidR="00C57133" w:rsidRPr="00A86220" w:rsidRDefault="00C57133" w:rsidP="008C17EC">
            <w:pPr>
              <w:jc w:val="center"/>
              <w:rPr>
                <w:sz w:val="20"/>
                <w:szCs w:val="20"/>
              </w:rPr>
            </w:pPr>
            <w:r w:rsidRPr="00A86220">
              <w:rPr>
                <w:sz w:val="20"/>
                <w:szCs w:val="20"/>
              </w:rPr>
              <w:t>-</w:t>
            </w:r>
            <w:r w:rsidR="008C17EC" w:rsidRPr="00A86220">
              <w:rPr>
                <w:sz w:val="20"/>
                <w:szCs w:val="20"/>
              </w:rPr>
              <w:t>6,4</w:t>
            </w:r>
          </w:p>
        </w:tc>
        <w:tc>
          <w:tcPr>
            <w:tcW w:w="1140" w:type="dxa"/>
            <w:tcBorders>
              <w:top w:val="nil"/>
            </w:tcBorders>
            <w:vAlign w:val="center"/>
          </w:tcPr>
          <w:p w:rsidR="00C57133" w:rsidRPr="00A86220" w:rsidRDefault="00C57133" w:rsidP="008C17EC">
            <w:pPr>
              <w:jc w:val="center"/>
              <w:rPr>
                <w:sz w:val="20"/>
                <w:szCs w:val="20"/>
              </w:rPr>
            </w:pPr>
            <w:r w:rsidRPr="00A86220">
              <w:rPr>
                <w:sz w:val="20"/>
                <w:szCs w:val="20"/>
              </w:rPr>
              <w:t>-1</w:t>
            </w:r>
            <w:r w:rsidR="008C17EC" w:rsidRPr="00A86220">
              <w:rPr>
                <w:sz w:val="20"/>
                <w:szCs w:val="20"/>
              </w:rPr>
              <w:t>0</w:t>
            </w:r>
            <w:r w:rsidRPr="00A86220">
              <w:rPr>
                <w:sz w:val="20"/>
                <w:szCs w:val="20"/>
              </w:rPr>
              <w:t>,</w:t>
            </w:r>
            <w:r w:rsidR="008C17EC" w:rsidRPr="00A86220">
              <w:rPr>
                <w:sz w:val="20"/>
                <w:szCs w:val="20"/>
              </w:rPr>
              <w:t>6</w:t>
            </w:r>
          </w:p>
        </w:tc>
        <w:tc>
          <w:tcPr>
            <w:tcW w:w="1072" w:type="dxa"/>
            <w:tcBorders>
              <w:top w:val="nil"/>
              <w:right w:val="double" w:sz="4" w:space="0" w:color="auto"/>
            </w:tcBorders>
            <w:vAlign w:val="center"/>
          </w:tcPr>
          <w:p w:rsidR="00C57133" w:rsidRPr="00A86220" w:rsidRDefault="008C17EC" w:rsidP="008C17EC">
            <w:pPr>
              <w:jc w:val="center"/>
              <w:rPr>
                <w:sz w:val="20"/>
                <w:szCs w:val="20"/>
              </w:rPr>
            </w:pPr>
            <w:r w:rsidRPr="00A86220">
              <w:rPr>
                <w:sz w:val="20"/>
                <w:szCs w:val="20"/>
              </w:rPr>
              <w:t>7,6</w:t>
            </w:r>
          </w:p>
        </w:tc>
        <w:tc>
          <w:tcPr>
            <w:tcW w:w="959" w:type="dxa"/>
            <w:tcBorders>
              <w:top w:val="nil"/>
              <w:left w:val="double" w:sz="4" w:space="0" w:color="auto"/>
            </w:tcBorders>
            <w:vAlign w:val="center"/>
          </w:tcPr>
          <w:p w:rsidR="00C57133" w:rsidRPr="00A86220" w:rsidRDefault="008C17EC" w:rsidP="00194572">
            <w:pPr>
              <w:jc w:val="center"/>
              <w:rPr>
                <w:sz w:val="20"/>
                <w:szCs w:val="20"/>
              </w:rPr>
            </w:pPr>
            <w:r w:rsidRPr="00A86220">
              <w:rPr>
                <w:sz w:val="20"/>
                <w:szCs w:val="20"/>
              </w:rPr>
              <w:t>0,5</w:t>
            </w:r>
          </w:p>
        </w:tc>
        <w:tc>
          <w:tcPr>
            <w:tcW w:w="959" w:type="dxa"/>
            <w:tcBorders>
              <w:top w:val="nil"/>
            </w:tcBorders>
            <w:vAlign w:val="center"/>
          </w:tcPr>
          <w:p w:rsidR="00C57133" w:rsidRPr="00A86220" w:rsidRDefault="008C17EC" w:rsidP="00194572">
            <w:pPr>
              <w:jc w:val="center"/>
              <w:rPr>
                <w:sz w:val="20"/>
                <w:szCs w:val="20"/>
              </w:rPr>
            </w:pPr>
            <w:r w:rsidRPr="00A86220">
              <w:rPr>
                <w:sz w:val="20"/>
                <w:szCs w:val="20"/>
              </w:rPr>
              <w:t>-12,0</w:t>
            </w:r>
          </w:p>
        </w:tc>
      </w:tr>
    </w:tbl>
    <w:p w:rsidR="00197085" w:rsidRPr="00F247C3" w:rsidRDefault="00197085" w:rsidP="00197085">
      <w:pPr>
        <w:ind w:left="-720" w:right="43" w:firstLine="360"/>
        <w:jc w:val="both"/>
        <w:rPr>
          <w:sz w:val="16"/>
          <w:szCs w:val="16"/>
        </w:rPr>
      </w:pPr>
      <w:r w:rsidRPr="00F247C3">
        <w:rPr>
          <w:sz w:val="16"/>
          <w:szCs w:val="16"/>
        </w:rPr>
        <w:t>Kaynak: TÜİK, TCMB, BIST, TDM, BETAM.</w:t>
      </w:r>
    </w:p>
    <w:p w:rsidR="00197085" w:rsidRPr="00F247C3" w:rsidRDefault="00197085" w:rsidP="00197085">
      <w:pPr>
        <w:ind w:left="-720" w:right="43" w:firstLine="360"/>
        <w:jc w:val="both"/>
        <w:rPr>
          <w:sz w:val="16"/>
          <w:szCs w:val="16"/>
        </w:rPr>
      </w:pPr>
      <w:r w:rsidRPr="00F247C3">
        <w:rPr>
          <w:sz w:val="16"/>
          <w:szCs w:val="16"/>
          <w:vertAlign w:val="superscript"/>
        </w:rPr>
        <w:t xml:space="preserve">† </w:t>
      </w:r>
      <w:r w:rsidRPr="00F247C3">
        <w:rPr>
          <w:sz w:val="16"/>
          <w:szCs w:val="16"/>
        </w:rPr>
        <w:t>TCMB tarafından mevsimsellikten arındırılmıştır.</w:t>
      </w:r>
    </w:p>
    <w:p w:rsidR="00197085" w:rsidRPr="00F247C3" w:rsidRDefault="00197085" w:rsidP="00197085">
      <w:pPr>
        <w:ind w:left="-360" w:right="43"/>
        <w:rPr>
          <w:sz w:val="16"/>
          <w:szCs w:val="16"/>
        </w:rPr>
      </w:pPr>
      <w:r w:rsidRPr="00F247C3">
        <w:rPr>
          <w:sz w:val="16"/>
          <w:szCs w:val="16"/>
          <w:vertAlign w:val="superscript"/>
        </w:rPr>
        <w:t>‡</w:t>
      </w:r>
      <w:r w:rsidRPr="00F247C3">
        <w:rPr>
          <w:sz w:val="16"/>
          <w:szCs w:val="16"/>
        </w:rPr>
        <w:t xml:space="preserve"> KKO ve alt kollarında diğer endekslerin aksine yüzde puan değişimleri veriliyor.</w:t>
      </w:r>
    </w:p>
    <w:p w:rsidR="00624BC1" w:rsidRPr="00F247C3" w:rsidRDefault="00624BC1" w:rsidP="00624BC1">
      <w:pPr>
        <w:ind w:left="-720" w:right="43" w:firstLine="360"/>
        <w:jc w:val="both"/>
        <w:rPr>
          <w:sz w:val="16"/>
          <w:szCs w:val="16"/>
        </w:rPr>
      </w:pPr>
      <w:r w:rsidRPr="00F247C3">
        <w:rPr>
          <w:sz w:val="16"/>
          <w:szCs w:val="16"/>
        </w:rPr>
        <w:t xml:space="preserve">§ Betam tarafından mevsimsellikten arındırılmıştır. </w:t>
      </w:r>
    </w:p>
    <w:p w:rsidR="00624BC1" w:rsidRPr="00F247C3" w:rsidRDefault="00197085" w:rsidP="00197085">
      <w:pPr>
        <w:ind w:left="-720" w:right="43" w:firstLine="360"/>
        <w:jc w:val="both"/>
        <w:rPr>
          <w:sz w:val="16"/>
          <w:szCs w:val="16"/>
        </w:rPr>
      </w:pPr>
      <w:r w:rsidRPr="00F247C3">
        <w:rPr>
          <w:sz w:val="16"/>
          <w:szCs w:val="16"/>
        </w:rPr>
        <w:t xml:space="preserve">*TÜİK tarafından mevsimsellikten arındırılmıştır. </w:t>
      </w:r>
    </w:p>
    <w:p w:rsidR="00197085" w:rsidRPr="00F247C3" w:rsidRDefault="00197085" w:rsidP="00197085">
      <w:pPr>
        <w:ind w:left="-720" w:right="43" w:firstLine="360"/>
        <w:jc w:val="both"/>
        <w:rPr>
          <w:sz w:val="16"/>
          <w:szCs w:val="16"/>
        </w:rPr>
      </w:pPr>
      <w:r w:rsidRPr="00F247C3">
        <w:rPr>
          <w:sz w:val="16"/>
          <w:szCs w:val="16"/>
        </w:rPr>
        <w:t>**Bu aya dair veri henüz açıklanmamıştır.</w:t>
      </w:r>
    </w:p>
    <w:p w:rsidR="00197085" w:rsidRPr="00F247C3" w:rsidRDefault="001344A4" w:rsidP="00197085">
      <w:pPr>
        <w:ind w:left="-360" w:right="43"/>
        <w:rPr>
          <w:sz w:val="16"/>
          <w:szCs w:val="16"/>
        </w:rPr>
      </w:pPr>
      <w:r w:rsidRPr="00F247C3">
        <w:rPr>
          <w:sz w:val="16"/>
          <w:szCs w:val="16"/>
        </w:rPr>
        <w:t xml:space="preserve">*** Betam </w:t>
      </w:r>
      <w:r w:rsidR="00197085" w:rsidRPr="00F247C3">
        <w:rPr>
          <w:sz w:val="16"/>
          <w:szCs w:val="16"/>
        </w:rPr>
        <w:t>hesaplamaları: Altın hariç ithalatı bulmak için nominal ithalattan parasal olmayan altın ithalatını çıkarıp ithalat birim değer endeksine bölüyoruz. Altın hariç ihracatı bulmak için nominal mal ve hizmet ihracatından parasal olmayan altın  ihracatını çıkarıp ihracat birim değer endeksine bölüyoruz. Betam tarafından mevsimsellikten arındırılmıştır.</w:t>
      </w:r>
    </w:p>
    <w:p w:rsidR="00197085" w:rsidRDefault="00197085" w:rsidP="00197085">
      <w:pPr>
        <w:ind w:left="-360" w:right="43"/>
        <w:rPr>
          <w:sz w:val="16"/>
          <w:szCs w:val="16"/>
        </w:rPr>
      </w:pPr>
      <w:r w:rsidRPr="00F247C3">
        <w:rPr>
          <w:rFonts w:ascii="Calibri" w:hAnsi="Calibri"/>
          <w:sz w:val="16"/>
          <w:szCs w:val="16"/>
        </w:rPr>
        <w:t>⁰</w:t>
      </w:r>
      <w:r w:rsidRPr="00F247C3">
        <w:rPr>
          <w:sz w:val="16"/>
          <w:szCs w:val="16"/>
        </w:rPr>
        <w:t xml:space="preserve"> Cari transferler hariç hükümet harcamalarının toplamı, enflasyondan arındırılmış.</w:t>
      </w:r>
    </w:p>
    <w:p w:rsidR="002A5EBF" w:rsidRPr="00F247C3" w:rsidRDefault="002A5EBF" w:rsidP="00197085">
      <w:pPr>
        <w:ind w:left="-360" w:right="43"/>
        <w:rPr>
          <w:sz w:val="16"/>
          <w:szCs w:val="16"/>
        </w:rPr>
      </w:pPr>
    </w:p>
    <w:p w:rsidR="00197085" w:rsidRPr="00F247C3" w:rsidRDefault="00197085" w:rsidP="00197085">
      <w:pPr>
        <w:spacing w:line="360" w:lineRule="auto"/>
        <w:ind w:right="42"/>
        <w:jc w:val="both"/>
        <w:rPr>
          <w:sz w:val="22"/>
          <w:szCs w:val="22"/>
        </w:rPr>
      </w:pPr>
    </w:p>
    <w:p w:rsidR="00197085" w:rsidRPr="00F247C3" w:rsidRDefault="00197085" w:rsidP="00197085">
      <w:pPr>
        <w:spacing w:line="360" w:lineRule="auto"/>
        <w:ind w:right="42"/>
        <w:jc w:val="both"/>
        <w:rPr>
          <w:sz w:val="22"/>
          <w:szCs w:val="22"/>
        </w:rPr>
        <w:sectPr w:rsidR="00197085" w:rsidRPr="00F247C3" w:rsidSect="008651A8">
          <w:type w:val="continuous"/>
          <w:pgSz w:w="11906" w:h="16838"/>
          <w:pgMar w:top="1417" w:right="1417" w:bottom="1417" w:left="1417" w:header="708" w:footer="708" w:gutter="0"/>
          <w:cols w:space="708"/>
          <w:docGrid w:linePitch="360"/>
        </w:sectPr>
      </w:pPr>
    </w:p>
    <w:p w:rsidR="00197085" w:rsidRPr="001771BD" w:rsidRDefault="00197085" w:rsidP="00197085">
      <w:pPr>
        <w:ind w:left="-360" w:right="42"/>
        <w:jc w:val="both"/>
        <w:rPr>
          <w:b/>
          <w:bCs/>
          <w:sz w:val="22"/>
          <w:szCs w:val="22"/>
        </w:rPr>
      </w:pPr>
      <w:r w:rsidRPr="001771BD">
        <w:rPr>
          <w:b/>
          <w:bCs/>
          <w:sz w:val="22"/>
          <w:szCs w:val="22"/>
        </w:rPr>
        <w:lastRenderedPageBreak/>
        <w:t>Şekil 1: Kapasite kullanım oranı ve sanayi üretim endeksi (mea)</w:t>
      </w:r>
    </w:p>
    <w:p w:rsidR="00EA40DA" w:rsidRPr="001771BD" w:rsidRDefault="00241854" w:rsidP="00197085">
      <w:pPr>
        <w:ind w:left="-360" w:right="42"/>
        <w:jc w:val="both"/>
        <w:rPr>
          <w:b/>
          <w:bCs/>
          <w:sz w:val="22"/>
          <w:szCs w:val="22"/>
        </w:rPr>
      </w:pPr>
      <w:r w:rsidRPr="00241854">
        <w:rPr>
          <w:noProof/>
          <w:szCs w:val="22"/>
        </w:rPr>
        <w:drawing>
          <wp:inline distT="0" distB="0" distL="0" distR="0">
            <wp:extent cx="2971141" cy="2199736"/>
            <wp:effectExtent l="19050" t="0" r="659"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976365" cy="2203604"/>
                    </a:xfrm>
                    <a:prstGeom prst="rect">
                      <a:avLst/>
                    </a:prstGeom>
                    <a:noFill/>
                    <a:ln w="9525">
                      <a:noFill/>
                      <a:miter lim="800000"/>
                      <a:headEnd/>
                      <a:tailEnd/>
                    </a:ln>
                  </pic:spPr>
                </pic:pic>
              </a:graphicData>
            </a:graphic>
          </wp:inline>
        </w:drawing>
      </w:r>
    </w:p>
    <w:p w:rsidR="00197085" w:rsidRPr="001771BD" w:rsidRDefault="00197085" w:rsidP="00197085">
      <w:pPr>
        <w:ind w:left="-360" w:right="42"/>
        <w:jc w:val="both"/>
        <w:rPr>
          <w:b/>
          <w:bCs/>
          <w:sz w:val="8"/>
          <w:szCs w:val="8"/>
        </w:rPr>
      </w:pPr>
    </w:p>
    <w:p w:rsidR="00197085" w:rsidRPr="001771BD" w:rsidRDefault="002F6BD8" w:rsidP="00197085">
      <w:pPr>
        <w:ind w:left="-360" w:right="42"/>
        <w:jc w:val="both"/>
        <w:rPr>
          <w:sz w:val="18"/>
          <w:szCs w:val="18"/>
        </w:rPr>
      </w:pPr>
      <w:r w:rsidRPr="001771BD">
        <w:rPr>
          <w:sz w:val="18"/>
          <w:szCs w:val="18"/>
        </w:rPr>
        <w:t>Kaynak</w:t>
      </w:r>
      <w:r w:rsidR="00197085" w:rsidRPr="001771BD">
        <w:rPr>
          <w:sz w:val="18"/>
          <w:szCs w:val="18"/>
        </w:rPr>
        <w:t xml:space="preserve">: TÜİK (sol taraf KKO ekseni, sağ taraf SÜE </w:t>
      </w:r>
    </w:p>
    <w:p w:rsidR="00197085" w:rsidRPr="001771BD" w:rsidRDefault="00197085" w:rsidP="00197085">
      <w:pPr>
        <w:ind w:left="-360" w:right="42"/>
        <w:jc w:val="both"/>
        <w:rPr>
          <w:sz w:val="18"/>
          <w:szCs w:val="18"/>
        </w:rPr>
      </w:pPr>
      <w:r w:rsidRPr="001771BD">
        <w:rPr>
          <w:sz w:val="18"/>
          <w:szCs w:val="18"/>
        </w:rPr>
        <w:t>ekseni).</w:t>
      </w:r>
    </w:p>
    <w:p w:rsidR="00197085" w:rsidRPr="001771BD" w:rsidRDefault="00197085" w:rsidP="00197085">
      <w:pPr>
        <w:ind w:left="-360" w:right="42"/>
        <w:jc w:val="both"/>
        <w:rPr>
          <w:b/>
          <w:bCs/>
          <w:sz w:val="10"/>
          <w:szCs w:val="10"/>
        </w:rPr>
      </w:pPr>
    </w:p>
    <w:p w:rsidR="008F1089" w:rsidRPr="001771BD" w:rsidRDefault="008F1089" w:rsidP="00197085">
      <w:pPr>
        <w:ind w:left="-360" w:right="42"/>
        <w:jc w:val="both"/>
        <w:rPr>
          <w:b/>
          <w:bCs/>
          <w:sz w:val="22"/>
          <w:szCs w:val="22"/>
        </w:rPr>
      </w:pPr>
    </w:p>
    <w:p w:rsidR="00197085" w:rsidRPr="00F81C11" w:rsidRDefault="00197085" w:rsidP="00197085">
      <w:pPr>
        <w:ind w:left="-360" w:right="42"/>
        <w:jc w:val="both"/>
        <w:rPr>
          <w:b/>
          <w:bCs/>
          <w:sz w:val="8"/>
          <w:szCs w:val="8"/>
        </w:rPr>
      </w:pPr>
      <w:r w:rsidRPr="00F81C11">
        <w:rPr>
          <w:b/>
          <w:bCs/>
          <w:sz w:val="22"/>
          <w:szCs w:val="22"/>
        </w:rPr>
        <w:t>Şekil 3: Altın dahil cari açığın GSYH'a oranı, 12 aylık</w:t>
      </w:r>
    </w:p>
    <w:p w:rsidR="001771BD" w:rsidRPr="00F81C11" w:rsidRDefault="00F81C11" w:rsidP="00197085">
      <w:pPr>
        <w:ind w:left="-360" w:right="42"/>
        <w:jc w:val="both"/>
        <w:rPr>
          <w:noProof/>
        </w:rPr>
      </w:pPr>
      <w:r w:rsidRPr="00F81C11">
        <w:rPr>
          <w:noProof/>
        </w:rPr>
        <w:drawing>
          <wp:inline distT="0" distB="0" distL="0" distR="0">
            <wp:extent cx="2896679" cy="2303253"/>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2902806" cy="2308125"/>
                    </a:xfrm>
                    <a:prstGeom prst="rect">
                      <a:avLst/>
                    </a:prstGeom>
                    <a:noFill/>
                    <a:ln w="9525">
                      <a:noFill/>
                      <a:miter lim="800000"/>
                      <a:headEnd/>
                      <a:tailEnd/>
                    </a:ln>
                  </pic:spPr>
                </pic:pic>
              </a:graphicData>
            </a:graphic>
          </wp:inline>
        </w:drawing>
      </w:r>
    </w:p>
    <w:p w:rsidR="00197085" w:rsidRPr="00F81C11" w:rsidRDefault="00197085" w:rsidP="00197085">
      <w:pPr>
        <w:ind w:left="-360" w:right="42"/>
        <w:jc w:val="both"/>
        <w:rPr>
          <w:sz w:val="16"/>
          <w:szCs w:val="16"/>
        </w:rPr>
      </w:pPr>
      <w:r w:rsidRPr="00F81C11">
        <w:rPr>
          <w:sz w:val="16"/>
          <w:szCs w:val="16"/>
        </w:rPr>
        <w:t>Kaynak: TCMB,</w:t>
      </w:r>
      <w:r w:rsidR="0011609A" w:rsidRPr="00F81C11">
        <w:rPr>
          <w:sz w:val="16"/>
          <w:szCs w:val="16"/>
        </w:rPr>
        <w:t xml:space="preserve"> </w:t>
      </w:r>
      <w:r w:rsidRPr="00F81C11">
        <w:rPr>
          <w:sz w:val="16"/>
          <w:szCs w:val="16"/>
        </w:rPr>
        <w:t>TÜİK, Betam.</w:t>
      </w:r>
    </w:p>
    <w:p w:rsidR="00EA40DA" w:rsidRPr="00F81C11" w:rsidRDefault="00197085" w:rsidP="00197085">
      <w:pPr>
        <w:ind w:left="-360" w:right="42"/>
        <w:jc w:val="both"/>
        <w:rPr>
          <w:b/>
          <w:bCs/>
          <w:sz w:val="22"/>
          <w:szCs w:val="22"/>
        </w:rPr>
      </w:pPr>
      <w:r w:rsidRPr="00F81C11">
        <w:rPr>
          <w:b/>
          <w:bCs/>
          <w:sz w:val="22"/>
          <w:szCs w:val="22"/>
        </w:rPr>
        <w:br/>
      </w:r>
    </w:p>
    <w:p w:rsidR="00197085" w:rsidRPr="00F81C11" w:rsidRDefault="00197085" w:rsidP="00197085">
      <w:pPr>
        <w:ind w:left="-360" w:right="42"/>
        <w:jc w:val="both"/>
        <w:rPr>
          <w:b/>
          <w:bCs/>
          <w:sz w:val="22"/>
          <w:szCs w:val="22"/>
        </w:rPr>
      </w:pPr>
      <w:r w:rsidRPr="00F81C11">
        <w:rPr>
          <w:b/>
          <w:bCs/>
          <w:sz w:val="22"/>
          <w:szCs w:val="22"/>
        </w:rPr>
        <w:br/>
      </w:r>
      <w:r w:rsidRPr="00F81C11">
        <w:rPr>
          <w:b/>
          <w:bCs/>
          <w:sz w:val="22"/>
          <w:szCs w:val="22"/>
        </w:rPr>
        <w:br/>
      </w:r>
      <w:r w:rsidRPr="00F81C11">
        <w:rPr>
          <w:b/>
          <w:bCs/>
          <w:sz w:val="22"/>
          <w:szCs w:val="22"/>
        </w:rPr>
        <w:lastRenderedPageBreak/>
        <w:t>Şekil 2: İhracat ve ithalat miktar endeksleri (mea)</w:t>
      </w:r>
    </w:p>
    <w:p w:rsidR="00EA40DA" w:rsidRPr="00F81C11" w:rsidRDefault="008F3101" w:rsidP="00197085">
      <w:pPr>
        <w:ind w:left="-360" w:right="42"/>
        <w:jc w:val="both"/>
        <w:rPr>
          <w:b/>
          <w:bCs/>
          <w:sz w:val="22"/>
          <w:szCs w:val="22"/>
        </w:rPr>
      </w:pPr>
      <w:r w:rsidRPr="00F81C11">
        <w:rPr>
          <w:noProof/>
          <w:szCs w:val="22"/>
        </w:rPr>
        <w:drawing>
          <wp:inline distT="0" distB="0" distL="0" distR="0">
            <wp:extent cx="2896678" cy="2303253"/>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2898441" cy="2304655"/>
                    </a:xfrm>
                    <a:prstGeom prst="rect">
                      <a:avLst/>
                    </a:prstGeom>
                    <a:noFill/>
                    <a:ln w="9525">
                      <a:noFill/>
                      <a:miter lim="800000"/>
                      <a:headEnd/>
                      <a:tailEnd/>
                    </a:ln>
                  </pic:spPr>
                </pic:pic>
              </a:graphicData>
            </a:graphic>
          </wp:inline>
        </w:drawing>
      </w:r>
    </w:p>
    <w:p w:rsidR="00197085" w:rsidRPr="00F81C11" w:rsidRDefault="00197085" w:rsidP="00197085">
      <w:pPr>
        <w:spacing w:line="360" w:lineRule="auto"/>
        <w:ind w:left="-360" w:right="42"/>
        <w:jc w:val="both"/>
        <w:rPr>
          <w:sz w:val="4"/>
          <w:szCs w:val="4"/>
        </w:rPr>
      </w:pPr>
    </w:p>
    <w:p w:rsidR="00197085" w:rsidRPr="00F81C11" w:rsidRDefault="002F6BD8" w:rsidP="00197085">
      <w:pPr>
        <w:ind w:left="-360" w:right="42"/>
        <w:jc w:val="both"/>
        <w:rPr>
          <w:sz w:val="18"/>
          <w:szCs w:val="18"/>
        </w:rPr>
      </w:pPr>
      <w:r w:rsidRPr="00F81C11">
        <w:rPr>
          <w:sz w:val="18"/>
          <w:szCs w:val="18"/>
        </w:rPr>
        <w:t>Kaynak</w:t>
      </w:r>
      <w:r w:rsidR="00197085" w:rsidRPr="00F81C11">
        <w:rPr>
          <w:sz w:val="18"/>
          <w:szCs w:val="18"/>
        </w:rPr>
        <w:t>: TÜİK.</w:t>
      </w:r>
    </w:p>
    <w:p w:rsidR="00197085" w:rsidRPr="00F81C11" w:rsidRDefault="00197085" w:rsidP="00197085">
      <w:pPr>
        <w:ind w:left="-360" w:right="42"/>
        <w:jc w:val="both"/>
        <w:rPr>
          <w:b/>
          <w:bCs/>
          <w:sz w:val="18"/>
          <w:szCs w:val="18"/>
        </w:rPr>
      </w:pPr>
    </w:p>
    <w:p w:rsidR="00A978BD" w:rsidRDefault="00197085" w:rsidP="00197085">
      <w:pPr>
        <w:ind w:left="-360" w:right="42"/>
        <w:jc w:val="both"/>
        <w:rPr>
          <w:b/>
          <w:bCs/>
          <w:sz w:val="22"/>
          <w:szCs w:val="22"/>
        </w:rPr>
      </w:pPr>
      <w:r w:rsidRPr="00F81C11">
        <w:rPr>
          <w:b/>
          <w:bCs/>
          <w:sz w:val="22"/>
          <w:szCs w:val="22"/>
        </w:rPr>
        <w:br/>
        <w:t>Şekil 4: Altın hariç cari açığın GSYH'a oranı, 12 aylık</w:t>
      </w:r>
    </w:p>
    <w:p w:rsidR="00197085" w:rsidRPr="00F247C3" w:rsidRDefault="00197085" w:rsidP="00197085">
      <w:pPr>
        <w:spacing w:line="360" w:lineRule="auto"/>
        <w:ind w:left="-360" w:right="42"/>
        <w:jc w:val="both"/>
        <w:rPr>
          <w:sz w:val="4"/>
          <w:szCs w:val="4"/>
        </w:rPr>
      </w:pPr>
    </w:p>
    <w:p w:rsidR="00197085" w:rsidRDefault="00F81C11" w:rsidP="00197085">
      <w:pPr>
        <w:ind w:left="-360" w:right="42"/>
        <w:jc w:val="both"/>
      </w:pPr>
      <w:r w:rsidRPr="00F81C11">
        <w:rPr>
          <w:noProof/>
        </w:rPr>
        <w:drawing>
          <wp:inline distT="0" distB="0" distL="0" distR="0">
            <wp:extent cx="2655570" cy="2245024"/>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srcRect/>
                    <a:stretch>
                      <a:fillRect/>
                    </a:stretch>
                  </pic:blipFill>
                  <pic:spPr bwMode="auto">
                    <a:xfrm>
                      <a:off x="0" y="0"/>
                      <a:ext cx="2655570" cy="2245024"/>
                    </a:xfrm>
                    <a:prstGeom prst="rect">
                      <a:avLst/>
                    </a:prstGeom>
                    <a:noFill/>
                    <a:ln w="9525">
                      <a:noFill/>
                      <a:miter lim="800000"/>
                      <a:headEnd/>
                      <a:tailEnd/>
                    </a:ln>
                  </pic:spPr>
                </pic:pic>
              </a:graphicData>
            </a:graphic>
          </wp:inline>
        </w:drawing>
      </w:r>
    </w:p>
    <w:p w:rsidR="00197085" w:rsidRPr="00F247C3" w:rsidRDefault="003136F7" w:rsidP="00197085">
      <w:pPr>
        <w:ind w:left="-360" w:right="42"/>
        <w:jc w:val="both"/>
        <w:rPr>
          <w:sz w:val="16"/>
          <w:szCs w:val="16"/>
        </w:rPr>
      </w:pPr>
      <w:r w:rsidRPr="00F247C3">
        <w:rPr>
          <w:sz w:val="16"/>
          <w:szCs w:val="16"/>
        </w:rPr>
        <w:t>Kaynak</w:t>
      </w:r>
      <w:r w:rsidR="00197085" w:rsidRPr="00F247C3">
        <w:rPr>
          <w:sz w:val="16"/>
          <w:szCs w:val="16"/>
        </w:rPr>
        <w:t>: TCMB, TÜİK, Betam.</w:t>
      </w:r>
    </w:p>
    <w:p w:rsidR="00197085" w:rsidRPr="00F247C3" w:rsidRDefault="00197085" w:rsidP="00197085">
      <w:pPr>
        <w:spacing w:line="360" w:lineRule="auto"/>
        <w:ind w:right="42"/>
        <w:jc w:val="both"/>
        <w:rPr>
          <w:sz w:val="22"/>
          <w:szCs w:val="22"/>
        </w:rPr>
        <w:sectPr w:rsidR="00197085" w:rsidRPr="00F247C3" w:rsidSect="007067F4">
          <w:type w:val="continuous"/>
          <w:pgSz w:w="11906" w:h="16838"/>
          <w:pgMar w:top="1417" w:right="1417" w:bottom="1417" w:left="1417" w:header="708" w:footer="708" w:gutter="0"/>
          <w:cols w:num="2" w:space="708" w:equalWidth="0">
            <w:col w:w="4182" w:space="708"/>
            <w:col w:w="4182"/>
          </w:cols>
          <w:docGrid w:linePitch="360"/>
        </w:sectPr>
      </w:pPr>
    </w:p>
    <w:p w:rsidR="00197085" w:rsidRPr="00F247C3" w:rsidRDefault="00197085" w:rsidP="00197085">
      <w:pPr>
        <w:spacing w:line="360" w:lineRule="auto"/>
        <w:ind w:left="-360" w:right="42"/>
        <w:jc w:val="both"/>
        <w:rPr>
          <w:b/>
          <w:bCs/>
          <w:sz w:val="22"/>
          <w:szCs w:val="22"/>
        </w:rPr>
      </w:pPr>
    </w:p>
    <w:p w:rsidR="00197085" w:rsidRPr="00F247C3" w:rsidRDefault="00197085" w:rsidP="0011609A">
      <w:pPr>
        <w:ind w:left="-360" w:right="42"/>
        <w:rPr>
          <w:b/>
          <w:bCs/>
          <w:sz w:val="22"/>
          <w:szCs w:val="22"/>
        </w:rPr>
      </w:pPr>
      <w:r w:rsidRPr="00F247C3">
        <w:rPr>
          <w:sz w:val="18"/>
          <w:szCs w:val="18"/>
        </w:rPr>
        <w:tab/>
      </w:r>
    </w:p>
    <w:p w:rsidR="00197085" w:rsidRPr="00F247C3" w:rsidRDefault="00197085" w:rsidP="00197085">
      <w:pPr>
        <w:ind w:left="-360" w:right="42"/>
        <w:jc w:val="both"/>
        <w:rPr>
          <w:b/>
          <w:bCs/>
          <w:sz w:val="22"/>
          <w:szCs w:val="22"/>
        </w:rPr>
      </w:pPr>
    </w:p>
    <w:p w:rsidR="00197085" w:rsidRPr="00F247C3" w:rsidRDefault="00197085" w:rsidP="00197085">
      <w:pPr>
        <w:ind w:left="-360" w:right="42"/>
        <w:jc w:val="both"/>
        <w:rPr>
          <w:b/>
          <w:bCs/>
          <w:sz w:val="22"/>
          <w:szCs w:val="22"/>
        </w:rPr>
      </w:pPr>
    </w:p>
    <w:p w:rsidR="00197085" w:rsidRPr="00F247C3" w:rsidRDefault="00197085" w:rsidP="00197085">
      <w:pPr>
        <w:ind w:left="-360" w:right="42"/>
        <w:jc w:val="both"/>
        <w:rPr>
          <w:b/>
          <w:bCs/>
          <w:sz w:val="22"/>
          <w:szCs w:val="22"/>
        </w:rPr>
      </w:pPr>
    </w:p>
    <w:p w:rsidR="00197085" w:rsidRPr="00F247C3" w:rsidRDefault="00197085" w:rsidP="00197085">
      <w:pPr>
        <w:ind w:left="-360" w:right="42"/>
        <w:jc w:val="both"/>
        <w:rPr>
          <w:b/>
          <w:bCs/>
          <w:sz w:val="22"/>
          <w:szCs w:val="22"/>
        </w:rPr>
      </w:pPr>
    </w:p>
    <w:p w:rsidR="00197085" w:rsidRPr="00F247C3" w:rsidRDefault="00197085" w:rsidP="00197085">
      <w:pPr>
        <w:ind w:left="-360" w:right="42"/>
        <w:jc w:val="both"/>
        <w:rPr>
          <w:b/>
          <w:bCs/>
          <w:sz w:val="22"/>
          <w:szCs w:val="22"/>
        </w:rPr>
      </w:pPr>
    </w:p>
    <w:p w:rsidR="00197085" w:rsidRPr="00F247C3" w:rsidRDefault="00197085" w:rsidP="00197085">
      <w:pPr>
        <w:ind w:left="-360" w:right="42"/>
        <w:jc w:val="both"/>
        <w:rPr>
          <w:b/>
          <w:bCs/>
          <w:sz w:val="22"/>
          <w:szCs w:val="22"/>
        </w:rPr>
      </w:pPr>
    </w:p>
    <w:p w:rsidR="00197085" w:rsidRPr="00F247C3" w:rsidRDefault="00197085" w:rsidP="00197085">
      <w:pPr>
        <w:ind w:left="-360" w:right="42"/>
        <w:jc w:val="both"/>
        <w:rPr>
          <w:b/>
          <w:bCs/>
          <w:sz w:val="22"/>
          <w:szCs w:val="22"/>
        </w:rPr>
      </w:pPr>
    </w:p>
    <w:p w:rsidR="008C6E09" w:rsidRPr="00F247C3" w:rsidRDefault="008C6E09" w:rsidP="00197085">
      <w:pPr>
        <w:spacing w:line="360" w:lineRule="auto"/>
        <w:ind w:right="42"/>
        <w:jc w:val="both"/>
        <w:rPr>
          <w:b/>
          <w:bCs/>
          <w:sz w:val="22"/>
          <w:szCs w:val="22"/>
        </w:rPr>
      </w:pPr>
    </w:p>
    <w:sectPr w:rsidR="008C6E09" w:rsidRPr="00F247C3" w:rsidSect="00E9738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387" w:rsidRDefault="00286387">
      <w:r>
        <w:separator/>
      </w:r>
    </w:p>
  </w:endnote>
  <w:endnote w:type="continuationSeparator" w:id="0">
    <w:p w:rsidR="00286387" w:rsidRDefault="0028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08D" w:rsidRDefault="004906C4" w:rsidP="00D830C4">
    <w:pPr>
      <w:pStyle w:val="Footer"/>
      <w:framePr w:wrap="auto" w:vAnchor="text" w:hAnchor="margin" w:xAlign="right" w:y="1"/>
      <w:rPr>
        <w:rStyle w:val="PageNumber"/>
      </w:rPr>
    </w:pPr>
    <w:r>
      <w:rPr>
        <w:rStyle w:val="PageNumber"/>
      </w:rPr>
      <w:fldChar w:fldCharType="begin"/>
    </w:r>
    <w:r w:rsidR="00EB408D">
      <w:rPr>
        <w:rStyle w:val="PageNumber"/>
      </w:rPr>
      <w:instrText xml:space="preserve">PAGE  </w:instrText>
    </w:r>
    <w:r>
      <w:rPr>
        <w:rStyle w:val="PageNumber"/>
      </w:rPr>
      <w:fldChar w:fldCharType="separate"/>
    </w:r>
    <w:r w:rsidR="00EC74AD">
      <w:rPr>
        <w:rStyle w:val="PageNumber"/>
        <w:noProof/>
      </w:rPr>
      <w:t>1</w:t>
    </w:r>
    <w:r>
      <w:rPr>
        <w:rStyle w:val="PageNumber"/>
      </w:rPr>
      <w:fldChar w:fldCharType="end"/>
    </w:r>
  </w:p>
  <w:p w:rsidR="00EB408D" w:rsidRPr="007B51E3" w:rsidRDefault="00EB408D" w:rsidP="007B51E3">
    <w:pPr>
      <w:pStyle w:val="Footer"/>
      <w:ind w:right="360"/>
      <w:jc w:val="center"/>
      <w:rPr>
        <w:b/>
        <w:bCs/>
        <w:i/>
        <w:iCs/>
      </w:rPr>
    </w:pPr>
    <w:r w:rsidRPr="007B51E3">
      <w:rPr>
        <w:b/>
        <w:bCs/>
        <w:i/>
        <w:iCs/>
      </w:rPr>
      <w:t>www.betam.bahcesehir.edu.tr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E90" w:rsidRDefault="004906C4" w:rsidP="00D830C4">
    <w:pPr>
      <w:pStyle w:val="Footer"/>
      <w:framePr w:wrap="auto" w:vAnchor="text" w:hAnchor="margin" w:xAlign="right" w:y="1"/>
      <w:rPr>
        <w:rStyle w:val="PageNumber"/>
      </w:rPr>
    </w:pPr>
    <w:r>
      <w:rPr>
        <w:rStyle w:val="PageNumber"/>
      </w:rPr>
      <w:fldChar w:fldCharType="begin"/>
    </w:r>
    <w:r w:rsidR="00C76E90">
      <w:rPr>
        <w:rStyle w:val="PageNumber"/>
      </w:rPr>
      <w:instrText xml:space="preserve">PAGE  </w:instrText>
    </w:r>
    <w:r>
      <w:rPr>
        <w:rStyle w:val="PageNumber"/>
      </w:rPr>
      <w:fldChar w:fldCharType="separate"/>
    </w:r>
    <w:r w:rsidR="00EC74AD">
      <w:rPr>
        <w:rStyle w:val="PageNumber"/>
        <w:noProof/>
      </w:rPr>
      <w:t>2</w:t>
    </w:r>
    <w:r>
      <w:rPr>
        <w:rStyle w:val="PageNumber"/>
      </w:rPr>
      <w:fldChar w:fldCharType="end"/>
    </w:r>
  </w:p>
  <w:p w:rsidR="00C76E90" w:rsidRPr="007B51E3" w:rsidRDefault="00C76E90" w:rsidP="007B51E3">
    <w:pPr>
      <w:pStyle w:val="Footer"/>
      <w:ind w:right="360"/>
      <w:jc w:val="center"/>
      <w:rPr>
        <w:b/>
        <w:bCs/>
        <w:i/>
        <w:iCs/>
      </w:rPr>
    </w:pPr>
    <w:r w:rsidRPr="007B51E3">
      <w:rPr>
        <w:b/>
        <w:bCs/>
        <w:i/>
        <w:iCs/>
      </w:rPr>
      <w:t>www.betam.bahcesehir.edu.tr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387" w:rsidRDefault="00286387">
      <w:r>
        <w:separator/>
      </w:r>
    </w:p>
  </w:footnote>
  <w:footnote w:type="continuationSeparator" w:id="0">
    <w:p w:rsidR="00286387" w:rsidRDefault="002863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DA43944"/>
    <w:multiLevelType w:val="hybridMultilevel"/>
    <w:tmpl w:val="3DD222B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ECC"/>
    <w:rsid w:val="0000014A"/>
    <w:rsid w:val="000015B4"/>
    <w:rsid w:val="00001CF9"/>
    <w:rsid w:val="0000230B"/>
    <w:rsid w:val="0000306F"/>
    <w:rsid w:val="000039F2"/>
    <w:rsid w:val="00004860"/>
    <w:rsid w:val="00004B78"/>
    <w:rsid w:val="0000507C"/>
    <w:rsid w:val="000056C3"/>
    <w:rsid w:val="00006C4D"/>
    <w:rsid w:val="0000704D"/>
    <w:rsid w:val="00011090"/>
    <w:rsid w:val="0001121A"/>
    <w:rsid w:val="000117B7"/>
    <w:rsid w:val="0001277D"/>
    <w:rsid w:val="0001288B"/>
    <w:rsid w:val="000144EB"/>
    <w:rsid w:val="000148D5"/>
    <w:rsid w:val="000150D2"/>
    <w:rsid w:val="00017809"/>
    <w:rsid w:val="0002037B"/>
    <w:rsid w:val="000205A1"/>
    <w:rsid w:val="000208EA"/>
    <w:rsid w:val="000212AC"/>
    <w:rsid w:val="000217AE"/>
    <w:rsid w:val="000224B9"/>
    <w:rsid w:val="000232EC"/>
    <w:rsid w:val="000233A7"/>
    <w:rsid w:val="00024559"/>
    <w:rsid w:val="000262EC"/>
    <w:rsid w:val="00026F21"/>
    <w:rsid w:val="00027316"/>
    <w:rsid w:val="00027FC3"/>
    <w:rsid w:val="000311C6"/>
    <w:rsid w:val="00031D72"/>
    <w:rsid w:val="0003248D"/>
    <w:rsid w:val="00033700"/>
    <w:rsid w:val="00033AF8"/>
    <w:rsid w:val="00034090"/>
    <w:rsid w:val="0003546D"/>
    <w:rsid w:val="00043365"/>
    <w:rsid w:val="000449FC"/>
    <w:rsid w:val="00044A0F"/>
    <w:rsid w:val="00045C5A"/>
    <w:rsid w:val="00047B99"/>
    <w:rsid w:val="00047E9F"/>
    <w:rsid w:val="0005037D"/>
    <w:rsid w:val="00050453"/>
    <w:rsid w:val="000507D6"/>
    <w:rsid w:val="000509A3"/>
    <w:rsid w:val="00052AD4"/>
    <w:rsid w:val="00052D7A"/>
    <w:rsid w:val="00052EFB"/>
    <w:rsid w:val="00054BD3"/>
    <w:rsid w:val="00056118"/>
    <w:rsid w:val="00056B3E"/>
    <w:rsid w:val="0005760C"/>
    <w:rsid w:val="00060119"/>
    <w:rsid w:val="00060540"/>
    <w:rsid w:val="00061256"/>
    <w:rsid w:val="000616F0"/>
    <w:rsid w:val="00061732"/>
    <w:rsid w:val="00063005"/>
    <w:rsid w:val="00064636"/>
    <w:rsid w:val="0006518B"/>
    <w:rsid w:val="00065B3C"/>
    <w:rsid w:val="0006725C"/>
    <w:rsid w:val="000678F9"/>
    <w:rsid w:val="00070FF1"/>
    <w:rsid w:val="000716BA"/>
    <w:rsid w:val="000716CA"/>
    <w:rsid w:val="0007202B"/>
    <w:rsid w:val="00072321"/>
    <w:rsid w:val="00072407"/>
    <w:rsid w:val="00074648"/>
    <w:rsid w:val="000750E3"/>
    <w:rsid w:val="00075A26"/>
    <w:rsid w:val="00076BAC"/>
    <w:rsid w:val="0007701E"/>
    <w:rsid w:val="00077A9D"/>
    <w:rsid w:val="00077FF4"/>
    <w:rsid w:val="00080D7E"/>
    <w:rsid w:val="00081E3F"/>
    <w:rsid w:val="000829B5"/>
    <w:rsid w:val="00082FE4"/>
    <w:rsid w:val="000833C7"/>
    <w:rsid w:val="0008631D"/>
    <w:rsid w:val="0008735C"/>
    <w:rsid w:val="000875E6"/>
    <w:rsid w:val="00087E0A"/>
    <w:rsid w:val="00090498"/>
    <w:rsid w:val="0009059A"/>
    <w:rsid w:val="000925B3"/>
    <w:rsid w:val="00092972"/>
    <w:rsid w:val="000960F1"/>
    <w:rsid w:val="00096B4E"/>
    <w:rsid w:val="00097E2B"/>
    <w:rsid w:val="000A0D4D"/>
    <w:rsid w:val="000A2514"/>
    <w:rsid w:val="000A27A5"/>
    <w:rsid w:val="000A292B"/>
    <w:rsid w:val="000A399E"/>
    <w:rsid w:val="000A5675"/>
    <w:rsid w:val="000A583D"/>
    <w:rsid w:val="000A687F"/>
    <w:rsid w:val="000A6907"/>
    <w:rsid w:val="000A701D"/>
    <w:rsid w:val="000A79A0"/>
    <w:rsid w:val="000B0589"/>
    <w:rsid w:val="000B100E"/>
    <w:rsid w:val="000B16FB"/>
    <w:rsid w:val="000B2409"/>
    <w:rsid w:val="000B2AF0"/>
    <w:rsid w:val="000B2B47"/>
    <w:rsid w:val="000B2BF9"/>
    <w:rsid w:val="000B2E92"/>
    <w:rsid w:val="000B325E"/>
    <w:rsid w:val="000B3565"/>
    <w:rsid w:val="000B3995"/>
    <w:rsid w:val="000B3C1E"/>
    <w:rsid w:val="000B41F3"/>
    <w:rsid w:val="000B42EA"/>
    <w:rsid w:val="000B469F"/>
    <w:rsid w:val="000B50AD"/>
    <w:rsid w:val="000B50DE"/>
    <w:rsid w:val="000B5660"/>
    <w:rsid w:val="000B6120"/>
    <w:rsid w:val="000B6127"/>
    <w:rsid w:val="000B7B77"/>
    <w:rsid w:val="000B7E94"/>
    <w:rsid w:val="000C2102"/>
    <w:rsid w:val="000C2F1B"/>
    <w:rsid w:val="000C40CE"/>
    <w:rsid w:val="000C52BF"/>
    <w:rsid w:val="000C5B7E"/>
    <w:rsid w:val="000C667B"/>
    <w:rsid w:val="000C7A83"/>
    <w:rsid w:val="000C7B42"/>
    <w:rsid w:val="000D0C5A"/>
    <w:rsid w:val="000D1198"/>
    <w:rsid w:val="000D17A2"/>
    <w:rsid w:val="000D1F14"/>
    <w:rsid w:val="000D49FD"/>
    <w:rsid w:val="000D56EB"/>
    <w:rsid w:val="000D5927"/>
    <w:rsid w:val="000E01ED"/>
    <w:rsid w:val="000E10A3"/>
    <w:rsid w:val="000E1F75"/>
    <w:rsid w:val="000E2708"/>
    <w:rsid w:val="000E4E83"/>
    <w:rsid w:val="000E5365"/>
    <w:rsid w:val="000E631E"/>
    <w:rsid w:val="000E6807"/>
    <w:rsid w:val="000E74B5"/>
    <w:rsid w:val="000E7AB3"/>
    <w:rsid w:val="000E7CBB"/>
    <w:rsid w:val="000F0372"/>
    <w:rsid w:val="000F0C2B"/>
    <w:rsid w:val="000F14F4"/>
    <w:rsid w:val="000F2DB4"/>
    <w:rsid w:val="000F360E"/>
    <w:rsid w:val="000F396D"/>
    <w:rsid w:val="000F4941"/>
    <w:rsid w:val="000F5457"/>
    <w:rsid w:val="000F71D2"/>
    <w:rsid w:val="001007B5"/>
    <w:rsid w:val="001009B7"/>
    <w:rsid w:val="001020B3"/>
    <w:rsid w:val="001044D1"/>
    <w:rsid w:val="00106470"/>
    <w:rsid w:val="001075D1"/>
    <w:rsid w:val="00107FF7"/>
    <w:rsid w:val="001105B2"/>
    <w:rsid w:val="001117C6"/>
    <w:rsid w:val="0011236C"/>
    <w:rsid w:val="0011279B"/>
    <w:rsid w:val="00112E08"/>
    <w:rsid w:val="00113C74"/>
    <w:rsid w:val="001144FB"/>
    <w:rsid w:val="00114BC7"/>
    <w:rsid w:val="0011609A"/>
    <w:rsid w:val="00117A11"/>
    <w:rsid w:val="00117AE9"/>
    <w:rsid w:val="00121017"/>
    <w:rsid w:val="00121ABE"/>
    <w:rsid w:val="0012262F"/>
    <w:rsid w:val="001236FF"/>
    <w:rsid w:val="00123E71"/>
    <w:rsid w:val="0012410A"/>
    <w:rsid w:val="001251CC"/>
    <w:rsid w:val="00125FC6"/>
    <w:rsid w:val="001260D7"/>
    <w:rsid w:val="001261A8"/>
    <w:rsid w:val="001267DF"/>
    <w:rsid w:val="00130959"/>
    <w:rsid w:val="0013240F"/>
    <w:rsid w:val="00132E7B"/>
    <w:rsid w:val="001331CB"/>
    <w:rsid w:val="0013381D"/>
    <w:rsid w:val="001344A4"/>
    <w:rsid w:val="00135B82"/>
    <w:rsid w:val="00135B92"/>
    <w:rsid w:val="001360D1"/>
    <w:rsid w:val="00136362"/>
    <w:rsid w:val="00136A69"/>
    <w:rsid w:val="00140831"/>
    <w:rsid w:val="001408D6"/>
    <w:rsid w:val="00140E1E"/>
    <w:rsid w:val="00141143"/>
    <w:rsid w:val="00141B1A"/>
    <w:rsid w:val="00141B83"/>
    <w:rsid w:val="00141B88"/>
    <w:rsid w:val="00141B93"/>
    <w:rsid w:val="00143024"/>
    <w:rsid w:val="00143828"/>
    <w:rsid w:val="00143A92"/>
    <w:rsid w:val="00143D50"/>
    <w:rsid w:val="00143DE9"/>
    <w:rsid w:val="00144285"/>
    <w:rsid w:val="00145A62"/>
    <w:rsid w:val="001466BE"/>
    <w:rsid w:val="001510B5"/>
    <w:rsid w:val="00151BCF"/>
    <w:rsid w:val="0015370A"/>
    <w:rsid w:val="00154503"/>
    <w:rsid w:val="00154510"/>
    <w:rsid w:val="001553F2"/>
    <w:rsid w:val="0015586B"/>
    <w:rsid w:val="00155EE3"/>
    <w:rsid w:val="0015676E"/>
    <w:rsid w:val="00156914"/>
    <w:rsid w:val="00157DC2"/>
    <w:rsid w:val="00157E8F"/>
    <w:rsid w:val="001609FA"/>
    <w:rsid w:val="00160EF6"/>
    <w:rsid w:val="00161689"/>
    <w:rsid w:val="00162629"/>
    <w:rsid w:val="001632B0"/>
    <w:rsid w:val="0016401E"/>
    <w:rsid w:val="001653F9"/>
    <w:rsid w:val="00165552"/>
    <w:rsid w:val="00165AAB"/>
    <w:rsid w:val="00165C4C"/>
    <w:rsid w:val="00165C59"/>
    <w:rsid w:val="00165CB0"/>
    <w:rsid w:val="001664DC"/>
    <w:rsid w:val="00166FE5"/>
    <w:rsid w:val="00167D69"/>
    <w:rsid w:val="00170502"/>
    <w:rsid w:val="00170CA9"/>
    <w:rsid w:val="0017121A"/>
    <w:rsid w:val="00171424"/>
    <w:rsid w:val="00172263"/>
    <w:rsid w:val="00173824"/>
    <w:rsid w:val="00175574"/>
    <w:rsid w:val="00175F89"/>
    <w:rsid w:val="0017663B"/>
    <w:rsid w:val="00176E56"/>
    <w:rsid w:val="001771BD"/>
    <w:rsid w:val="00177FE3"/>
    <w:rsid w:val="0018034E"/>
    <w:rsid w:val="00180C8C"/>
    <w:rsid w:val="00181B5A"/>
    <w:rsid w:val="00182F2B"/>
    <w:rsid w:val="001834EF"/>
    <w:rsid w:val="00183507"/>
    <w:rsid w:val="001837A6"/>
    <w:rsid w:val="00183896"/>
    <w:rsid w:val="0018601B"/>
    <w:rsid w:val="00186DB6"/>
    <w:rsid w:val="00190F20"/>
    <w:rsid w:val="0019159E"/>
    <w:rsid w:val="001927BD"/>
    <w:rsid w:val="00193682"/>
    <w:rsid w:val="001938A7"/>
    <w:rsid w:val="00193F73"/>
    <w:rsid w:val="0019538C"/>
    <w:rsid w:val="00197085"/>
    <w:rsid w:val="00197ACB"/>
    <w:rsid w:val="00197D95"/>
    <w:rsid w:val="001A054B"/>
    <w:rsid w:val="001A2051"/>
    <w:rsid w:val="001A2B3D"/>
    <w:rsid w:val="001A3025"/>
    <w:rsid w:val="001A319A"/>
    <w:rsid w:val="001A4381"/>
    <w:rsid w:val="001A45BC"/>
    <w:rsid w:val="001A528A"/>
    <w:rsid w:val="001A5534"/>
    <w:rsid w:val="001A6188"/>
    <w:rsid w:val="001A6206"/>
    <w:rsid w:val="001A772F"/>
    <w:rsid w:val="001B0683"/>
    <w:rsid w:val="001B0EF9"/>
    <w:rsid w:val="001B1651"/>
    <w:rsid w:val="001B1CE5"/>
    <w:rsid w:val="001B2F96"/>
    <w:rsid w:val="001B30CF"/>
    <w:rsid w:val="001B30E0"/>
    <w:rsid w:val="001B34B5"/>
    <w:rsid w:val="001B3B49"/>
    <w:rsid w:val="001B3C7B"/>
    <w:rsid w:val="001B4435"/>
    <w:rsid w:val="001B6AFA"/>
    <w:rsid w:val="001C0377"/>
    <w:rsid w:val="001C184E"/>
    <w:rsid w:val="001C295D"/>
    <w:rsid w:val="001C4996"/>
    <w:rsid w:val="001C62D3"/>
    <w:rsid w:val="001C6BAB"/>
    <w:rsid w:val="001C7334"/>
    <w:rsid w:val="001C7C05"/>
    <w:rsid w:val="001D09B1"/>
    <w:rsid w:val="001D129A"/>
    <w:rsid w:val="001D1F1B"/>
    <w:rsid w:val="001D2615"/>
    <w:rsid w:val="001D39B6"/>
    <w:rsid w:val="001D3F5A"/>
    <w:rsid w:val="001D436C"/>
    <w:rsid w:val="001D6B75"/>
    <w:rsid w:val="001D76BF"/>
    <w:rsid w:val="001E0274"/>
    <w:rsid w:val="001E115E"/>
    <w:rsid w:val="001E27F8"/>
    <w:rsid w:val="001E2EE8"/>
    <w:rsid w:val="001E30C3"/>
    <w:rsid w:val="001E3C27"/>
    <w:rsid w:val="001E4BF5"/>
    <w:rsid w:val="001E5387"/>
    <w:rsid w:val="001E739D"/>
    <w:rsid w:val="001E75C8"/>
    <w:rsid w:val="001E7720"/>
    <w:rsid w:val="001E7744"/>
    <w:rsid w:val="001F1FC1"/>
    <w:rsid w:val="001F2761"/>
    <w:rsid w:val="001F2A11"/>
    <w:rsid w:val="001F4CFB"/>
    <w:rsid w:val="001F583D"/>
    <w:rsid w:val="001F6F00"/>
    <w:rsid w:val="001F7144"/>
    <w:rsid w:val="001F71A5"/>
    <w:rsid w:val="001F7216"/>
    <w:rsid w:val="001F775A"/>
    <w:rsid w:val="00200D5C"/>
    <w:rsid w:val="0020167B"/>
    <w:rsid w:val="00204364"/>
    <w:rsid w:val="0020464B"/>
    <w:rsid w:val="00206291"/>
    <w:rsid w:val="00206862"/>
    <w:rsid w:val="00207185"/>
    <w:rsid w:val="00207313"/>
    <w:rsid w:val="0020739E"/>
    <w:rsid w:val="00207C8A"/>
    <w:rsid w:val="00207CC3"/>
    <w:rsid w:val="0021024B"/>
    <w:rsid w:val="00212675"/>
    <w:rsid w:val="00213153"/>
    <w:rsid w:val="0021387C"/>
    <w:rsid w:val="0021657F"/>
    <w:rsid w:val="0021684B"/>
    <w:rsid w:val="002168E5"/>
    <w:rsid w:val="002173B9"/>
    <w:rsid w:val="0021766E"/>
    <w:rsid w:val="002176C5"/>
    <w:rsid w:val="00217D35"/>
    <w:rsid w:val="00220B5E"/>
    <w:rsid w:val="00221184"/>
    <w:rsid w:val="00223A5B"/>
    <w:rsid w:val="002242A1"/>
    <w:rsid w:val="00224908"/>
    <w:rsid w:val="00224F8E"/>
    <w:rsid w:val="00225204"/>
    <w:rsid w:val="002267C7"/>
    <w:rsid w:val="00226D50"/>
    <w:rsid w:val="002272CB"/>
    <w:rsid w:val="00227E25"/>
    <w:rsid w:val="00231E92"/>
    <w:rsid w:val="00232243"/>
    <w:rsid w:val="0023312F"/>
    <w:rsid w:val="0023349A"/>
    <w:rsid w:val="00233D56"/>
    <w:rsid w:val="00233FED"/>
    <w:rsid w:val="002345CA"/>
    <w:rsid w:val="00234DDB"/>
    <w:rsid w:val="00237255"/>
    <w:rsid w:val="00237353"/>
    <w:rsid w:val="0024030B"/>
    <w:rsid w:val="00241854"/>
    <w:rsid w:val="00241A67"/>
    <w:rsid w:val="00243212"/>
    <w:rsid w:val="00243355"/>
    <w:rsid w:val="00243BC2"/>
    <w:rsid w:val="00244553"/>
    <w:rsid w:val="00245B1F"/>
    <w:rsid w:val="00251885"/>
    <w:rsid w:val="00251DE2"/>
    <w:rsid w:val="00251E82"/>
    <w:rsid w:val="002524E8"/>
    <w:rsid w:val="00252FAF"/>
    <w:rsid w:val="00253D39"/>
    <w:rsid w:val="0025486C"/>
    <w:rsid w:val="00254A99"/>
    <w:rsid w:val="00255059"/>
    <w:rsid w:val="002563B1"/>
    <w:rsid w:val="002569EA"/>
    <w:rsid w:val="002576F7"/>
    <w:rsid w:val="0026114C"/>
    <w:rsid w:val="002614C1"/>
    <w:rsid w:val="00261A05"/>
    <w:rsid w:val="00261B02"/>
    <w:rsid w:val="00262020"/>
    <w:rsid w:val="0026415A"/>
    <w:rsid w:val="00264335"/>
    <w:rsid w:val="002654A6"/>
    <w:rsid w:val="00265BC9"/>
    <w:rsid w:val="002670FE"/>
    <w:rsid w:val="00267EB4"/>
    <w:rsid w:val="0027244B"/>
    <w:rsid w:val="00273CB4"/>
    <w:rsid w:val="00273E62"/>
    <w:rsid w:val="002747A6"/>
    <w:rsid w:val="00277E58"/>
    <w:rsid w:val="002802F2"/>
    <w:rsid w:val="00280552"/>
    <w:rsid w:val="002816C6"/>
    <w:rsid w:val="00281D8F"/>
    <w:rsid w:val="002820F1"/>
    <w:rsid w:val="00283666"/>
    <w:rsid w:val="002837D1"/>
    <w:rsid w:val="00284A28"/>
    <w:rsid w:val="002854D6"/>
    <w:rsid w:val="00285656"/>
    <w:rsid w:val="00286387"/>
    <w:rsid w:val="002871E8"/>
    <w:rsid w:val="0029079C"/>
    <w:rsid w:val="00291C79"/>
    <w:rsid w:val="0029246E"/>
    <w:rsid w:val="002926A2"/>
    <w:rsid w:val="002926BF"/>
    <w:rsid w:val="00293DC6"/>
    <w:rsid w:val="0029480C"/>
    <w:rsid w:val="002955CC"/>
    <w:rsid w:val="00295AFF"/>
    <w:rsid w:val="00297710"/>
    <w:rsid w:val="00297712"/>
    <w:rsid w:val="002A05DB"/>
    <w:rsid w:val="002A17E5"/>
    <w:rsid w:val="002A1FA0"/>
    <w:rsid w:val="002A3EDD"/>
    <w:rsid w:val="002A49A3"/>
    <w:rsid w:val="002A4AF7"/>
    <w:rsid w:val="002A5D22"/>
    <w:rsid w:val="002A5EBF"/>
    <w:rsid w:val="002A66ED"/>
    <w:rsid w:val="002B0426"/>
    <w:rsid w:val="002B3129"/>
    <w:rsid w:val="002B3644"/>
    <w:rsid w:val="002B58B1"/>
    <w:rsid w:val="002B626B"/>
    <w:rsid w:val="002B73C6"/>
    <w:rsid w:val="002C0FB2"/>
    <w:rsid w:val="002C11F9"/>
    <w:rsid w:val="002C236E"/>
    <w:rsid w:val="002C25CE"/>
    <w:rsid w:val="002C2DA3"/>
    <w:rsid w:val="002C4200"/>
    <w:rsid w:val="002C49EC"/>
    <w:rsid w:val="002C5F2D"/>
    <w:rsid w:val="002C7D04"/>
    <w:rsid w:val="002D1908"/>
    <w:rsid w:val="002D2F1A"/>
    <w:rsid w:val="002D3C8B"/>
    <w:rsid w:val="002D4158"/>
    <w:rsid w:val="002D44DC"/>
    <w:rsid w:val="002D584B"/>
    <w:rsid w:val="002D7342"/>
    <w:rsid w:val="002E02BA"/>
    <w:rsid w:val="002E0E16"/>
    <w:rsid w:val="002E1EA4"/>
    <w:rsid w:val="002E205D"/>
    <w:rsid w:val="002E2084"/>
    <w:rsid w:val="002E26DA"/>
    <w:rsid w:val="002E31DD"/>
    <w:rsid w:val="002E41FC"/>
    <w:rsid w:val="002E5D5E"/>
    <w:rsid w:val="002E6E82"/>
    <w:rsid w:val="002E6F28"/>
    <w:rsid w:val="002E6F87"/>
    <w:rsid w:val="002E7357"/>
    <w:rsid w:val="002E7860"/>
    <w:rsid w:val="002F01DF"/>
    <w:rsid w:val="002F10BD"/>
    <w:rsid w:val="002F129C"/>
    <w:rsid w:val="002F150B"/>
    <w:rsid w:val="002F21C6"/>
    <w:rsid w:val="002F3718"/>
    <w:rsid w:val="002F3940"/>
    <w:rsid w:val="002F4648"/>
    <w:rsid w:val="002F467E"/>
    <w:rsid w:val="002F4BA8"/>
    <w:rsid w:val="002F5134"/>
    <w:rsid w:val="002F5863"/>
    <w:rsid w:val="002F5C24"/>
    <w:rsid w:val="002F5E1E"/>
    <w:rsid w:val="002F61A9"/>
    <w:rsid w:val="002F64AE"/>
    <w:rsid w:val="002F6BD8"/>
    <w:rsid w:val="003001AF"/>
    <w:rsid w:val="003009F0"/>
    <w:rsid w:val="0030120F"/>
    <w:rsid w:val="003012EA"/>
    <w:rsid w:val="0030237B"/>
    <w:rsid w:val="00303A3C"/>
    <w:rsid w:val="003044A5"/>
    <w:rsid w:val="0030512F"/>
    <w:rsid w:val="003051E6"/>
    <w:rsid w:val="00306265"/>
    <w:rsid w:val="00306F51"/>
    <w:rsid w:val="00307494"/>
    <w:rsid w:val="003075BC"/>
    <w:rsid w:val="00307B72"/>
    <w:rsid w:val="0031043B"/>
    <w:rsid w:val="003118F7"/>
    <w:rsid w:val="00312428"/>
    <w:rsid w:val="0031249B"/>
    <w:rsid w:val="00312D6E"/>
    <w:rsid w:val="00312DB8"/>
    <w:rsid w:val="00312EB0"/>
    <w:rsid w:val="003134C3"/>
    <w:rsid w:val="003136F7"/>
    <w:rsid w:val="003142BA"/>
    <w:rsid w:val="003143D4"/>
    <w:rsid w:val="003146E6"/>
    <w:rsid w:val="003161A5"/>
    <w:rsid w:val="0031673E"/>
    <w:rsid w:val="0031682C"/>
    <w:rsid w:val="00316CE9"/>
    <w:rsid w:val="00316DB4"/>
    <w:rsid w:val="00320218"/>
    <w:rsid w:val="003202F8"/>
    <w:rsid w:val="003208B4"/>
    <w:rsid w:val="00320F7D"/>
    <w:rsid w:val="00321533"/>
    <w:rsid w:val="003223B0"/>
    <w:rsid w:val="003230DA"/>
    <w:rsid w:val="00323169"/>
    <w:rsid w:val="003234F0"/>
    <w:rsid w:val="00323CA6"/>
    <w:rsid w:val="00324A91"/>
    <w:rsid w:val="00324C15"/>
    <w:rsid w:val="003269F7"/>
    <w:rsid w:val="003270D6"/>
    <w:rsid w:val="0033129D"/>
    <w:rsid w:val="00332DBD"/>
    <w:rsid w:val="003333BF"/>
    <w:rsid w:val="00333B98"/>
    <w:rsid w:val="00333C8E"/>
    <w:rsid w:val="003341A9"/>
    <w:rsid w:val="0033675F"/>
    <w:rsid w:val="00337AE5"/>
    <w:rsid w:val="0034012E"/>
    <w:rsid w:val="0034025B"/>
    <w:rsid w:val="00341195"/>
    <w:rsid w:val="0034138A"/>
    <w:rsid w:val="0034251A"/>
    <w:rsid w:val="00342E6B"/>
    <w:rsid w:val="00344555"/>
    <w:rsid w:val="00344F97"/>
    <w:rsid w:val="0034543C"/>
    <w:rsid w:val="00346201"/>
    <w:rsid w:val="003466B0"/>
    <w:rsid w:val="003467E7"/>
    <w:rsid w:val="00346E83"/>
    <w:rsid w:val="00347B6F"/>
    <w:rsid w:val="00347FA0"/>
    <w:rsid w:val="003500D5"/>
    <w:rsid w:val="00353167"/>
    <w:rsid w:val="0035343B"/>
    <w:rsid w:val="003541B6"/>
    <w:rsid w:val="003545A8"/>
    <w:rsid w:val="003552A4"/>
    <w:rsid w:val="00356020"/>
    <w:rsid w:val="003561D2"/>
    <w:rsid w:val="003561F1"/>
    <w:rsid w:val="00356266"/>
    <w:rsid w:val="003578FF"/>
    <w:rsid w:val="00357987"/>
    <w:rsid w:val="00357C3B"/>
    <w:rsid w:val="00357DEF"/>
    <w:rsid w:val="00357ECC"/>
    <w:rsid w:val="003622FF"/>
    <w:rsid w:val="00362436"/>
    <w:rsid w:val="00362D77"/>
    <w:rsid w:val="003634C2"/>
    <w:rsid w:val="00363ECE"/>
    <w:rsid w:val="003640DE"/>
    <w:rsid w:val="00365B7D"/>
    <w:rsid w:val="00366A30"/>
    <w:rsid w:val="00366D41"/>
    <w:rsid w:val="00375126"/>
    <w:rsid w:val="00375CC6"/>
    <w:rsid w:val="00375D36"/>
    <w:rsid w:val="00376AC1"/>
    <w:rsid w:val="00376F93"/>
    <w:rsid w:val="00377FEF"/>
    <w:rsid w:val="0038134D"/>
    <w:rsid w:val="00381CA9"/>
    <w:rsid w:val="00382C02"/>
    <w:rsid w:val="00382F97"/>
    <w:rsid w:val="0038488E"/>
    <w:rsid w:val="00385F45"/>
    <w:rsid w:val="00386F1D"/>
    <w:rsid w:val="00390136"/>
    <w:rsid w:val="00390EF4"/>
    <w:rsid w:val="00390F9C"/>
    <w:rsid w:val="00392A7C"/>
    <w:rsid w:val="00394F60"/>
    <w:rsid w:val="0039541E"/>
    <w:rsid w:val="00395F95"/>
    <w:rsid w:val="00396CE9"/>
    <w:rsid w:val="00397518"/>
    <w:rsid w:val="0039785D"/>
    <w:rsid w:val="003A2B60"/>
    <w:rsid w:val="003A2C52"/>
    <w:rsid w:val="003A31B2"/>
    <w:rsid w:val="003A3575"/>
    <w:rsid w:val="003A3A25"/>
    <w:rsid w:val="003A3A61"/>
    <w:rsid w:val="003A4593"/>
    <w:rsid w:val="003A5C17"/>
    <w:rsid w:val="003A6089"/>
    <w:rsid w:val="003A6471"/>
    <w:rsid w:val="003A78A3"/>
    <w:rsid w:val="003B00C3"/>
    <w:rsid w:val="003B0180"/>
    <w:rsid w:val="003B0F7E"/>
    <w:rsid w:val="003B148B"/>
    <w:rsid w:val="003B199A"/>
    <w:rsid w:val="003B1BE8"/>
    <w:rsid w:val="003B241B"/>
    <w:rsid w:val="003B2FC4"/>
    <w:rsid w:val="003B33D9"/>
    <w:rsid w:val="003B35C5"/>
    <w:rsid w:val="003B4343"/>
    <w:rsid w:val="003B472B"/>
    <w:rsid w:val="003B4A44"/>
    <w:rsid w:val="003B5209"/>
    <w:rsid w:val="003B65FB"/>
    <w:rsid w:val="003B757A"/>
    <w:rsid w:val="003C280B"/>
    <w:rsid w:val="003C2B2A"/>
    <w:rsid w:val="003C2BAF"/>
    <w:rsid w:val="003C3188"/>
    <w:rsid w:val="003C640D"/>
    <w:rsid w:val="003C6B73"/>
    <w:rsid w:val="003C6C41"/>
    <w:rsid w:val="003C7051"/>
    <w:rsid w:val="003C791D"/>
    <w:rsid w:val="003C7C35"/>
    <w:rsid w:val="003D0AB6"/>
    <w:rsid w:val="003D0E64"/>
    <w:rsid w:val="003D1BAD"/>
    <w:rsid w:val="003D2405"/>
    <w:rsid w:val="003D472B"/>
    <w:rsid w:val="003D7373"/>
    <w:rsid w:val="003D7D0B"/>
    <w:rsid w:val="003D7E7F"/>
    <w:rsid w:val="003E1C92"/>
    <w:rsid w:val="003E3D21"/>
    <w:rsid w:val="003E40B5"/>
    <w:rsid w:val="003E4681"/>
    <w:rsid w:val="003E4DF6"/>
    <w:rsid w:val="003E512C"/>
    <w:rsid w:val="003E5EC3"/>
    <w:rsid w:val="003E6614"/>
    <w:rsid w:val="003E6807"/>
    <w:rsid w:val="003E6BDC"/>
    <w:rsid w:val="003F1E42"/>
    <w:rsid w:val="003F26DD"/>
    <w:rsid w:val="003F36D7"/>
    <w:rsid w:val="003F47E3"/>
    <w:rsid w:val="003F503B"/>
    <w:rsid w:val="003F60C0"/>
    <w:rsid w:val="003F6C96"/>
    <w:rsid w:val="003F7185"/>
    <w:rsid w:val="003F7D4B"/>
    <w:rsid w:val="0040061A"/>
    <w:rsid w:val="00402158"/>
    <w:rsid w:val="00402270"/>
    <w:rsid w:val="00405E96"/>
    <w:rsid w:val="0040602A"/>
    <w:rsid w:val="00407480"/>
    <w:rsid w:val="004074ED"/>
    <w:rsid w:val="0041003A"/>
    <w:rsid w:val="00412181"/>
    <w:rsid w:val="00412C49"/>
    <w:rsid w:val="004133E5"/>
    <w:rsid w:val="00413AFE"/>
    <w:rsid w:val="004143B2"/>
    <w:rsid w:val="00414443"/>
    <w:rsid w:val="00415FC4"/>
    <w:rsid w:val="00416189"/>
    <w:rsid w:val="00416EB4"/>
    <w:rsid w:val="00417092"/>
    <w:rsid w:val="00417568"/>
    <w:rsid w:val="00421D0B"/>
    <w:rsid w:val="004224C5"/>
    <w:rsid w:val="00422927"/>
    <w:rsid w:val="004229DE"/>
    <w:rsid w:val="00422CBA"/>
    <w:rsid w:val="00423602"/>
    <w:rsid w:val="004239AE"/>
    <w:rsid w:val="00423E8F"/>
    <w:rsid w:val="004251B6"/>
    <w:rsid w:val="004259B8"/>
    <w:rsid w:val="00425C5D"/>
    <w:rsid w:val="004269DA"/>
    <w:rsid w:val="0042798D"/>
    <w:rsid w:val="00432F82"/>
    <w:rsid w:val="00434618"/>
    <w:rsid w:val="00434AAB"/>
    <w:rsid w:val="00434B76"/>
    <w:rsid w:val="00435527"/>
    <w:rsid w:val="00435FF5"/>
    <w:rsid w:val="0043681C"/>
    <w:rsid w:val="00437273"/>
    <w:rsid w:val="004403F0"/>
    <w:rsid w:val="00440820"/>
    <w:rsid w:val="00444109"/>
    <w:rsid w:val="004441AD"/>
    <w:rsid w:val="00444DA6"/>
    <w:rsid w:val="00445C19"/>
    <w:rsid w:val="004466EA"/>
    <w:rsid w:val="00446A31"/>
    <w:rsid w:val="00446D37"/>
    <w:rsid w:val="004475A9"/>
    <w:rsid w:val="0044794F"/>
    <w:rsid w:val="00447CD2"/>
    <w:rsid w:val="00450447"/>
    <w:rsid w:val="00450723"/>
    <w:rsid w:val="00453D77"/>
    <w:rsid w:val="00454254"/>
    <w:rsid w:val="00454313"/>
    <w:rsid w:val="00454965"/>
    <w:rsid w:val="00455679"/>
    <w:rsid w:val="00461612"/>
    <w:rsid w:val="0046178B"/>
    <w:rsid w:val="00462314"/>
    <w:rsid w:val="00462E07"/>
    <w:rsid w:val="0046331C"/>
    <w:rsid w:val="00463512"/>
    <w:rsid w:val="0046362C"/>
    <w:rsid w:val="00463BBF"/>
    <w:rsid w:val="00463C05"/>
    <w:rsid w:val="00466C2F"/>
    <w:rsid w:val="004701D0"/>
    <w:rsid w:val="00470E4D"/>
    <w:rsid w:val="00472098"/>
    <w:rsid w:val="00474C08"/>
    <w:rsid w:val="00474D75"/>
    <w:rsid w:val="004764CC"/>
    <w:rsid w:val="004764EE"/>
    <w:rsid w:val="0047693B"/>
    <w:rsid w:val="00476D76"/>
    <w:rsid w:val="004771EB"/>
    <w:rsid w:val="004814D5"/>
    <w:rsid w:val="004814F0"/>
    <w:rsid w:val="00482771"/>
    <w:rsid w:val="00483180"/>
    <w:rsid w:val="0048361D"/>
    <w:rsid w:val="00483C58"/>
    <w:rsid w:val="00484222"/>
    <w:rsid w:val="00485F46"/>
    <w:rsid w:val="0048785A"/>
    <w:rsid w:val="004906C4"/>
    <w:rsid w:val="00491855"/>
    <w:rsid w:val="00491CDD"/>
    <w:rsid w:val="0049412C"/>
    <w:rsid w:val="00494345"/>
    <w:rsid w:val="00495192"/>
    <w:rsid w:val="004956C0"/>
    <w:rsid w:val="004A0D43"/>
    <w:rsid w:val="004A1818"/>
    <w:rsid w:val="004A1C7F"/>
    <w:rsid w:val="004A3EE9"/>
    <w:rsid w:val="004A4431"/>
    <w:rsid w:val="004A4E4F"/>
    <w:rsid w:val="004A56E7"/>
    <w:rsid w:val="004A7738"/>
    <w:rsid w:val="004A7750"/>
    <w:rsid w:val="004A7FE6"/>
    <w:rsid w:val="004B02B9"/>
    <w:rsid w:val="004B0B90"/>
    <w:rsid w:val="004B2F0D"/>
    <w:rsid w:val="004B30FB"/>
    <w:rsid w:val="004B3F80"/>
    <w:rsid w:val="004B40EE"/>
    <w:rsid w:val="004B45F4"/>
    <w:rsid w:val="004B4A27"/>
    <w:rsid w:val="004C0A8D"/>
    <w:rsid w:val="004C2024"/>
    <w:rsid w:val="004C25F6"/>
    <w:rsid w:val="004C2D19"/>
    <w:rsid w:val="004C357C"/>
    <w:rsid w:val="004C62C6"/>
    <w:rsid w:val="004D100D"/>
    <w:rsid w:val="004D1B32"/>
    <w:rsid w:val="004D2626"/>
    <w:rsid w:val="004D2C34"/>
    <w:rsid w:val="004D2E28"/>
    <w:rsid w:val="004D3901"/>
    <w:rsid w:val="004D3F5D"/>
    <w:rsid w:val="004D41D8"/>
    <w:rsid w:val="004D5E10"/>
    <w:rsid w:val="004D609D"/>
    <w:rsid w:val="004D67C5"/>
    <w:rsid w:val="004D6E34"/>
    <w:rsid w:val="004D7E65"/>
    <w:rsid w:val="004E00D0"/>
    <w:rsid w:val="004E07DC"/>
    <w:rsid w:val="004E0851"/>
    <w:rsid w:val="004E0939"/>
    <w:rsid w:val="004E1AB5"/>
    <w:rsid w:val="004E1AE2"/>
    <w:rsid w:val="004E4165"/>
    <w:rsid w:val="004E5446"/>
    <w:rsid w:val="004E6678"/>
    <w:rsid w:val="004E7F1E"/>
    <w:rsid w:val="004F059F"/>
    <w:rsid w:val="004F1352"/>
    <w:rsid w:val="004F2868"/>
    <w:rsid w:val="004F55F8"/>
    <w:rsid w:val="004F6ACE"/>
    <w:rsid w:val="004F7447"/>
    <w:rsid w:val="004F76D9"/>
    <w:rsid w:val="004F7E37"/>
    <w:rsid w:val="00501F2F"/>
    <w:rsid w:val="00505141"/>
    <w:rsid w:val="005066A2"/>
    <w:rsid w:val="00506CD9"/>
    <w:rsid w:val="00511753"/>
    <w:rsid w:val="00511EF3"/>
    <w:rsid w:val="00512AE9"/>
    <w:rsid w:val="00512E41"/>
    <w:rsid w:val="00513472"/>
    <w:rsid w:val="00513FBF"/>
    <w:rsid w:val="00516576"/>
    <w:rsid w:val="0051750C"/>
    <w:rsid w:val="005218A3"/>
    <w:rsid w:val="00521D8D"/>
    <w:rsid w:val="00522063"/>
    <w:rsid w:val="00522ED0"/>
    <w:rsid w:val="00523826"/>
    <w:rsid w:val="00523C58"/>
    <w:rsid w:val="00524CFC"/>
    <w:rsid w:val="005253A2"/>
    <w:rsid w:val="0052557E"/>
    <w:rsid w:val="00525782"/>
    <w:rsid w:val="00526CC9"/>
    <w:rsid w:val="0052770E"/>
    <w:rsid w:val="00530C05"/>
    <w:rsid w:val="005310F8"/>
    <w:rsid w:val="0053163F"/>
    <w:rsid w:val="005347F8"/>
    <w:rsid w:val="00534CA7"/>
    <w:rsid w:val="00535BAD"/>
    <w:rsid w:val="00535C26"/>
    <w:rsid w:val="00536008"/>
    <w:rsid w:val="00536B3B"/>
    <w:rsid w:val="00537DBB"/>
    <w:rsid w:val="00541D0D"/>
    <w:rsid w:val="005429D2"/>
    <w:rsid w:val="005435C8"/>
    <w:rsid w:val="00543E56"/>
    <w:rsid w:val="00544A5C"/>
    <w:rsid w:val="0054542E"/>
    <w:rsid w:val="005459C3"/>
    <w:rsid w:val="00546B72"/>
    <w:rsid w:val="005470EC"/>
    <w:rsid w:val="00550399"/>
    <w:rsid w:val="00551433"/>
    <w:rsid w:val="005514CA"/>
    <w:rsid w:val="00552380"/>
    <w:rsid w:val="005525BE"/>
    <w:rsid w:val="00556328"/>
    <w:rsid w:val="00556D13"/>
    <w:rsid w:val="00560806"/>
    <w:rsid w:val="005618BD"/>
    <w:rsid w:val="00563399"/>
    <w:rsid w:val="0056591F"/>
    <w:rsid w:val="00566E5E"/>
    <w:rsid w:val="00570EFE"/>
    <w:rsid w:val="00571282"/>
    <w:rsid w:val="00571E9F"/>
    <w:rsid w:val="00573C3B"/>
    <w:rsid w:val="00574E1B"/>
    <w:rsid w:val="0058041E"/>
    <w:rsid w:val="00583974"/>
    <w:rsid w:val="005860AC"/>
    <w:rsid w:val="005870AA"/>
    <w:rsid w:val="0058722C"/>
    <w:rsid w:val="0058799A"/>
    <w:rsid w:val="00587F62"/>
    <w:rsid w:val="00590149"/>
    <w:rsid w:val="00591DBC"/>
    <w:rsid w:val="00592358"/>
    <w:rsid w:val="00592FD2"/>
    <w:rsid w:val="0059373B"/>
    <w:rsid w:val="00593B80"/>
    <w:rsid w:val="00596A1C"/>
    <w:rsid w:val="00596FDB"/>
    <w:rsid w:val="005A06D3"/>
    <w:rsid w:val="005A0AC2"/>
    <w:rsid w:val="005A0AF8"/>
    <w:rsid w:val="005A0E6F"/>
    <w:rsid w:val="005A1E77"/>
    <w:rsid w:val="005A2B2E"/>
    <w:rsid w:val="005A3E49"/>
    <w:rsid w:val="005A4714"/>
    <w:rsid w:val="005A47EC"/>
    <w:rsid w:val="005A4EAB"/>
    <w:rsid w:val="005A73A1"/>
    <w:rsid w:val="005B1B07"/>
    <w:rsid w:val="005B551F"/>
    <w:rsid w:val="005B5D93"/>
    <w:rsid w:val="005B66C8"/>
    <w:rsid w:val="005C0A9A"/>
    <w:rsid w:val="005C0E02"/>
    <w:rsid w:val="005C11DE"/>
    <w:rsid w:val="005C12C6"/>
    <w:rsid w:val="005C1DE1"/>
    <w:rsid w:val="005C28BC"/>
    <w:rsid w:val="005C4EA4"/>
    <w:rsid w:val="005D0287"/>
    <w:rsid w:val="005D06A8"/>
    <w:rsid w:val="005D07B2"/>
    <w:rsid w:val="005D092B"/>
    <w:rsid w:val="005D0AD6"/>
    <w:rsid w:val="005D10E5"/>
    <w:rsid w:val="005D39F3"/>
    <w:rsid w:val="005D46EE"/>
    <w:rsid w:val="005D4EB3"/>
    <w:rsid w:val="005D6106"/>
    <w:rsid w:val="005D7E62"/>
    <w:rsid w:val="005E0596"/>
    <w:rsid w:val="005E0731"/>
    <w:rsid w:val="005E13DF"/>
    <w:rsid w:val="005E1D9A"/>
    <w:rsid w:val="005E2073"/>
    <w:rsid w:val="005E2983"/>
    <w:rsid w:val="005E3ECE"/>
    <w:rsid w:val="005E3EE4"/>
    <w:rsid w:val="005E4877"/>
    <w:rsid w:val="005E5FD0"/>
    <w:rsid w:val="005E6479"/>
    <w:rsid w:val="005E6778"/>
    <w:rsid w:val="005F03CC"/>
    <w:rsid w:val="005F10D3"/>
    <w:rsid w:val="005F2063"/>
    <w:rsid w:val="005F2279"/>
    <w:rsid w:val="005F2A5B"/>
    <w:rsid w:val="005F31BE"/>
    <w:rsid w:val="005F36AB"/>
    <w:rsid w:val="005F442A"/>
    <w:rsid w:val="005F700B"/>
    <w:rsid w:val="006007C7"/>
    <w:rsid w:val="00600B5F"/>
    <w:rsid w:val="00600FFC"/>
    <w:rsid w:val="0060133B"/>
    <w:rsid w:val="0060156F"/>
    <w:rsid w:val="006015A3"/>
    <w:rsid w:val="00601A1D"/>
    <w:rsid w:val="00601C31"/>
    <w:rsid w:val="00602BC6"/>
    <w:rsid w:val="00602EB0"/>
    <w:rsid w:val="00603311"/>
    <w:rsid w:val="00603888"/>
    <w:rsid w:val="00603C6D"/>
    <w:rsid w:val="006040ED"/>
    <w:rsid w:val="00604415"/>
    <w:rsid w:val="00604F92"/>
    <w:rsid w:val="0060655F"/>
    <w:rsid w:val="00606EB8"/>
    <w:rsid w:val="006079B9"/>
    <w:rsid w:val="00613A11"/>
    <w:rsid w:val="00613B72"/>
    <w:rsid w:val="0061706E"/>
    <w:rsid w:val="006224B6"/>
    <w:rsid w:val="006227B4"/>
    <w:rsid w:val="00622914"/>
    <w:rsid w:val="0062291A"/>
    <w:rsid w:val="00622AA8"/>
    <w:rsid w:val="00622D91"/>
    <w:rsid w:val="006237CF"/>
    <w:rsid w:val="00623B31"/>
    <w:rsid w:val="00623C7E"/>
    <w:rsid w:val="00624BC1"/>
    <w:rsid w:val="0062575D"/>
    <w:rsid w:val="00626CC1"/>
    <w:rsid w:val="0063164E"/>
    <w:rsid w:val="0063286C"/>
    <w:rsid w:val="006335A2"/>
    <w:rsid w:val="00635FF5"/>
    <w:rsid w:val="00636375"/>
    <w:rsid w:val="00636DD3"/>
    <w:rsid w:val="00637FF0"/>
    <w:rsid w:val="0064070D"/>
    <w:rsid w:val="0064166F"/>
    <w:rsid w:val="00643373"/>
    <w:rsid w:val="0064342E"/>
    <w:rsid w:val="00643C4C"/>
    <w:rsid w:val="00644764"/>
    <w:rsid w:val="0064549C"/>
    <w:rsid w:val="0064601A"/>
    <w:rsid w:val="00647314"/>
    <w:rsid w:val="00647676"/>
    <w:rsid w:val="00647DB2"/>
    <w:rsid w:val="00647DB4"/>
    <w:rsid w:val="006502E3"/>
    <w:rsid w:val="006511AA"/>
    <w:rsid w:val="006522C9"/>
    <w:rsid w:val="006526F7"/>
    <w:rsid w:val="00653325"/>
    <w:rsid w:val="00653E7B"/>
    <w:rsid w:val="00655756"/>
    <w:rsid w:val="00655823"/>
    <w:rsid w:val="00660F48"/>
    <w:rsid w:val="0066468F"/>
    <w:rsid w:val="00665483"/>
    <w:rsid w:val="00665640"/>
    <w:rsid w:val="0066619C"/>
    <w:rsid w:val="00670083"/>
    <w:rsid w:val="006702D1"/>
    <w:rsid w:val="006704F7"/>
    <w:rsid w:val="006707E3"/>
    <w:rsid w:val="00670A74"/>
    <w:rsid w:val="006713C0"/>
    <w:rsid w:val="006717CE"/>
    <w:rsid w:val="00673A3D"/>
    <w:rsid w:val="00673DB8"/>
    <w:rsid w:val="00674304"/>
    <w:rsid w:val="00674779"/>
    <w:rsid w:val="00674A7F"/>
    <w:rsid w:val="006761CA"/>
    <w:rsid w:val="00676D51"/>
    <w:rsid w:val="00676EAB"/>
    <w:rsid w:val="0067747F"/>
    <w:rsid w:val="00680C1A"/>
    <w:rsid w:val="006811DC"/>
    <w:rsid w:val="00682DEE"/>
    <w:rsid w:val="006836A7"/>
    <w:rsid w:val="00683A24"/>
    <w:rsid w:val="006868AD"/>
    <w:rsid w:val="006872DB"/>
    <w:rsid w:val="006902D8"/>
    <w:rsid w:val="0069091E"/>
    <w:rsid w:val="00691D96"/>
    <w:rsid w:val="00692936"/>
    <w:rsid w:val="00692CE3"/>
    <w:rsid w:val="00692D34"/>
    <w:rsid w:val="0069300A"/>
    <w:rsid w:val="00693B96"/>
    <w:rsid w:val="00693E0B"/>
    <w:rsid w:val="00693FF6"/>
    <w:rsid w:val="00695F24"/>
    <w:rsid w:val="00696507"/>
    <w:rsid w:val="0069688D"/>
    <w:rsid w:val="00696ABF"/>
    <w:rsid w:val="00696B3D"/>
    <w:rsid w:val="006975FE"/>
    <w:rsid w:val="0069776E"/>
    <w:rsid w:val="006A0BF0"/>
    <w:rsid w:val="006A1A87"/>
    <w:rsid w:val="006A2CBF"/>
    <w:rsid w:val="006A507F"/>
    <w:rsid w:val="006A53AA"/>
    <w:rsid w:val="006A57F3"/>
    <w:rsid w:val="006A7193"/>
    <w:rsid w:val="006B08B4"/>
    <w:rsid w:val="006B12C5"/>
    <w:rsid w:val="006B1F6D"/>
    <w:rsid w:val="006B2978"/>
    <w:rsid w:val="006B30D5"/>
    <w:rsid w:val="006B3DC5"/>
    <w:rsid w:val="006B3EAE"/>
    <w:rsid w:val="006B4323"/>
    <w:rsid w:val="006B6367"/>
    <w:rsid w:val="006B7A8F"/>
    <w:rsid w:val="006C034B"/>
    <w:rsid w:val="006C0406"/>
    <w:rsid w:val="006C2AB7"/>
    <w:rsid w:val="006C372B"/>
    <w:rsid w:val="006C38D6"/>
    <w:rsid w:val="006C4184"/>
    <w:rsid w:val="006C50A3"/>
    <w:rsid w:val="006C5AEF"/>
    <w:rsid w:val="006C6C6F"/>
    <w:rsid w:val="006C6E2C"/>
    <w:rsid w:val="006C70AC"/>
    <w:rsid w:val="006C74FB"/>
    <w:rsid w:val="006C760A"/>
    <w:rsid w:val="006D416F"/>
    <w:rsid w:val="006D453A"/>
    <w:rsid w:val="006D458F"/>
    <w:rsid w:val="006D5EC9"/>
    <w:rsid w:val="006D62BB"/>
    <w:rsid w:val="006E0358"/>
    <w:rsid w:val="006E0C79"/>
    <w:rsid w:val="006E0D45"/>
    <w:rsid w:val="006E3384"/>
    <w:rsid w:val="006E3B24"/>
    <w:rsid w:val="006E4051"/>
    <w:rsid w:val="006E480B"/>
    <w:rsid w:val="006E5945"/>
    <w:rsid w:val="006E5E68"/>
    <w:rsid w:val="006E668E"/>
    <w:rsid w:val="006E68A1"/>
    <w:rsid w:val="006F0B18"/>
    <w:rsid w:val="006F1A82"/>
    <w:rsid w:val="006F2049"/>
    <w:rsid w:val="006F278A"/>
    <w:rsid w:val="006F2975"/>
    <w:rsid w:val="006F33D4"/>
    <w:rsid w:val="006F3608"/>
    <w:rsid w:val="006F39D1"/>
    <w:rsid w:val="006F3ECA"/>
    <w:rsid w:val="006F49FC"/>
    <w:rsid w:val="006F64B0"/>
    <w:rsid w:val="006F7FE6"/>
    <w:rsid w:val="007008CF"/>
    <w:rsid w:val="00701A0C"/>
    <w:rsid w:val="00702823"/>
    <w:rsid w:val="00702DFC"/>
    <w:rsid w:val="0070339C"/>
    <w:rsid w:val="00703664"/>
    <w:rsid w:val="007037E4"/>
    <w:rsid w:val="0070556E"/>
    <w:rsid w:val="00705CE7"/>
    <w:rsid w:val="007067CB"/>
    <w:rsid w:val="007067F4"/>
    <w:rsid w:val="0070704B"/>
    <w:rsid w:val="007103A2"/>
    <w:rsid w:val="00710B36"/>
    <w:rsid w:val="00712041"/>
    <w:rsid w:val="00713CBF"/>
    <w:rsid w:val="007168F4"/>
    <w:rsid w:val="007169B6"/>
    <w:rsid w:val="00717C4C"/>
    <w:rsid w:val="00721276"/>
    <w:rsid w:val="007220A0"/>
    <w:rsid w:val="00723BCD"/>
    <w:rsid w:val="00724574"/>
    <w:rsid w:val="00725236"/>
    <w:rsid w:val="0072768C"/>
    <w:rsid w:val="0073024B"/>
    <w:rsid w:val="00731730"/>
    <w:rsid w:val="00732049"/>
    <w:rsid w:val="007323C8"/>
    <w:rsid w:val="00732BA5"/>
    <w:rsid w:val="00733DDB"/>
    <w:rsid w:val="007341BA"/>
    <w:rsid w:val="007343EE"/>
    <w:rsid w:val="007347FF"/>
    <w:rsid w:val="0073536D"/>
    <w:rsid w:val="007357A6"/>
    <w:rsid w:val="00742130"/>
    <w:rsid w:val="0074346F"/>
    <w:rsid w:val="007440DB"/>
    <w:rsid w:val="00744601"/>
    <w:rsid w:val="00745577"/>
    <w:rsid w:val="00745DD1"/>
    <w:rsid w:val="00745E22"/>
    <w:rsid w:val="0074648A"/>
    <w:rsid w:val="00747A9B"/>
    <w:rsid w:val="007501A9"/>
    <w:rsid w:val="0075074A"/>
    <w:rsid w:val="007522D9"/>
    <w:rsid w:val="00752330"/>
    <w:rsid w:val="00753469"/>
    <w:rsid w:val="0075405B"/>
    <w:rsid w:val="007543EE"/>
    <w:rsid w:val="00755623"/>
    <w:rsid w:val="00755D28"/>
    <w:rsid w:val="0075617D"/>
    <w:rsid w:val="0075696F"/>
    <w:rsid w:val="00760A4B"/>
    <w:rsid w:val="00760C78"/>
    <w:rsid w:val="0076118C"/>
    <w:rsid w:val="00761767"/>
    <w:rsid w:val="007633AA"/>
    <w:rsid w:val="00764219"/>
    <w:rsid w:val="007652AE"/>
    <w:rsid w:val="007668BD"/>
    <w:rsid w:val="00767D6E"/>
    <w:rsid w:val="00770580"/>
    <w:rsid w:val="00770D1C"/>
    <w:rsid w:val="00771BFD"/>
    <w:rsid w:val="00772325"/>
    <w:rsid w:val="00773C8D"/>
    <w:rsid w:val="007750EF"/>
    <w:rsid w:val="00775D69"/>
    <w:rsid w:val="00776484"/>
    <w:rsid w:val="00777955"/>
    <w:rsid w:val="007806C4"/>
    <w:rsid w:val="00781E83"/>
    <w:rsid w:val="00781ECE"/>
    <w:rsid w:val="00783619"/>
    <w:rsid w:val="00783C9A"/>
    <w:rsid w:val="00783CDF"/>
    <w:rsid w:val="00784067"/>
    <w:rsid w:val="00785375"/>
    <w:rsid w:val="00786067"/>
    <w:rsid w:val="0079031C"/>
    <w:rsid w:val="007906E2"/>
    <w:rsid w:val="00790FFD"/>
    <w:rsid w:val="0079170E"/>
    <w:rsid w:val="007956C2"/>
    <w:rsid w:val="00795E00"/>
    <w:rsid w:val="007966CB"/>
    <w:rsid w:val="007975D4"/>
    <w:rsid w:val="00797B31"/>
    <w:rsid w:val="007A1E73"/>
    <w:rsid w:val="007A2D1E"/>
    <w:rsid w:val="007A311A"/>
    <w:rsid w:val="007A35F3"/>
    <w:rsid w:val="007A36DD"/>
    <w:rsid w:val="007A6307"/>
    <w:rsid w:val="007A69DC"/>
    <w:rsid w:val="007A7069"/>
    <w:rsid w:val="007B14EF"/>
    <w:rsid w:val="007B19BC"/>
    <w:rsid w:val="007B1EEE"/>
    <w:rsid w:val="007B4C7C"/>
    <w:rsid w:val="007B51E3"/>
    <w:rsid w:val="007B56E7"/>
    <w:rsid w:val="007B579E"/>
    <w:rsid w:val="007B6C34"/>
    <w:rsid w:val="007B6D85"/>
    <w:rsid w:val="007B7BF7"/>
    <w:rsid w:val="007C0C59"/>
    <w:rsid w:val="007C19A4"/>
    <w:rsid w:val="007C31F8"/>
    <w:rsid w:val="007C3C2B"/>
    <w:rsid w:val="007C3C78"/>
    <w:rsid w:val="007C3F82"/>
    <w:rsid w:val="007C4507"/>
    <w:rsid w:val="007C5E78"/>
    <w:rsid w:val="007C67DB"/>
    <w:rsid w:val="007D02A6"/>
    <w:rsid w:val="007D04F8"/>
    <w:rsid w:val="007D0625"/>
    <w:rsid w:val="007D14BA"/>
    <w:rsid w:val="007D185F"/>
    <w:rsid w:val="007D3176"/>
    <w:rsid w:val="007D35F5"/>
    <w:rsid w:val="007D3E0C"/>
    <w:rsid w:val="007D45EF"/>
    <w:rsid w:val="007D5551"/>
    <w:rsid w:val="007D5CAE"/>
    <w:rsid w:val="007D604E"/>
    <w:rsid w:val="007D745B"/>
    <w:rsid w:val="007E10C4"/>
    <w:rsid w:val="007E13CA"/>
    <w:rsid w:val="007E182F"/>
    <w:rsid w:val="007E1D25"/>
    <w:rsid w:val="007E276E"/>
    <w:rsid w:val="007E395D"/>
    <w:rsid w:val="007E474E"/>
    <w:rsid w:val="007E5E9A"/>
    <w:rsid w:val="007E6A0D"/>
    <w:rsid w:val="007F017D"/>
    <w:rsid w:val="007F0BC7"/>
    <w:rsid w:val="007F160B"/>
    <w:rsid w:val="007F1E8F"/>
    <w:rsid w:val="007F4136"/>
    <w:rsid w:val="007F4F91"/>
    <w:rsid w:val="007F50E5"/>
    <w:rsid w:val="007F525C"/>
    <w:rsid w:val="007F6677"/>
    <w:rsid w:val="007F681A"/>
    <w:rsid w:val="00801F91"/>
    <w:rsid w:val="00804CB9"/>
    <w:rsid w:val="00805A82"/>
    <w:rsid w:val="00807D3E"/>
    <w:rsid w:val="008107EB"/>
    <w:rsid w:val="0081186E"/>
    <w:rsid w:val="00814196"/>
    <w:rsid w:val="00814DA3"/>
    <w:rsid w:val="00815549"/>
    <w:rsid w:val="00815AF7"/>
    <w:rsid w:val="00815D28"/>
    <w:rsid w:val="008161FE"/>
    <w:rsid w:val="00816C3F"/>
    <w:rsid w:val="008171ED"/>
    <w:rsid w:val="00817438"/>
    <w:rsid w:val="00820025"/>
    <w:rsid w:val="00820ECA"/>
    <w:rsid w:val="00820F9B"/>
    <w:rsid w:val="00821B78"/>
    <w:rsid w:val="00822C11"/>
    <w:rsid w:val="00823931"/>
    <w:rsid w:val="00825495"/>
    <w:rsid w:val="008257B3"/>
    <w:rsid w:val="00825A58"/>
    <w:rsid w:val="00825F84"/>
    <w:rsid w:val="0082670B"/>
    <w:rsid w:val="00826C7D"/>
    <w:rsid w:val="00826E1D"/>
    <w:rsid w:val="00827412"/>
    <w:rsid w:val="008275B7"/>
    <w:rsid w:val="00830339"/>
    <w:rsid w:val="008322F7"/>
    <w:rsid w:val="008332DD"/>
    <w:rsid w:val="0083392D"/>
    <w:rsid w:val="00833B68"/>
    <w:rsid w:val="00833EB5"/>
    <w:rsid w:val="00835E44"/>
    <w:rsid w:val="008372B3"/>
    <w:rsid w:val="00837A59"/>
    <w:rsid w:val="008400B9"/>
    <w:rsid w:val="0084085E"/>
    <w:rsid w:val="00842957"/>
    <w:rsid w:val="0084320B"/>
    <w:rsid w:val="008432FC"/>
    <w:rsid w:val="00843330"/>
    <w:rsid w:val="00843D2F"/>
    <w:rsid w:val="00844517"/>
    <w:rsid w:val="008446FE"/>
    <w:rsid w:val="00844C0C"/>
    <w:rsid w:val="00846AA9"/>
    <w:rsid w:val="00850769"/>
    <w:rsid w:val="0085533A"/>
    <w:rsid w:val="008558C2"/>
    <w:rsid w:val="00856509"/>
    <w:rsid w:val="008572D1"/>
    <w:rsid w:val="00857347"/>
    <w:rsid w:val="00860D72"/>
    <w:rsid w:val="00860E25"/>
    <w:rsid w:val="00860E50"/>
    <w:rsid w:val="00862B92"/>
    <w:rsid w:val="00864323"/>
    <w:rsid w:val="008646F5"/>
    <w:rsid w:val="00864CA1"/>
    <w:rsid w:val="00864F55"/>
    <w:rsid w:val="008651A8"/>
    <w:rsid w:val="00865AA1"/>
    <w:rsid w:val="008672D1"/>
    <w:rsid w:val="00870A39"/>
    <w:rsid w:val="00871E79"/>
    <w:rsid w:val="00872D6D"/>
    <w:rsid w:val="00875856"/>
    <w:rsid w:val="00876021"/>
    <w:rsid w:val="00882702"/>
    <w:rsid w:val="0088522E"/>
    <w:rsid w:val="00885634"/>
    <w:rsid w:val="00885D0C"/>
    <w:rsid w:val="00885D19"/>
    <w:rsid w:val="008868EE"/>
    <w:rsid w:val="00886932"/>
    <w:rsid w:val="0089029A"/>
    <w:rsid w:val="00890713"/>
    <w:rsid w:val="00890FE6"/>
    <w:rsid w:val="00892423"/>
    <w:rsid w:val="00892ADF"/>
    <w:rsid w:val="00892DC6"/>
    <w:rsid w:val="00893282"/>
    <w:rsid w:val="008937F7"/>
    <w:rsid w:val="00893939"/>
    <w:rsid w:val="00893AD2"/>
    <w:rsid w:val="00893BD5"/>
    <w:rsid w:val="00893DF4"/>
    <w:rsid w:val="00893EE3"/>
    <w:rsid w:val="00894137"/>
    <w:rsid w:val="00894C55"/>
    <w:rsid w:val="00895278"/>
    <w:rsid w:val="00895DD8"/>
    <w:rsid w:val="00896E1A"/>
    <w:rsid w:val="00897398"/>
    <w:rsid w:val="008977F0"/>
    <w:rsid w:val="0089789E"/>
    <w:rsid w:val="008A0F64"/>
    <w:rsid w:val="008A25ED"/>
    <w:rsid w:val="008A31AC"/>
    <w:rsid w:val="008A34AA"/>
    <w:rsid w:val="008A38AB"/>
    <w:rsid w:val="008A74B0"/>
    <w:rsid w:val="008B0C8D"/>
    <w:rsid w:val="008B1D17"/>
    <w:rsid w:val="008B20AA"/>
    <w:rsid w:val="008B2A0F"/>
    <w:rsid w:val="008B372B"/>
    <w:rsid w:val="008B39CE"/>
    <w:rsid w:val="008B5154"/>
    <w:rsid w:val="008B6824"/>
    <w:rsid w:val="008B7181"/>
    <w:rsid w:val="008B7A03"/>
    <w:rsid w:val="008C0DBE"/>
    <w:rsid w:val="008C17A3"/>
    <w:rsid w:val="008C17EC"/>
    <w:rsid w:val="008C17F4"/>
    <w:rsid w:val="008C1D9F"/>
    <w:rsid w:val="008C2C95"/>
    <w:rsid w:val="008C2D0B"/>
    <w:rsid w:val="008C2D77"/>
    <w:rsid w:val="008C508A"/>
    <w:rsid w:val="008C6252"/>
    <w:rsid w:val="008C654F"/>
    <w:rsid w:val="008C6E09"/>
    <w:rsid w:val="008C6E50"/>
    <w:rsid w:val="008D1AF7"/>
    <w:rsid w:val="008D2012"/>
    <w:rsid w:val="008D245F"/>
    <w:rsid w:val="008D28DD"/>
    <w:rsid w:val="008D3976"/>
    <w:rsid w:val="008D3B37"/>
    <w:rsid w:val="008D4161"/>
    <w:rsid w:val="008E2216"/>
    <w:rsid w:val="008E252E"/>
    <w:rsid w:val="008E26AF"/>
    <w:rsid w:val="008E31C8"/>
    <w:rsid w:val="008E31DD"/>
    <w:rsid w:val="008E339A"/>
    <w:rsid w:val="008E36B6"/>
    <w:rsid w:val="008E3B53"/>
    <w:rsid w:val="008E4779"/>
    <w:rsid w:val="008E4B91"/>
    <w:rsid w:val="008E4DDE"/>
    <w:rsid w:val="008E63CB"/>
    <w:rsid w:val="008E7B64"/>
    <w:rsid w:val="008E7C39"/>
    <w:rsid w:val="008F1089"/>
    <w:rsid w:val="008F208D"/>
    <w:rsid w:val="008F3101"/>
    <w:rsid w:val="008F4166"/>
    <w:rsid w:val="008F46C7"/>
    <w:rsid w:val="008F485A"/>
    <w:rsid w:val="008F6889"/>
    <w:rsid w:val="008F79EF"/>
    <w:rsid w:val="008F7A68"/>
    <w:rsid w:val="008F7C6E"/>
    <w:rsid w:val="00900BD4"/>
    <w:rsid w:val="00900FE6"/>
    <w:rsid w:val="009010CB"/>
    <w:rsid w:val="00901189"/>
    <w:rsid w:val="009014BB"/>
    <w:rsid w:val="00901532"/>
    <w:rsid w:val="00902C59"/>
    <w:rsid w:val="00903097"/>
    <w:rsid w:val="00905111"/>
    <w:rsid w:val="00906149"/>
    <w:rsid w:val="00906F88"/>
    <w:rsid w:val="00910940"/>
    <w:rsid w:val="00912546"/>
    <w:rsid w:val="009125B5"/>
    <w:rsid w:val="0091446C"/>
    <w:rsid w:val="00914DE2"/>
    <w:rsid w:val="009151E9"/>
    <w:rsid w:val="009158BC"/>
    <w:rsid w:val="009165ED"/>
    <w:rsid w:val="00916619"/>
    <w:rsid w:val="00917893"/>
    <w:rsid w:val="00917FE8"/>
    <w:rsid w:val="009224F5"/>
    <w:rsid w:val="00922C21"/>
    <w:rsid w:val="00923AE7"/>
    <w:rsid w:val="00923BA4"/>
    <w:rsid w:val="00924234"/>
    <w:rsid w:val="00924D1B"/>
    <w:rsid w:val="0092546B"/>
    <w:rsid w:val="00925721"/>
    <w:rsid w:val="009268D3"/>
    <w:rsid w:val="00926903"/>
    <w:rsid w:val="00932513"/>
    <w:rsid w:val="00932EF7"/>
    <w:rsid w:val="00934BE6"/>
    <w:rsid w:val="00934EC4"/>
    <w:rsid w:val="00935194"/>
    <w:rsid w:val="00935355"/>
    <w:rsid w:val="0093560C"/>
    <w:rsid w:val="00936426"/>
    <w:rsid w:val="00936733"/>
    <w:rsid w:val="00937243"/>
    <w:rsid w:val="0093730D"/>
    <w:rsid w:val="009373BE"/>
    <w:rsid w:val="00941649"/>
    <w:rsid w:val="00941B1A"/>
    <w:rsid w:val="00942B11"/>
    <w:rsid w:val="009434F6"/>
    <w:rsid w:val="009438A8"/>
    <w:rsid w:val="009438E7"/>
    <w:rsid w:val="00943B62"/>
    <w:rsid w:val="0094482D"/>
    <w:rsid w:val="00944BB8"/>
    <w:rsid w:val="009455CC"/>
    <w:rsid w:val="00946534"/>
    <w:rsid w:val="00947379"/>
    <w:rsid w:val="00947D91"/>
    <w:rsid w:val="00947DB1"/>
    <w:rsid w:val="00950DE0"/>
    <w:rsid w:val="00952B02"/>
    <w:rsid w:val="00953B15"/>
    <w:rsid w:val="00953CFA"/>
    <w:rsid w:val="00953ED7"/>
    <w:rsid w:val="009541EE"/>
    <w:rsid w:val="0095423F"/>
    <w:rsid w:val="009543EE"/>
    <w:rsid w:val="00954E8C"/>
    <w:rsid w:val="00961459"/>
    <w:rsid w:val="00961502"/>
    <w:rsid w:val="009621BF"/>
    <w:rsid w:val="00963350"/>
    <w:rsid w:val="00963AB5"/>
    <w:rsid w:val="00963DD2"/>
    <w:rsid w:val="00964774"/>
    <w:rsid w:val="00964F65"/>
    <w:rsid w:val="00965891"/>
    <w:rsid w:val="00965C0E"/>
    <w:rsid w:val="00966E7C"/>
    <w:rsid w:val="00970392"/>
    <w:rsid w:val="00970E4E"/>
    <w:rsid w:val="00971D26"/>
    <w:rsid w:val="009725C8"/>
    <w:rsid w:val="00973503"/>
    <w:rsid w:val="00973B85"/>
    <w:rsid w:val="0097445D"/>
    <w:rsid w:val="00974C42"/>
    <w:rsid w:val="0097517E"/>
    <w:rsid w:val="00976CAD"/>
    <w:rsid w:val="00977548"/>
    <w:rsid w:val="0097770C"/>
    <w:rsid w:val="009805A1"/>
    <w:rsid w:val="009827E9"/>
    <w:rsid w:val="00982C96"/>
    <w:rsid w:val="00982D1E"/>
    <w:rsid w:val="00983748"/>
    <w:rsid w:val="00984330"/>
    <w:rsid w:val="00984BB2"/>
    <w:rsid w:val="00985758"/>
    <w:rsid w:val="00985C16"/>
    <w:rsid w:val="00985C5E"/>
    <w:rsid w:val="00987429"/>
    <w:rsid w:val="00987648"/>
    <w:rsid w:val="00990455"/>
    <w:rsid w:val="00990947"/>
    <w:rsid w:val="00991315"/>
    <w:rsid w:val="00991D31"/>
    <w:rsid w:val="00993C0B"/>
    <w:rsid w:val="00993CD6"/>
    <w:rsid w:val="009946C1"/>
    <w:rsid w:val="00995F40"/>
    <w:rsid w:val="00995FA5"/>
    <w:rsid w:val="00996D4F"/>
    <w:rsid w:val="00997A4D"/>
    <w:rsid w:val="00997C27"/>
    <w:rsid w:val="009A0E6E"/>
    <w:rsid w:val="009A1DF2"/>
    <w:rsid w:val="009A2915"/>
    <w:rsid w:val="009A2C7E"/>
    <w:rsid w:val="009A6149"/>
    <w:rsid w:val="009A67E1"/>
    <w:rsid w:val="009A6E22"/>
    <w:rsid w:val="009B0086"/>
    <w:rsid w:val="009B1351"/>
    <w:rsid w:val="009B23C3"/>
    <w:rsid w:val="009B2429"/>
    <w:rsid w:val="009B2569"/>
    <w:rsid w:val="009B30D7"/>
    <w:rsid w:val="009B3130"/>
    <w:rsid w:val="009B33E7"/>
    <w:rsid w:val="009B3EF3"/>
    <w:rsid w:val="009B3FDD"/>
    <w:rsid w:val="009B43D6"/>
    <w:rsid w:val="009B51E4"/>
    <w:rsid w:val="009B5AF5"/>
    <w:rsid w:val="009B6436"/>
    <w:rsid w:val="009B68A0"/>
    <w:rsid w:val="009B6C3A"/>
    <w:rsid w:val="009B726B"/>
    <w:rsid w:val="009C131B"/>
    <w:rsid w:val="009C1700"/>
    <w:rsid w:val="009C1E63"/>
    <w:rsid w:val="009C1FC3"/>
    <w:rsid w:val="009C2076"/>
    <w:rsid w:val="009C24AD"/>
    <w:rsid w:val="009C3D1C"/>
    <w:rsid w:val="009C421C"/>
    <w:rsid w:val="009C5A53"/>
    <w:rsid w:val="009C5B58"/>
    <w:rsid w:val="009C6638"/>
    <w:rsid w:val="009D1044"/>
    <w:rsid w:val="009D1323"/>
    <w:rsid w:val="009D1D95"/>
    <w:rsid w:val="009D24A5"/>
    <w:rsid w:val="009D2B42"/>
    <w:rsid w:val="009D30C5"/>
    <w:rsid w:val="009D3B55"/>
    <w:rsid w:val="009D42E8"/>
    <w:rsid w:val="009D54DD"/>
    <w:rsid w:val="009D5C29"/>
    <w:rsid w:val="009D7D1D"/>
    <w:rsid w:val="009E001E"/>
    <w:rsid w:val="009E04AB"/>
    <w:rsid w:val="009E112B"/>
    <w:rsid w:val="009E20E6"/>
    <w:rsid w:val="009E2A57"/>
    <w:rsid w:val="009E4B4A"/>
    <w:rsid w:val="009E5BB8"/>
    <w:rsid w:val="009F0111"/>
    <w:rsid w:val="009F10CC"/>
    <w:rsid w:val="009F1D45"/>
    <w:rsid w:val="009F3AF4"/>
    <w:rsid w:val="009F44C0"/>
    <w:rsid w:val="009F452E"/>
    <w:rsid w:val="009F4848"/>
    <w:rsid w:val="009F48FB"/>
    <w:rsid w:val="009F6003"/>
    <w:rsid w:val="009F67E4"/>
    <w:rsid w:val="009F7166"/>
    <w:rsid w:val="00A005E9"/>
    <w:rsid w:val="00A007F2"/>
    <w:rsid w:val="00A0089E"/>
    <w:rsid w:val="00A0243A"/>
    <w:rsid w:val="00A04956"/>
    <w:rsid w:val="00A05AB1"/>
    <w:rsid w:val="00A05DEF"/>
    <w:rsid w:val="00A06C55"/>
    <w:rsid w:val="00A0768E"/>
    <w:rsid w:val="00A104AB"/>
    <w:rsid w:val="00A11474"/>
    <w:rsid w:val="00A127F7"/>
    <w:rsid w:val="00A12F09"/>
    <w:rsid w:val="00A13371"/>
    <w:rsid w:val="00A13EC9"/>
    <w:rsid w:val="00A1421E"/>
    <w:rsid w:val="00A15634"/>
    <w:rsid w:val="00A158E0"/>
    <w:rsid w:val="00A15C76"/>
    <w:rsid w:val="00A17231"/>
    <w:rsid w:val="00A17B41"/>
    <w:rsid w:val="00A208D0"/>
    <w:rsid w:val="00A21872"/>
    <w:rsid w:val="00A22568"/>
    <w:rsid w:val="00A23750"/>
    <w:rsid w:val="00A23BDD"/>
    <w:rsid w:val="00A24179"/>
    <w:rsid w:val="00A2418D"/>
    <w:rsid w:val="00A24957"/>
    <w:rsid w:val="00A25F93"/>
    <w:rsid w:val="00A26C29"/>
    <w:rsid w:val="00A27CA3"/>
    <w:rsid w:val="00A302B8"/>
    <w:rsid w:val="00A30CBA"/>
    <w:rsid w:val="00A31CEE"/>
    <w:rsid w:val="00A332BF"/>
    <w:rsid w:val="00A3472C"/>
    <w:rsid w:val="00A35ECA"/>
    <w:rsid w:val="00A35FDD"/>
    <w:rsid w:val="00A36846"/>
    <w:rsid w:val="00A3702E"/>
    <w:rsid w:val="00A4176C"/>
    <w:rsid w:val="00A42300"/>
    <w:rsid w:val="00A42E31"/>
    <w:rsid w:val="00A43507"/>
    <w:rsid w:val="00A440D7"/>
    <w:rsid w:val="00A44366"/>
    <w:rsid w:val="00A4482C"/>
    <w:rsid w:val="00A4540A"/>
    <w:rsid w:val="00A47817"/>
    <w:rsid w:val="00A47F65"/>
    <w:rsid w:val="00A50B48"/>
    <w:rsid w:val="00A50F18"/>
    <w:rsid w:val="00A51CCD"/>
    <w:rsid w:val="00A52949"/>
    <w:rsid w:val="00A52995"/>
    <w:rsid w:val="00A5424F"/>
    <w:rsid w:val="00A54A86"/>
    <w:rsid w:val="00A551E2"/>
    <w:rsid w:val="00A56A82"/>
    <w:rsid w:val="00A56BE6"/>
    <w:rsid w:val="00A56C6E"/>
    <w:rsid w:val="00A60D5C"/>
    <w:rsid w:val="00A61240"/>
    <w:rsid w:val="00A61A84"/>
    <w:rsid w:val="00A61CE7"/>
    <w:rsid w:val="00A64592"/>
    <w:rsid w:val="00A646B7"/>
    <w:rsid w:val="00A646C6"/>
    <w:rsid w:val="00A648F9"/>
    <w:rsid w:val="00A65332"/>
    <w:rsid w:val="00A656AC"/>
    <w:rsid w:val="00A66174"/>
    <w:rsid w:val="00A662DE"/>
    <w:rsid w:val="00A67A86"/>
    <w:rsid w:val="00A67D34"/>
    <w:rsid w:val="00A70678"/>
    <w:rsid w:val="00A71B18"/>
    <w:rsid w:val="00A722FD"/>
    <w:rsid w:val="00A7254E"/>
    <w:rsid w:val="00A72660"/>
    <w:rsid w:val="00A72F32"/>
    <w:rsid w:val="00A737F4"/>
    <w:rsid w:val="00A73A04"/>
    <w:rsid w:val="00A73F6B"/>
    <w:rsid w:val="00A759A9"/>
    <w:rsid w:val="00A75A46"/>
    <w:rsid w:val="00A76C85"/>
    <w:rsid w:val="00A7741D"/>
    <w:rsid w:val="00A81D43"/>
    <w:rsid w:val="00A8287A"/>
    <w:rsid w:val="00A82A89"/>
    <w:rsid w:val="00A83919"/>
    <w:rsid w:val="00A84CEC"/>
    <w:rsid w:val="00A84F85"/>
    <w:rsid w:val="00A85028"/>
    <w:rsid w:val="00A8559D"/>
    <w:rsid w:val="00A86049"/>
    <w:rsid w:val="00A86220"/>
    <w:rsid w:val="00A868E2"/>
    <w:rsid w:val="00A86A49"/>
    <w:rsid w:val="00A8700C"/>
    <w:rsid w:val="00A87DBD"/>
    <w:rsid w:val="00A9082F"/>
    <w:rsid w:val="00A916A4"/>
    <w:rsid w:val="00A92ABA"/>
    <w:rsid w:val="00A934B5"/>
    <w:rsid w:val="00A94370"/>
    <w:rsid w:val="00A946B4"/>
    <w:rsid w:val="00A94A4A"/>
    <w:rsid w:val="00A94E7C"/>
    <w:rsid w:val="00A95141"/>
    <w:rsid w:val="00A9533A"/>
    <w:rsid w:val="00A95966"/>
    <w:rsid w:val="00A9596F"/>
    <w:rsid w:val="00A95AFE"/>
    <w:rsid w:val="00A9700A"/>
    <w:rsid w:val="00A978BD"/>
    <w:rsid w:val="00A97996"/>
    <w:rsid w:val="00AA07CE"/>
    <w:rsid w:val="00AA1D15"/>
    <w:rsid w:val="00AA20C8"/>
    <w:rsid w:val="00AA2CBB"/>
    <w:rsid w:val="00AA41B7"/>
    <w:rsid w:val="00AA4C29"/>
    <w:rsid w:val="00AA6805"/>
    <w:rsid w:val="00AA6C92"/>
    <w:rsid w:val="00AA6FC4"/>
    <w:rsid w:val="00AA733B"/>
    <w:rsid w:val="00AA7B19"/>
    <w:rsid w:val="00AB039C"/>
    <w:rsid w:val="00AB1830"/>
    <w:rsid w:val="00AB202E"/>
    <w:rsid w:val="00AB257C"/>
    <w:rsid w:val="00AB3495"/>
    <w:rsid w:val="00AB5986"/>
    <w:rsid w:val="00AB5C72"/>
    <w:rsid w:val="00AB621E"/>
    <w:rsid w:val="00AB62F2"/>
    <w:rsid w:val="00AC042A"/>
    <w:rsid w:val="00AC1F06"/>
    <w:rsid w:val="00AC2A7D"/>
    <w:rsid w:val="00AC35DA"/>
    <w:rsid w:val="00AC3E0F"/>
    <w:rsid w:val="00AC3E17"/>
    <w:rsid w:val="00AC5A27"/>
    <w:rsid w:val="00AC5B9F"/>
    <w:rsid w:val="00AC6111"/>
    <w:rsid w:val="00AC6123"/>
    <w:rsid w:val="00AC66B2"/>
    <w:rsid w:val="00AC6BE7"/>
    <w:rsid w:val="00AC7AD3"/>
    <w:rsid w:val="00AD16EF"/>
    <w:rsid w:val="00AD17F9"/>
    <w:rsid w:val="00AD1A46"/>
    <w:rsid w:val="00AD261F"/>
    <w:rsid w:val="00AD2E4F"/>
    <w:rsid w:val="00AD31C3"/>
    <w:rsid w:val="00AD323C"/>
    <w:rsid w:val="00AD3B9A"/>
    <w:rsid w:val="00AD488E"/>
    <w:rsid w:val="00AD5C5B"/>
    <w:rsid w:val="00AD6937"/>
    <w:rsid w:val="00AD6CCB"/>
    <w:rsid w:val="00AE0655"/>
    <w:rsid w:val="00AE07AD"/>
    <w:rsid w:val="00AE1B12"/>
    <w:rsid w:val="00AE3819"/>
    <w:rsid w:val="00AE3964"/>
    <w:rsid w:val="00AE4BF0"/>
    <w:rsid w:val="00AF0A2F"/>
    <w:rsid w:val="00AF2D7A"/>
    <w:rsid w:val="00AF34E9"/>
    <w:rsid w:val="00AF418F"/>
    <w:rsid w:val="00AF501D"/>
    <w:rsid w:val="00AF5731"/>
    <w:rsid w:val="00AF60F6"/>
    <w:rsid w:val="00B00710"/>
    <w:rsid w:val="00B00FA6"/>
    <w:rsid w:val="00B01D63"/>
    <w:rsid w:val="00B0213C"/>
    <w:rsid w:val="00B03004"/>
    <w:rsid w:val="00B035ED"/>
    <w:rsid w:val="00B062D4"/>
    <w:rsid w:val="00B06F01"/>
    <w:rsid w:val="00B075E0"/>
    <w:rsid w:val="00B10E4B"/>
    <w:rsid w:val="00B112C4"/>
    <w:rsid w:val="00B1161B"/>
    <w:rsid w:val="00B11CD9"/>
    <w:rsid w:val="00B127FB"/>
    <w:rsid w:val="00B129AD"/>
    <w:rsid w:val="00B14A7B"/>
    <w:rsid w:val="00B14F53"/>
    <w:rsid w:val="00B15E16"/>
    <w:rsid w:val="00B161B7"/>
    <w:rsid w:val="00B169C6"/>
    <w:rsid w:val="00B16F1E"/>
    <w:rsid w:val="00B1799D"/>
    <w:rsid w:val="00B17F4D"/>
    <w:rsid w:val="00B20A56"/>
    <w:rsid w:val="00B20E32"/>
    <w:rsid w:val="00B22372"/>
    <w:rsid w:val="00B22E31"/>
    <w:rsid w:val="00B24BAA"/>
    <w:rsid w:val="00B25C94"/>
    <w:rsid w:val="00B260EF"/>
    <w:rsid w:val="00B26538"/>
    <w:rsid w:val="00B27614"/>
    <w:rsid w:val="00B30D06"/>
    <w:rsid w:val="00B32405"/>
    <w:rsid w:val="00B33409"/>
    <w:rsid w:val="00B35D10"/>
    <w:rsid w:val="00B3606E"/>
    <w:rsid w:val="00B363C6"/>
    <w:rsid w:val="00B36F4C"/>
    <w:rsid w:val="00B377EE"/>
    <w:rsid w:val="00B37C34"/>
    <w:rsid w:val="00B37DCE"/>
    <w:rsid w:val="00B405FC"/>
    <w:rsid w:val="00B40BC0"/>
    <w:rsid w:val="00B41676"/>
    <w:rsid w:val="00B41700"/>
    <w:rsid w:val="00B4620A"/>
    <w:rsid w:val="00B503A1"/>
    <w:rsid w:val="00B54539"/>
    <w:rsid w:val="00B546A7"/>
    <w:rsid w:val="00B62DE8"/>
    <w:rsid w:val="00B62F2D"/>
    <w:rsid w:val="00B63DCD"/>
    <w:rsid w:val="00B64754"/>
    <w:rsid w:val="00B64FED"/>
    <w:rsid w:val="00B658E1"/>
    <w:rsid w:val="00B65CB1"/>
    <w:rsid w:val="00B65E49"/>
    <w:rsid w:val="00B66C47"/>
    <w:rsid w:val="00B678AE"/>
    <w:rsid w:val="00B72428"/>
    <w:rsid w:val="00B734A4"/>
    <w:rsid w:val="00B7373D"/>
    <w:rsid w:val="00B73B5E"/>
    <w:rsid w:val="00B7481B"/>
    <w:rsid w:val="00B7575B"/>
    <w:rsid w:val="00B75E88"/>
    <w:rsid w:val="00B76583"/>
    <w:rsid w:val="00B76B6D"/>
    <w:rsid w:val="00B77AD2"/>
    <w:rsid w:val="00B81723"/>
    <w:rsid w:val="00B818D8"/>
    <w:rsid w:val="00B82283"/>
    <w:rsid w:val="00B8309A"/>
    <w:rsid w:val="00B83A12"/>
    <w:rsid w:val="00B842F0"/>
    <w:rsid w:val="00B8531E"/>
    <w:rsid w:val="00B85CE5"/>
    <w:rsid w:val="00B86123"/>
    <w:rsid w:val="00B877AE"/>
    <w:rsid w:val="00B90BA8"/>
    <w:rsid w:val="00B91688"/>
    <w:rsid w:val="00B9260B"/>
    <w:rsid w:val="00B92E98"/>
    <w:rsid w:val="00B93AE7"/>
    <w:rsid w:val="00B94D20"/>
    <w:rsid w:val="00B95352"/>
    <w:rsid w:val="00B95B43"/>
    <w:rsid w:val="00B95B92"/>
    <w:rsid w:val="00B96EF2"/>
    <w:rsid w:val="00B97008"/>
    <w:rsid w:val="00BA025C"/>
    <w:rsid w:val="00BA05C3"/>
    <w:rsid w:val="00BA1AB3"/>
    <w:rsid w:val="00BA2BCB"/>
    <w:rsid w:val="00BA2D15"/>
    <w:rsid w:val="00BA3190"/>
    <w:rsid w:val="00BA3A88"/>
    <w:rsid w:val="00BA5A88"/>
    <w:rsid w:val="00BA5D5F"/>
    <w:rsid w:val="00BA5D76"/>
    <w:rsid w:val="00BA6EE8"/>
    <w:rsid w:val="00BA78AE"/>
    <w:rsid w:val="00BA7AE8"/>
    <w:rsid w:val="00BB0A31"/>
    <w:rsid w:val="00BB0F72"/>
    <w:rsid w:val="00BB1611"/>
    <w:rsid w:val="00BB1893"/>
    <w:rsid w:val="00BB694B"/>
    <w:rsid w:val="00BB6BD3"/>
    <w:rsid w:val="00BB6E0A"/>
    <w:rsid w:val="00BB7471"/>
    <w:rsid w:val="00BB7F10"/>
    <w:rsid w:val="00BC30A4"/>
    <w:rsid w:val="00BC6253"/>
    <w:rsid w:val="00BC6E42"/>
    <w:rsid w:val="00BC7D90"/>
    <w:rsid w:val="00BD003A"/>
    <w:rsid w:val="00BD0A78"/>
    <w:rsid w:val="00BD2A1E"/>
    <w:rsid w:val="00BD2DA9"/>
    <w:rsid w:val="00BD2DFB"/>
    <w:rsid w:val="00BD2F15"/>
    <w:rsid w:val="00BD317C"/>
    <w:rsid w:val="00BD4012"/>
    <w:rsid w:val="00BD4C7C"/>
    <w:rsid w:val="00BD56EA"/>
    <w:rsid w:val="00BD571A"/>
    <w:rsid w:val="00BD5CBD"/>
    <w:rsid w:val="00BD63F8"/>
    <w:rsid w:val="00BD6417"/>
    <w:rsid w:val="00BD6CAF"/>
    <w:rsid w:val="00BD7E31"/>
    <w:rsid w:val="00BE0E18"/>
    <w:rsid w:val="00BE153E"/>
    <w:rsid w:val="00BE15F2"/>
    <w:rsid w:val="00BE261A"/>
    <w:rsid w:val="00BE284B"/>
    <w:rsid w:val="00BE505A"/>
    <w:rsid w:val="00BE7807"/>
    <w:rsid w:val="00BF08B8"/>
    <w:rsid w:val="00BF1AF8"/>
    <w:rsid w:val="00BF1B17"/>
    <w:rsid w:val="00BF236B"/>
    <w:rsid w:val="00BF25F9"/>
    <w:rsid w:val="00BF2EC3"/>
    <w:rsid w:val="00BF34E0"/>
    <w:rsid w:val="00BF3950"/>
    <w:rsid w:val="00BF446B"/>
    <w:rsid w:val="00BF4EEB"/>
    <w:rsid w:val="00BF4FCC"/>
    <w:rsid w:val="00BF79CD"/>
    <w:rsid w:val="00C00466"/>
    <w:rsid w:val="00C005AC"/>
    <w:rsid w:val="00C01643"/>
    <w:rsid w:val="00C0345E"/>
    <w:rsid w:val="00C038A5"/>
    <w:rsid w:val="00C04207"/>
    <w:rsid w:val="00C04333"/>
    <w:rsid w:val="00C04505"/>
    <w:rsid w:val="00C05496"/>
    <w:rsid w:val="00C059B6"/>
    <w:rsid w:val="00C05A89"/>
    <w:rsid w:val="00C077B1"/>
    <w:rsid w:val="00C13311"/>
    <w:rsid w:val="00C136E6"/>
    <w:rsid w:val="00C13D8D"/>
    <w:rsid w:val="00C144C8"/>
    <w:rsid w:val="00C145C7"/>
    <w:rsid w:val="00C15A9A"/>
    <w:rsid w:val="00C15AAA"/>
    <w:rsid w:val="00C1625A"/>
    <w:rsid w:val="00C168DB"/>
    <w:rsid w:val="00C16CFB"/>
    <w:rsid w:val="00C2042C"/>
    <w:rsid w:val="00C22309"/>
    <w:rsid w:val="00C2241D"/>
    <w:rsid w:val="00C229E0"/>
    <w:rsid w:val="00C23BB2"/>
    <w:rsid w:val="00C2696C"/>
    <w:rsid w:val="00C27D3C"/>
    <w:rsid w:val="00C3138C"/>
    <w:rsid w:val="00C335D1"/>
    <w:rsid w:val="00C33A1C"/>
    <w:rsid w:val="00C34369"/>
    <w:rsid w:val="00C37220"/>
    <w:rsid w:val="00C378F1"/>
    <w:rsid w:val="00C37AB3"/>
    <w:rsid w:val="00C41CA4"/>
    <w:rsid w:val="00C43A7F"/>
    <w:rsid w:val="00C43F2E"/>
    <w:rsid w:val="00C4447B"/>
    <w:rsid w:val="00C45538"/>
    <w:rsid w:val="00C45AC0"/>
    <w:rsid w:val="00C45FC0"/>
    <w:rsid w:val="00C462AC"/>
    <w:rsid w:val="00C466DC"/>
    <w:rsid w:val="00C51B5D"/>
    <w:rsid w:val="00C51DE5"/>
    <w:rsid w:val="00C523A6"/>
    <w:rsid w:val="00C53119"/>
    <w:rsid w:val="00C53DC6"/>
    <w:rsid w:val="00C54FB9"/>
    <w:rsid w:val="00C55542"/>
    <w:rsid w:val="00C57133"/>
    <w:rsid w:val="00C57553"/>
    <w:rsid w:val="00C602D7"/>
    <w:rsid w:val="00C61305"/>
    <w:rsid w:val="00C614D4"/>
    <w:rsid w:val="00C618E8"/>
    <w:rsid w:val="00C62404"/>
    <w:rsid w:val="00C64881"/>
    <w:rsid w:val="00C656AE"/>
    <w:rsid w:val="00C66780"/>
    <w:rsid w:val="00C6711A"/>
    <w:rsid w:val="00C674EC"/>
    <w:rsid w:val="00C711EC"/>
    <w:rsid w:val="00C7136A"/>
    <w:rsid w:val="00C714FA"/>
    <w:rsid w:val="00C71602"/>
    <w:rsid w:val="00C71A7C"/>
    <w:rsid w:val="00C72130"/>
    <w:rsid w:val="00C7226D"/>
    <w:rsid w:val="00C73E6D"/>
    <w:rsid w:val="00C74078"/>
    <w:rsid w:val="00C758B5"/>
    <w:rsid w:val="00C75E2D"/>
    <w:rsid w:val="00C7614F"/>
    <w:rsid w:val="00C76273"/>
    <w:rsid w:val="00C76560"/>
    <w:rsid w:val="00C7673C"/>
    <w:rsid w:val="00C7686A"/>
    <w:rsid w:val="00C76DE9"/>
    <w:rsid w:val="00C76E90"/>
    <w:rsid w:val="00C7749D"/>
    <w:rsid w:val="00C777D3"/>
    <w:rsid w:val="00C81973"/>
    <w:rsid w:val="00C82CE3"/>
    <w:rsid w:val="00C830EA"/>
    <w:rsid w:val="00C855E6"/>
    <w:rsid w:val="00C86DB6"/>
    <w:rsid w:val="00C86E29"/>
    <w:rsid w:val="00C87594"/>
    <w:rsid w:val="00C87E34"/>
    <w:rsid w:val="00C9025C"/>
    <w:rsid w:val="00C912C1"/>
    <w:rsid w:val="00C91E59"/>
    <w:rsid w:val="00C92E01"/>
    <w:rsid w:val="00C94AB2"/>
    <w:rsid w:val="00C94C99"/>
    <w:rsid w:val="00C9606B"/>
    <w:rsid w:val="00C97E2D"/>
    <w:rsid w:val="00CA1407"/>
    <w:rsid w:val="00CA18D6"/>
    <w:rsid w:val="00CA325A"/>
    <w:rsid w:val="00CA34CA"/>
    <w:rsid w:val="00CA5759"/>
    <w:rsid w:val="00CA5BB7"/>
    <w:rsid w:val="00CA67D4"/>
    <w:rsid w:val="00CA6A16"/>
    <w:rsid w:val="00CA6DDE"/>
    <w:rsid w:val="00CA77DF"/>
    <w:rsid w:val="00CA7888"/>
    <w:rsid w:val="00CB0283"/>
    <w:rsid w:val="00CB0B83"/>
    <w:rsid w:val="00CB1C91"/>
    <w:rsid w:val="00CB3012"/>
    <w:rsid w:val="00CB3206"/>
    <w:rsid w:val="00CB3A7D"/>
    <w:rsid w:val="00CB3B5A"/>
    <w:rsid w:val="00CB4CD5"/>
    <w:rsid w:val="00CB5BA5"/>
    <w:rsid w:val="00CB6117"/>
    <w:rsid w:val="00CB630B"/>
    <w:rsid w:val="00CB6878"/>
    <w:rsid w:val="00CC07BE"/>
    <w:rsid w:val="00CC0AA9"/>
    <w:rsid w:val="00CC26C6"/>
    <w:rsid w:val="00CC28F3"/>
    <w:rsid w:val="00CC2D1A"/>
    <w:rsid w:val="00CC41EB"/>
    <w:rsid w:val="00CC6F25"/>
    <w:rsid w:val="00CC706E"/>
    <w:rsid w:val="00CD11E2"/>
    <w:rsid w:val="00CD2AE6"/>
    <w:rsid w:val="00CD3011"/>
    <w:rsid w:val="00CD3014"/>
    <w:rsid w:val="00CD3056"/>
    <w:rsid w:val="00CD4B69"/>
    <w:rsid w:val="00CD5C49"/>
    <w:rsid w:val="00CD7FBD"/>
    <w:rsid w:val="00CE0AB0"/>
    <w:rsid w:val="00CE14FE"/>
    <w:rsid w:val="00CE2137"/>
    <w:rsid w:val="00CE24B5"/>
    <w:rsid w:val="00CE36AA"/>
    <w:rsid w:val="00CE382D"/>
    <w:rsid w:val="00CE3AF5"/>
    <w:rsid w:val="00CE4C78"/>
    <w:rsid w:val="00CE4EFC"/>
    <w:rsid w:val="00CE7C47"/>
    <w:rsid w:val="00CF058B"/>
    <w:rsid w:val="00CF0733"/>
    <w:rsid w:val="00CF282B"/>
    <w:rsid w:val="00CF5055"/>
    <w:rsid w:val="00CF715C"/>
    <w:rsid w:val="00CF7322"/>
    <w:rsid w:val="00D0010E"/>
    <w:rsid w:val="00D00687"/>
    <w:rsid w:val="00D00F45"/>
    <w:rsid w:val="00D00FC4"/>
    <w:rsid w:val="00D01AC5"/>
    <w:rsid w:val="00D02DFE"/>
    <w:rsid w:val="00D03C8E"/>
    <w:rsid w:val="00D04A8E"/>
    <w:rsid w:val="00D063F6"/>
    <w:rsid w:val="00D064A2"/>
    <w:rsid w:val="00D06B79"/>
    <w:rsid w:val="00D06D5A"/>
    <w:rsid w:val="00D0799D"/>
    <w:rsid w:val="00D1089B"/>
    <w:rsid w:val="00D10B1E"/>
    <w:rsid w:val="00D126AA"/>
    <w:rsid w:val="00D13D16"/>
    <w:rsid w:val="00D13DB7"/>
    <w:rsid w:val="00D14056"/>
    <w:rsid w:val="00D155BA"/>
    <w:rsid w:val="00D15819"/>
    <w:rsid w:val="00D15B3C"/>
    <w:rsid w:val="00D16600"/>
    <w:rsid w:val="00D177CB"/>
    <w:rsid w:val="00D245EB"/>
    <w:rsid w:val="00D26305"/>
    <w:rsid w:val="00D26E74"/>
    <w:rsid w:val="00D312D4"/>
    <w:rsid w:val="00D329A9"/>
    <w:rsid w:val="00D32E5E"/>
    <w:rsid w:val="00D33A36"/>
    <w:rsid w:val="00D34DC0"/>
    <w:rsid w:val="00D400AA"/>
    <w:rsid w:val="00D402FC"/>
    <w:rsid w:val="00D406B0"/>
    <w:rsid w:val="00D4227C"/>
    <w:rsid w:val="00D42BF0"/>
    <w:rsid w:val="00D42C68"/>
    <w:rsid w:val="00D43455"/>
    <w:rsid w:val="00D434D2"/>
    <w:rsid w:val="00D43E2F"/>
    <w:rsid w:val="00D45A12"/>
    <w:rsid w:val="00D470A3"/>
    <w:rsid w:val="00D50A3D"/>
    <w:rsid w:val="00D50D1D"/>
    <w:rsid w:val="00D50ECB"/>
    <w:rsid w:val="00D513DF"/>
    <w:rsid w:val="00D5298B"/>
    <w:rsid w:val="00D535DB"/>
    <w:rsid w:val="00D5377E"/>
    <w:rsid w:val="00D544E8"/>
    <w:rsid w:val="00D55853"/>
    <w:rsid w:val="00D559B4"/>
    <w:rsid w:val="00D55D50"/>
    <w:rsid w:val="00D56E97"/>
    <w:rsid w:val="00D570F9"/>
    <w:rsid w:val="00D5795D"/>
    <w:rsid w:val="00D60523"/>
    <w:rsid w:val="00D60A77"/>
    <w:rsid w:val="00D613C8"/>
    <w:rsid w:val="00D61686"/>
    <w:rsid w:val="00D63119"/>
    <w:rsid w:val="00D63675"/>
    <w:rsid w:val="00D63D92"/>
    <w:rsid w:val="00D641EA"/>
    <w:rsid w:val="00D64C93"/>
    <w:rsid w:val="00D65B9A"/>
    <w:rsid w:val="00D6634F"/>
    <w:rsid w:val="00D66E64"/>
    <w:rsid w:val="00D6701C"/>
    <w:rsid w:val="00D672A2"/>
    <w:rsid w:val="00D67447"/>
    <w:rsid w:val="00D674E0"/>
    <w:rsid w:val="00D67D51"/>
    <w:rsid w:val="00D70B42"/>
    <w:rsid w:val="00D721C0"/>
    <w:rsid w:val="00D7243C"/>
    <w:rsid w:val="00D766AB"/>
    <w:rsid w:val="00D7792C"/>
    <w:rsid w:val="00D80341"/>
    <w:rsid w:val="00D8088A"/>
    <w:rsid w:val="00D82FAF"/>
    <w:rsid w:val="00D830C4"/>
    <w:rsid w:val="00D837A8"/>
    <w:rsid w:val="00D84745"/>
    <w:rsid w:val="00D84C4A"/>
    <w:rsid w:val="00D850C9"/>
    <w:rsid w:val="00D872D9"/>
    <w:rsid w:val="00D9000A"/>
    <w:rsid w:val="00D91A6A"/>
    <w:rsid w:val="00D9221E"/>
    <w:rsid w:val="00D93383"/>
    <w:rsid w:val="00D9364A"/>
    <w:rsid w:val="00D9393A"/>
    <w:rsid w:val="00D968CA"/>
    <w:rsid w:val="00D96D85"/>
    <w:rsid w:val="00D9715E"/>
    <w:rsid w:val="00D979B7"/>
    <w:rsid w:val="00D97A66"/>
    <w:rsid w:val="00DA0A02"/>
    <w:rsid w:val="00DA1DAD"/>
    <w:rsid w:val="00DA21FB"/>
    <w:rsid w:val="00DA282E"/>
    <w:rsid w:val="00DA32F2"/>
    <w:rsid w:val="00DA4490"/>
    <w:rsid w:val="00DA46BF"/>
    <w:rsid w:val="00DA4775"/>
    <w:rsid w:val="00DA6C75"/>
    <w:rsid w:val="00DA726A"/>
    <w:rsid w:val="00DA764E"/>
    <w:rsid w:val="00DB00CB"/>
    <w:rsid w:val="00DB0471"/>
    <w:rsid w:val="00DB0807"/>
    <w:rsid w:val="00DB0A5B"/>
    <w:rsid w:val="00DB1E70"/>
    <w:rsid w:val="00DB3357"/>
    <w:rsid w:val="00DB4284"/>
    <w:rsid w:val="00DB625F"/>
    <w:rsid w:val="00DB7229"/>
    <w:rsid w:val="00DC014C"/>
    <w:rsid w:val="00DC0405"/>
    <w:rsid w:val="00DC091F"/>
    <w:rsid w:val="00DC1D93"/>
    <w:rsid w:val="00DC2094"/>
    <w:rsid w:val="00DC2AC9"/>
    <w:rsid w:val="00DC3ED6"/>
    <w:rsid w:val="00DC549D"/>
    <w:rsid w:val="00DC56E7"/>
    <w:rsid w:val="00DC6D98"/>
    <w:rsid w:val="00DC717C"/>
    <w:rsid w:val="00DC77CA"/>
    <w:rsid w:val="00DC7D8A"/>
    <w:rsid w:val="00DD0735"/>
    <w:rsid w:val="00DD2B14"/>
    <w:rsid w:val="00DD2EEC"/>
    <w:rsid w:val="00DD473D"/>
    <w:rsid w:val="00DD531F"/>
    <w:rsid w:val="00DD653A"/>
    <w:rsid w:val="00DD6811"/>
    <w:rsid w:val="00DD7BD2"/>
    <w:rsid w:val="00DD7BEF"/>
    <w:rsid w:val="00DE107D"/>
    <w:rsid w:val="00DE16C4"/>
    <w:rsid w:val="00DE24A1"/>
    <w:rsid w:val="00DE3816"/>
    <w:rsid w:val="00DE4389"/>
    <w:rsid w:val="00DE4FB6"/>
    <w:rsid w:val="00DE53B6"/>
    <w:rsid w:val="00DE79BA"/>
    <w:rsid w:val="00DE7E48"/>
    <w:rsid w:val="00DF296A"/>
    <w:rsid w:val="00DF2ADB"/>
    <w:rsid w:val="00DF327C"/>
    <w:rsid w:val="00DF3B71"/>
    <w:rsid w:val="00DF47BE"/>
    <w:rsid w:val="00DF47D7"/>
    <w:rsid w:val="00DF4B59"/>
    <w:rsid w:val="00DF5714"/>
    <w:rsid w:val="00DF5EB2"/>
    <w:rsid w:val="00DF681E"/>
    <w:rsid w:val="00DF6836"/>
    <w:rsid w:val="00E00A15"/>
    <w:rsid w:val="00E00A2B"/>
    <w:rsid w:val="00E00D87"/>
    <w:rsid w:val="00E013F1"/>
    <w:rsid w:val="00E027F3"/>
    <w:rsid w:val="00E0294F"/>
    <w:rsid w:val="00E032DD"/>
    <w:rsid w:val="00E03533"/>
    <w:rsid w:val="00E0362D"/>
    <w:rsid w:val="00E036AA"/>
    <w:rsid w:val="00E03A33"/>
    <w:rsid w:val="00E05674"/>
    <w:rsid w:val="00E075E7"/>
    <w:rsid w:val="00E07CB8"/>
    <w:rsid w:val="00E07F02"/>
    <w:rsid w:val="00E10712"/>
    <w:rsid w:val="00E13763"/>
    <w:rsid w:val="00E17EC8"/>
    <w:rsid w:val="00E17FAA"/>
    <w:rsid w:val="00E203F3"/>
    <w:rsid w:val="00E21102"/>
    <w:rsid w:val="00E211D9"/>
    <w:rsid w:val="00E214B8"/>
    <w:rsid w:val="00E236D4"/>
    <w:rsid w:val="00E23E58"/>
    <w:rsid w:val="00E24026"/>
    <w:rsid w:val="00E24C8A"/>
    <w:rsid w:val="00E264F9"/>
    <w:rsid w:val="00E26F04"/>
    <w:rsid w:val="00E27548"/>
    <w:rsid w:val="00E27C39"/>
    <w:rsid w:val="00E31935"/>
    <w:rsid w:val="00E33043"/>
    <w:rsid w:val="00E33211"/>
    <w:rsid w:val="00E337E7"/>
    <w:rsid w:val="00E36B04"/>
    <w:rsid w:val="00E37886"/>
    <w:rsid w:val="00E37BD2"/>
    <w:rsid w:val="00E40F74"/>
    <w:rsid w:val="00E47905"/>
    <w:rsid w:val="00E4792B"/>
    <w:rsid w:val="00E51C41"/>
    <w:rsid w:val="00E52E9E"/>
    <w:rsid w:val="00E5304A"/>
    <w:rsid w:val="00E53644"/>
    <w:rsid w:val="00E53AA7"/>
    <w:rsid w:val="00E544A1"/>
    <w:rsid w:val="00E5462B"/>
    <w:rsid w:val="00E55275"/>
    <w:rsid w:val="00E5542F"/>
    <w:rsid w:val="00E567CB"/>
    <w:rsid w:val="00E57110"/>
    <w:rsid w:val="00E577D3"/>
    <w:rsid w:val="00E57928"/>
    <w:rsid w:val="00E60FC8"/>
    <w:rsid w:val="00E63BBC"/>
    <w:rsid w:val="00E6437E"/>
    <w:rsid w:val="00E65102"/>
    <w:rsid w:val="00E651A3"/>
    <w:rsid w:val="00E651DE"/>
    <w:rsid w:val="00E666C1"/>
    <w:rsid w:val="00E66C6F"/>
    <w:rsid w:val="00E702BA"/>
    <w:rsid w:val="00E70A5E"/>
    <w:rsid w:val="00E72307"/>
    <w:rsid w:val="00E72EB0"/>
    <w:rsid w:val="00E73D9F"/>
    <w:rsid w:val="00E74B0A"/>
    <w:rsid w:val="00E74C12"/>
    <w:rsid w:val="00E75BCB"/>
    <w:rsid w:val="00E75CCF"/>
    <w:rsid w:val="00E76174"/>
    <w:rsid w:val="00E7627C"/>
    <w:rsid w:val="00E764C2"/>
    <w:rsid w:val="00E80144"/>
    <w:rsid w:val="00E80584"/>
    <w:rsid w:val="00E810FC"/>
    <w:rsid w:val="00E817A2"/>
    <w:rsid w:val="00E821D8"/>
    <w:rsid w:val="00E82487"/>
    <w:rsid w:val="00E82B03"/>
    <w:rsid w:val="00E83CC8"/>
    <w:rsid w:val="00E84728"/>
    <w:rsid w:val="00E84CB8"/>
    <w:rsid w:val="00E84EE0"/>
    <w:rsid w:val="00E8549C"/>
    <w:rsid w:val="00E8610D"/>
    <w:rsid w:val="00E8680C"/>
    <w:rsid w:val="00E8692E"/>
    <w:rsid w:val="00E90C78"/>
    <w:rsid w:val="00E9147A"/>
    <w:rsid w:val="00E91C99"/>
    <w:rsid w:val="00E91E27"/>
    <w:rsid w:val="00E92020"/>
    <w:rsid w:val="00E9281F"/>
    <w:rsid w:val="00E9440E"/>
    <w:rsid w:val="00E94945"/>
    <w:rsid w:val="00E94A60"/>
    <w:rsid w:val="00E95868"/>
    <w:rsid w:val="00E95987"/>
    <w:rsid w:val="00E96583"/>
    <w:rsid w:val="00E97382"/>
    <w:rsid w:val="00E974A7"/>
    <w:rsid w:val="00E97567"/>
    <w:rsid w:val="00EA22D5"/>
    <w:rsid w:val="00EA33CB"/>
    <w:rsid w:val="00EA40DA"/>
    <w:rsid w:val="00EA5D05"/>
    <w:rsid w:val="00EA5EA9"/>
    <w:rsid w:val="00EA6751"/>
    <w:rsid w:val="00EA7640"/>
    <w:rsid w:val="00EB083A"/>
    <w:rsid w:val="00EB084D"/>
    <w:rsid w:val="00EB0E2D"/>
    <w:rsid w:val="00EB408D"/>
    <w:rsid w:val="00EB4482"/>
    <w:rsid w:val="00EB49A5"/>
    <w:rsid w:val="00EB5496"/>
    <w:rsid w:val="00EB5C55"/>
    <w:rsid w:val="00EB5D16"/>
    <w:rsid w:val="00EB5E9B"/>
    <w:rsid w:val="00EB6181"/>
    <w:rsid w:val="00EB7160"/>
    <w:rsid w:val="00EB7CE3"/>
    <w:rsid w:val="00EC248D"/>
    <w:rsid w:val="00EC309A"/>
    <w:rsid w:val="00EC4125"/>
    <w:rsid w:val="00EC4648"/>
    <w:rsid w:val="00EC4B3B"/>
    <w:rsid w:val="00EC74AD"/>
    <w:rsid w:val="00EC7A05"/>
    <w:rsid w:val="00ED0FC0"/>
    <w:rsid w:val="00ED17DF"/>
    <w:rsid w:val="00ED2B78"/>
    <w:rsid w:val="00ED335E"/>
    <w:rsid w:val="00ED5E0D"/>
    <w:rsid w:val="00ED61D8"/>
    <w:rsid w:val="00ED645C"/>
    <w:rsid w:val="00ED64F0"/>
    <w:rsid w:val="00ED678E"/>
    <w:rsid w:val="00ED6916"/>
    <w:rsid w:val="00ED72CE"/>
    <w:rsid w:val="00ED7A5F"/>
    <w:rsid w:val="00ED7E34"/>
    <w:rsid w:val="00ED7F42"/>
    <w:rsid w:val="00EE0228"/>
    <w:rsid w:val="00EE1CD9"/>
    <w:rsid w:val="00EE22FB"/>
    <w:rsid w:val="00EE435F"/>
    <w:rsid w:val="00EE5683"/>
    <w:rsid w:val="00EE66E0"/>
    <w:rsid w:val="00EE74DF"/>
    <w:rsid w:val="00EE777A"/>
    <w:rsid w:val="00EE7B54"/>
    <w:rsid w:val="00EF1239"/>
    <w:rsid w:val="00EF12B8"/>
    <w:rsid w:val="00EF1E51"/>
    <w:rsid w:val="00EF1FB2"/>
    <w:rsid w:val="00EF3558"/>
    <w:rsid w:val="00EF4AF8"/>
    <w:rsid w:val="00EF5035"/>
    <w:rsid w:val="00F00700"/>
    <w:rsid w:val="00F0204D"/>
    <w:rsid w:val="00F03E8D"/>
    <w:rsid w:val="00F049A0"/>
    <w:rsid w:val="00F0528A"/>
    <w:rsid w:val="00F062AF"/>
    <w:rsid w:val="00F06960"/>
    <w:rsid w:val="00F06D09"/>
    <w:rsid w:val="00F0713D"/>
    <w:rsid w:val="00F077E2"/>
    <w:rsid w:val="00F101F2"/>
    <w:rsid w:val="00F104FE"/>
    <w:rsid w:val="00F10B30"/>
    <w:rsid w:val="00F11144"/>
    <w:rsid w:val="00F11EEB"/>
    <w:rsid w:val="00F11F41"/>
    <w:rsid w:val="00F12B2C"/>
    <w:rsid w:val="00F12CB3"/>
    <w:rsid w:val="00F12FF6"/>
    <w:rsid w:val="00F13B16"/>
    <w:rsid w:val="00F147DF"/>
    <w:rsid w:val="00F14C9B"/>
    <w:rsid w:val="00F205E8"/>
    <w:rsid w:val="00F2299B"/>
    <w:rsid w:val="00F247C3"/>
    <w:rsid w:val="00F25C9C"/>
    <w:rsid w:val="00F30031"/>
    <w:rsid w:val="00F312EE"/>
    <w:rsid w:val="00F31615"/>
    <w:rsid w:val="00F34312"/>
    <w:rsid w:val="00F34491"/>
    <w:rsid w:val="00F3464A"/>
    <w:rsid w:val="00F35ECF"/>
    <w:rsid w:val="00F37B3A"/>
    <w:rsid w:val="00F43211"/>
    <w:rsid w:val="00F4336F"/>
    <w:rsid w:val="00F437F0"/>
    <w:rsid w:val="00F44297"/>
    <w:rsid w:val="00F44D42"/>
    <w:rsid w:val="00F472CC"/>
    <w:rsid w:val="00F5015C"/>
    <w:rsid w:val="00F517FE"/>
    <w:rsid w:val="00F5252A"/>
    <w:rsid w:val="00F52B06"/>
    <w:rsid w:val="00F545F3"/>
    <w:rsid w:val="00F54728"/>
    <w:rsid w:val="00F55025"/>
    <w:rsid w:val="00F55229"/>
    <w:rsid w:val="00F556B7"/>
    <w:rsid w:val="00F5651F"/>
    <w:rsid w:val="00F56F34"/>
    <w:rsid w:val="00F57028"/>
    <w:rsid w:val="00F5769D"/>
    <w:rsid w:val="00F61806"/>
    <w:rsid w:val="00F632BB"/>
    <w:rsid w:val="00F6503B"/>
    <w:rsid w:val="00F65107"/>
    <w:rsid w:val="00F651A0"/>
    <w:rsid w:val="00F6557A"/>
    <w:rsid w:val="00F6592D"/>
    <w:rsid w:val="00F665D4"/>
    <w:rsid w:val="00F70B87"/>
    <w:rsid w:val="00F72547"/>
    <w:rsid w:val="00F742C9"/>
    <w:rsid w:val="00F75BFF"/>
    <w:rsid w:val="00F8193B"/>
    <w:rsid w:val="00F81C11"/>
    <w:rsid w:val="00F83188"/>
    <w:rsid w:val="00F837BB"/>
    <w:rsid w:val="00F83E3C"/>
    <w:rsid w:val="00F853BF"/>
    <w:rsid w:val="00F8597D"/>
    <w:rsid w:val="00F85C3F"/>
    <w:rsid w:val="00F86020"/>
    <w:rsid w:val="00F871A3"/>
    <w:rsid w:val="00F87CB7"/>
    <w:rsid w:val="00F906C0"/>
    <w:rsid w:val="00F92104"/>
    <w:rsid w:val="00F93DEC"/>
    <w:rsid w:val="00F940F4"/>
    <w:rsid w:val="00F943C4"/>
    <w:rsid w:val="00F97DA6"/>
    <w:rsid w:val="00FA01C6"/>
    <w:rsid w:val="00FA01C8"/>
    <w:rsid w:val="00FA1735"/>
    <w:rsid w:val="00FA23E0"/>
    <w:rsid w:val="00FA4290"/>
    <w:rsid w:val="00FA449A"/>
    <w:rsid w:val="00FA6BA4"/>
    <w:rsid w:val="00FA7063"/>
    <w:rsid w:val="00FA7135"/>
    <w:rsid w:val="00FA79B3"/>
    <w:rsid w:val="00FB0FBD"/>
    <w:rsid w:val="00FB360E"/>
    <w:rsid w:val="00FB4B87"/>
    <w:rsid w:val="00FB544A"/>
    <w:rsid w:val="00FB7DAD"/>
    <w:rsid w:val="00FC0700"/>
    <w:rsid w:val="00FC0B9A"/>
    <w:rsid w:val="00FC0BB1"/>
    <w:rsid w:val="00FC2784"/>
    <w:rsid w:val="00FC27DF"/>
    <w:rsid w:val="00FC2F6E"/>
    <w:rsid w:val="00FC2FA5"/>
    <w:rsid w:val="00FC36DC"/>
    <w:rsid w:val="00FC3C8B"/>
    <w:rsid w:val="00FC3CDA"/>
    <w:rsid w:val="00FC4DB4"/>
    <w:rsid w:val="00FC611D"/>
    <w:rsid w:val="00FC7134"/>
    <w:rsid w:val="00FC7EAB"/>
    <w:rsid w:val="00FD02FB"/>
    <w:rsid w:val="00FD213A"/>
    <w:rsid w:val="00FD30C8"/>
    <w:rsid w:val="00FD37B4"/>
    <w:rsid w:val="00FD3AB3"/>
    <w:rsid w:val="00FD3BC9"/>
    <w:rsid w:val="00FD47F7"/>
    <w:rsid w:val="00FD5861"/>
    <w:rsid w:val="00FD5A33"/>
    <w:rsid w:val="00FD5F80"/>
    <w:rsid w:val="00FD6745"/>
    <w:rsid w:val="00FD6CC6"/>
    <w:rsid w:val="00FE0BEA"/>
    <w:rsid w:val="00FE0DA3"/>
    <w:rsid w:val="00FE1C93"/>
    <w:rsid w:val="00FE1D1E"/>
    <w:rsid w:val="00FE6992"/>
    <w:rsid w:val="00FE7315"/>
    <w:rsid w:val="00FF03AD"/>
    <w:rsid w:val="00FF2D7D"/>
    <w:rsid w:val="00FF3905"/>
    <w:rsid w:val="00FF4C60"/>
    <w:rsid w:val="00FF5608"/>
    <w:rsid w:val="00FF5CBB"/>
    <w:rsid w:val="00FF6082"/>
    <w:rsid w:val="00FF763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ECC"/>
    <w:rPr>
      <w:sz w:val="24"/>
      <w:szCs w:val="24"/>
    </w:rPr>
  </w:style>
  <w:style w:type="paragraph" w:styleId="Heading1">
    <w:name w:val="heading 1"/>
    <w:basedOn w:val="Normal"/>
    <w:next w:val="Normal"/>
    <w:link w:val="Heading1Char"/>
    <w:uiPriority w:val="99"/>
    <w:qFormat/>
    <w:rsid w:val="00024559"/>
    <w:pPr>
      <w:keepNext/>
      <w:tabs>
        <w:tab w:val="num" w:pos="432"/>
      </w:tabs>
      <w:suppressAutoHyphens/>
      <w:ind w:left="432" w:hanging="432"/>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024559"/>
    <w:pPr>
      <w:keepNext/>
      <w:tabs>
        <w:tab w:val="num" w:pos="576"/>
      </w:tabs>
      <w:suppressAutoHyphens/>
      <w:spacing w:before="240" w:after="60"/>
      <w:ind w:left="576" w:hanging="576"/>
      <w:outlineLvl w:val="1"/>
    </w:pPr>
    <w:rPr>
      <w:rFonts w:ascii="Cambria" w:hAnsi="Cambria"/>
      <w:b/>
      <w:bCs/>
      <w:i/>
      <w:iCs/>
      <w:sz w:val="28"/>
      <w:szCs w:val="28"/>
    </w:rPr>
  </w:style>
  <w:style w:type="paragraph" w:styleId="Heading3">
    <w:name w:val="heading 3"/>
    <w:basedOn w:val="Normal"/>
    <w:next w:val="Normal"/>
    <w:link w:val="Heading3Char"/>
    <w:uiPriority w:val="99"/>
    <w:qFormat/>
    <w:rsid w:val="00024559"/>
    <w:pPr>
      <w:keepNext/>
      <w:tabs>
        <w:tab w:val="num" w:pos="720"/>
      </w:tabs>
      <w:suppressAutoHyphens/>
      <w:spacing w:before="240" w:after="60"/>
      <w:ind w:left="720" w:hanging="72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C3D1C"/>
    <w:rPr>
      <w:rFonts w:ascii="Cambria" w:hAnsi="Cambria" w:cs="Cambria"/>
      <w:b/>
      <w:bCs/>
      <w:kern w:val="32"/>
      <w:sz w:val="32"/>
      <w:szCs w:val="32"/>
    </w:rPr>
  </w:style>
  <w:style w:type="character" w:customStyle="1" w:styleId="Heading2Char">
    <w:name w:val="Heading 2 Char"/>
    <w:link w:val="Heading2"/>
    <w:uiPriority w:val="99"/>
    <w:semiHidden/>
    <w:locked/>
    <w:rsid w:val="009C3D1C"/>
    <w:rPr>
      <w:rFonts w:ascii="Cambria" w:hAnsi="Cambria" w:cs="Cambria"/>
      <w:b/>
      <w:bCs/>
      <w:i/>
      <w:iCs/>
      <w:sz w:val="28"/>
      <w:szCs w:val="28"/>
    </w:rPr>
  </w:style>
  <w:style w:type="character" w:customStyle="1" w:styleId="Heading3Char">
    <w:name w:val="Heading 3 Char"/>
    <w:link w:val="Heading3"/>
    <w:uiPriority w:val="99"/>
    <w:locked/>
    <w:rsid w:val="009C3D1C"/>
    <w:rPr>
      <w:rFonts w:ascii="Cambria" w:hAnsi="Cambria" w:cs="Cambria"/>
      <w:b/>
      <w:bCs/>
      <w:sz w:val="26"/>
      <w:szCs w:val="26"/>
    </w:rPr>
  </w:style>
  <w:style w:type="table" w:styleId="TableGrid">
    <w:name w:val="Table Grid"/>
    <w:basedOn w:val="TableNormal"/>
    <w:uiPriority w:val="99"/>
    <w:rsid w:val="00197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D0799D"/>
    <w:rPr>
      <w:sz w:val="20"/>
      <w:szCs w:val="20"/>
    </w:rPr>
  </w:style>
  <w:style w:type="character" w:customStyle="1" w:styleId="FootnoteTextChar">
    <w:name w:val="Footnote Text Char"/>
    <w:link w:val="FootnoteText"/>
    <w:uiPriority w:val="99"/>
    <w:semiHidden/>
    <w:locked/>
    <w:rsid w:val="00522063"/>
    <w:rPr>
      <w:lang w:val="tr-TR" w:eastAsia="tr-TR"/>
    </w:rPr>
  </w:style>
  <w:style w:type="character" w:styleId="FootnoteReference">
    <w:name w:val="footnote reference"/>
    <w:uiPriority w:val="99"/>
    <w:semiHidden/>
    <w:rsid w:val="00D0799D"/>
    <w:rPr>
      <w:vertAlign w:val="superscript"/>
    </w:rPr>
  </w:style>
  <w:style w:type="character" w:styleId="Hyperlink">
    <w:name w:val="Hyperlink"/>
    <w:uiPriority w:val="99"/>
    <w:rsid w:val="007522D9"/>
    <w:rPr>
      <w:color w:val="0000FF"/>
      <w:u w:val="single"/>
    </w:rPr>
  </w:style>
  <w:style w:type="paragraph" w:styleId="Footer">
    <w:name w:val="footer"/>
    <w:basedOn w:val="Normal"/>
    <w:link w:val="FooterChar"/>
    <w:uiPriority w:val="99"/>
    <w:rsid w:val="007B51E3"/>
    <w:pPr>
      <w:tabs>
        <w:tab w:val="center" w:pos="4536"/>
        <w:tab w:val="right" w:pos="9072"/>
      </w:tabs>
    </w:pPr>
  </w:style>
  <w:style w:type="character" w:customStyle="1" w:styleId="FooterChar">
    <w:name w:val="Footer Char"/>
    <w:link w:val="Footer"/>
    <w:uiPriority w:val="99"/>
    <w:semiHidden/>
    <w:locked/>
    <w:rsid w:val="009C3D1C"/>
    <w:rPr>
      <w:sz w:val="24"/>
      <w:szCs w:val="24"/>
    </w:rPr>
  </w:style>
  <w:style w:type="character" w:styleId="PageNumber">
    <w:name w:val="page number"/>
    <w:basedOn w:val="DefaultParagraphFont"/>
    <w:uiPriority w:val="99"/>
    <w:rsid w:val="007B51E3"/>
  </w:style>
  <w:style w:type="paragraph" w:styleId="Header">
    <w:name w:val="header"/>
    <w:basedOn w:val="Normal"/>
    <w:link w:val="HeaderChar"/>
    <w:uiPriority w:val="99"/>
    <w:rsid w:val="007B51E3"/>
    <w:pPr>
      <w:tabs>
        <w:tab w:val="center" w:pos="4536"/>
        <w:tab w:val="right" w:pos="9072"/>
      </w:tabs>
    </w:pPr>
  </w:style>
  <w:style w:type="character" w:customStyle="1" w:styleId="HeaderChar">
    <w:name w:val="Header Char"/>
    <w:link w:val="Header"/>
    <w:uiPriority w:val="99"/>
    <w:semiHidden/>
    <w:locked/>
    <w:rsid w:val="009C3D1C"/>
    <w:rPr>
      <w:sz w:val="24"/>
      <w:szCs w:val="24"/>
    </w:rPr>
  </w:style>
  <w:style w:type="paragraph" w:styleId="BalloonText">
    <w:name w:val="Balloon Text"/>
    <w:basedOn w:val="Normal"/>
    <w:link w:val="BalloonTextChar"/>
    <w:uiPriority w:val="99"/>
    <w:semiHidden/>
    <w:rsid w:val="00526CC9"/>
    <w:rPr>
      <w:sz w:val="2"/>
      <w:szCs w:val="2"/>
    </w:rPr>
  </w:style>
  <w:style w:type="character" w:customStyle="1" w:styleId="BalloonTextChar">
    <w:name w:val="Balloon Text Char"/>
    <w:link w:val="BalloonText"/>
    <w:uiPriority w:val="99"/>
    <w:semiHidden/>
    <w:locked/>
    <w:rsid w:val="009C3D1C"/>
    <w:rPr>
      <w:sz w:val="2"/>
      <w:szCs w:val="2"/>
    </w:rPr>
  </w:style>
  <w:style w:type="character" w:styleId="LineNumber">
    <w:name w:val="line number"/>
    <w:basedOn w:val="DefaultParagraphFont"/>
    <w:uiPriority w:val="99"/>
    <w:semiHidden/>
    <w:rsid w:val="000F0C2B"/>
  </w:style>
  <w:style w:type="paragraph" w:styleId="ListParagraph">
    <w:name w:val="List Paragraph"/>
    <w:basedOn w:val="Normal"/>
    <w:uiPriority w:val="99"/>
    <w:qFormat/>
    <w:rsid w:val="000B612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ECC"/>
    <w:rPr>
      <w:sz w:val="24"/>
      <w:szCs w:val="24"/>
    </w:rPr>
  </w:style>
  <w:style w:type="paragraph" w:styleId="Heading1">
    <w:name w:val="heading 1"/>
    <w:basedOn w:val="Normal"/>
    <w:next w:val="Normal"/>
    <w:link w:val="Heading1Char"/>
    <w:uiPriority w:val="99"/>
    <w:qFormat/>
    <w:rsid w:val="00024559"/>
    <w:pPr>
      <w:keepNext/>
      <w:tabs>
        <w:tab w:val="num" w:pos="432"/>
      </w:tabs>
      <w:suppressAutoHyphens/>
      <w:ind w:left="432" w:hanging="432"/>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024559"/>
    <w:pPr>
      <w:keepNext/>
      <w:tabs>
        <w:tab w:val="num" w:pos="576"/>
      </w:tabs>
      <w:suppressAutoHyphens/>
      <w:spacing w:before="240" w:after="60"/>
      <w:ind w:left="576" w:hanging="576"/>
      <w:outlineLvl w:val="1"/>
    </w:pPr>
    <w:rPr>
      <w:rFonts w:ascii="Cambria" w:hAnsi="Cambria"/>
      <w:b/>
      <w:bCs/>
      <w:i/>
      <w:iCs/>
      <w:sz w:val="28"/>
      <w:szCs w:val="28"/>
    </w:rPr>
  </w:style>
  <w:style w:type="paragraph" w:styleId="Heading3">
    <w:name w:val="heading 3"/>
    <w:basedOn w:val="Normal"/>
    <w:next w:val="Normal"/>
    <w:link w:val="Heading3Char"/>
    <w:uiPriority w:val="99"/>
    <w:qFormat/>
    <w:rsid w:val="00024559"/>
    <w:pPr>
      <w:keepNext/>
      <w:tabs>
        <w:tab w:val="num" w:pos="720"/>
      </w:tabs>
      <w:suppressAutoHyphens/>
      <w:spacing w:before="240" w:after="60"/>
      <w:ind w:left="720" w:hanging="72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C3D1C"/>
    <w:rPr>
      <w:rFonts w:ascii="Cambria" w:hAnsi="Cambria" w:cs="Cambria"/>
      <w:b/>
      <w:bCs/>
      <w:kern w:val="32"/>
      <w:sz w:val="32"/>
      <w:szCs w:val="32"/>
    </w:rPr>
  </w:style>
  <w:style w:type="character" w:customStyle="1" w:styleId="Heading2Char">
    <w:name w:val="Heading 2 Char"/>
    <w:link w:val="Heading2"/>
    <w:uiPriority w:val="99"/>
    <w:semiHidden/>
    <w:locked/>
    <w:rsid w:val="009C3D1C"/>
    <w:rPr>
      <w:rFonts w:ascii="Cambria" w:hAnsi="Cambria" w:cs="Cambria"/>
      <w:b/>
      <w:bCs/>
      <w:i/>
      <w:iCs/>
      <w:sz w:val="28"/>
      <w:szCs w:val="28"/>
    </w:rPr>
  </w:style>
  <w:style w:type="character" w:customStyle="1" w:styleId="Heading3Char">
    <w:name w:val="Heading 3 Char"/>
    <w:link w:val="Heading3"/>
    <w:uiPriority w:val="99"/>
    <w:locked/>
    <w:rsid w:val="009C3D1C"/>
    <w:rPr>
      <w:rFonts w:ascii="Cambria" w:hAnsi="Cambria" w:cs="Cambria"/>
      <w:b/>
      <w:bCs/>
      <w:sz w:val="26"/>
      <w:szCs w:val="26"/>
    </w:rPr>
  </w:style>
  <w:style w:type="table" w:styleId="TableGrid">
    <w:name w:val="Table Grid"/>
    <w:basedOn w:val="TableNormal"/>
    <w:uiPriority w:val="99"/>
    <w:rsid w:val="00197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D0799D"/>
    <w:rPr>
      <w:sz w:val="20"/>
      <w:szCs w:val="20"/>
    </w:rPr>
  </w:style>
  <w:style w:type="character" w:customStyle="1" w:styleId="FootnoteTextChar">
    <w:name w:val="Footnote Text Char"/>
    <w:link w:val="FootnoteText"/>
    <w:uiPriority w:val="99"/>
    <w:semiHidden/>
    <w:locked/>
    <w:rsid w:val="00522063"/>
    <w:rPr>
      <w:lang w:val="tr-TR" w:eastAsia="tr-TR"/>
    </w:rPr>
  </w:style>
  <w:style w:type="character" w:styleId="FootnoteReference">
    <w:name w:val="footnote reference"/>
    <w:uiPriority w:val="99"/>
    <w:semiHidden/>
    <w:rsid w:val="00D0799D"/>
    <w:rPr>
      <w:vertAlign w:val="superscript"/>
    </w:rPr>
  </w:style>
  <w:style w:type="character" w:styleId="Hyperlink">
    <w:name w:val="Hyperlink"/>
    <w:uiPriority w:val="99"/>
    <w:rsid w:val="007522D9"/>
    <w:rPr>
      <w:color w:val="0000FF"/>
      <w:u w:val="single"/>
    </w:rPr>
  </w:style>
  <w:style w:type="paragraph" w:styleId="Footer">
    <w:name w:val="footer"/>
    <w:basedOn w:val="Normal"/>
    <w:link w:val="FooterChar"/>
    <w:uiPriority w:val="99"/>
    <w:rsid w:val="007B51E3"/>
    <w:pPr>
      <w:tabs>
        <w:tab w:val="center" w:pos="4536"/>
        <w:tab w:val="right" w:pos="9072"/>
      </w:tabs>
    </w:pPr>
  </w:style>
  <w:style w:type="character" w:customStyle="1" w:styleId="FooterChar">
    <w:name w:val="Footer Char"/>
    <w:link w:val="Footer"/>
    <w:uiPriority w:val="99"/>
    <w:semiHidden/>
    <w:locked/>
    <w:rsid w:val="009C3D1C"/>
    <w:rPr>
      <w:sz w:val="24"/>
      <w:szCs w:val="24"/>
    </w:rPr>
  </w:style>
  <w:style w:type="character" w:styleId="PageNumber">
    <w:name w:val="page number"/>
    <w:basedOn w:val="DefaultParagraphFont"/>
    <w:uiPriority w:val="99"/>
    <w:rsid w:val="007B51E3"/>
  </w:style>
  <w:style w:type="paragraph" w:styleId="Header">
    <w:name w:val="header"/>
    <w:basedOn w:val="Normal"/>
    <w:link w:val="HeaderChar"/>
    <w:uiPriority w:val="99"/>
    <w:rsid w:val="007B51E3"/>
    <w:pPr>
      <w:tabs>
        <w:tab w:val="center" w:pos="4536"/>
        <w:tab w:val="right" w:pos="9072"/>
      </w:tabs>
    </w:pPr>
  </w:style>
  <w:style w:type="character" w:customStyle="1" w:styleId="HeaderChar">
    <w:name w:val="Header Char"/>
    <w:link w:val="Header"/>
    <w:uiPriority w:val="99"/>
    <w:semiHidden/>
    <w:locked/>
    <w:rsid w:val="009C3D1C"/>
    <w:rPr>
      <w:sz w:val="24"/>
      <w:szCs w:val="24"/>
    </w:rPr>
  </w:style>
  <w:style w:type="paragraph" w:styleId="BalloonText">
    <w:name w:val="Balloon Text"/>
    <w:basedOn w:val="Normal"/>
    <w:link w:val="BalloonTextChar"/>
    <w:uiPriority w:val="99"/>
    <w:semiHidden/>
    <w:rsid w:val="00526CC9"/>
    <w:rPr>
      <w:sz w:val="2"/>
      <w:szCs w:val="2"/>
    </w:rPr>
  </w:style>
  <w:style w:type="character" w:customStyle="1" w:styleId="BalloonTextChar">
    <w:name w:val="Balloon Text Char"/>
    <w:link w:val="BalloonText"/>
    <w:uiPriority w:val="99"/>
    <w:semiHidden/>
    <w:locked/>
    <w:rsid w:val="009C3D1C"/>
    <w:rPr>
      <w:sz w:val="2"/>
      <w:szCs w:val="2"/>
    </w:rPr>
  </w:style>
  <w:style w:type="character" w:styleId="LineNumber">
    <w:name w:val="line number"/>
    <w:basedOn w:val="DefaultParagraphFont"/>
    <w:uiPriority w:val="99"/>
    <w:semiHidden/>
    <w:rsid w:val="000F0C2B"/>
  </w:style>
  <w:style w:type="paragraph" w:styleId="ListParagraph">
    <w:name w:val="List Paragraph"/>
    <w:basedOn w:val="Normal"/>
    <w:uiPriority w:val="99"/>
    <w:qFormat/>
    <w:rsid w:val="000B612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06033">
      <w:marLeft w:val="0"/>
      <w:marRight w:val="0"/>
      <w:marTop w:val="0"/>
      <w:marBottom w:val="0"/>
      <w:divBdr>
        <w:top w:val="none" w:sz="0" w:space="0" w:color="auto"/>
        <w:left w:val="none" w:sz="0" w:space="0" w:color="auto"/>
        <w:bottom w:val="none" w:sz="0" w:space="0" w:color="auto"/>
        <w:right w:val="none" w:sz="0" w:space="0" w:color="auto"/>
      </w:divBdr>
    </w:div>
    <w:div w:id="281806034">
      <w:marLeft w:val="0"/>
      <w:marRight w:val="0"/>
      <w:marTop w:val="0"/>
      <w:marBottom w:val="0"/>
      <w:divBdr>
        <w:top w:val="none" w:sz="0" w:space="0" w:color="auto"/>
        <w:left w:val="none" w:sz="0" w:space="0" w:color="auto"/>
        <w:bottom w:val="none" w:sz="0" w:space="0" w:color="auto"/>
        <w:right w:val="none" w:sz="0" w:space="0" w:color="auto"/>
      </w:divBdr>
    </w:div>
    <w:div w:id="281806035">
      <w:marLeft w:val="0"/>
      <w:marRight w:val="0"/>
      <w:marTop w:val="0"/>
      <w:marBottom w:val="0"/>
      <w:divBdr>
        <w:top w:val="none" w:sz="0" w:space="0" w:color="auto"/>
        <w:left w:val="none" w:sz="0" w:space="0" w:color="auto"/>
        <w:bottom w:val="none" w:sz="0" w:space="0" w:color="auto"/>
        <w:right w:val="none" w:sz="0" w:space="0" w:color="auto"/>
      </w:divBdr>
    </w:div>
    <w:div w:id="66663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mine.durmaz\Desktop\melike.kokk&#305;z&#305;l@eas.bahcsehir.edu.tr" TargetMode="External"/><Relationship Id="rId18"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aris.soybilgen@bahcesehir.edu.tr" TargetMode="Externa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umrut.imamoglu@bahcesehir.edu.tr"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326F89-7CF7-407D-947E-1C4FE9A71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oş</vt:lpstr>
    </vt:vector>
  </TitlesOfParts>
  <Company/>
  <LinksUpToDate>false</LinksUpToDate>
  <CharactersWithSpaces>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oş</dc:title>
  <dc:creator>baris.soybilgen</dc:creator>
  <cp:lastModifiedBy>merve.akgul</cp:lastModifiedBy>
  <cp:revision>2</cp:revision>
  <cp:lastPrinted>2016-03-24T16:31:00Z</cp:lastPrinted>
  <dcterms:created xsi:type="dcterms:W3CDTF">2016-03-25T13:37:00Z</dcterms:created>
  <dcterms:modified xsi:type="dcterms:W3CDTF">2016-03-25T13:37:00Z</dcterms:modified>
</cp:coreProperties>
</file>