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D" w:rsidRPr="00F25559" w:rsidRDefault="001555CE" w:rsidP="00B744FD">
      <w:pPr>
        <w:spacing w:line="276" w:lineRule="auto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66675</wp:posOffset>
                </wp:positionV>
                <wp:extent cx="1478280" cy="43116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C6" w:rsidRPr="00B744FD" w:rsidRDefault="006C51C6" w:rsidP="00B744FD">
                            <w:pPr>
                              <w:pStyle w:val="Heading3"/>
                              <w:jc w:val="center"/>
                              <w:rPr>
                                <w:lang w:val="en-US"/>
                              </w:rPr>
                            </w:pPr>
                            <w:r w:rsidRPr="00B744FD">
                              <w:rPr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4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06.65pt;margin-top:5.25pt;width:116.4pt;height:3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QikAIAACAFAAAOAAAAZHJzL2Uyb0RvYy54bWysVNuO2yAQfa/Uf0C8Z22nTja21lntpamq&#10;ZttK234AwThGxUABx95W/fcOEGcvfamq+gEPMBzOzJzh4nLsBDowY7mSFc7OUoyYpKrmcl/hr182&#10;sxVG1hFZE6Ekq/ADs/hy/frVxaBLNletEjUzCECkLQdd4dY5XSaJpS3riD1TmknYbJTpiIOp2Se1&#10;IQOgdyKZp+kyGZSptVGUWQurt3ETrwN+0zDqPjWNZQ6JCgM3F0YTxp0fk/UFKfeG6JbTIw3yDyw6&#10;wiVceoK6JY6g3vA/oDpOjbKqcWdUdYlqGk5ZiAGiydIX0dy3RLMQCyTH6lOa7P+DpR8Pnw3idYUX&#10;GEnSQYnumOMSfehdb3u08BkatC3B8V6Dqxuv1QiVDtFavVX0m0VS3bRE7tmVMWpoGamBYeZPJk+O&#10;RhzrQXbDnarhKtI7FYDGxnQ+fZAQBOhQqYdTddjoEPVX5uer+Qq2KOzlb7JsGcglpJxOa2PdO6Y6&#10;5I0KG6h+QCeHrXWeDSknF3+ZVYLXGy5EmJj97kYYdCCglE344lmhWxJXg1oAw0bXgPcMQ0iPJJXH&#10;jNfFFYgACPg9H0uQxc8im+fp9byYbZar81m+yRez4jxdzdKsuC6WaV7kt5tfnkGWly2vaya3XLJJ&#10;oln+dxI4NksUVxApGipcLOaLENwz9sewjrGm/gslfJGojjvoWMG7Cq9OTqT0VX8rawiblI5wEe3k&#10;Of2QMsjB9A9ZCRrxsogCceNuBBQvnJ2qH0AtRkExoe7wzIDRKvMDowFatsL2e08Mw0i8l6A439+T&#10;YSZjNxlEUjhaYYdRNG9cfAd6bfi+BeSoaamuQJUND4J5ZAGU/QTaMJA/Phm+z5/Og9fjw7b+DQAA&#10;//8DAFBLAwQUAAYACAAAACEA+ZSV0d4AAAAKAQAADwAAAGRycy9kb3ducmV2LnhtbEyPwU7DMBBE&#10;70j8g7WVuFE7TWlDGqeCIrhWBKRe3XgbR4nXUey24e9xT3BczdPM22I72Z5dcPStIwnJXABDqp1u&#10;qZHw/fX+mAHzQZFWvSOU8IMetuX9XaFy7a70iZcqNCyWkM+VBBPCkHPua4NW+bkbkGJ2cqNVIZ5j&#10;w/WorrHc9nwhxIpb1VJcMGrAncG6q85WQrpfrA/+o3rbDQd87jL/2p3ISPkwm142wAJO4Q+Gm35U&#10;hzI6Hd2ZtGe9hCxJ04jGQDwBuwFiuUqAHSWssyXwsuD/Xyh/AQAA//8DAFBLAQItABQABgAIAAAA&#10;IQC2gziS/gAAAOEBAAATAAAAAAAAAAAAAAAAAAAAAABbQ29udGVudF9UeXBlc10ueG1sUEsBAi0A&#10;FAAGAAgAAAAhADj9If/WAAAAlAEAAAsAAAAAAAAAAAAAAAAALwEAAF9yZWxzLy5yZWxzUEsBAi0A&#10;FAAGAAgAAAAhAB3M9CKQAgAAIAUAAA4AAAAAAAAAAAAAAAAALgIAAGRycy9lMm9Eb2MueG1sUEsB&#10;Ai0AFAAGAAgAAAAhAPmUldHeAAAACgEAAA8AAAAAAAAAAAAAAAAA6gQAAGRycy9kb3ducmV2Lnht&#10;bFBLBQYAAAAABAAEAPMAAAD1BQAAAAA=&#10;" stroked="f">
                <v:fill opacity="0"/>
                <v:textbox inset="0,0,0,0">
                  <w:txbxContent>
                    <w:p w:rsidR="006C51C6" w:rsidRPr="00B744FD" w:rsidRDefault="006C51C6" w:rsidP="00B744FD">
                      <w:pPr>
                        <w:pStyle w:val="Heading3"/>
                        <w:jc w:val="center"/>
                        <w:rPr>
                          <w:lang w:val="en-US"/>
                        </w:rPr>
                      </w:pPr>
                      <w:r w:rsidRPr="00B744FD">
                        <w:rPr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4 January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-612140</wp:posOffset>
                </wp:positionV>
                <wp:extent cx="3963670" cy="46672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C6" w:rsidRPr="00B744FD" w:rsidRDefault="006C51C6" w:rsidP="00B744FD">
                            <w:pPr>
                              <w:pStyle w:val="Heading1"/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744FD">
                              <w:rPr>
                                <w:rFonts w:ascii="Times New Roman" w:hAnsi="Times New Roman"/>
                                <w:sz w:val="52"/>
                                <w:szCs w:val="52"/>
                                <w:lang w:val="en-US"/>
                              </w:rPr>
                              <w:t>Research Brief 16/189</w:t>
                            </w:r>
                          </w:p>
                          <w:p w:rsidR="006C51C6" w:rsidRPr="00B744FD" w:rsidRDefault="006C51C6" w:rsidP="00B744FD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29.65pt;margin-top:-48.2pt;width:312.1pt;height:3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SWkgIAACcFAAAOAAAAZHJzL2Uyb0RvYy54bWysVG1v2yAQ/j5p/wHxPbWduE5s1an6skzT&#10;2m1Stx9AbByjYWCAY7fT/vsOiNNm06Rpmj/gA46Hu+ee4+Jy7DjaU22YFCVOzmKMqKhkzcSuxF8+&#10;b2YrjIwloiZcClriR2rw5fr1q4tBFXQuW8lrqhGACFMMqsSttaqIIlO1tCPmTCoqYLORuiMWpnoX&#10;1ZoMgN7xaB7HWTRIXSstK2oMrN6GTbz2+E1DK/uxaQy1iJcYYrN+1H7cujFaX5Bip4lqWXUIg/xD&#10;FB1hAi49Qt0SS1Cv2W9QHau0NLKxZ5XsItk0rKI+B8gmiX/J5qElivpcgByjjjSZ/wdbfdh/0ojV&#10;JV5gJEgHJbqnlgn0vre96dHCMTQoU4DjgwJXO17LESrtszXqTlZfDRLypiViR6+0lkNLSQ0RJu5k&#10;9OJowDEOZDvcyxquIr2VHmhsdOfoA0IQoEOlHo/VoaNFFSwu8myRLWGrgr00y5bzc38FKabTShv7&#10;lsoOOaPEGqrv0cn+zlgXDSkmF3eZkZzVG8a5n+jd9oZrtCeglI3/wlmuWhJWvVoAwwRXj3eCwYVD&#10;EtJhhuvCCmQAAbg9l4uXxfc8mafx9TyfbbLVcpZu0vNZvoxXszjJr/MsTvP0dvPDRZCkRcvqmoo7&#10;Jugk0ST9OwkcmiWIy4sUDSXOz4E6n/QfGYj9d+D3JMmOWehYzroSr45OpHBVfyNqSJsUljAe7Og0&#10;fE8ZcDD9PSteI04WQSB23I5ekF5ATj9bWT+CaLSEmkL54bUBo5X6CaMBOrfE5ltPNMWIvxMgPNfm&#10;k6EnYzsZRFRwtMQWo2De2PAc9EqzXQvIQdpCXoE4G+Z18xwFRO4m0I0+h8PL4dr95dx7Pb9v658A&#10;AAD//wMAUEsDBBQABgAIAAAAIQBM/n+z3wAAAAsBAAAPAAAAZHJzL2Rvd25yZXYueG1sTI/BTsMw&#10;DIbvSLxDZCRuW0rKRts1nWAIrogyades8ZqqjVM12VbennCCo+1Pv7+/3M52YBecfOdIwsMyAYbU&#10;ON1RK2H/9bbIgPmgSKvBEUr4Rg/b6vamVIV2V/rESx1aFkPIF0qCCWEsOPeNQav80o1I8XZyk1Uh&#10;jlPL9aSuMdwOXCTJmlvVUfxg1Ig7g01fn62E9EM8Hfx7/bobD5j3mX/pT2SkvL+bnzfAAs7hD4Zf&#10;/agOVXQ6ujNpzwYJYpWnEZWwyNePwCKRZekK2DFuhMiBVyX/36H6AQAA//8DAFBLAQItABQABgAI&#10;AAAAIQC2gziS/gAAAOEBAAATAAAAAAAAAAAAAAAAAAAAAABbQ29udGVudF9UeXBlc10ueG1sUEsB&#10;Ai0AFAAGAAgAAAAhADj9If/WAAAAlAEAAAsAAAAAAAAAAAAAAAAALwEAAF9yZWxzLy5yZWxzUEsB&#10;Ai0AFAAGAAgAAAAhAPC11JaSAgAAJwUAAA4AAAAAAAAAAAAAAAAALgIAAGRycy9lMm9Eb2MueG1s&#10;UEsBAi0AFAAGAAgAAAAhAEz+f7PfAAAACwEAAA8AAAAAAAAAAAAAAAAA7AQAAGRycy9kb3ducmV2&#10;LnhtbFBLBQYAAAAABAAEAPMAAAD4BQAAAAA=&#10;" stroked="f">
                <v:fill opacity="0"/>
                <v:textbox inset="0,0,0,0">
                  <w:txbxContent>
                    <w:p w:rsidR="006C51C6" w:rsidRPr="00B744FD" w:rsidRDefault="006C51C6" w:rsidP="00B744FD">
                      <w:pPr>
                        <w:pStyle w:val="Heading1"/>
                        <w:rPr>
                          <w:rFonts w:ascii="Times New Roman" w:hAnsi="Times New Roman"/>
                          <w:sz w:val="52"/>
                          <w:szCs w:val="52"/>
                          <w:lang w:val="en-US"/>
                        </w:rPr>
                      </w:pPr>
                      <w:r w:rsidRPr="00B744FD">
                        <w:rPr>
                          <w:rFonts w:ascii="Times New Roman" w:hAnsi="Times New Roman"/>
                          <w:sz w:val="52"/>
                          <w:szCs w:val="52"/>
                          <w:lang w:val="en-US"/>
                        </w:rPr>
                        <w:t>Research Brief 16/189</w:t>
                      </w:r>
                    </w:p>
                    <w:p w:rsidR="006C51C6" w:rsidRPr="00B744FD" w:rsidRDefault="006C51C6" w:rsidP="00B744FD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4FD" w:rsidRPr="00F25559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-899794</wp:posOffset>
            </wp:positionH>
            <wp:positionV relativeFrom="paragraph">
              <wp:posOffset>-882542</wp:posOffset>
            </wp:positionV>
            <wp:extent cx="7587156" cy="1336675"/>
            <wp:effectExtent l="0" t="0" r="0" b="0"/>
            <wp:wrapNone/>
            <wp:docPr id="1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429" cy="1337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744FD" w:rsidRPr="00F25559" w:rsidRDefault="00B744FD" w:rsidP="00B744FD">
      <w:pPr>
        <w:spacing w:line="276" w:lineRule="auto"/>
      </w:pPr>
    </w:p>
    <w:p w:rsidR="00B744FD" w:rsidRPr="00F25559" w:rsidRDefault="00B744FD" w:rsidP="00B744FD">
      <w:pPr>
        <w:spacing w:line="276" w:lineRule="auto"/>
      </w:pPr>
    </w:p>
    <w:p w:rsidR="00B744FD" w:rsidRPr="00F25559" w:rsidRDefault="00B744FD" w:rsidP="00B744FD">
      <w:pPr>
        <w:spacing w:line="276" w:lineRule="auto"/>
      </w:pPr>
    </w:p>
    <w:p w:rsidR="00B744FD" w:rsidRPr="00F25559" w:rsidRDefault="00B744FD" w:rsidP="00B744FD">
      <w:pPr>
        <w:spacing w:line="276" w:lineRule="auto"/>
      </w:pPr>
    </w:p>
    <w:p w:rsidR="00B744FD" w:rsidRPr="00F25559" w:rsidRDefault="00B744FD" w:rsidP="00B744FD">
      <w:pPr>
        <w:spacing w:line="276" w:lineRule="auto"/>
        <w:jc w:val="center"/>
        <w:rPr>
          <w:b/>
          <w:sz w:val="32"/>
          <w:szCs w:val="32"/>
        </w:rPr>
      </w:pPr>
      <w:r w:rsidRPr="00F25559">
        <w:rPr>
          <w:b/>
          <w:sz w:val="32"/>
          <w:szCs w:val="32"/>
        </w:rPr>
        <w:t xml:space="preserve">REGIONAL EFFECTS OF </w:t>
      </w:r>
      <w:r w:rsidR="00A22047">
        <w:rPr>
          <w:b/>
          <w:sz w:val="32"/>
          <w:szCs w:val="32"/>
        </w:rPr>
        <w:t xml:space="preserve">THE </w:t>
      </w:r>
      <w:r w:rsidRPr="00F25559">
        <w:rPr>
          <w:b/>
          <w:sz w:val="32"/>
          <w:szCs w:val="32"/>
        </w:rPr>
        <w:t xml:space="preserve">MINIMUM WAGE INCREASE </w:t>
      </w:r>
    </w:p>
    <w:p w:rsidR="00B744FD" w:rsidRPr="00F25559" w:rsidRDefault="00B744FD" w:rsidP="00B744FD">
      <w:pPr>
        <w:spacing w:before="120" w:line="276" w:lineRule="auto"/>
        <w:jc w:val="center"/>
        <w:rPr>
          <w:rFonts w:cs="Arial"/>
          <w:b/>
          <w:bCs/>
          <w:sz w:val="20"/>
          <w:szCs w:val="20"/>
        </w:rPr>
      </w:pPr>
      <w:r w:rsidRPr="00F25559">
        <w:rPr>
          <w:rFonts w:cs="Arial"/>
          <w:b/>
          <w:bCs/>
          <w:sz w:val="20"/>
          <w:szCs w:val="20"/>
        </w:rPr>
        <w:t>Seyfettin Gürsel</w:t>
      </w:r>
      <w:r w:rsidRPr="00F25559">
        <w:rPr>
          <w:rStyle w:val="FootnoteReference"/>
          <w:sz w:val="20"/>
          <w:szCs w:val="20"/>
        </w:rPr>
        <w:footnoteReference w:customMarkFollows="1" w:id="1"/>
        <w:t>*</w:t>
      </w:r>
      <w:r w:rsidRPr="00F25559">
        <w:rPr>
          <w:rFonts w:cs="Arial"/>
          <w:b/>
          <w:bCs/>
          <w:sz w:val="20"/>
          <w:szCs w:val="20"/>
        </w:rPr>
        <w:t xml:space="preserve"> Gökçe Uysal</w:t>
      </w:r>
      <w:r w:rsidRPr="00F25559">
        <w:rPr>
          <w:rStyle w:val="FootnoteReference"/>
          <w:sz w:val="20"/>
          <w:szCs w:val="20"/>
        </w:rPr>
        <w:footnoteReference w:customMarkFollows="1" w:id="2"/>
        <w:sym w:font="Symbol" w:char="F02A"/>
      </w:r>
      <w:r w:rsidRPr="00F25559">
        <w:rPr>
          <w:rStyle w:val="FootnoteReference"/>
          <w:sz w:val="20"/>
          <w:szCs w:val="20"/>
        </w:rPr>
        <w:sym w:font="Symbol" w:char="F02A"/>
      </w:r>
      <w:r w:rsidRPr="00F25559">
        <w:rPr>
          <w:rFonts w:cs="Arial"/>
          <w:b/>
          <w:bCs/>
          <w:sz w:val="20"/>
          <w:szCs w:val="20"/>
        </w:rPr>
        <w:t xml:space="preserve"> </w:t>
      </w:r>
      <w:r w:rsidR="00855D9B" w:rsidRPr="00F25559">
        <w:rPr>
          <w:rFonts w:cs="Arial"/>
          <w:b/>
          <w:bCs/>
          <w:sz w:val="20"/>
          <w:szCs w:val="20"/>
        </w:rPr>
        <w:t xml:space="preserve">and </w:t>
      </w:r>
      <w:r w:rsidRPr="00F25559">
        <w:rPr>
          <w:rFonts w:cs="Arial"/>
          <w:b/>
          <w:bCs/>
          <w:sz w:val="20"/>
          <w:szCs w:val="20"/>
        </w:rPr>
        <w:t xml:space="preserve"> Melike Kökkızıl</w:t>
      </w:r>
      <w:r w:rsidRPr="00F25559">
        <w:rPr>
          <w:rStyle w:val="FootnoteReference"/>
          <w:sz w:val="20"/>
          <w:szCs w:val="20"/>
        </w:rPr>
        <w:footnoteReference w:customMarkFollows="1" w:id="3"/>
        <w:sym w:font="Symbol" w:char="F02A"/>
      </w:r>
      <w:r w:rsidRPr="00F25559">
        <w:rPr>
          <w:rStyle w:val="FootnoteReference"/>
          <w:sz w:val="20"/>
          <w:szCs w:val="20"/>
        </w:rPr>
        <w:sym w:font="Symbol" w:char="F02A"/>
      </w:r>
      <w:r w:rsidRPr="00F25559">
        <w:rPr>
          <w:rStyle w:val="FootnoteReference"/>
          <w:sz w:val="20"/>
          <w:szCs w:val="20"/>
        </w:rPr>
        <w:sym w:font="Symbol" w:char="F02A"/>
      </w:r>
    </w:p>
    <w:p w:rsidR="00B744FD" w:rsidRPr="00F25559" w:rsidRDefault="00B744FD" w:rsidP="00B744FD">
      <w:pPr>
        <w:spacing w:line="276" w:lineRule="auto"/>
      </w:pPr>
    </w:p>
    <w:p w:rsidR="00B744FD" w:rsidRPr="00F25559" w:rsidRDefault="00B744FD" w:rsidP="00B744FD">
      <w:pPr>
        <w:spacing w:line="276" w:lineRule="auto"/>
        <w:jc w:val="center"/>
        <w:rPr>
          <w:b/>
        </w:rPr>
      </w:pPr>
      <w:r w:rsidRPr="00F25559">
        <w:rPr>
          <w:b/>
        </w:rPr>
        <w:t>Executive Summary</w:t>
      </w:r>
    </w:p>
    <w:p w:rsidR="00B744FD" w:rsidRPr="00F25559" w:rsidRDefault="00B744FD" w:rsidP="00B744FD">
      <w:pPr>
        <w:spacing w:line="276" w:lineRule="auto"/>
      </w:pPr>
    </w:p>
    <w:p w:rsidR="00B744FD" w:rsidRPr="00F25559" w:rsidRDefault="00B744FD" w:rsidP="00FF6174">
      <w:pPr>
        <w:spacing w:after="200" w:line="276" w:lineRule="auto"/>
        <w:jc w:val="both"/>
        <w:rPr>
          <w:rFonts w:eastAsiaTheme="minorEastAsia"/>
          <w:bCs/>
          <w:sz w:val="22"/>
          <w:szCs w:val="22"/>
          <w:lang w:eastAsia="tr-TR"/>
        </w:rPr>
      </w:pPr>
      <w:r w:rsidRPr="00F25559">
        <w:rPr>
          <w:rFonts w:eastAsiaTheme="minorEastAsia"/>
          <w:bCs/>
          <w:sz w:val="22"/>
          <w:szCs w:val="22"/>
          <w:lang w:eastAsia="tr-TR"/>
        </w:rPr>
        <w:t>Th</w:t>
      </w:r>
      <w:r w:rsidR="00575A12" w:rsidRPr="00F25559">
        <w:rPr>
          <w:rFonts w:eastAsiaTheme="minorEastAsia"/>
          <w:bCs/>
          <w:sz w:val="22"/>
          <w:szCs w:val="22"/>
          <w:lang w:eastAsia="tr-TR"/>
        </w:rPr>
        <w:t>is</w:t>
      </w:r>
      <w:r w:rsidRPr="00F25559">
        <w:rPr>
          <w:rFonts w:eastAsiaTheme="minorEastAsia"/>
          <w:bCs/>
          <w:sz w:val="22"/>
          <w:szCs w:val="22"/>
          <w:lang w:eastAsia="tr-TR"/>
        </w:rPr>
        <w:t xml:space="preserve"> research brief aims to estimate </w:t>
      </w:r>
      <w:r w:rsidR="00EA68A8">
        <w:rPr>
          <w:rFonts w:eastAsiaTheme="minorEastAsia"/>
          <w:bCs/>
          <w:sz w:val="22"/>
          <w:szCs w:val="22"/>
          <w:lang w:eastAsia="tr-TR"/>
        </w:rPr>
        <w:t xml:space="preserve">the </w:t>
      </w:r>
      <w:r w:rsidRPr="00F25559">
        <w:rPr>
          <w:rFonts w:eastAsiaTheme="minorEastAsia"/>
          <w:bCs/>
          <w:sz w:val="22"/>
          <w:szCs w:val="22"/>
          <w:lang w:eastAsia="tr-TR"/>
        </w:rPr>
        <w:t xml:space="preserve">possible effects of </w:t>
      </w:r>
      <w:r w:rsidR="00AC2FF5">
        <w:rPr>
          <w:rFonts w:eastAsiaTheme="minorEastAsia"/>
          <w:bCs/>
          <w:sz w:val="22"/>
          <w:szCs w:val="22"/>
          <w:lang w:eastAsia="tr-TR"/>
        </w:rPr>
        <w:t xml:space="preserve">a relatively high increase </w:t>
      </w:r>
      <w:r w:rsidRPr="00F25559">
        <w:rPr>
          <w:rFonts w:eastAsiaTheme="minorEastAsia"/>
          <w:bCs/>
          <w:sz w:val="22"/>
          <w:szCs w:val="22"/>
          <w:lang w:eastAsia="tr-TR"/>
        </w:rPr>
        <w:t>in minimum wage</w:t>
      </w:r>
      <w:r w:rsidR="00AC2FF5">
        <w:rPr>
          <w:rFonts w:eastAsiaTheme="minorEastAsia"/>
          <w:bCs/>
          <w:sz w:val="22"/>
          <w:szCs w:val="22"/>
          <w:lang w:eastAsia="tr-TR"/>
        </w:rPr>
        <w:t>s</w:t>
      </w:r>
      <w:r w:rsidRPr="00F25559">
        <w:rPr>
          <w:rFonts w:eastAsiaTheme="minorEastAsia"/>
          <w:bCs/>
          <w:sz w:val="22"/>
          <w:szCs w:val="22"/>
          <w:lang w:eastAsia="tr-TR"/>
        </w:rPr>
        <w:t xml:space="preserve"> to wage distribution</w:t>
      </w:r>
      <w:r w:rsidR="00575A12" w:rsidRPr="00F25559">
        <w:rPr>
          <w:rFonts w:eastAsiaTheme="minorEastAsia"/>
          <w:bCs/>
          <w:sz w:val="22"/>
          <w:szCs w:val="22"/>
          <w:lang w:eastAsia="tr-TR"/>
        </w:rPr>
        <w:t xml:space="preserve">. The </w:t>
      </w:r>
      <w:r w:rsidR="00F3285C">
        <w:rPr>
          <w:rFonts w:eastAsiaTheme="minorEastAsia"/>
          <w:bCs/>
          <w:sz w:val="22"/>
          <w:szCs w:val="22"/>
          <w:lang w:eastAsia="tr-TR"/>
        </w:rPr>
        <w:t>2013</w:t>
      </w:r>
      <w:r w:rsidR="00575A12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165C4C">
        <w:rPr>
          <w:rFonts w:eastAsiaTheme="minorEastAsia"/>
          <w:bCs/>
          <w:sz w:val="22"/>
          <w:szCs w:val="22"/>
          <w:lang w:eastAsia="tr-TR"/>
        </w:rPr>
        <w:t>micro dataset of Household Labo</w:t>
      </w:r>
      <w:r w:rsidR="00575A12" w:rsidRPr="00F25559">
        <w:rPr>
          <w:rFonts w:eastAsiaTheme="minorEastAsia"/>
          <w:bCs/>
          <w:sz w:val="22"/>
          <w:szCs w:val="22"/>
          <w:lang w:eastAsia="tr-TR"/>
        </w:rPr>
        <w:t xml:space="preserve">r Survey </w:t>
      </w:r>
      <w:r w:rsidR="00F3285C">
        <w:rPr>
          <w:rFonts w:eastAsiaTheme="minorEastAsia"/>
          <w:bCs/>
          <w:sz w:val="22"/>
          <w:szCs w:val="22"/>
          <w:lang w:eastAsia="tr-TR"/>
        </w:rPr>
        <w:t>was used in the analysis. The earning data indicates that, by</w:t>
      </w:r>
      <w:r w:rsidR="003567F2">
        <w:rPr>
          <w:rFonts w:eastAsiaTheme="minorEastAsia"/>
          <w:bCs/>
          <w:sz w:val="22"/>
          <w:szCs w:val="22"/>
          <w:lang w:eastAsia="tr-TR"/>
        </w:rPr>
        <w:t xml:space="preserve"> November of 2015</w:t>
      </w:r>
      <w:r w:rsidR="00F3285C">
        <w:rPr>
          <w:rFonts w:eastAsiaTheme="minorEastAsia"/>
          <w:bCs/>
          <w:sz w:val="22"/>
          <w:szCs w:val="22"/>
          <w:lang w:eastAsia="tr-TR"/>
        </w:rPr>
        <w:t>,</w:t>
      </w:r>
      <w:r w:rsidR="003567F2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447E0D" w:rsidRPr="00F25559">
        <w:rPr>
          <w:rFonts w:eastAsiaTheme="minorEastAsia"/>
          <w:bCs/>
          <w:sz w:val="22"/>
          <w:szCs w:val="22"/>
          <w:lang w:eastAsia="tr-TR"/>
        </w:rPr>
        <w:t xml:space="preserve">57.3 percent of </w:t>
      </w:r>
      <w:r w:rsidR="006A6896" w:rsidRPr="00F25559">
        <w:rPr>
          <w:rFonts w:eastAsiaTheme="minorEastAsia"/>
          <w:bCs/>
          <w:sz w:val="22"/>
          <w:szCs w:val="22"/>
          <w:lang w:eastAsia="tr-TR"/>
        </w:rPr>
        <w:t>formal, full-time wage-earners working in private s</w:t>
      </w:r>
      <w:r w:rsidR="009C0D41" w:rsidRPr="00F25559">
        <w:rPr>
          <w:rFonts w:eastAsiaTheme="minorEastAsia"/>
          <w:bCs/>
          <w:sz w:val="22"/>
          <w:szCs w:val="22"/>
          <w:lang w:eastAsia="tr-TR"/>
        </w:rPr>
        <w:t xml:space="preserve">ector, </w:t>
      </w:r>
      <w:r w:rsidR="00F3285C">
        <w:rPr>
          <w:rFonts w:eastAsiaTheme="minorEastAsia"/>
          <w:bCs/>
          <w:sz w:val="22"/>
          <w:szCs w:val="22"/>
          <w:lang w:eastAsia="tr-TR"/>
        </w:rPr>
        <w:t>i.e.</w:t>
      </w:r>
      <w:r w:rsidR="009C0D41" w:rsidRPr="00F25559">
        <w:rPr>
          <w:rFonts w:eastAsiaTheme="minorEastAsia"/>
          <w:bCs/>
          <w:sz w:val="22"/>
          <w:szCs w:val="22"/>
          <w:lang w:eastAsia="tr-TR"/>
        </w:rPr>
        <w:t xml:space="preserve"> more than half of the wage-earners in Turkey a</w:t>
      </w:r>
      <w:r w:rsidR="00C21750">
        <w:rPr>
          <w:rFonts w:eastAsiaTheme="minorEastAsia"/>
          <w:bCs/>
          <w:sz w:val="22"/>
          <w:szCs w:val="22"/>
          <w:lang w:eastAsia="tr-TR"/>
        </w:rPr>
        <w:t>re receiving a monthly salary</w:t>
      </w:r>
      <w:r w:rsidR="009C0D41" w:rsidRPr="00F25559">
        <w:rPr>
          <w:rFonts w:eastAsiaTheme="minorEastAsia"/>
          <w:bCs/>
          <w:sz w:val="22"/>
          <w:szCs w:val="22"/>
          <w:lang w:eastAsia="tr-TR"/>
        </w:rPr>
        <w:t xml:space="preserve"> less than </w:t>
      </w:r>
      <w:r w:rsidR="00E83B68" w:rsidRPr="00F25559">
        <w:rPr>
          <w:rFonts w:eastAsiaTheme="minorEastAsia"/>
          <w:bCs/>
          <w:sz w:val="22"/>
          <w:szCs w:val="22"/>
          <w:lang w:eastAsia="tr-TR"/>
        </w:rPr>
        <w:t>expected net minimum wage.</w:t>
      </w:r>
      <w:r w:rsidR="00AA3552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2F2AE5" w:rsidRPr="00F25559">
        <w:rPr>
          <w:rFonts w:eastAsiaTheme="minorEastAsia"/>
          <w:bCs/>
          <w:sz w:val="22"/>
          <w:szCs w:val="22"/>
          <w:lang w:eastAsia="tr-TR"/>
        </w:rPr>
        <w:t xml:space="preserve">When the regional disparities in </w:t>
      </w:r>
      <w:r w:rsidR="00C21750">
        <w:rPr>
          <w:rFonts w:eastAsiaTheme="minorEastAsia"/>
          <w:bCs/>
          <w:sz w:val="22"/>
          <w:szCs w:val="22"/>
          <w:lang w:eastAsia="tr-TR"/>
        </w:rPr>
        <w:t>the labor market are</w:t>
      </w:r>
      <w:r w:rsidR="002F2AE5" w:rsidRPr="00F25559">
        <w:rPr>
          <w:rFonts w:eastAsiaTheme="minorEastAsia"/>
          <w:bCs/>
          <w:sz w:val="22"/>
          <w:szCs w:val="22"/>
          <w:lang w:eastAsia="tr-TR"/>
        </w:rPr>
        <w:t xml:space="preserve"> considered, </w:t>
      </w:r>
      <w:r w:rsidR="00FA7BF2">
        <w:rPr>
          <w:rFonts w:eastAsiaTheme="minorEastAsia"/>
          <w:bCs/>
          <w:sz w:val="22"/>
          <w:szCs w:val="22"/>
          <w:lang w:eastAsia="tr-TR"/>
        </w:rPr>
        <w:t xml:space="preserve">the </w:t>
      </w:r>
      <w:r w:rsidR="00857A65" w:rsidRPr="00F25559">
        <w:rPr>
          <w:rFonts w:eastAsiaTheme="minorEastAsia"/>
          <w:bCs/>
          <w:sz w:val="22"/>
          <w:szCs w:val="22"/>
          <w:lang w:eastAsia="tr-TR"/>
        </w:rPr>
        <w:t xml:space="preserve">wage shock is expected to </w:t>
      </w:r>
      <w:r w:rsidR="00FA7BF2">
        <w:rPr>
          <w:rFonts w:eastAsiaTheme="minorEastAsia"/>
          <w:bCs/>
          <w:sz w:val="22"/>
          <w:szCs w:val="22"/>
          <w:lang w:eastAsia="tr-TR"/>
        </w:rPr>
        <w:t>increase</w:t>
      </w:r>
      <w:r w:rsidR="003567F2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857A65" w:rsidRPr="00F25559">
        <w:rPr>
          <w:rFonts w:eastAsiaTheme="minorEastAsia"/>
          <w:bCs/>
          <w:sz w:val="22"/>
          <w:szCs w:val="22"/>
          <w:lang w:eastAsia="tr-TR"/>
        </w:rPr>
        <w:t xml:space="preserve">average wages </w:t>
      </w:r>
      <w:r w:rsidR="00FA7BF2" w:rsidRPr="00F25559">
        <w:rPr>
          <w:rFonts w:eastAsiaTheme="minorEastAsia"/>
          <w:bCs/>
          <w:sz w:val="22"/>
          <w:szCs w:val="22"/>
          <w:lang w:eastAsia="tr-TR"/>
        </w:rPr>
        <w:t>moderate</w:t>
      </w:r>
      <w:r w:rsidR="00FA7BF2">
        <w:rPr>
          <w:rFonts w:eastAsiaTheme="minorEastAsia"/>
          <w:bCs/>
          <w:sz w:val="22"/>
          <w:szCs w:val="22"/>
          <w:lang w:eastAsia="tr-TR"/>
        </w:rPr>
        <w:t>ly</w:t>
      </w:r>
      <w:r w:rsidR="00FA7BF2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FA7BF2">
        <w:rPr>
          <w:rFonts w:eastAsiaTheme="minorEastAsia"/>
          <w:bCs/>
          <w:sz w:val="22"/>
          <w:szCs w:val="22"/>
          <w:lang w:eastAsia="tr-TR"/>
        </w:rPr>
        <w:t>in</w:t>
      </w:r>
      <w:r w:rsidR="00857A65" w:rsidRPr="00F25559">
        <w:rPr>
          <w:rFonts w:eastAsiaTheme="minorEastAsia"/>
          <w:bCs/>
          <w:sz w:val="22"/>
          <w:szCs w:val="22"/>
          <w:lang w:eastAsia="tr-TR"/>
        </w:rPr>
        <w:t xml:space="preserve"> certain regions (high-wage regions) and</w:t>
      </w:r>
      <w:r w:rsidR="00FC3F17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794889" w:rsidRPr="00F25559">
        <w:rPr>
          <w:rFonts w:eastAsiaTheme="minorEastAsia"/>
          <w:bCs/>
          <w:sz w:val="22"/>
          <w:szCs w:val="22"/>
          <w:lang w:eastAsia="tr-TR"/>
        </w:rPr>
        <w:t>significant</w:t>
      </w:r>
      <w:r w:rsidR="00FA7BF2">
        <w:rPr>
          <w:rFonts w:eastAsiaTheme="minorEastAsia"/>
          <w:bCs/>
          <w:sz w:val="22"/>
          <w:szCs w:val="22"/>
          <w:lang w:eastAsia="tr-TR"/>
        </w:rPr>
        <w:t>ly</w:t>
      </w:r>
      <w:r w:rsidR="00794889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FA7BF2">
        <w:rPr>
          <w:rFonts w:eastAsiaTheme="minorEastAsia"/>
          <w:bCs/>
          <w:sz w:val="22"/>
          <w:szCs w:val="22"/>
          <w:lang w:eastAsia="tr-TR"/>
        </w:rPr>
        <w:t>in</w:t>
      </w:r>
      <w:r w:rsidR="00794889" w:rsidRPr="00F25559">
        <w:rPr>
          <w:rFonts w:eastAsiaTheme="minorEastAsia"/>
          <w:bCs/>
          <w:sz w:val="22"/>
          <w:szCs w:val="22"/>
          <w:lang w:eastAsia="tr-TR"/>
        </w:rPr>
        <w:t xml:space="preserve"> the other</w:t>
      </w:r>
      <w:r w:rsidR="00FA7BF2">
        <w:rPr>
          <w:rFonts w:eastAsiaTheme="minorEastAsia"/>
          <w:bCs/>
          <w:sz w:val="22"/>
          <w:szCs w:val="22"/>
          <w:lang w:eastAsia="tr-TR"/>
        </w:rPr>
        <w:t>s</w:t>
      </w:r>
      <w:r w:rsidR="00794889" w:rsidRPr="00F25559">
        <w:rPr>
          <w:rFonts w:eastAsiaTheme="minorEastAsia"/>
          <w:bCs/>
          <w:sz w:val="22"/>
          <w:szCs w:val="22"/>
          <w:lang w:eastAsia="tr-TR"/>
        </w:rPr>
        <w:t xml:space="preserve">. </w:t>
      </w:r>
      <w:r w:rsidR="006C51C6">
        <w:rPr>
          <w:rFonts w:eastAsiaTheme="minorEastAsia"/>
          <w:bCs/>
          <w:sz w:val="22"/>
          <w:szCs w:val="22"/>
          <w:lang w:eastAsia="tr-TR"/>
        </w:rPr>
        <w:t>When the minimum wage increases to</w:t>
      </w:r>
      <w:r w:rsidR="00362E96" w:rsidRPr="00F25559">
        <w:rPr>
          <w:rFonts w:eastAsiaTheme="minorEastAsia"/>
          <w:bCs/>
          <w:sz w:val="22"/>
          <w:szCs w:val="22"/>
          <w:lang w:eastAsia="tr-TR"/>
        </w:rPr>
        <w:t xml:space="preserve"> 1300</w:t>
      </w:r>
      <w:r w:rsidR="006C51C6">
        <w:rPr>
          <w:rFonts w:eastAsiaTheme="minorEastAsia"/>
          <w:bCs/>
          <w:sz w:val="22"/>
          <w:szCs w:val="22"/>
          <w:lang w:eastAsia="tr-TR"/>
        </w:rPr>
        <w:t xml:space="preserve"> TL</w:t>
      </w:r>
      <w:r w:rsidR="00362E96" w:rsidRPr="00F25559">
        <w:rPr>
          <w:rFonts w:eastAsiaTheme="minorEastAsia"/>
          <w:bCs/>
          <w:sz w:val="22"/>
          <w:szCs w:val="22"/>
          <w:lang w:eastAsia="tr-TR"/>
        </w:rPr>
        <w:t xml:space="preserve">, </w:t>
      </w:r>
      <w:r w:rsidR="006C51C6">
        <w:rPr>
          <w:rFonts w:eastAsiaTheme="minorEastAsia"/>
          <w:bCs/>
          <w:sz w:val="22"/>
          <w:szCs w:val="22"/>
          <w:lang w:eastAsia="tr-TR"/>
        </w:rPr>
        <w:t xml:space="preserve">the regional median wages are expected to rise to 1300 TL, except in Istanbul and Ankara. </w:t>
      </w:r>
      <w:r w:rsidR="00EB2207" w:rsidRPr="00F25559">
        <w:rPr>
          <w:rFonts w:eastAsiaTheme="minorEastAsia"/>
          <w:bCs/>
          <w:sz w:val="22"/>
          <w:szCs w:val="22"/>
          <w:lang w:eastAsia="tr-TR"/>
        </w:rPr>
        <w:t xml:space="preserve">In other words, </w:t>
      </w:r>
      <w:r w:rsidR="006C51C6">
        <w:rPr>
          <w:rFonts w:eastAsiaTheme="minorEastAsia"/>
          <w:bCs/>
          <w:sz w:val="22"/>
          <w:szCs w:val="22"/>
          <w:lang w:eastAsia="tr-TR"/>
        </w:rPr>
        <w:t xml:space="preserve">we expect a considerable increase in the wages and </w:t>
      </w:r>
      <w:r w:rsidR="00FF6174">
        <w:rPr>
          <w:rFonts w:eastAsiaTheme="minorEastAsia"/>
          <w:bCs/>
          <w:sz w:val="22"/>
          <w:szCs w:val="22"/>
          <w:lang w:eastAsia="tr-TR"/>
        </w:rPr>
        <w:t xml:space="preserve">this increase to have an effect on </w:t>
      </w:r>
      <w:r w:rsidR="005112B3" w:rsidRPr="00F25559">
        <w:rPr>
          <w:rFonts w:eastAsiaTheme="minorEastAsia"/>
          <w:bCs/>
          <w:sz w:val="22"/>
          <w:szCs w:val="22"/>
          <w:lang w:eastAsia="tr-TR"/>
        </w:rPr>
        <w:t>more than half of formal and full-time wage-earners working in private s</w:t>
      </w:r>
      <w:r w:rsidR="005E15C6" w:rsidRPr="00F25559">
        <w:rPr>
          <w:rFonts w:eastAsiaTheme="minorEastAsia"/>
          <w:bCs/>
          <w:sz w:val="22"/>
          <w:szCs w:val="22"/>
          <w:lang w:eastAsia="tr-TR"/>
        </w:rPr>
        <w:t xml:space="preserve">ector. No doubt that in Turkey, which has low rates of labor force participation, </w:t>
      </w:r>
      <w:r w:rsidR="008F43C3">
        <w:rPr>
          <w:rFonts w:eastAsiaTheme="minorEastAsia"/>
          <w:bCs/>
          <w:sz w:val="22"/>
          <w:szCs w:val="22"/>
          <w:lang w:eastAsia="tr-TR"/>
        </w:rPr>
        <w:t xml:space="preserve">the </w:t>
      </w:r>
      <w:r w:rsidR="005E15C6" w:rsidRPr="00F25559">
        <w:rPr>
          <w:rFonts w:eastAsiaTheme="minorEastAsia"/>
          <w:bCs/>
          <w:sz w:val="22"/>
          <w:szCs w:val="22"/>
          <w:lang w:eastAsia="tr-TR"/>
        </w:rPr>
        <w:t xml:space="preserve">minimum wage hike will encourage </w:t>
      </w:r>
      <w:r w:rsidR="00B82FD6">
        <w:rPr>
          <w:rFonts w:eastAsiaTheme="minorEastAsia"/>
          <w:bCs/>
          <w:sz w:val="22"/>
          <w:szCs w:val="22"/>
          <w:lang w:eastAsia="tr-TR"/>
        </w:rPr>
        <w:t>participation</w:t>
      </w:r>
      <w:r w:rsidR="005E15C6" w:rsidRPr="00F25559">
        <w:rPr>
          <w:rFonts w:eastAsiaTheme="minorEastAsia"/>
          <w:bCs/>
          <w:sz w:val="22"/>
          <w:szCs w:val="22"/>
          <w:lang w:eastAsia="tr-TR"/>
        </w:rPr>
        <w:t xml:space="preserve"> in</w:t>
      </w:r>
      <w:r w:rsidR="006C183B">
        <w:rPr>
          <w:rFonts w:eastAsiaTheme="minorEastAsia"/>
          <w:bCs/>
          <w:sz w:val="22"/>
          <w:szCs w:val="22"/>
          <w:lang w:eastAsia="tr-TR"/>
        </w:rPr>
        <w:t xml:space="preserve"> the</w:t>
      </w:r>
      <w:r w:rsidR="005E15C6" w:rsidRPr="00F25559">
        <w:rPr>
          <w:rFonts w:eastAsiaTheme="minorEastAsia"/>
          <w:bCs/>
          <w:sz w:val="22"/>
          <w:szCs w:val="22"/>
          <w:lang w:eastAsia="tr-TR"/>
        </w:rPr>
        <w:t xml:space="preserve"> labor force. </w:t>
      </w:r>
      <w:r w:rsidR="008572BA">
        <w:rPr>
          <w:rFonts w:eastAsiaTheme="minorEastAsia"/>
          <w:bCs/>
          <w:sz w:val="22"/>
          <w:szCs w:val="22"/>
          <w:lang w:eastAsia="tr-TR"/>
        </w:rPr>
        <w:t>On</w:t>
      </w:r>
      <w:r w:rsidR="005E15C6" w:rsidRPr="00F25559">
        <w:rPr>
          <w:rFonts w:eastAsiaTheme="minorEastAsia"/>
          <w:bCs/>
          <w:sz w:val="22"/>
          <w:szCs w:val="22"/>
          <w:lang w:eastAsia="tr-TR"/>
        </w:rPr>
        <w:t xml:space="preserve"> the other hand, </w:t>
      </w:r>
      <w:r w:rsidR="005E3AFF" w:rsidRPr="00F25559">
        <w:rPr>
          <w:rFonts w:eastAsiaTheme="minorEastAsia"/>
          <w:bCs/>
          <w:sz w:val="22"/>
          <w:szCs w:val="22"/>
          <w:lang w:eastAsia="tr-TR"/>
        </w:rPr>
        <w:t xml:space="preserve">increases in labor costs </w:t>
      </w:r>
      <w:r w:rsidR="00357787">
        <w:rPr>
          <w:rFonts w:eastAsiaTheme="minorEastAsia"/>
          <w:bCs/>
          <w:sz w:val="22"/>
          <w:szCs w:val="22"/>
          <w:lang w:eastAsia="tr-TR"/>
        </w:rPr>
        <w:t xml:space="preserve">following the minimum wage hike </w:t>
      </w:r>
      <w:r w:rsidR="008572BA">
        <w:rPr>
          <w:rFonts w:eastAsiaTheme="minorEastAsia"/>
          <w:bCs/>
          <w:sz w:val="22"/>
          <w:szCs w:val="22"/>
          <w:lang w:eastAsia="tr-TR"/>
        </w:rPr>
        <w:t xml:space="preserve">will also strengthen firms' incentives to create informal employment. </w:t>
      </w:r>
    </w:p>
    <w:p w:rsidR="00CD0EA4" w:rsidRPr="00F25559" w:rsidRDefault="00133C7E" w:rsidP="00B744FD">
      <w:pPr>
        <w:spacing w:line="276" w:lineRule="auto"/>
        <w:rPr>
          <w:b/>
        </w:rPr>
      </w:pPr>
      <w:r>
        <w:rPr>
          <w:b/>
        </w:rPr>
        <w:t>M</w:t>
      </w:r>
      <w:r w:rsidR="00CD0EA4" w:rsidRPr="00F25559">
        <w:rPr>
          <w:b/>
        </w:rPr>
        <w:t xml:space="preserve">inimum wage </w:t>
      </w:r>
      <w:r>
        <w:rPr>
          <w:b/>
        </w:rPr>
        <w:t>debate</w:t>
      </w:r>
    </w:p>
    <w:p w:rsidR="00B744FD" w:rsidRPr="00F25559" w:rsidRDefault="00B744FD" w:rsidP="00B744FD">
      <w:pPr>
        <w:spacing w:line="276" w:lineRule="auto"/>
      </w:pPr>
    </w:p>
    <w:p w:rsidR="0094349D" w:rsidRDefault="00CD0EA4" w:rsidP="00B744FD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t>By the 1</w:t>
      </w:r>
      <w:r w:rsidRPr="00F25559">
        <w:rPr>
          <w:sz w:val="22"/>
          <w:szCs w:val="22"/>
          <w:vertAlign w:val="superscript"/>
        </w:rPr>
        <w:t>th</w:t>
      </w:r>
      <w:r w:rsidRPr="00F25559">
        <w:rPr>
          <w:sz w:val="22"/>
          <w:szCs w:val="22"/>
        </w:rPr>
        <w:t xml:space="preserve"> of January, net minimum wage has be</w:t>
      </w:r>
      <w:r w:rsidR="00A1717E">
        <w:rPr>
          <w:sz w:val="22"/>
          <w:szCs w:val="22"/>
        </w:rPr>
        <w:t xml:space="preserve">en increased by 30 per cent to </w:t>
      </w:r>
      <w:r w:rsidRPr="00F25559">
        <w:rPr>
          <w:sz w:val="22"/>
          <w:szCs w:val="22"/>
        </w:rPr>
        <w:t>1300</w:t>
      </w:r>
      <w:r w:rsidR="00A1717E">
        <w:rPr>
          <w:sz w:val="22"/>
          <w:szCs w:val="22"/>
        </w:rPr>
        <w:t xml:space="preserve"> TL</w:t>
      </w:r>
      <w:r w:rsidRPr="00F25559">
        <w:rPr>
          <w:sz w:val="22"/>
          <w:szCs w:val="22"/>
        </w:rPr>
        <w:t>. Gross mi</w:t>
      </w:r>
      <w:r w:rsidR="003D576C">
        <w:rPr>
          <w:sz w:val="22"/>
          <w:szCs w:val="22"/>
        </w:rPr>
        <w:t xml:space="preserve">nimum wage has increased from </w:t>
      </w:r>
      <w:r w:rsidRPr="00F25559">
        <w:rPr>
          <w:sz w:val="22"/>
          <w:szCs w:val="22"/>
        </w:rPr>
        <w:t xml:space="preserve">1274 </w:t>
      </w:r>
      <w:r w:rsidR="003D576C">
        <w:rPr>
          <w:sz w:val="22"/>
          <w:szCs w:val="22"/>
        </w:rPr>
        <w:t xml:space="preserve">TL </w:t>
      </w:r>
      <w:r w:rsidRPr="00F25559">
        <w:rPr>
          <w:sz w:val="22"/>
          <w:szCs w:val="22"/>
        </w:rPr>
        <w:t>to 1647</w:t>
      </w:r>
      <w:r w:rsidR="003D576C">
        <w:rPr>
          <w:sz w:val="22"/>
          <w:szCs w:val="22"/>
        </w:rPr>
        <w:t xml:space="preserve"> TL</w:t>
      </w:r>
      <w:r w:rsidR="00A801CD">
        <w:rPr>
          <w:sz w:val="22"/>
          <w:szCs w:val="22"/>
        </w:rPr>
        <w:t>.</w:t>
      </w:r>
      <w:r w:rsidRPr="00F25559">
        <w:rPr>
          <w:rStyle w:val="FootnoteReference"/>
          <w:sz w:val="22"/>
          <w:szCs w:val="22"/>
        </w:rPr>
        <w:footnoteReference w:id="4"/>
      </w:r>
      <w:r w:rsidR="000F4DC1" w:rsidRPr="00F25559">
        <w:rPr>
          <w:sz w:val="22"/>
          <w:szCs w:val="22"/>
        </w:rPr>
        <w:t xml:space="preserve"> </w:t>
      </w:r>
      <w:r w:rsidR="00AA3552" w:rsidRPr="00F25559">
        <w:rPr>
          <w:sz w:val="22"/>
          <w:szCs w:val="22"/>
        </w:rPr>
        <w:t xml:space="preserve"> </w:t>
      </w:r>
      <w:r w:rsidR="00E95810">
        <w:rPr>
          <w:sz w:val="22"/>
          <w:szCs w:val="22"/>
        </w:rPr>
        <w:t>S</w:t>
      </w:r>
      <w:r w:rsidR="00AA3552" w:rsidRPr="00F25559">
        <w:rPr>
          <w:sz w:val="22"/>
          <w:szCs w:val="22"/>
        </w:rPr>
        <w:t xml:space="preserve">uggesting that </w:t>
      </w:r>
      <w:r w:rsidR="00CA7402" w:rsidRPr="00F25559">
        <w:rPr>
          <w:sz w:val="22"/>
          <w:szCs w:val="22"/>
        </w:rPr>
        <w:t>they cannot bear the cost</w:t>
      </w:r>
      <w:r w:rsidR="00E95810">
        <w:rPr>
          <w:sz w:val="22"/>
          <w:szCs w:val="22"/>
        </w:rPr>
        <w:t>s</w:t>
      </w:r>
      <w:r w:rsidR="00CA7402" w:rsidRPr="00F25559">
        <w:rPr>
          <w:sz w:val="22"/>
          <w:szCs w:val="22"/>
        </w:rPr>
        <w:t xml:space="preserve"> of this </w:t>
      </w:r>
      <w:r w:rsidR="00E95810">
        <w:rPr>
          <w:sz w:val="22"/>
          <w:szCs w:val="22"/>
        </w:rPr>
        <w:t xml:space="preserve">large </w:t>
      </w:r>
      <w:r w:rsidR="00CA7402" w:rsidRPr="00F25559">
        <w:rPr>
          <w:sz w:val="22"/>
          <w:szCs w:val="22"/>
        </w:rPr>
        <w:t>rise in minimum wage</w:t>
      </w:r>
      <w:r w:rsidR="00E95810">
        <w:rPr>
          <w:sz w:val="22"/>
          <w:szCs w:val="22"/>
        </w:rPr>
        <w:t>, firms</w:t>
      </w:r>
      <w:r w:rsidR="00315A7A" w:rsidRPr="00F25559">
        <w:rPr>
          <w:sz w:val="22"/>
          <w:szCs w:val="22"/>
        </w:rPr>
        <w:t xml:space="preserve"> </w:t>
      </w:r>
      <w:r w:rsidR="00E95810">
        <w:rPr>
          <w:sz w:val="22"/>
          <w:szCs w:val="22"/>
        </w:rPr>
        <w:t>had been requesting</w:t>
      </w:r>
      <w:r w:rsidR="00315A7A" w:rsidRPr="00F25559">
        <w:rPr>
          <w:sz w:val="22"/>
          <w:szCs w:val="22"/>
        </w:rPr>
        <w:t xml:space="preserve"> </w:t>
      </w:r>
      <w:r w:rsidR="00E95810">
        <w:rPr>
          <w:sz w:val="22"/>
          <w:szCs w:val="22"/>
        </w:rPr>
        <w:t>help</w:t>
      </w:r>
      <w:r w:rsidR="0046414F" w:rsidRPr="00F25559">
        <w:rPr>
          <w:sz w:val="22"/>
          <w:szCs w:val="22"/>
        </w:rPr>
        <w:t xml:space="preserve"> from the government for </w:t>
      </w:r>
      <w:r w:rsidR="00E95810">
        <w:rPr>
          <w:sz w:val="22"/>
          <w:szCs w:val="22"/>
        </w:rPr>
        <w:t>some time</w:t>
      </w:r>
      <w:r w:rsidR="0046414F" w:rsidRPr="00F25559">
        <w:rPr>
          <w:sz w:val="22"/>
          <w:szCs w:val="22"/>
        </w:rPr>
        <w:t>.</w:t>
      </w:r>
      <w:r w:rsidR="001470E7" w:rsidRPr="00F25559">
        <w:rPr>
          <w:sz w:val="22"/>
          <w:szCs w:val="22"/>
        </w:rPr>
        <w:t xml:space="preserve"> Finally, this </w:t>
      </w:r>
      <w:r w:rsidR="00FD46CA">
        <w:rPr>
          <w:sz w:val="22"/>
          <w:szCs w:val="22"/>
        </w:rPr>
        <w:t>help</w:t>
      </w:r>
      <w:r w:rsidR="001470E7" w:rsidRPr="00F25559">
        <w:rPr>
          <w:sz w:val="22"/>
          <w:szCs w:val="22"/>
        </w:rPr>
        <w:t xml:space="preserve"> has </w:t>
      </w:r>
      <w:r w:rsidR="00FD46CA">
        <w:rPr>
          <w:sz w:val="22"/>
          <w:szCs w:val="22"/>
        </w:rPr>
        <w:t>been granted</w:t>
      </w:r>
      <w:r w:rsidR="001470E7" w:rsidRPr="00F25559">
        <w:rPr>
          <w:sz w:val="22"/>
          <w:szCs w:val="22"/>
        </w:rPr>
        <w:t xml:space="preserve">. </w:t>
      </w:r>
      <w:r w:rsidR="003567F2">
        <w:rPr>
          <w:sz w:val="22"/>
          <w:szCs w:val="22"/>
        </w:rPr>
        <w:t>For only</w:t>
      </w:r>
      <w:r w:rsidR="00E77FF8" w:rsidRPr="00F25559">
        <w:rPr>
          <w:sz w:val="22"/>
          <w:szCs w:val="22"/>
        </w:rPr>
        <w:t xml:space="preserve"> year o</w:t>
      </w:r>
      <w:r w:rsidR="00DA4695">
        <w:rPr>
          <w:sz w:val="22"/>
          <w:szCs w:val="22"/>
        </w:rPr>
        <w:t>f 2016, the government will provide</w:t>
      </w:r>
      <w:r w:rsidR="00E77FF8" w:rsidRPr="00F25559">
        <w:rPr>
          <w:sz w:val="22"/>
          <w:szCs w:val="22"/>
        </w:rPr>
        <w:t xml:space="preserve"> </w:t>
      </w:r>
      <w:r w:rsidR="00DA4695" w:rsidRPr="00F25559">
        <w:rPr>
          <w:sz w:val="22"/>
          <w:szCs w:val="22"/>
        </w:rPr>
        <w:t xml:space="preserve">a </w:t>
      </w:r>
      <w:r w:rsidR="00DA4695">
        <w:rPr>
          <w:sz w:val="22"/>
          <w:szCs w:val="22"/>
        </w:rPr>
        <w:t xml:space="preserve">yearlong </w:t>
      </w:r>
      <w:r w:rsidR="00DA4695" w:rsidRPr="00F25559">
        <w:rPr>
          <w:sz w:val="22"/>
          <w:szCs w:val="22"/>
        </w:rPr>
        <w:t xml:space="preserve">subsidy </w:t>
      </w:r>
      <w:r w:rsidR="00DA4695">
        <w:rPr>
          <w:sz w:val="22"/>
          <w:szCs w:val="22"/>
        </w:rPr>
        <w:t xml:space="preserve">of </w:t>
      </w:r>
      <w:r w:rsidR="00E77FF8" w:rsidRPr="00F25559">
        <w:rPr>
          <w:sz w:val="22"/>
          <w:szCs w:val="22"/>
        </w:rPr>
        <w:t>110</w:t>
      </w:r>
      <w:r w:rsidR="00DA4695">
        <w:rPr>
          <w:sz w:val="22"/>
          <w:szCs w:val="22"/>
        </w:rPr>
        <w:t xml:space="preserve"> TL per month</w:t>
      </w:r>
      <w:r w:rsidR="00E77FF8" w:rsidRPr="00F25559">
        <w:rPr>
          <w:sz w:val="22"/>
          <w:szCs w:val="22"/>
        </w:rPr>
        <w:t xml:space="preserve"> </w:t>
      </w:r>
      <w:r w:rsidR="00DA4695">
        <w:rPr>
          <w:sz w:val="22"/>
          <w:szCs w:val="22"/>
        </w:rPr>
        <w:t>for all workers who earn minimum wage</w:t>
      </w:r>
      <w:r w:rsidR="00C41179" w:rsidRPr="00F25559">
        <w:rPr>
          <w:sz w:val="22"/>
          <w:szCs w:val="22"/>
        </w:rPr>
        <w:t xml:space="preserve">. </w:t>
      </w:r>
    </w:p>
    <w:p w:rsidR="0094349D" w:rsidRDefault="0094349D" w:rsidP="00B744FD">
      <w:pPr>
        <w:spacing w:line="276" w:lineRule="auto"/>
        <w:rPr>
          <w:sz w:val="22"/>
          <w:szCs w:val="22"/>
        </w:rPr>
      </w:pPr>
    </w:p>
    <w:p w:rsidR="008A06EE" w:rsidRDefault="00C41179" w:rsidP="00B744FD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t>This research brief</w:t>
      </w:r>
      <w:r w:rsidR="00084903" w:rsidRPr="00F25559">
        <w:rPr>
          <w:sz w:val="22"/>
          <w:szCs w:val="22"/>
        </w:rPr>
        <w:t xml:space="preserve"> aims to </w:t>
      </w:r>
      <w:r w:rsidR="00E76C2A" w:rsidRPr="00F25559">
        <w:rPr>
          <w:sz w:val="22"/>
          <w:szCs w:val="22"/>
        </w:rPr>
        <w:t xml:space="preserve">make an estimation </w:t>
      </w:r>
      <w:r w:rsidR="00041C11" w:rsidRPr="00F25559">
        <w:rPr>
          <w:sz w:val="22"/>
          <w:szCs w:val="22"/>
        </w:rPr>
        <w:t>on the extent of</w:t>
      </w:r>
      <w:r w:rsidR="00F005D5">
        <w:rPr>
          <w:sz w:val="22"/>
          <w:szCs w:val="22"/>
        </w:rPr>
        <w:t xml:space="preserve"> the</w:t>
      </w:r>
      <w:r w:rsidR="00041C11" w:rsidRPr="00F25559">
        <w:rPr>
          <w:sz w:val="22"/>
          <w:szCs w:val="22"/>
        </w:rPr>
        <w:t xml:space="preserve"> wage shock in labor market due to</w:t>
      </w:r>
      <w:r w:rsidR="00F005D5">
        <w:rPr>
          <w:sz w:val="22"/>
          <w:szCs w:val="22"/>
        </w:rPr>
        <w:t xml:space="preserve"> the</w:t>
      </w:r>
      <w:r w:rsidR="00041C11" w:rsidRPr="00F25559">
        <w:rPr>
          <w:sz w:val="22"/>
          <w:szCs w:val="22"/>
        </w:rPr>
        <w:t xml:space="preserve"> minimum wage </w:t>
      </w:r>
      <w:r w:rsidR="00C13F75" w:rsidRPr="00F25559">
        <w:rPr>
          <w:sz w:val="22"/>
          <w:szCs w:val="22"/>
        </w:rPr>
        <w:t>hike.</w:t>
      </w:r>
      <w:r w:rsidR="00E76C2A" w:rsidRPr="00F25559">
        <w:rPr>
          <w:sz w:val="22"/>
          <w:szCs w:val="22"/>
        </w:rPr>
        <w:t xml:space="preserve"> </w:t>
      </w:r>
      <w:r w:rsidR="00B70E0F" w:rsidRPr="00F25559">
        <w:rPr>
          <w:sz w:val="22"/>
          <w:szCs w:val="22"/>
        </w:rPr>
        <w:t xml:space="preserve">Accordingly, </w:t>
      </w:r>
      <w:r w:rsidR="00C8043A" w:rsidRPr="00F25559">
        <w:rPr>
          <w:sz w:val="22"/>
          <w:szCs w:val="22"/>
        </w:rPr>
        <w:t>we wo</w:t>
      </w:r>
      <w:r w:rsidR="009250AF">
        <w:rPr>
          <w:sz w:val="22"/>
          <w:szCs w:val="22"/>
        </w:rPr>
        <w:t>uld like to make some simplifying</w:t>
      </w:r>
      <w:r w:rsidR="00C8043A" w:rsidRPr="00F25559">
        <w:rPr>
          <w:sz w:val="22"/>
          <w:szCs w:val="22"/>
        </w:rPr>
        <w:t xml:space="preserve"> assumptions </w:t>
      </w:r>
      <w:r w:rsidR="00A567DB">
        <w:rPr>
          <w:sz w:val="22"/>
          <w:szCs w:val="22"/>
        </w:rPr>
        <w:t>for</w:t>
      </w:r>
      <w:r w:rsidR="00C8043A" w:rsidRPr="00F25559">
        <w:rPr>
          <w:sz w:val="22"/>
          <w:szCs w:val="22"/>
        </w:rPr>
        <w:t xml:space="preserve"> ease </w:t>
      </w:r>
      <w:r w:rsidR="00A567DB">
        <w:rPr>
          <w:sz w:val="22"/>
          <w:szCs w:val="22"/>
        </w:rPr>
        <w:t>of calculation</w:t>
      </w:r>
      <w:r w:rsidR="00C8043A" w:rsidRPr="00F25559">
        <w:rPr>
          <w:sz w:val="22"/>
          <w:szCs w:val="22"/>
        </w:rPr>
        <w:t xml:space="preserve">. </w:t>
      </w:r>
      <w:r w:rsidR="00946ED8">
        <w:rPr>
          <w:sz w:val="22"/>
          <w:szCs w:val="22"/>
        </w:rPr>
        <w:t xml:space="preserve">We assume that minimum </w:t>
      </w:r>
      <w:r w:rsidR="00BC7DFE" w:rsidRPr="00F25559">
        <w:rPr>
          <w:sz w:val="22"/>
          <w:szCs w:val="22"/>
        </w:rPr>
        <w:t>wage increases w</w:t>
      </w:r>
      <w:r w:rsidR="00BD5A7C" w:rsidRPr="00F25559">
        <w:rPr>
          <w:sz w:val="22"/>
          <w:szCs w:val="22"/>
        </w:rPr>
        <w:t>ill not</w:t>
      </w:r>
      <w:r w:rsidR="00946ED8">
        <w:rPr>
          <w:sz w:val="22"/>
          <w:szCs w:val="22"/>
        </w:rPr>
        <w:t xml:space="preserve"> cause any increases</w:t>
      </w:r>
      <w:r w:rsidR="00BD5A7C" w:rsidRPr="00F25559">
        <w:rPr>
          <w:sz w:val="22"/>
          <w:szCs w:val="22"/>
        </w:rPr>
        <w:t xml:space="preserve"> in</w:t>
      </w:r>
      <w:r w:rsidR="00BC7DFE" w:rsidRPr="00F25559">
        <w:rPr>
          <w:sz w:val="22"/>
          <w:szCs w:val="22"/>
        </w:rPr>
        <w:t xml:space="preserve"> the earnings above </w:t>
      </w:r>
      <w:r w:rsidR="00946ED8">
        <w:rPr>
          <w:sz w:val="22"/>
          <w:szCs w:val="22"/>
        </w:rPr>
        <w:t>the new</w:t>
      </w:r>
      <w:r w:rsidR="00BC7DFE" w:rsidRPr="00F25559">
        <w:rPr>
          <w:sz w:val="22"/>
          <w:szCs w:val="22"/>
        </w:rPr>
        <w:t xml:space="preserve"> minimum wage.</w:t>
      </w:r>
      <w:r w:rsidR="00BD5A7C" w:rsidRPr="00F25559">
        <w:rPr>
          <w:sz w:val="22"/>
          <w:szCs w:val="22"/>
        </w:rPr>
        <w:t xml:space="preserve"> </w:t>
      </w:r>
      <w:r w:rsidR="0094349D">
        <w:rPr>
          <w:sz w:val="22"/>
          <w:szCs w:val="22"/>
        </w:rPr>
        <w:t xml:space="preserve">For example, </w:t>
      </w:r>
      <w:r w:rsidR="005A2780" w:rsidRPr="00F25559">
        <w:rPr>
          <w:sz w:val="22"/>
          <w:szCs w:val="22"/>
        </w:rPr>
        <w:t xml:space="preserve">it is assumed that </w:t>
      </w:r>
      <w:r w:rsidR="000C5AFF" w:rsidRPr="00F25559">
        <w:rPr>
          <w:sz w:val="22"/>
          <w:szCs w:val="22"/>
        </w:rPr>
        <w:t xml:space="preserve">the wage of </w:t>
      </w:r>
      <w:r w:rsidR="005A2780" w:rsidRPr="00F25559">
        <w:rPr>
          <w:sz w:val="22"/>
          <w:szCs w:val="22"/>
        </w:rPr>
        <w:t xml:space="preserve">an individual earning 1400 </w:t>
      </w:r>
      <w:r w:rsidR="00FF2397" w:rsidRPr="00F25559">
        <w:rPr>
          <w:sz w:val="22"/>
          <w:szCs w:val="22"/>
        </w:rPr>
        <w:t xml:space="preserve">TL </w:t>
      </w:r>
      <w:r w:rsidR="005A2780" w:rsidRPr="00F25559">
        <w:rPr>
          <w:sz w:val="22"/>
          <w:szCs w:val="22"/>
        </w:rPr>
        <w:t>in February of 2016 will not be affected by the rise of minimum wage to 1300</w:t>
      </w:r>
      <w:r w:rsidR="00FF2397">
        <w:rPr>
          <w:sz w:val="22"/>
          <w:szCs w:val="22"/>
        </w:rPr>
        <w:t xml:space="preserve"> </w:t>
      </w:r>
      <w:r w:rsidR="00FF2397" w:rsidRPr="00F25559">
        <w:rPr>
          <w:sz w:val="22"/>
          <w:szCs w:val="22"/>
        </w:rPr>
        <w:t>TL</w:t>
      </w:r>
      <w:r w:rsidR="005A2780" w:rsidRPr="00F25559">
        <w:rPr>
          <w:sz w:val="22"/>
          <w:szCs w:val="22"/>
        </w:rPr>
        <w:t>. Hence</w:t>
      </w:r>
      <w:r w:rsidR="00BF00A6">
        <w:rPr>
          <w:sz w:val="22"/>
          <w:szCs w:val="22"/>
        </w:rPr>
        <w:t>, we assume</w:t>
      </w:r>
      <w:r w:rsidR="001A13A5" w:rsidRPr="00F25559">
        <w:rPr>
          <w:sz w:val="22"/>
          <w:szCs w:val="22"/>
        </w:rPr>
        <w:t xml:space="preserve"> that</w:t>
      </w:r>
      <w:r w:rsidR="005A281B">
        <w:rPr>
          <w:sz w:val="22"/>
          <w:szCs w:val="22"/>
        </w:rPr>
        <w:t xml:space="preserve"> the</w:t>
      </w:r>
      <w:r w:rsidR="001A13A5" w:rsidRPr="00F25559">
        <w:rPr>
          <w:sz w:val="22"/>
          <w:szCs w:val="22"/>
        </w:rPr>
        <w:t xml:space="preserve"> hike in minimum wage will only affect the wages between </w:t>
      </w:r>
      <w:r w:rsidR="00917D9F" w:rsidRPr="00F25559">
        <w:rPr>
          <w:sz w:val="22"/>
          <w:szCs w:val="22"/>
        </w:rPr>
        <w:t xml:space="preserve">previous year’s minimum wage and </w:t>
      </w:r>
      <w:r w:rsidR="002514CA">
        <w:rPr>
          <w:sz w:val="22"/>
          <w:szCs w:val="22"/>
        </w:rPr>
        <w:t>the new one</w:t>
      </w:r>
      <w:r w:rsidR="00433C7D" w:rsidRPr="00F25559">
        <w:rPr>
          <w:sz w:val="22"/>
          <w:szCs w:val="22"/>
        </w:rPr>
        <w:t>.</w:t>
      </w:r>
      <w:r w:rsidR="005517E9" w:rsidRPr="00F25559">
        <w:rPr>
          <w:sz w:val="22"/>
          <w:szCs w:val="22"/>
        </w:rPr>
        <w:t xml:space="preserve"> </w:t>
      </w:r>
    </w:p>
    <w:p w:rsidR="00B744FD" w:rsidRDefault="005517E9" w:rsidP="00B744FD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lastRenderedPageBreak/>
        <w:t xml:space="preserve">Likewise, </w:t>
      </w:r>
      <w:r w:rsidR="008A06EE">
        <w:rPr>
          <w:sz w:val="22"/>
          <w:szCs w:val="22"/>
        </w:rPr>
        <w:t>the research brief ignores</w:t>
      </w:r>
      <w:r w:rsidR="00FF1E5C" w:rsidRPr="00F25559">
        <w:rPr>
          <w:sz w:val="22"/>
          <w:szCs w:val="22"/>
        </w:rPr>
        <w:t xml:space="preserve"> the effects of minimum wage hike to wages earned </w:t>
      </w:r>
      <w:r w:rsidR="008A06EE">
        <w:rPr>
          <w:sz w:val="22"/>
          <w:szCs w:val="22"/>
        </w:rPr>
        <w:t>in</w:t>
      </w:r>
      <w:r w:rsidR="00FF1E5C" w:rsidRPr="00F25559">
        <w:rPr>
          <w:sz w:val="22"/>
          <w:szCs w:val="22"/>
        </w:rPr>
        <w:t xml:space="preserve"> informal employment. However, </w:t>
      </w:r>
      <w:r w:rsidR="00727843" w:rsidRPr="00F25559">
        <w:rPr>
          <w:sz w:val="22"/>
          <w:szCs w:val="22"/>
        </w:rPr>
        <w:t xml:space="preserve">minimum wage may have a </w:t>
      </w:r>
      <w:r w:rsidR="002B0DDB">
        <w:rPr>
          <w:sz w:val="22"/>
          <w:szCs w:val="22"/>
        </w:rPr>
        <w:t>lighthouse effect on</w:t>
      </w:r>
      <w:r w:rsidR="00727843" w:rsidRPr="00F25559">
        <w:rPr>
          <w:sz w:val="22"/>
          <w:szCs w:val="22"/>
        </w:rPr>
        <w:t xml:space="preserve"> informal employment as well as formal employment.</w:t>
      </w:r>
      <w:r w:rsidR="00527DF2" w:rsidRPr="00F25559">
        <w:rPr>
          <w:sz w:val="22"/>
          <w:szCs w:val="22"/>
        </w:rPr>
        <w:t xml:space="preserve"> </w:t>
      </w:r>
      <w:r w:rsidR="00CB151F" w:rsidRPr="00F25559">
        <w:rPr>
          <w:sz w:val="22"/>
          <w:szCs w:val="22"/>
        </w:rPr>
        <w:t xml:space="preserve">In other words, </w:t>
      </w:r>
      <w:r w:rsidR="001D5789">
        <w:rPr>
          <w:sz w:val="22"/>
          <w:szCs w:val="22"/>
        </w:rPr>
        <w:t>the</w:t>
      </w:r>
      <w:r w:rsidR="00F75828" w:rsidRPr="00F25559">
        <w:rPr>
          <w:sz w:val="22"/>
          <w:szCs w:val="22"/>
        </w:rPr>
        <w:t xml:space="preserve"> minimum wage hike will</w:t>
      </w:r>
      <w:r w:rsidR="001D5789">
        <w:rPr>
          <w:sz w:val="22"/>
          <w:szCs w:val="22"/>
        </w:rPr>
        <w:t xml:space="preserve"> probably </w:t>
      </w:r>
      <w:r w:rsidR="00F75828" w:rsidRPr="00F25559">
        <w:rPr>
          <w:sz w:val="22"/>
          <w:szCs w:val="22"/>
        </w:rPr>
        <w:t xml:space="preserve">increase wages in the informal </w:t>
      </w:r>
      <w:r w:rsidR="001D5789">
        <w:rPr>
          <w:sz w:val="22"/>
          <w:szCs w:val="22"/>
        </w:rPr>
        <w:t xml:space="preserve">labor </w:t>
      </w:r>
      <w:r w:rsidR="00F75828" w:rsidRPr="00F25559">
        <w:rPr>
          <w:sz w:val="22"/>
          <w:szCs w:val="22"/>
        </w:rPr>
        <w:t xml:space="preserve">market which takes </w:t>
      </w:r>
      <w:r w:rsidR="00AF0967">
        <w:rPr>
          <w:sz w:val="22"/>
          <w:szCs w:val="22"/>
        </w:rPr>
        <w:t xml:space="preserve">the </w:t>
      </w:r>
      <w:r w:rsidR="00F75828" w:rsidRPr="00F25559">
        <w:rPr>
          <w:sz w:val="22"/>
          <w:szCs w:val="22"/>
        </w:rPr>
        <w:t xml:space="preserve">minimum wage as </w:t>
      </w:r>
      <w:r w:rsidR="00AF0967">
        <w:rPr>
          <w:sz w:val="22"/>
          <w:szCs w:val="22"/>
        </w:rPr>
        <w:t>a reference</w:t>
      </w:r>
      <w:r w:rsidR="00160868">
        <w:rPr>
          <w:sz w:val="22"/>
          <w:szCs w:val="22"/>
        </w:rPr>
        <w:t>. Surely, this simplifying</w:t>
      </w:r>
      <w:r w:rsidR="00F75828" w:rsidRPr="00F25559">
        <w:rPr>
          <w:sz w:val="22"/>
          <w:szCs w:val="22"/>
        </w:rPr>
        <w:t xml:space="preserve"> assumptions </w:t>
      </w:r>
      <w:r w:rsidR="0024600F">
        <w:rPr>
          <w:sz w:val="22"/>
          <w:szCs w:val="22"/>
        </w:rPr>
        <w:t>do not hold necessarily</w:t>
      </w:r>
      <w:r w:rsidR="00F75828" w:rsidRPr="00F25559">
        <w:rPr>
          <w:sz w:val="22"/>
          <w:szCs w:val="22"/>
        </w:rPr>
        <w:t xml:space="preserve">. </w:t>
      </w:r>
      <w:r w:rsidR="00E448A0" w:rsidRPr="00F25559">
        <w:rPr>
          <w:sz w:val="22"/>
          <w:szCs w:val="22"/>
        </w:rPr>
        <w:t xml:space="preserve">Therefore, </w:t>
      </w:r>
      <w:r w:rsidR="0024600F">
        <w:rPr>
          <w:sz w:val="22"/>
          <w:szCs w:val="22"/>
        </w:rPr>
        <w:t xml:space="preserve">the estimates in this research brief are more likely to be a lower bound on the wage effects of the minimum wage hike. </w:t>
      </w:r>
    </w:p>
    <w:p w:rsidR="0024600F" w:rsidRPr="00F25559" w:rsidRDefault="0024600F" w:rsidP="00B744FD">
      <w:pPr>
        <w:spacing w:line="276" w:lineRule="auto"/>
        <w:rPr>
          <w:sz w:val="22"/>
          <w:szCs w:val="22"/>
        </w:rPr>
      </w:pPr>
    </w:p>
    <w:p w:rsidR="0091331F" w:rsidRPr="00F25559" w:rsidRDefault="0091331F" w:rsidP="00B744FD">
      <w:pPr>
        <w:spacing w:line="276" w:lineRule="auto"/>
        <w:rPr>
          <w:b/>
        </w:rPr>
      </w:pPr>
      <w:r w:rsidRPr="00F25559">
        <w:rPr>
          <w:b/>
        </w:rPr>
        <w:t>Regional aspects of the effects of minimum wage hike</w:t>
      </w:r>
    </w:p>
    <w:p w:rsidR="00B744FD" w:rsidRPr="00F25559" w:rsidRDefault="00B744FD" w:rsidP="00B744FD">
      <w:pPr>
        <w:spacing w:line="276" w:lineRule="auto"/>
        <w:rPr>
          <w:sz w:val="22"/>
          <w:szCs w:val="22"/>
        </w:rPr>
      </w:pPr>
    </w:p>
    <w:p w:rsidR="000F0B9B" w:rsidRPr="00F25559" w:rsidRDefault="00B659B2" w:rsidP="00B744FD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t xml:space="preserve">In </w:t>
      </w:r>
      <w:r w:rsidR="00AC6BDD">
        <w:rPr>
          <w:sz w:val="22"/>
          <w:szCs w:val="22"/>
        </w:rPr>
        <w:t xml:space="preserve">this </w:t>
      </w:r>
      <w:r w:rsidR="005B18D1" w:rsidRPr="00F25559">
        <w:rPr>
          <w:sz w:val="22"/>
          <w:szCs w:val="22"/>
        </w:rPr>
        <w:t>research brief</w:t>
      </w:r>
      <w:r w:rsidRPr="00F25559">
        <w:rPr>
          <w:sz w:val="22"/>
          <w:szCs w:val="22"/>
        </w:rPr>
        <w:t xml:space="preserve">, </w:t>
      </w:r>
      <w:r w:rsidR="000D1D18">
        <w:rPr>
          <w:sz w:val="22"/>
          <w:szCs w:val="22"/>
        </w:rPr>
        <w:t xml:space="preserve">we use </w:t>
      </w:r>
      <w:r w:rsidR="002F3EAA" w:rsidRPr="00F25559">
        <w:rPr>
          <w:sz w:val="22"/>
          <w:szCs w:val="22"/>
        </w:rPr>
        <w:t xml:space="preserve">the </w:t>
      </w:r>
      <w:r w:rsidRPr="00F25559">
        <w:rPr>
          <w:sz w:val="22"/>
          <w:szCs w:val="22"/>
        </w:rPr>
        <w:t>micro dataset</w:t>
      </w:r>
      <w:r w:rsidR="001028E9" w:rsidRPr="00F25559">
        <w:rPr>
          <w:sz w:val="22"/>
          <w:szCs w:val="22"/>
        </w:rPr>
        <w:t xml:space="preserve"> </w:t>
      </w:r>
      <w:r w:rsidR="006B7915" w:rsidRPr="00F25559">
        <w:rPr>
          <w:sz w:val="22"/>
          <w:szCs w:val="22"/>
        </w:rPr>
        <w:t xml:space="preserve">of </w:t>
      </w:r>
      <w:r w:rsidR="002E16AB" w:rsidRPr="00F25559">
        <w:rPr>
          <w:sz w:val="22"/>
          <w:szCs w:val="22"/>
        </w:rPr>
        <w:t xml:space="preserve">Household </w:t>
      </w:r>
      <w:r w:rsidR="008B7140">
        <w:rPr>
          <w:sz w:val="22"/>
          <w:szCs w:val="22"/>
        </w:rPr>
        <w:t>Labo</w:t>
      </w:r>
      <w:r w:rsidR="001028E9" w:rsidRPr="00F25559">
        <w:rPr>
          <w:sz w:val="22"/>
          <w:szCs w:val="22"/>
        </w:rPr>
        <w:t>r Force Survey conducted in 2013</w:t>
      </w:r>
      <w:r w:rsidR="006B7915" w:rsidRPr="00F25559">
        <w:rPr>
          <w:sz w:val="22"/>
          <w:szCs w:val="22"/>
        </w:rPr>
        <w:t xml:space="preserve"> </w:t>
      </w:r>
      <w:r w:rsidR="000D1D18">
        <w:rPr>
          <w:sz w:val="22"/>
          <w:szCs w:val="22"/>
        </w:rPr>
        <w:t>by TurkStat</w:t>
      </w:r>
      <w:r w:rsidRPr="00F25559">
        <w:rPr>
          <w:sz w:val="22"/>
          <w:szCs w:val="22"/>
        </w:rPr>
        <w:t>.</w:t>
      </w:r>
      <w:r w:rsidR="00172B88" w:rsidRPr="00F25559">
        <w:rPr>
          <w:sz w:val="22"/>
          <w:szCs w:val="22"/>
        </w:rPr>
        <w:t xml:space="preserve"> Minimum wage is a binding especially for the firms </w:t>
      </w:r>
      <w:r w:rsidR="004C5CA6">
        <w:rPr>
          <w:sz w:val="22"/>
          <w:szCs w:val="22"/>
        </w:rPr>
        <w:t xml:space="preserve">creating formal employment. </w:t>
      </w:r>
      <w:r w:rsidR="00172B88" w:rsidRPr="00F25559">
        <w:rPr>
          <w:sz w:val="22"/>
          <w:szCs w:val="22"/>
        </w:rPr>
        <w:t>Accordingly,</w:t>
      </w:r>
      <w:r w:rsidR="004C5CA6">
        <w:rPr>
          <w:sz w:val="22"/>
          <w:szCs w:val="22"/>
        </w:rPr>
        <w:t xml:space="preserve"> we focus on</w:t>
      </w:r>
      <w:r w:rsidR="00172B88" w:rsidRPr="00F25559">
        <w:rPr>
          <w:sz w:val="22"/>
          <w:szCs w:val="22"/>
        </w:rPr>
        <w:t xml:space="preserve"> the employees working in </w:t>
      </w:r>
      <w:r w:rsidR="004C5CA6">
        <w:rPr>
          <w:sz w:val="22"/>
          <w:szCs w:val="22"/>
        </w:rPr>
        <w:t xml:space="preserve">the </w:t>
      </w:r>
      <w:r w:rsidR="00172B88" w:rsidRPr="00F25559">
        <w:rPr>
          <w:sz w:val="22"/>
          <w:szCs w:val="22"/>
        </w:rPr>
        <w:t xml:space="preserve">private sector or non-profit organizations such as foundations, NGO's </w:t>
      </w:r>
      <w:r w:rsidR="00EB1CD9" w:rsidRPr="00F25559">
        <w:rPr>
          <w:sz w:val="22"/>
          <w:szCs w:val="22"/>
        </w:rPr>
        <w:t xml:space="preserve">and </w:t>
      </w:r>
      <w:r w:rsidR="00172B88" w:rsidRPr="00F25559">
        <w:rPr>
          <w:sz w:val="22"/>
          <w:szCs w:val="22"/>
        </w:rPr>
        <w:t xml:space="preserve">think tanks. </w:t>
      </w:r>
      <w:r w:rsidR="00E06A13" w:rsidRPr="00F25559">
        <w:rPr>
          <w:sz w:val="22"/>
          <w:szCs w:val="22"/>
        </w:rPr>
        <w:t xml:space="preserve">In addition, </w:t>
      </w:r>
      <w:r w:rsidR="008633F5">
        <w:rPr>
          <w:sz w:val="22"/>
          <w:szCs w:val="22"/>
        </w:rPr>
        <w:t xml:space="preserve">the </w:t>
      </w:r>
      <w:r w:rsidR="00430547" w:rsidRPr="00F25559">
        <w:rPr>
          <w:sz w:val="22"/>
          <w:szCs w:val="22"/>
        </w:rPr>
        <w:t xml:space="preserve">minimum wage hike </w:t>
      </w:r>
      <w:r w:rsidR="008633F5">
        <w:rPr>
          <w:sz w:val="22"/>
          <w:szCs w:val="22"/>
        </w:rPr>
        <w:t xml:space="preserve">will affect </w:t>
      </w:r>
      <w:r w:rsidR="003567F2">
        <w:rPr>
          <w:sz w:val="22"/>
          <w:szCs w:val="22"/>
        </w:rPr>
        <w:t>public and private sectors</w:t>
      </w:r>
      <w:r w:rsidR="00430547" w:rsidRPr="00F25559">
        <w:rPr>
          <w:sz w:val="22"/>
          <w:szCs w:val="22"/>
        </w:rPr>
        <w:t xml:space="preserve"> differently</w:t>
      </w:r>
      <w:r w:rsidR="00E52BE6" w:rsidRPr="00F25559">
        <w:rPr>
          <w:sz w:val="22"/>
          <w:szCs w:val="22"/>
        </w:rPr>
        <w:t xml:space="preserve"> because </w:t>
      </w:r>
      <w:r w:rsidR="008633F5">
        <w:rPr>
          <w:sz w:val="22"/>
          <w:szCs w:val="22"/>
        </w:rPr>
        <w:t xml:space="preserve">the </w:t>
      </w:r>
      <w:r w:rsidR="001C594F" w:rsidRPr="00F25559">
        <w:rPr>
          <w:sz w:val="22"/>
          <w:szCs w:val="22"/>
        </w:rPr>
        <w:t xml:space="preserve">additional labor cost </w:t>
      </w:r>
      <w:r w:rsidR="008633F5">
        <w:rPr>
          <w:sz w:val="22"/>
          <w:szCs w:val="22"/>
        </w:rPr>
        <w:t>of the</w:t>
      </w:r>
      <w:r w:rsidR="001C594F" w:rsidRPr="00F25559">
        <w:rPr>
          <w:sz w:val="22"/>
          <w:szCs w:val="22"/>
        </w:rPr>
        <w:t xml:space="preserve"> public sector will be undertaken </w:t>
      </w:r>
      <w:r w:rsidR="003230F4" w:rsidRPr="00F25559">
        <w:rPr>
          <w:sz w:val="22"/>
          <w:szCs w:val="22"/>
        </w:rPr>
        <w:t xml:space="preserve">by the government via </w:t>
      </w:r>
      <w:r w:rsidR="00736A1D">
        <w:rPr>
          <w:sz w:val="22"/>
          <w:szCs w:val="22"/>
        </w:rPr>
        <w:t xml:space="preserve">the </w:t>
      </w:r>
      <w:r w:rsidR="001C594F" w:rsidRPr="00F25559">
        <w:rPr>
          <w:sz w:val="22"/>
          <w:szCs w:val="22"/>
        </w:rPr>
        <w:t>central government budget.</w:t>
      </w:r>
      <w:r w:rsidR="00E6376E">
        <w:rPr>
          <w:sz w:val="22"/>
          <w:szCs w:val="22"/>
        </w:rPr>
        <w:t xml:space="preserve"> Therefore</w:t>
      </w:r>
      <w:r w:rsidR="003230F4" w:rsidRPr="00F25559">
        <w:rPr>
          <w:sz w:val="22"/>
          <w:szCs w:val="22"/>
        </w:rPr>
        <w:t xml:space="preserve">, employees in </w:t>
      </w:r>
      <w:r w:rsidR="00E6376E">
        <w:rPr>
          <w:sz w:val="22"/>
          <w:szCs w:val="22"/>
        </w:rPr>
        <w:t xml:space="preserve">the </w:t>
      </w:r>
      <w:r w:rsidR="003230F4" w:rsidRPr="00F25559">
        <w:rPr>
          <w:sz w:val="22"/>
          <w:szCs w:val="22"/>
        </w:rPr>
        <w:t>pub</w:t>
      </w:r>
      <w:r w:rsidR="00E6376E">
        <w:rPr>
          <w:sz w:val="22"/>
          <w:szCs w:val="22"/>
        </w:rPr>
        <w:t>lic sector are not included in</w:t>
      </w:r>
      <w:r w:rsidR="003230F4" w:rsidRPr="00F25559">
        <w:rPr>
          <w:sz w:val="22"/>
          <w:szCs w:val="22"/>
        </w:rPr>
        <w:t xml:space="preserve"> the analysis.</w:t>
      </w:r>
      <w:r w:rsidR="00E75C62" w:rsidRPr="00F25559">
        <w:rPr>
          <w:sz w:val="22"/>
          <w:szCs w:val="22"/>
        </w:rPr>
        <w:t xml:space="preserve"> Hence, </w:t>
      </w:r>
      <w:r w:rsidR="00747FD1" w:rsidRPr="00F25559">
        <w:rPr>
          <w:sz w:val="22"/>
          <w:szCs w:val="22"/>
        </w:rPr>
        <w:t>the data</w:t>
      </w:r>
      <w:r w:rsidR="004C7E42">
        <w:rPr>
          <w:sz w:val="22"/>
          <w:szCs w:val="22"/>
        </w:rPr>
        <w:t xml:space="preserve"> used </w:t>
      </w:r>
      <w:r w:rsidR="00747FD1" w:rsidRPr="00F25559">
        <w:rPr>
          <w:sz w:val="22"/>
          <w:szCs w:val="22"/>
        </w:rPr>
        <w:t xml:space="preserve">represents the wages of formally employed, full time workers in </w:t>
      </w:r>
      <w:r w:rsidR="004C7E42">
        <w:rPr>
          <w:sz w:val="22"/>
          <w:szCs w:val="22"/>
        </w:rPr>
        <w:t xml:space="preserve">the </w:t>
      </w:r>
      <w:r w:rsidR="00747FD1" w:rsidRPr="00F25559">
        <w:rPr>
          <w:sz w:val="22"/>
          <w:szCs w:val="22"/>
        </w:rPr>
        <w:t xml:space="preserve">private sector or non-profit organizations such as foundations, NGO's </w:t>
      </w:r>
      <w:r w:rsidR="00D173A9">
        <w:rPr>
          <w:sz w:val="22"/>
          <w:szCs w:val="22"/>
        </w:rPr>
        <w:t>or</w:t>
      </w:r>
      <w:r w:rsidR="00747FD1" w:rsidRPr="00F25559">
        <w:rPr>
          <w:sz w:val="22"/>
          <w:szCs w:val="22"/>
        </w:rPr>
        <w:t xml:space="preserve"> think tanks.</w:t>
      </w:r>
      <w:r w:rsidR="00B24584" w:rsidRPr="00F25559">
        <w:rPr>
          <w:sz w:val="22"/>
          <w:szCs w:val="22"/>
        </w:rPr>
        <w:t xml:space="preserve"> The data on earnings collected in the year of 2013 is </w:t>
      </w:r>
      <w:r w:rsidR="00FD691E">
        <w:rPr>
          <w:sz w:val="22"/>
          <w:szCs w:val="22"/>
        </w:rPr>
        <w:t>inflated</w:t>
      </w:r>
      <w:r w:rsidR="00141314" w:rsidRPr="00F25559">
        <w:rPr>
          <w:sz w:val="22"/>
          <w:szCs w:val="22"/>
        </w:rPr>
        <w:t xml:space="preserve"> to November</w:t>
      </w:r>
      <w:r w:rsidR="00E426B0" w:rsidRPr="00F25559">
        <w:rPr>
          <w:sz w:val="22"/>
          <w:szCs w:val="22"/>
        </w:rPr>
        <w:t xml:space="preserve"> </w:t>
      </w:r>
      <w:r w:rsidR="00141314" w:rsidRPr="00F25559">
        <w:rPr>
          <w:sz w:val="22"/>
          <w:szCs w:val="22"/>
        </w:rPr>
        <w:t>2015 using</w:t>
      </w:r>
      <w:r w:rsidR="00FD691E">
        <w:rPr>
          <w:sz w:val="22"/>
          <w:szCs w:val="22"/>
        </w:rPr>
        <w:t xml:space="preserve"> the</w:t>
      </w:r>
      <w:r w:rsidR="00141314" w:rsidRPr="00F25559">
        <w:rPr>
          <w:sz w:val="22"/>
          <w:szCs w:val="22"/>
        </w:rPr>
        <w:t xml:space="preserve"> Consumer Price Index. </w:t>
      </w:r>
    </w:p>
    <w:p w:rsidR="00D70C3E" w:rsidRPr="00F25559" w:rsidRDefault="00D70C3E" w:rsidP="00B744FD">
      <w:pPr>
        <w:spacing w:line="276" w:lineRule="auto"/>
        <w:rPr>
          <w:sz w:val="22"/>
          <w:szCs w:val="22"/>
        </w:rPr>
      </w:pPr>
    </w:p>
    <w:p w:rsidR="00196738" w:rsidRPr="00F25559" w:rsidRDefault="00196738" w:rsidP="00B744FD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t>Table 1</w:t>
      </w:r>
      <w:r w:rsidR="002F2653" w:rsidRPr="00F25559">
        <w:rPr>
          <w:sz w:val="22"/>
          <w:szCs w:val="22"/>
        </w:rPr>
        <w:t xml:space="preserve"> indicates that</w:t>
      </w:r>
      <w:r w:rsidR="00D1304A">
        <w:rPr>
          <w:sz w:val="22"/>
          <w:szCs w:val="22"/>
        </w:rPr>
        <w:t xml:space="preserve"> there are</w:t>
      </w:r>
      <w:r w:rsidR="002F2653" w:rsidRPr="00F25559">
        <w:rPr>
          <w:sz w:val="22"/>
          <w:szCs w:val="22"/>
        </w:rPr>
        <w:t xml:space="preserve"> </w:t>
      </w:r>
      <w:r w:rsidR="003741D3" w:rsidRPr="00F25559">
        <w:rPr>
          <w:sz w:val="22"/>
          <w:szCs w:val="22"/>
        </w:rPr>
        <w:t xml:space="preserve">9.5 million </w:t>
      </w:r>
      <w:r w:rsidR="00D1304A">
        <w:rPr>
          <w:sz w:val="22"/>
          <w:szCs w:val="22"/>
        </w:rPr>
        <w:t>employees</w:t>
      </w:r>
      <w:r w:rsidR="003741D3" w:rsidRPr="00F25559">
        <w:rPr>
          <w:sz w:val="22"/>
          <w:szCs w:val="22"/>
        </w:rPr>
        <w:t xml:space="preserve"> in Turkey </w:t>
      </w:r>
      <w:r w:rsidR="00D1304A">
        <w:rPr>
          <w:sz w:val="22"/>
          <w:szCs w:val="22"/>
        </w:rPr>
        <w:t>who are working formally and full time in the private sector</w:t>
      </w:r>
      <w:r w:rsidR="003741D3" w:rsidRPr="00F25559">
        <w:rPr>
          <w:sz w:val="22"/>
          <w:szCs w:val="22"/>
        </w:rPr>
        <w:t xml:space="preserve"> as wage-earner</w:t>
      </w:r>
      <w:r w:rsidR="00D1304A">
        <w:rPr>
          <w:sz w:val="22"/>
          <w:szCs w:val="22"/>
        </w:rPr>
        <w:t>s</w:t>
      </w:r>
      <w:r w:rsidR="003741D3" w:rsidRPr="00F25559">
        <w:rPr>
          <w:sz w:val="22"/>
          <w:szCs w:val="22"/>
        </w:rPr>
        <w:t xml:space="preserve"> or casual worker</w:t>
      </w:r>
      <w:r w:rsidR="00D1304A">
        <w:rPr>
          <w:sz w:val="22"/>
          <w:szCs w:val="22"/>
        </w:rPr>
        <w:t>s</w:t>
      </w:r>
      <w:r w:rsidR="003741D3" w:rsidRPr="00F25559">
        <w:rPr>
          <w:sz w:val="22"/>
          <w:szCs w:val="22"/>
        </w:rPr>
        <w:t xml:space="preserve">. </w:t>
      </w:r>
      <w:r w:rsidR="00745262">
        <w:rPr>
          <w:sz w:val="22"/>
          <w:szCs w:val="22"/>
        </w:rPr>
        <w:t>Note that</w:t>
      </w:r>
      <w:r w:rsidR="00C86B0B" w:rsidRPr="00F25559">
        <w:rPr>
          <w:sz w:val="22"/>
          <w:szCs w:val="22"/>
        </w:rPr>
        <w:t xml:space="preserve"> </w:t>
      </w:r>
      <w:r w:rsidR="003741D3" w:rsidRPr="00F25559">
        <w:rPr>
          <w:sz w:val="22"/>
          <w:szCs w:val="22"/>
        </w:rPr>
        <w:t xml:space="preserve">57.3 percent of </w:t>
      </w:r>
      <w:r w:rsidR="00D173A9">
        <w:rPr>
          <w:sz w:val="22"/>
          <w:szCs w:val="22"/>
        </w:rPr>
        <w:t>the employees earn</w:t>
      </w:r>
      <w:r w:rsidR="00C86B0B" w:rsidRPr="00F25559">
        <w:rPr>
          <w:sz w:val="22"/>
          <w:szCs w:val="22"/>
        </w:rPr>
        <w:t xml:space="preserve"> less than </w:t>
      </w:r>
      <w:r w:rsidR="00C86B0B" w:rsidRPr="00D173A9">
        <w:rPr>
          <w:sz w:val="22"/>
          <w:szCs w:val="22"/>
        </w:rPr>
        <w:t>1300</w:t>
      </w:r>
      <w:r w:rsidR="00745262">
        <w:rPr>
          <w:sz w:val="22"/>
          <w:szCs w:val="22"/>
        </w:rPr>
        <w:t xml:space="preserve"> </w:t>
      </w:r>
      <w:r w:rsidR="00745262" w:rsidRPr="00D173A9">
        <w:rPr>
          <w:sz w:val="22"/>
          <w:szCs w:val="22"/>
        </w:rPr>
        <w:t>TL</w:t>
      </w:r>
      <w:r w:rsidR="00C86B0B" w:rsidRPr="00D173A9">
        <w:rPr>
          <w:sz w:val="22"/>
          <w:szCs w:val="22"/>
        </w:rPr>
        <w:t>.</w:t>
      </w:r>
      <w:r w:rsidR="00707107" w:rsidRPr="00D173A9">
        <w:rPr>
          <w:sz w:val="22"/>
          <w:szCs w:val="22"/>
        </w:rPr>
        <w:t xml:space="preserve"> </w:t>
      </w:r>
      <w:r w:rsidR="004F4CCA" w:rsidRPr="00D173A9">
        <w:rPr>
          <w:sz w:val="22"/>
          <w:szCs w:val="22"/>
        </w:rPr>
        <w:t>Even</w:t>
      </w:r>
      <w:r w:rsidR="004F4CCA" w:rsidRPr="00F25559">
        <w:rPr>
          <w:sz w:val="22"/>
          <w:szCs w:val="22"/>
        </w:rPr>
        <w:t xml:space="preserve"> </w:t>
      </w:r>
      <w:r w:rsidR="00D173A9">
        <w:rPr>
          <w:sz w:val="22"/>
          <w:szCs w:val="22"/>
        </w:rPr>
        <w:t>a</w:t>
      </w:r>
      <w:r w:rsidR="00707107" w:rsidRPr="00F25559">
        <w:rPr>
          <w:sz w:val="22"/>
          <w:szCs w:val="22"/>
        </w:rPr>
        <w:t xml:space="preserve"> basic calculation is enough to reveal that </w:t>
      </w:r>
      <w:r w:rsidR="00430DC4">
        <w:rPr>
          <w:sz w:val="22"/>
          <w:szCs w:val="22"/>
        </w:rPr>
        <w:t xml:space="preserve">the </w:t>
      </w:r>
      <w:r w:rsidR="00707107" w:rsidRPr="00F25559">
        <w:rPr>
          <w:sz w:val="22"/>
          <w:szCs w:val="22"/>
        </w:rPr>
        <w:t xml:space="preserve">minimum wage hike will have </w:t>
      </w:r>
      <w:r w:rsidR="00430DC4">
        <w:rPr>
          <w:sz w:val="22"/>
          <w:szCs w:val="22"/>
        </w:rPr>
        <w:t>extensive</w:t>
      </w:r>
      <w:r w:rsidR="00707107" w:rsidRPr="00F25559">
        <w:rPr>
          <w:sz w:val="22"/>
          <w:szCs w:val="22"/>
        </w:rPr>
        <w:t xml:space="preserve"> impacts</w:t>
      </w:r>
      <w:r w:rsidR="00430DC4">
        <w:rPr>
          <w:sz w:val="22"/>
          <w:szCs w:val="22"/>
        </w:rPr>
        <w:t xml:space="preserve"> on the labor market</w:t>
      </w:r>
      <w:r w:rsidR="00707107" w:rsidRPr="00F25559">
        <w:rPr>
          <w:sz w:val="22"/>
          <w:szCs w:val="22"/>
        </w:rPr>
        <w:t xml:space="preserve">. </w:t>
      </w:r>
    </w:p>
    <w:p w:rsidR="00D70C3E" w:rsidRPr="00F25559" w:rsidRDefault="00D70C3E" w:rsidP="00D70C3E">
      <w:pPr>
        <w:spacing w:line="276" w:lineRule="auto"/>
        <w:rPr>
          <w:sz w:val="22"/>
          <w:szCs w:val="22"/>
        </w:rPr>
      </w:pPr>
    </w:p>
    <w:p w:rsidR="00D70C3E" w:rsidRPr="00F25559" w:rsidRDefault="00D70C3E" w:rsidP="00D70C3E">
      <w:pPr>
        <w:spacing w:line="276" w:lineRule="auto"/>
        <w:rPr>
          <w:b/>
          <w:sz w:val="22"/>
          <w:szCs w:val="22"/>
        </w:rPr>
      </w:pPr>
      <w:r w:rsidRPr="00F25559">
        <w:rPr>
          <w:b/>
          <w:sz w:val="22"/>
          <w:szCs w:val="22"/>
        </w:rPr>
        <w:t xml:space="preserve">Table </w:t>
      </w:r>
      <w:r w:rsidR="00627368" w:rsidRPr="00F25559">
        <w:rPr>
          <w:b/>
          <w:sz w:val="22"/>
          <w:szCs w:val="22"/>
        </w:rPr>
        <w:fldChar w:fldCharType="begin"/>
      </w:r>
      <w:r w:rsidRPr="00F25559">
        <w:rPr>
          <w:b/>
          <w:sz w:val="22"/>
          <w:szCs w:val="22"/>
        </w:rPr>
        <w:instrText xml:space="preserve"> SEQ Table \* ARABIC </w:instrText>
      </w:r>
      <w:r w:rsidR="00627368" w:rsidRPr="00F25559">
        <w:rPr>
          <w:b/>
          <w:sz w:val="22"/>
          <w:szCs w:val="22"/>
        </w:rPr>
        <w:fldChar w:fldCharType="separate"/>
      </w:r>
      <w:r w:rsidRPr="00F25559">
        <w:rPr>
          <w:b/>
          <w:sz w:val="22"/>
          <w:szCs w:val="22"/>
        </w:rPr>
        <w:t>1</w:t>
      </w:r>
      <w:r w:rsidR="00627368" w:rsidRPr="00F25559">
        <w:rPr>
          <w:b/>
          <w:sz w:val="22"/>
          <w:szCs w:val="22"/>
        </w:rPr>
        <w:fldChar w:fldCharType="end"/>
      </w:r>
      <w:r w:rsidRPr="00F25559">
        <w:rPr>
          <w:b/>
          <w:sz w:val="22"/>
          <w:szCs w:val="22"/>
        </w:rPr>
        <w:t xml:space="preserve"> Number of persons earning net monthly wage below of TL 1300 and its share</w:t>
      </w:r>
    </w:p>
    <w:tbl>
      <w:tblPr>
        <w:tblW w:w="49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05"/>
        <w:gridCol w:w="1505"/>
      </w:tblGrid>
      <w:tr w:rsidR="00D70C3E" w:rsidRPr="00F25559" w:rsidTr="006C51C6">
        <w:trPr>
          <w:trHeight w:val="32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Number of persons (in thousands)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Per cent</w:t>
            </w:r>
          </w:p>
        </w:tc>
      </w:tr>
      <w:tr w:rsidR="00D70C3E" w:rsidRPr="00F25559" w:rsidTr="006C51C6">
        <w:trPr>
          <w:trHeight w:val="32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&gt;1300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4,091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42.7</w:t>
            </w:r>
          </w:p>
        </w:tc>
      </w:tr>
      <w:tr w:rsidR="00D70C3E" w:rsidRPr="00F25559" w:rsidTr="006C51C6">
        <w:trPr>
          <w:trHeight w:val="32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&lt;1300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5,484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57.3</w:t>
            </w:r>
          </w:p>
        </w:tc>
      </w:tr>
      <w:tr w:rsidR="00D70C3E" w:rsidRPr="00F25559" w:rsidTr="006C51C6">
        <w:trPr>
          <w:trHeight w:val="32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9,575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100.0</w:t>
            </w:r>
          </w:p>
        </w:tc>
      </w:tr>
    </w:tbl>
    <w:p w:rsidR="00D70C3E" w:rsidRPr="00F25559" w:rsidRDefault="00D70C3E" w:rsidP="00D70C3E">
      <w:pPr>
        <w:spacing w:line="276" w:lineRule="auto"/>
        <w:rPr>
          <w:sz w:val="20"/>
          <w:szCs w:val="20"/>
        </w:rPr>
      </w:pPr>
      <w:r w:rsidRPr="00F25559">
        <w:rPr>
          <w:sz w:val="20"/>
          <w:szCs w:val="20"/>
        </w:rPr>
        <w:t xml:space="preserve">Source: HLFS 2013, Betam update for November 2015 </w:t>
      </w:r>
    </w:p>
    <w:p w:rsidR="004F4CCA" w:rsidRPr="00F25559" w:rsidRDefault="004F4CCA" w:rsidP="00B744FD">
      <w:pPr>
        <w:spacing w:line="276" w:lineRule="auto"/>
        <w:rPr>
          <w:sz w:val="22"/>
          <w:szCs w:val="22"/>
        </w:rPr>
      </w:pPr>
    </w:p>
    <w:p w:rsidR="00B744FD" w:rsidRPr="00F25559" w:rsidRDefault="004F4CCA" w:rsidP="00B744FD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t xml:space="preserve">Previous studies </w:t>
      </w:r>
      <w:r w:rsidR="006239CA" w:rsidRPr="00F25559">
        <w:rPr>
          <w:sz w:val="22"/>
          <w:szCs w:val="22"/>
        </w:rPr>
        <w:t xml:space="preserve">has </w:t>
      </w:r>
      <w:r w:rsidR="003B4DBE" w:rsidRPr="00F25559">
        <w:rPr>
          <w:sz w:val="22"/>
          <w:szCs w:val="22"/>
        </w:rPr>
        <w:t xml:space="preserve">showed that regional labor markets in Turkey </w:t>
      </w:r>
      <w:r w:rsidR="00E4560A">
        <w:rPr>
          <w:sz w:val="22"/>
          <w:szCs w:val="22"/>
        </w:rPr>
        <w:t>are structurally different</w:t>
      </w:r>
      <w:r w:rsidR="008A616A" w:rsidRPr="00F25559">
        <w:rPr>
          <w:sz w:val="22"/>
          <w:szCs w:val="22"/>
        </w:rPr>
        <w:t xml:space="preserve">. </w:t>
      </w:r>
      <w:r w:rsidR="001724F6" w:rsidRPr="00F25559">
        <w:rPr>
          <w:sz w:val="22"/>
          <w:szCs w:val="22"/>
        </w:rPr>
        <w:t xml:space="preserve">Hence, </w:t>
      </w:r>
      <w:r w:rsidR="003D7438">
        <w:rPr>
          <w:sz w:val="22"/>
          <w:szCs w:val="22"/>
        </w:rPr>
        <w:t xml:space="preserve">the intensity of the effect of the minimum wage hike will also differ regionally. </w:t>
      </w:r>
      <w:r w:rsidR="00DD4612">
        <w:fldChar w:fldCharType="begin"/>
      </w:r>
      <w:r w:rsidR="00DD4612">
        <w:instrText xml:space="preserve"> REF _Ref439149767 \h  \* MERGEFORMAT </w:instrText>
      </w:r>
      <w:r w:rsidR="00DD4612">
        <w:fldChar w:fldCharType="separate"/>
      </w:r>
      <w:r w:rsidR="005A6B41" w:rsidRPr="00F25559">
        <w:rPr>
          <w:sz w:val="22"/>
          <w:szCs w:val="22"/>
        </w:rPr>
        <w:t>Figure 1</w:t>
      </w:r>
      <w:r w:rsidR="00DD4612">
        <w:fldChar w:fldCharType="end"/>
      </w:r>
      <w:r w:rsidR="00045263" w:rsidRPr="00F25559">
        <w:t xml:space="preserve"> </w:t>
      </w:r>
      <w:r w:rsidR="00567E84" w:rsidRPr="00F25559">
        <w:rPr>
          <w:sz w:val="22"/>
          <w:szCs w:val="22"/>
        </w:rPr>
        <w:t xml:space="preserve">indicates </w:t>
      </w:r>
      <w:r w:rsidR="00D173A9">
        <w:rPr>
          <w:sz w:val="22"/>
          <w:szCs w:val="22"/>
        </w:rPr>
        <w:t>the</w:t>
      </w:r>
      <w:r w:rsidR="00567E84" w:rsidRPr="00F25559">
        <w:rPr>
          <w:sz w:val="22"/>
          <w:szCs w:val="22"/>
        </w:rPr>
        <w:t xml:space="preserve"> </w:t>
      </w:r>
      <w:r w:rsidR="00E81752" w:rsidRPr="00F25559">
        <w:rPr>
          <w:sz w:val="22"/>
          <w:szCs w:val="22"/>
        </w:rPr>
        <w:t>share</w:t>
      </w:r>
      <w:r w:rsidR="00D173A9">
        <w:rPr>
          <w:sz w:val="22"/>
          <w:szCs w:val="22"/>
        </w:rPr>
        <w:t>s</w:t>
      </w:r>
      <w:r w:rsidR="00E81752" w:rsidRPr="00F25559">
        <w:rPr>
          <w:sz w:val="22"/>
          <w:szCs w:val="22"/>
        </w:rPr>
        <w:t xml:space="preserve"> of </w:t>
      </w:r>
      <w:r w:rsidR="00A96548">
        <w:rPr>
          <w:sz w:val="22"/>
          <w:szCs w:val="22"/>
        </w:rPr>
        <w:t xml:space="preserve">employees earning below </w:t>
      </w:r>
      <w:r w:rsidR="00E81752" w:rsidRPr="00F25559">
        <w:rPr>
          <w:sz w:val="22"/>
          <w:szCs w:val="22"/>
        </w:rPr>
        <w:t>1300</w:t>
      </w:r>
      <w:r w:rsidR="00474F0C">
        <w:rPr>
          <w:sz w:val="22"/>
          <w:szCs w:val="22"/>
        </w:rPr>
        <w:t xml:space="preserve"> </w:t>
      </w:r>
      <w:r w:rsidR="00474F0C" w:rsidRPr="00F25559">
        <w:rPr>
          <w:sz w:val="22"/>
          <w:szCs w:val="22"/>
        </w:rPr>
        <w:t>TL</w:t>
      </w:r>
      <w:r w:rsidR="00E81752" w:rsidRPr="00F25559">
        <w:rPr>
          <w:sz w:val="22"/>
          <w:szCs w:val="22"/>
        </w:rPr>
        <w:t xml:space="preserve"> </w:t>
      </w:r>
      <w:r w:rsidR="0020482A">
        <w:rPr>
          <w:sz w:val="22"/>
          <w:szCs w:val="22"/>
        </w:rPr>
        <w:t>in each of the</w:t>
      </w:r>
      <w:r w:rsidR="00520EF4" w:rsidRPr="00F25559">
        <w:rPr>
          <w:sz w:val="22"/>
          <w:szCs w:val="22"/>
        </w:rPr>
        <w:t xml:space="preserve"> 26 regions of Turkey</w:t>
      </w:r>
      <w:r w:rsidR="00CB038D" w:rsidRPr="00F25559">
        <w:rPr>
          <w:rStyle w:val="FootnoteReference"/>
          <w:sz w:val="22"/>
          <w:szCs w:val="22"/>
        </w:rPr>
        <w:footnoteReference w:id="5"/>
      </w:r>
      <w:r w:rsidR="00520EF4" w:rsidRPr="00F25559">
        <w:rPr>
          <w:sz w:val="22"/>
          <w:szCs w:val="22"/>
        </w:rPr>
        <w:t xml:space="preserve">. </w:t>
      </w:r>
      <w:r w:rsidR="00893AF3" w:rsidRPr="00F25559">
        <w:rPr>
          <w:sz w:val="22"/>
          <w:szCs w:val="22"/>
        </w:rPr>
        <w:t xml:space="preserve">The </w:t>
      </w:r>
      <w:r w:rsidR="00926091" w:rsidRPr="00F25559">
        <w:rPr>
          <w:sz w:val="22"/>
          <w:szCs w:val="22"/>
        </w:rPr>
        <w:t>data</w:t>
      </w:r>
      <w:r w:rsidR="00893AF3" w:rsidRPr="00F25559">
        <w:rPr>
          <w:sz w:val="22"/>
          <w:szCs w:val="22"/>
        </w:rPr>
        <w:t xml:space="preserve"> reveals that </w:t>
      </w:r>
      <w:r w:rsidR="009A1583" w:rsidRPr="00F25559">
        <w:rPr>
          <w:sz w:val="22"/>
          <w:szCs w:val="22"/>
        </w:rPr>
        <w:t xml:space="preserve">the share of employees earning below of 1300 </w:t>
      </w:r>
      <w:r w:rsidR="00474F0C" w:rsidRPr="00F25559">
        <w:rPr>
          <w:sz w:val="22"/>
          <w:szCs w:val="22"/>
        </w:rPr>
        <w:t xml:space="preserve">TL </w:t>
      </w:r>
      <w:r w:rsidR="009A1583" w:rsidRPr="00F25559">
        <w:rPr>
          <w:sz w:val="22"/>
          <w:szCs w:val="22"/>
        </w:rPr>
        <w:t>is by far the lowest in the region of Istanbul</w:t>
      </w:r>
      <w:r w:rsidR="00D173A9">
        <w:rPr>
          <w:sz w:val="22"/>
          <w:szCs w:val="22"/>
        </w:rPr>
        <w:t xml:space="preserve"> (43 per</w:t>
      </w:r>
      <w:r w:rsidR="008227AC" w:rsidRPr="00F25559">
        <w:rPr>
          <w:sz w:val="22"/>
          <w:szCs w:val="22"/>
        </w:rPr>
        <w:t>cent)</w:t>
      </w:r>
      <w:r w:rsidR="009A1583" w:rsidRPr="00F25559">
        <w:rPr>
          <w:sz w:val="22"/>
          <w:szCs w:val="22"/>
        </w:rPr>
        <w:t xml:space="preserve">. </w:t>
      </w:r>
      <w:r w:rsidR="008227AC" w:rsidRPr="00F25559">
        <w:rPr>
          <w:sz w:val="22"/>
          <w:szCs w:val="22"/>
        </w:rPr>
        <w:t xml:space="preserve">The second lowest share of employees earning below of 1300 </w:t>
      </w:r>
      <w:r w:rsidR="00474F0C" w:rsidRPr="00F25559">
        <w:rPr>
          <w:sz w:val="22"/>
          <w:szCs w:val="22"/>
        </w:rPr>
        <w:t xml:space="preserve">TL </w:t>
      </w:r>
      <w:r w:rsidR="00301539">
        <w:rPr>
          <w:sz w:val="22"/>
          <w:szCs w:val="22"/>
        </w:rPr>
        <w:t xml:space="preserve">is </w:t>
      </w:r>
      <w:r w:rsidR="008227AC" w:rsidRPr="00F25559">
        <w:rPr>
          <w:sz w:val="22"/>
          <w:szCs w:val="22"/>
        </w:rPr>
        <w:t xml:space="preserve">in </w:t>
      </w:r>
      <w:r w:rsidR="00301539">
        <w:rPr>
          <w:sz w:val="22"/>
          <w:szCs w:val="22"/>
        </w:rPr>
        <w:t>the Ankara region (48.9 per</w:t>
      </w:r>
      <w:r w:rsidR="008227AC" w:rsidRPr="00F25559">
        <w:rPr>
          <w:sz w:val="22"/>
          <w:szCs w:val="22"/>
        </w:rPr>
        <w:t xml:space="preserve">cent). </w:t>
      </w:r>
      <w:r w:rsidR="00AF1100" w:rsidRPr="00F25559">
        <w:rPr>
          <w:sz w:val="22"/>
          <w:szCs w:val="22"/>
        </w:rPr>
        <w:t>The two of the highest share</w:t>
      </w:r>
      <w:r w:rsidR="00D173A9">
        <w:rPr>
          <w:sz w:val="22"/>
          <w:szCs w:val="22"/>
        </w:rPr>
        <w:t>s</w:t>
      </w:r>
      <w:r w:rsidR="009E6E96">
        <w:rPr>
          <w:sz w:val="22"/>
          <w:szCs w:val="22"/>
        </w:rPr>
        <w:t xml:space="preserve"> of employees earning below 1300 TL are in the </w:t>
      </w:r>
      <w:r w:rsidR="00AF1100" w:rsidRPr="00F25559">
        <w:rPr>
          <w:sz w:val="22"/>
          <w:szCs w:val="22"/>
        </w:rPr>
        <w:t xml:space="preserve"> Kastamonu and Manisa regions with 82 and 80.1 percent</w:t>
      </w:r>
      <w:r w:rsidR="00D173A9">
        <w:rPr>
          <w:sz w:val="22"/>
          <w:szCs w:val="22"/>
        </w:rPr>
        <w:t>ages</w:t>
      </w:r>
      <w:r w:rsidR="00AF1100" w:rsidRPr="00F25559">
        <w:rPr>
          <w:sz w:val="22"/>
          <w:szCs w:val="22"/>
        </w:rPr>
        <w:t xml:space="preserve">, respectively. </w:t>
      </w:r>
    </w:p>
    <w:p w:rsidR="00D70C3E" w:rsidRPr="00F25559" w:rsidRDefault="00D70C3E" w:rsidP="00D70C3E">
      <w:pPr>
        <w:spacing w:line="276" w:lineRule="auto"/>
        <w:rPr>
          <w:sz w:val="22"/>
          <w:szCs w:val="22"/>
        </w:rPr>
      </w:pPr>
    </w:p>
    <w:p w:rsidR="00D70C3E" w:rsidRPr="00F25559" w:rsidRDefault="00D70C3E" w:rsidP="00D70C3E">
      <w:pPr>
        <w:spacing w:line="276" w:lineRule="auto"/>
        <w:rPr>
          <w:b/>
          <w:sz w:val="22"/>
          <w:szCs w:val="22"/>
        </w:rPr>
      </w:pPr>
      <w:bookmarkStart w:id="1" w:name="_Ref439149767"/>
      <w:r w:rsidRPr="00F25559">
        <w:rPr>
          <w:b/>
          <w:sz w:val="22"/>
          <w:szCs w:val="22"/>
        </w:rPr>
        <w:t xml:space="preserve">Figure </w:t>
      </w:r>
      <w:r w:rsidR="00627368" w:rsidRPr="00F25559">
        <w:rPr>
          <w:b/>
          <w:sz w:val="22"/>
          <w:szCs w:val="22"/>
        </w:rPr>
        <w:fldChar w:fldCharType="begin"/>
      </w:r>
      <w:r w:rsidRPr="00F25559">
        <w:rPr>
          <w:b/>
          <w:sz w:val="22"/>
          <w:szCs w:val="22"/>
        </w:rPr>
        <w:instrText xml:space="preserve"> SEQ Figure \* ARABIC </w:instrText>
      </w:r>
      <w:r w:rsidR="00627368" w:rsidRPr="00F25559">
        <w:rPr>
          <w:b/>
          <w:sz w:val="22"/>
          <w:szCs w:val="22"/>
        </w:rPr>
        <w:fldChar w:fldCharType="separate"/>
      </w:r>
      <w:r w:rsidRPr="00F25559">
        <w:rPr>
          <w:b/>
          <w:sz w:val="22"/>
          <w:szCs w:val="22"/>
        </w:rPr>
        <w:t>1</w:t>
      </w:r>
      <w:r w:rsidR="00627368" w:rsidRPr="00F25559">
        <w:rPr>
          <w:b/>
          <w:sz w:val="22"/>
          <w:szCs w:val="22"/>
        </w:rPr>
        <w:fldChar w:fldCharType="end"/>
      </w:r>
      <w:bookmarkEnd w:id="1"/>
      <w:r w:rsidRPr="00F25559">
        <w:rPr>
          <w:b/>
          <w:sz w:val="22"/>
          <w:szCs w:val="22"/>
        </w:rPr>
        <w:t xml:space="preserve"> Share of persons earning below of TL1300 in total wage-earners (%)</w:t>
      </w:r>
    </w:p>
    <w:p w:rsidR="00D70C3E" w:rsidRPr="00F25559" w:rsidRDefault="00D70C3E" w:rsidP="00D70C3E">
      <w:pPr>
        <w:spacing w:line="276" w:lineRule="auto"/>
        <w:rPr>
          <w:sz w:val="22"/>
          <w:szCs w:val="22"/>
        </w:rPr>
      </w:pPr>
      <w:r w:rsidRPr="00F25559">
        <w:rPr>
          <w:noProof/>
          <w:lang w:val="tr-TR" w:eastAsia="tr-TR"/>
        </w:rPr>
        <w:drawing>
          <wp:inline distT="0" distB="0" distL="0" distR="0">
            <wp:extent cx="5753819" cy="2605178"/>
            <wp:effectExtent l="0" t="0" r="0" b="0"/>
            <wp:docPr id="2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1100" w:rsidRPr="00F25559" w:rsidRDefault="00D70C3E" w:rsidP="00B744FD">
      <w:pPr>
        <w:spacing w:line="276" w:lineRule="auto"/>
        <w:rPr>
          <w:sz w:val="20"/>
          <w:szCs w:val="20"/>
        </w:rPr>
      </w:pPr>
      <w:r w:rsidRPr="00F25559">
        <w:rPr>
          <w:sz w:val="20"/>
          <w:szCs w:val="20"/>
        </w:rPr>
        <w:t xml:space="preserve">Source: HLFS 2013, Betam update for November 2015 </w:t>
      </w:r>
    </w:p>
    <w:p w:rsidR="00AF1100" w:rsidRPr="00F25559" w:rsidRDefault="00AF1100" w:rsidP="00B744FD">
      <w:pPr>
        <w:spacing w:line="276" w:lineRule="auto"/>
        <w:rPr>
          <w:sz w:val="22"/>
          <w:szCs w:val="22"/>
        </w:rPr>
      </w:pPr>
    </w:p>
    <w:p w:rsidR="00AF1100" w:rsidRPr="00F25559" w:rsidRDefault="00AF1100" w:rsidP="00B744FD">
      <w:pPr>
        <w:spacing w:line="276" w:lineRule="auto"/>
        <w:rPr>
          <w:b/>
        </w:rPr>
      </w:pPr>
      <w:r w:rsidRPr="00F25559">
        <w:rPr>
          <w:b/>
        </w:rPr>
        <w:t xml:space="preserve">The effects of minimum wage rise to wage distribution </w:t>
      </w:r>
      <w:r w:rsidR="004F4CCA" w:rsidRPr="00F25559">
        <w:rPr>
          <w:b/>
        </w:rPr>
        <w:t xml:space="preserve"> </w:t>
      </w:r>
    </w:p>
    <w:p w:rsidR="00AF1100" w:rsidRPr="00F25559" w:rsidRDefault="00AF1100" w:rsidP="00B744FD">
      <w:pPr>
        <w:spacing w:line="276" w:lineRule="auto"/>
        <w:rPr>
          <w:sz w:val="22"/>
          <w:szCs w:val="22"/>
        </w:rPr>
      </w:pPr>
    </w:p>
    <w:p w:rsidR="006A616B" w:rsidRDefault="00DB52FF" w:rsidP="00617AE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Examining the</w:t>
      </w:r>
      <w:r w:rsidR="00EE1803" w:rsidRPr="00F25559">
        <w:rPr>
          <w:sz w:val="22"/>
          <w:szCs w:val="22"/>
        </w:rPr>
        <w:t xml:space="preserve"> median and </w:t>
      </w:r>
      <w:r w:rsidR="005D166E" w:rsidRPr="00F25559">
        <w:rPr>
          <w:sz w:val="22"/>
          <w:szCs w:val="22"/>
        </w:rPr>
        <w:t>mean</w:t>
      </w:r>
      <w:r w:rsidR="00EE1803" w:rsidRPr="00F25559">
        <w:rPr>
          <w:sz w:val="22"/>
          <w:szCs w:val="22"/>
        </w:rPr>
        <w:t xml:space="preserve"> </w:t>
      </w:r>
      <w:r w:rsidR="005D166E" w:rsidRPr="00F25559">
        <w:rPr>
          <w:sz w:val="22"/>
          <w:szCs w:val="22"/>
        </w:rPr>
        <w:t xml:space="preserve">wages </w:t>
      </w:r>
      <w:r w:rsidR="00580122" w:rsidRPr="00F25559">
        <w:rPr>
          <w:sz w:val="22"/>
          <w:szCs w:val="22"/>
        </w:rPr>
        <w:t xml:space="preserve">in the regional labor markets </w:t>
      </w:r>
      <w:r>
        <w:rPr>
          <w:sz w:val="22"/>
          <w:szCs w:val="22"/>
        </w:rPr>
        <w:t>will shed light on the</w:t>
      </w:r>
      <w:r w:rsidR="00B4510E" w:rsidRPr="00F25559">
        <w:rPr>
          <w:sz w:val="22"/>
          <w:szCs w:val="22"/>
        </w:rPr>
        <w:t xml:space="preserve"> extent</w:t>
      </w:r>
      <w:r>
        <w:rPr>
          <w:sz w:val="22"/>
          <w:szCs w:val="22"/>
        </w:rPr>
        <w:t xml:space="preserve"> of</w:t>
      </w:r>
      <w:r w:rsidR="00B4510E" w:rsidRPr="00F25559">
        <w:rPr>
          <w:sz w:val="22"/>
          <w:szCs w:val="22"/>
        </w:rPr>
        <w:t xml:space="preserve"> </w:t>
      </w:r>
      <w:r w:rsidR="00D173A9">
        <w:rPr>
          <w:sz w:val="22"/>
          <w:szCs w:val="22"/>
        </w:rPr>
        <w:t xml:space="preserve">the </w:t>
      </w:r>
      <w:r w:rsidR="005D166E" w:rsidRPr="00F25559">
        <w:rPr>
          <w:sz w:val="22"/>
          <w:szCs w:val="22"/>
        </w:rPr>
        <w:t xml:space="preserve">wage shock created by </w:t>
      </w:r>
      <w:r>
        <w:rPr>
          <w:sz w:val="22"/>
          <w:szCs w:val="22"/>
        </w:rPr>
        <w:t>the minimum wage hike</w:t>
      </w:r>
      <w:r w:rsidR="00580122" w:rsidRPr="00F25559">
        <w:rPr>
          <w:sz w:val="22"/>
          <w:szCs w:val="22"/>
        </w:rPr>
        <w:t xml:space="preserve">. The first column in </w:t>
      </w:r>
      <w:r w:rsidR="00DD4612">
        <w:fldChar w:fldCharType="begin"/>
      </w:r>
      <w:r w:rsidR="00DD4612">
        <w:instrText xml:space="preserve"> REF _Ref439625273 \h  \* MERGEFORMAT </w:instrText>
      </w:r>
      <w:r w:rsidR="00DD4612">
        <w:fldChar w:fldCharType="separate"/>
      </w:r>
      <w:r w:rsidR="00580122" w:rsidRPr="00F25559">
        <w:rPr>
          <w:sz w:val="22"/>
          <w:szCs w:val="22"/>
        </w:rPr>
        <w:t>Table 1</w:t>
      </w:r>
      <w:r w:rsidR="00DD4612">
        <w:fldChar w:fldCharType="end"/>
      </w:r>
      <w:r w:rsidR="00580122" w:rsidRPr="00F25559">
        <w:t xml:space="preserve"> </w:t>
      </w:r>
      <w:r w:rsidR="00BC19AC">
        <w:rPr>
          <w:sz w:val="22"/>
          <w:szCs w:val="22"/>
        </w:rPr>
        <w:t>provides the</w:t>
      </w:r>
      <w:r w:rsidR="00580122" w:rsidRPr="00F25559">
        <w:rPr>
          <w:sz w:val="22"/>
          <w:szCs w:val="22"/>
        </w:rPr>
        <w:t xml:space="preserve"> current mean</w:t>
      </w:r>
      <w:r w:rsidR="00D173A9">
        <w:rPr>
          <w:sz w:val="22"/>
          <w:szCs w:val="22"/>
        </w:rPr>
        <w:t xml:space="preserve"> </w:t>
      </w:r>
      <w:r w:rsidR="00580122" w:rsidRPr="00F25559">
        <w:rPr>
          <w:sz w:val="22"/>
          <w:szCs w:val="22"/>
        </w:rPr>
        <w:t xml:space="preserve">wages </w:t>
      </w:r>
      <w:r w:rsidR="007161F5" w:rsidRPr="00F25559">
        <w:rPr>
          <w:sz w:val="22"/>
          <w:szCs w:val="22"/>
        </w:rPr>
        <w:t>for</w:t>
      </w:r>
      <w:r w:rsidR="00580122" w:rsidRPr="00F25559">
        <w:rPr>
          <w:sz w:val="22"/>
          <w:szCs w:val="22"/>
        </w:rPr>
        <w:t xml:space="preserve"> 26 different regions </w:t>
      </w:r>
      <w:r w:rsidR="00D173A9">
        <w:rPr>
          <w:sz w:val="22"/>
          <w:szCs w:val="22"/>
        </w:rPr>
        <w:t>in</w:t>
      </w:r>
      <w:r w:rsidR="00580122" w:rsidRPr="00F25559">
        <w:rPr>
          <w:sz w:val="22"/>
          <w:szCs w:val="22"/>
        </w:rPr>
        <w:t xml:space="preserve"> November of 2015. </w:t>
      </w:r>
      <w:r w:rsidR="000D07ED" w:rsidRPr="00F25559">
        <w:rPr>
          <w:sz w:val="22"/>
          <w:szCs w:val="22"/>
        </w:rPr>
        <w:t xml:space="preserve">Surely, </w:t>
      </w:r>
      <w:r w:rsidR="002E11A8">
        <w:rPr>
          <w:sz w:val="22"/>
          <w:szCs w:val="22"/>
        </w:rPr>
        <w:t>the mean wages will</w:t>
      </w:r>
      <w:r w:rsidR="000D07ED" w:rsidRPr="00F25559">
        <w:rPr>
          <w:sz w:val="22"/>
          <w:szCs w:val="22"/>
        </w:rPr>
        <w:t xml:space="preserve"> change when </w:t>
      </w:r>
      <w:r w:rsidR="002E11A8">
        <w:rPr>
          <w:sz w:val="22"/>
          <w:szCs w:val="22"/>
        </w:rPr>
        <w:t>the new minimum wage is implemented</w:t>
      </w:r>
      <w:r w:rsidR="000D07ED" w:rsidRPr="00F25559">
        <w:rPr>
          <w:sz w:val="22"/>
          <w:szCs w:val="22"/>
        </w:rPr>
        <w:t>.</w:t>
      </w:r>
      <w:r w:rsidR="003040B9">
        <w:rPr>
          <w:sz w:val="22"/>
          <w:szCs w:val="22"/>
        </w:rPr>
        <w:t xml:space="preserve"> Therefore, the</w:t>
      </w:r>
      <w:r w:rsidR="00092BA6" w:rsidRPr="00F25559">
        <w:rPr>
          <w:sz w:val="22"/>
          <w:szCs w:val="22"/>
        </w:rPr>
        <w:t xml:space="preserve"> second column</w:t>
      </w:r>
      <w:r w:rsidR="003A7854" w:rsidRPr="00F25559">
        <w:rPr>
          <w:sz w:val="22"/>
          <w:szCs w:val="22"/>
        </w:rPr>
        <w:t xml:space="preserve"> </w:t>
      </w:r>
      <w:r w:rsidR="00751992">
        <w:rPr>
          <w:sz w:val="22"/>
          <w:szCs w:val="22"/>
        </w:rPr>
        <w:t>provides</w:t>
      </w:r>
      <w:r w:rsidR="00DD66B2" w:rsidRPr="00F25559">
        <w:rPr>
          <w:sz w:val="22"/>
          <w:szCs w:val="22"/>
        </w:rPr>
        <w:t xml:space="preserve"> </w:t>
      </w:r>
      <w:r w:rsidR="00751992">
        <w:rPr>
          <w:sz w:val="22"/>
          <w:szCs w:val="22"/>
        </w:rPr>
        <w:t xml:space="preserve">the estimated mean </w:t>
      </w:r>
      <w:r w:rsidR="00FF222C" w:rsidRPr="00F25559">
        <w:rPr>
          <w:sz w:val="22"/>
          <w:szCs w:val="22"/>
        </w:rPr>
        <w:t xml:space="preserve">wages </w:t>
      </w:r>
      <w:r w:rsidR="00751992">
        <w:rPr>
          <w:sz w:val="22"/>
          <w:szCs w:val="22"/>
        </w:rPr>
        <w:t>when a</w:t>
      </w:r>
      <w:r w:rsidR="00D173A9">
        <w:rPr>
          <w:sz w:val="22"/>
          <w:szCs w:val="22"/>
        </w:rPr>
        <w:t xml:space="preserve"> </w:t>
      </w:r>
      <w:r w:rsidR="00FF222C" w:rsidRPr="00F25559">
        <w:rPr>
          <w:sz w:val="22"/>
          <w:szCs w:val="22"/>
        </w:rPr>
        <w:t xml:space="preserve">minimum wage </w:t>
      </w:r>
      <w:r w:rsidR="00751992">
        <w:rPr>
          <w:sz w:val="22"/>
          <w:szCs w:val="22"/>
        </w:rPr>
        <w:t xml:space="preserve">of </w:t>
      </w:r>
      <w:r w:rsidR="00FF222C" w:rsidRPr="00F25559">
        <w:rPr>
          <w:sz w:val="22"/>
          <w:szCs w:val="22"/>
        </w:rPr>
        <w:t>1300</w:t>
      </w:r>
      <w:r w:rsidR="00751992">
        <w:rPr>
          <w:sz w:val="22"/>
          <w:szCs w:val="22"/>
        </w:rPr>
        <w:t xml:space="preserve"> TL is imposed and under</w:t>
      </w:r>
      <w:r w:rsidR="00FF222C" w:rsidRPr="00F25559">
        <w:rPr>
          <w:sz w:val="22"/>
          <w:szCs w:val="22"/>
        </w:rPr>
        <w:t xml:space="preserve"> the assumption</w:t>
      </w:r>
      <w:r w:rsidR="00751992">
        <w:rPr>
          <w:sz w:val="22"/>
          <w:szCs w:val="22"/>
        </w:rPr>
        <w:t xml:space="preserve"> that</w:t>
      </w:r>
      <w:r w:rsidR="00743538" w:rsidRPr="00F25559">
        <w:rPr>
          <w:sz w:val="22"/>
          <w:szCs w:val="22"/>
        </w:rPr>
        <w:t xml:space="preserve"> </w:t>
      </w:r>
      <w:r w:rsidR="00751992">
        <w:rPr>
          <w:sz w:val="22"/>
          <w:szCs w:val="22"/>
        </w:rPr>
        <w:t>the wages above 1300 TL are not affected</w:t>
      </w:r>
      <w:r w:rsidR="00FF222C" w:rsidRPr="00F25559">
        <w:rPr>
          <w:sz w:val="22"/>
          <w:szCs w:val="22"/>
        </w:rPr>
        <w:t xml:space="preserve">. </w:t>
      </w:r>
      <w:r w:rsidR="00A31130" w:rsidRPr="00F25559">
        <w:rPr>
          <w:sz w:val="22"/>
          <w:szCs w:val="22"/>
        </w:rPr>
        <w:t xml:space="preserve">The third column </w:t>
      </w:r>
      <w:r w:rsidR="008B343E" w:rsidRPr="00F25559">
        <w:rPr>
          <w:sz w:val="22"/>
          <w:szCs w:val="22"/>
        </w:rPr>
        <w:t xml:space="preserve">gives </w:t>
      </w:r>
      <w:r w:rsidR="00BF6453">
        <w:rPr>
          <w:sz w:val="22"/>
          <w:szCs w:val="22"/>
        </w:rPr>
        <w:t>the</w:t>
      </w:r>
      <w:r w:rsidR="008B343E" w:rsidRPr="00F25559">
        <w:rPr>
          <w:sz w:val="22"/>
          <w:szCs w:val="22"/>
        </w:rPr>
        <w:t xml:space="preserve"> increase in mean wages </w:t>
      </w:r>
      <w:r w:rsidR="00BF6453">
        <w:rPr>
          <w:sz w:val="22"/>
          <w:szCs w:val="22"/>
        </w:rPr>
        <w:t>following the</w:t>
      </w:r>
      <w:r w:rsidR="008B343E" w:rsidRPr="00F25559">
        <w:rPr>
          <w:sz w:val="22"/>
          <w:szCs w:val="22"/>
        </w:rPr>
        <w:t xml:space="preserve"> minimum wage hike</w:t>
      </w:r>
      <w:r w:rsidR="00A348AE" w:rsidRPr="00F25559">
        <w:rPr>
          <w:sz w:val="22"/>
          <w:szCs w:val="22"/>
        </w:rPr>
        <w:t xml:space="preserve"> and lastly, the forth column indicates </w:t>
      </w:r>
      <w:r w:rsidR="003364B1">
        <w:rPr>
          <w:sz w:val="22"/>
          <w:szCs w:val="22"/>
        </w:rPr>
        <w:t>the</w:t>
      </w:r>
      <w:r w:rsidR="00A348AE" w:rsidRPr="00F25559">
        <w:rPr>
          <w:sz w:val="22"/>
          <w:szCs w:val="22"/>
        </w:rPr>
        <w:t xml:space="preserve"> percentage increase. </w:t>
      </w:r>
      <w:r w:rsidR="00090AD5" w:rsidRPr="00F25559">
        <w:rPr>
          <w:sz w:val="22"/>
          <w:szCs w:val="22"/>
        </w:rPr>
        <w:t>At this</w:t>
      </w:r>
      <w:r w:rsidR="007C7D47">
        <w:rPr>
          <w:sz w:val="22"/>
          <w:szCs w:val="22"/>
        </w:rPr>
        <w:t xml:space="preserve"> point, let us note again that this estimate is a lower bound given that it is very likely that the wages above the new minimum wage will increase as well, albeit with a lag. </w:t>
      </w:r>
    </w:p>
    <w:p w:rsidR="00617AE8" w:rsidRPr="00F25559" w:rsidRDefault="00617AE8" w:rsidP="00617AE8">
      <w:pPr>
        <w:spacing w:line="276" w:lineRule="auto"/>
        <w:rPr>
          <w:sz w:val="22"/>
          <w:szCs w:val="22"/>
        </w:rPr>
      </w:pPr>
      <w:bookmarkStart w:id="2" w:name="_Ref439625273"/>
    </w:p>
    <w:p w:rsidR="00D70C3E" w:rsidRPr="00F25559" w:rsidRDefault="00D70C3E" w:rsidP="00D70C3E">
      <w:pPr>
        <w:pStyle w:val="Caption"/>
        <w:keepNext/>
        <w:tabs>
          <w:tab w:val="left" w:pos="1236"/>
        </w:tabs>
        <w:rPr>
          <w:b/>
          <w:i w:val="0"/>
          <w:color w:val="auto"/>
          <w:sz w:val="22"/>
          <w:szCs w:val="22"/>
        </w:rPr>
      </w:pPr>
      <w:bookmarkStart w:id="3" w:name="_Ref439626094"/>
      <w:r w:rsidRPr="00F25559">
        <w:rPr>
          <w:b/>
          <w:i w:val="0"/>
          <w:color w:val="auto"/>
          <w:sz w:val="22"/>
          <w:szCs w:val="22"/>
        </w:rPr>
        <w:t xml:space="preserve">Table </w:t>
      </w:r>
      <w:r w:rsidR="00627368" w:rsidRPr="00F25559">
        <w:rPr>
          <w:b/>
          <w:i w:val="0"/>
          <w:color w:val="auto"/>
          <w:sz w:val="22"/>
          <w:szCs w:val="22"/>
        </w:rPr>
        <w:fldChar w:fldCharType="begin"/>
      </w:r>
      <w:r w:rsidRPr="00F25559">
        <w:rPr>
          <w:b/>
          <w:i w:val="0"/>
          <w:color w:val="auto"/>
          <w:sz w:val="22"/>
          <w:szCs w:val="22"/>
        </w:rPr>
        <w:instrText xml:space="preserve"> SEQ Tablo \* ARABIC </w:instrText>
      </w:r>
      <w:r w:rsidR="00627368" w:rsidRPr="00F25559">
        <w:rPr>
          <w:b/>
          <w:i w:val="0"/>
          <w:color w:val="auto"/>
          <w:sz w:val="22"/>
          <w:szCs w:val="22"/>
        </w:rPr>
        <w:fldChar w:fldCharType="separate"/>
      </w:r>
      <w:r w:rsidRPr="00F25559">
        <w:rPr>
          <w:b/>
          <w:i w:val="0"/>
          <w:noProof/>
          <w:color w:val="auto"/>
          <w:sz w:val="22"/>
          <w:szCs w:val="22"/>
        </w:rPr>
        <w:t>1</w:t>
      </w:r>
      <w:r w:rsidR="00627368" w:rsidRPr="00F25559">
        <w:rPr>
          <w:b/>
          <w:i w:val="0"/>
          <w:color w:val="auto"/>
          <w:sz w:val="22"/>
          <w:szCs w:val="22"/>
        </w:rPr>
        <w:fldChar w:fldCharType="end"/>
      </w:r>
      <w:bookmarkEnd w:id="2"/>
      <w:bookmarkEnd w:id="3"/>
      <w:r w:rsidRPr="00F25559">
        <w:rPr>
          <w:b/>
          <w:i w:val="0"/>
          <w:color w:val="auto"/>
          <w:sz w:val="22"/>
          <w:szCs w:val="22"/>
        </w:rPr>
        <w:t xml:space="preserve"> Effects of minimum wage hike to average wages by region</w:t>
      </w:r>
    </w:p>
    <w:tbl>
      <w:tblPr>
        <w:tblW w:w="9072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559"/>
        <w:gridCol w:w="1418"/>
        <w:gridCol w:w="1417"/>
      </w:tblGrid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3346D" w:rsidP="006C51C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Mean of</w:t>
            </w:r>
            <w:r w:rsidR="00D70C3E" w:rsidRPr="00F25559">
              <w:rPr>
                <w:b/>
                <w:sz w:val="22"/>
                <w:szCs w:val="22"/>
              </w:rPr>
              <w:t xml:space="preserve"> wage(TL)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 xml:space="preserve">Estimated </w:t>
            </w:r>
            <w:r w:rsidR="00D3346D">
              <w:rPr>
                <w:b/>
                <w:sz w:val="22"/>
                <w:szCs w:val="22"/>
              </w:rPr>
              <w:t>mean</w:t>
            </w:r>
            <w:r w:rsidRPr="00F25559">
              <w:rPr>
                <w:b/>
                <w:sz w:val="22"/>
                <w:szCs w:val="22"/>
              </w:rPr>
              <w:t xml:space="preserve"> wage by 1300TL minimum wage </w:t>
            </w:r>
          </w:p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3346D" w:rsidP="00D3346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Amount of i</w:t>
            </w:r>
            <w:r w:rsidR="00D70C3E" w:rsidRPr="00F25559">
              <w:rPr>
                <w:b/>
                <w:sz w:val="22"/>
                <w:szCs w:val="22"/>
              </w:rPr>
              <w:t xml:space="preserve">ncrease in </w:t>
            </w:r>
            <w:r>
              <w:rPr>
                <w:b/>
                <w:sz w:val="22"/>
                <w:szCs w:val="22"/>
              </w:rPr>
              <w:t>mean of</w:t>
            </w:r>
            <w:r w:rsidR="00D70C3E" w:rsidRPr="00F25559">
              <w:rPr>
                <w:b/>
                <w:sz w:val="22"/>
                <w:szCs w:val="22"/>
              </w:rPr>
              <w:t xml:space="preserve"> wages (TL)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D3346D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 xml:space="preserve">Increase in </w:t>
            </w:r>
            <w:r w:rsidR="00D3346D">
              <w:rPr>
                <w:b/>
                <w:sz w:val="22"/>
                <w:szCs w:val="22"/>
              </w:rPr>
              <w:t>mean of</w:t>
            </w:r>
            <w:r w:rsidRPr="00F25559">
              <w:rPr>
                <w:b/>
                <w:sz w:val="22"/>
                <w:szCs w:val="22"/>
              </w:rPr>
              <w:t xml:space="preserve"> wages (%) 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İstanbul (İstanbul)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1,935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2,031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5.0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Tekirdağ (Edirne-Tekirdağ-Kırklareli)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12.9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Balıkesir (Balıkesir-Çanakkale)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15.3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İzmir (İzmir)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10.0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Aydın (Denizli-Aydın-Muğla)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15.6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Manisa (Manisa-Afyonkarahisar-Kütahya-Uşak)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1,182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19.9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lastRenderedPageBreak/>
              <w:t>Bursa (Bursa-Eskişehir-Bilecik)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10.3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Kocaeli (Kocaeli-Sakarya-Düzce-Bolu-Yalova)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1,624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1,770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9.0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Ankara (Ankara)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1,760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1,876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6.6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Konya (Konya-Karaman)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13.4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Antalya (Antalya-Isparta-Burdur)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1,693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10.3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Adana (Adana-Mersin)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16.4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Hatay (Hatay-Kahramanmaraş-Osmaniye)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17.5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Kırıkkale (Nevşehir-Aksaray-Niğde-Kırıkkale-Kırşehir)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16.5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Kayseri (Kayseri-Sivas-Yozgat)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12.4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Zonguldak (Zonguldak-Karabük-Bartın)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1,616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13.6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Kastamonu (Kastamonu-Çankırı-Sinop)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23.4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Samsun (Samsun-Tokat-Çorum-Amasya)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Trabzon (Trabzon-Ordu-Giresun-Rize-Artvin-Gümüşhane)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14.8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Erzurum (Erzurum-Erzincan-Bayburt)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15.2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Ağrı (Kars-Ağrı-Iğdır-Ardahan)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14.7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Malatya (Malatya-Elazığ-Bingöl-Tunceli)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1,188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20.6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Van (Van-Muş-Bitlis-Hakkâri)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13.0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Gaziantep (Gaziantep-Adıyaman-Kilis)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16.1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Şanlıurfa (Diyarbakır-Şanlıurfa)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16.4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Mardin (Siirt-Mardin-Batman-Şırnak)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i/>
                <w:sz w:val="22"/>
                <w:szCs w:val="22"/>
              </w:rPr>
              <w:t>Türkiye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1,595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1,749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9.7</w:t>
            </w:r>
          </w:p>
        </w:tc>
      </w:tr>
    </w:tbl>
    <w:p w:rsidR="00D70C3E" w:rsidRPr="00F25559" w:rsidRDefault="00D70C3E" w:rsidP="00D70C3E">
      <w:pPr>
        <w:spacing w:line="276" w:lineRule="auto"/>
        <w:rPr>
          <w:sz w:val="20"/>
          <w:szCs w:val="20"/>
        </w:rPr>
      </w:pPr>
      <w:r w:rsidRPr="00F25559">
        <w:rPr>
          <w:sz w:val="20"/>
          <w:szCs w:val="20"/>
        </w:rPr>
        <w:t xml:space="preserve">Source: HLFS 2013, Betam update for November 2015 </w:t>
      </w:r>
    </w:p>
    <w:p w:rsidR="00D70C3E" w:rsidRPr="00F25559" w:rsidRDefault="00D70C3E" w:rsidP="00D70C3E">
      <w:pPr>
        <w:spacing w:line="276" w:lineRule="auto"/>
        <w:rPr>
          <w:sz w:val="20"/>
          <w:szCs w:val="20"/>
        </w:rPr>
      </w:pPr>
    </w:p>
    <w:p w:rsidR="00D70C3E" w:rsidRPr="00F25559" w:rsidRDefault="00D70C3E" w:rsidP="00B744FD">
      <w:pPr>
        <w:spacing w:line="276" w:lineRule="auto"/>
        <w:rPr>
          <w:sz w:val="22"/>
          <w:szCs w:val="22"/>
        </w:rPr>
      </w:pPr>
    </w:p>
    <w:p w:rsidR="00090AD5" w:rsidRPr="00F25559" w:rsidRDefault="00947A48" w:rsidP="00F7298A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t xml:space="preserve">The data shows that </w:t>
      </w:r>
      <w:r w:rsidR="004D0145">
        <w:rPr>
          <w:sz w:val="22"/>
          <w:szCs w:val="22"/>
        </w:rPr>
        <w:t xml:space="preserve">mean </w:t>
      </w:r>
      <w:r w:rsidR="008E546C" w:rsidRPr="00F25559">
        <w:rPr>
          <w:sz w:val="22"/>
          <w:szCs w:val="22"/>
        </w:rPr>
        <w:t>wages are very close to 1300</w:t>
      </w:r>
      <w:r w:rsidR="004D0145">
        <w:rPr>
          <w:sz w:val="22"/>
          <w:szCs w:val="22"/>
        </w:rPr>
        <w:t xml:space="preserve"> </w:t>
      </w:r>
      <w:r w:rsidR="004D0145" w:rsidRPr="00F25559">
        <w:rPr>
          <w:sz w:val="22"/>
          <w:szCs w:val="22"/>
        </w:rPr>
        <w:t>TL</w:t>
      </w:r>
      <w:r w:rsidR="008E546C" w:rsidRPr="00F25559">
        <w:rPr>
          <w:sz w:val="22"/>
          <w:szCs w:val="22"/>
        </w:rPr>
        <w:t>.</w:t>
      </w:r>
      <w:r w:rsidR="009422A1" w:rsidRPr="00F25559">
        <w:rPr>
          <w:sz w:val="22"/>
          <w:szCs w:val="22"/>
        </w:rPr>
        <w:t xml:space="preserve"> </w:t>
      </w:r>
      <w:r w:rsidR="00173715" w:rsidRPr="00F25559">
        <w:rPr>
          <w:sz w:val="22"/>
          <w:szCs w:val="22"/>
        </w:rPr>
        <w:t>Hence</w:t>
      </w:r>
      <w:r w:rsidR="00B77965" w:rsidRPr="00F25559">
        <w:rPr>
          <w:sz w:val="22"/>
          <w:szCs w:val="22"/>
        </w:rPr>
        <w:t xml:space="preserve">, </w:t>
      </w:r>
      <w:r w:rsidR="00F7298A">
        <w:rPr>
          <w:sz w:val="22"/>
          <w:szCs w:val="22"/>
        </w:rPr>
        <w:t xml:space="preserve">mean wages will increase by more than 10 percent in all regions, but three. The increase will be less than 10 percent only in </w:t>
      </w:r>
      <w:r w:rsidR="00B77965" w:rsidRPr="00F25559">
        <w:rPr>
          <w:sz w:val="22"/>
          <w:szCs w:val="22"/>
        </w:rPr>
        <w:t>Istanbul, Kocaeli, and Ankara</w:t>
      </w:r>
      <w:r w:rsidR="00F7298A">
        <w:rPr>
          <w:sz w:val="22"/>
          <w:szCs w:val="22"/>
        </w:rPr>
        <w:t xml:space="preserve"> regions</w:t>
      </w:r>
      <w:r w:rsidR="00B77965" w:rsidRPr="00F25559">
        <w:rPr>
          <w:sz w:val="22"/>
          <w:szCs w:val="22"/>
        </w:rPr>
        <w:t xml:space="preserve">. </w:t>
      </w:r>
      <w:r w:rsidR="004F6428">
        <w:rPr>
          <w:sz w:val="22"/>
          <w:szCs w:val="22"/>
        </w:rPr>
        <w:t>The</w:t>
      </w:r>
      <w:r w:rsidR="0096300B" w:rsidRPr="00F25559">
        <w:rPr>
          <w:sz w:val="22"/>
          <w:szCs w:val="22"/>
        </w:rPr>
        <w:t xml:space="preserve"> increases in the regions of Manisa, Kastamonu, Ma</w:t>
      </w:r>
      <w:r w:rsidR="004F6428">
        <w:rPr>
          <w:sz w:val="22"/>
          <w:szCs w:val="22"/>
        </w:rPr>
        <w:t xml:space="preserve">latya and Mardin are estimated to be </w:t>
      </w:r>
      <w:r w:rsidR="00552FD8">
        <w:rPr>
          <w:sz w:val="22"/>
          <w:szCs w:val="22"/>
        </w:rPr>
        <w:t>greater than</w:t>
      </w:r>
      <w:r w:rsidR="004F6428">
        <w:rPr>
          <w:sz w:val="22"/>
          <w:szCs w:val="22"/>
        </w:rPr>
        <w:t xml:space="preserve"> </w:t>
      </w:r>
      <w:r w:rsidR="0096300B" w:rsidRPr="00F25559">
        <w:rPr>
          <w:sz w:val="22"/>
          <w:szCs w:val="22"/>
        </w:rPr>
        <w:t xml:space="preserve">20 percent. </w:t>
      </w:r>
      <w:r w:rsidR="0094747C">
        <w:rPr>
          <w:sz w:val="22"/>
          <w:szCs w:val="22"/>
        </w:rPr>
        <w:t>More generally, m</w:t>
      </w:r>
      <w:r w:rsidR="00AD4505" w:rsidRPr="00F25559">
        <w:rPr>
          <w:sz w:val="22"/>
          <w:szCs w:val="22"/>
        </w:rPr>
        <w:t xml:space="preserve">ean </w:t>
      </w:r>
      <w:r w:rsidR="0094747C">
        <w:rPr>
          <w:sz w:val="22"/>
          <w:szCs w:val="22"/>
        </w:rPr>
        <w:t xml:space="preserve">wages </w:t>
      </w:r>
      <w:r w:rsidR="00AD4505" w:rsidRPr="00F25559">
        <w:rPr>
          <w:sz w:val="22"/>
          <w:szCs w:val="22"/>
        </w:rPr>
        <w:t xml:space="preserve">in Turkey </w:t>
      </w:r>
      <w:r w:rsidR="00EC376B" w:rsidRPr="00F25559">
        <w:rPr>
          <w:sz w:val="22"/>
          <w:szCs w:val="22"/>
        </w:rPr>
        <w:t xml:space="preserve">are </w:t>
      </w:r>
      <w:r w:rsidR="0094747C">
        <w:rPr>
          <w:sz w:val="22"/>
          <w:szCs w:val="22"/>
        </w:rPr>
        <w:t>expected</w:t>
      </w:r>
      <w:r w:rsidR="00EC376B" w:rsidRPr="00F25559">
        <w:rPr>
          <w:sz w:val="22"/>
          <w:szCs w:val="22"/>
        </w:rPr>
        <w:t xml:space="preserve"> to increase by 9.7 percent. </w:t>
      </w:r>
      <w:r w:rsidR="007305F1">
        <w:rPr>
          <w:sz w:val="22"/>
          <w:szCs w:val="22"/>
        </w:rPr>
        <w:t>The reason behind the</w:t>
      </w:r>
      <w:r w:rsidR="00346DFD" w:rsidRPr="00F25559">
        <w:rPr>
          <w:sz w:val="22"/>
          <w:szCs w:val="22"/>
        </w:rPr>
        <w:t xml:space="preserve"> relatively moderate rise is that </w:t>
      </w:r>
      <w:r w:rsidR="00034B7D" w:rsidRPr="00F25559">
        <w:rPr>
          <w:sz w:val="22"/>
          <w:szCs w:val="22"/>
        </w:rPr>
        <w:t>44.8 per</w:t>
      </w:r>
      <w:r w:rsidR="00FB6726">
        <w:rPr>
          <w:sz w:val="22"/>
          <w:szCs w:val="22"/>
        </w:rPr>
        <w:t xml:space="preserve">cent of wage-earners are </w:t>
      </w:r>
      <w:r w:rsidR="00FA3B18" w:rsidRPr="00F25559">
        <w:rPr>
          <w:sz w:val="22"/>
          <w:szCs w:val="22"/>
        </w:rPr>
        <w:t xml:space="preserve">clustered </w:t>
      </w:r>
      <w:r w:rsidR="00034B7D" w:rsidRPr="00F25559">
        <w:rPr>
          <w:sz w:val="22"/>
          <w:szCs w:val="22"/>
        </w:rPr>
        <w:t xml:space="preserve">in </w:t>
      </w:r>
      <w:r w:rsidR="007305F1">
        <w:rPr>
          <w:sz w:val="22"/>
          <w:szCs w:val="22"/>
        </w:rPr>
        <w:t xml:space="preserve">the </w:t>
      </w:r>
      <w:r w:rsidR="00034B7D" w:rsidRPr="00F25559">
        <w:rPr>
          <w:sz w:val="22"/>
          <w:szCs w:val="22"/>
        </w:rPr>
        <w:t>three regions which have</w:t>
      </w:r>
      <w:r w:rsidR="007305F1">
        <w:rPr>
          <w:sz w:val="22"/>
          <w:szCs w:val="22"/>
        </w:rPr>
        <w:t xml:space="preserve"> the</w:t>
      </w:r>
      <w:r w:rsidR="00034B7D" w:rsidRPr="00F25559">
        <w:rPr>
          <w:sz w:val="22"/>
          <w:szCs w:val="22"/>
        </w:rPr>
        <w:t xml:space="preserve"> </w:t>
      </w:r>
      <w:r w:rsidR="004D0B01" w:rsidRPr="00F25559">
        <w:rPr>
          <w:sz w:val="22"/>
          <w:szCs w:val="22"/>
        </w:rPr>
        <w:t xml:space="preserve">lower </w:t>
      </w:r>
      <w:r w:rsidR="0029135A" w:rsidRPr="00F25559">
        <w:rPr>
          <w:sz w:val="22"/>
          <w:szCs w:val="22"/>
        </w:rPr>
        <w:t xml:space="preserve">rates of increase. </w:t>
      </w:r>
      <w:r w:rsidR="00BC296B" w:rsidRPr="00F25559">
        <w:rPr>
          <w:sz w:val="22"/>
          <w:szCs w:val="22"/>
        </w:rPr>
        <w:t xml:space="preserve">These three regions are the ones that have highest </w:t>
      </w:r>
      <w:r w:rsidR="00BA4400">
        <w:rPr>
          <w:sz w:val="22"/>
          <w:szCs w:val="22"/>
        </w:rPr>
        <w:t>mean wages</w:t>
      </w:r>
      <w:r w:rsidR="00BC296B" w:rsidRPr="00F25559">
        <w:rPr>
          <w:sz w:val="22"/>
          <w:szCs w:val="22"/>
        </w:rPr>
        <w:t xml:space="preserve"> (</w:t>
      </w:r>
      <w:r w:rsidR="00DD4612">
        <w:fldChar w:fldCharType="begin"/>
      </w:r>
      <w:r w:rsidR="00DD4612">
        <w:instrText xml:space="preserve"> REF _Ref439626094 \h  \* MERGEFORMAT </w:instrText>
      </w:r>
      <w:r w:rsidR="00DD4612">
        <w:fldChar w:fldCharType="separate"/>
      </w:r>
      <w:r w:rsidR="00BC296B" w:rsidRPr="00F25559">
        <w:rPr>
          <w:sz w:val="22"/>
          <w:szCs w:val="22"/>
        </w:rPr>
        <w:t>Table 1</w:t>
      </w:r>
      <w:r w:rsidR="00DD4612">
        <w:fldChar w:fldCharType="end"/>
      </w:r>
      <w:r w:rsidR="00BC296B" w:rsidRPr="00F25559">
        <w:rPr>
          <w:sz w:val="22"/>
          <w:szCs w:val="22"/>
        </w:rPr>
        <w:t xml:space="preserve">). </w:t>
      </w:r>
    </w:p>
    <w:p w:rsidR="009422A1" w:rsidRPr="00F25559" w:rsidRDefault="009422A1" w:rsidP="00B744FD">
      <w:pPr>
        <w:spacing w:line="276" w:lineRule="auto"/>
        <w:rPr>
          <w:sz w:val="22"/>
          <w:szCs w:val="22"/>
        </w:rPr>
      </w:pPr>
    </w:p>
    <w:p w:rsidR="00CF0F4C" w:rsidRDefault="00272C27" w:rsidP="00CF0F4C">
      <w:pPr>
        <w:spacing w:line="276" w:lineRule="auto"/>
        <w:rPr>
          <w:sz w:val="22"/>
          <w:szCs w:val="22"/>
        </w:rPr>
      </w:pPr>
      <w:r w:rsidRPr="00F25559">
        <w:rPr>
          <w:sz w:val="22"/>
          <w:szCs w:val="22"/>
        </w:rPr>
        <w:lastRenderedPageBreak/>
        <w:t xml:space="preserve">It is well-known that the distribution of wages </w:t>
      </w:r>
      <w:r w:rsidR="00021F87">
        <w:rPr>
          <w:sz w:val="22"/>
          <w:szCs w:val="22"/>
        </w:rPr>
        <w:t>is skewed compared</w:t>
      </w:r>
      <w:r w:rsidR="004027CB" w:rsidRPr="00F25559">
        <w:rPr>
          <w:sz w:val="22"/>
          <w:szCs w:val="22"/>
        </w:rPr>
        <w:t xml:space="preserve"> to </w:t>
      </w:r>
      <w:r w:rsidR="00021F87">
        <w:rPr>
          <w:sz w:val="22"/>
          <w:szCs w:val="22"/>
        </w:rPr>
        <w:t xml:space="preserve">a </w:t>
      </w:r>
      <w:r w:rsidR="004027CB" w:rsidRPr="00F25559">
        <w:rPr>
          <w:sz w:val="22"/>
          <w:szCs w:val="22"/>
        </w:rPr>
        <w:t xml:space="preserve">normal distribution. In other words, </w:t>
      </w:r>
      <w:r w:rsidR="00E958CB">
        <w:rPr>
          <w:sz w:val="22"/>
          <w:szCs w:val="22"/>
        </w:rPr>
        <w:t xml:space="preserve">very high wages, even though they are rare, increase the mean wage, whereas lower wages are more common. </w:t>
      </w:r>
      <w:r w:rsidR="00E65602" w:rsidRPr="00F25559">
        <w:rPr>
          <w:sz w:val="22"/>
          <w:szCs w:val="22"/>
        </w:rPr>
        <w:t xml:space="preserve">Under these conditions, </w:t>
      </w:r>
      <w:r w:rsidR="00FF09EE">
        <w:rPr>
          <w:sz w:val="22"/>
          <w:szCs w:val="22"/>
        </w:rPr>
        <w:t xml:space="preserve">the median provides a better estimate of the central tendency. </w:t>
      </w:r>
      <w:r w:rsidR="00267F8B" w:rsidRPr="00F25559">
        <w:rPr>
          <w:sz w:val="22"/>
          <w:szCs w:val="22"/>
        </w:rPr>
        <w:t xml:space="preserve">Median </w:t>
      </w:r>
      <w:r w:rsidR="00FF09EE">
        <w:rPr>
          <w:sz w:val="22"/>
          <w:szCs w:val="22"/>
        </w:rPr>
        <w:t>wage</w:t>
      </w:r>
      <w:r w:rsidR="00267F8B" w:rsidRPr="00F25559">
        <w:rPr>
          <w:sz w:val="22"/>
          <w:szCs w:val="22"/>
        </w:rPr>
        <w:t xml:space="preserve"> </w:t>
      </w:r>
      <w:r w:rsidR="00FF09EE">
        <w:rPr>
          <w:sz w:val="22"/>
          <w:szCs w:val="22"/>
        </w:rPr>
        <w:t>corresponds to mid-</w:t>
      </w:r>
      <w:r w:rsidR="0094480F" w:rsidRPr="00F25559">
        <w:rPr>
          <w:sz w:val="22"/>
          <w:szCs w:val="22"/>
        </w:rPr>
        <w:t xml:space="preserve">point </w:t>
      </w:r>
      <w:r w:rsidR="00FF09EE">
        <w:rPr>
          <w:sz w:val="22"/>
          <w:szCs w:val="22"/>
        </w:rPr>
        <w:t xml:space="preserve">when wages are </w:t>
      </w:r>
      <w:r w:rsidR="00B07CE7">
        <w:rPr>
          <w:sz w:val="22"/>
          <w:szCs w:val="22"/>
        </w:rPr>
        <w:t>sorted in</w:t>
      </w:r>
      <w:r w:rsidR="00614B6A" w:rsidRPr="00F25559">
        <w:rPr>
          <w:sz w:val="22"/>
          <w:szCs w:val="22"/>
        </w:rPr>
        <w:t xml:space="preserve"> ascending</w:t>
      </w:r>
      <w:r w:rsidR="00085DDF">
        <w:rPr>
          <w:sz w:val="22"/>
          <w:szCs w:val="22"/>
        </w:rPr>
        <w:t>/descending</w:t>
      </w:r>
      <w:r w:rsidR="00614B6A" w:rsidRPr="00F25559">
        <w:rPr>
          <w:sz w:val="22"/>
          <w:szCs w:val="22"/>
        </w:rPr>
        <w:t xml:space="preserve"> order</w:t>
      </w:r>
      <w:r w:rsidR="001A3236">
        <w:rPr>
          <w:sz w:val="22"/>
          <w:szCs w:val="22"/>
        </w:rPr>
        <w:t>. Put</w:t>
      </w:r>
      <w:r w:rsidR="007263DE" w:rsidRPr="00F25559">
        <w:rPr>
          <w:sz w:val="22"/>
          <w:szCs w:val="22"/>
        </w:rPr>
        <w:t xml:space="preserve"> differently, half of </w:t>
      </w:r>
      <w:r w:rsidR="006417DB">
        <w:rPr>
          <w:sz w:val="22"/>
          <w:szCs w:val="22"/>
        </w:rPr>
        <w:t xml:space="preserve">all </w:t>
      </w:r>
      <w:r w:rsidR="007263DE" w:rsidRPr="00F25559">
        <w:rPr>
          <w:sz w:val="22"/>
          <w:szCs w:val="22"/>
        </w:rPr>
        <w:t xml:space="preserve">wages are below of </w:t>
      </w:r>
      <w:r w:rsidR="006417DB">
        <w:rPr>
          <w:sz w:val="22"/>
          <w:szCs w:val="22"/>
        </w:rPr>
        <w:t xml:space="preserve">the </w:t>
      </w:r>
      <w:r w:rsidR="007263DE" w:rsidRPr="00F25559">
        <w:rPr>
          <w:sz w:val="22"/>
          <w:szCs w:val="22"/>
        </w:rPr>
        <w:t xml:space="preserve">median </w:t>
      </w:r>
      <w:r w:rsidR="006417DB">
        <w:rPr>
          <w:sz w:val="22"/>
          <w:szCs w:val="22"/>
        </w:rPr>
        <w:t>wage</w:t>
      </w:r>
      <w:r w:rsidR="00940E22" w:rsidRPr="00F25559">
        <w:rPr>
          <w:sz w:val="22"/>
          <w:szCs w:val="22"/>
        </w:rPr>
        <w:t>, and</w:t>
      </w:r>
      <w:r w:rsidR="007263DE" w:rsidRPr="00F25559">
        <w:rPr>
          <w:sz w:val="22"/>
          <w:szCs w:val="22"/>
        </w:rPr>
        <w:t xml:space="preserve"> </w:t>
      </w:r>
      <w:r w:rsidR="006417DB">
        <w:rPr>
          <w:sz w:val="22"/>
          <w:szCs w:val="22"/>
        </w:rPr>
        <w:t>half are above</w:t>
      </w:r>
      <w:r w:rsidR="007263DE" w:rsidRPr="00F25559">
        <w:rPr>
          <w:sz w:val="22"/>
          <w:szCs w:val="22"/>
        </w:rPr>
        <w:t xml:space="preserve">. </w:t>
      </w:r>
      <w:r w:rsidR="00DD4612">
        <w:fldChar w:fldCharType="begin"/>
      </w:r>
      <w:r w:rsidR="00DD4612">
        <w:instrText xml:space="preserve"> REF _Ref439626185 \h  \* MERGEFORMAT </w:instrText>
      </w:r>
      <w:r w:rsidR="00DD4612">
        <w:fldChar w:fldCharType="separate"/>
      </w:r>
      <w:r w:rsidR="001073B0" w:rsidRPr="00F25559">
        <w:rPr>
          <w:sz w:val="22"/>
          <w:szCs w:val="22"/>
        </w:rPr>
        <w:t>Table 3</w:t>
      </w:r>
      <w:r w:rsidR="00DD4612">
        <w:fldChar w:fldCharType="end"/>
      </w:r>
      <w:r w:rsidR="001073B0" w:rsidRPr="00F25559">
        <w:t xml:space="preserve"> </w:t>
      </w:r>
      <w:r w:rsidR="001073B0" w:rsidRPr="00F25559">
        <w:rPr>
          <w:sz w:val="22"/>
          <w:szCs w:val="22"/>
        </w:rPr>
        <w:t xml:space="preserve">represents </w:t>
      </w:r>
      <w:r w:rsidR="00295036" w:rsidRPr="00F25559">
        <w:rPr>
          <w:sz w:val="22"/>
          <w:szCs w:val="22"/>
        </w:rPr>
        <w:t xml:space="preserve">current median </w:t>
      </w:r>
      <w:r w:rsidR="00CF0F4C">
        <w:rPr>
          <w:sz w:val="22"/>
          <w:szCs w:val="22"/>
        </w:rPr>
        <w:t>wages</w:t>
      </w:r>
      <w:r w:rsidR="00295036" w:rsidRPr="00F25559">
        <w:rPr>
          <w:sz w:val="22"/>
          <w:szCs w:val="22"/>
        </w:rPr>
        <w:t xml:space="preserve">, </w:t>
      </w:r>
      <w:r w:rsidR="00CF0F4C">
        <w:rPr>
          <w:sz w:val="22"/>
          <w:szCs w:val="22"/>
        </w:rPr>
        <w:t>the</w:t>
      </w:r>
      <w:r w:rsidR="00295036" w:rsidRPr="00F25559">
        <w:rPr>
          <w:sz w:val="22"/>
          <w:szCs w:val="22"/>
        </w:rPr>
        <w:t xml:space="preserve"> expected median </w:t>
      </w:r>
      <w:r w:rsidR="00CF0F4C">
        <w:rPr>
          <w:sz w:val="22"/>
          <w:szCs w:val="22"/>
        </w:rPr>
        <w:t xml:space="preserve">wage following a minimum wage hike, the expected increase in median wages in levels and in percentages. </w:t>
      </w:r>
    </w:p>
    <w:p w:rsidR="00CF0F4C" w:rsidRDefault="00CF0F4C" w:rsidP="00CF0F4C">
      <w:pPr>
        <w:spacing w:line="276" w:lineRule="auto"/>
        <w:rPr>
          <w:sz w:val="22"/>
          <w:szCs w:val="22"/>
        </w:rPr>
      </w:pPr>
    </w:p>
    <w:p w:rsidR="00D70C3E" w:rsidRPr="00F25559" w:rsidRDefault="00FB6726" w:rsidP="00D70C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Analysis on</w:t>
      </w:r>
      <w:r w:rsidR="00217619" w:rsidRPr="00F25559">
        <w:rPr>
          <w:sz w:val="22"/>
          <w:szCs w:val="22"/>
        </w:rPr>
        <w:t xml:space="preserve"> current values of median wages reveals that only in Istanbul and Ankara regions, median </w:t>
      </w:r>
      <w:r w:rsidR="007340CC">
        <w:rPr>
          <w:sz w:val="22"/>
          <w:szCs w:val="22"/>
        </w:rPr>
        <w:t>wage</w:t>
      </w:r>
      <w:r w:rsidR="00217619" w:rsidRPr="00F25559">
        <w:rPr>
          <w:sz w:val="22"/>
          <w:szCs w:val="22"/>
        </w:rPr>
        <w:t xml:space="preserve"> are above of 1300</w:t>
      </w:r>
      <w:r w:rsidR="007340CC">
        <w:rPr>
          <w:sz w:val="22"/>
          <w:szCs w:val="22"/>
        </w:rPr>
        <w:t xml:space="preserve"> TL</w:t>
      </w:r>
      <w:r w:rsidR="00D40E15">
        <w:rPr>
          <w:sz w:val="22"/>
          <w:szCs w:val="22"/>
        </w:rPr>
        <w:t xml:space="preserve">, </w:t>
      </w:r>
      <w:r w:rsidR="00D64C7B">
        <w:rPr>
          <w:sz w:val="22"/>
          <w:szCs w:val="22"/>
        </w:rPr>
        <w:t>That is, in other regions,</w:t>
      </w:r>
      <w:r w:rsidR="00217619" w:rsidRPr="00F25559">
        <w:rPr>
          <w:sz w:val="22"/>
          <w:szCs w:val="22"/>
        </w:rPr>
        <w:t xml:space="preserve"> </w:t>
      </w:r>
      <w:r w:rsidR="008012C4" w:rsidRPr="00F25559">
        <w:rPr>
          <w:sz w:val="22"/>
          <w:szCs w:val="22"/>
        </w:rPr>
        <w:t xml:space="preserve"> </w:t>
      </w:r>
      <w:r w:rsidR="00424F62" w:rsidRPr="00F25559">
        <w:rPr>
          <w:sz w:val="22"/>
          <w:szCs w:val="22"/>
        </w:rPr>
        <w:t xml:space="preserve">more than half of </w:t>
      </w:r>
      <w:r w:rsidR="00121768" w:rsidRPr="00F25559">
        <w:rPr>
          <w:sz w:val="22"/>
          <w:szCs w:val="22"/>
        </w:rPr>
        <w:t>formally employed, full-</w:t>
      </w:r>
      <w:r w:rsidR="00424F62" w:rsidRPr="00F25559">
        <w:rPr>
          <w:sz w:val="22"/>
          <w:szCs w:val="22"/>
        </w:rPr>
        <w:t>time workers in private sector</w:t>
      </w:r>
      <w:r w:rsidR="00121768" w:rsidRPr="00F25559">
        <w:rPr>
          <w:sz w:val="22"/>
          <w:szCs w:val="22"/>
        </w:rPr>
        <w:t xml:space="preserve"> are </w:t>
      </w:r>
      <w:r w:rsidR="00121768" w:rsidRPr="00FB6726">
        <w:rPr>
          <w:sz w:val="22"/>
          <w:szCs w:val="22"/>
        </w:rPr>
        <w:t>earning less than</w:t>
      </w:r>
      <w:r w:rsidR="00121768" w:rsidRPr="00F25559">
        <w:rPr>
          <w:sz w:val="22"/>
          <w:szCs w:val="22"/>
        </w:rPr>
        <w:t xml:space="preserve"> 1300</w:t>
      </w:r>
      <w:r w:rsidR="007340CC">
        <w:rPr>
          <w:sz w:val="22"/>
          <w:szCs w:val="22"/>
        </w:rPr>
        <w:t xml:space="preserve"> </w:t>
      </w:r>
      <w:r w:rsidR="007340CC" w:rsidRPr="00F25559">
        <w:rPr>
          <w:sz w:val="22"/>
          <w:szCs w:val="22"/>
        </w:rPr>
        <w:t>TL</w:t>
      </w:r>
      <w:r w:rsidR="00121768" w:rsidRPr="00F25559">
        <w:rPr>
          <w:sz w:val="22"/>
          <w:szCs w:val="22"/>
        </w:rPr>
        <w:t xml:space="preserve">. The </w:t>
      </w:r>
      <w:r w:rsidR="00A56795" w:rsidRPr="00F25559">
        <w:rPr>
          <w:sz w:val="22"/>
          <w:szCs w:val="22"/>
        </w:rPr>
        <w:t xml:space="preserve">median </w:t>
      </w:r>
      <w:r w:rsidR="00D64C7B">
        <w:rPr>
          <w:sz w:val="22"/>
          <w:szCs w:val="22"/>
        </w:rPr>
        <w:t>wages in Istanbul and Ankara, remain the same following the minimum wage hike. On the other hand,</w:t>
      </w:r>
      <w:r w:rsidR="00A25C32" w:rsidRPr="00F25559">
        <w:rPr>
          <w:sz w:val="22"/>
          <w:szCs w:val="22"/>
        </w:rPr>
        <w:t xml:space="preserve"> </w:t>
      </w:r>
      <w:r w:rsidR="00D64C7B">
        <w:rPr>
          <w:sz w:val="22"/>
          <w:szCs w:val="22"/>
        </w:rPr>
        <w:t>in all of 24 remaining</w:t>
      </w:r>
      <w:r w:rsidR="0002350F" w:rsidRPr="00F25559">
        <w:rPr>
          <w:sz w:val="22"/>
          <w:szCs w:val="22"/>
        </w:rPr>
        <w:t xml:space="preserve"> regio</w:t>
      </w:r>
      <w:r w:rsidR="00A25C32" w:rsidRPr="00F25559">
        <w:rPr>
          <w:sz w:val="22"/>
          <w:szCs w:val="22"/>
        </w:rPr>
        <w:t>ns, med</w:t>
      </w:r>
      <w:r w:rsidR="007340CC">
        <w:rPr>
          <w:sz w:val="22"/>
          <w:szCs w:val="22"/>
        </w:rPr>
        <w:t xml:space="preserve">ian </w:t>
      </w:r>
      <w:r w:rsidR="00D64C7B">
        <w:rPr>
          <w:sz w:val="22"/>
          <w:szCs w:val="22"/>
        </w:rPr>
        <w:t>wage</w:t>
      </w:r>
      <w:r w:rsidR="007340CC">
        <w:rPr>
          <w:sz w:val="22"/>
          <w:szCs w:val="22"/>
        </w:rPr>
        <w:t xml:space="preserve"> will increase to </w:t>
      </w:r>
      <w:r w:rsidR="00A25C32" w:rsidRPr="00F25559">
        <w:rPr>
          <w:sz w:val="22"/>
          <w:szCs w:val="22"/>
        </w:rPr>
        <w:t>1300</w:t>
      </w:r>
      <w:r w:rsidR="007340CC" w:rsidRPr="007340CC">
        <w:rPr>
          <w:sz w:val="22"/>
          <w:szCs w:val="22"/>
        </w:rPr>
        <w:t xml:space="preserve"> </w:t>
      </w:r>
      <w:r w:rsidR="007340CC" w:rsidRPr="00F25559">
        <w:rPr>
          <w:sz w:val="22"/>
          <w:szCs w:val="22"/>
        </w:rPr>
        <w:t>TL</w:t>
      </w:r>
      <w:r w:rsidR="00A25C32" w:rsidRPr="00F25559">
        <w:rPr>
          <w:sz w:val="22"/>
          <w:szCs w:val="22"/>
        </w:rPr>
        <w:t xml:space="preserve">, i.e. minimum wage </w:t>
      </w:r>
      <w:r>
        <w:rPr>
          <w:sz w:val="22"/>
          <w:szCs w:val="22"/>
        </w:rPr>
        <w:t>hike</w:t>
      </w:r>
      <w:r w:rsidR="007340CC">
        <w:rPr>
          <w:sz w:val="22"/>
          <w:szCs w:val="22"/>
        </w:rPr>
        <w:t xml:space="preserve"> </w:t>
      </w:r>
      <w:r w:rsidR="00817C79" w:rsidRPr="00F25559">
        <w:rPr>
          <w:sz w:val="22"/>
          <w:szCs w:val="22"/>
        </w:rPr>
        <w:t xml:space="preserve">will make increase the wages of </w:t>
      </w:r>
      <w:r w:rsidR="003559D4">
        <w:rPr>
          <w:sz w:val="22"/>
          <w:szCs w:val="22"/>
        </w:rPr>
        <w:t xml:space="preserve">more than </w:t>
      </w:r>
      <w:r w:rsidR="00817C79" w:rsidRPr="00F25559">
        <w:rPr>
          <w:sz w:val="22"/>
          <w:szCs w:val="22"/>
        </w:rPr>
        <w:t xml:space="preserve">half of </w:t>
      </w:r>
      <w:r w:rsidR="00B84754">
        <w:rPr>
          <w:sz w:val="22"/>
          <w:szCs w:val="22"/>
        </w:rPr>
        <w:t xml:space="preserve">all </w:t>
      </w:r>
      <w:r w:rsidR="00817C79" w:rsidRPr="00F25559">
        <w:rPr>
          <w:sz w:val="22"/>
          <w:szCs w:val="22"/>
        </w:rPr>
        <w:t xml:space="preserve">formal and full-time workers employed in private sector in these 24 regions. </w:t>
      </w:r>
    </w:p>
    <w:p w:rsidR="00D70C3E" w:rsidRPr="00F25559" w:rsidRDefault="00D70C3E" w:rsidP="00D70C3E">
      <w:pPr>
        <w:spacing w:line="276" w:lineRule="auto"/>
        <w:rPr>
          <w:sz w:val="22"/>
          <w:szCs w:val="22"/>
        </w:rPr>
      </w:pPr>
    </w:p>
    <w:p w:rsidR="00D70C3E" w:rsidRPr="00F25559" w:rsidRDefault="00D70C3E" w:rsidP="00D70C3E">
      <w:pPr>
        <w:pStyle w:val="Caption"/>
        <w:keepNext/>
        <w:rPr>
          <w:b/>
          <w:i w:val="0"/>
          <w:color w:val="auto"/>
          <w:sz w:val="22"/>
          <w:szCs w:val="22"/>
        </w:rPr>
      </w:pPr>
      <w:bookmarkStart w:id="4" w:name="_Ref439624935"/>
      <w:r w:rsidRPr="00F25559">
        <w:rPr>
          <w:b/>
          <w:i w:val="0"/>
          <w:color w:val="auto"/>
          <w:sz w:val="22"/>
          <w:szCs w:val="22"/>
        </w:rPr>
        <w:t xml:space="preserve">Table </w:t>
      </w:r>
      <w:r w:rsidR="00627368" w:rsidRPr="00F25559">
        <w:rPr>
          <w:b/>
          <w:i w:val="0"/>
          <w:color w:val="auto"/>
          <w:sz w:val="22"/>
          <w:szCs w:val="22"/>
        </w:rPr>
        <w:fldChar w:fldCharType="begin"/>
      </w:r>
      <w:r w:rsidRPr="00F25559">
        <w:rPr>
          <w:b/>
          <w:i w:val="0"/>
          <w:color w:val="auto"/>
          <w:sz w:val="22"/>
          <w:szCs w:val="22"/>
        </w:rPr>
        <w:instrText xml:space="preserve"> SEQ Tablo \* ARABIC </w:instrText>
      </w:r>
      <w:r w:rsidR="00627368" w:rsidRPr="00F25559">
        <w:rPr>
          <w:b/>
          <w:i w:val="0"/>
          <w:color w:val="auto"/>
          <w:sz w:val="22"/>
          <w:szCs w:val="22"/>
        </w:rPr>
        <w:fldChar w:fldCharType="separate"/>
      </w:r>
      <w:r w:rsidRPr="00F25559">
        <w:rPr>
          <w:b/>
          <w:i w:val="0"/>
          <w:noProof/>
          <w:color w:val="auto"/>
          <w:sz w:val="22"/>
          <w:szCs w:val="22"/>
        </w:rPr>
        <w:t>2</w:t>
      </w:r>
      <w:r w:rsidR="00627368" w:rsidRPr="00F25559">
        <w:rPr>
          <w:b/>
          <w:i w:val="0"/>
          <w:color w:val="auto"/>
          <w:sz w:val="22"/>
          <w:szCs w:val="22"/>
        </w:rPr>
        <w:fldChar w:fldCharType="end"/>
      </w:r>
      <w:bookmarkEnd w:id="4"/>
      <w:r w:rsidRPr="00F25559">
        <w:rPr>
          <w:b/>
          <w:i w:val="0"/>
          <w:color w:val="auto"/>
          <w:sz w:val="22"/>
          <w:szCs w:val="22"/>
        </w:rPr>
        <w:t xml:space="preserve"> Effects of minimum wage hike to median of wages by region </w:t>
      </w:r>
    </w:p>
    <w:tbl>
      <w:tblPr>
        <w:tblW w:w="8647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098"/>
        <w:gridCol w:w="1595"/>
        <w:gridCol w:w="1276"/>
        <w:gridCol w:w="1134"/>
      </w:tblGrid>
      <w:tr w:rsidR="00D70C3E" w:rsidRPr="00F25559" w:rsidTr="006C51C6">
        <w:trPr>
          <w:trHeight w:val="1256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Median of wages (TL)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Estimated median of wages by 1300TL minimum wage (TL)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Increase in median of wages (TL)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 xml:space="preserve">Increase in median of wages (TL) 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İstanbul (İstanbul)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1,452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1,452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0.0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Tekirdağ (Edirne-Tekirdağ-Kırklareli)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1,177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10.5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Balıkesir (Balıkesir-Çanakkale)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İzmir (İzmir)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7.4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Aydın (Denizli-Aydın-Muğla)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Manisa (Manisa-Afyonkarahisar-Kütahya-Uşak)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1,028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26.5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Bursa (Bursa-Eskişehir-Bilecik)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7.4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Kocaeli (Kocaeli-Sakarya-Düzce-Bolu-Yalova)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7.4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Ankara (Ankara)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1,331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0.0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Konya (Konya-Karaman)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1,149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13.1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Antalya (Antalya-Isparta-Burdur)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7.4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Adana (Adana-Mersin)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1,052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23.6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Hatay (Hatay-Kahramanmaraş-Osmaniye)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1,046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24.3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Kırıkkale (Nevşehir-Aksaray-Niğde-Kırıkkale-Kırşehir)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Kayseri (Kayseri-Sivas-Yozgat)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7.4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Zonguldak (Zonguldak-Karabük-Bartın)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1,125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15.6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lastRenderedPageBreak/>
              <w:t>Kastamonu (Kastamonu-Çankırı-Sinop)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1,004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29.5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Samsun (Samsun-Tokat-Çorum-Amasya)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Trabzon (Trabzon-Ordu-Giresun-Rize-Artvin-Gümüşhane)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Erzurum (Erzurum-Erzincan-Bayburt)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Ağrı (Kars-Ağrı-Iğdır-Ardahan)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Malatya (Malatya-Elazığ-Bingöl-Tunceli)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1,028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26.5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Van (Van-Muş-Bitlis-Hakkâri)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7.4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Gaziantep (Gaziantep-Adıyaman-Kilis)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1,089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19.4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Şanlıurfa (Diyarbakır-Şanlıurfa)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1,028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26.5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Mardin (Siirt-Mardin-Batman-Şırnak)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1,028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26.5</w:t>
            </w:r>
          </w:p>
        </w:tc>
      </w:tr>
      <w:tr w:rsidR="00D70C3E" w:rsidRPr="00F25559" w:rsidTr="006C51C6">
        <w:trPr>
          <w:trHeight w:val="31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  <w:i/>
              </w:rPr>
            </w:pPr>
            <w:r w:rsidRPr="00F25559">
              <w:rPr>
                <w:b/>
                <w:i/>
                <w:sz w:val="22"/>
                <w:szCs w:val="22"/>
              </w:rPr>
              <w:t>Türkiye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1,210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7</w:t>
            </w:r>
            <w:r w:rsidRPr="00F25559">
              <w:rPr>
                <w:sz w:val="22"/>
                <w:szCs w:val="22"/>
              </w:rPr>
              <w:t>.</w:t>
            </w:r>
            <w:r w:rsidRPr="00F25559">
              <w:rPr>
                <w:i/>
                <w:sz w:val="22"/>
                <w:szCs w:val="22"/>
              </w:rPr>
              <w:t>4</w:t>
            </w:r>
          </w:p>
        </w:tc>
      </w:tr>
    </w:tbl>
    <w:p w:rsidR="00D70C3E" w:rsidRPr="00F25559" w:rsidRDefault="00D70C3E" w:rsidP="00D70C3E">
      <w:pPr>
        <w:spacing w:line="276" w:lineRule="auto"/>
        <w:rPr>
          <w:sz w:val="20"/>
          <w:szCs w:val="20"/>
        </w:rPr>
      </w:pPr>
      <w:r w:rsidRPr="00F25559">
        <w:rPr>
          <w:sz w:val="20"/>
          <w:szCs w:val="20"/>
        </w:rPr>
        <w:t xml:space="preserve">Source: HLFS 2013, Betam update for November 2015 </w:t>
      </w:r>
    </w:p>
    <w:p w:rsidR="00D70C3E" w:rsidRPr="00F25559" w:rsidRDefault="00D70C3E" w:rsidP="00B744FD">
      <w:pPr>
        <w:spacing w:line="276" w:lineRule="auto"/>
        <w:rPr>
          <w:sz w:val="22"/>
          <w:szCs w:val="22"/>
        </w:rPr>
      </w:pPr>
    </w:p>
    <w:p w:rsidR="00FE6515" w:rsidRPr="00F25559" w:rsidRDefault="00BC2DAF" w:rsidP="00B744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Minimum wage rise to </w:t>
      </w:r>
      <w:r w:rsidR="00205B21" w:rsidRPr="00F25559">
        <w:rPr>
          <w:sz w:val="22"/>
          <w:szCs w:val="22"/>
        </w:rPr>
        <w:t>1300</w:t>
      </w:r>
      <w:r>
        <w:rPr>
          <w:sz w:val="22"/>
          <w:szCs w:val="22"/>
        </w:rPr>
        <w:t xml:space="preserve"> TL</w:t>
      </w:r>
      <w:r w:rsidR="00205B21" w:rsidRPr="00F25559">
        <w:rPr>
          <w:sz w:val="22"/>
          <w:szCs w:val="22"/>
        </w:rPr>
        <w:t xml:space="preserve"> is </w:t>
      </w:r>
      <w:r w:rsidR="00BD69EF" w:rsidRPr="00F25559">
        <w:rPr>
          <w:sz w:val="22"/>
          <w:szCs w:val="22"/>
        </w:rPr>
        <w:t xml:space="preserve">also </w:t>
      </w:r>
      <w:r w:rsidR="00205B21" w:rsidRPr="00F25559">
        <w:rPr>
          <w:sz w:val="22"/>
          <w:szCs w:val="22"/>
        </w:rPr>
        <w:t xml:space="preserve">expected to cause significant differences </w:t>
      </w:r>
      <w:r w:rsidR="00FA79F8" w:rsidRPr="00F25559">
        <w:rPr>
          <w:sz w:val="22"/>
          <w:szCs w:val="22"/>
        </w:rPr>
        <w:t>in percentage terms for</w:t>
      </w:r>
      <w:r w:rsidR="00BD69EF" w:rsidRPr="00F25559">
        <w:rPr>
          <w:sz w:val="22"/>
          <w:szCs w:val="22"/>
        </w:rPr>
        <w:t xml:space="preserve"> the median </w:t>
      </w:r>
      <w:r w:rsidR="00D77A70">
        <w:rPr>
          <w:sz w:val="22"/>
          <w:szCs w:val="22"/>
        </w:rPr>
        <w:t>wages in these regions</w:t>
      </w:r>
      <w:r w:rsidR="00FA79F8" w:rsidRPr="00F25559">
        <w:rPr>
          <w:sz w:val="22"/>
          <w:szCs w:val="22"/>
        </w:rPr>
        <w:t>.</w:t>
      </w:r>
      <w:r w:rsidR="00A12186" w:rsidRPr="00F25559">
        <w:rPr>
          <w:sz w:val="22"/>
          <w:szCs w:val="22"/>
        </w:rPr>
        <w:t xml:space="preserve"> Median </w:t>
      </w:r>
      <w:r w:rsidR="00395A4D">
        <w:rPr>
          <w:sz w:val="22"/>
          <w:szCs w:val="22"/>
        </w:rPr>
        <w:t>wages</w:t>
      </w:r>
      <w:r w:rsidR="00A12186" w:rsidRPr="00F25559">
        <w:rPr>
          <w:sz w:val="22"/>
          <w:szCs w:val="22"/>
        </w:rPr>
        <w:t xml:space="preserve"> in the regions of Balıkesir, Aydın, Kırıkkale, Samsun, Trabzon</w:t>
      </w:r>
      <w:r w:rsidR="00395A4D">
        <w:rPr>
          <w:sz w:val="22"/>
          <w:szCs w:val="22"/>
        </w:rPr>
        <w:t>, Erzurum, Ağrı and Gaziantep are</w:t>
      </w:r>
      <w:r w:rsidR="00A12186" w:rsidRPr="00F25559">
        <w:rPr>
          <w:sz w:val="22"/>
          <w:szCs w:val="22"/>
        </w:rPr>
        <w:t xml:space="preserve"> </w:t>
      </w:r>
      <w:r w:rsidR="00395A4D">
        <w:rPr>
          <w:sz w:val="22"/>
          <w:szCs w:val="22"/>
        </w:rPr>
        <w:t xml:space="preserve">expected </w:t>
      </w:r>
      <w:r w:rsidR="00A12186" w:rsidRPr="00F25559">
        <w:rPr>
          <w:sz w:val="22"/>
          <w:szCs w:val="22"/>
        </w:rPr>
        <w:t xml:space="preserve">to increase by </w:t>
      </w:r>
      <w:r w:rsidR="00395A4D">
        <w:rPr>
          <w:sz w:val="22"/>
          <w:szCs w:val="22"/>
        </w:rPr>
        <w:t xml:space="preserve">approximately </w:t>
      </w:r>
      <w:r w:rsidR="00A12186" w:rsidRPr="00F25559">
        <w:rPr>
          <w:sz w:val="22"/>
          <w:szCs w:val="22"/>
        </w:rPr>
        <w:t>20 percent. In addition</w:t>
      </w:r>
      <w:r w:rsidR="00395A4D">
        <w:rPr>
          <w:sz w:val="22"/>
          <w:szCs w:val="22"/>
        </w:rPr>
        <w:t xml:space="preserve">, the median wages will increase by </w:t>
      </w:r>
      <w:r w:rsidR="00F72CA6" w:rsidRPr="00F25559">
        <w:rPr>
          <w:sz w:val="22"/>
          <w:szCs w:val="22"/>
        </w:rPr>
        <w:t>by 23-24 percent in Adana and Hatay</w:t>
      </w:r>
      <w:r w:rsidR="00395A4D">
        <w:rPr>
          <w:sz w:val="22"/>
          <w:szCs w:val="22"/>
        </w:rPr>
        <w:t>,</w:t>
      </w:r>
      <w:r w:rsidR="00F72CA6" w:rsidRPr="00F25559">
        <w:rPr>
          <w:sz w:val="22"/>
          <w:szCs w:val="22"/>
        </w:rPr>
        <w:t xml:space="preserve"> and by 25 percent in Manisa, Kastamonu, Malatya, Şanlıurfa and Mardin.</w:t>
      </w:r>
      <w:r w:rsidR="00E132F8" w:rsidRPr="00F25559">
        <w:rPr>
          <w:sz w:val="22"/>
          <w:szCs w:val="22"/>
        </w:rPr>
        <w:t xml:space="preserve"> Th</w:t>
      </w:r>
      <w:r w:rsidR="00655ED3" w:rsidRPr="00F25559">
        <w:rPr>
          <w:sz w:val="22"/>
          <w:szCs w:val="22"/>
        </w:rPr>
        <w:t>ese</w:t>
      </w:r>
      <w:r w:rsidR="00E132F8" w:rsidRPr="00F25559">
        <w:rPr>
          <w:sz w:val="22"/>
          <w:szCs w:val="22"/>
        </w:rPr>
        <w:t xml:space="preserve"> </w:t>
      </w:r>
      <w:r w:rsidR="00553D73" w:rsidRPr="00F25559">
        <w:rPr>
          <w:sz w:val="22"/>
          <w:szCs w:val="22"/>
        </w:rPr>
        <w:t>figures</w:t>
      </w:r>
      <w:r w:rsidR="00E132F8" w:rsidRPr="00F25559">
        <w:rPr>
          <w:sz w:val="22"/>
          <w:szCs w:val="22"/>
        </w:rPr>
        <w:t xml:space="preserve"> </w:t>
      </w:r>
      <w:r w:rsidR="00DD28A6">
        <w:rPr>
          <w:sz w:val="22"/>
          <w:szCs w:val="22"/>
        </w:rPr>
        <w:t>indicate that</w:t>
      </w:r>
      <w:r w:rsidR="00E132F8" w:rsidRPr="00F25559">
        <w:rPr>
          <w:sz w:val="22"/>
          <w:szCs w:val="22"/>
        </w:rPr>
        <w:t xml:space="preserve"> </w:t>
      </w:r>
      <w:r w:rsidR="00DD28A6">
        <w:rPr>
          <w:sz w:val="22"/>
          <w:szCs w:val="22"/>
        </w:rPr>
        <w:t>the increase in median wages</w:t>
      </w:r>
      <w:r w:rsidR="0043362E" w:rsidRPr="00F25559">
        <w:rPr>
          <w:sz w:val="22"/>
          <w:szCs w:val="22"/>
        </w:rPr>
        <w:t xml:space="preserve"> </w:t>
      </w:r>
      <w:r w:rsidR="00DD28A6">
        <w:rPr>
          <w:sz w:val="22"/>
          <w:szCs w:val="22"/>
        </w:rPr>
        <w:t>will exceed 20 percent</w:t>
      </w:r>
      <w:r w:rsidR="009B7835" w:rsidRPr="00F25559">
        <w:rPr>
          <w:sz w:val="22"/>
          <w:szCs w:val="22"/>
        </w:rPr>
        <w:t xml:space="preserve"> </w:t>
      </w:r>
      <w:r w:rsidR="00B911A0" w:rsidRPr="00F25559">
        <w:rPr>
          <w:sz w:val="22"/>
          <w:szCs w:val="22"/>
        </w:rPr>
        <w:t xml:space="preserve">in </w:t>
      </w:r>
      <w:r w:rsidR="00F677FF" w:rsidRPr="00F25559">
        <w:rPr>
          <w:sz w:val="22"/>
          <w:szCs w:val="22"/>
        </w:rPr>
        <w:t>15 out of 26 re</w:t>
      </w:r>
      <w:r w:rsidR="00B911A0" w:rsidRPr="00F25559">
        <w:rPr>
          <w:sz w:val="22"/>
          <w:szCs w:val="22"/>
        </w:rPr>
        <w:t xml:space="preserve">gions. </w:t>
      </w:r>
    </w:p>
    <w:p w:rsidR="006B782F" w:rsidRPr="00F25559" w:rsidRDefault="006B782F" w:rsidP="00B744FD">
      <w:pPr>
        <w:spacing w:line="276" w:lineRule="auto"/>
        <w:rPr>
          <w:sz w:val="22"/>
          <w:szCs w:val="22"/>
        </w:rPr>
      </w:pPr>
    </w:p>
    <w:p w:rsidR="00FB085C" w:rsidRDefault="00FB085C" w:rsidP="00B744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light of this data, we can conclude that the increase in the minimum wage will have a sizeable impact on the wage distribution and thus on the labor costs of firms, even when we assume </w:t>
      </w:r>
      <w:r w:rsidR="00CF177B">
        <w:rPr>
          <w:sz w:val="22"/>
          <w:szCs w:val="22"/>
        </w:rPr>
        <w:t>effects are limited</w:t>
      </w:r>
      <w:r>
        <w:rPr>
          <w:sz w:val="22"/>
          <w:szCs w:val="22"/>
        </w:rPr>
        <w:t xml:space="preserve"> </w:t>
      </w:r>
      <w:r w:rsidR="00CF177B">
        <w:rPr>
          <w:sz w:val="22"/>
          <w:szCs w:val="22"/>
        </w:rPr>
        <w:t xml:space="preserve">to </w:t>
      </w:r>
      <w:r>
        <w:rPr>
          <w:sz w:val="22"/>
          <w:szCs w:val="22"/>
        </w:rPr>
        <w:t>those who earn between 1647 TL (the new gross minimum wage) and 1274 TL (the gross minimum wage in from July to December 2015).</w:t>
      </w:r>
      <w:r w:rsidR="00E54DE6">
        <w:rPr>
          <w:sz w:val="22"/>
          <w:szCs w:val="22"/>
        </w:rPr>
        <w:t xml:space="preserve"> Under these assumptions, in absence of government subsidies, we estimate the total cost to be 18 billion TL annually. </w:t>
      </w:r>
    </w:p>
    <w:p w:rsidR="00FB085C" w:rsidRDefault="00FB085C" w:rsidP="00B744FD">
      <w:pPr>
        <w:spacing w:line="276" w:lineRule="auto"/>
        <w:rPr>
          <w:sz w:val="22"/>
          <w:szCs w:val="22"/>
        </w:rPr>
      </w:pPr>
    </w:p>
    <w:p w:rsidR="00732A63" w:rsidRPr="00F25559" w:rsidRDefault="00E54DE6" w:rsidP="00B744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When the government subsidy of 110 TL on gross wages is taken into account, the labor cost to the employers falls to 1547 TL </w:t>
      </w:r>
      <w:r w:rsidRPr="00F25559">
        <w:rPr>
          <w:sz w:val="22"/>
          <w:szCs w:val="22"/>
        </w:rPr>
        <w:t>(1647-110=1547)</w:t>
      </w:r>
      <w:r>
        <w:rPr>
          <w:sz w:val="22"/>
          <w:szCs w:val="22"/>
        </w:rPr>
        <w:t xml:space="preserve">. </w:t>
      </w:r>
      <w:r w:rsidR="002B5E68">
        <w:rPr>
          <w:sz w:val="22"/>
          <w:szCs w:val="22"/>
        </w:rPr>
        <w:t>Under the same assumptions, we estimate that the mean wage will increase to 1689 TL and the median wage to 1210 TL</w:t>
      </w:r>
      <w:r w:rsidR="00264620">
        <w:rPr>
          <w:sz w:val="22"/>
          <w:szCs w:val="22"/>
        </w:rPr>
        <w:t>, respectively</w:t>
      </w:r>
      <w:r w:rsidR="002B5E68">
        <w:rPr>
          <w:sz w:val="22"/>
          <w:szCs w:val="22"/>
        </w:rPr>
        <w:t xml:space="preserve">. </w:t>
      </w:r>
      <w:r w:rsidR="00FF7D50">
        <w:rPr>
          <w:sz w:val="22"/>
          <w:szCs w:val="22"/>
        </w:rPr>
        <w:t xml:space="preserve">Using gross wages, we estimate the increase in the labor cost to be 16 billion TL annually. </w:t>
      </w:r>
      <w:r w:rsidR="00960877" w:rsidRPr="00F25559">
        <w:rPr>
          <w:sz w:val="22"/>
          <w:szCs w:val="22"/>
        </w:rPr>
        <w:t xml:space="preserve"> </w:t>
      </w:r>
    </w:p>
    <w:p w:rsidR="00B744FD" w:rsidRPr="00F25559" w:rsidRDefault="00B744FD" w:rsidP="00B744FD">
      <w:pPr>
        <w:spacing w:line="276" w:lineRule="auto"/>
        <w:rPr>
          <w:sz w:val="22"/>
          <w:szCs w:val="22"/>
        </w:rPr>
      </w:pPr>
    </w:p>
    <w:p w:rsidR="00B174FC" w:rsidRPr="00F25559" w:rsidRDefault="009E49D1" w:rsidP="00B744FD">
      <w:pPr>
        <w:spacing w:line="276" w:lineRule="auto"/>
        <w:rPr>
          <w:b/>
        </w:rPr>
      </w:pPr>
      <w:r>
        <w:rPr>
          <w:b/>
        </w:rPr>
        <w:t>Heavy burden on</w:t>
      </w:r>
      <w:r w:rsidR="00B174FC" w:rsidRPr="00F25559">
        <w:rPr>
          <w:b/>
        </w:rPr>
        <w:t xml:space="preserve"> small and medium sized firms</w:t>
      </w:r>
    </w:p>
    <w:p w:rsidR="00B744FD" w:rsidRPr="00F25559" w:rsidRDefault="00B744FD" w:rsidP="00B744FD">
      <w:pPr>
        <w:spacing w:line="276" w:lineRule="auto"/>
        <w:rPr>
          <w:sz w:val="22"/>
          <w:szCs w:val="22"/>
        </w:rPr>
      </w:pPr>
    </w:p>
    <w:p w:rsidR="009B015F" w:rsidRDefault="00DD4612" w:rsidP="00B744FD">
      <w:pPr>
        <w:spacing w:line="276" w:lineRule="auto"/>
        <w:rPr>
          <w:sz w:val="22"/>
          <w:szCs w:val="22"/>
        </w:rPr>
      </w:pPr>
      <w:r>
        <w:fldChar w:fldCharType="begin"/>
      </w:r>
      <w:r>
        <w:instrText xml:space="preserve"> REF _Ref439626185 \h  \* MERGEFORMAT </w:instrText>
      </w:r>
      <w:r>
        <w:fldChar w:fldCharType="separate"/>
      </w:r>
      <w:r w:rsidR="00DD34AA" w:rsidRPr="00F25559">
        <w:rPr>
          <w:sz w:val="22"/>
          <w:szCs w:val="22"/>
        </w:rPr>
        <w:t>Table 3</w:t>
      </w:r>
      <w:r>
        <w:fldChar w:fldCharType="end"/>
      </w:r>
      <w:r w:rsidR="00DD34AA" w:rsidRPr="00F25559">
        <w:rPr>
          <w:sz w:val="22"/>
          <w:szCs w:val="22"/>
        </w:rPr>
        <w:t xml:space="preserve"> </w:t>
      </w:r>
      <w:r w:rsidR="002E0897">
        <w:rPr>
          <w:sz w:val="22"/>
          <w:szCs w:val="22"/>
        </w:rPr>
        <w:t>provides data on the shares of the employees whose</w:t>
      </w:r>
      <w:r w:rsidR="00F15A4B" w:rsidRPr="00F25559">
        <w:rPr>
          <w:sz w:val="22"/>
          <w:szCs w:val="22"/>
        </w:rPr>
        <w:t xml:space="preserve"> wages </w:t>
      </w:r>
      <w:r w:rsidR="009F721B">
        <w:rPr>
          <w:sz w:val="22"/>
          <w:szCs w:val="22"/>
        </w:rPr>
        <w:t>will be</w:t>
      </w:r>
      <w:r w:rsidR="00F15A4B" w:rsidRPr="00F25559">
        <w:rPr>
          <w:sz w:val="22"/>
          <w:szCs w:val="22"/>
        </w:rPr>
        <w:t xml:space="preserve"> affected by the policy change by firm size. </w:t>
      </w:r>
      <w:r w:rsidR="008A0185">
        <w:rPr>
          <w:sz w:val="22"/>
          <w:szCs w:val="22"/>
        </w:rPr>
        <w:t>The data indicates</w:t>
      </w:r>
      <w:r w:rsidR="00C93CC6" w:rsidRPr="00F25559">
        <w:rPr>
          <w:sz w:val="22"/>
          <w:szCs w:val="22"/>
        </w:rPr>
        <w:t xml:space="preserve"> that </w:t>
      </w:r>
      <w:r w:rsidR="00447E4D" w:rsidRPr="00F25559">
        <w:rPr>
          <w:sz w:val="22"/>
          <w:szCs w:val="22"/>
        </w:rPr>
        <w:t>rel</w:t>
      </w:r>
      <w:r w:rsidR="008A0185">
        <w:rPr>
          <w:sz w:val="22"/>
          <w:szCs w:val="22"/>
        </w:rPr>
        <w:t xml:space="preserve">atively smaller firms will suffer relatively more by the minimum wage increase as </w:t>
      </w:r>
      <w:r w:rsidR="00F53992" w:rsidRPr="00F25559">
        <w:rPr>
          <w:sz w:val="22"/>
          <w:szCs w:val="22"/>
        </w:rPr>
        <w:t xml:space="preserve">67.7 percent of total employment in </w:t>
      </w:r>
      <w:r w:rsidR="006532D3" w:rsidRPr="00F25559">
        <w:rPr>
          <w:sz w:val="22"/>
          <w:szCs w:val="22"/>
        </w:rPr>
        <w:t xml:space="preserve">the </w:t>
      </w:r>
      <w:r w:rsidR="00F53992" w:rsidRPr="00F25559">
        <w:rPr>
          <w:sz w:val="22"/>
          <w:szCs w:val="22"/>
        </w:rPr>
        <w:t xml:space="preserve">firms </w:t>
      </w:r>
      <w:r w:rsidR="008A0185">
        <w:rPr>
          <w:sz w:val="22"/>
          <w:szCs w:val="22"/>
        </w:rPr>
        <w:t xml:space="preserve">with </w:t>
      </w:r>
      <w:r w:rsidR="00F53992" w:rsidRPr="00F25559">
        <w:rPr>
          <w:sz w:val="22"/>
          <w:szCs w:val="22"/>
        </w:rPr>
        <w:t xml:space="preserve">less than 10 employees will be </w:t>
      </w:r>
      <w:r w:rsidR="006532D3" w:rsidRPr="00F25559">
        <w:rPr>
          <w:sz w:val="22"/>
          <w:szCs w:val="22"/>
        </w:rPr>
        <w:t>affected.</w:t>
      </w:r>
      <w:r w:rsidR="009216C6" w:rsidRPr="00F25559">
        <w:rPr>
          <w:sz w:val="22"/>
          <w:szCs w:val="22"/>
        </w:rPr>
        <w:t xml:space="preserve"> In addition, the firms </w:t>
      </w:r>
      <w:r w:rsidR="00E406BF" w:rsidRPr="00F25559">
        <w:rPr>
          <w:sz w:val="22"/>
          <w:szCs w:val="22"/>
        </w:rPr>
        <w:t xml:space="preserve">having </w:t>
      </w:r>
      <w:r w:rsidR="009216C6" w:rsidRPr="00F25559">
        <w:rPr>
          <w:sz w:val="22"/>
          <w:szCs w:val="22"/>
        </w:rPr>
        <w:t xml:space="preserve">less than 10 employees </w:t>
      </w:r>
      <w:r w:rsidR="008A0185">
        <w:rPr>
          <w:sz w:val="22"/>
          <w:szCs w:val="22"/>
        </w:rPr>
        <w:t xml:space="preserve">constitute </w:t>
      </w:r>
      <w:r w:rsidR="00226B8C" w:rsidRPr="00F25559">
        <w:rPr>
          <w:sz w:val="22"/>
          <w:szCs w:val="22"/>
        </w:rPr>
        <w:t xml:space="preserve">27.7 </w:t>
      </w:r>
      <w:r w:rsidR="00226B8C" w:rsidRPr="00F25559">
        <w:rPr>
          <w:sz w:val="22"/>
          <w:szCs w:val="22"/>
        </w:rPr>
        <w:lastRenderedPageBreak/>
        <w:t>percent of total employment.</w:t>
      </w:r>
      <w:r w:rsidR="00226B8C" w:rsidRPr="00F25559">
        <w:rPr>
          <w:rStyle w:val="FootnoteReference"/>
          <w:sz w:val="22"/>
          <w:szCs w:val="22"/>
        </w:rPr>
        <w:footnoteReference w:id="6"/>
      </w:r>
      <w:r w:rsidR="00226B8C" w:rsidRPr="00F25559">
        <w:t xml:space="preserve"> </w:t>
      </w:r>
      <w:r w:rsidR="003F2C36" w:rsidRPr="00F25559">
        <w:rPr>
          <w:sz w:val="22"/>
          <w:szCs w:val="22"/>
        </w:rPr>
        <w:t>Overall,</w:t>
      </w:r>
      <w:r w:rsidR="006366C1">
        <w:rPr>
          <w:sz w:val="22"/>
          <w:szCs w:val="22"/>
        </w:rPr>
        <w:t xml:space="preserve"> the data shows</w:t>
      </w:r>
      <w:r w:rsidR="00593BE2" w:rsidRPr="00F25559">
        <w:rPr>
          <w:sz w:val="22"/>
          <w:szCs w:val="22"/>
        </w:rPr>
        <w:t xml:space="preserve"> that </w:t>
      </w:r>
      <w:r w:rsidR="00E406BF" w:rsidRPr="00F25559">
        <w:rPr>
          <w:sz w:val="22"/>
          <w:szCs w:val="22"/>
        </w:rPr>
        <w:t>more than half of total employment in the firms with less than 250 employees will be affected by</w:t>
      </w:r>
      <w:r w:rsidR="006366C1">
        <w:rPr>
          <w:sz w:val="22"/>
          <w:szCs w:val="22"/>
        </w:rPr>
        <w:t xml:space="preserve"> the</w:t>
      </w:r>
      <w:r w:rsidR="00E406BF" w:rsidRPr="00F25559">
        <w:rPr>
          <w:sz w:val="22"/>
          <w:szCs w:val="22"/>
        </w:rPr>
        <w:t xml:space="preserve"> minimum wage hike and </w:t>
      </w:r>
      <w:r w:rsidR="004978F2" w:rsidRPr="00F25559">
        <w:rPr>
          <w:sz w:val="22"/>
          <w:szCs w:val="22"/>
        </w:rPr>
        <w:t xml:space="preserve">these firms </w:t>
      </w:r>
      <w:r w:rsidR="000D4E4F">
        <w:rPr>
          <w:sz w:val="22"/>
          <w:szCs w:val="22"/>
        </w:rPr>
        <w:t>create</w:t>
      </w:r>
      <w:r w:rsidR="004978F2" w:rsidRPr="00F25559">
        <w:rPr>
          <w:sz w:val="22"/>
          <w:szCs w:val="22"/>
        </w:rPr>
        <w:t xml:space="preserve"> 87.1 percent of total employment in Turkey. </w:t>
      </w:r>
    </w:p>
    <w:p w:rsidR="009B015F" w:rsidRDefault="009B015F" w:rsidP="00B744FD">
      <w:pPr>
        <w:spacing w:line="276" w:lineRule="auto"/>
        <w:rPr>
          <w:sz w:val="22"/>
          <w:szCs w:val="22"/>
        </w:rPr>
      </w:pPr>
    </w:p>
    <w:p w:rsidR="00D70C3E" w:rsidRPr="00F25559" w:rsidRDefault="009B015F" w:rsidP="00D70C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increase in labor costs will be relatively smaller in larger firms. This finding </w:t>
      </w:r>
      <w:r w:rsidR="00BF2544" w:rsidRPr="00F25559">
        <w:rPr>
          <w:sz w:val="22"/>
          <w:szCs w:val="22"/>
        </w:rPr>
        <w:t xml:space="preserve">confirms that </w:t>
      </w:r>
      <w:r w:rsidRPr="00F25559">
        <w:rPr>
          <w:sz w:val="22"/>
          <w:szCs w:val="22"/>
        </w:rPr>
        <w:t>firm size and labor productivity</w:t>
      </w:r>
      <w:r>
        <w:rPr>
          <w:sz w:val="22"/>
          <w:szCs w:val="22"/>
        </w:rPr>
        <w:t xml:space="preserve"> are positively correlated. </w:t>
      </w:r>
      <w:r w:rsidR="00BF2544" w:rsidRPr="00F25559">
        <w:rPr>
          <w:sz w:val="22"/>
          <w:szCs w:val="22"/>
        </w:rPr>
        <w:t xml:space="preserve">That is, </w:t>
      </w:r>
      <w:r w:rsidR="00DA0111" w:rsidRPr="00F25559">
        <w:rPr>
          <w:sz w:val="22"/>
          <w:szCs w:val="22"/>
        </w:rPr>
        <w:t>employees wi</w:t>
      </w:r>
      <w:r w:rsidR="00D15DC8">
        <w:rPr>
          <w:sz w:val="22"/>
          <w:szCs w:val="22"/>
        </w:rPr>
        <w:t>th the lowest labor productivities</w:t>
      </w:r>
      <w:r w:rsidR="00DA0111" w:rsidRPr="00F25559">
        <w:rPr>
          <w:sz w:val="22"/>
          <w:szCs w:val="22"/>
        </w:rPr>
        <w:t xml:space="preserve"> </w:t>
      </w:r>
      <w:r w:rsidR="00B6357B" w:rsidRPr="00F25559">
        <w:rPr>
          <w:sz w:val="22"/>
          <w:szCs w:val="22"/>
        </w:rPr>
        <w:t xml:space="preserve">are </w:t>
      </w:r>
      <w:r w:rsidR="008B5FE4" w:rsidRPr="00F25559">
        <w:rPr>
          <w:sz w:val="22"/>
          <w:szCs w:val="22"/>
        </w:rPr>
        <w:t>clustered</w:t>
      </w:r>
      <w:r w:rsidR="00B6357B" w:rsidRPr="00F25559">
        <w:rPr>
          <w:sz w:val="22"/>
          <w:szCs w:val="22"/>
        </w:rPr>
        <w:t xml:space="preserve"> in small and medium sized firms. </w:t>
      </w:r>
      <w:r w:rsidR="00E45350">
        <w:rPr>
          <w:sz w:val="22"/>
          <w:szCs w:val="22"/>
        </w:rPr>
        <w:t>Hence, the data</w:t>
      </w:r>
      <w:r w:rsidR="005F02C2" w:rsidRPr="00F25559">
        <w:rPr>
          <w:sz w:val="22"/>
          <w:szCs w:val="22"/>
        </w:rPr>
        <w:t xml:space="preserve"> signals that </w:t>
      </w:r>
      <w:r w:rsidR="004904C1" w:rsidRPr="00F25559">
        <w:rPr>
          <w:sz w:val="22"/>
          <w:szCs w:val="22"/>
        </w:rPr>
        <w:t>minimum wage hike will place</w:t>
      </w:r>
      <w:r w:rsidR="006730F4">
        <w:rPr>
          <w:sz w:val="22"/>
          <w:szCs w:val="22"/>
        </w:rPr>
        <w:t xml:space="preserve"> a</w:t>
      </w:r>
      <w:r w:rsidR="004904C1" w:rsidRPr="00F25559">
        <w:rPr>
          <w:sz w:val="22"/>
          <w:szCs w:val="22"/>
        </w:rPr>
        <w:t xml:space="preserve"> </w:t>
      </w:r>
      <w:r w:rsidR="00491F79" w:rsidRPr="00F25559">
        <w:rPr>
          <w:sz w:val="22"/>
          <w:szCs w:val="22"/>
        </w:rPr>
        <w:t>relatively heavier</w:t>
      </w:r>
      <w:r w:rsidR="004904C1" w:rsidRPr="00F25559">
        <w:rPr>
          <w:sz w:val="22"/>
          <w:szCs w:val="22"/>
        </w:rPr>
        <w:t xml:space="preserve"> burden </w:t>
      </w:r>
      <w:r w:rsidR="00491F79" w:rsidRPr="00F25559">
        <w:rPr>
          <w:sz w:val="22"/>
          <w:szCs w:val="22"/>
        </w:rPr>
        <w:t>on small and medium sized firms.</w:t>
      </w:r>
      <w:r w:rsidR="00601836" w:rsidRPr="00F25559">
        <w:rPr>
          <w:sz w:val="22"/>
          <w:szCs w:val="22"/>
        </w:rPr>
        <w:t xml:space="preserve"> </w:t>
      </w:r>
      <w:r w:rsidR="00B57521" w:rsidRPr="00F25559">
        <w:rPr>
          <w:sz w:val="22"/>
          <w:szCs w:val="22"/>
        </w:rPr>
        <w:t>In turn,</w:t>
      </w:r>
      <w:r w:rsidR="005A0029">
        <w:rPr>
          <w:sz w:val="22"/>
          <w:szCs w:val="22"/>
        </w:rPr>
        <w:t xml:space="preserve"> these firms will benefit from</w:t>
      </w:r>
      <w:r w:rsidR="00B57521" w:rsidRPr="00F25559">
        <w:rPr>
          <w:sz w:val="22"/>
          <w:szCs w:val="22"/>
        </w:rPr>
        <w:t xml:space="preserve"> </w:t>
      </w:r>
      <w:r w:rsidR="005A0029">
        <w:rPr>
          <w:sz w:val="22"/>
          <w:szCs w:val="22"/>
        </w:rPr>
        <w:t>the subsidy of 110 TL</w:t>
      </w:r>
      <w:r w:rsidR="00382D7D" w:rsidRPr="00F25559">
        <w:rPr>
          <w:sz w:val="22"/>
          <w:szCs w:val="22"/>
        </w:rPr>
        <w:t xml:space="preserve"> </w:t>
      </w:r>
      <w:r w:rsidR="005A0029">
        <w:rPr>
          <w:sz w:val="22"/>
          <w:szCs w:val="22"/>
        </w:rPr>
        <w:t>more</w:t>
      </w:r>
      <w:r w:rsidR="00CF1529" w:rsidRPr="00F25559">
        <w:rPr>
          <w:sz w:val="22"/>
          <w:szCs w:val="22"/>
        </w:rPr>
        <w:t>.</w:t>
      </w:r>
    </w:p>
    <w:p w:rsidR="00D70C3E" w:rsidRPr="00F25559" w:rsidRDefault="00D70C3E" w:rsidP="00D70C3E">
      <w:pPr>
        <w:spacing w:line="276" w:lineRule="auto"/>
        <w:rPr>
          <w:sz w:val="22"/>
          <w:szCs w:val="22"/>
        </w:rPr>
      </w:pPr>
    </w:p>
    <w:p w:rsidR="00D70C3E" w:rsidRPr="00F25559" w:rsidRDefault="00D70C3E" w:rsidP="00D70C3E">
      <w:pPr>
        <w:pStyle w:val="Caption"/>
        <w:keepNext/>
        <w:rPr>
          <w:b/>
          <w:i w:val="0"/>
          <w:color w:val="auto"/>
          <w:sz w:val="22"/>
          <w:szCs w:val="22"/>
        </w:rPr>
      </w:pPr>
      <w:bookmarkStart w:id="5" w:name="_Ref439626185"/>
      <w:r w:rsidRPr="00F25559">
        <w:rPr>
          <w:b/>
          <w:i w:val="0"/>
          <w:color w:val="auto"/>
          <w:sz w:val="22"/>
          <w:szCs w:val="22"/>
        </w:rPr>
        <w:t xml:space="preserve">Table </w:t>
      </w:r>
      <w:r w:rsidR="00627368" w:rsidRPr="00F25559">
        <w:rPr>
          <w:b/>
          <w:i w:val="0"/>
          <w:color w:val="auto"/>
          <w:sz w:val="22"/>
          <w:szCs w:val="22"/>
        </w:rPr>
        <w:fldChar w:fldCharType="begin"/>
      </w:r>
      <w:r w:rsidRPr="00F25559">
        <w:rPr>
          <w:b/>
          <w:i w:val="0"/>
          <w:color w:val="auto"/>
          <w:sz w:val="22"/>
          <w:szCs w:val="22"/>
        </w:rPr>
        <w:instrText xml:space="preserve"> SEQ Tablo \* ARABIC </w:instrText>
      </w:r>
      <w:r w:rsidR="00627368" w:rsidRPr="00F25559">
        <w:rPr>
          <w:b/>
          <w:i w:val="0"/>
          <w:color w:val="auto"/>
          <w:sz w:val="22"/>
          <w:szCs w:val="22"/>
        </w:rPr>
        <w:fldChar w:fldCharType="separate"/>
      </w:r>
      <w:r w:rsidRPr="00F25559">
        <w:rPr>
          <w:b/>
          <w:i w:val="0"/>
          <w:noProof/>
          <w:color w:val="auto"/>
          <w:sz w:val="22"/>
          <w:szCs w:val="22"/>
        </w:rPr>
        <w:t>3</w:t>
      </w:r>
      <w:r w:rsidR="00627368" w:rsidRPr="00F25559">
        <w:rPr>
          <w:b/>
          <w:i w:val="0"/>
          <w:color w:val="auto"/>
          <w:sz w:val="22"/>
          <w:szCs w:val="22"/>
        </w:rPr>
        <w:fldChar w:fldCharType="end"/>
      </w:r>
      <w:bookmarkEnd w:id="5"/>
      <w:r w:rsidRPr="00F25559">
        <w:rPr>
          <w:b/>
          <w:i w:val="0"/>
          <w:color w:val="auto"/>
          <w:sz w:val="22"/>
          <w:szCs w:val="22"/>
        </w:rPr>
        <w:t xml:space="preserve"> The effects of minimum wage hike by firm size </w:t>
      </w:r>
    </w:p>
    <w:tbl>
      <w:tblPr>
        <w:tblW w:w="453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44"/>
        <w:gridCol w:w="992"/>
      </w:tblGrid>
      <w:tr w:rsidR="00D70C3E" w:rsidRPr="00F25559" w:rsidTr="006C51C6">
        <w:trPr>
          <w:trHeight w:val="320"/>
        </w:trPr>
        <w:tc>
          <w:tcPr>
            <w:tcW w:w="3544" w:type="dxa"/>
            <w:shd w:val="clear" w:color="auto" w:fill="auto"/>
            <w:noWrap/>
            <w:vAlign w:val="bottom"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 xml:space="preserve">Firm Size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70C3E" w:rsidRPr="00F25559" w:rsidRDefault="00D70C3E" w:rsidP="006C51C6">
            <w:pPr>
              <w:spacing w:line="276" w:lineRule="auto"/>
              <w:jc w:val="right"/>
              <w:rPr>
                <w:b/>
              </w:rPr>
            </w:pPr>
          </w:p>
        </w:tc>
      </w:tr>
      <w:tr w:rsidR="00D70C3E" w:rsidRPr="00F25559" w:rsidTr="006C51C6">
        <w:trPr>
          <w:trHeight w:val="3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Less than 10 employee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67.7</w:t>
            </w:r>
          </w:p>
        </w:tc>
      </w:tr>
      <w:tr w:rsidR="00D70C3E" w:rsidRPr="00F25559" w:rsidTr="006C51C6">
        <w:trPr>
          <w:trHeight w:val="3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Between 10 and 24 employee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57.6</w:t>
            </w:r>
          </w:p>
        </w:tc>
      </w:tr>
      <w:tr w:rsidR="00D70C3E" w:rsidRPr="00F25559" w:rsidTr="006C51C6">
        <w:trPr>
          <w:trHeight w:val="3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 xml:space="preserve">Between 25 and 49 employee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56.1</w:t>
            </w:r>
          </w:p>
        </w:tc>
      </w:tr>
      <w:tr w:rsidR="00D70C3E" w:rsidRPr="00F25559" w:rsidTr="006C51C6">
        <w:trPr>
          <w:trHeight w:val="3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Between 50 and 249 employee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53.9</w:t>
            </w:r>
          </w:p>
        </w:tc>
      </w:tr>
      <w:tr w:rsidR="00D70C3E" w:rsidRPr="00F25559" w:rsidTr="006C51C6">
        <w:trPr>
          <w:trHeight w:val="3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 xml:space="preserve">Between 250 and 499 employee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49.8</w:t>
            </w:r>
          </w:p>
        </w:tc>
      </w:tr>
      <w:tr w:rsidR="00D70C3E" w:rsidRPr="00F25559" w:rsidTr="006C51C6">
        <w:trPr>
          <w:trHeight w:val="3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</w:rPr>
            </w:pPr>
            <w:r w:rsidRPr="00F25559">
              <w:rPr>
                <w:b/>
                <w:sz w:val="22"/>
                <w:szCs w:val="22"/>
              </w:rPr>
              <w:t>500 employee  and more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</w:pPr>
            <w:r w:rsidRPr="00F25559">
              <w:rPr>
                <w:sz w:val="22"/>
                <w:szCs w:val="22"/>
              </w:rPr>
              <w:t>37.7</w:t>
            </w:r>
          </w:p>
        </w:tc>
      </w:tr>
      <w:tr w:rsidR="00D70C3E" w:rsidRPr="00F25559" w:rsidTr="006C51C6">
        <w:trPr>
          <w:trHeight w:val="273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rPr>
                <w:b/>
                <w:i/>
              </w:rPr>
            </w:pPr>
            <w:r w:rsidRPr="00F25559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0C3E" w:rsidRPr="00F25559" w:rsidRDefault="00D70C3E" w:rsidP="006C51C6">
            <w:pPr>
              <w:spacing w:line="276" w:lineRule="auto"/>
              <w:jc w:val="right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57.3</w:t>
            </w:r>
          </w:p>
        </w:tc>
      </w:tr>
    </w:tbl>
    <w:p w:rsidR="00D70C3E" w:rsidRPr="00F25559" w:rsidRDefault="00D70C3E" w:rsidP="00D70C3E">
      <w:pPr>
        <w:spacing w:line="276" w:lineRule="auto"/>
        <w:rPr>
          <w:sz w:val="20"/>
          <w:szCs w:val="20"/>
        </w:rPr>
      </w:pPr>
      <w:r w:rsidRPr="00F25559">
        <w:rPr>
          <w:sz w:val="20"/>
          <w:szCs w:val="20"/>
        </w:rPr>
        <w:t xml:space="preserve">Source: HLFS 2013, Betam update for November 2015 </w:t>
      </w:r>
    </w:p>
    <w:p w:rsidR="00B744FD" w:rsidRPr="00F25559" w:rsidRDefault="00B744FD" w:rsidP="00B744FD">
      <w:pPr>
        <w:spacing w:line="276" w:lineRule="auto"/>
        <w:rPr>
          <w:sz w:val="22"/>
          <w:szCs w:val="22"/>
        </w:rPr>
      </w:pPr>
    </w:p>
    <w:p w:rsidR="00B744FD" w:rsidRPr="00F25559" w:rsidRDefault="00444441" w:rsidP="00B744F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 </w:t>
      </w:r>
      <w:r w:rsidR="00FA3B18">
        <w:rPr>
          <w:b/>
          <w:sz w:val="22"/>
          <w:szCs w:val="22"/>
        </w:rPr>
        <w:t>overview</w:t>
      </w:r>
    </w:p>
    <w:p w:rsidR="006338BA" w:rsidRPr="00F25559" w:rsidRDefault="006338BA" w:rsidP="00B744FD">
      <w:pPr>
        <w:spacing w:line="276" w:lineRule="auto"/>
        <w:rPr>
          <w:sz w:val="22"/>
          <w:szCs w:val="22"/>
        </w:rPr>
      </w:pPr>
    </w:p>
    <w:p w:rsidR="00A658D0" w:rsidRDefault="006338BA" w:rsidP="00B744FD">
      <w:pPr>
        <w:spacing w:line="276" w:lineRule="auto"/>
        <w:rPr>
          <w:rFonts w:eastAsiaTheme="minorEastAsia"/>
          <w:bCs/>
          <w:sz w:val="22"/>
          <w:szCs w:val="22"/>
          <w:lang w:eastAsia="tr-TR"/>
        </w:rPr>
      </w:pPr>
      <w:r w:rsidRPr="00F25559">
        <w:rPr>
          <w:sz w:val="22"/>
          <w:szCs w:val="22"/>
        </w:rPr>
        <w:t xml:space="preserve">Minimum wage can be considered as </w:t>
      </w:r>
      <w:r w:rsidR="00BA5B46" w:rsidRPr="00F25559">
        <w:rPr>
          <w:sz w:val="22"/>
          <w:szCs w:val="22"/>
        </w:rPr>
        <w:t xml:space="preserve">a social policy </w:t>
      </w:r>
      <w:r w:rsidR="004B177A">
        <w:rPr>
          <w:sz w:val="22"/>
          <w:szCs w:val="22"/>
        </w:rPr>
        <w:t>tool</w:t>
      </w:r>
      <w:r w:rsidR="00BA5B46" w:rsidRPr="00F25559">
        <w:rPr>
          <w:sz w:val="22"/>
          <w:szCs w:val="22"/>
        </w:rPr>
        <w:t xml:space="preserve"> to provide</w:t>
      </w:r>
      <w:r w:rsidR="00B91D7F">
        <w:rPr>
          <w:sz w:val="22"/>
          <w:szCs w:val="22"/>
        </w:rPr>
        <w:t xml:space="preserve"> </w:t>
      </w:r>
      <w:r w:rsidR="00BA5B46" w:rsidRPr="00F25559">
        <w:rPr>
          <w:sz w:val="22"/>
          <w:szCs w:val="22"/>
        </w:rPr>
        <w:t xml:space="preserve">humanitarian living conditions to </w:t>
      </w:r>
      <w:r w:rsidR="002D73D2">
        <w:rPr>
          <w:sz w:val="22"/>
          <w:szCs w:val="22"/>
        </w:rPr>
        <w:t>individuals</w:t>
      </w:r>
      <w:r w:rsidR="00BA5B46" w:rsidRPr="00F25559">
        <w:rPr>
          <w:sz w:val="22"/>
          <w:szCs w:val="22"/>
        </w:rPr>
        <w:t xml:space="preserve">. </w:t>
      </w:r>
      <w:r w:rsidR="00BA5B46" w:rsidRPr="00F25559">
        <w:rPr>
          <w:rFonts w:eastAsiaTheme="minorEastAsia"/>
          <w:bCs/>
          <w:sz w:val="22"/>
          <w:szCs w:val="22"/>
          <w:lang w:eastAsia="tr-TR"/>
        </w:rPr>
        <w:t xml:space="preserve">Particularly, in the countries with low rates of labor force participation like Turkey, minimum wage hike </w:t>
      </w:r>
      <w:r w:rsidR="000907E0" w:rsidRPr="00F25559">
        <w:rPr>
          <w:rFonts w:eastAsiaTheme="minorEastAsia"/>
          <w:bCs/>
          <w:sz w:val="22"/>
          <w:szCs w:val="22"/>
          <w:lang w:eastAsia="tr-TR"/>
        </w:rPr>
        <w:t>can</w:t>
      </w:r>
      <w:r w:rsidR="00BA5B46" w:rsidRPr="00F25559">
        <w:rPr>
          <w:rFonts w:eastAsiaTheme="minorEastAsia"/>
          <w:bCs/>
          <w:sz w:val="22"/>
          <w:szCs w:val="22"/>
          <w:lang w:eastAsia="tr-TR"/>
        </w:rPr>
        <w:t xml:space="preserve"> encourage </w:t>
      </w:r>
      <w:r w:rsidR="000907E0" w:rsidRPr="00F25559">
        <w:rPr>
          <w:rFonts w:eastAsiaTheme="minorEastAsia"/>
          <w:bCs/>
          <w:sz w:val="22"/>
          <w:szCs w:val="22"/>
          <w:lang w:eastAsia="tr-TR"/>
        </w:rPr>
        <w:t xml:space="preserve">the </w:t>
      </w:r>
      <w:r w:rsidR="004C0122">
        <w:rPr>
          <w:rFonts w:eastAsiaTheme="minorEastAsia"/>
          <w:bCs/>
          <w:sz w:val="22"/>
          <w:szCs w:val="22"/>
          <w:lang w:eastAsia="tr-TR"/>
        </w:rPr>
        <w:t xml:space="preserve">inactive </w:t>
      </w:r>
      <w:r w:rsidR="000907E0" w:rsidRPr="00F25559">
        <w:rPr>
          <w:rFonts w:eastAsiaTheme="minorEastAsia"/>
          <w:bCs/>
          <w:sz w:val="22"/>
          <w:szCs w:val="22"/>
          <w:lang w:eastAsia="tr-TR"/>
        </w:rPr>
        <w:t xml:space="preserve">individuals </w:t>
      </w:r>
      <w:r w:rsidR="00BA5B46" w:rsidRPr="00F25559">
        <w:rPr>
          <w:rFonts w:eastAsiaTheme="minorEastAsia"/>
          <w:bCs/>
          <w:sz w:val="22"/>
          <w:szCs w:val="22"/>
          <w:lang w:eastAsia="tr-TR"/>
        </w:rPr>
        <w:t>to participate in</w:t>
      </w:r>
      <w:r w:rsidR="004C0122">
        <w:rPr>
          <w:rFonts w:eastAsiaTheme="minorEastAsia"/>
          <w:bCs/>
          <w:sz w:val="22"/>
          <w:szCs w:val="22"/>
          <w:lang w:eastAsia="tr-TR"/>
        </w:rPr>
        <w:t xml:space="preserve"> the</w:t>
      </w:r>
      <w:r w:rsidR="00BA5B46" w:rsidRPr="00F25559">
        <w:rPr>
          <w:rFonts w:eastAsiaTheme="minorEastAsia"/>
          <w:bCs/>
          <w:sz w:val="22"/>
          <w:szCs w:val="22"/>
          <w:lang w:eastAsia="tr-TR"/>
        </w:rPr>
        <w:t xml:space="preserve"> labor force.</w:t>
      </w:r>
      <w:r w:rsidR="006F605D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A658D0">
        <w:rPr>
          <w:rFonts w:eastAsiaTheme="minorEastAsia"/>
          <w:bCs/>
          <w:sz w:val="22"/>
          <w:szCs w:val="22"/>
          <w:lang w:eastAsia="tr-TR"/>
        </w:rPr>
        <w:t xml:space="preserve">Hence, an sizeable increase in the minimum wage will definitely help these countries use their human capital more efficiently. </w:t>
      </w:r>
    </w:p>
    <w:p w:rsidR="00A658D0" w:rsidRDefault="00A658D0" w:rsidP="00B744FD">
      <w:pPr>
        <w:spacing w:line="276" w:lineRule="auto"/>
        <w:rPr>
          <w:rFonts w:eastAsiaTheme="minorEastAsia"/>
          <w:bCs/>
          <w:sz w:val="22"/>
          <w:szCs w:val="22"/>
          <w:lang w:eastAsia="tr-TR"/>
        </w:rPr>
      </w:pPr>
    </w:p>
    <w:p w:rsidR="00AC2948" w:rsidRPr="00F25559" w:rsidRDefault="005C2D62" w:rsidP="00D13BDF">
      <w:pPr>
        <w:spacing w:line="276" w:lineRule="auto"/>
        <w:rPr>
          <w:sz w:val="22"/>
          <w:szCs w:val="22"/>
        </w:rPr>
      </w:pPr>
      <w:r w:rsidRPr="00F25559">
        <w:rPr>
          <w:rFonts w:eastAsiaTheme="minorEastAsia"/>
          <w:bCs/>
          <w:sz w:val="22"/>
          <w:szCs w:val="22"/>
          <w:lang w:eastAsia="tr-TR"/>
        </w:rPr>
        <w:t xml:space="preserve">On the other hand, </w:t>
      </w:r>
      <w:r w:rsidR="00AC2948" w:rsidRPr="00F25559">
        <w:rPr>
          <w:rFonts w:eastAsiaTheme="minorEastAsia"/>
          <w:bCs/>
          <w:sz w:val="22"/>
          <w:szCs w:val="22"/>
          <w:lang w:eastAsia="tr-TR"/>
        </w:rPr>
        <w:t xml:space="preserve">literature on economics shows that </w:t>
      </w:r>
      <w:r w:rsidR="00227587" w:rsidRPr="00F25559">
        <w:rPr>
          <w:rFonts w:eastAsiaTheme="minorEastAsia"/>
          <w:bCs/>
          <w:sz w:val="22"/>
          <w:szCs w:val="22"/>
          <w:lang w:eastAsia="tr-TR"/>
        </w:rPr>
        <w:t>minimum wage hike</w:t>
      </w:r>
      <w:r w:rsidR="00F81B32">
        <w:rPr>
          <w:rFonts w:eastAsiaTheme="minorEastAsia"/>
          <w:bCs/>
          <w:sz w:val="22"/>
          <w:szCs w:val="22"/>
          <w:lang w:eastAsia="tr-TR"/>
        </w:rPr>
        <w:t>s cause</w:t>
      </w:r>
      <w:r w:rsidR="00227587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F81B32">
        <w:rPr>
          <w:rFonts w:eastAsiaTheme="minorEastAsia"/>
          <w:bCs/>
          <w:sz w:val="22"/>
          <w:szCs w:val="22"/>
          <w:lang w:eastAsia="tr-TR"/>
        </w:rPr>
        <w:t>increases in</w:t>
      </w:r>
      <w:r w:rsidR="00227587" w:rsidRPr="00F25559">
        <w:rPr>
          <w:rFonts w:eastAsiaTheme="minorEastAsia"/>
          <w:bCs/>
          <w:sz w:val="22"/>
          <w:szCs w:val="22"/>
          <w:lang w:eastAsia="tr-TR"/>
        </w:rPr>
        <w:t xml:space="preserve"> informality </w:t>
      </w:r>
      <w:r w:rsidR="00032A2F" w:rsidRPr="00F25559">
        <w:rPr>
          <w:rFonts w:eastAsiaTheme="minorEastAsia"/>
          <w:bCs/>
          <w:sz w:val="22"/>
          <w:szCs w:val="22"/>
          <w:lang w:eastAsia="tr-TR"/>
        </w:rPr>
        <w:t xml:space="preserve">in </w:t>
      </w:r>
      <w:r w:rsidR="00F81B32">
        <w:rPr>
          <w:rFonts w:eastAsiaTheme="minorEastAsia"/>
          <w:bCs/>
          <w:sz w:val="22"/>
          <w:szCs w:val="22"/>
          <w:lang w:eastAsia="tr-TR"/>
        </w:rPr>
        <w:t xml:space="preserve">countries where informality is already widespread. </w:t>
      </w:r>
      <w:r w:rsidR="007F62F3">
        <w:rPr>
          <w:rFonts w:eastAsiaTheme="minorEastAsia"/>
          <w:bCs/>
          <w:sz w:val="22"/>
          <w:szCs w:val="22"/>
          <w:lang w:eastAsia="tr-TR"/>
        </w:rPr>
        <w:t>A</w:t>
      </w:r>
      <w:r w:rsidR="009C30D0" w:rsidRPr="00F25559">
        <w:rPr>
          <w:rFonts w:eastAsiaTheme="minorEastAsia"/>
          <w:bCs/>
          <w:sz w:val="22"/>
          <w:szCs w:val="22"/>
          <w:lang w:eastAsia="tr-TR"/>
        </w:rPr>
        <w:t xml:space="preserve">round 18 percent of wage earners in Turkey </w:t>
      </w:r>
      <w:r w:rsidR="00F81B32">
        <w:rPr>
          <w:rFonts w:eastAsiaTheme="minorEastAsia"/>
          <w:bCs/>
          <w:sz w:val="22"/>
          <w:szCs w:val="22"/>
          <w:lang w:eastAsia="tr-TR"/>
        </w:rPr>
        <w:t>are</w:t>
      </w:r>
      <w:r w:rsidR="00786CAF" w:rsidRPr="00F25559">
        <w:rPr>
          <w:rFonts w:eastAsiaTheme="minorEastAsia"/>
          <w:bCs/>
          <w:sz w:val="22"/>
          <w:szCs w:val="22"/>
          <w:lang w:eastAsia="tr-TR"/>
        </w:rPr>
        <w:t xml:space="preserve"> </w:t>
      </w:r>
      <w:r w:rsidR="009C30D0" w:rsidRPr="00F25559">
        <w:rPr>
          <w:rFonts w:eastAsiaTheme="minorEastAsia"/>
          <w:bCs/>
          <w:sz w:val="22"/>
          <w:szCs w:val="22"/>
          <w:lang w:eastAsia="tr-TR"/>
        </w:rPr>
        <w:t xml:space="preserve">currently </w:t>
      </w:r>
      <w:r w:rsidR="00F81B32">
        <w:rPr>
          <w:rFonts w:eastAsiaTheme="minorEastAsia"/>
          <w:bCs/>
          <w:sz w:val="22"/>
          <w:szCs w:val="22"/>
          <w:lang w:eastAsia="tr-TR"/>
        </w:rPr>
        <w:t>not registered at the</w:t>
      </w:r>
      <w:r w:rsidR="00786CAF" w:rsidRPr="00F25559">
        <w:rPr>
          <w:rFonts w:eastAsiaTheme="minorEastAsia"/>
          <w:bCs/>
          <w:sz w:val="22"/>
          <w:szCs w:val="22"/>
          <w:lang w:eastAsia="tr-TR"/>
        </w:rPr>
        <w:t xml:space="preserve"> Social Security Institution</w:t>
      </w:r>
      <w:r w:rsidR="00C27AF5">
        <w:rPr>
          <w:rFonts w:eastAsiaTheme="minorEastAsia"/>
          <w:bCs/>
          <w:sz w:val="22"/>
          <w:szCs w:val="22"/>
          <w:lang w:eastAsia="tr-TR"/>
        </w:rPr>
        <w:t xml:space="preserve">. </w:t>
      </w:r>
      <w:r w:rsidR="00C6534F">
        <w:rPr>
          <w:rFonts w:eastAsiaTheme="minorEastAsia"/>
          <w:bCs/>
          <w:sz w:val="22"/>
          <w:szCs w:val="22"/>
          <w:lang w:eastAsia="tr-TR"/>
        </w:rPr>
        <w:t>Moreover, we estimate that a similar percent suffers from underreporting of their wages at the Social Security Institution</w:t>
      </w:r>
      <w:r w:rsidR="00945177">
        <w:rPr>
          <w:rFonts w:eastAsiaTheme="minorEastAsia"/>
          <w:bCs/>
          <w:sz w:val="22"/>
          <w:szCs w:val="22"/>
          <w:lang w:eastAsia="tr-TR"/>
        </w:rPr>
        <w:t xml:space="preserve"> for tax evasion purposes</w:t>
      </w:r>
      <w:r w:rsidR="00C6534F">
        <w:rPr>
          <w:rFonts w:eastAsiaTheme="minorEastAsia"/>
          <w:bCs/>
          <w:sz w:val="22"/>
          <w:szCs w:val="22"/>
          <w:lang w:eastAsia="tr-TR"/>
        </w:rPr>
        <w:t xml:space="preserve">. Informality is concentrated in small and medium size firms given lower productivity  levels and lower wages. </w:t>
      </w:r>
      <w:r w:rsidR="00562BB5" w:rsidRPr="00F25559">
        <w:rPr>
          <w:sz w:val="22"/>
          <w:szCs w:val="22"/>
        </w:rPr>
        <w:t xml:space="preserve">Besides, </w:t>
      </w:r>
      <w:r w:rsidR="00DD433E" w:rsidRPr="00F25559">
        <w:rPr>
          <w:sz w:val="22"/>
          <w:szCs w:val="22"/>
        </w:rPr>
        <w:t xml:space="preserve">these firms will face a </w:t>
      </w:r>
      <w:r w:rsidR="00B80766" w:rsidRPr="00F25559">
        <w:rPr>
          <w:sz w:val="22"/>
          <w:szCs w:val="22"/>
        </w:rPr>
        <w:t>substantial</w:t>
      </w:r>
      <w:r w:rsidR="00C6534F">
        <w:rPr>
          <w:sz w:val="22"/>
          <w:szCs w:val="22"/>
        </w:rPr>
        <w:t xml:space="preserve"> increase in </w:t>
      </w:r>
      <w:r w:rsidR="00DD433E" w:rsidRPr="00F25559">
        <w:rPr>
          <w:sz w:val="22"/>
          <w:szCs w:val="22"/>
        </w:rPr>
        <w:t>labor cost</w:t>
      </w:r>
      <w:r w:rsidR="00C6534F">
        <w:rPr>
          <w:sz w:val="22"/>
          <w:szCs w:val="22"/>
        </w:rPr>
        <w:t>s</w:t>
      </w:r>
      <w:r w:rsidR="00DD433E" w:rsidRPr="00F25559">
        <w:rPr>
          <w:sz w:val="22"/>
          <w:szCs w:val="22"/>
        </w:rPr>
        <w:t xml:space="preserve"> </w:t>
      </w:r>
      <w:r w:rsidR="007F790F" w:rsidRPr="00F25559">
        <w:rPr>
          <w:sz w:val="22"/>
          <w:szCs w:val="22"/>
        </w:rPr>
        <w:t xml:space="preserve">despite the subsidy. Under these conditions, </w:t>
      </w:r>
      <w:r w:rsidR="00276196">
        <w:rPr>
          <w:sz w:val="22"/>
          <w:szCs w:val="22"/>
        </w:rPr>
        <w:t>a</w:t>
      </w:r>
      <w:r w:rsidR="00C82FEC" w:rsidRPr="00F25559">
        <w:rPr>
          <w:sz w:val="22"/>
          <w:szCs w:val="22"/>
        </w:rPr>
        <w:t xml:space="preserve"> </w:t>
      </w:r>
      <w:r w:rsidR="00276196">
        <w:rPr>
          <w:sz w:val="22"/>
          <w:szCs w:val="22"/>
        </w:rPr>
        <w:t>hike</w:t>
      </w:r>
      <w:r w:rsidR="0058665F" w:rsidRPr="00F25559">
        <w:rPr>
          <w:sz w:val="22"/>
          <w:szCs w:val="22"/>
        </w:rPr>
        <w:t xml:space="preserve"> in </w:t>
      </w:r>
      <w:r w:rsidR="00721380">
        <w:rPr>
          <w:sz w:val="22"/>
          <w:szCs w:val="22"/>
        </w:rPr>
        <w:t xml:space="preserve">the </w:t>
      </w:r>
      <w:r w:rsidR="0058665F" w:rsidRPr="00F25559">
        <w:rPr>
          <w:sz w:val="22"/>
          <w:szCs w:val="22"/>
        </w:rPr>
        <w:t xml:space="preserve">minimum wage will </w:t>
      </w:r>
      <w:r w:rsidR="00276196">
        <w:rPr>
          <w:sz w:val="22"/>
          <w:szCs w:val="22"/>
        </w:rPr>
        <w:t xml:space="preserve">probably </w:t>
      </w:r>
      <w:r w:rsidR="0058665F" w:rsidRPr="00F25559">
        <w:rPr>
          <w:sz w:val="22"/>
          <w:szCs w:val="22"/>
        </w:rPr>
        <w:t>cause informality to increase</w:t>
      </w:r>
      <w:r w:rsidR="005C20C3">
        <w:rPr>
          <w:sz w:val="22"/>
          <w:szCs w:val="22"/>
        </w:rPr>
        <w:t xml:space="preserve"> as well</w:t>
      </w:r>
      <w:r w:rsidR="0058665F" w:rsidRPr="00F25559">
        <w:rPr>
          <w:sz w:val="22"/>
          <w:szCs w:val="22"/>
        </w:rPr>
        <w:t xml:space="preserve">. </w:t>
      </w:r>
    </w:p>
    <w:p w:rsidR="00157DD8" w:rsidRDefault="00157DD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744FD" w:rsidRPr="00F25559" w:rsidRDefault="00B744FD" w:rsidP="00B744FD">
      <w:pPr>
        <w:spacing w:line="276" w:lineRule="auto"/>
        <w:rPr>
          <w:b/>
          <w:sz w:val="22"/>
          <w:szCs w:val="22"/>
        </w:rPr>
      </w:pPr>
    </w:p>
    <w:p w:rsidR="00D70C3E" w:rsidRPr="00F25559" w:rsidRDefault="00D70C3E" w:rsidP="00D70C3E">
      <w:pPr>
        <w:pStyle w:val="Caption"/>
        <w:keepNext/>
      </w:pPr>
      <w:bookmarkStart w:id="6" w:name="_Ref440284930"/>
      <w:bookmarkStart w:id="7" w:name="_Ref440284923"/>
      <w:r w:rsidRPr="00F25559">
        <w:rPr>
          <w:b/>
          <w:i w:val="0"/>
          <w:color w:val="auto"/>
          <w:sz w:val="22"/>
          <w:szCs w:val="22"/>
        </w:rPr>
        <w:t xml:space="preserve">Additional Table </w:t>
      </w:r>
      <w:r w:rsidR="00627368" w:rsidRPr="00F25559">
        <w:rPr>
          <w:b/>
          <w:i w:val="0"/>
          <w:color w:val="auto"/>
          <w:sz w:val="22"/>
          <w:szCs w:val="22"/>
        </w:rPr>
        <w:fldChar w:fldCharType="begin"/>
      </w:r>
      <w:r w:rsidRPr="00F25559">
        <w:rPr>
          <w:b/>
          <w:i w:val="0"/>
          <w:color w:val="auto"/>
          <w:sz w:val="22"/>
          <w:szCs w:val="22"/>
        </w:rPr>
        <w:instrText xml:space="preserve"> SEQ Ek \* ARABIC </w:instrText>
      </w:r>
      <w:r w:rsidR="00627368" w:rsidRPr="00F25559">
        <w:rPr>
          <w:b/>
          <w:i w:val="0"/>
          <w:color w:val="auto"/>
          <w:sz w:val="22"/>
          <w:szCs w:val="22"/>
        </w:rPr>
        <w:fldChar w:fldCharType="separate"/>
      </w:r>
      <w:r w:rsidRPr="00F25559">
        <w:rPr>
          <w:b/>
          <w:i w:val="0"/>
          <w:noProof/>
          <w:color w:val="auto"/>
          <w:sz w:val="22"/>
          <w:szCs w:val="22"/>
        </w:rPr>
        <w:t>1</w:t>
      </w:r>
      <w:r w:rsidR="00627368" w:rsidRPr="00F25559">
        <w:rPr>
          <w:b/>
          <w:i w:val="0"/>
          <w:color w:val="auto"/>
          <w:sz w:val="22"/>
          <w:szCs w:val="22"/>
        </w:rPr>
        <w:fldChar w:fldCharType="end"/>
      </w:r>
      <w:bookmarkEnd w:id="6"/>
      <w:r w:rsidRPr="00F25559">
        <w:rPr>
          <w:b/>
          <w:i w:val="0"/>
          <w:color w:val="auto"/>
          <w:sz w:val="22"/>
          <w:szCs w:val="22"/>
        </w:rPr>
        <w:t xml:space="preserve"> The distribution of total employment by firm size</w:t>
      </w:r>
      <w:bookmarkEnd w:id="7"/>
    </w:p>
    <w:tbl>
      <w:tblPr>
        <w:tblW w:w="552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B744FD" w:rsidRPr="00F25559" w:rsidTr="00053638">
        <w:trPr>
          <w:trHeight w:val="320"/>
        </w:trPr>
        <w:tc>
          <w:tcPr>
            <w:tcW w:w="2835" w:type="dxa"/>
            <w:shd w:val="clear" w:color="auto" w:fill="auto"/>
            <w:noWrap/>
            <w:vAlign w:val="bottom"/>
          </w:tcPr>
          <w:p w:rsidR="00B744FD" w:rsidRPr="00F25559" w:rsidRDefault="00053638" w:rsidP="009C0D41">
            <w:pPr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Firm size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B744FD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Share in employment</w:t>
            </w:r>
          </w:p>
        </w:tc>
      </w:tr>
      <w:tr w:rsidR="00053638" w:rsidRPr="00F25559" w:rsidTr="00053638">
        <w:trPr>
          <w:trHeight w:val="3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B4510E">
            <w:pPr>
              <w:spacing w:line="276" w:lineRule="auto"/>
            </w:pPr>
            <w:r w:rsidRPr="00F25559">
              <w:rPr>
                <w:sz w:val="22"/>
                <w:szCs w:val="22"/>
              </w:rPr>
              <w:t>Less than 10 employee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27.7</w:t>
            </w:r>
          </w:p>
        </w:tc>
      </w:tr>
      <w:tr w:rsidR="00053638" w:rsidRPr="00F25559" w:rsidTr="00053638">
        <w:trPr>
          <w:trHeight w:val="3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B4510E">
            <w:pPr>
              <w:spacing w:line="276" w:lineRule="auto"/>
            </w:pPr>
            <w:r w:rsidRPr="00F25559">
              <w:rPr>
                <w:sz w:val="22"/>
                <w:szCs w:val="22"/>
              </w:rPr>
              <w:t>Between 10 and 24 employee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053638" w:rsidRPr="00F25559" w:rsidTr="00053638">
        <w:trPr>
          <w:trHeight w:val="3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B4510E">
            <w:pPr>
              <w:spacing w:line="276" w:lineRule="auto"/>
            </w:pPr>
            <w:r w:rsidRPr="00F25559">
              <w:rPr>
                <w:sz w:val="22"/>
                <w:szCs w:val="22"/>
              </w:rPr>
              <w:t xml:space="preserve">Between 25 and 49 employee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20.6</w:t>
            </w:r>
          </w:p>
        </w:tc>
      </w:tr>
      <w:tr w:rsidR="00053638" w:rsidRPr="00F25559" w:rsidTr="00053638">
        <w:trPr>
          <w:trHeight w:val="3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B4510E">
            <w:pPr>
              <w:spacing w:line="276" w:lineRule="auto"/>
            </w:pPr>
            <w:r w:rsidRPr="00F25559">
              <w:rPr>
                <w:sz w:val="22"/>
                <w:szCs w:val="22"/>
              </w:rPr>
              <w:t>Between 50 and 249 employee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</w:t>
            </w:r>
          </w:p>
        </w:tc>
      </w:tr>
      <w:tr w:rsidR="00053638" w:rsidRPr="00F25559" w:rsidTr="00053638">
        <w:trPr>
          <w:trHeight w:val="3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B4510E">
            <w:pPr>
              <w:spacing w:line="276" w:lineRule="auto"/>
            </w:pPr>
            <w:r w:rsidRPr="00F25559">
              <w:rPr>
                <w:sz w:val="22"/>
                <w:szCs w:val="22"/>
              </w:rPr>
              <w:t xml:space="preserve">Between 250 and 499 employee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</w:tr>
      <w:tr w:rsidR="00053638" w:rsidRPr="00F25559" w:rsidTr="00053638">
        <w:trPr>
          <w:trHeight w:val="3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B4510E">
            <w:pPr>
              <w:spacing w:line="276" w:lineRule="auto"/>
            </w:pPr>
            <w:r w:rsidRPr="00F25559">
              <w:rPr>
                <w:sz w:val="22"/>
                <w:szCs w:val="22"/>
              </w:rPr>
              <w:t>500 employee  and more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</w:tr>
      <w:tr w:rsidR="00053638" w:rsidRPr="00F25559" w:rsidTr="00053638">
        <w:trPr>
          <w:trHeight w:val="273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B4510E">
            <w:pPr>
              <w:spacing w:line="276" w:lineRule="auto"/>
              <w:rPr>
                <w:i/>
              </w:rPr>
            </w:pPr>
            <w:r w:rsidRPr="00F25559">
              <w:rPr>
                <w:i/>
                <w:sz w:val="22"/>
                <w:szCs w:val="22"/>
              </w:rPr>
              <w:t>Total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53638" w:rsidRPr="00F25559" w:rsidRDefault="00053638" w:rsidP="009C0D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55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100.0</w:t>
            </w:r>
          </w:p>
        </w:tc>
      </w:tr>
    </w:tbl>
    <w:p w:rsidR="00B744FD" w:rsidRPr="00F25559" w:rsidRDefault="00B744FD" w:rsidP="00B744FD">
      <w:pPr>
        <w:spacing w:line="276" w:lineRule="auto"/>
        <w:rPr>
          <w:sz w:val="22"/>
          <w:szCs w:val="22"/>
        </w:rPr>
      </w:pPr>
    </w:p>
    <w:p w:rsidR="00B744FD" w:rsidRPr="00F25559" w:rsidRDefault="00B744FD" w:rsidP="00B744FD">
      <w:pPr>
        <w:spacing w:line="276" w:lineRule="auto"/>
        <w:rPr>
          <w:sz w:val="22"/>
          <w:szCs w:val="22"/>
        </w:rPr>
      </w:pPr>
    </w:p>
    <w:p w:rsidR="00602ABD" w:rsidRPr="00F25559" w:rsidRDefault="00602ABD"/>
    <w:sectPr w:rsidR="00602ABD" w:rsidRPr="00F25559" w:rsidSect="009C0D41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12" w:rsidRDefault="00DD4612" w:rsidP="00B744FD">
      <w:r>
        <w:separator/>
      </w:r>
    </w:p>
  </w:endnote>
  <w:endnote w:type="continuationSeparator" w:id="0">
    <w:p w:rsidR="00DD4612" w:rsidRDefault="00DD4612" w:rsidP="00B7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3674"/>
      <w:docPartObj>
        <w:docPartGallery w:val="Page Numbers (Bottom of Page)"/>
        <w:docPartUnique/>
      </w:docPartObj>
    </w:sdtPr>
    <w:sdtEndPr/>
    <w:sdtContent>
      <w:p w:rsidR="006C51C6" w:rsidRDefault="00DD4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1C6" w:rsidRDefault="006C5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12" w:rsidRDefault="00DD4612" w:rsidP="00B744FD">
      <w:r>
        <w:separator/>
      </w:r>
    </w:p>
  </w:footnote>
  <w:footnote w:type="continuationSeparator" w:id="0">
    <w:p w:rsidR="00DD4612" w:rsidRDefault="00DD4612" w:rsidP="00B744FD">
      <w:r>
        <w:continuationSeparator/>
      </w:r>
    </w:p>
  </w:footnote>
  <w:footnote w:id="1">
    <w:p w:rsidR="006C51C6" w:rsidRPr="00F25559" w:rsidRDefault="006C51C6" w:rsidP="00B744FD">
      <w:pPr>
        <w:pStyle w:val="FootnoteText"/>
        <w:rPr>
          <w:lang w:val="en-US"/>
        </w:rPr>
      </w:pPr>
      <w:r w:rsidRPr="00F25559">
        <w:rPr>
          <w:rStyle w:val="FootnoteReference"/>
          <w:sz w:val="16"/>
          <w:szCs w:val="16"/>
          <w:lang w:val="en-US"/>
        </w:rPr>
        <w:t>*</w:t>
      </w:r>
      <w:r w:rsidRPr="00F25559">
        <w:rPr>
          <w:rFonts w:cs="Arial"/>
          <w:sz w:val="16"/>
          <w:szCs w:val="16"/>
          <w:lang w:val="en-US"/>
        </w:rPr>
        <w:t xml:space="preserve">Prof. Dr. Seyfettin Gürsel, Betam, Director, </w:t>
      </w:r>
      <w:hyperlink r:id="rId1" w:history="1">
        <w:r w:rsidRPr="00F25559">
          <w:rPr>
            <w:rStyle w:val="Hyperlink"/>
            <w:rFonts w:cs="Arial"/>
            <w:sz w:val="16"/>
            <w:szCs w:val="16"/>
            <w:lang w:val="en-US"/>
          </w:rPr>
          <w:t>seyfettin.gursel@eas.bahcesehir.edu.tr</w:t>
        </w:r>
      </w:hyperlink>
    </w:p>
  </w:footnote>
  <w:footnote w:id="2">
    <w:p w:rsidR="006C51C6" w:rsidRPr="00F25559" w:rsidRDefault="006C51C6" w:rsidP="00B744FD">
      <w:pPr>
        <w:pStyle w:val="FootnoteText"/>
        <w:rPr>
          <w:lang w:val="en-US"/>
        </w:rPr>
      </w:pPr>
      <w:r w:rsidRPr="00F25559">
        <w:rPr>
          <w:rStyle w:val="FootnoteReference"/>
          <w:sz w:val="16"/>
          <w:szCs w:val="16"/>
          <w:lang w:val="en-US"/>
        </w:rPr>
        <w:sym w:font="Symbol" w:char="F02A"/>
      </w:r>
      <w:r w:rsidRPr="00F25559">
        <w:rPr>
          <w:rStyle w:val="FootnoteReference"/>
          <w:sz w:val="16"/>
          <w:szCs w:val="16"/>
          <w:lang w:val="en-US"/>
        </w:rPr>
        <w:sym w:font="Symbol" w:char="F02A"/>
      </w:r>
      <w:r w:rsidRPr="00F25559">
        <w:rPr>
          <w:rFonts w:cs="Arial"/>
          <w:sz w:val="16"/>
          <w:szCs w:val="16"/>
          <w:lang w:val="en-US"/>
        </w:rPr>
        <w:t xml:space="preserve"> Yrd. Doç. Dr. Gökçe Uysal, Betam, Assistant Director, </w:t>
      </w:r>
      <w:hyperlink r:id="rId2" w:history="1">
        <w:r w:rsidRPr="00F25559">
          <w:rPr>
            <w:rStyle w:val="Hyperlink"/>
            <w:rFonts w:cs="Arial"/>
            <w:sz w:val="16"/>
            <w:szCs w:val="16"/>
            <w:lang w:val="en-US"/>
          </w:rPr>
          <w:t>gokce.uysal@eas.bahcesehir.edu.tr</w:t>
        </w:r>
      </w:hyperlink>
    </w:p>
  </w:footnote>
  <w:footnote w:id="3">
    <w:p w:rsidR="006C51C6" w:rsidRPr="00F25559" w:rsidRDefault="006C51C6" w:rsidP="00B744FD">
      <w:pPr>
        <w:pStyle w:val="FootnoteText"/>
        <w:rPr>
          <w:lang w:val="en-US"/>
        </w:rPr>
      </w:pPr>
      <w:r w:rsidRPr="00F25559">
        <w:rPr>
          <w:rStyle w:val="FootnoteReference"/>
          <w:sz w:val="16"/>
          <w:szCs w:val="16"/>
          <w:lang w:val="en-US"/>
        </w:rPr>
        <w:sym w:font="Symbol" w:char="F02A"/>
      </w:r>
      <w:r w:rsidRPr="00F25559">
        <w:rPr>
          <w:rStyle w:val="FootnoteReference"/>
          <w:sz w:val="16"/>
          <w:szCs w:val="16"/>
          <w:lang w:val="en-US"/>
        </w:rPr>
        <w:sym w:font="Symbol" w:char="F02A"/>
      </w:r>
      <w:r w:rsidRPr="00F25559">
        <w:rPr>
          <w:rStyle w:val="FootnoteReference"/>
          <w:sz w:val="16"/>
          <w:szCs w:val="16"/>
          <w:lang w:val="en-US"/>
        </w:rPr>
        <w:sym w:font="Symbol" w:char="F02A"/>
      </w:r>
      <w:r w:rsidRPr="00F25559">
        <w:rPr>
          <w:rFonts w:cs="Arial"/>
          <w:sz w:val="16"/>
          <w:szCs w:val="16"/>
          <w:lang w:val="en-US"/>
        </w:rPr>
        <w:t xml:space="preserve">Melike Kökkızıl, Betam, Research Assistant , </w:t>
      </w:r>
      <w:hyperlink r:id="rId3" w:history="1">
        <w:r w:rsidRPr="00F25559">
          <w:rPr>
            <w:rStyle w:val="Hyperlink"/>
            <w:rFonts w:cs="Arial"/>
            <w:sz w:val="16"/>
            <w:szCs w:val="16"/>
            <w:lang w:val="en-US"/>
          </w:rPr>
          <w:t>melike.kokkizil@eas.bahcesehir.edu.tr</w:t>
        </w:r>
      </w:hyperlink>
    </w:p>
  </w:footnote>
  <w:footnote w:id="4">
    <w:p w:rsidR="006C51C6" w:rsidRPr="00F25559" w:rsidRDefault="006C51C6" w:rsidP="00CD0EA4">
      <w:pPr>
        <w:pStyle w:val="FootnoteText"/>
        <w:rPr>
          <w:lang w:val="en-US"/>
        </w:rPr>
      </w:pPr>
      <w:r w:rsidRPr="00F25559">
        <w:rPr>
          <w:rStyle w:val="FootnoteReference"/>
          <w:lang w:val="en-US"/>
        </w:rPr>
        <w:footnoteRef/>
      </w:r>
      <w:r w:rsidRPr="00F25559">
        <w:rPr>
          <w:lang w:val="en-US"/>
        </w:rPr>
        <w:t xml:space="preserve"> Please visit </w:t>
      </w:r>
      <w:r w:rsidR="00C5117B">
        <w:rPr>
          <w:lang w:val="en-US"/>
        </w:rPr>
        <w:t xml:space="preserve">the following internet site </w:t>
      </w:r>
      <w:r w:rsidRPr="00F25559">
        <w:rPr>
          <w:lang w:val="en-US"/>
        </w:rPr>
        <w:t xml:space="preserve">for more information on the calculation of minimum wage for the year of 2015: </w:t>
      </w:r>
      <w:hyperlink r:id="rId4" w:history="1">
        <w:r w:rsidRPr="00F25559">
          <w:rPr>
            <w:rStyle w:val="Hyperlink"/>
            <w:sz w:val="18"/>
            <w:szCs w:val="18"/>
            <w:lang w:val="en-US"/>
          </w:rPr>
          <w:t>http://www.turmob.org.tr/arsiv/mbs/pratikBilgiler/asgari_ucret2015.pdf</w:t>
        </w:r>
      </w:hyperlink>
      <w:r w:rsidRPr="00F25559">
        <w:rPr>
          <w:lang w:val="en-US"/>
        </w:rPr>
        <w:t xml:space="preserve"> </w:t>
      </w:r>
      <w:r w:rsidRPr="00F25559">
        <w:rPr>
          <w:i/>
          <w:lang w:val="en-US"/>
        </w:rPr>
        <w:t>(In Turkish)</w:t>
      </w:r>
    </w:p>
  </w:footnote>
  <w:footnote w:id="5">
    <w:p w:rsidR="006C51C6" w:rsidRPr="00F25559" w:rsidRDefault="006C51C6" w:rsidP="00CB038D">
      <w:pPr>
        <w:pStyle w:val="FootnoteText"/>
        <w:rPr>
          <w:lang w:val="en-US"/>
        </w:rPr>
      </w:pPr>
      <w:r w:rsidRPr="00F25559">
        <w:rPr>
          <w:rStyle w:val="FootnoteReference"/>
          <w:lang w:val="en-US"/>
        </w:rPr>
        <w:footnoteRef/>
      </w:r>
      <w:r w:rsidRPr="00F25559">
        <w:rPr>
          <w:lang w:val="en-US"/>
        </w:rPr>
        <w:t xml:space="preserve"> </w:t>
      </w:r>
      <w:r w:rsidR="00DE0A0D">
        <w:rPr>
          <w:lang w:val="en-US"/>
        </w:rPr>
        <w:t xml:space="preserve">Even though there may be more than one province in a NUTS2 region, </w:t>
      </w:r>
      <w:r w:rsidRPr="00F25559">
        <w:rPr>
          <w:lang w:val="en-US"/>
        </w:rPr>
        <w:t xml:space="preserve">NUTS2 regions take the name of the province </w:t>
      </w:r>
      <w:r w:rsidR="00DE0A0D">
        <w:rPr>
          <w:lang w:val="en-US"/>
        </w:rPr>
        <w:t>that has the largest</w:t>
      </w:r>
      <w:r w:rsidRPr="00F25559">
        <w:rPr>
          <w:lang w:val="en-US"/>
        </w:rPr>
        <w:t xml:space="preserve"> population </w:t>
      </w:r>
      <w:r w:rsidR="00DE0A0D">
        <w:rPr>
          <w:lang w:val="en-US"/>
        </w:rPr>
        <w:t xml:space="preserve">in that particular region. </w:t>
      </w:r>
      <w:r w:rsidRPr="00F25559">
        <w:rPr>
          <w:lang w:val="en-US"/>
        </w:rPr>
        <w:t xml:space="preserve">All the provinces in regions are clearly </w:t>
      </w:r>
      <w:r w:rsidR="00DE0A0D">
        <w:rPr>
          <w:lang w:val="en-US"/>
        </w:rPr>
        <w:t>indicated</w:t>
      </w:r>
      <w:r w:rsidRPr="00F25559">
        <w:rPr>
          <w:lang w:val="en-US"/>
        </w:rPr>
        <w:t xml:space="preserve"> in following tables.</w:t>
      </w:r>
    </w:p>
  </w:footnote>
  <w:footnote w:id="6">
    <w:p w:rsidR="006C51C6" w:rsidRPr="00F25559" w:rsidRDefault="006C51C6" w:rsidP="00226B8C">
      <w:pPr>
        <w:pStyle w:val="FootnoteText"/>
        <w:rPr>
          <w:lang w:val="en-US"/>
        </w:rPr>
      </w:pPr>
      <w:r w:rsidRPr="00F25559">
        <w:rPr>
          <w:rStyle w:val="FootnoteReference"/>
          <w:lang w:val="en-US"/>
        </w:rPr>
        <w:footnoteRef/>
      </w:r>
      <w:r w:rsidRPr="00F25559">
        <w:rPr>
          <w:lang w:val="en-US"/>
        </w:rPr>
        <w:t xml:space="preserve"> The distribution of job creation by firm size is reported in </w:t>
      </w:r>
      <w:r w:rsidR="00DD4612">
        <w:fldChar w:fldCharType="begin"/>
      </w:r>
      <w:r w:rsidR="00DD4612">
        <w:instrText xml:space="preserve"> REF _Ref440284930 \h  \* MERGEFORMAT </w:instrText>
      </w:r>
      <w:r w:rsidR="00DD4612">
        <w:fldChar w:fldCharType="separate"/>
      </w:r>
      <w:r w:rsidRPr="00F25559">
        <w:rPr>
          <w:lang w:val="en-US"/>
        </w:rPr>
        <w:t>Additional Table 1</w:t>
      </w:r>
      <w:r w:rsidR="00DD4612">
        <w:fldChar w:fldCharType="end"/>
      </w:r>
      <w:r w:rsidRPr="00F25559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D"/>
    <w:rsid w:val="000012DE"/>
    <w:rsid w:val="00003EF4"/>
    <w:rsid w:val="00020CF4"/>
    <w:rsid w:val="00021F87"/>
    <w:rsid w:val="0002350F"/>
    <w:rsid w:val="00027081"/>
    <w:rsid w:val="00032A2F"/>
    <w:rsid w:val="00034B7D"/>
    <w:rsid w:val="00041C11"/>
    <w:rsid w:val="00045263"/>
    <w:rsid w:val="00045BA8"/>
    <w:rsid w:val="000516D3"/>
    <w:rsid w:val="00053638"/>
    <w:rsid w:val="00055CD5"/>
    <w:rsid w:val="0005633A"/>
    <w:rsid w:val="00081405"/>
    <w:rsid w:val="00082125"/>
    <w:rsid w:val="00084903"/>
    <w:rsid w:val="00085DDF"/>
    <w:rsid w:val="000907E0"/>
    <w:rsid w:val="00090AD5"/>
    <w:rsid w:val="00092BA6"/>
    <w:rsid w:val="000B103F"/>
    <w:rsid w:val="000B2E76"/>
    <w:rsid w:val="000C5AFF"/>
    <w:rsid w:val="000D07ED"/>
    <w:rsid w:val="000D1D18"/>
    <w:rsid w:val="000D4E4F"/>
    <w:rsid w:val="000E5652"/>
    <w:rsid w:val="000F0B9B"/>
    <w:rsid w:val="000F4DC1"/>
    <w:rsid w:val="001028E9"/>
    <w:rsid w:val="001073B0"/>
    <w:rsid w:val="00110E6F"/>
    <w:rsid w:val="00111CC9"/>
    <w:rsid w:val="001207DB"/>
    <w:rsid w:val="00121768"/>
    <w:rsid w:val="00133C7E"/>
    <w:rsid w:val="00141314"/>
    <w:rsid w:val="001470E7"/>
    <w:rsid w:val="001555CE"/>
    <w:rsid w:val="00157DD8"/>
    <w:rsid w:val="00160868"/>
    <w:rsid w:val="0016433C"/>
    <w:rsid w:val="00165C4C"/>
    <w:rsid w:val="001724F6"/>
    <w:rsid w:val="00172B88"/>
    <w:rsid w:val="00173715"/>
    <w:rsid w:val="0019172F"/>
    <w:rsid w:val="00196738"/>
    <w:rsid w:val="001A13A5"/>
    <w:rsid w:val="001A3236"/>
    <w:rsid w:val="001B625B"/>
    <w:rsid w:val="001C594F"/>
    <w:rsid w:val="001D1DDA"/>
    <w:rsid w:val="001D34C4"/>
    <w:rsid w:val="001D5789"/>
    <w:rsid w:val="0020482A"/>
    <w:rsid w:val="00205B21"/>
    <w:rsid w:val="00217619"/>
    <w:rsid w:val="002211E8"/>
    <w:rsid w:val="00226B8C"/>
    <w:rsid w:val="00227587"/>
    <w:rsid w:val="0024600F"/>
    <w:rsid w:val="002514CA"/>
    <w:rsid w:val="00252639"/>
    <w:rsid w:val="00264620"/>
    <w:rsid w:val="00265110"/>
    <w:rsid w:val="00267F8B"/>
    <w:rsid w:val="00272C27"/>
    <w:rsid w:val="00276196"/>
    <w:rsid w:val="00286B90"/>
    <w:rsid w:val="0029135A"/>
    <w:rsid w:val="00295036"/>
    <w:rsid w:val="002B0DDB"/>
    <w:rsid w:val="002B4E92"/>
    <w:rsid w:val="002B5E68"/>
    <w:rsid w:val="002D67A7"/>
    <w:rsid w:val="002D73D2"/>
    <w:rsid w:val="002E0897"/>
    <w:rsid w:val="002E11A8"/>
    <w:rsid w:val="002E16AB"/>
    <w:rsid w:val="002E6E05"/>
    <w:rsid w:val="002F2653"/>
    <w:rsid w:val="002F2AE5"/>
    <w:rsid w:val="002F3EAA"/>
    <w:rsid w:val="002F4204"/>
    <w:rsid w:val="00301539"/>
    <w:rsid w:val="003040B9"/>
    <w:rsid w:val="00315A7A"/>
    <w:rsid w:val="00321FE5"/>
    <w:rsid w:val="003230F4"/>
    <w:rsid w:val="003266FA"/>
    <w:rsid w:val="003364B1"/>
    <w:rsid w:val="00340961"/>
    <w:rsid w:val="00345053"/>
    <w:rsid w:val="00346DFD"/>
    <w:rsid w:val="00347134"/>
    <w:rsid w:val="003559D4"/>
    <w:rsid w:val="003567F2"/>
    <w:rsid w:val="00357787"/>
    <w:rsid w:val="00362E96"/>
    <w:rsid w:val="00363AED"/>
    <w:rsid w:val="003741D3"/>
    <w:rsid w:val="003772E6"/>
    <w:rsid w:val="00382D7D"/>
    <w:rsid w:val="00391DF3"/>
    <w:rsid w:val="00395A4D"/>
    <w:rsid w:val="003A7854"/>
    <w:rsid w:val="003B4DBE"/>
    <w:rsid w:val="003B50C4"/>
    <w:rsid w:val="003C20E7"/>
    <w:rsid w:val="003D576C"/>
    <w:rsid w:val="003D5B34"/>
    <w:rsid w:val="003D703D"/>
    <w:rsid w:val="003D7438"/>
    <w:rsid w:val="003F2C36"/>
    <w:rsid w:val="004027CB"/>
    <w:rsid w:val="00424F62"/>
    <w:rsid w:val="00430547"/>
    <w:rsid w:val="00430DC4"/>
    <w:rsid w:val="0043362E"/>
    <w:rsid w:val="00433C7D"/>
    <w:rsid w:val="00444082"/>
    <w:rsid w:val="00444441"/>
    <w:rsid w:val="0044581E"/>
    <w:rsid w:val="00447E0D"/>
    <w:rsid w:val="00447E4D"/>
    <w:rsid w:val="00452F3E"/>
    <w:rsid w:val="0046414F"/>
    <w:rsid w:val="00465C08"/>
    <w:rsid w:val="00470A84"/>
    <w:rsid w:val="00471CEA"/>
    <w:rsid w:val="00474F0C"/>
    <w:rsid w:val="00476BAB"/>
    <w:rsid w:val="00485A76"/>
    <w:rsid w:val="004904C1"/>
    <w:rsid w:val="004909CB"/>
    <w:rsid w:val="00491F79"/>
    <w:rsid w:val="00492F5B"/>
    <w:rsid w:val="004978F2"/>
    <w:rsid w:val="004B177A"/>
    <w:rsid w:val="004B20E6"/>
    <w:rsid w:val="004C0122"/>
    <w:rsid w:val="004C5CA6"/>
    <w:rsid w:val="004C7E42"/>
    <w:rsid w:val="004D0145"/>
    <w:rsid w:val="004D0B01"/>
    <w:rsid w:val="004F3478"/>
    <w:rsid w:val="004F4CCA"/>
    <w:rsid w:val="004F6428"/>
    <w:rsid w:val="005112B3"/>
    <w:rsid w:val="00520EF4"/>
    <w:rsid w:val="00525ABC"/>
    <w:rsid w:val="005260B0"/>
    <w:rsid w:val="00527DF2"/>
    <w:rsid w:val="0054016E"/>
    <w:rsid w:val="005517E9"/>
    <w:rsid w:val="00552351"/>
    <w:rsid w:val="005525CA"/>
    <w:rsid w:val="00552FD8"/>
    <w:rsid w:val="005538EA"/>
    <w:rsid w:val="00553D73"/>
    <w:rsid w:val="00562BB5"/>
    <w:rsid w:val="00567E84"/>
    <w:rsid w:val="00575A12"/>
    <w:rsid w:val="00580122"/>
    <w:rsid w:val="005857C0"/>
    <w:rsid w:val="0058665F"/>
    <w:rsid w:val="00593BE2"/>
    <w:rsid w:val="005972DB"/>
    <w:rsid w:val="005A0029"/>
    <w:rsid w:val="005A02DF"/>
    <w:rsid w:val="005A2780"/>
    <w:rsid w:val="005A281B"/>
    <w:rsid w:val="005A6203"/>
    <w:rsid w:val="005A6B41"/>
    <w:rsid w:val="005B18D1"/>
    <w:rsid w:val="005C20C3"/>
    <w:rsid w:val="005C2D62"/>
    <w:rsid w:val="005D166E"/>
    <w:rsid w:val="005D6079"/>
    <w:rsid w:val="005E15C6"/>
    <w:rsid w:val="005E3AFF"/>
    <w:rsid w:val="005E7C8C"/>
    <w:rsid w:val="005F02C2"/>
    <w:rsid w:val="00601836"/>
    <w:rsid w:val="00602ABD"/>
    <w:rsid w:val="00605720"/>
    <w:rsid w:val="00614B6A"/>
    <w:rsid w:val="00617AE8"/>
    <w:rsid w:val="006212B8"/>
    <w:rsid w:val="006239CA"/>
    <w:rsid w:val="00623AEC"/>
    <w:rsid w:val="006254AE"/>
    <w:rsid w:val="00627368"/>
    <w:rsid w:val="006338BA"/>
    <w:rsid w:val="006366C1"/>
    <w:rsid w:val="006417DB"/>
    <w:rsid w:val="0064589C"/>
    <w:rsid w:val="006532D3"/>
    <w:rsid w:val="00655ED3"/>
    <w:rsid w:val="006730F4"/>
    <w:rsid w:val="00682DFA"/>
    <w:rsid w:val="00683BC8"/>
    <w:rsid w:val="006A616B"/>
    <w:rsid w:val="006A6896"/>
    <w:rsid w:val="006B782F"/>
    <w:rsid w:val="006B7915"/>
    <w:rsid w:val="006C183B"/>
    <w:rsid w:val="006C51C6"/>
    <w:rsid w:val="006E3256"/>
    <w:rsid w:val="006E57EB"/>
    <w:rsid w:val="006F605D"/>
    <w:rsid w:val="007052E9"/>
    <w:rsid w:val="00707107"/>
    <w:rsid w:val="00710CEF"/>
    <w:rsid w:val="0071587D"/>
    <w:rsid w:val="007161F5"/>
    <w:rsid w:val="00721380"/>
    <w:rsid w:val="0072156A"/>
    <w:rsid w:val="00725D53"/>
    <w:rsid w:val="007263DE"/>
    <w:rsid w:val="00727843"/>
    <w:rsid w:val="007305F1"/>
    <w:rsid w:val="00732A63"/>
    <w:rsid w:val="007340CC"/>
    <w:rsid w:val="00735CB3"/>
    <w:rsid w:val="00736A1D"/>
    <w:rsid w:val="00743538"/>
    <w:rsid w:val="00745262"/>
    <w:rsid w:val="00747FD1"/>
    <w:rsid w:val="00751992"/>
    <w:rsid w:val="00764DB1"/>
    <w:rsid w:val="00773D8F"/>
    <w:rsid w:val="00786CAF"/>
    <w:rsid w:val="00794889"/>
    <w:rsid w:val="007B1264"/>
    <w:rsid w:val="007C7D47"/>
    <w:rsid w:val="007D4C7B"/>
    <w:rsid w:val="007E5534"/>
    <w:rsid w:val="007F62F3"/>
    <w:rsid w:val="007F790F"/>
    <w:rsid w:val="008012C4"/>
    <w:rsid w:val="008078EA"/>
    <w:rsid w:val="00817C79"/>
    <w:rsid w:val="008227AC"/>
    <w:rsid w:val="00824A36"/>
    <w:rsid w:val="00826DC6"/>
    <w:rsid w:val="00827008"/>
    <w:rsid w:val="00855D9B"/>
    <w:rsid w:val="008572BA"/>
    <w:rsid w:val="00857A65"/>
    <w:rsid w:val="008633F5"/>
    <w:rsid w:val="00865374"/>
    <w:rsid w:val="00867D2E"/>
    <w:rsid w:val="00871AD2"/>
    <w:rsid w:val="00877487"/>
    <w:rsid w:val="00893AF3"/>
    <w:rsid w:val="008A0185"/>
    <w:rsid w:val="008A06EE"/>
    <w:rsid w:val="008A5CF9"/>
    <w:rsid w:val="008A616A"/>
    <w:rsid w:val="008B343E"/>
    <w:rsid w:val="008B40A7"/>
    <w:rsid w:val="008B5FE4"/>
    <w:rsid w:val="008B7140"/>
    <w:rsid w:val="008D1BB4"/>
    <w:rsid w:val="008E41FF"/>
    <w:rsid w:val="008E546C"/>
    <w:rsid w:val="008F00BF"/>
    <w:rsid w:val="008F43C3"/>
    <w:rsid w:val="00907BDB"/>
    <w:rsid w:val="0091120B"/>
    <w:rsid w:val="0091331F"/>
    <w:rsid w:val="009142BC"/>
    <w:rsid w:val="00917D9F"/>
    <w:rsid w:val="009216C6"/>
    <w:rsid w:val="009250AF"/>
    <w:rsid w:val="00926091"/>
    <w:rsid w:val="00940E0A"/>
    <w:rsid w:val="00940E22"/>
    <w:rsid w:val="009422A1"/>
    <w:rsid w:val="0094349D"/>
    <w:rsid w:val="0094480F"/>
    <w:rsid w:val="00945177"/>
    <w:rsid w:val="00946ED8"/>
    <w:rsid w:val="0094747C"/>
    <w:rsid w:val="00947A48"/>
    <w:rsid w:val="00953315"/>
    <w:rsid w:val="00954E2A"/>
    <w:rsid w:val="009558E0"/>
    <w:rsid w:val="00960877"/>
    <w:rsid w:val="0096300B"/>
    <w:rsid w:val="00964229"/>
    <w:rsid w:val="00982FA1"/>
    <w:rsid w:val="009A1583"/>
    <w:rsid w:val="009B015F"/>
    <w:rsid w:val="009B3D64"/>
    <w:rsid w:val="009B7835"/>
    <w:rsid w:val="009C0D41"/>
    <w:rsid w:val="009C30D0"/>
    <w:rsid w:val="009C3434"/>
    <w:rsid w:val="009D00E5"/>
    <w:rsid w:val="009D4E2E"/>
    <w:rsid w:val="009D690A"/>
    <w:rsid w:val="009E49D1"/>
    <w:rsid w:val="009E6E96"/>
    <w:rsid w:val="009F6F92"/>
    <w:rsid w:val="009F721B"/>
    <w:rsid w:val="00A107AB"/>
    <w:rsid w:val="00A12186"/>
    <w:rsid w:val="00A16E30"/>
    <w:rsid w:val="00A1717E"/>
    <w:rsid w:val="00A22047"/>
    <w:rsid w:val="00A22BFE"/>
    <w:rsid w:val="00A25C32"/>
    <w:rsid w:val="00A27197"/>
    <w:rsid w:val="00A31130"/>
    <w:rsid w:val="00A348AE"/>
    <w:rsid w:val="00A469D2"/>
    <w:rsid w:val="00A47B20"/>
    <w:rsid w:val="00A56795"/>
    <w:rsid w:val="00A567DB"/>
    <w:rsid w:val="00A658D0"/>
    <w:rsid w:val="00A67ABA"/>
    <w:rsid w:val="00A722C8"/>
    <w:rsid w:val="00A73CE1"/>
    <w:rsid w:val="00A801CD"/>
    <w:rsid w:val="00A8795D"/>
    <w:rsid w:val="00A92FAF"/>
    <w:rsid w:val="00A96548"/>
    <w:rsid w:val="00AA3552"/>
    <w:rsid w:val="00AB7D48"/>
    <w:rsid w:val="00AC073C"/>
    <w:rsid w:val="00AC2948"/>
    <w:rsid w:val="00AC2FF5"/>
    <w:rsid w:val="00AC63E7"/>
    <w:rsid w:val="00AC6BDD"/>
    <w:rsid w:val="00AD4505"/>
    <w:rsid w:val="00AE1873"/>
    <w:rsid w:val="00AF0967"/>
    <w:rsid w:val="00AF1100"/>
    <w:rsid w:val="00AF3386"/>
    <w:rsid w:val="00AF5451"/>
    <w:rsid w:val="00B06CF7"/>
    <w:rsid w:val="00B07CE7"/>
    <w:rsid w:val="00B13BA3"/>
    <w:rsid w:val="00B174FC"/>
    <w:rsid w:val="00B24584"/>
    <w:rsid w:val="00B2586A"/>
    <w:rsid w:val="00B4304D"/>
    <w:rsid w:val="00B4510E"/>
    <w:rsid w:val="00B468FD"/>
    <w:rsid w:val="00B46E47"/>
    <w:rsid w:val="00B57521"/>
    <w:rsid w:val="00B62AC1"/>
    <w:rsid w:val="00B6357B"/>
    <w:rsid w:val="00B659B2"/>
    <w:rsid w:val="00B66EF9"/>
    <w:rsid w:val="00B70E0F"/>
    <w:rsid w:val="00B744FD"/>
    <w:rsid w:val="00B77965"/>
    <w:rsid w:val="00B80766"/>
    <w:rsid w:val="00B82FD6"/>
    <w:rsid w:val="00B84754"/>
    <w:rsid w:val="00B911A0"/>
    <w:rsid w:val="00B91D7F"/>
    <w:rsid w:val="00BA4400"/>
    <w:rsid w:val="00BA5B46"/>
    <w:rsid w:val="00BB13E1"/>
    <w:rsid w:val="00BC19AC"/>
    <w:rsid w:val="00BC296B"/>
    <w:rsid w:val="00BC2DAF"/>
    <w:rsid w:val="00BC7DFE"/>
    <w:rsid w:val="00BD395E"/>
    <w:rsid w:val="00BD5A7C"/>
    <w:rsid w:val="00BD69EF"/>
    <w:rsid w:val="00BF00A6"/>
    <w:rsid w:val="00BF2544"/>
    <w:rsid w:val="00BF6453"/>
    <w:rsid w:val="00BF668E"/>
    <w:rsid w:val="00C04109"/>
    <w:rsid w:val="00C13F75"/>
    <w:rsid w:val="00C21750"/>
    <w:rsid w:val="00C27AF5"/>
    <w:rsid w:val="00C41179"/>
    <w:rsid w:val="00C454B5"/>
    <w:rsid w:val="00C5117B"/>
    <w:rsid w:val="00C6534F"/>
    <w:rsid w:val="00C65AE6"/>
    <w:rsid w:val="00C8043A"/>
    <w:rsid w:val="00C82FEC"/>
    <w:rsid w:val="00C86AD6"/>
    <w:rsid w:val="00C86B0B"/>
    <w:rsid w:val="00C93CC6"/>
    <w:rsid w:val="00CA1716"/>
    <w:rsid w:val="00CA7402"/>
    <w:rsid w:val="00CB038D"/>
    <w:rsid w:val="00CB151F"/>
    <w:rsid w:val="00CD0EA4"/>
    <w:rsid w:val="00CD29CF"/>
    <w:rsid w:val="00CD5181"/>
    <w:rsid w:val="00CF00F1"/>
    <w:rsid w:val="00CF0F4C"/>
    <w:rsid w:val="00CF1529"/>
    <w:rsid w:val="00CF177B"/>
    <w:rsid w:val="00CF3E06"/>
    <w:rsid w:val="00D1304A"/>
    <w:rsid w:val="00D13BDF"/>
    <w:rsid w:val="00D15DC8"/>
    <w:rsid w:val="00D173A9"/>
    <w:rsid w:val="00D3076B"/>
    <w:rsid w:val="00D3346D"/>
    <w:rsid w:val="00D34F04"/>
    <w:rsid w:val="00D3639A"/>
    <w:rsid w:val="00D40E15"/>
    <w:rsid w:val="00D479DD"/>
    <w:rsid w:val="00D60DF7"/>
    <w:rsid w:val="00D64C7B"/>
    <w:rsid w:val="00D70C3E"/>
    <w:rsid w:val="00D71B08"/>
    <w:rsid w:val="00D73981"/>
    <w:rsid w:val="00D77A70"/>
    <w:rsid w:val="00D81C26"/>
    <w:rsid w:val="00D924F2"/>
    <w:rsid w:val="00DA0111"/>
    <w:rsid w:val="00DA17CC"/>
    <w:rsid w:val="00DA2D77"/>
    <w:rsid w:val="00DA4695"/>
    <w:rsid w:val="00DB52FF"/>
    <w:rsid w:val="00DD28A6"/>
    <w:rsid w:val="00DD34AA"/>
    <w:rsid w:val="00DD433E"/>
    <w:rsid w:val="00DD45D1"/>
    <w:rsid w:val="00DD4612"/>
    <w:rsid w:val="00DD66B2"/>
    <w:rsid w:val="00DE0A0D"/>
    <w:rsid w:val="00E06A13"/>
    <w:rsid w:val="00E10FCB"/>
    <w:rsid w:val="00E1264A"/>
    <w:rsid w:val="00E132F8"/>
    <w:rsid w:val="00E27050"/>
    <w:rsid w:val="00E406BF"/>
    <w:rsid w:val="00E426B0"/>
    <w:rsid w:val="00E448A0"/>
    <w:rsid w:val="00E45350"/>
    <w:rsid w:val="00E4560A"/>
    <w:rsid w:val="00E52BE6"/>
    <w:rsid w:val="00E54DE6"/>
    <w:rsid w:val="00E6376E"/>
    <w:rsid w:val="00E65602"/>
    <w:rsid w:val="00E75C62"/>
    <w:rsid w:val="00E76C2A"/>
    <w:rsid w:val="00E76D60"/>
    <w:rsid w:val="00E77FF8"/>
    <w:rsid w:val="00E81752"/>
    <w:rsid w:val="00E83B68"/>
    <w:rsid w:val="00E83C10"/>
    <w:rsid w:val="00E9152E"/>
    <w:rsid w:val="00E93C5F"/>
    <w:rsid w:val="00E95810"/>
    <w:rsid w:val="00E958CB"/>
    <w:rsid w:val="00EA0C20"/>
    <w:rsid w:val="00EA61AA"/>
    <w:rsid w:val="00EA68A8"/>
    <w:rsid w:val="00EB104F"/>
    <w:rsid w:val="00EB1CD9"/>
    <w:rsid w:val="00EB2207"/>
    <w:rsid w:val="00EB4368"/>
    <w:rsid w:val="00EC376B"/>
    <w:rsid w:val="00ED63F9"/>
    <w:rsid w:val="00EE1803"/>
    <w:rsid w:val="00EF2788"/>
    <w:rsid w:val="00F005D5"/>
    <w:rsid w:val="00F13A09"/>
    <w:rsid w:val="00F15A4B"/>
    <w:rsid w:val="00F1677F"/>
    <w:rsid w:val="00F21D05"/>
    <w:rsid w:val="00F25559"/>
    <w:rsid w:val="00F3285C"/>
    <w:rsid w:val="00F43761"/>
    <w:rsid w:val="00F53992"/>
    <w:rsid w:val="00F677FF"/>
    <w:rsid w:val="00F7298A"/>
    <w:rsid w:val="00F72CA6"/>
    <w:rsid w:val="00F756E1"/>
    <w:rsid w:val="00F75828"/>
    <w:rsid w:val="00F81B32"/>
    <w:rsid w:val="00F97BAE"/>
    <w:rsid w:val="00FA3B18"/>
    <w:rsid w:val="00FA79F8"/>
    <w:rsid w:val="00FA7BF2"/>
    <w:rsid w:val="00FB085C"/>
    <w:rsid w:val="00FB235B"/>
    <w:rsid w:val="00FB5FEA"/>
    <w:rsid w:val="00FB6726"/>
    <w:rsid w:val="00FC3F17"/>
    <w:rsid w:val="00FD0FBA"/>
    <w:rsid w:val="00FD210C"/>
    <w:rsid w:val="00FD46CA"/>
    <w:rsid w:val="00FD58F0"/>
    <w:rsid w:val="00FD691E"/>
    <w:rsid w:val="00FE6515"/>
    <w:rsid w:val="00FF09EE"/>
    <w:rsid w:val="00FF1E5C"/>
    <w:rsid w:val="00FF222C"/>
    <w:rsid w:val="00FF2397"/>
    <w:rsid w:val="00FF617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4FD"/>
    <w:pPr>
      <w:keepNext/>
      <w:suppressAutoHyphens/>
      <w:jc w:val="center"/>
      <w:outlineLvl w:val="0"/>
    </w:pPr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4FD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44FD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4FD"/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B744FD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B744FD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B744FD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44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F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744FD"/>
    <w:rPr>
      <w:rFonts w:eastAsiaTheme="minorEastAsia"/>
      <w:sz w:val="20"/>
      <w:szCs w:val="20"/>
      <w:lang w:val="tr-TR"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4FD"/>
    <w:rPr>
      <w:rFonts w:eastAsiaTheme="minorEastAsia"/>
      <w:sz w:val="20"/>
      <w:szCs w:val="20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B744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44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0E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B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F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4FD"/>
    <w:pPr>
      <w:keepNext/>
      <w:suppressAutoHyphens/>
      <w:jc w:val="center"/>
      <w:outlineLvl w:val="0"/>
    </w:pPr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4FD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44FD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4FD"/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B744FD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B744FD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B744FD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44F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F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744FD"/>
    <w:rPr>
      <w:rFonts w:eastAsiaTheme="minorEastAsia"/>
      <w:sz w:val="20"/>
      <w:szCs w:val="20"/>
      <w:lang w:val="tr-TR" w:eastAsia="tr-T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4FD"/>
    <w:rPr>
      <w:rFonts w:eastAsiaTheme="minorEastAsia"/>
      <w:sz w:val="20"/>
      <w:szCs w:val="20"/>
      <w:lang w:val="tr-TR" w:eastAsia="tr-TR"/>
    </w:rPr>
  </w:style>
  <w:style w:type="character" w:styleId="FootnoteReference">
    <w:name w:val="footnote reference"/>
    <w:basedOn w:val="DefaultParagraphFont"/>
    <w:uiPriority w:val="99"/>
    <w:unhideWhenUsed/>
    <w:rsid w:val="00B744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44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0E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B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like.kokkizil@eas.bahcesehir.edu.tr" TargetMode="External"/><Relationship Id="rId2" Type="http://schemas.openxmlformats.org/officeDocument/2006/relationships/hyperlink" Target="mailto:gokce.uysal@eas.bahcesehir.edu.tr" TargetMode="External"/><Relationship Id="rId1" Type="http://schemas.openxmlformats.org/officeDocument/2006/relationships/hyperlink" Target="mailto:seyfettin.gursel@eas.bahcesehir.edu.tr" TargetMode="External"/><Relationship Id="rId4" Type="http://schemas.openxmlformats.org/officeDocument/2006/relationships/hyperlink" Target="http://www.turmob.org.tr/arsiv/mbs/pratikBilgiler/asgari_ucret2015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io\Dropbox\AN_AsgariUcret\minw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Sheet1!$Q$5:$Q$30</c:f>
              <c:strCache>
                <c:ptCount val="26"/>
                <c:pt idx="0">
                  <c:v>İstanbul </c:v>
                </c:pt>
                <c:pt idx="1">
                  <c:v>Ankara </c:v>
                </c:pt>
                <c:pt idx="2">
                  <c:v>Kocaeli </c:v>
                </c:pt>
                <c:pt idx="3">
                  <c:v>Antalya </c:v>
                </c:pt>
                <c:pt idx="4">
                  <c:v>İzmir</c:v>
                </c:pt>
                <c:pt idx="5">
                  <c:v>Bursa </c:v>
                </c:pt>
                <c:pt idx="6">
                  <c:v>Kayseri </c:v>
                </c:pt>
                <c:pt idx="7">
                  <c:v>Tekirdağ</c:v>
                </c:pt>
                <c:pt idx="8">
                  <c:v>Van </c:v>
                </c:pt>
                <c:pt idx="9">
                  <c:v>Zonguldak </c:v>
                </c:pt>
                <c:pt idx="10">
                  <c:v>Samsun </c:v>
                </c:pt>
                <c:pt idx="11">
                  <c:v>Konya </c:v>
                </c:pt>
                <c:pt idx="12">
                  <c:v>Balıkesir</c:v>
                </c:pt>
                <c:pt idx="13">
                  <c:v>Ağrı </c:v>
                </c:pt>
                <c:pt idx="14">
                  <c:v>Aydın</c:v>
                </c:pt>
                <c:pt idx="15">
                  <c:v>Trabzon </c:v>
                </c:pt>
                <c:pt idx="16">
                  <c:v>Adana </c:v>
                </c:pt>
                <c:pt idx="17">
                  <c:v>Kırıkkale </c:v>
                </c:pt>
                <c:pt idx="18">
                  <c:v>Erzurum </c:v>
                </c:pt>
                <c:pt idx="19">
                  <c:v>Şanlıurfa </c:v>
                </c:pt>
                <c:pt idx="20">
                  <c:v>Hatay </c:v>
                </c:pt>
                <c:pt idx="21">
                  <c:v>Gaziantep </c:v>
                </c:pt>
                <c:pt idx="22">
                  <c:v>Malatya </c:v>
                </c:pt>
                <c:pt idx="23">
                  <c:v>Mardin </c:v>
                </c:pt>
                <c:pt idx="24">
                  <c:v>Manisa </c:v>
                </c:pt>
                <c:pt idx="25">
                  <c:v>Kastamonu </c:v>
                </c:pt>
              </c:strCache>
            </c:strRef>
          </c:cat>
          <c:val>
            <c:numRef>
              <c:f>Sheet1!$S$5:$S$30</c:f>
              <c:numCache>
                <c:formatCode>#,#00</c:formatCode>
                <c:ptCount val="26"/>
                <c:pt idx="0">
                  <c:v>42.97</c:v>
                </c:pt>
                <c:pt idx="1">
                  <c:v>48.85</c:v>
                </c:pt>
                <c:pt idx="2">
                  <c:v>54.43</c:v>
                </c:pt>
                <c:pt idx="3">
                  <c:v>58.49</c:v>
                </c:pt>
                <c:pt idx="4">
                  <c:v>59.01</c:v>
                </c:pt>
                <c:pt idx="5">
                  <c:v>60.15</c:v>
                </c:pt>
                <c:pt idx="6">
                  <c:v>60.49</c:v>
                </c:pt>
                <c:pt idx="7">
                  <c:v>63.39</c:v>
                </c:pt>
                <c:pt idx="8">
                  <c:v>64.45</c:v>
                </c:pt>
                <c:pt idx="9">
                  <c:v>64.81</c:v>
                </c:pt>
                <c:pt idx="10">
                  <c:v>67.55</c:v>
                </c:pt>
                <c:pt idx="11">
                  <c:v>67.86999999999999</c:v>
                </c:pt>
                <c:pt idx="12">
                  <c:v>68.099999999999994</c:v>
                </c:pt>
                <c:pt idx="13">
                  <c:v>68.38</c:v>
                </c:pt>
                <c:pt idx="14">
                  <c:v>69.239999999999995</c:v>
                </c:pt>
                <c:pt idx="15">
                  <c:v>70.31</c:v>
                </c:pt>
                <c:pt idx="16">
                  <c:v>70.5</c:v>
                </c:pt>
                <c:pt idx="17">
                  <c:v>71.55</c:v>
                </c:pt>
                <c:pt idx="18">
                  <c:v>71.569999999999993</c:v>
                </c:pt>
                <c:pt idx="19">
                  <c:v>71.63</c:v>
                </c:pt>
                <c:pt idx="20">
                  <c:v>73.28</c:v>
                </c:pt>
                <c:pt idx="21">
                  <c:v>74.08</c:v>
                </c:pt>
                <c:pt idx="22">
                  <c:v>77.73</c:v>
                </c:pt>
                <c:pt idx="23">
                  <c:v>78.86</c:v>
                </c:pt>
                <c:pt idx="24">
                  <c:v>80.11</c:v>
                </c:pt>
                <c:pt idx="25">
                  <c:v>81.95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-27"/>
        <c:axId val="225121024"/>
        <c:axId val="225122560"/>
      </c:barChart>
      <c:catAx>
        <c:axId val="225121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25122560"/>
        <c:crosses val="autoZero"/>
        <c:auto val="1"/>
        <c:lblAlgn val="ctr"/>
        <c:lblOffset val="100"/>
        <c:noMultiLvlLbl val="0"/>
      </c:catAx>
      <c:valAx>
        <c:axId val="225122560"/>
        <c:scaling>
          <c:orientation val="minMax"/>
        </c:scaling>
        <c:delete val="1"/>
        <c:axPos val="l"/>
        <c:numFmt formatCode="#,#00" sourceLinked="1"/>
        <c:majorTickMark val="none"/>
        <c:minorTickMark val="none"/>
        <c:tickLblPos val="none"/>
        <c:crossAx val="22512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3289F2C-AC3E-4AAF-87D4-DBC45B45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Kökkızıl</dc:creator>
  <cp:lastModifiedBy>merve.akgul</cp:lastModifiedBy>
  <cp:revision>3</cp:revision>
  <dcterms:created xsi:type="dcterms:W3CDTF">2016-01-12T14:34:00Z</dcterms:created>
  <dcterms:modified xsi:type="dcterms:W3CDTF">2016-01-12T14:36:00Z</dcterms:modified>
</cp:coreProperties>
</file>