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2B4B" w14:textId="77777777" w:rsidR="00B40DE2" w:rsidRPr="00E5747D" w:rsidRDefault="00B17072" w:rsidP="00B17072">
      <w:pPr>
        <w:spacing w:line="276" w:lineRule="auto"/>
        <w:rPr>
          <w:lang w:val="tr-TR"/>
        </w:rPr>
      </w:pPr>
      <w:r w:rsidRPr="00E5747D">
        <w:rPr>
          <w:noProof/>
          <w:lang w:val="tr-TR" w:eastAsia="tr-TR"/>
        </w:rPr>
        <mc:AlternateContent>
          <mc:Choice Requires="wps">
            <w:drawing>
              <wp:anchor distT="0" distB="0" distL="114935" distR="114935" simplePos="0" relativeHeight="251674112" behindDoc="0" locked="0" layoutInCell="1" allowOverlap="1" wp14:anchorId="5176C22A" wp14:editId="540397FA">
                <wp:simplePos x="0" y="0"/>
                <wp:positionH relativeFrom="column">
                  <wp:posOffset>5167690</wp:posOffset>
                </wp:positionH>
                <wp:positionV relativeFrom="paragraph">
                  <wp:posOffset>64398</wp:posOffset>
                </wp:positionV>
                <wp:extent cx="1478280" cy="299085"/>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CF98F" w14:textId="187AE55A" w:rsidR="001515C1" w:rsidRDefault="001B133A" w:rsidP="00B40DE2">
                            <w:pPr>
                              <w:pStyle w:val="Heading3"/>
                              <w:jc w:val="center"/>
                            </w:pPr>
                            <w:r>
                              <w:rPr>
                                <w:color w:val="FFFFFF"/>
                                <w:sz w:val="22"/>
                                <w:szCs w:val="22"/>
                                <w:lang w:val="tr-TR"/>
                              </w:rPr>
                              <w:t xml:space="preserve"> 4</w:t>
                            </w:r>
                            <w:r w:rsidR="001515C1">
                              <w:rPr>
                                <w:color w:val="FFFFFF"/>
                                <w:sz w:val="22"/>
                                <w:szCs w:val="22"/>
                                <w:lang w:val="tr-TR"/>
                              </w:rPr>
                              <w:t xml:space="preserve"> Ocak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406.9pt;margin-top:5.05pt;width:116.4pt;height:23.5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jhkAIAACAFAAAOAAAAZHJzL2Uyb0RvYy54bWysVNtu3CAQfa/Uf0C8b3yRN7GteKPspltV&#10;TdpKaT+AtfEaFQMFvHYa9d87wHpz6UtV1Q94gOFwZuYMl1dTz9GBasOkqHByFmNERS0bJvYV/vZ1&#10;u8gxMpaIhnApaIUfqMFXq7dvLkdV0lR2kjdUIwARphxVhTtrVRlFpu5oT8yZVFTAZit1TyxM9T5q&#10;NBkBvedRGsfn0Sh1o7SsqTGwehM28crjty2t7ee2NdQiXmHgZv2o/bhzY7S6JOVeE9Wx+kiD/AOL&#10;njABl56gboglaNDsD6ie1Voa2dqzWvaRbFtWUx8DRJPEr6K574iiPhZIjlGnNJn/B1t/OnzRiDUV&#10;XmIkSA8luqOWCfRxsIMZ0NJlaFSmBMd7Ba52WssJKu2jNepW1t8NEnLTEbGn11rLsaOkAYaJOxk9&#10;OxpwjAPZjXeygavIYKUHmlrdu/RBQhCgQ6UeTtWhk0W1uzK7yNMctmrYS4sizj25iJTzaaWNfU9l&#10;j5xRYQ3V9+jkcGusY0PK2cVdZiRnzZZx7id6v9twjQ4ElLL1XzjLVUfCqlcLYJjg6vFeYHDhkIR0&#10;mOG6sAIRAAG352LxsngskjSL12mx2J7nF4tsmy0XxUWcL+KkWBfncVZkN9tfjkGSlR1rGipumaCz&#10;RJPs7yRwbJYgLi9SNFa4WKZLH9wL9sewjrHG7vMlfJWonlnoWM76CucnJ1K6qr8TDYRNSksYD3b0&#10;kr5PGeRg/vuseI04WQSB2Gk3AYoTzk42D6AWLaGYUHd4ZsDopP6J0QgtW2HzYyCaYsQ/CFCc6+/Z&#10;0LOxmw0iajhaYYtRMDc2vAOD0mzfAXLQtJDXoMqWecE8sQDKbgJt6MkfnwzX58/n3uvpYVv9BgAA&#10;//8DAFBLAwQUAAYACAAAACEAvdG5S94AAAAKAQAADwAAAGRycy9kb3ducmV2LnhtbEyPwU7DMBBE&#10;70j8g7VI3KidFNI0jVNBEVwRAalXN97GUeJ1FLtt+HvcExxHM5p5U25nO7AzTr5zJCFZCGBIjdMd&#10;tRK+v94ecmA+KNJqcIQSftDDtrq9KVWh3YU+8VyHlsUS8oWSYEIYC859Y9Aqv3AjUvSObrIqRDm1&#10;XE/qEsvtwFMhMm5VR3HBqBF3Bpu+PlkJy490tffv9etu3OO6z/1LfyQj5f3d/LwBFnAOf2G44kd0&#10;qCLTwZ1IezZIyJNlRA/REAmwa0A8Zhmwg4SnVQq8Kvn/C9UvAAAA//8DAFBLAQItABQABgAIAAAA&#10;IQC2gziS/gAAAOEBAAATAAAAAAAAAAAAAAAAAAAAAABbQ29udGVudF9UeXBlc10ueG1sUEsBAi0A&#10;FAAGAAgAAAAhADj9If/WAAAAlAEAAAsAAAAAAAAAAAAAAAAALwEAAF9yZWxzLy5yZWxzUEsBAi0A&#10;FAAGAAgAAAAhAJZaCOGQAgAAIAUAAA4AAAAAAAAAAAAAAAAALgIAAGRycy9lMm9Eb2MueG1sUEsB&#10;Ai0AFAAGAAgAAAAhAL3RuUveAAAACgEAAA8AAAAAAAAAAAAAAAAA6gQAAGRycy9kb3ducmV2Lnht&#10;bFBLBQYAAAAABAAEAPMAAAD1BQAAAAA=&#10;" stroked="f">
                <v:fill opacity="0"/>
                <v:textbox inset="0,0,0,0">
                  <w:txbxContent>
                    <w:p w14:paraId="451CF98F" w14:textId="187AE55A" w:rsidR="001515C1" w:rsidRDefault="001B133A" w:rsidP="00B40DE2">
                      <w:pPr>
                        <w:pStyle w:val="Heading3"/>
                        <w:jc w:val="center"/>
                      </w:pPr>
                      <w:r>
                        <w:rPr>
                          <w:color w:val="FFFFFF"/>
                          <w:sz w:val="22"/>
                          <w:szCs w:val="22"/>
                          <w:lang w:val="tr-TR"/>
                        </w:rPr>
                        <w:t xml:space="preserve"> 4</w:t>
                      </w:r>
                      <w:r w:rsidR="001515C1">
                        <w:rPr>
                          <w:color w:val="FFFFFF"/>
                          <w:sz w:val="22"/>
                          <w:szCs w:val="22"/>
                          <w:lang w:val="tr-TR"/>
                        </w:rPr>
                        <w:t xml:space="preserve"> Ocak 2016</w:t>
                      </w:r>
                    </w:p>
                  </w:txbxContent>
                </v:textbox>
              </v:shape>
            </w:pict>
          </mc:Fallback>
        </mc:AlternateContent>
      </w:r>
      <w:r w:rsidR="009C7502" w:rsidRPr="00E5747D">
        <w:rPr>
          <w:noProof/>
          <w:lang w:val="tr-TR" w:eastAsia="tr-TR"/>
        </w:rPr>
        <mc:AlternateContent>
          <mc:Choice Requires="wps">
            <w:drawing>
              <wp:anchor distT="0" distB="0" distL="114935" distR="114935" simplePos="0" relativeHeight="251660800" behindDoc="0" locked="0" layoutInCell="1" allowOverlap="1" wp14:anchorId="28EA400B" wp14:editId="3DA7A0E4">
                <wp:simplePos x="0" y="0"/>
                <wp:positionH relativeFrom="column">
                  <wp:posOffset>1646543</wp:posOffset>
                </wp:positionH>
                <wp:positionV relativeFrom="paragraph">
                  <wp:posOffset>-612176</wp:posOffset>
                </wp:positionV>
                <wp:extent cx="3963670" cy="46672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70193" w14:textId="56E348FB" w:rsidR="001515C1" w:rsidRPr="002865A7" w:rsidRDefault="001B133A" w:rsidP="00B40DE2">
                            <w:pPr>
                              <w:pStyle w:val="Heading1"/>
                              <w:rPr>
                                <w:rFonts w:ascii="Times New Roman" w:hAnsi="Times New Roman"/>
                                <w:sz w:val="52"/>
                                <w:szCs w:val="52"/>
                              </w:rPr>
                            </w:pPr>
                            <w:r>
                              <w:rPr>
                                <w:rFonts w:ascii="Times New Roman" w:hAnsi="Times New Roman"/>
                                <w:sz w:val="52"/>
                                <w:szCs w:val="52"/>
                              </w:rPr>
                              <w:t>Araştırma Notu 16</w:t>
                            </w:r>
                            <w:r w:rsidR="001515C1">
                              <w:rPr>
                                <w:rFonts w:ascii="Times New Roman" w:hAnsi="Times New Roman"/>
                                <w:sz w:val="52"/>
                                <w:szCs w:val="52"/>
                              </w:rPr>
                              <w:t>/</w:t>
                            </w:r>
                            <w:r>
                              <w:rPr>
                                <w:rFonts w:ascii="Times New Roman" w:hAnsi="Times New Roman"/>
                                <w:sz w:val="52"/>
                                <w:szCs w:val="52"/>
                              </w:rPr>
                              <w:t>189</w:t>
                            </w:r>
                          </w:p>
                          <w:p w14:paraId="02A44B48" w14:textId="77777777" w:rsidR="001515C1" w:rsidRPr="00526178" w:rsidRDefault="001515C1" w:rsidP="00B40DE2">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129.65pt;margin-top:-48.2pt;width:312.1pt;height:36.7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SWkgIAACcFAAAOAAAAZHJzL2Uyb0RvYy54bWysVG1v2yAQ/j5p/wHxPbWduE5s1an6skzT&#10;2m1Stx9AbByjYWCAY7fT/vsOiNNm06Rpmj/gA46Hu+ee4+Jy7DjaU22YFCVOzmKMqKhkzcSuxF8+&#10;b2YrjIwloiZcClriR2rw5fr1q4tBFXQuW8lrqhGACFMMqsSttaqIIlO1tCPmTCoqYLORuiMWpnoX&#10;1ZoMgN7xaB7HWTRIXSstK2oMrN6GTbz2+E1DK/uxaQy1iJcYYrN+1H7cujFaX5Bip4lqWXUIg/xD&#10;FB1hAi49Qt0SS1Cv2W9QHau0NLKxZ5XsItk0rKI+B8gmiX/J5qElivpcgByjjjSZ/wdbfdh/0ojV&#10;JV5gJEgHJbqnlgn0vre96dHCMTQoU4DjgwJXO17LESrtszXqTlZfDRLypiViR6+0lkNLSQ0RJu5k&#10;9OJowDEOZDvcyxquIr2VHmhsdOfoA0IQoEOlHo/VoaNFFSwu8myRLWGrgr00y5bzc38FKabTShv7&#10;lsoOOaPEGqrv0cn+zlgXDSkmF3eZkZzVG8a5n+jd9oZrtCeglI3/wlmuWhJWvVoAwwRXj3eCwYVD&#10;EtJhhuvCCmQAAbg9l4uXxfc8mafx9TyfbbLVcpZu0vNZvoxXszjJr/MsTvP0dvPDRZCkRcvqmoo7&#10;Jugk0ST9OwkcmiWIy4sUDSXOz4E6n/QfGYj9d+D3JMmOWehYzroSr45OpHBVfyNqSJsUljAe7Og0&#10;fE8ZcDD9PSteI04WQSB23I5ekF5ATj9bWT+CaLSEmkL54bUBo5X6CaMBOrfE5ltPNMWIvxMgPNfm&#10;k6EnYzsZRFRwtMQWo2De2PAc9EqzXQvIQdpCXoE4G+Z18xwFRO4m0I0+h8PL4dr95dx7Pb9v658A&#10;AAD//wMAUEsDBBQABgAIAAAAIQBM/n+z3wAAAAsBAAAPAAAAZHJzL2Rvd25yZXYueG1sTI/BTsMw&#10;DIbvSLxDZCRuW0rKRts1nWAIrogyades8ZqqjVM12VbennCCo+1Pv7+/3M52YBecfOdIwsMyAYbU&#10;ON1RK2H/9bbIgPmgSKvBEUr4Rg/b6vamVIV2V/rESx1aFkPIF0qCCWEsOPeNQav80o1I8XZyk1Uh&#10;jlPL9aSuMdwOXCTJmlvVUfxg1Ig7g01fn62E9EM8Hfx7/bobD5j3mX/pT2SkvL+bnzfAAs7hD4Zf&#10;/agOVXQ6ujNpzwYJYpWnEZWwyNePwCKRZekK2DFuhMiBVyX/36H6AQAA//8DAFBLAQItABQABgAI&#10;AAAAIQC2gziS/gAAAOEBAAATAAAAAAAAAAAAAAAAAAAAAABbQ29udGVudF9UeXBlc10ueG1sUEsB&#10;Ai0AFAAGAAgAAAAhADj9If/WAAAAlAEAAAsAAAAAAAAAAAAAAAAALwEAAF9yZWxzLy5yZWxzUEsB&#10;Ai0AFAAGAAgAAAAhAPC11JaSAgAAJwUAAA4AAAAAAAAAAAAAAAAALgIAAGRycy9lMm9Eb2MueG1s&#10;UEsBAi0AFAAGAAgAAAAhAEz+f7PfAAAACwEAAA8AAAAAAAAAAAAAAAAA7AQAAGRycy9kb3ducmV2&#10;LnhtbFBLBQYAAAAABAAEAPMAAAD4BQAAAAA=&#10;" stroked="f">
                <v:fill opacity="0"/>
                <v:textbox inset="0,0,0,0">
                  <w:txbxContent>
                    <w:p w14:paraId="79170193" w14:textId="56E348FB" w:rsidR="001515C1" w:rsidRPr="002865A7" w:rsidRDefault="001B133A" w:rsidP="00B40DE2">
                      <w:pPr>
                        <w:pStyle w:val="Heading1"/>
                        <w:rPr>
                          <w:rFonts w:ascii="Times New Roman" w:hAnsi="Times New Roman"/>
                          <w:sz w:val="52"/>
                          <w:szCs w:val="52"/>
                        </w:rPr>
                      </w:pPr>
                      <w:r>
                        <w:rPr>
                          <w:rFonts w:ascii="Times New Roman" w:hAnsi="Times New Roman"/>
                          <w:sz w:val="52"/>
                          <w:szCs w:val="52"/>
                        </w:rPr>
                        <w:t>Araştırma Notu 16</w:t>
                      </w:r>
                      <w:r w:rsidR="001515C1">
                        <w:rPr>
                          <w:rFonts w:ascii="Times New Roman" w:hAnsi="Times New Roman"/>
                          <w:sz w:val="52"/>
                          <w:szCs w:val="52"/>
                        </w:rPr>
                        <w:t>/</w:t>
                      </w:r>
                      <w:r>
                        <w:rPr>
                          <w:rFonts w:ascii="Times New Roman" w:hAnsi="Times New Roman"/>
                          <w:sz w:val="52"/>
                          <w:szCs w:val="52"/>
                        </w:rPr>
                        <w:t>189</w:t>
                      </w:r>
                    </w:p>
                    <w:p w14:paraId="02A44B48" w14:textId="77777777" w:rsidR="001515C1" w:rsidRPr="00526178" w:rsidRDefault="001515C1" w:rsidP="00B40DE2">
                      <w:pPr>
                        <w:pStyle w:val="Heading2"/>
                        <w:rPr>
                          <w:b w:val="0"/>
                          <w:bCs w:val="0"/>
                          <w:i w:val="0"/>
                          <w:iCs w:val="0"/>
                        </w:rPr>
                      </w:pPr>
                    </w:p>
                  </w:txbxContent>
                </v:textbox>
              </v:shape>
            </w:pict>
          </mc:Fallback>
        </mc:AlternateContent>
      </w:r>
      <w:r w:rsidR="00B40DE2" w:rsidRPr="00E5747D">
        <w:rPr>
          <w:noProof/>
          <w:lang w:val="tr-TR" w:eastAsia="tr-TR"/>
        </w:rPr>
        <w:drawing>
          <wp:anchor distT="0" distB="0" distL="114300" distR="114300" simplePos="0" relativeHeight="251648512" behindDoc="1" locked="0" layoutInCell="1" allowOverlap="1" wp14:anchorId="62D41BD3" wp14:editId="7E3C550D">
            <wp:simplePos x="0" y="0"/>
            <wp:positionH relativeFrom="column">
              <wp:posOffset>-899794</wp:posOffset>
            </wp:positionH>
            <wp:positionV relativeFrom="paragraph">
              <wp:posOffset>-882542</wp:posOffset>
            </wp:positionV>
            <wp:extent cx="7587156" cy="1336675"/>
            <wp:effectExtent l="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594429" cy="1337956"/>
                    </a:xfrm>
                    <a:prstGeom prst="rect">
                      <a:avLst/>
                    </a:prstGeom>
                    <a:noFill/>
                  </pic:spPr>
                </pic:pic>
              </a:graphicData>
            </a:graphic>
            <wp14:sizeRelH relativeFrom="margin">
              <wp14:pctWidth>0</wp14:pctWidth>
            </wp14:sizeRelH>
          </wp:anchor>
        </w:drawing>
      </w:r>
    </w:p>
    <w:p w14:paraId="0B9796FE" w14:textId="77777777" w:rsidR="00B40DE2" w:rsidRPr="00E5747D" w:rsidRDefault="00B40DE2" w:rsidP="00B17072">
      <w:pPr>
        <w:spacing w:line="276" w:lineRule="auto"/>
        <w:rPr>
          <w:lang w:val="tr-TR"/>
        </w:rPr>
      </w:pPr>
    </w:p>
    <w:p w14:paraId="51885155" w14:textId="77777777" w:rsidR="00B40DE2" w:rsidRPr="00E5747D" w:rsidRDefault="00B40DE2" w:rsidP="00B17072">
      <w:pPr>
        <w:spacing w:line="276" w:lineRule="auto"/>
        <w:rPr>
          <w:lang w:val="tr-TR"/>
        </w:rPr>
      </w:pPr>
    </w:p>
    <w:p w14:paraId="75A51985" w14:textId="77777777" w:rsidR="00B40DE2" w:rsidRPr="00E5747D" w:rsidRDefault="00B40DE2" w:rsidP="00B17072">
      <w:pPr>
        <w:spacing w:line="276" w:lineRule="auto"/>
        <w:rPr>
          <w:lang w:val="tr-TR"/>
        </w:rPr>
      </w:pPr>
    </w:p>
    <w:p w14:paraId="59D0F5E1" w14:textId="77777777" w:rsidR="00B40DE2" w:rsidRPr="00E5747D" w:rsidRDefault="00B40DE2" w:rsidP="00B17072">
      <w:pPr>
        <w:spacing w:line="276" w:lineRule="auto"/>
        <w:rPr>
          <w:lang w:val="tr-TR"/>
        </w:rPr>
      </w:pPr>
    </w:p>
    <w:p w14:paraId="4075AE9A" w14:textId="77777777" w:rsidR="00B40DE2" w:rsidRPr="00E5747D" w:rsidRDefault="00E548A0" w:rsidP="00B17072">
      <w:pPr>
        <w:spacing w:line="276" w:lineRule="auto"/>
        <w:jc w:val="center"/>
        <w:rPr>
          <w:b/>
          <w:sz w:val="32"/>
          <w:szCs w:val="32"/>
          <w:lang w:val="tr-TR"/>
        </w:rPr>
      </w:pPr>
      <w:r>
        <w:rPr>
          <w:b/>
          <w:sz w:val="32"/>
          <w:szCs w:val="32"/>
          <w:lang w:val="tr-TR"/>
        </w:rPr>
        <w:t>ASGARİ ÜCRETTEKİ ARTIŞIN BÖLGESEL ETKİLERİ</w:t>
      </w:r>
    </w:p>
    <w:p w14:paraId="7DB81911" w14:textId="77777777" w:rsidR="00B40DE2" w:rsidRPr="00E5747D" w:rsidRDefault="00B40DE2" w:rsidP="00B17072">
      <w:pPr>
        <w:spacing w:before="120" w:line="276" w:lineRule="auto"/>
        <w:jc w:val="center"/>
        <w:rPr>
          <w:rFonts w:cs="Arial"/>
          <w:b/>
          <w:bCs/>
          <w:sz w:val="20"/>
          <w:szCs w:val="20"/>
          <w:lang w:val="tr-TR"/>
        </w:rPr>
      </w:pPr>
      <w:r w:rsidRPr="00E5747D">
        <w:rPr>
          <w:rFonts w:cs="Arial"/>
          <w:b/>
          <w:bCs/>
          <w:sz w:val="20"/>
          <w:szCs w:val="20"/>
          <w:lang w:val="tr-TR"/>
        </w:rPr>
        <w:t>Seyfettin Gürsel</w:t>
      </w:r>
      <w:r w:rsidRPr="00E5747D">
        <w:rPr>
          <w:rStyle w:val="FootnoteReference"/>
          <w:sz w:val="20"/>
          <w:szCs w:val="20"/>
          <w:lang w:val="tr-TR"/>
        </w:rPr>
        <w:footnoteReference w:customMarkFollows="1" w:id="1"/>
        <w:t>*</w:t>
      </w:r>
      <w:r w:rsidRPr="00E5747D">
        <w:rPr>
          <w:rFonts w:cs="Arial"/>
          <w:b/>
          <w:bCs/>
          <w:sz w:val="20"/>
          <w:szCs w:val="20"/>
          <w:lang w:val="tr-TR"/>
        </w:rPr>
        <w:t xml:space="preserve"> Gökçe Uysal</w:t>
      </w:r>
      <w:r w:rsidRPr="00E5747D">
        <w:rPr>
          <w:rStyle w:val="FootnoteReference"/>
          <w:sz w:val="20"/>
          <w:szCs w:val="20"/>
          <w:lang w:val="tr-TR"/>
        </w:rPr>
        <w:footnoteReference w:customMarkFollows="1" w:id="2"/>
        <w:sym w:font="Symbol" w:char="F02A"/>
      </w:r>
      <w:r w:rsidRPr="00E5747D">
        <w:rPr>
          <w:rStyle w:val="FootnoteReference"/>
          <w:sz w:val="20"/>
          <w:szCs w:val="20"/>
          <w:lang w:val="tr-TR"/>
        </w:rPr>
        <w:sym w:font="Symbol" w:char="F02A"/>
      </w:r>
      <w:r w:rsidRPr="00E5747D">
        <w:rPr>
          <w:rFonts w:cs="Arial"/>
          <w:b/>
          <w:bCs/>
          <w:sz w:val="20"/>
          <w:szCs w:val="20"/>
          <w:lang w:val="tr-TR"/>
        </w:rPr>
        <w:t xml:space="preserve"> ve Melike Kökkızıl</w:t>
      </w:r>
      <w:r w:rsidRPr="00E5747D">
        <w:rPr>
          <w:rStyle w:val="FootnoteReference"/>
          <w:sz w:val="20"/>
          <w:szCs w:val="20"/>
          <w:lang w:val="tr-TR"/>
        </w:rPr>
        <w:footnoteReference w:customMarkFollows="1" w:id="3"/>
        <w:sym w:font="Symbol" w:char="F02A"/>
      </w:r>
      <w:r w:rsidRPr="00E5747D">
        <w:rPr>
          <w:rStyle w:val="FootnoteReference"/>
          <w:sz w:val="20"/>
          <w:szCs w:val="20"/>
          <w:lang w:val="tr-TR"/>
        </w:rPr>
        <w:sym w:font="Symbol" w:char="F02A"/>
      </w:r>
      <w:r w:rsidRPr="00E5747D">
        <w:rPr>
          <w:rStyle w:val="FootnoteReference"/>
          <w:sz w:val="20"/>
          <w:szCs w:val="20"/>
          <w:lang w:val="tr-TR"/>
        </w:rPr>
        <w:sym w:font="Symbol" w:char="F02A"/>
      </w:r>
    </w:p>
    <w:p w14:paraId="1AA69A30" w14:textId="77777777" w:rsidR="00B40DE2" w:rsidRPr="00E5747D" w:rsidRDefault="00B40DE2" w:rsidP="00B17072">
      <w:pPr>
        <w:spacing w:line="276" w:lineRule="auto"/>
        <w:rPr>
          <w:lang w:val="tr-TR"/>
        </w:rPr>
      </w:pPr>
    </w:p>
    <w:p w14:paraId="0475E467" w14:textId="77777777" w:rsidR="00787929" w:rsidRPr="00E5747D" w:rsidRDefault="00787929" w:rsidP="00B17072">
      <w:pPr>
        <w:spacing w:line="276" w:lineRule="auto"/>
        <w:jc w:val="center"/>
        <w:rPr>
          <w:b/>
          <w:lang w:val="tr-TR"/>
        </w:rPr>
      </w:pPr>
      <w:r w:rsidRPr="00E5747D">
        <w:rPr>
          <w:b/>
          <w:lang w:val="tr-TR"/>
        </w:rPr>
        <w:t>Yönetici Özeti</w:t>
      </w:r>
    </w:p>
    <w:p w14:paraId="39C80967" w14:textId="77777777" w:rsidR="00787929" w:rsidRPr="00E5747D" w:rsidRDefault="00787929" w:rsidP="00B17072">
      <w:pPr>
        <w:spacing w:line="276" w:lineRule="auto"/>
        <w:rPr>
          <w:lang w:val="tr-TR"/>
        </w:rPr>
      </w:pPr>
    </w:p>
    <w:p w14:paraId="4A1D80EB" w14:textId="77777777" w:rsidR="00787929" w:rsidRPr="00E5747D" w:rsidRDefault="00787929" w:rsidP="00B17072">
      <w:pPr>
        <w:spacing w:after="200" w:line="276" w:lineRule="auto"/>
        <w:jc w:val="both"/>
        <w:rPr>
          <w:rFonts w:eastAsiaTheme="minorEastAsia"/>
          <w:bCs/>
          <w:sz w:val="22"/>
          <w:szCs w:val="22"/>
          <w:lang w:val="tr-TR" w:eastAsia="tr-TR"/>
        </w:rPr>
      </w:pPr>
      <w:r w:rsidRPr="00E5747D">
        <w:rPr>
          <w:rFonts w:eastAsiaTheme="minorEastAsia"/>
          <w:bCs/>
          <w:sz w:val="22"/>
          <w:szCs w:val="22"/>
          <w:lang w:val="tr-TR" w:eastAsia="tr-TR"/>
        </w:rPr>
        <w:t xml:space="preserve">Bu araştırma notu </w:t>
      </w:r>
      <w:r w:rsidR="00594BE9" w:rsidRPr="00E5747D">
        <w:rPr>
          <w:rFonts w:eastAsiaTheme="minorEastAsia"/>
          <w:bCs/>
          <w:sz w:val="22"/>
          <w:szCs w:val="22"/>
          <w:lang w:val="tr-TR" w:eastAsia="tr-TR"/>
        </w:rPr>
        <w:t>yüksek oranlı</w:t>
      </w:r>
      <w:r w:rsidRPr="00E5747D">
        <w:rPr>
          <w:rFonts w:eastAsiaTheme="minorEastAsia"/>
          <w:bCs/>
          <w:sz w:val="22"/>
          <w:szCs w:val="22"/>
          <w:lang w:val="tr-TR" w:eastAsia="tr-TR"/>
        </w:rPr>
        <w:t xml:space="preserve"> asgari ücret artışının ücret dağılımına olası etkilerine dair bir tahmin </w:t>
      </w:r>
      <w:r w:rsidR="00594BE9" w:rsidRPr="00E5747D">
        <w:rPr>
          <w:rFonts w:eastAsiaTheme="minorEastAsia"/>
          <w:bCs/>
          <w:sz w:val="22"/>
          <w:szCs w:val="22"/>
          <w:lang w:val="tr-TR" w:eastAsia="tr-TR"/>
        </w:rPr>
        <w:t>yapmayı amaçlamaktadır</w:t>
      </w:r>
      <w:r w:rsidRPr="00E5747D">
        <w:rPr>
          <w:rFonts w:eastAsiaTheme="minorEastAsia"/>
          <w:bCs/>
          <w:sz w:val="22"/>
          <w:szCs w:val="22"/>
          <w:lang w:val="tr-TR" w:eastAsia="tr-TR"/>
        </w:rPr>
        <w:t>. Hanehalkı İşgücü Anketi 2013 yıl</w:t>
      </w:r>
      <w:r w:rsidR="00DD605C" w:rsidRPr="00E5747D">
        <w:rPr>
          <w:rFonts w:eastAsiaTheme="minorEastAsia"/>
          <w:bCs/>
          <w:sz w:val="22"/>
          <w:szCs w:val="22"/>
          <w:lang w:val="tr-TR" w:eastAsia="tr-TR"/>
        </w:rPr>
        <w:t>ı mikro verileri</w:t>
      </w:r>
      <w:r w:rsidR="00EF7530" w:rsidRPr="00E5747D">
        <w:rPr>
          <w:rFonts w:eastAsiaTheme="minorEastAsia"/>
          <w:bCs/>
          <w:sz w:val="22"/>
          <w:szCs w:val="22"/>
          <w:lang w:val="tr-TR" w:eastAsia="tr-TR"/>
        </w:rPr>
        <w:t xml:space="preserve"> güncelleştirilerek</w:t>
      </w:r>
      <w:r w:rsidRPr="00E5747D">
        <w:rPr>
          <w:rFonts w:eastAsiaTheme="minorEastAsia"/>
          <w:bCs/>
          <w:sz w:val="22"/>
          <w:szCs w:val="22"/>
          <w:lang w:val="tr-TR" w:eastAsia="tr-TR"/>
        </w:rPr>
        <w:t xml:space="preserve"> yapılan analizde</w:t>
      </w:r>
      <w:r w:rsidR="00DD605C" w:rsidRPr="00E5747D">
        <w:rPr>
          <w:rFonts w:eastAsiaTheme="minorEastAsia"/>
          <w:bCs/>
          <w:sz w:val="22"/>
          <w:szCs w:val="22"/>
          <w:lang w:val="tr-TR" w:eastAsia="tr-TR"/>
        </w:rPr>
        <w:t>,</w:t>
      </w:r>
      <w:r w:rsidRPr="00E5747D">
        <w:rPr>
          <w:rFonts w:eastAsiaTheme="minorEastAsia"/>
          <w:bCs/>
          <w:sz w:val="22"/>
          <w:szCs w:val="22"/>
          <w:lang w:val="tr-TR" w:eastAsia="tr-TR"/>
        </w:rPr>
        <w:t xml:space="preserve"> </w:t>
      </w:r>
      <w:r w:rsidR="00EF7530" w:rsidRPr="00E5747D">
        <w:rPr>
          <w:rFonts w:eastAsiaTheme="minorEastAsia"/>
          <w:bCs/>
          <w:sz w:val="22"/>
          <w:szCs w:val="22"/>
          <w:lang w:val="tr-TR" w:eastAsia="tr-TR"/>
        </w:rPr>
        <w:t xml:space="preserve">Kasım 2015 itibariyle </w:t>
      </w:r>
      <w:r w:rsidRPr="00E5747D">
        <w:rPr>
          <w:rFonts w:eastAsiaTheme="minorEastAsia"/>
          <w:bCs/>
          <w:sz w:val="22"/>
          <w:szCs w:val="22"/>
          <w:lang w:val="tr-TR" w:eastAsia="tr-TR"/>
        </w:rPr>
        <w:t xml:space="preserve">özel sektörde tam zamanlı, kayıtlı ve ücretli çalışan bireylerin Türkiye genelinde </w:t>
      </w:r>
      <w:r w:rsidR="00C758DE" w:rsidRPr="00E5747D">
        <w:rPr>
          <w:rFonts w:eastAsiaTheme="minorEastAsia"/>
          <w:bCs/>
          <w:sz w:val="22"/>
          <w:szCs w:val="22"/>
          <w:lang w:val="tr-TR" w:eastAsia="tr-TR"/>
        </w:rPr>
        <w:t xml:space="preserve">yüzde 57,3’ünün, yani yarısından fazlasının </w:t>
      </w:r>
      <w:r w:rsidR="00EF7530" w:rsidRPr="00E5747D">
        <w:rPr>
          <w:rFonts w:eastAsiaTheme="minorEastAsia"/>
          <w:bCs/>
          <w:sz w:val="22"/>
          <w:szCs w:val="22"/>
          <w:lang w:val="tr-TR" w:eastAsia="tr-TR"/>
        </w:rPr>
        <w:t xml:space="preserve">net asgari ücret olarak belirlenen seviyenin </w:t>
      </w:r>
      <w:r w:rsidR="00C758DE" w:rsidRPr="00E5747D">
        <w:rPr>
          <w:rFonts w:eastAsiaTheme="minorEastAsia"/>
          <w:bCs/>
          <w:sz w:val="22"/>
          <w:szCs w:val="22"/>
          <w:lang w:val="tr-TR" w:eastAsia="tr-TR"/>
        </w:rPr>
        <w:t xml:space="preserve">altında ücret kazandığı ortaya </w:t>
      </w:r>
      <w:r w:rsidR="00EF7530" w:rsidRPr="00E5747D">
        <w:rPr>
          <w:rFonts w:eastAsiaTheme="minorEastAsia"/>
          <w:bCs/>
          <w:sz w:val="22"/>
          <w:szCs w:val="22"/>
          <w:lang w:val="tr-TR" w:eastAsia="tr-TR"/>
        </w:rPr>
        <w:t>çıkmaktadır</w:t>
      </w:r>
      <w:r w:rsidR="00DD605C" w:rsidRPr="00E5747D">
        <w:rPr>
          <w:rFonts w:eastAsiaTheme="minorEastAsia"/>
          <w:bCs/>
          <w:sz w:val="22"/>
          <w:szCs w:val="22"/>
          <w:lang w:val="tr-TR" w:eastAsia="tr-TR"/>
        </w:rPr>
        <w:t xml:space="preserve">. </w:t>
      </w:r>
      <w:r w:rsidR="00C758DE" w:rsidRPr="00E5747D">
        <w:rPr>
          <w:rFonts w:eastAsiaTheme="minorEastAsia"/>
          <w:bCs/>
          <w:sz w:val="22"/>
          <w:szCs w:val="22"/>
          <w:lang w:val="tr-TR" w:eastAsia="tr-TR"/>
        </w:rPr>
        <w:t xml:space="preserve">Bölgesel işgücü piyasalarına bakıldığında ücret şokunun </w:t>
      </w:r>
      <w:r w:rsidR="00156455" w:rsidRPr="00E5747D">
        <w:rPr>
          <w:rFonts w:eastAsiaTheme="minorEastAsia"/>
          <w:bCs/>
          <w:sz w:val="22"/>
          <w:szCs w:val="22"/>
          <w:lang w:val="tr-TR" w:eastAsia="tr-TR"/>
        </w:rPr>
        <w:t xml:space="preserve">ortalama ücretleri kimi bölgelerde </w:t>
      </w:r>
      <w:r w:rsidR="005E1DD2" w:rsidRPr="00E5747D">
        <w:rPr>
          <w:rFonts w:eastAsiaTheme="minorEastAsia"/>
          <w:bCs/>
          <w:sz w:val="22"/>
          <w:szCs w:val="22"/>
          <w:lang w:val="tr-TR" w:eastAsia="tr-TR"/>
        </w:rPr>
        <w:t xml:space="preserve">(yüksek ücretli bölgeler) </w:t>
      </w:r>
      <w:r w:rsidR="00156455" w:rsidRPr="00E5747D">
        <w:rPr>
          <w:rFonts w:eastAsiaTheme="minorEastAsia"/>
          <w:bCs/>
          <w:sz w:val="22"/>
          <w:szCs w:val="22"/>
          <w:lang w:val="tr-TR" w:eastAsia="tr-TR"/>
        </w:rPr>
        <w:t>sınırlı kimi bölgelerde ise güçlü şekilde artıracağı beklenme</w:t>
      </w:r>
      <w:r w:rsidR="00DD605C" w:rsidRPr="00E5747D">
        <w:rPr>
          <w:rFonts w:eastAsiaTheme="minorEastAsia"/>
          <w:bCs/>
          <w:sz w:val="22"/>
          <w:szCs w:val="22"/>
          <w:lang w:val="tr-TR" w:eastAsia="tr-TR"/>
        </w:rPr>
        <w:t>kte</w:t>
      </w:r>
      <w:r w:rsidR="00156455" w:rsidRPr="00E5747D">
        <w:rPr>
          <w:rFonts w:eastAsiaTheme="minorEastAsia"/>
          <w:bCs/>
          <w:sz w:val="22"/>
          <w:szCs w:val="22"/>
          <w:lang w:val="tr-TR" w:eastAsia="tr-TR"/>
        </w:rPr>
        <w:t xml:space="preserve">dir. </w:t>
      </w:r>
      <w:r w:rsidR="00C758DE" w:rsidRPr="00E5747D">
        <w:rPr>
          <w:rFonts w:eastAsiaTheme="minorEastAsia"/>
          <w:bCs/>
          <w:sz w:val="22"/>
          <w:szCs w:val="22"/>
          <w:lang w:val="tr-TR" w:eastAsia="tr-TR"/>
        </w:rPr>
        <w:t>Asgari ücretin 1300 TL’ye çıkması</w:t>
      </w:r>
      <w:r w:rsidR="00156455" w:rsidRPr="00E5747D">
        <w:rPr>
          <w:rFonts w:eastAsiaTheme="minorEastAsia"/>
          <w:bCs/>
          <w:sz w:val="22"/>
          <w:szCs w:val="22"/>
          <w:lang w:val="tr-TR" w:eastAsia="tr-TR"/>
        </w:rPr>
        <w:t xml:space="preserve">yla birlikte </w:t>
      </w:r>
      <w:r w:rsidR="00C758DE" w:rsidRPr="00E5747D">
        <w:rPr>
          <w:rFonts w:eastAsiaTheme="minorEastAsia"/>
          <w:bCs/>
          <w:sz w:val="22"/>
          <w:szCs w:val="22"/>
          <w:lang w:val="tr-TR" w:eastAsia="tr-TR"/>
        </w:rPr>
        <w:t xml:space="preserve">İstanbul ve Ankara dışındaki tüm bölgelerde ortanca ücretin 1300 TL’ye çıkması muhtemeldir. </w:t>
      </w:r>
      <w:r w:rsidR="00E91AE5" w:rsidRPr="00E5747D">
        <w:rPr>
          <w:rFonts w:eastAsiaTheme="minorEastAsia"/>
          <w:bCs/>
          <w:sz w:val="22"/>
          <w:szCs w:val="22"/>
          <w:lang w:val="tr-TR" w:eastAsia="tr-TR"/>
        </w:rPr>
        <w:t>Diğer bir deyişle</w:t>
      </w:r>
      <w:r w:rsidR="000539CA" w:rsidRPr="00E5747D">
        <w:rPr>
          <w:rFonts w:eastAsiaTheme="minorEastAsia"/>
          <w:bCs/>
          <w:sz w:val="22"/>
          <w:szCs w:val="22"/>
          <w:lang w:val="tr-TR" w:eastAsia="tr-TR"/>
        </w:rPr>
        <w:t>,</w:t>
      </w:r>
      <w:r w:rsidR="00E91AE5" w:rsidRPr="00E5747D">
        <w:rPr>
          <w:rFonts w:eastAsiaTheme="minorEastAsia"/>
          <w:bCs/>
          <w:sz w:val="22"/>
          <w:szCs w:val="22"/>
          <w:lang w:val="tr-TR" w:eastAsia="tr-TR"/>
        </w:rPr>
        <w:t xml:space="preserve"> hem ücretlerde azımsanamayacak büyüklükte </w:t>
      </w:r>
      <w:r w:rsidR="000539CA" w:rsidRPr="00E5747D">
        <w:rPr>
          <w:rFonts w:eastAsiaTheme="minorEastAsia"/>
          <w:bCs/>
          <w:sz w:val="22"/>
          <w:szCs w:val="22"/>
          <w:lang w:val="tr-TR" w:eastAsia="tr-TR"/>
        </w:rPr>
        <w:t>bir artış olması beklenmektedir</w:t>
      </w:r>
      <w:r w:rsidR="00E91AE5" w:rsidRPr="00E5747D">
        <w:rPr>
          <w:rFonts w:eastAsiaTheme="minorEastAsia"/>
          <w:bCs/>
          <w:sz w:val="22"/>
          <w:szCs w:val="22"/>
          <w:lang w:val="tr-TR" w:eastAsia="tr-TR"/>
        </w:rPr>
        <w:t xml:space="preserve"> hem de bu artış özel sektörde tam zamanlı, kayıtlı ve ücretli çalışanların yarısından fazlasını etkileyecektir. </w:t>
      </w:r>
      <w:r w:rsidR="00516EBB" w:rsidRPr="00E5747D">
        <w:rPr>
          <w:rFonts w:eastAsiaTheme="minorEastAsia"/>
          <w:bCs/>
          <w:sz w:val="22"/>
          <w:szCs w:val="22"/>
          <w:lang w:val="tr-TR" w:eastAsia="tr-TR"/>
        </w:rPr>
        <w:t>Kuşkusuz</w:t>
      </w:r>
      <w:r w:rsidR="000539CA" w:rsidRPr="00E5747D">
        <w:rPr>
          <w:rFonts w:eastAsiaTheme="minorEastAsia"/>
          <w:bCs/>
          <w:sz w:val="22"/>
          <w:szCs w:val="22"/>
          <w:lang w:val="tr-TR" w:eastAsia="tr-TR"/>
        </w:rPr>
        <w:t>,</w:t>
      </w:r>
      <w:r w:rsidR="00516EBB" w:rsidRPr="00E5747D">
        <w:rPr>
          <w:rFonts w:eastAsiaTheme="minorEastAsia"/>
          <w:bCs/>
          <w:sz w:val="22"/>
          <w:szCs w:val="22"/>
          <w:lang w:val="tr-TR" w:eastAsia="tr-TR"/>
        </w:rPr>
        <w:t xml:space="preserve"> Türkiye gibi işgücüne katılım oranlarının düşük olduğu bir ülkede asgari ücretin artması işgücü piyasasına girişi özendirecektir. Ancak diğer taraftan</w:t>
      </w:r>
      <w:r w:rsidR="000539CA" w:rsidRPr="00E5747D">
        <w:rPr>
          <w:rFonts w:eastAsiaTheme="minorEastAsia"/>
          <w:bCs/>
          <w:sz w:val="22"/>
          <w:szCs w:val="22"/>
          <w:lang w:val="tr-TR" w:eastAsia="tr-TR"/>
        </w:rPr>
        <w:t>,</w:t>
      </w:r>
      <w:r w:rsidR="00516EBB" w:rsidRPr="00E5747D">
        <w:rPr>
          <w:rFonts w:eastAsiaTheme="minorEastAsia"/>
          <w:bCs/>
          <w:sz w:val="22"/>
          <w:szCs w:val="22"/>
          <w:lang w:val="tr-TR" w:eastAsia="tr-TR"/>
        </w:rPr>
        <w:t xml:space="preserve"> asgari ücretin artmasına paralel olarak artan firma maliyetlerinin firmaların kayıt dışı istihda</w:t>
      </w:r>
      <w:r w:rsidR="006F463F" w:rsidRPr="00E5747D">
        <w:rPr>
          <w:rFonts w:eastAsiaTheme="minorEastAsia"/>
          <w:bCs/>
          <w:sz w:val="22"/>
          <w:szCs w:val="22"/>
          <w:lang w:val="tr-TR" w:eastAsia="tr-TR"/>
        </w:rPr>
        <w:t xml:space="preserve">m yaratma </w:t>
      </w:r>
      <w:r w:rsidR="00156455" w:rsidRPr="00E5747D">
        <w:rPr>
          <w:rFonts w:eastAsiaTheme="minorEastAsia"/>
          <w:bCs/>
          <w:sz w:val="22"/>
          <w:szCs w:val="22"/>
          <w:lang w:val="tr-TR" w:eastAsia="tr-TR"/>
        </w:rPr>
        <w:t xml:space="preserve">eğilimini güçlendirme </w:t>
      </w:r>
      <w:r w:rsidR="006F463F" w:rsidRPr="00E5747D">
        <w:rPr>
          <w:rFonts w:eastAsiaTheme="minorEastAsia"/>
          <w:bCs/>
          <w:sz w:val="22"/>
          <w:szCs w:val="22"/>
          <w:lang w:val="tr-TR" w:eastAsia="tr-TR"/>
        </w:rPr>
        <w:t xml:space="preserve">ihtimali göz ardı edilemez. </w:t>
      </w:r>
    </w:p>
    <w:p w14:paraId="68E7A2AB" w14:textId="77777777" w:rsidR="006F463F" w:rsidRPr="00E5747D" w:rsidRDefault="006F463F" w:rsidP="00B17072">
      <w:pPr>
        <w:spacing w:line="276" w:lineRule="auto"/>
        <w:rPr>
          <w:lang w:val="tr-TR"/>
        </w:rPr>
      </w:pPr>
    </w:p>
    <w:p w14:paraId="19585829" w14:textId="77777777" w:rsidR="00787929" w:rsidRPr="00E5747D" w:rsidRDefault="006F463F" w:rsidP="00B17072">
      <w:pPr>
        <w:spacing w:line="276" w:lineRule="auto"/>
        <w:rPr>
          <w:b/>
          <w:lang w:val="tr-TR"/>
        </w:rPr>
      </w:pPr>
      <w:r w:rsidRPr="00E5747D">
        <w:rPr>
          <w:b/>
          <w:lang w:val="tr-TR"/>
        </w:rPr>
        <w:t xml:space="preserve">Asgari ücret </w:t>
      </w:r>
      <w:r w:rsidRPr="00E5747D">
        <w:rPr>
          <w:rFonts w:eastAsiaTheme="minorEastAsia"/>
          <w:b/>
          <w:bCs/>
          <w:lang w:val="tr-TR" w:eastAsia="tr-TR"/>
        </w:rPr>
        <w:t>tartışması</w:t>
      </w:r>
    </w:p>
    <w:p w14:paraId="6D3ACECB" w14:textId="77777777" w:rsidR="00787929" w:rsidRPr="00E5747D" w:rsidRDefault="00787929" w:rsidP="00B17072">
      <w:pPr>
        <w:spacing w:line="276" w:lineRule="auto"/>
        <w:rPr>
          <w:lang w:val="tr-TR"/>
        </w:rPr>
      </w:pPr>
    </w:p>
    <w:p w14:paraId="041C40E7" w14:textId="482C08AE" w:rsidR="009909BE" w:rsidRPr="00E5747D" w:rsidRDefault="009909BE" w:rsidP="00B17072">
      <w:pPr>
        <w:spacing w:line="276" w:lineRule="auto"/>
        <w:rPr>
          <w:sz w:val="22"/>
          <w:szCs w:val="22"/>
          <w:lang w:val="tr-TR"/>
        </w:rPr>
      </w:pPr>
      <w:r w:rsidRPr="00E5747D">
        <w:rPr>
          <w:sz w:val="22"/>
          <w:szCs w:val="22"/>
          <w:lang w:val="tr-TR"/>
        </w:rPr>
        <w:t xml:space="preserve">1 Ocak itibariyle net asgari ücret yüzde 30 artışla 1300’TL’ye yükseltildi. Brüt ücret ise </w:t>
      </w:r>
      <w:r w:rsidR="00EC6D99">
        <w:rPr>
          <w:sz w:val="22"/>
          <w:szCs w:val="22"/>
          <w:lang w:val="tr-TR"/>
        </w:rPr>
        <w:t>1</w:t>
      </w:r>
      <w:r w:rsidR="004C08FE" w:rsidRPr="00F477EA">
        <w:rPr>
          <w:sz w:val="22"/>
          <w:szCs w:val="22"/>
          <w:lang w:val="tr-TR"/>
        </w:rPr>
        <w:t>274</w:t>
      </w:r>
      <w:r w:rsidRPr="00E5747D">
        <w:rPr>
          <w:sz w:val="22"/>
          <w:szCs w:val="22"/>
          <w:lang w:val="tr-TR"/>
        </w:rPr>
        <w:t xml:space="preserve"> TL’den 1935 TL’ye yükseldi</w:t>
      </w:r>
      <w:r w:rsidR="00F151F8" w:rsidRPr="00E5747D">
        <w:rPr>
          <w:rStyle w:val="FootnoteReference"/>
          <w:sz w:val="22"/>
          <w:szCs w:val="22"/>
          <w:lang w:val="tr-TR"/>
        </w:rPr>
        <w:footnoteReference w:id="4"/>
      </w:r>
      <w:r w:rsidRPr="00E5747D">
        <w:rPr>
          <w:sz w:val="22"/>
          <w:szCs w:val="22"/>
          <w:lang w:val="tr-TR"/>
        </w:rPr>
        <w:t>. Bu yüksek ücret artışı</w:t>
      </w:r>
      <w:r w:rsidR="00FF6129" w:rsidRPr="00E5747D">
        <w:rPr>
          <w:sz w:val="22"/>
          <w:szCs w:val="22"/>
          <w:lang w:val="tr-TR"/>
        </w:rPr>
        <w:t>nın ortaya çıkaracağı maliy</w:t>
      </w:r>
      <w:r w:rsidR="00F974BD" w:rsidRPr="00E5747D">
        <w:rPr>
          <w:sz w:val="22"/>
          <w:szCs w:val="22"/>
          <w:lang w:val="tr-TR"/>
        </w:rPr>
        <w:t>et</w:t>
      </w:r>
      <w:r w:rsidR="00FF6129" w:rsidRPr="00E5747D">
        <w:rPr>
          <w:sz w:val="22"/>
          <w:szCs w:val="22"/>
          <w:lang w:val="tr-TR"/>
        </w:rPr>
        <w:t xml:space="preserve"> artışını karşılamayacaklarını öne süren işveren kesimi uzun süredir </w:t>
      </w:r>
      <w:r w:rsidR="00FA3C2C">
        <w:rPr>
          <w:sz w:val="22"/>
          <w:szCs w:val="22"/>
          <w:lang w:val="tr-TR"/>
        </w:rPr>
        <w:t>h</w:t>
      </w:r>
      <w:r w:rsidR="00FF6129" w:rsidRPr="0077126B">
        <w:rPr>
          <w:sz w:val="22"/>
          <w:szCs w:val="22"/>
          <w:lang w:val="tr-TR"/>
        </w:rPr>
        <w:t>ükümetten</w:t>
      </w:r>
      <w:r w:rsidR="00FF6129" w:rsidRPr="00E5747D">
        <w:rPr>
          <w:sz w:val="22"/>
          <w:szCs w:val="22"/>
          <w:lang w:val="tr-TR"/>
        </w:rPr>
        <w:t xml:space="preserve"> d</w:t>
      </w:r>
      <w:r w:rsidR="00F974BD" w:rsidRPr="00E5747D">
        <w:rPr>
          <w:sz w:val="22"/>
          <w:szCs w:val="22"/>
          <w:lang w:val="tr-TR"/>
        </w:rPr>
        <w:t>e</w:t>
      </w:r>
      <w:r w:rsidR="00FF6129" w:rsidRPr="00E5747D">
        <w:rPr>
          <w:sz w:val="22"/>
          <w:szCs w:val="22"/>
          <w:lang w:val="tr-TR"/>
        </w:rPr>
        <w:t xml:space="preserve">stek talep ediyordu. Bu destek de belli oldu. 2016 yılı ile sınırlı kalmak üzere her ücretli çalışan için </w:t>
      </w:r>
      <w:r w:rsidR="00FA3C2C">
        <w:rPr>
          <w:sz w:val="22"/>
          <w:szCs w:val="22"/>
          <w:lang w:val="tr-TR"/>
        </w:rPr>
        <w:t>d</w:t>
      </w:r>
      <w:r w:rsidR="00FF6129" w:rsidRPr="0077126B">
        <w:rPr>
          <w:sz w:val="22"/>
          <w:szCs w:val="22"/>
          <w:lang w:val="tr-TR"/>
        </w:rPr>
        <w:t>evlet</w:t>
      </w:r>
      <w:r w:rsidR="00FF6129" w:rsidRPr="00E5747D">
        <w:rPr>
          <w:sz w:val="22"/>
          <w:szCs w:val="22"/>
          <w:lang w:val="tr-TR"/>
        </w:rPr>
        <w:t xml:space="preserve"> ayda 110 TL yardım yapacak. </w:t>
      </w:r>
    </w:p>
    <w:p w14:paraId="4AF29AD6" w14:textId="77777777" w:rsidR="00924231" w:rsidRPr="00E5747D" w:rsidRDefault="00924231" w:rsidP="00B17072">
      <w:pPr>
        <w:spacing w:line="276" w:lineRule="auto"/>
        <w:rPr>
          <w:sz w:val="22"/>
          <w:szCs w:val="22"/>
          <w:lang w:val="tr-TR"/>
        </w:rPr>
      </w:pPr>
    </w:p>
    <w:p w14:paraId="582AD111" w14:textId="77777777" w:rsidR="00DE2009" w:rsidRPr="00E5747D" w:rsidRDefault="00DB2050" w:rsidP="00B17072">
      <w:pPr>
        <w:spacing w:line="276" w:lineRule="auto"/>
        <w:rPr>
          <w:sz w:val="22"/>
          <w:szCs w:val="22"/>
          <w:lang w:val="tr-TR"/>
        </w:rPr>
      </w:pPr>
      <w:r w:rsidRPr="00E5747D">
        <w:rPr>
          <w:sz w:val="22"/>
          <w:szCs w:val="22"/>
          <w:lang w:val="tr-TR"/>
        </w:rPr>
        <w:t xml:space="preserve">Bu araştırma notu, asgari ücretteki artışın yaratacağı ücret şokunun boyutuna dair bir </w:t>
      </w:r>
      <w:r w:rsidR="00DE2009" w:rsidRPr="00E5747D">
        <w:rPr>
          <w:sz w:val="22"/>
          <w:szCs w:val="22"/>
          <w:lang w:val="tr-TR"/>
        </w:rPr>
        <w:t xml:space="preserve">tahmin oluşturmayı hedeflemektedir. Bu doğrultuda </w:t>
      </w:r>
      <w:r w:rsidR="007A3919" w:rsidRPr="00E5747D">
        <w:rPr>
          <w:sz w:val="22"/>
          <w:szCs w:val="22"/>
          <w:lang w:val="tr-TR"/>
        </w:rPr>
        <w:t xml:space="preserve">hesapları kolaylaştırmak için </w:t>
      </w:r>
      <w:r w:rsidR="00DE2009" w:rsidRPr="00E5747D">
        <w:rPr>
          <w:sz w:val="22"/>
          <w:szCs w:val="22"/>
          <w:lang w:val="tr-TR"/>
        </w:rPr>
        <w:t xml:space="preserve">birkaç basitleştirici varsayımda bulunmak </w:t>
      </w:r>
      <w:r w:rsidR="007A3919" w:rsidRPr="00E5747D">
        <w:rPr>
          <w:sz w:val="22"/>
          <w:szCs w:val="22"/>
          <w:lang w:val="tr-TR"/>
        </w:rPr>
        <w:t>istiyoruz.</w:t>
      </w:r>
      <w:r w:rsidR="00DE2009" w:rsidRPr="00E5747D">
        <w:rPr>
          <w:sz w:val="22"/>
          <w:szCs w:val="22"/>
          <w:lang w:val="tr-TR"/>
        </w:rPr>
        <w:t xml:space="preserve"> Bu varsayımlardan en önemlisi asgari ücret artışının, asgari ücretin üzerinde kalacak ücretlerde herhangi bir artış yaratmayacağıdır. Örnek vermek gerekirse Şubat 2016’da 1400 TL kazanan bir bireyin ücretinin, Ocak 2016’da asgari ücretin 1300 TL’ye çıkmasından etkilenemeyeceği varsayılmaktadır. Böylelikle asgari ücret artışı sadece eski asgari ücret ile yeni asgari ücret arasında ka</w:t>
      </w:r>
      <w:r w:rsidR="00FF6129" w:rsidRPr="00E5747D">
        <w:rPr>
          <w:sz w:val="22"/>
          <w:szCs w:val="22"/>
          <w:lang w:val="tr-TR"/>
        </w:rPr>
        <w:t xml:space="preserve">lan ücretleri </w:t>
      </w:r>
      <w:r w:rsidR="00DE2009" w:rsidRPr="00E5747D">
        <w:rPr>
          <w:sz w:val="22"/>
          <w:szCs w:val="22"/>
          <w:lang w:val="tr-TR"/>
        </w:rPr>
        <w:t>etkileyeceği varsayılmaktadır.</w:t>
      </w:r>
      <w:r w:rsidR="007A3919" w:rsidRPr="00E5747D">
        <w:rPr>
          <w:sz w:val="22"/>
          <w:szCs w:val="22"/>
          <w:lang w:val="tr-TR"/>
        </w:rPr>
        <w:t xml:space="preserve"> </w:t>
      </w:r>
    </w:p>
    <w:p w14:paraId="7DA36465" w14:textId="77777777" w:rsidR="001B2051" w:rsidRPr="00E5747D" w:rsidRDefault="001B2051" w:rsidP="00B17072">
      <w:pPr>
        <w:spacing w:line="276" w:lineRule="auto"/>
        <w:rPr>
          <w:lang w:val="tr-TR"/>
        </w:rPr>
      </w:pPr>
    </w:p>
    <w:p w14:paraId="004F7420" w14:textId="77777777" w:rsidR="00CF1127" w:rsidRPr="00E5747D" w:rsidRDefault="00DE2009" w:rsidP="00B17072">
      <w:pPr>
        <w:spacing w:line="276" w:lineRule="auto"/>
        <w:rPr>
          <w:sz w:val="22"/>
          <w:szCs w:val="22"/>
          <w:lang w:val="tr-TR"/>
        </w:rPr>
      </w:pPr>
      <w:r w:rsidRPr="00E5747D">
        <w:rPr>
          <w:sz w:val="22"/>
          <w:szCs w:val="22"/>
          <w:lang w:val="tr-TR"/>
        </w:rPr>
        <w:t xml:space="preserve">Benzer şekilde asgari ücretteki artışın kayıt dışı piyasadaki ücretler üzerinde bir etkisi de bu araştırma notunda irdelenmemektedir. </w:t>
      </w:r>
      <w:r w:rsidR="00E24667" w:rsidRPr="00E5747D">
        <w:rPr>
          <w:sz w:val="22"/>
          <w:szCs w:val="22"/>
          <w:lang w:val="tr-TR"/>
        </w:rPr>
        <w:t>Hâlbuki</w:t>
      </w:r>
      <w:r w:rsidRPr="00E5747D">
        <w:rPr>
          <w:sz w:val="22"/>
          <w:szCs w:val="22"/>
          <w:lang w:val="tr-TR"/>
        </w:rPr>
        <w:t xml:space="preserve"> asgari ücret, kayıtlı piyasada olduğu gibi kayıt dışı piyasada bir fener işlevi görüyor olabilir. Diğer bir deyişle</w:t>
      </w:r>
      <w:r w:rsidR="00E24667" w:rsidRPr="00E5747D">
        <w:rPr>
          <w:sz w:val="22"/>
          <w:szCs w:val="22"/>
          <w:lang w:val="tr-TR"/>
        </w:rPr>
        <w:t>,</w:t>
      </w:r>
      <w:r w:rsidRPr="00E5747D">
        <w:rPr>
          <w:sz w:val="22"/>
          <w:szCs w:val="22"/>
          <w:lang w:val="tr-TR"/>
        </w:rPr>
        <w:t xml:space="preserve"> asgari ücretin artması bu ücreti referans olarak alan kayıt dışı ücretleri de artır</w:t>
      </w:r>
      <w:r w:rsidR="001B2051" w:rsidRPr="00E5747D">
        <w:rPr>
          <w:sz w:val="22"/>
          <w:szCs w:val="22"/>
          <w:lang w:val="tr-TR"/>
        </w:rPr>
        <w:t>ması çok mu</w:t>
      </w:r>
      <w:r w:rsidR="00401FE4" w:rsidRPr="00E5747D">
        <w:rPr>
          <w:sz w:val="22"/>
          <w:szCs w:val="22"/>
          <w:lang w:val="tr-TR"/>
        </w:rPr>
        <w:t>h</w:t>
      </w:r>
      <w:r w:rsidR="001B2051" w:rsidRPr="00E5747D">
        <w:rPr>
          <w:sz w:val="22"/>
          <w:szCs w:val="22"/>
          <w:lang w:val="tr-TR"/>
        </w:rPr>
        <w:t>te</w:t>
      </w:r>
      <w:r w:rsidR="00401FE4" w:rsidRPr="00E5747D">
        <w:rPr>
          <w:sz w:val="22"/>
          <w:szCs w:val="22"/>
          <w:lang w:val="tr-TR"/>
        </w:rPr>
        <w:t>mel</w:t>
      </w:r>
      <w:r w:rsidR="001B2051" w:rsidRPr="00E5747D">
        <w:rPr>
          <w:sz w:val="22"/>
          <w:szCs w:val="22"/>
          <w:lang w:val="tr-TR"/>
        </w:rPr>
        <w:t>dir.</w:t>
      </w:r>
      <w:r w:rsidRPr="00E5747D">
        <w:rPr>
          <w:sz w:val="22"/>
          <w:szCs w:val="22"/>
          <w:lang w:val="tr-TR"/>
        </w:rPr>
        <w:t xml:space="preserve"> </w:t>
      </w:r>
      <w:r w:rsidR="001B2051" w:rsidRPr="00E5747D">
        <w:rPr>
          <w:sz w:val="22"/>
          <w:szCs w:val="22"/>
          <w:lang w:val="tr-TR"/>
        </w:rPr>
        <w:t xml:space="preserve">Bu </w:t>
      </w:r>
      <w:r w:rsidR="00C15D09" w:rsidRPr="00E5747D">
        <w:rPr>
          <w:sz w:val="22"/>
          <w:szCs w:val="22"/>
          <w:lang w:val="tr-TR"/>
        </w:rPr>
        <w:t xml:space="preserve">basitleştirici </w:t>
      </w:r>
      <w:r w:rsidR="001B2051" w:rsidRPr="00E5747D">
        <w:rPr>
          <w:sz w:val="22"/>
          <w:szCs w:val="22"/>
          <w:lang w:val="tr-TR"/>
        </w:rPr>
        <w:t>varsayımlar elbette tam geçerli değildir</w:t>
      </w:r>
      <w:r w:rsidR="00C15D09" w:rsidRPr="00E5747D">
        <w:rPr>
          <w:sz w:val="22"/>
          <w:szCs w:val="22"/>
          <w:lang w:val="tr-TR"/>
        </w:rPr>
        <w:t>.</w:t>
      </w:r>
      <w:r w:rsidR="001B2051" w:rsidRPr="00E5747D">
        <w:rPr>
          <w:sz w:val="22"/>
          <w:szCs w:val="22"/>
          <w:lang w:val="tr-TR"/>
        </w:rPr>
        <w:t xml:space="preserve"> </w:t>
      </w:r>
      <w:r w:rsidR="00C15D09" w:rsidRPr="00E5747D">
        <w:rPr>
          <w:sz w:val="22"/>
          <w:szCs w:val="22"/>
          <w:lang w:val="tr-TR"/>
        </w:rPr>
        <w:t>B</w:t>
      </w:r>
      <w:r w:rsidR="001B2051" w:rsidRPr="00E5747D">
        <w:rPr>
          <w:sz w:val="22"/>
          <w:szCs w:val="22"/>
          <w:lang w:val="tr-TR"/>
        </w:rPr>
        <w:t>u nedenle ücretlerde gerçekleşecek genel artış</w:t>
      </w:r>
      <w:r w:rsidR="00C15D09" w:rsidRPr="00E5747D">
        <w:rPr>
          <w:sz w:val="22"/>
          <w:szCs w:val="22"/>
          <w:lang w:val="tr-TR"/>
        </w:rPr>
        <w:t xml:space="preserve">ı </w:t>
      </w:r>
      <w:r w:rsidR="001B2051" w:rsidRPr="00E5747D">
        <w:rPr>
          <w:sz w:val="22"/>
          <w:szCs w:val="22"/>
          <w:lang w:val="tr-TR"/>
        </w:rPr>
        <w:t xml:space="preserve">asgari düzeyde </w:t>
      </w:r>
      <w:r w:rsidR="00C15D09" w:rsidRPr="00E5747D">
        <w:rPr>
          <w:sz w:val="22"/>
          <w:szCs w:val="22"/>
          <w:lang w:val="tr-TR"/>
        </w:rPr>
        <w:t xml:space="preserve">tahmin ettiğimiz akılda </w:t>
      </w:r>
      <w:r w:rsidR="001B2051" w:rsidRPr="00E5747D">
        <w:rPr>
          <w:sz w:val="22"/>
          <w:szCs w:val="22"/>
          <w:lang w:val="tr-TR"/>
        </w:rPr>
        <w:t>tutulma</w:t>
      </w:r>
      <w:r w:rsidR="00C15D09" w:rsidRPr="00E5747D">
        <w:rPr>
          <w:sz w:val="22"/>
          <w:szCs w:val="22"/>
          <w:lang w:val="tr-TR"/>
        </w:rPr>
        <w:t>lı</w:t>
      </w:r>
      <w:r w:rsidR="001B2051" w:rsidRPr="00E5747D">
        <w:rPr>
          <w:sz w:val="22"/>
          <w:szCs w:val="22"/>
          <w:lang w:val="tr-TR"/>
        </w:rPr>
        <w:t>dır.</w:t>
      </w:r>
      <w:r w:rsidR="00C15D09" w:rsidRPr="00E5747D">
        <w:rPr>
          <w:sz w:val="22"/>
          <w:szCs w:val="22"/>
          <w:lang w:val="tr-TR"/>
        </w:rPr>
        <w:t xml:space="preserve"> </w:t>
      </w:r>
    </w:p>
    <w:p w14:paraId="0326A5CD" w14:textId="77777777" w:rsidR="007D4E7B" w:rsidRPr="00E5747D" w:rsidRDefault="007D4E7B" w:rsidP="00B17072">
      <w:pPr>
        <w:spacing w:line="276" w:lineRule="auto"/>
        <w:rPr>
          <w:sz w:val="22"/>
          <w:szCs w:val="22"/>
          <w:lang w:val="tr-TR"/>
        </w:rPr>
      </w:pPr>
    </w:p>
    <w:p w14:paraId="7CB36976" w14:textId="77777777" w:rsidR="00E74AB4" w:rsidRPr="00E5747D" w:rsidRDefault="00855A3D" w:rsidP="00B17072">
      <w:pPr>
        <w:spacing w:line="276" w:lineRule="auto"/>
        <w:rPr>
          <w:b/>
          <w:lang w:val="tr-TR"/>
        </w:rPr>
      </w:pPr>
      <w:r w:rsidRPr="00E5747D">
        <w:rPr>
          <w:b/>
          <w:lang w:val="tr-TR"/>
        </w:rPr>
        <w:t>Asgari ücretin etkilerinin bölgesel boyutu</w:t>
      </w:r>
    </w:p>
    <w:p w14:paraId="09E1C0BB" w14:textId="77777777" w:rsidR="0095219D" w:rsidRPr="00E5747D" w:rsidRDefault="0095219D" w:rsidP="00B17072">
      <w:pPr>
        <w:spacing w:line="276" w:lineRule="auto"/>
        <w:rPr>
          <w:sz w:val="22"/>
          <w:szCs w:val="22"/>
          <w:lang w:val="tr-TR"/>
        </w:rPr>
      </w:pPr>
    </w:p>
    <w:p w14:paraId="34AB76B7" w14:textId="625716DA" w:rsidR="00E52F3D" w:rsidRPr="00E5747D" w:rsidRDefault="00E74AB4" w:rsidP="00B17072">
      <w:pPr>
        <w:spacing w:line="276" w:lineRule="auto"/>
        <w:rPr>
          <w:sz w:val="22"/>
          <w:szCs w:val="22"/>
          <w:lang w:val="tr-TR"/>
        </w:rPr>
      </w:pPr>
      <w:r w:rsidRPr="00E5747D">
        <w:rPr>
          <w:sz w:val="22"/>
          <w:szCs w:val="22"/>
          <w:lang w:val="tr-TR"/>
        </w:rPr>
        <w:t>Bu araştırma notunda TÜİK tarafından yayınlanan Hanehalkı İşgücü Anketi 2013 yılı</w:t>
      </w:r>
      <w:r w:rsidR="003946C3" w:rsidRPr="00E5747D">
        <w:rPr>
          <w:sz w:val="22"/>
          <w:szCs w:val="22"/>
          <w:lang w:val="tr-TR"/>
        </w:rPr>
        <w:t xml:space="preserve"> </w:t>
      </w:r>
      <w:r w:rsidR="00191193" w:rsidRPr="00E5747D">
        <w:rPr>
          <w:sz w:val="22"/>
          <w:szCs w:val="22"/>
          <w:lang w:val="tr-TR"/>
        </w:rPr>
        <w:t>mikro</w:t>
      </w:r>
      <w:r w:rsidRPr="00E5747D">
        <w:rPr>
          <w:sz w:val="22"/>
          <w:szCs w:val="22"/>
          <w:lang w:val="tr-TR"/>
        </w:rPr>
        <w:t xml:space="preserve"> verileri kullanılmaktadır. </w:t>
      </w:r>
      <w:r w:rsidR="007702D0" w:rsidRPr="00E5747D">
        <w:rPr>
          <w:sz w:val="22"/>
          <w:szCs w:val="22"/>
          <w:lang w:val="tr-TR"/>
        </w:rPr>
        <w:t>Asgari ücret özellikle kayıtlı çalışan istihdam eden firmalar için bağlayıcıdır. Bu doğrultuda özel sektörde ya da vakıflar, sivil toplum kuruluşları, düşünce kuruluşları gibi k</w:t>
      </w:r>
      <w:r w:rsidR="00FA3C2C">
        <w:rPr>
          <w:sz w:val="22"/>
          <w:szCs w:val="22"/>
          <w:lang w:val="tr-TR"/>
        </w:rPr>
        <w:t>â</w:t>
      </w:r>
      <w:r w:rsidR="007702D0" w:rsidRPr="00E5747D">
        <w:rPr>
          <w:sz w:val="22"/>
          <w:szCs w:val="22"/>
          <w:lang w:val="tr-TR"/>
        </w:rPr>
        <w:t xml:space="preserve">r amacı gütmeyen kuruluşlarda çalışanlara odaklanılmıştır. </w:t>
      </w:r>
      <w:r w:rsidR="000F1A4A" w:rsidRPr="00E5747D">
        <w:rPr>
          <w:sz w:val="22"/>
          <w:szCs w:val="22"/>
          <w:lang w:val="tr-TR"/>
        </w:rPr>
        <w:t>Ayrıca</w:t>
      </w:r>
      <w:r w:rsidR="00E24667" w:rsidRPr="00E5747D">
        <w:rPr>
          <w:sz w:val="22"/>
          <w:szCs w:val="22"/>
          <w:lang w:val="tr-TR"/>
        </w:rPr>
        <w:t>,</w:t>
      </w:r>
      <w:r w:rsidR="000F1A4A" w:rsidRPr="00E5747D">
        <w:rPr>
          <w:sz w:val="22"/>
          <w:szCs w:val="22"/>
          <w:lang w:val="tr-TR"/>
        </w:rPr>
        <w:t xml:space="preserve"> asgari ücretin artırılması kamu sektörünü ve özel sektörü farklı şekilde etkilemektedir zira </w:t>
      </w:r>
      <w:r w:rsidR="002C34CC" w:rsidRPr="00E5747D">
        <w:rPr>
          <w:sz w:val="22"/>
          <w:szCs w:val="22"/>
          <w:lang w:val="tr-TR"/>
        </w:rPr>
        <w:t>kamu sektöründe oluşacak ek işgücü maliyeti merkezi yö</w:t>
      </w:r>
      <w:r w:rsidR="003946C3" w:rsidRPr="00E5747D">
        <w:rPr>
          <w:sz w:val="22"/>
          <w:szCs w:val="22"/>
          <w:lang w:val="tr-TR"/>
        </w:rPr>
        <w:t xml:space="preserve">netim bütçesi üzerinden Devlet </w:t>
      </w:r>
      <w:r w:rsidR="002C34CC" w:rsidRPr="00E5747D">
        <w:rPr>
          <w:sz w:val="22"/>
          <w:szCs w:val="22"/>
          <w:lang w:val="tr-TR"/>
        </w:rPr>
        <w:t xml:space="preserve">tarafından üstlenilecektir. </w:t>
      </w:r>
      <w:r w:rsidR="000F1A4A" w:rsidRPr="00E5747D">
        <w:rPr>
          <w:sz w:val="22"/>
          <w:szCs w:val="22"/>
          <w:lang w:val="tr-TR"/>
        </w:rPr>
        <w:t>Bu durum göz önünd</w:t>
      </w:r>
      <w:r w:rsidR="00F37836" w:rsidRPr="00E5747D">
        <w:rPr>
          <w:sz w:val="22"/>
          <w:szCs w:val="22"/>
          <w:lang w:val="tr-TR"/>
        </w:rPr>
        <w:t xml:space="preserve">e bulundurularak kamu çalışanları analize </w:t>
      </w:r>
      <w:r w:rsidR="00E24667" w:rsidRPr="00E5747D">
        <w:rPr>
          <w:sz w:val="22"/>
          <w:szCs w:val="22"/>
          <w:lang w:val="tr-TR"/>
        </w:rPr>
        <w:t>dâhil</w:t>
      </w:r>
      <w:r w:rsidR="00F37836" w:rsidRPr="00E5747D">
        <w:rPr>
          <w:sz w:val="22"/>
          <w:szCs w:val="22"/>
          <w:lang w:val="tr-TR"/>
        </w:rPr>
        <w:t xml:space="preserve"> edilmemiştir. </w:t>
      </w:r>
      <w:r w:rsidR="006C0596" w:rsidRPr="00E5747D">
        <w:rPr>
          <w:sz w:val="22"/>
          <w:szCs w:val="22"/>
          <w:lang w:val="tr-TR"/>
        </w:rPr>
        <w:t>Böylelikle çalışanlara dair veriler</w:t>
      </w:r>
      <w:r w:rsidR="00FA6AA6" w:rsidRPr="00E5747D">
        <w:rPr>
          <w:sz w:val="22"/>
          <w:szCs w:val="22"/>
          <w:lang w:val="tr-TR"/>
        </w:rPr>
        <w:t>,</w:t>
      </w:r>
      <w:r w:rsidR="006C0596" w:rsidRPr="00E5747D">
        <w:rPr>
          <w:sz w:val="22"/>
          <w:szCs w:val="22"/>
          <w:lang w:val="tr-TR"/>
        </w:rPr>
        <w:t xml:space="preserve"> özel sektörde ya da kar amacı gütmeyen kuruluşlarda kayıtlı ve ücretli olarak tam zamanlı çalışan ücretleri yansıtmaktadır. </w:t>
      </w:r>
      <w:r w:rsidRPr="00E5747D">
        <w:rPr>
          <w:sz w:val="22"/>
          <w:szCs w:val="22"/>
          <w:lang w:val="tr-TR"/>
        </w:rPr>
        <w:t>2013 yılında toplanan ücret verisi, TÜFE k</w:t>
      </w:r>
      <w:r w:rsidR="001809AC" w:rsidRPr="00E5747D">
        <w:rPr>
          <w:sz w:val="22"/>
          <w:szCs w:val="22"/>
          <w:lang w:val="tr-TR"/>
        </w:rPr>
        <w:t xml:space="preserve">ullanılarak 2015 yılı Kasım ayına taşınmıştır. </w:t>
      </w:r>
    </w:p>
    <w:p w14:paraId="30F60779" w14:textId="77777777" w:rsidR="00E52F3D" w:rsidRPr="00E5747D" w:rsidRDefault="00E52F3D" w:rsidP="00B17072">
      <w:pPr>
        <w:spacing w:line="276" w:lineRule="auto"/>
        <w:rPr>
          <w:sz w:val="22"/>
          <w:szCs w:val="22"/>
          <w:lang w:val="tr-TR"/>
        </w:rPr>
      </w:pPr>
    </w:p>
    <w:p w14:paraId="69898140" w14:textId="77777777" w:rsidR="00E74AB4" w:rsidRPr="00E5747D" w:rsidRDefault="00B8390A" w:rsidP="00B17072">
      <w:pPr>
        <w:spacing w:line="276" w:lineRule="auto"/>
        <w:rPr>
          <w:sz w:val="22"/>
          <w:szCs w:val="22"/>
          <w:lang w:val="tr-TR"/>
        </w:rPr>
      </w:pPr>
      <w:r w:rsidRPr="00B8390A">
        <w:rPr>
          <w:sz w:val="22"/>
          <w:szCs w:val="22"/>
          <w:lang w:val="tr-TR"/>
        </w:rPr>
        <w:fldChar w:fldCharType="begin"/>
      </w:r>
      <w:r>
        <w:rPr>
          <w:sz w:val="22"/>
          <w:szCs w:val="22"/>
          <w:lang w:val="tr-TR"/>
        </w:rPr>
        <w:instrText xml:space="preserve"> REF _Ref439626094 \h  \* MERGEFORMAT </w:instrText>
      </w:r>
      <w:r w:rsidRPr="00B8390A">
        <w:rPr>
          <w:sz w:val="22"/>
          <w:szCs w:val="22"/>
          <w:lang w:val="tr-TR"/>
        </w:rPr>
      </w:r>
      <w:r w:rsidRPr="00B8390A">
        <w:rPr>
          <w:sz w:val="22"/>
          <w:szCs w:val="22"/>
          <w:lang w:val="tr-TR"/>
        </w:rPr>
        <w:fldChar w:fldCharType="separate"/>
      </w:r>
      <w:r w:rsidRPr="00B8390A">
        <w:rPr>
          <w:sz w:val="22"/>
          <w:szCs w:val="22"/>
          <w:lang w:val="tr-TR"/>
        </w:rPr>
        <w:t>Tablo 1</w:t>
      </w:r>
      <w:r w:rsidRPr="00B8390A">
        <w:rPr>
          <w:sz w:val="22"/>
          <w:szCs w:val="22"/>
          <w:lang w:val="tr-TR"/>
        </w:rPr>
        <w:fldChar w:fldCharType="end"/>
      </w:r>
      <w:r w:rsidR="00634E49" w:rsidRPr="00E5747D">
        <w:rPr>
          <w:sz w:val="22"/>
          <w:szCs w:val="22"/>
          <w:lang w:val="tr-TR"/>
        </w:rPr>
        <w:t>’deki</w:t>
      </w:r>
      <w:r w:rsidR="00E52F3D" w:rsidRPr="00E5747D">
        <w:rPr>
          <w:sz w:val="22"/>
          <w:szCs w:val="22"/>
          <w:lang w:val="tr-TR"/>
        </w:rPr>
        <w:t xml:space="preserve"> </w:t>
      </w:r>
      <w:r w:rsidR="001809AC" w:rsidRPr="00E5747D">
        <w:rPr>
          <w:sz w:val="22"/>
          <w:szCs w:val="22"/>
          <w:lang w:val="tr-TR"/>
        </w:rPr>
        <w:t>veri</w:t>
      </w:r>
      <w:r w:rsidR="00E52F3D" w:rsidRPr="00E5747D">
        <w:rPr>
          <w:sz w:val="22"/>
          <w:szCs w:val="22"/>
          <w:lang w:val="tr-TR"/>
        </w:rPr>
        <w:t>lere göre</w:t>
      </w:r>
      <w:r w:rsidR="002E719C" w:rsidRPr="00E5747D">
        <w:rPr>
          <w:sz w:val="22"/>
          <w:szCs w:val="22"/>
          <w:lang w:val="tr-TR"/>
        </w:rPr>
        <w:t>,</w:t>
      </w:r>
      <w:r w:rsidR="00E52F3D" w:rsidRPr="00E5747D">
        <w:rPr>
          <w:sz w:val="22"/>
          <w:szCs w:val="22"/>
          <w:lang w:val="tr-TR"/>
        </w:rPr>
        <w:t xml:space="preserve"> Türkiye’de özel sektörde ücretli ya da yevmiyeli, tam zamanlı </w:t>
      </w:r>
      <w:r w:rsidR="0038579B" w:rsidRPr="00E5747D">
        <w:rPr>
          <w:sz w:val="22"/>
          <w:szCs w:val="22"/>
          <w:lang w:val="tr-TR"/>
        </w:rPr>
        <w:t xml:space="preserve">ve kayıtlı </w:t>
      </w:r>
      <w:r w:rsidR="00E52F3D" w:rsidRPr="00E5747D">
        <w:rPr>
          <w:sz w:val="22"/>
          <w:szCs w:val="22"/>
          <w:lang w:val="tr-TR"/>
        </w:rPr>
        <w:t>olarak çalışan 9,5 milyon kişi bulunmakta</w:t>
      </w:r>
      <w:r w:rsidR="00D24B79" w:rsidRPr="00E5747D">
        <w:rPr>
          <w:sz w:val="22"/>
          <w:szCs w:val="22"/>
          <w:lang w:val="tr-TR"/>
        </w:rPr>
        <w:t xml:space="preserve">dır. Çalışanların yüzde 57,3’ü </w:t>
      </w:r>
      <w:r w:rsidR="00E52F3D" w:rsidRPr="00E5747D">
        <w:rPr>
          <w:sz w:val="22"/>
          <w:szCs w:val="22"/>
          <w:lang w:val="tr-TR"/>
        </w:rPr>
        <w:t xml:space="preserve">1300 TL’nin altında ücret kazanmaktadır. Bu </w:t>
      </w:r>
      <w:r w:rsidR="005E4F44" w:rsidRPr="00E5747D">
        <w:rPr>
          <w:sz w:val="22"/>
          <w:szCs w:val="22"/>
          <w:lang w:val="tr-TR"/>
        </w:rPr>
        <w:t>basit tablo bile asgari ücretin 1300 TL’ye çıkmasının işgücü piyasası üzerindeki etkisinin çok geniş olacağını ortaya koymaktadır.</w:t>
      </w:r>
      <w:r w:rsidR="00D55695" w:rsidRPr="00E5747D">
        <w:rPr>
          <w:sz w:val="22"/>
          <w:szCs w:val="22"/>
          <w:lang w:val="tr-TR"/>
        </w:rPr>
        <w:t xml:space="preserve"> </w:t>
      </w:r>
    </w:p>
    <w:p w14:paraId="5B305B5A" w14:textId="77777777" w:rsidR="001809AC" w:rsidRPr="00E5747D" w:rsidRDefault="001809AC" w:rsidP="00B17072">
      <w:pPr>
        <w:spacing w:line="276" w:lineRule="auto"/>
        <w:rPr>
          <w:sz w:val="22"/>
          <w:szCs w:val="22"/>
          <w:lang w:val="tr-TR"/>
        </w:rPr>
      </w:pPr>
    </w:p>
    <w:p w14:paraId="692D6322" w14:textId="77777777" w:rsidR="00E52F3D" w:rsidRPr="00E5747D" w:rsidRDefault="00B05DEA" w:rsidP="00B17072">
      <w:pPr>
        <w:spacing w:line="276" w:lineRule="auto"/>
        <w:rPr>
          <w:b/>
          <w:sz w:val="22"/>
          <w:szCs w:val="22"/>
          <w:lang w:val="tr-TR"/>
        </w:rPr>
      </w:pPr>
      <w:r w:rsidRPr="00E5747D">
        <w:rPr>
          <w:b/>
          <w:sz w:val="22"/>
          <w:szCs w:val="22"/>
          <w:lang w:val="tr-TR"/>
        </w:rPr>
        <w:t>Tablo</w:t>
      </w:r>
      <w:r w:rsidR="00E52F3D" w:rsidRPr="00E5747D">
        <w:rPr>
          <w:b/>
          <w:sz w:val="22"/>
          <w:szCs w:val="22"/>
          <w:lang w:val="tr-TR"/>
        </w:rPr>
        <w:t xml:space="preserve"> </w:t>
      </w:r>
      <w:r w:rsidR="006A4F4A" w:rsidRPr="00E5747D">
        <w:rPr>
          <w:b/>
          <w:sz w:val="22"/>
          <w:szCs w:val="22"/>
          <w:lang w:val="tr-TR"/>
        </w:rPr>
        <w:fldChar w:fldCharType="begin"/>
      </w:r>
      <w:r w:rsidR="002E7AB2" w:rsidRPr="00E5747D">
        <w:rPr>
          <w:b/>
          <w:sz w:val="22"/>
          <w:szCs w:val="22"/>
          <w:lang w:val="tr-TR"/>
        </w:rPr>
        <w:instrText xml:space="preserve"> SEQ Table \* ARABIC </w:instrText>
      </w:r>
      <w:r w:rsidR="006A4F4A" w:rsidRPr="00E5747D">
        <w:rPr>
          <w:b/>
          <w:sz w:val="22"/>
          <w:szCs w:val="22"/>
          <w:lang w:val="tr-TR"/>
        </w:rPr>
        <w:fldChar w:fldCharType="separate"/>
      </w:r>
      <w:r w:rsidR="00E52F3D" w:rsidRPr="00E5747D">
        <w:rPr>
          <w:b/>
          <w:sz w:val="22"/>
          <w:szCs w:val="22"/>
          <w:lang w:val="tr-TR"/>
        </w:rPr>
        <w:t>1</w:t>
      </w:r>
      <w:r w:rsidR="006A4F4A" w:rsidRPr="00E5747D">
        <w:rPr>
          <w:b/>
          <w:sz w:val="22"/>
          <w:szCs w:val="22"/>
          <w:lang w:val="tr-TR"/>
        </w:rPr>
        <w:fldChar w:fldCharType="end"/>
      </w:r>
      <w:r w:rsidR="00E52F3D" w:rsidRPr="00E5747D">
        <w:rPr>
          <w:b/>
          <w:sz w:val="22"/>
          <w:szCs w:val="22"/>
          <w:lang w:val="tr-TR"/>
        </w:rPr>
        <w:t xml:space="preserve"> 1300 TL'nin altında </w:t>
      </w:r>
      <w:r w:rsidR="00634E49" w:rsidRPr="00E5747D">
        <w:rPr>
          <w:b/>
          <w:sz w:val="22"/>
          <w:szCs w:val="22"/>
          <w:lang w:val="tr-TR"/>
        </w:rPr>
        <w:t>net ücret alanların</w:t>
      </w:r>
      <w:r w:rsidR="00E52F3D" w:rsidRPr="00E5747D">
        <w:rPr>
          <w:b/>
          <w:sz w:val="22"/>
          <w:szCs w:val="22"/>
          <w:lang w:val="tr-TR"/>
        </w:rPr>
        <w:t xml:space="preserve"> sayısı ve oranı</w:t>
      </w:r>
    </w:p>
    <w:tbl>
      <w:tblPr>
        <w:tblW w:w="49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1505"/>
        <w:gridCol w:w="1505"/>
      </w:tblGrid>
      <w:tr w:rsidR="001809AC" w:rsidRPr="00E5747D" w14:paraId="3BC366BD" w14:textId="77777777" w:rsidTr="001809AC">
        <w:trPr>
          <w:trHeight w:val="320"/>
        </w:trPr>
        <w:tc>
          <w:tcPr>
            <w:tcW w:w="1980" w:type="dxa"/>
            <w:shd w:val="clear" w:color="auto" w:fill="auto"/>
            <w:noWrap/>
            <w:vAlign w:val="bottom"/>
            <w:hideMark/>
          </w:tcPr>
          <w:p w14:paraId="0D410E95" w14:textId="77777777" w:rsidR="001809AC" w:rsidRPr="00E5747D" w:rsidRDefault="001809AC" w:rsidP="00B17072">
            <w:pPr>
              <w:spacing w:line="276" w:lineRule="auto"/>
              <w:rPr>
                <w:sz w:val="22"/>
                <w:szCs w:val="22"/>
                <w:lang w:val="tr-TR"/>
              </w:rPr>
            </w:pPr>
          </w:p>
        </w:tc>
        <w:tc>
          <w:tcPr>
            <w:tcW w:w="1505" w:type="dxa"/>
            <w:shd w:val="clear" w:color="auto" w:fill="auto"/>
            <w:noWrap/>
            <w:vAlign w:val="bottom"/>
            <w:hideMark/>
          </w:tcPr>
          <w:p w14:paraId="13D92DF1" w14:textId="77777777" w:rsidR="001809AC" w:rsidRPr="00E5747D" w:rsidRDefault="001809AC" w:rsidP="002E719C">
            <w:pPr>
              <w:spacing w:line="276" w:lineRule="auto"/>
              <w:jc w:val="right"/>
              <w:rPr>
                <w:b/>
                <w:sz w:val="22"/>
                <w:szCs w:val="22"/>
                <w:lang w:val="tr-TR"/>
              </w:rPr>
            </w:pPr>
            <w:r w:rsidRPr="00E5747D">
              <w:rPr>
                <w:b/>
                <w:sz w:val="22"/>
                <w:szCs w:val="22"/>
                <w:lang w:val="tr-TR"/>
              </w:rPr>
              <w:t>Kişi (bin)</w:t>
            </w:r>
          </w:p>
        </w:tc>
        <w:tc>
          <w:tcPr>
            <w:tcW w:w="1505" w:type="dxa"/>
            <w:shd w:val="clear" w:color="auto" w:fill="auto"/>
            <w:noWrap/>
            <w:vAlign w:val="bottom"/>
            <w:hideMark/>
          </w:tcPr>
          <w:p w14:paraId="0DC438CA" w14:textId="77777777" w:rsidR="001809AC" w:rsidRPr="00E5747D" w:rsidRDefault="001809AC" w:rsidP="002E719C">
            <w:pPr>
              <w:spacing w:line="276" w:lineRule="auto"/>
              <w:jc w:val="right"/>
              <w:rPr>
                <w:b/>
                <w:sz w:val="22"/>
                <w:szCs w:val="22"/>
                <w:lang w:val="tr-TR"/>
              </w:rPr>
            </w:pPr>
            <w:r w:rsidRPr="00E5747D">
              <w:rPr>
                <w:b/>
                <w:sz w:val="22"/>
                <w:szCs w:val="22"/>
                <w:lang w:val="tr-TR"/>
              </w:rPr>
              <w:t>Yüzde</w:t>
            </w:r>
          </w:p>
        </w:tc>
      </w:tr>
      <w:tr w:rsidR="001809AC" w:rsidRPr="00E5747D" w14:paraId="39477E0E" w14:textId="77777777" w:rsidTr="001809AC">
        <w:trPr>
          <w:trHeight w:val="320"/>
        </w:trPr>
        <w:tc>
          <w:tcPr>
            <w:tcW w:w="1980" w:type="dxa"/>
            <w:shd w:val="clear" w:color="auto" w:fill="auto"/>
            <w:noWrap/>
            <w:vAlign w:val="bottom"/>
            <w:hideMark/>
          </w:tcPr>
          <w:p w14:paraId="524933D4" w14:textId="77777777" w:rsidR="001809AC" w:rsidRPr="00E5747D" w:rsidRDefault="001809AC" w:rsidP="00B17072">
            <w:pPr>
              <w:spacing w:line="276" w:lineRule="auto"/>
              <w:rPr>
                <w:b/>
                <w:sz w:val="22"/>
                <w:szCs w:val="22"/>
                <w:lang w:val="tr-TR"/>
              </w:rPr>
            </w:pPr>
            <w:r w:rsidRPr="00E5747D">
              <w:rPr>
                <w:b/>
                <w:sz w:val="22"/>
                <w:szCs w:val="22"/>
                <w:lang w:val="tr-TR"/>
              </w:rPr>
              <w:t>&gt;1300</w:t>
            </w:r>
          </w:p>
        </w:tc>
        <w:tc>
          <w:tcPr>
            <w:tcW w:w="1505" w:type="dxa"/>
            <w:shd w:val="clear" w:color="auto" w:fill="auto"/>
            <w:noWrap/>
            <w:vAlign w:val="bottom"/>
            <w:hideMark/>
          </w:tcPr>
          <w:p w14:paraId="5D563DAE" w14:textId="6C6DE67F" w:rsidR="001809AC" w:rsidRPr="00E5747D" w:rsidRDefault="00FA3C2C" w:rsidP="00B17072">
            <w:pPr>
              <w:spacing w:line="276" w:lineRule="auto"/>
              <w:jc w:val="right"/>
              <w:rPr>
                <w:sz w:val="22"/>
                <w:szCs w:val="22"/>
                <w:lang w:val="tr-TR"/>
              </w:rPr>
            </w:pPr>
            <w:r>
              <w:rPr>
                <w:sz w:val="22"/>
                <w:szCs w:val="22"/>
                <w:lang w:val="tr-TR"/>
              </w:rPr>
              <w:t>4.</w:t>
            </w:r>
            <w:r w:rsidR="001809AC" w:rsidRPr="00E5747D">
              <w:rPr>
                <w:sz w:val="22"/>
                <w:szCs w:val="22"/>
                <w:lang w:val="tr-TR"/>
              </w:rPr>
              <w:t>091</w:t>
            </w:r>
          </w:p>
        </w:tc>
        <w:tc>
          <w:tcPr>
            <w:tcW w:w="1505" w:type="dxa"/>
            <w:shd w:val="clear" w:color="auto" w:fill="auto"/>
            <w:noWrap/>
            <w:vAlign w:val="bottom"/>
            <w:hideMark/>
          </w:tcPr>
          <w:p w14:paraId="50892B1B" w14:textId="5B2ADD94" w:rsidR="001809AC" w:rsidRPr="00E5747D" w:rsidRDefault="00FA3C2C" w:rsidP="00B17072">
            <w:pPr>
              <w:spacing w:line="276" w:lineRule="auto"/>
              <w:jc w:val="right"/>
              <w:rPr>
                <w:sz w:val="22"/>
                <w:szCs w:val="22"/>
                <w:lang w:val="tr-TR"/>
              </w:rPr>
            </w:pPr>
            <w:r>
              <w:rPr>
                <w:sz w:val="22"/>
                <w:szCs w:val="22"/>
                <w:lang w:val="tr-TR"/>
              </w:rPr>
              <w:t>42,</w:t>
            </w:r>
            <w:r w:rsidR="001809AC" w:rsidRPr="00E5747D">
              <w:rPr>
                <w:sz w:val="22"/>
                <w:szCs w:val="22"/>
                <w:lang w:val="tr-TR"/>
              </w:rPr>
              <w:t>7</w:t>
            </w:r>
          </w:p>
        </w:tc>
      </w:tr>
      <w:tr w:rsidR="001809AC" w:rsidRPr="00E5747D" w14:paraId="5A8C5BC0" w14:textId="77777777" w:rsidTr="001809AC">
        <w:trPr>
          <w:trHeight w:val="320"/>
        </w:trPr>
        <w:tc>
          <w:tcPr>
            <w:tcW w:w="1980" w:type="dxa"/>
            <w:shd w:val="clear" w:color="auto" w:fill="auto"/>
            <w:noWrap/>
            <w:vAlign w:val="bottom"/>
            <w:hideMark/>
          </w:tcPr>
          <w:p w14:paraId="06BBB15C" w14:textId="77777777" w:rsidR="001809AC" w:rsidRPr="00E5747D" w:rsidRDefault="001809AC" w:rsidP="00B17072">
            <w:pPr>
              <w:spacing w:line="276" w:lineRule="auto"/>
              <w:rPr>
                <w:b/>
                <w:sz w:val="22"/>
                <w:szCs w:val="22"/>
                <w:lang w:val="tr-TR"/>
              </w:rPr>
            </w:pPr>
            <w:r w:rsidRPr="00E5747D">
              <w:rPr>
                <w:b/>
                <w:sz w:val="22"/>
                <w:szCs w:val="22"/>
                <w:lang w:val="tr-TR"/>
              </w:rPr>
              <w:t>&lt;1300</w:t>
            </w:r>
          </w:p>
        </w:tc>
        <w:tc>
          <w:tcPr>
            <w:tcW w:w="1505" w:type="dxa"/>
            <w:shd w:val="clear" w:color="auto" w:fill="auto"/>
            <w:noWrap/>
            <w:vAlign w:val="bottom"/>
            <w:hideMark/>
          </w:tcPr>
          <w:p w14:paraId="698FDAD4" w14:textId="6FF859B9" w:rsidR="001809AC" w:rsidRPr="00E5747D" w:rsidRDefault="00FA3C2C" w:rsidP="00B17072">
            <w:pPr>
              <w:spacing w:line="276" w:lineRule="auto"/>
              <w:jc w:val="right"/>
              <w:rPr>
                <w:sz w:val="22"/>
                <w:szCs w:val="22"/>
                <w:lang w:val="tr-TR"/>
              </w:rPr>
            </w:pPr>
            <w:r>
              <w:rPr>
                <w:sz w:val="22"/>
                <w:szCs w:val="22"/>
                <w:lang w:val="tr-TR"/>
              </w:rPr>
              <w:t>5.</w:t>
            </w:r>
            <w:r w:rsidR="001809AC" w:rsidRPr="00E5747D">
              <w:rPr>
                <w:sz w:val="22"/>
                <w:szCs w:val="22"/>
                <w:lang w:val="tr-TR"/>
              </w:rPr>
              <w:t>484</w:t>
            </w:r>
          </w:p>
        </w:tc>
        <w:tc>
          <w:tcPr>
            <w:tcW w:w="1505" w:type="dxa"/>
            <w:shd w:val="clear" w:color="auto" w:fill="auto"/>
            <w:noWrap/>
            <w:vAlign w:val="bottom"/>
            <w:hideMark/>
          </w:tcPr>
          <w:p w14:paraId="4ECAF100" w14:textId="7EA91A86" w:rsidR="001809AC" w:rsidRPr="00E5747D" w:rsidRDefault="00FA3C2C" w:rsidP="00B17072">
            <w:pPr>
              <w:spacing w:line="276" w:lineRule="auto"/>
              <w:jc w:val="right"/>
              <w:rPr>
                <w:sz w:val="22"/>
                <w:szCs w:val="22"/>
                <w:lang w:val="tr-TR"/>
              </w:rPr>
            </w:pPr>
            <w:r>
              <w:rPr>
                <w:sz w:val="22"/>
                <w:szCs w:val="22"/>
                <w:lang w:val="tr-TR"/>
              </w:rPr>
              <w:t>57,</w:t>
            </w:r>
            <w:r w:rsidR="001809AC" w:rsidRPr="00E5747D">
              <w:rPr>
                <w:sz w:val="22"/>
                <w:szCs w:val="22"/>
                <w:lang w:val="tr-TR"/>
              </w:rPr>
              <w:t>3</w:t>
            </w:r>
          </w:p>
        </w:tc>
      </w:tr>
      <w:tr w:rsidR="001809AC" w:rsidRPr="00E5747D" w14:paraId="23B8429E" w14:textId="77777777" w:rsidTr="001809AC">
        <w:trPr>
          <w:trHeight w:val="320"/>
        </w:trPr>
        <w:tc>
          <w:tcPr>
            <w:tcW w:w="1980" w:type="dxa"/>
            <w:shd w:val="clear" w:color="auto" w:fill="auto"/>
            <w:noWrap/>
            <w:vAlign w:val="bottom"/>
            <w:hideMark/>
          </w:tcPr>
          <w:p w14:paraId="55A8AAEB" w14:textId="77777777" w:rsidR="001809AC" w:rsidRPr="00E5747D" w:rsidRDefault="001809AC" w:rsidP="00B17072">
            <w:pPr>
              <w:spacing w:line="276" w:lineRule="auto"/>
              <w:rPr>
                <w:b/>
                <w:sz w:val="22"/>
                <w:szCs w:val="22"/>
                <w:lang w:val="tr-TR"/>
              </w:rPr>
            </w:pPr>
            <w:r w:rsidRPr="00E5747D">
              <w:rPr>
                <w:b/>
                <w:sz w:val="22"/>
                <w:szCs w:val="22"/>
                <w:lang w:val="tr-TR"/>
              </w:rPr>
              <w:t>Toplam</w:t>
            </w:r>
          </w:p>
        </w:tc>
        <w:tc>
          <w:tcPr>
            <w:tcW w:w="1505" w:type="dxa"/>
            <w:shd w:val="clear" w:color="auto" w:fill="auto"/>
            <w:noWrap/>
            <w:vAlign w:val="bottom"/>
            <w:hideMark/>
          </w:tcPr>
          <w:p w14:paraId="42B1CEDD" w14:textId="5A5ACB94" w:rsidR="001809AC" w:rsidRPr="00E5747D" w:rsidRDefault="00FA3C2C" w:rsidP="00B17072">
            <w:pPr>
              <w:spacing w:line="276" w:lineRule="auto"/>
              <w:jc w:val="right"/>
              <w:rPr>
                <w:i/>
                <w:sz w:val="22"/>
                <w:szCs w:val="22"/>
                <w:lang w:val="tr-TR"/>
              </w:rPr>
            </w:pPr>
            <w:r>
              <w:rPr>
                <w:i/>
                <w:sz w:val="22"/>
                <w:szCs w:val="22"/>
                <w:lang w:val="tr-TR"/>
              </w:rPr>
              <w:t>9.</w:t>
            </w:r>
            <w:r w:rsidR="001809AC" w:rsidRPr="00E5747D">
              <w:rPr>
                <w:i/>
                <w:sz w:val="22"/>
                <w:szCs w:val="22"/>
                <w:lang w:val="tr-TR"/>
              </w:rPr>
              <w:t>575</w:t>
            </w:r>
          </w:p>
        </w:tc>
        <w:tc>
          <w:tcPr>
            <w:tcW w:w="1505" w:type="dxa"/>
            <w:shd w:val="clear" w:color="auto" w:fill="auto"/>
            <w:noWrap/>
            <w:vAlign w:val="bottom"/>
            <w:hideMark/>
          </w:tcPr>
          <w:p w14:paraId="3A59D7CA" w14:textId="25B339E6" w:rsidR="001809AC" w:rsidRPr="00E5747D" w:rsidRDefault="00FA3C2C" w:rsidP="00B17072">
            <w:pPr>
              <w:spacing w:line="276" w:lineRule="auto"/>
              <w:jc w:val="right"/>
              <w:rPr>
                <w:i/>
                <w:sz w:val="22"/>
                <w:szCs w:val="22"/>
                <w:lang w:val="tr-TR"/>
              </w:rPr>
            </w:pPr>
            <w:r>
              <w:rPr>
                <w:i/>
                <w:sz w:val="22"/>
                <w:szCs w:val="22"/>
                <w:lang w:val="tr-TR"/>
              </w:rPr>
              <w:t>100,</w:t>
            </w:r>
            <w:r w:rsidR="001809AC" w:rsidRPr="00E5747D">
              <w:rPr>
                <w:i/>
                <w:sz w:val="22"/>
                <w:szCs w:val="22"/>
                <w:lang w:val="tr-TR"/>
              </w:rPr>
              <w:t>0</w:t>
            </w:r>
          </w:p>
        </w:tc>
      </w:tr>
    </w:tbl>
    <w:p w14:paraId="6EE05FE4" w14:textId="77777777" w:rsidR="001809AC" w:rsidRPr="00E5747D" w:rsidRDefault="00634E49" w:rsidP="00B17072">
      <w:pPr>
        <w:spacing w:line="276" w:lineRule="auto"/>
        <w:rPr>
          <w:sz w:val="20"/>
          <w:szCs w:val="20"/>
          <w:lang w:val="tr-TR"/>
        </w:rPr>
      </w:pPr>
      <w:r w:rsidRPr="00E5747D">
        <w:rPr>
          <w:sz w:val="20"/>
          <w:szCs w:val="20"/>
          <w:lang w:val="tr-TR"/>
        </w:rPr>
        <w:t xml:space="preserve">Kaynak: HİA 2013, </w:t>
      </w:r>
      <w:r w:rsidR="005125A8" w:rsidRPr="00E5747D">
        <w:rPr>
          <w:sz w:val="20"/>
          <w:szCs w:val="20"/>
          <w:lang w:val="tr-TR"/>
        </w:rPr>
        <w:t>Betam Kasım 2015 güncellemesi</w:t>
      </w:r>
    </w:p>
    <w:p w14:paraId="30CBAC62" w14:textId="77777777" w:rsidR="005125A8" w:rsidRPr="00E5747D" w:rsidRDefault="005125A8" w:rsidP="00B17072">
      <w:pPr>
        <w:spacing w:line="276" w:lineRule="auto"/>
        <w:rPr>
          <w:sz w:val="22"/>
          <w:szCs w:val="22"/>
          <w:lang w:val="tr-TR"/>
        </w:rPr>
      </w:pPr>
    </w:p>
    <w:p w14:paraId="10A0FD80" w14:textId="2CBEDE78" w:rsidR="00681C3A" w:rsidRPr="00E5747D" w:rsidRDefault="009167FC" w:rsidP="00B17072">
      <w:pPr>
        <w:spacing w:line="276" w:lineRule="auto"/>
        <w:rPr>
          <w:sz w:val="22"/>
          <w:szCs w:val="22"/>
          <w:lang w:val="tr-TR"/>
        </w:rPr>
      </w:pPr>
      <w:r w:rsidRPr="00E5747D">
        <w:rPr>
          <w:sz w:val="22"/>
          <w:szCs w:val="22"/>
          <w:lang w:val="tr-TR"/>
        </w:rPr>
        <w:t xml:space="preserve">Türkiye’de </w:t>
      </w:r>
      <w:r w:rsidR="00D24B79" w:rsidRPr="00E5747D">
        <w:rPr>
          <w:sz w:val="22"/>
          <w:szCs w:val="22"/>
          <w:lang w:val="tr-TR"/>
        </w:rPr>
        <w:t xml:space="preserve">bölgesel </w:t>
      </w:r>
      <w:r w:rsidRPr="00E5747D">
        <w:rPr>
          <w:sz w:val="22"/>
          <w:szCs w:val="22"/>
          <w:lang w:val="tr-TR"/>
        </w:rPr>
        <w:t xml:space="preserve">işgücü piyasalarının </w:t>
      </w:r>
      <w:r w:rsidR="006A30DD" w:rsidRPr="00E5747D">
        <w:rPr>
          <w:sz w:val="22"/>
          <w:szCs w:val="22"/>
          <w:lang w:val="tr-TR"/>
        </w:rPr>
        <w:t xml:space="preserve">oldukça farklı yapılarda olduğu daha önceki araştırmalarda ortaya konmuştur. Dolayısıyla asgari ücretteki artışın etkilerinin de </w:t>
      </w:r>
      <w:r w:rsidR="00254C8C" w:rsidRPr="00E5747D">
        <w:rPr>
          <w:sz w:val="22"/>
          <w:szCs w:val="22"/>
          <w:lang w:val="tr-TR"/>
        </w:rPr>
        <w:t>bölgesel</w:t>
      </w:r>
      <w:r w:rsidR="006A30DD" w:rsidRPr="00E5747D">
        <w:rPr>
          <w:sz w:val="22"/>
          <w:szCs w:val="22"/>
          <w:lang w:val="tr-TR"/>
        </w:rPr>
        <w:t xml:space="preserve"> piyasalarda farklı yoğunlukta hissedileceği </w:t>
      </w:r>
      <w:r w:rsidR="005D7443" w:rsidRPr="00E5747D">
        <w:rPr>
          <w:sz w:val="22"/>
          <w:szCs w:val="22"/>
          <w:lang w:val="tr-TR"/>
        </w:rPr>
        <w:t xml:space="preserve">tahmin edilmektedir. </w:t>
      </w:r>
      <w:r w:rsidR="006E1080" w:rsidRPr="00E5747D">
        <w:rPr>
          <w:sz w:val="22"/>
          <w:szCs w:val="22"/>
          <w:lang w:val="tr-TR"/>
        </w:rPr>
        <w:fldChar w:fldCharType="begin"/>
      </w:r>
      <w:r w:rsidR="006E1080" w:rsidRPr="00E5747D">
        <w:rPr>
          <w:sz w:val="22"/>
          <w:szCs w:val="22"/>
          <w:lang w:val="tr-TR"/>
        </w:rPr>
        <w:instrText xml:space="preserve"> REF _Ref439149767 \h  \* MERGEFORMAT </w:instrText>
      </w:r>
      <w:r w:rsidR="006E1080" w:rsidRPr="00E5747D">
        <w:rPr>
          <w:sz w:val="22"/>
          <w:szCs w:val="22"/>
          <w:lang w:val="tr-TR"/>
        </w:rPr>
      </w:r>
      <w:r w:rsidR="006E1080" w:rsidRPr="00E5747D">
        <w:rPr>
          <w:sz w:val="22"/>
          <w:szCs w:val="22"/>
          <w:lang w:val="tr-TR"/>
        </w:rPr>
        <w:fldChar w:fldCharType="separate"/>
      </w:r>
      <w:r w:rsidR="005D7443" w:rsidRPr="00E5747D">
        <w:rPr>
          <w:sz w:val="22"/>
          <w:szCs w:val="22"/>
          <w:lang w:val="tr-TR"/>
        </w:rPr>
        <w:t>Şekil 1</w:t>
      </w:r>
      <w:r w:rsidR="006E1080" w:rsidRPr="00E5747D">
        <w:rPr>
          <w:sz w:val="22"/>
          <w:szCs w:val="22"/>
          <w:lang w:val="tr-TR"/>
        </w:rPr>
        <w:fldChar w:fldCharType="end"/>
      </w:r>
      <w:r w:rsidR="005D7443" w:rsidRPr="00E5747D">
        <w:rPr>
          <w:sz w:val="22"/>
          <w:szCs w:val="22"/>
          <w:lang w:val="tr-TR"/>
        </w:rPr>
        <w:t>'de</w:t>
      </w:r>
      <w:r w:rsidR="006A30DD" w:rsidRPr="00E5747D">
        <w:rPr>
          <w:sz w:val="22"/>
          <w:szCs w:val="22"/>
          <w:lang w:val="tr-TR"/>
        </w:rPr>
        <w:t xml:space="preserve"> Türkiye’nin 26 bölgesinde 1300 TL’nin altında </w:t>
      </w:r>
      <w:r w:rsidR="00254C8C" w:rsidRPr="00E5747D">
        <w:rPr>
          <w:sz w:val="22"/>
          <w:szCs w:val="22"/>
          <w:lang w:val="tr-TR"/>
        </w:rPr>
        <w:t xml:space="preserve">net </w:t>
      </w:r>
      <w:r w:rsidR="006A30DD" w:rsidRPr="00E5747D">
        <w:rPr>
          <w:sz w:val="22"/>
          <w:szCs w:val="22"/>
          <w:lang w:val="tr-TR"/>
        </w:rPr>
        <w:t xml:space="preserve">ücret alan </w:t>
      </w:r>
      <w:r w:rsidR="00254C8C" w:rsidRPr="00E5747D">
        <w:rPr>
          <w:sz w:val="22"/>
          <w:szCs w:val="22"/>
          <w:lang w:val="tr-TR"/>
        </w:rPr>
        <w:t>çalışanların</w:t>
      </w:r>
      <w:r w:rsidR="006A30DD" w:rsidRPr="00E5747D">
        <w:rPr>
          <w:sz w:val="22"/>
          <w:szCs w:val="22"/>
          <w:lang w:val="tr-TR"/>
        </w:rPr>
        <w:t xml:space="preserve"> oranları verilmektedir.</w:t>
      </w:r>
      <w:r w:rsidR="0085620C">
        <w:rPr>
          <w:rStyle w:val="FootnoteReference"/>
          <w:sz w:val="22"/>
          <w:szCs w:val="22"/>
          <w:lang w:val="tr-TR"/>
        </w:rPr>
        <w:footnoteReference w:id="5"/>
      </w:r>
      <w:r w:rsidR="006A30DD" w:rsidRPr="00E5747D">
        <w:rPr>
          <w:sz w:val="22"/>
          <w:szCs w:val="22"/>
          <w:lang w:val="tr-TR"/>
        </w:rPr>
        <w:t xml:space="preserve"> Veriler 1300 TL’ni</w:t>
      </w:r>
      <w:r w:rsidR="00681C3A" w:rsidRPr="00E5747D">
        <w:rPr>
          <w:sz w:val="22"/>
          <w:szCs w:val="22"/>
          <w:lang w:val="tr-TR"/>
        </w:rPr>
        <w:t xml:space="preserve">n altında kazananların oranının en düşük olduğu bölgenin açık arayla İstanbul (yüzde 43) olduğunu göstermektedir. 1300 TL'nin altında kazananların payının en yüksek olduğu ikinci bölge ise Ankara'dır (yüzde 48,9). En yüksek </w:t>
      </w:r>
      <w:r w:rsidR="00254C8C" w:rsidRPr="00E5747D">
        <w:rPr>
          <w:sz w:val="22"/>
          <w:szCs w:val="22"/>
          <w:lang w:val="tr-TR"/>
        </w:rPr>
        <w:t xml:space="preserve">iki </w:t>
      </w:r>
      <w:r w:rsidR="00681C3A" w:rsidRPr="00E5747D">
        <w:rPr>
          <w:sz w:val="22"/>
          <w:szCs w:val="22"/>
          <w:lang w:val="tr-TR"/>
        </w:rPr>
        <w:t xml:space="preserve">oran ise yüzde 82 ile Kastamonu ve yüzde 80,1 ile Manisa bölgelerindedir. </w:t>
      </w:r>
    </w:p>
    <w:p w14:paraId="0B29DF6F" w14:textId="77777777" w:rsidR="006A30DD" w:rsidRPr="00E5747D" w:rsidRDefault="006A30DD" w:rsidP="00B17072">
      <w:pPr>
        <w:spacing w:line="276" w:lineRule="auto"/>
        <w:rPr>
          <w:sz w:val="22"/>
          <w:szCs w:val="22"/>
          <w:lang w:val="tr-TR"/>
        </w:rPr>
      </w:pPr>
    </w:p>
    <w:p w14:paraId="606D672F" w14:textId="77777777" w:rsidR="006A30DD" w:rsidRPr="00E5747D" w:rsidRDefault="006D0C36" w:rsidP="00B17072">
      <w:pPr>
        <w:spacing w:line="276" w:lineRule="auto"/>
        <w:rPr>
          <w:sz w:val="22"/>
          <w:szCs w:val="22"/>
          <w:lang w:val="tr-TR"/>
        </w:rPr>
      </w:pPr>
      <w:bookmarkStart w:id="0" w:name="_Ref439149767"/>
      <w:r w:rsidRPr="00E5747D">
        <w:rPr>
          <w:b/>
          <w:sz w:val="22"/>
          <w:szCs w:val="22"/>
          <w:lang w:val="tr-TR"/>
        </w:rPr>
        <w:lastRenderedPageBreak/>
        <w:t xml:space="preserve">Şekil </w:t>
      </w:r>
      <w:r w:rsidR="006A4F4A" w:rsidRPr="00E5747D">
        <w:rPr>
          <w:b/>
          <w:sz w:val="22"/>
          <w:szCs w:val="22"/>
          <w:lang w:val="tr-TR"/>
        </w:rPr>
        <w:fldChar w:fldCharType="begin"/>
      </w:r>
      <w:r w:rsidRPr="00E5747D">
        <w:rPr>
          <w:b/>
          <w:sz w:val="22"/>
          <w:szCs w:val="22"/>
          <w:lang w:val="tr-TR"/>
        </w:rPr>
        <w:instrText xml:space="preserve"> SEQ Figure \* ARABIC </w:instrText>
      </w:r>
      <w:r w:rsidR="006A4F4A" w:rsidRPr="00E5747D">
        <w:rPr>
          <w:b/>
          <w:sz w:val="22"/>
          <w:szCs w:val="22"/>
          <w:lang w:val="tr-TR"/>
        </w:rPr>
        <w:fldChar w:fldCharType="separate"/>
      </w:r>
      <w:r w:rsidR="001F245E" w:rsidRPr="00E5747D">
        <w:rPr>
          <w:b/>
          <w:sz w:val="22"/>
          <w:szCs w:val="22"/>
          <w:lang w:val="tr-TR"/>
        </w:rPr>
        <w:t>1</w:t>
      </w:r>
      <w:r w:rsidR="006A4F4A" w:rsidRPr="00E5747D">
        <w:rPr>
          <w:b/>
          <w:sz w:val="22"/>
          <w:szCs w:val="22"/>
          <w:lang w:val="tr-TR"/>
        </w:rPr>
        <w:fldChar w:fldCharType="end"/>
      </w:r>
      <w:bookmarkEnd w:id="0"/>
      <w:r w:rsidRPr="00E5747D">
        <w:rPr>
          <w:b/>
          <w:sz w:val="22"/>
          <w:szCs w:val="22"/>
          <w:lang w:val="tr-TR"/>
        </w:rPr>
        <w:t xml:space="preserve"> Ücreti 1300 TL altında olanların toplam çalışanlar içindeki pay</w:t>
      </w:r>
      <w:r w:rsidR="00136E07">
        <w:rPr>
          <w:b/>
          <w:sz w:val="22"/>
          <w:szCs w:val="22"/>
          <w:lang w:val="tr-TR"/>
        </w:rPr>
        <w:t>ı (%)</w:t>
      </w:r>
      <w:r w:rsidR="00FD029F" w:rsidRPr="00E5747D">
        <w:rPr>
          <w:noProof/>
          <w:lang w:val="tr-TR" w:eastAsia="tr-TR"/>
        </w:rPr>
        <w:drawing>
          <wp:inline distT="0" distB="0" distL="0" distR="0" wp14:anchorId="6B97C709" wp14:editId="38BB9317">
            <wp:extent cx="5756910" cy="2380890"/>
            <wp:effectExtent l="0" t="0" r="0" b="63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1C6950" w14:textId="77777777" w:rsidR="00FD029F" w:rsidRPr="00E5747D" w:rsidRDefault="00FD029F" w:rsidP="00FD029F">
      <w:pPr>
        <w:spacing w:line="276" w:lineRule="auto"/>
        <w:rPr>
          <w:sz w:val="20"/>
          <w:szCs w:val="20"/>
          <w:lang w:val="tr-TR"/>
        </w:rPr>
      </w:pPr>
      <w:r w:rsidRPr="00E5747D">
        <w:rPr>
          <w:sz w:val="20"/>
          <w:szCs w:val="20"/>
          <w:lang w:val="tr-TR"/>
        </w:rPr>
        <w:t>Kaynak: HİA 2013, Betam Kasım 2015 güncellemesi</w:t>
      </w:r>
    </w:p>
    <w:p w14:paraId="3D0109D7" w14:textId="77777777" w:rsidR="006A30DD" w:rsidRPr="00E5747D" w:rsidRDefault="006A30DD" w:rsidP="00B17072">
      <w:pPr>
        <w:spacing w:line="276" w:lineRule="auto"/>
        <w:rPr>
          <w:sz w:val="20"/>
          <w:szCs w:val="20"/>
          <w:lang w:val="tr-TR"/>
        </w:rPr>
      </w:pPr>
    </w:p>
    <w:p w14:paraId="6BE34688" w14:textId="77777777" w:rsidR="002C5A08" w:rsidRPr="00657E0E" w:rsidRDefault="002C5A08" w:rsidP="00B17072">
      <w:pPr>
        <w:spacing w:line="276" w:lineRule="auto"/>
        <w:rPr>
          <w:b/>
          <w:lang w:val="tr-TR"/>
        </w:rPr>
      </w:pPr>
      <w:r w:rsidRPr="00657E0E">
        <w:rPr>
          <w:b/>
          <w:lang w:val="tr-TR"/>
        </w:rPr>
        <w:t>Asgari ücretin 1300 TL’ye yükselmesinin ücret dağılımı</w:t>
      </w:r>
      <w:r w:rsidR="0032216F" w:rsidRPr="00657E0E">
        <w:rPr>
          <w:b/>
          <w:lang w:val="tr-TR"/>
        </w:rPr>
        <w:t>na</w:t>
      </w:r>
      <w:r w:rsidRPr="00657E0E">
        <w:rPr>
          <w:b/>
          <w:lang w:val="tr-TR"/>
        </w:rPr>
        <w:t xml:space="preserve"> etkisi  </w:t>
      </w:r>
    </w:p>
    <w:p w14:paraId="0915CFE9" w14:textId="77777777" w:rsidR="00487474" w:rsidRPr="00E5747D" w:rsidRDefault="00487474" w:rsidP="00B17072">
      <w:pPr>
        <w:spacing w:line="276" w:lineRule="auto"/>
        <w:rPr>
          <w:b/>
          <w:sz w:val="22"/>
          <w:szCs w:val="22"/>
          <w:lang w:val="tr-TR"/>
        </w:rPr>
      </w:pPr>
    </w:p>
    <w:p w14:paraId="24D5E4E7" w14:textId="72745AB0" w:rsidR="00351938" w:rsidRPr="00E5747D" w:rsidRDefault="00386AD8" w:rsidP="00B17072">
      <w:pPr>
        <w:spacing w:line="276" w:lineRule="auto"/>
        <w:rPr>
          <w:sz w:val="22"/>
          <w:szCs w:val="22"/>
          <w:lang w:val="tr-TR"/>
        </w:rPr>
      </w:pPr>
      <w:r w:rsidRPr="00E5747D">
        <w:rPr>
          <w:sz w:val="22"/>
          <w:szCs w:val="22"/>
          <w:lang w:val="tr-TR"/>
        </w:rPr>
        <w:t xml:space="preserve">Asgari ücretin 1300 TL’ye çıkmasının </w:t>
      </w:r>
      <w:r w:rsidR="00755C17" w:rsidRPr="00E5747D">
        <w:rPr>
          <w:sz w:val="22"/>
          <w:szCs w:val="22"/>
          <w:lang w:val="tr-TR"/>
        </w:rPr>
        <w:t xml:space="preserve">yaratacağı ücret şokunun </w:t>
      </w:r>
      <w:r w:rsidRPr="00E5747D">
        <w:rPr>
          <w:sz w:val="22"/>
          <w:szCs w:val="22"/>
          <w:lang w:val="tr-TR"/>
        </w:rPr>
        <w:t xml:space="preserve">boyutunun ortaya konulması açısından </w:t>
      </w:r>
      <w:r w:rsidR="00351938" w:rsidRPr="00E5747D">
        <w:rPr>
          <w:sz w:val="22"/>
          <w:szCs w:val="22"/>
          <w:lang w:val="tr-TR"/>
        </w:rPr>
        <w:t>bölgesel</w:t>
      </w:r>
      <w:r w:rsidRPr="00E5747D">
        <w:rPr>
          <w:sz w:val="22"/>
          <w:szCs w:val="22"/>
          <w:lang w:val="tr-TR"/>
        </w:rPr>
        <w:t xml:space="preserve"> işgücü piyasalarındaki ortalama ve ortanca ücret</w:t>
      </w:r>
      <w:r w:rsidR="00351938" w:rsidRPr="00E5747D">
        <w:rPr>
          <w:sz w:val="22"/>
          <w:szCs w:val="22"/>
          <w:lang w:val="tr-TR"/>
        </w:rPr>
        <w:t>l</w:t>
      </w:r>
      <w:r w:rsidRPr="00E5747D">
        <w:rPr>
          <w:sz w:val="22"/>
          <w:szCs w:val="22"/>
          <w:lang w:val="tr-TR"/>
        </w:rPr>
        <w:t>e</w:t>
      </w:r>
      <w:r w:rsidR="00351938" w:rsidRPr="00E5747D">
        <w:rPr>
          <w:sz w:val="22"/>
          <w:szCs w:val="22"/>
          <w:lang w:val="tr-TR"/>
        </w:rPr>
        <w:t>rin</w:t>
      </w:r>
      <w:r w:rsidR="00D6194C" w:rsidRPr="00E5747D">
        <w:rPr>
          <w:sz w:val="22"/>
          <w:szCs w:val="22"/>
          <w:lang w:val="tr-TR"/>
        </w:rPr>
        <w:t xml:space="preserve"> irdelenmesi önemlidir. </w:t>
      </w:r>
      <w:r w:rsidR="00D6194C" w:rsidRPr="00E5747D">
        <w:rPr>
          <w:sz w:val="22"/>
          <w:szCs w:val="22"/>
          <w:lang w:val="tr-TR"/>
        </w:rPr>
        <w:fldChar w:fldCharType="begin"/>
      </w:r>
      <w:r w:rsidR="00D6194C" w:rsidRPr="00E5747D">
        <w:rPr>
          <w:sz w:val="22"/>
          <w:szCs w:val="22"/>
          <w:lang w:val="tr-TR"/>
        </w:rPr>
        <w:instrText xml:space="preserve"> REF _Ref439625273 \h  \* MERGEFORMAT </w:instrText>
      </w:r>
      <w:r w:rsidR="00D6194C" w:rsidRPr="00E5747D">
        <w:rPr>
          <w:sz w:val="22"/>
          <w:szCs w:val="22"/>
          <w:lang w:val="tr-TR"/>
        </w:rPr>
      </w:r>
      <w:r w:rsidR="00D6194C" w:rsidRPr="00E5747D">
        <w:rPr>
          <w:sz w:val="22"/>
          <w:szCs w:val="22"/>
          <w:lang w:val="tr-TR"/>
        </w:rPr>
        <w:fldChar w:fldCharType="separate"/>
      </w:r>
      <w:r w:rsidR="00D6194C" w:rsidRPr="00E5747D">
        <w:rPr>
          <w:sz w:val="22"/>
          <w:szCs w:val="22"/>
          <w:lang w:val="tr-TR"/>
        </w:rPr>
        <w:t>Tablo 1</w:t>
      </w:r>
      <w:r w:rsidR="00D6194C" w:rsidRPr="00E5747D">
        <w:rPr>
          <w:sz w:val="22"/>
          <w:szCs w:val="22"/>
          <w:lang w:val="tr-TR"/>
        </w:rPr>
        <w:fldChar w:fldCharType="end"/>
      </w:r>
      <w:r w:rsidR="00D6194C" w:rsidRPr="00E5747D">
        <w:rPr>
          <w:sz w:val="22"/>
          <w:szCs w:val="22"/>
          <w:lang w:val="tr-TR"/>
        </w:rPr>
        <w:t>’</w:t>
      </w:r>
      <w:r w:rsidR="0050405D" w:rsidRPr="00E5747D">
        <w:rPr>
          <w:sz w:val="22"/>
          <w:szCs w:val="22"/>
          <w:lang w:val="tr-TR"/>
        </w:rPr>
        <w:t>in</w:t>
      </w:r>
      <w:r w:rsidR="00755C17" w:rsidRPr="00E5747D">
        <w:rPr>
          <w:sz w:val="22"/>
          <w:szCs w:val="22"/>
          <w:lang w:val="tr-TR"/>
        </w:rPr>
        <w:t xml:space="preserve"> ilk sütununda</w:t>
      </w:r>
      <w:r w:rsidR="002878EB" w:rsidRPr="00E5747D">
        <w:rPr>
          <w:sz w:val="22"/>
          <w:szCs w:val="22"/>
          <w:lang w:val="tr-TR"/>
        </w:rPr>
        <w:t xml:space="preserve"> 26 bölge için </w:t>
      </w:r>
      <w:r w:rsidR="0050405D" w:rsidRPr="00E5747D">
        <w:rPr>
          <w:sz w:val="22"/>
          <w:szCs w:val="22"/>
          <w:lang w:val="tr-TR"/>
        </w:rPr>
        <w:t xml:space="preserve">Kasım 2015 itibariyle </w:t>
      </w:r>
      <w:r w:rsidR="00755C17" w:rsidRPr="00E5747D">
        <w:rPr>
          <w:sz w:val="22"/>
          <w:szCs w:val="22"/>
          <w:lang w:val="tr-TR"/>
        </w:rPr>
        <w:t>mevcut</w:t>
      </w:r>
      <w:r w:rsidR="002878EB" w:rsidRPr="00E5747D">
        <w:rPr>
          <w:sz w:val="22"/>
          <w:szCs w:val="22"/>
          <w:lang w:val="tr-TR"/>
        </w:rPr>
        <w:t xml:space="preserve"> ortalama </w:t>
      </w:r>
      <w:r w:rsidR="00755C17" w:rsidRPr="00E5747D">
        <w:rPr>
          <w:sz w:val="22"/>
          <w:szCs w:val="22"/>
          <w:lang w:val="tr-TR"/>
        </w:rPr>
        <w:t>ücretler</w:t>
      </w:r>
      <w:r w:rsidR="002878EB" w:rsidRPr="00E5747D">
        <w:rPr>
          <w:sz w:val="22"/>
          <w:szCs w:val="22"/>
          <w:lang w:val="tr-TR"/>
        </w:rPr>
        <w:t xml:space="preserve"> verilmektedir. Kuşkusuz</w:t>
      </w:r>
      <w:r w:rsidR="008F070F" w:rsidRPr="00E5747D">
        <w:rPr>
          <w:sz w:val="22"/>
          <w:szCs w:val="22"/>
          <w:lang w:val="tr-TR"/>
        </w:rPr>
        <w:t>,</w:t>
      </w:r>
      <w:r w:rsidR="002878EB" w:rsidRPr="00E5747D">
        <w:rPr>
          <w:sz w:val="22"/>
          <w:szCs w:val="22"/>
          <w:lang w:val="tr-TR"/>
        </w:rPr>
        <w:t xml:space="preserve"> asgari ücret 1300 TL’ye çıktığında </w:t>
      </w:r>
      <w:r w:rsidR="00755C17" w:rsidRPr="00E5747D">
        <w:rPr>
          <w:sz w:val="22"/>
          <w:szCs w:val="22"/>
          <w:lang w:val="tr-TR"/>
        </w:rPr>
        <w:t>ortalama ücret değişecektir.</w:t>
      </w:r>
      <w:r w:rsidR="002878EB" w:rsidRPr="00E5747D">
        <w:rPr>
          <w:sz w:val="22"/>
          <w:szCs w:val="22"/>
          <w:lang w:val="tr-TR"/>
        </w:rPr>
        <w:t xml:space="preserve"> </w:t>
      </w:r>
      <w:r w:rsidR="00755C17" w:rsidRPr="00E5747D">
        <w:rPr>
          <w:sz w:val="22"/>
          <w:szCs w:val="22"/>
          <w:lang w:val="tr-TR"/>
        </w:rPr>
        <w:t>İkinci sütunda</w:t>
      </w:r>
      <w:r w:rsidR="00D6194C" w:rsidRPr="00E5747D">
        <w:rPr>
          <w:sz w:val="22"/>
          <w:szCs w:val="22"/>
          <w:lang w:val="tr-TR"/>
        </w:rPr>
        <w:t>,</w:t>
      </w:r>
      <w:r w:rsidR="00755C17" w:rsidRPr="00E5747D">
        <w:rPr>
          <w:sz w:val="22"/>
          <w:szCs w:val="22"/>
          <w:lang w:val="tr-TR"/>
        </w:rPr>
        <w:t xml:space="preserve"> </w:t>
      </w:r>
      <w:r w:rsidR="00351938" w:rsidRPr="00E5747D">
        <w:rPr>
          <w:sz w:val="22"/>
          <w:szCs w:val="22"/>
          <w:lang w:val="tr-TR"/>
        </w:rPr>
        <w:t xml:space="preserve">asgari ücretin 1300 TL’ye çıktığı ve 1300 TL’nin üstündeki ücretlerin değişmediği varsayımları altında ortalama ücretler verilmektedir. </w:t>
      </w:r>
      <w:r w:rsidR="00E4519A" w:rsidRPr="00E5747D">
        <w:rPr>
          <w:sz w:val="22"/>
          <w:szCs w:val="22"/>
          <w:lang w:val="tr-TR"/>
        </w:rPr>
        <w:t>Üçüncü sütunda</w:t>
      </w:r>
      <w:r w:rsidR="00D6194C" w:rsidRPr="00E5747D">
        <w:rPr>
          <w:sz w:val="22"/>
          <w:szCs w:val="22"/>
          <w:lang w:val="tr-TR"/>
        </w:rPr>
        <w:t>,</w:t>
      </w:r>
      <w:r w:rsidR="00E4519A" w:rsidRPr="00E5747D">
        <w:rPr>
          <w:sz w:val="22"/>
          <w:szCs w:val="22"/>
          <w:lang w:val="tr-TR"/>
        </w:rPr>
        <w:t xml:space="preserve"> asgari ücretin 1300 TL'ye </w:t>
      </w:r>
      <w:r w:rsidR="00E4519A" w:rsidRPr="00FA3C2C">
        <w:rPr>
          <w:sz w:val="22"/>
          <w:szCs w:val="22"/>
          <w:lang w:val="tr-TR"/>
        </w:rPr>
        <w:t xml:space="preserve">çıktığı durumda ortalama ücretlerdeki artış ve </w:t>
      </w:r>
      <w:r w:rsidR="00CA7715" w:rsidRPr="00FA3C2C">
        <w:rPr>
          <w:sz w:val="22"/>
          <w:szCs w:val="22"/>
          <w:lang w:val="tr-TR"/>
        </w:rPr>
        <w:t xml:space="preserve">dördüncü sütunda </w:t>
      </w:r>
      <w:r w:rsidR="00D6194C" w:rsidRPr="00FA3C2C">
        <w:rPr>
          <w:sz w:val="22"/>
          <w:szCs w:val="22"/>
          <w:lang w:val="tr-TR"/>
        </w:rPr>
        <w:t xml:space="preserve">ise </w:t>
      </w:r>
      <w:r w:rsidR="00E4519A" w:rsidRPr="00FA3C2C">
        <w:rPr>
          <w:sz w:val="22"/>
          <w:szCs w:val="22"/>
          <w:lang w:val="tr-TR"/>
        </w:rPr>
        <w:t xml:space="preserve">bu artışın yüzdesi hesaplanmıştır. </w:t>
      </w:r>
      <w:r w:rsidR="0050405D" w:rsidRPr="00FA3C2C">
        <w:rPr>
          <w:sz w:val="22"/>
          <w:szCs w:val="22"/>
          <w:lang w:val="tr-TR"/>
        </w:rPr>
        <w:t>Bu noktada bir kez daha</w:t>
      </w:r>
      <w:r w:rsidR="00D6194C" w:rsidRPr="00FA3C2C">
        <w:rPr>
          <w:sz w:val="22"/>
          <w:szCs w:val="22"/>
          <w:lang w:val="tr-TR"/>
        </w:rPr>
        <w:t>,</w:t>
      </w:r>
      <w:r w:rsidR="0050405D" w:rsidRPr="00FA3C2C">
        <w:rPr>
          <w:sz w:val="22"/>
          <w:szCs w:val="22"/>
          <w:lang w:val="tr-TR"/>
        </w:rPr>
        <w:t xml:space="preserve"> </w:t>
      </w:r>
      <w:r w:rsidR="00676C66" w:rsidRPr="00FA3C2C">
        <w:rPr>
          <w:sz w:val="22"/>
          <w:szCs w:val="22"/>
          <w:lang w:val="tr-TR"/>
        </w:rPr>
        <w:t>he</w:t>
      </w:r>
      <w:r w:rsidR="00A70DB0" w:rsidRPr="00FA3C2C">
        <w:rPr>
          <w:sz w:val="22"/>
          <w:szCs w:val="22"/>
          <w:lang w:val="tr-TR"/>
        </w:rPr>
        <w:t>s</w:t>
      </w:r>
      <w:r w:rsidR="00676C66" w:rsidRPr="00FA3C2C">
        <w:rPr>
          <w:sz w:val="22"/>
          <w:szCs w:val="22"/>
          <w:lang w:val="tr-TR"/>
        </w:rPr>
        <w:t>a</w:t>
      </w:r>
      <w:r w:rsidR="00A70DB0" w:rsidRPr="00FA3C2C">
        <w:rPr>
          <w:sz w:val="22"/>
          <w:szCs w:val="22"/>
          <w:lang w:val="tr-TR"/>
        </w:rPr>
        <w:t xml:space="preserve">planan </w:t>
      </w:r>
      <w:r w:rsidR="0050405D" w:rsidRPr="00FA3C2C">
        <w:rPr>
          <w:sz w:val="22"/>
          <w:szCs w:val="22"/>
          <w:lang w:val="tr-TR"/>
        </w:rPr>
        <w:t>artışların olabilecek en asgari düzeye işaret ettiğini belirtelim.</w:t>
      </w:r>
      <w:r w:rsidR="00FA3C2C" w:rsidRPr="00FA3C2C">
        <w:t xml:space="preserve"> </w:t>
      </w:r>
      <w:r w:rsidR="00FA3C2C" w:rsidRPr="00FA3C2C">
        <w:rPr>
          <w:sz w:val="22"/>
          <w:szCs w:val="22"/>
          <w:lang w:val="tr-TR"/>
        </w:rPr>
        <w:t>Yeni asgari ücretin üzerinde bulanan yakın ücretlerde de gecikmeyle de olsa artışlar meydana gelmesi kuvvetle muhtemeldir.</w:t>
      </w:r>
      <w:r w:rsidR="0050405D" w:rsidRPr="00FA3C2C">
        <w:rPr>
          <w:sz w:val="22"/>
          <w:szCs w:val="22"/>
          <w:lang w:val="tr-TR"/>
        </w:rPr>
        <w:t xml:space="preserve"> </w:t>
      </w:r>
    </w:p>
    <w:p w14:paraId="3CBB41CB" w14:textId="77777777" w:rsidR="00D6194C" w:rsidRPr="00E5747D" w:rsidRDefault="00D6194C" w:rsidP="00676C66">
      <w:pPr>
        <w:pStyle w:val="Caption"/>
        <w:keepNext/>
        <w:tabs>
          <w:tab w:val="left" w:pos="1236"/>
        </w:tabs>
        <w:rPr>
          <w:b/>
          <w:i w:val="0"/>
          <w:color w:val="auto"/>
          <w:sz w:val="22"/>
          <w:szCs w:val="22"/>
          <w:lang w:val="tr-TR"/>
        </w:rPr>
      </w:pPr>
      <w:bookmarkStart w:id="1" w:name="_Ref439625273"/>
    </w:p>
    <w:p w14:paraId="76D7D459" w14:textId="77777777" w:rsidR="00676C66" w:rsidRPr="00E5747D" w:rsidRDefault="00676C66" w:rsidP="00676C66">
      <w:pPr>
        <w:pStyle w:val="Caption"/>
        <w:keepNext/>
        <w:tabs>
          <w:tab w:val="left" w:pos="1236"/>
        </w:tabs>
        <w:rPr>
          <w:b/>
          <w:i w:val="0"/>
          <w:color w:val="auto"/>
          <w:sz w:val="22"/>
          <w:szCs w:val="22"/>
          <w:lang w:val="tr-TR"/>
        </w:rPr>
      </w:pPr>
      <w:bookmarkStart w:id="2" w:name="_Ref439626094"/>
      <w:r w:rsidRPr="00E5747D">
        <w:rPr>
          <w:b/>
          <w:i w:val="0"/>
          <w:color w:val="auto"/>
          <w:sz w:val="22"/>
          <w:szCs w:val="22"/>
          <w:lang w:val="tr-TR"/>
        </w:rPr>
        <w:t xml:space="preserve">Tablo </w:t>
      </w:r>
      <w:r w:rsidRPr="00E5747D">
        <w:rPr>
          <w:b/>
          <w:i w:val="0"/>
          <w:color w:val="auto"/>
          <w:sz w:val="22"/>
          <w:szCs w:val="22"/>
          <w:lang w:val="tr-TR"/>
        </w:rPr>
        <w:fldChar w:fldCharType="begin"/>
      </w:r>
      <w:r w:rsidRPr="00E5747D">
        <w:rPr>
          <w:b/>
          <w:i w:val="0"/>
          <w:color w:val="auto"/>
          <w:sz w:val="22"/>
          <w:szCs w:val="22"/>
          <w:lang w:val="tr-TR"/>
        </w:rPr>
        <w:instrText xml:space="preserve"> SEQ Tablo \* ARABIC </w:instrText>
      </w:r>
      <w:r w:rsidRPr="00E5747D">
        <w:rPr>
          <w:b/>
          <w:i w:val="0"/>
          <w:color w:val="auto"/>
          <w:sz w:val="22"/>
          <w:szCs w:val="22"/>
          <w:lang w:val="tr-TR"/>
        </w:rPr>
        <w:fldChar w:fldCharType="separate"/>
      </w:r>
      <w:r w:rsidR="00E5747D" w:rsidRPr="00E5747D">
        <w:rPr>
          <w:b/>
          <w:i w:val="0"/>
          <w:noProof/>
          <w:color w:val="auto"/>
          <w:sz w:val="22"/>
          <w:szCs w:val="22"/>
          <w:lang w:val="tr-TR"/>
        </w:rPr>
        <w:t>1</w:t>
      </w:r>
      <w:r w:rsidRPr="00E5747D">
        <w:rPr>
          <w:b/>
          <w:i w:val="0"/>
          <w:color w:val="auto"/>
          <w:sz w:val="22"/>
          <w:szCs w:val="22"/>
          <w:lang w:val="tr-TR"/>
        </w:rPr>
        <w:fldChar w:fldCharType="end"/>
      </w:r>
      <w:bookmarkEnd w:id="1"/>
      <w:bookmarkEnd w:id="2"/>
      <w:r w:rsidR="00D6194C" w:rsidRPr="00E5747D">
        <w:rPr>
          <w:b/>
          <w:i w:val="0"/>
          <w:color w:val="auto"/>
          <w:sz w:val="22"/>
          <w:szCs w:val="22"/>
          <w:lang w:val="tr-TR"/>
        </w:rPr>
        <w:t xml:space="preserve"> Asgari ücret artışının bölgesel ortalama ücretlere etkileri</w:t>
      </w:r>
    </w:p>
    <w:tbl>
      <w:tblPr>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3544"/>
        <w:gridCol w:w="1134"/>
        <w:gridCol w:w="1559"/>
        <w:gridCol w:w="1418"/>
        <w:gridCol w:w="1417"/>
      </w:tblGrid>
      <w:tr w:rsidR="003A4542" w:rsidRPr="00E5747D" w14:paraId="15896B8D" w14:textId="77777777" w:rsidTr="006E238C">
        <w:trPr>
          <w:trHeight w:val="315"/>
        </w:trPr>
        <w:tc>
          <w:tcPr>
            <w:tcW w:w="3544" w:type="dxa"/>
            <w:shd w:val="clear" w:color="auto" w:fill="auto"/>
            <w:noWrap/>
            <w:vAlign w:val="bottom"/>
            <w:hideMark/>
          </w:tcPr>
          <w:p w14:paraId="50FA3EBC" w14:textId="77777777" w:rsidR="003A4542" w:rsidRPr="00E5747D" w:rsidRDefault="003A4542" w:rsidP="00B17072">
            <w:pPr>
              <w:spacing w:line="276" w:lineRule="auto"/>
              <w:rPr>
                <w:sz w:val="22"/>
                <w:szCs w:val="22"/>
                <w:lang w:val="tr-TR"/>
              </w:rPr>
            </w:pPr>
          </w:p>
        </w:tc>
        <w:tc>
          <w:tcPr>
            <w:tcW w:w="1134" w:type="dxa"/>
            <w:shd w:val="clear" w:color="auto" w:fill="auto"/>
            <w:noWrap/>
            <w:vAlign w:val="bottom"/>
            <w:hideMark/>
          </w:tcPr>
          <w:p w14:paraId="2B459B6C" w14:textId="77777777" w:rsidR="003A4542" w:rsidRPr="00E5747D" w:rsidRDefault="003A4542" w:rsidP="00487474">
            <w:pPr>
              <w:spacing w:line="276" w:lineRule="auto"/>
              <w:jc w:val="right"/>
              <w:rPr>
                <w:b/>
                <w:sz w:val="22"/>
                <w:szCs w:val="22"/>
                <w:lang w:val="tr-TR"/>
              </w:rPr>
            </w:pPr>
            <w:r w:rsidRPr="00E5747D">
              <w:rPr>
                <w:b/>
                <w:sz w:val="22"/>
                <w:szCs w:val="22"/>
                <w:lang w:val="tr-TR"/>
              </w:rPr>
              <w:t>Ortalama</w:t>
            </w:r>
            <w:r w:rsidR="008917E1" w:rsidRPr="00E5747D">
              <w:rPr>
                <w:b/>
                <w:sz w:val="22"/>
                <w:szCs w:val="22"/>
                <w:lang w:val="tr-TR"/>
              </w:rPr>
              <w:t xml:space="preserve"> ücret</w:t>
            </w:r>
            <w:r w:rsidR="00487474" w:rsidRPr="00E5747D">
              <w:rPr>
                <w:b/>
                <w:sz w:val="22"/>
                <w:szCs w:val="22"/>
                <w:lang w:val="tr-TR"/>
              </w:rPr>
              <w:t>(TL)</w:t>
            </w:r>
          </w:p>
        </w:tc>
        <w:tc>
          <w:tcPr>
            <w:tcW w:w="1559" w:type="dxa"/>
            <w:shd w:val="clear" w:color="auto" w:fill="auto"/>
            <w:noWrap/>
            <w:vAlign w:val="bottom"/>
            <w:hideMark/>
          </w:tcPr>
          <w:p w14:paraId="28685202" w14:textId="77777777" w:rsidR="003A4542" w:rsidRPr="00E5747D" w:rsidRDefault="003A4542" w:rsidP="00487474">
            <w:pPr>
              <w:spacing w:line="276" w:lineRule="auto"/>
              <w:jc w:val="right"/>
              <w:rPr>
                <w:b/>
                <w:sz w:val="22"/>
                <w:szCs w:val="22"/>
                <w:lang w:val="tr-TR"/>
              </w:rPr>
            </w:pPr>
            <w:r w:rsidRPr="00E5747D">
              <w:rPr>
                <w:b/>
                <w:sz w:val="22"/>
                <w:szCs w:val="22"/>
                <w:lang w:val="tr-TR"/>
              </w:rPr>
              <w:t>1300 TL asgari ücret ile ortalama</w:t>
            </w:r>
            <w:r w:rsidR="00D437BF" w:rsidRPr="00E5747D">
              <w:rPr>
                <w:b/>
                <w:sz w:val="22"/>
                <w:szCs w:val="22"/>
                <w:lang w:val="tr-TR"/>
              </w:rPr>
              <w:t xml:space="preserve"> ücret</w:t>
            </w:r>
            <w:r w:rsidR="00487474" w:rsidRPr="00E5747D">
              <w:rPr>
                <w:b/>
                <w:sz w:val="22"/>
                <w:szCs w:val="22"/>
                <w:lang w:val="tr-TR"/>
              </w:rPr>
              <w:t>(TL)</w:t>
            </w:r>
          </w:p>
        </w:tc>
        <w:tc>
          <w:tcPr>
            <w:tcW w:w="1418" w:type="dxa"/>
            <w:shd w:val="clear" w:color="auto" w:fill="auto"/>
            <w:noWrap/>
            <w:vAlign w:val="bottom"/>
            <w:hideMark/>
          </w:tcPr>
          <w:p w14:paraId="451ECD0D" w14:textId="77777777" w:rsidR="003A4542" w:rsidRPr="00E5747D" w:rsidRDefault="003A4542" w:rsidP="00487474">
            <w:pPr>
              <w:spacing w:line="276" w:lineRule="auto"/>
              <w:jc w:val="right"/>
              <w:rPr>
                <w:b/>
                <w:sz w:val="22"/>
                <w:szCs w:val="22"/>
                <w:lang w:val="tr-TR"/>
              </w:rPr>
            </w:pPr>
            <w:r w:rsidRPr="00E5747D">
              <w:rPr>
                <w:b/>
                <w:sz w:val="22"/>
                <w:szCs w:val="22"/>
                <w:lang w:val="tr-TR"/>
              </w:rPr>
              <w:t>Ortalama ücretteki artış</w:t>
            </w:r>
            <w:r w:rsidR="00487474" w:rsidRPr="00E5747D">
              <w:rPr>
                <w:b/>
                <w:sz w:val="22"/>
                <w:szCs w:val="22"/>
                <w:lang w:val="tr-TR"/>
              </w:rPr>
              <w:t>(TL)</w:t>
            </w:r>
          </w:p>
        </w:tc>
        <w:tc>
          <w:tcPr>
            <w:tcW w:w="1417" w:type="dxa"/>
            <w:shd w:val="clear" w:color="auto" w:fill="auto"/>
            <w:noWrap/>
            <w:vAlign w:val="bottom"/>
            <w:hideMark/>
          </w:tcPr>
          <w:p w14:paraId="49AD39A6" w14:textId="77777777" w:rsidR="003A4542" w:rsidRPr="00E5747D" w:rsidRDefault="003A4542" w:rsidP="00487474">
            <w:pPr>
              <w:spacing w:line="276" w:lineRule="auto"/>
              <w:jc w:val="right"/>
              <w:rPr>
                <w:b/>
                <w:sz w:val="22"/>
                <w:szCs w:val="22"/>
                <w:lang w:val="tr-TR"/>
              </w:rPr>
            </w:pPr>
            <w:r w:rsidRPr="00E5747D">
              <w:rPr>
                <w:b/>
                <w:sz w:val="22"/>
                <w:szCs w:val="22"/>
                <w:lang w:val="tr-TR"/>
              </w:rPr>
              <w:t>Ortalama ücretteki artış</w:t>
            </w:r>
            <w:r w:rsidR="00487474" w:rsidRPr="00E5747D">
              <w:rPr>
                <w:b/>
                <w:sz w:val="22"/>
                <w:szCs w:val="22"/>
                <w:lang w:val="tr-TR"/>
              </w:rPr>
              <w:t>(%)</w:t>
            </w:r>
            <w:r w:rsidRPr="00E5747D">
              <w:rPr>
                <w:b/>
                <w:sz w:val="22"/>
                <w:szCs w:val="22"/>
                <w:lang w:val="tr-TR"/>
              </w:rPr>
              <w:t xml:space="preserve"> </w:t>
            </w:r>
          </w:p>
        </w:tc>
      </w:tr>
      <w:tr w:rsidR="008F070F" w:rsidRPr="00E5747D" w14:paraId="16E1EB73" w14:textId="77777777" w:rsidTr="006E238C">
        <w:trPr>
          <w:trHeight w:val="315"/>
        </w:trPr>
        <w:tc>
          <w:tcPr>
            <w:tcW w:w="3544" w:type="dxa"/>
            <w:shd w:val="clear" w:color="auto" w:fill="auto"/>
            <w:noWrap/>
            <w:hideMark/>
          </w:tcPr>
          <w:p w14:paraId="53EFB652" w14:textId="77777777" w:rsidR="008F070F" w:rsidRPr="00E5747D" w:rsidRDefault="008F070F" w:rsidP="008F070F">
            <w:pPr>
              <w:spacing w:line="276" w:lineRule="auto"/>
              <w:rPr>
                <w:b/>
                <w:sz w:val="22"/>
                <w:szCs w:val="22"/>
                <w:lang w:val="tr-TR"/>
              </w:rPr>
            </w:pPr>
            <w:r w:rsidRPr="00E5747D">
              <w:rPr>
                <w:b/>
                <w:sz w:val="22"/>
                <w:szCs w:val="22"/>
                <w:lang w:val="tr-TR"/>
              </w:rPr>
              <w:t>İstanbul (İstanbul)</w:t>
            </w:r>
          </w:p>
        </w:tc>
        <w:tc>
          <w:tcPr>
            <w:tcW w:w="1134" w:type="dxa"/>
            <w:shd w:val="clear" w:color="auto" w:fill="auto"/>
            <w:noWrap/>
            <w:vAlign w:val="bottom"/>
            <w:hideMark/>
          </w:tcPr>
          <w:p w14:paraId="2E32472D" w14:textId="77777777" w:rsidR="008F070F" w:rsidRPr="00E5747D" w:rsidRDefault="008F070F" w:rsidP="008F070F">
            <w:pPr>
              <w:spacing w:line="276" w:lineRule="auto"/>
              <w:jc w:val="right"/>
              <w:rPr>
                <w:sz w:val="22"/>
                <w:szCs w:val="22"/>
                <w:lang w:val="tr-TR"/>
              </w:rPr>
            </w:pPr>
            <w:r w:rsidRPr="00E5747D">
              <w:rPr>
                <w:sz w:val="22"/>
                <w:szCs w:val="22"/>
                <w:lang w:val="tr-TR"/>
              </w:rPr>
              <w:t>1.935</w:t>
            </w:r>
          </w:p>
        </w:tc>
        <w:tc>
          <w:tcPr>
            <w:tcW w:w="1559" w:type="dxa"/>
            <w:shd w:val="clear" w:color="auto" w:fill="auto"/>
            <w:noWrap/>
            <w:vAlign w:val="bottom"/>
            <w:hideMark/>
          </w:tcPr>
          <w:p w14:paraId="59E14597" w14:textId="77777777" w:rsidR="008F070F" w:rsidRPr="00E5747D" w:rsidRDefault="008F070F" w:rsidP="008F070F">
            <w:pPr>
              <w:spacing w:line="276" w:lineRule="auto"/>
              <w:jc w:val="right"/>
              <w:rPr>
                <w:sz w:val="22"/>
                <w:szCs w:val="22"/>
                <w:lang w:val="tr-TR"/>
              </w:rPr>
            </w:pPr>
            <w:r w:rsidRPr="00E5747D">
              <w:rPr>
                <w:sz w:val="22"/>
                <w:szCs w:val="22"/>
                <w:lang w:val="tr-TR"/>
              </w:rPr>
              <w:t>2.031</w:t>
            </w:r>
          </w:p>
        </w:tc>
        <w:tc>
          <w:tcPr>
            <w:tcW w:w="1418" w:type="dxa"/>
            <w:shd w:val="clear" w:color="auto" w:fill="auto"/>
            <w:noWrap/>
            <w:vAlign w:val="bottom"/>
            <w:hideMark/>
          </w:tcPr>
          <w:p w14:paraId="32378D32" w14:textId="77777777" w:rsidR="008F070F" w:rsidRPr="00E5747D" w:rsidRDefault="008F070F" w:rsidP="008F070F">
            <w:pPr>
              <w:spacing w:line="276" w:lineRule="auto"/>
              <w:jc w:val="right"/>
              <w:rPr>
                <w:sz w:val="22"/>
                <w:szCs w:val="22"/>
                <w:lang w:val="tr-TR"/>
              </w:rPr>
            </w:pPr>
            <w:r w:rsidRPr="00E5747D">
              <w:rPr>
                <w:sz w:val="22"/>
                <w:szCs w:val="22"/>
                <w:lang w:val="tr-TR"/>
              </w:rPr>
              <w:t>96</w:t>
            </w:r>
          </w:p>
        </w:tc>
        <w:tc>
          <w:tcPr>
            <w:tcW w:w="1417" w:type="dxa"/>
            <w:shd w:val="clear" w:color="auto" w:fill="auto"/>
            <w:noWrap/>
            <w:vAlign w:val="bottom"/>
            <w:hideMark/>
          </w:tcPr>
          <w:p w14:paraId="18307AC1" w14:textId="77777777" w:rsidR="008F070F" w:rsidRPr="00E5747D" w:rsidRDefault="008F070F" w:rsidP="008F070F">
            <w:pPr>
              <w:spacing w:line="276" w:lineRule="auto"/>
              <w:jc w:val="right"/>
              <w:rPr>
                <w:sz w:val="22"/>
                <w:szCs w:val="22"/>
                <w:lang w:val="tr-TR"/>
              </w:rPr>
            </w:pPr>
            <w:r w:rsidRPr="00E5747D">
              <w:rPr>
                <w:sz w:val="22"/>
                <w:szCs w:val="22"/>
                <w:lang w:val="tr-TR"/>
              </w:rPr>
              <w:t>5,0</w:t>
            </w:r>
          </w:p>
        </w:tc>
      </w:tr>
      <w:tr w:rsidR="008F070F" w:rsidRPr="00E5747D" w14:paraId="58915D4A" w14:textId="77777777" w:rsidTr="006E238C">
        <w:trPr>
          <w:trHeight w:val="315"/>
        </w:trPr>
        <w:tc>
          <w:tcPr>
            <w:tcW w:w="3544" w:type="dxa"/>
            <w:shd w:val="clear" w:color="auto" w:fill="auto"/>
            <w:noWrap/>
            <w:hideMark/>
          </w:tcPr>
          <w:p w14:paraId="74124A21" w14:textId="77777777" w:rsidR="008F070F" w:rsidRPr="00E5747D" w:rsidRDefault="008F070F" w:rsidP="008F070F">
            <w:pPr>
              <w:spacing w:line="276" w:lineRule="auto"/>
              <w:rPr>
                <w:b/>
                <w:sz w:val="22"/>
                <w:szCs w:val="22"/>
                <w:lang w:val="tr-TR"/>
              </w:rPr>
            </w:pPr>
            <w:r w:rsidRPr="00E5747D">
              <w:rPr>
                <w:b/>
                <w:sz w:val="22"/>
                <w:szCs w:val="22"/>
                <w:lang w:val="tr-TR"/>
              </w:rPr>
              <w:t>Tekirdağ (Edirne-Tekirdağ-Kırklareli)</w:t>
            </w:r>
          </w:p>
        </w:tc>
        <w:tc>
          <w:tcPr>
            <w:tcW w:w="1134" w:type="dxa"/>
            <w:shd w:val="clear" w:color="auto" w:fill="auto"/>
            <w:noWrap/>
            <w:vAlign w:val="bottom"/>
            <w:hideMark/>
          </w:tcPr>
          <w:p w14:paraId="7CB2CC65" w14:textId="77777777" w:rsidR="008F070F" w:rsidRPr="00E5747D" w:rsidRDefault="008F070F" w:rsidP="008F070F">
            <w:pPr>
              <w:spacing w:line="276" w:lineRule="auto"/>
              <w:jc w:val="right"/>
              <w:rPr>
                <w:sz w:val="22"/>
                <w:szCs w:val="22"/>
                <w:lang w:val="tr-TR"/>
              </w:rPr>
            </w:pPr>
            <w:r w:rsidRPr="00E5747D">
              <w:rPr>
                <w:sz w:val="22"/>
                <w:szCs w:val="22"/>
                <w:lang w:val="tr-TR"/>
              </w:rPr>
              <w:t>1.385</w:t>
            </w:r>
          </w:p>
        </w:tc>
        <w:tc>
          <w:tcPr>
            <w:tcW w:w="1559" w:type="dxa"/>
            <w:shd w:val="clear" w:color="auto" w:fill="auto"/>
            <w:noWrap/>
            <w:vAlign w:val="bottom"/>
            <w:hideMark/>
          </w:tcPr>
          <w:p w14:paraId="72583AFF" w14:textId="77777777" w:rsidR="008F070F" w:rsidRPr="00E5747D" w:rsidRDefault="008F070F" w:rsidP="008F070F">
            <w:pPr>
              <w:spacing w:line="276" w:lineRule="auto"/>
              <w:jc w:val="right"/>
              <w:rPr>
                <w:sz w:val="22"/>
                <w:szCs w:val="22"/>
                <w:lang w:val="tr-TR"/>
              </w:rPr>
            </w:pPr>
            <w:r w:rsidRPr="00E5747D">
              <w:rPr>
                <w:sz w:val="22"/>
                <w:szCs w:val="22"/>
                <w:lang w:val="tr-TR"/>
              </w:rPr>
              <w:t>1.564</w:t>
            </w:r>
          </w:p>
        </w:tc>
        <w:tc>
          <w:tcPr>
            <w:tcW w:w="1418" w:type="dxa"/>
            <w:shd w:val="clear" w:color="auto" w:fill="auto"/>
            <w:noWrap/>
            <w:vAlign w:val="bottom"/>
            <w:hideMark/>
          </w:tcPr>
          <w:p w14:paraId="3DDC2FAA" w14:textId="77777777" w:rsidR="008F070F" w:rsidRPr="00E5747D" w:rsidRDefault="008F070F" w:rsidP="008F070F">
            <w:pPr>
              <w:spacing w:line="276" w:lineRule="auto"/>
              <w:jc w:val="right"/>
              <w:rPr>
                <w:sz w:val="22"/>
                <w:szCs w:val="22"/>
                <w:lang w:val="tr-TR"/>
              </w:rPr>
            </w:pPr>
            <w:r w:rsidRPr="00E5747D">
              <w:rPr>
                <w:sz w:val="22"/>
                <w:szCs w:val="22"/>
                <w:lang w:val="tr-TR"/>
              </w:rPr>
              <w:t>179</w:t>
            </w:r>
          </w:p>
        </w:tc>
        <w:tc>
          <w:tcPr>
            <w:tcW w:w="1417" w:type="dxa"/>
            <w:shd w:val="clear" w:color="auto" w:fill="auto"/>
            <w:noWrap/>
            <w:vAlign w:val="bottom"/>
            <w:hideMark/>
          </w:tcPr>
          <w:p w14:paraId="431D5D4E" w14:textId="77777777" w:rsidR="008F070F" w:rsidRPr="00E5747D" w:rsidRDefault="008F070F" w:rsidP="008F070F">
            <w:pPr>
              <w:spacing w:line="276" w:lineRule="auto"/>
              <w:jc w:val="right"/>
              <w:rPr>
                <w:sz w:val="22"/>
                <w:szCs w:val="22"/>
                <w:lang w:val="tr-TR"/>
              </w:rPr>
            </w:pPr>
            <w:r w:rsidRPr="00E5747D">
              <w:rPr>
                <w:sz w:val="22"/>
                <w:szCs w:val="22"/>
                <w:lang w:val="tr-TR"/>
              </w:rPr>
              <w:t>12,9</w:t>
            </w:r>
          </w:p>
        </w:tc>
      </w:tr>
      <w:tr w:rsidR="008F070F" w:rsidRPr="00E5747D" w14:paraId="5FEB17FE" w14:textId="77777777" w:rsidTr="006E238C">
        <w:trPr>
          <w:trHeight w:val="315"/>
        </w:trPr>
        <w:tc>
          <w:tcPr>
            <w:tcW w:w="3544" w:type="dxa"/>
            <w:shd w:val="clear" w:color="auto" w:fill="auto"/>
            <w:noWrap/>
            <w:hideMark/>
          </w:tcPr>
          <w:p w14:paraId="5BB4C58F" w14:textId="77777777" w:rsidR="008F070F" w:rsidRPr="00E5747D" w:rsidRDefault="008F070F" w:rsidP="008F070F">
            <w:pPr>
              <w:spacing w:line="276" w:lineRule="auto"/>
              <w:rPr>
                <w:b/>
                <w:sz w:val="22"/>
                <w:szCs w:val="22"/>
                <w:lang w:val="tr-TR"/>
              </w:rPr>
            </w:pPr>
            <w:r w:rsidRPr="00E5747D">
              <w:rPr>
                <w:b/>
                <w:sz w:val="22"/>
                <w:szCs w:val="22"/>
                <w:lang w:val="tr-TR"/>
              </w:rPr>
              <w:t>Balıkesir (Balıkesir-Çanakkale)</w:t>
            </w:r>
          </w:p>
        </w:tc>
        <w:tc>
          <w:tcPr>
            <w:tcW w:w="1134" w:type="dxa"/>
            <w:shd w:val="clear" w:color="auto" w:fill="auto"/>
            <w:noWrap/>
            <w:vAlign w:val="bottom"/>
            <w:hideMark/>
          </w:tcPr>
          <w:p w14:paraId="410BEB72" w14:textId="77777777" w:rsidR="008F070F" w:rsidRPr="00E5747D" w:rsidRDefault="008F070F" w:rsidP="008F070F">
            <w:pPr>
              <w:spacing w:line="276" w:lineRule="auto"/>
              <w:jc w:val="right"/>
              <w:rPr>
                <w:sz w:val="22"/>
                <w:szCs w:val="22"/>
                <w:lang w:val="tr-TR"/>
              </w:rPr>
            </w:pPr>
            <w:r w:rsidRPr="00E5747D">
              <w:rPr>
                <w:sz w:val="22"/>
                <w:szCs w:val="22"/>
                <w:lang w:val="tr-TR"/>
              </w:rPr>
              <w:t>1.316</w:t>
            </w:r>
          </w:p>
        </w:tc>
        <w:tc>
          <w:tcPr>
            <w:tcW w:w="1559" w:type="dxa"/>
            <w:shd w:val="clear" w:color="auto" w:fill="auto"/>
            <w:noWrap/>
            <w:vAlign w:val="bottom"/>
            <w:hideMark/>
          </w:tcPr>
          <w:p w14:paraId="01544EDB" w14:textId="77777777" w:rsidR="008F070F" w:rsidRPr="00E5747D" w:rsidRDefault="008F070F" w:rsidP="008F070F">
            <w:pPr>
              <w:spacing w:line="276" w:lineRule="auto"/>
              <w:jc w:val="right"/>
              <w:rPr>
                <w:sz w:val="22"/>
                <w:szCs w:val="22"/>
                <w:lang w:val="tr-TR"/>
              </w:rPr>
            </w:pPr>
            <w:r w:rsidRPr="00E5747D">
              <w:rPr>
                <w:sz w:val="22"/>
                <w:szCs w:val="22"/>
                <w:lang w:val="tr-TR"/>
              </w:rPr>
              <w:t>1.518</w:t>
            </w:r>
          </w:p>
        </w:tc>
        <w:tc>
          <w:tcPr>
            <w:tcW w:w="1418" w:type="dxa"/>
            <w:shd w:val="clear" w:color="auto" w:fill="auto"/>
            <w:noWrap/>
            <w:vAlign w:val="bottom"/>
            <w:hideMark/>
          </w:tcPr>
          <w:p w14:paraId="1A61E441" w14:textId="77777777" w:rsidR="008F070F" w:rsidRPr="00E5747D" w:rsidRDefault="008F070F" w:rsidP="008F070F">
            <w:pPr>
              <w:spacing w:line="276" w:lineRule="auto"/>
              <w:jc w:val="right"/>
              <w:rPr>
                <w:sz w:val="22"/>
                <w:szCs w:val="22"/>
                <w:lang w:val="tr-TR"/>
              </w:rPr>
            </w:pPr>
            <w:r w:rsidRPr="00E5747D">
              <w:rPr>
                <w:sz w:val="22"/>
                <w:szCs w:val="22"/>
                <w:lang w:val="tr-TR"/>
              </w:rPr>
              <w:t>202</w:t>
            </w:r>
          </w:p>
        </w:tc>
        <w:tc>
          <w:tcPr>
            <w:tcW w:w="1417" w:type="dxa"/>
            <w:shd w:val="clear" w:color="auto" w:fill="auto"/>
            <w:noWrap/>
            <w:vAlign w:val="bottom"/>
            <w:hideMark/>
          </w:tcPr>
          <w:p w14:paraId="387E4A09" w14:textId="77777777" w:rsidR="008F070F" w:rsidRPr="00E5747D" w:rsidRDefault="008F070F" w:rsidP="008F070F">
            <w:pPr>
              <w:spacing w:line="276" w:lineRule="auto"/>
              <w:jc w:val="right"/>
              <w:rPr>
                <w:sz w:val="22"/>
                <w:szCs w:val="22"/>
                <w:lang w:val="tr-TR"/>
              </w:rPr>
            </w:pPr>
            <w:r w:rsidRPr="00E5747D">
              <w:rPr>
                <w:sz w:val="22"/>
                <w:szCs w:val="22"/>
                <w:lang w:val="tr-TR"/>
              </w:rPr>
              <w:t>15,3</w:t>
            </w:r>
          </w:p>
        </w:tc>
      </w:tr>
      <w:tr w:rsidR="008F070F" w:rsidRPr="00E5747D" w14:paraId="30E69C79" w14:textId="77777777" w:rsidTr="006E238C">
        <w:trPr>
          <w:trHeight w:val="315"/>
        </w:trPr>
        <w:tc>
          <w:tcPr>
            <w:tcW w:w="3544" w:type="dxa"/>
            <w:shd w:val="clear" w:color="auto" w:fill="auto"/>
            <w:noWrap/>
            <w:hideMark/>
          </w:tcPr>
          <w:p w14:paraId="59044FD3" w14:textId="77777777" w:rsidR="008F070F" w:rsidRPr="00E5747D" w:rsidRDefault="008F070F" w:rsidP="008F070F">
            <w:pPr>
              <w:spacing w:line="276" w:lineRule="auto"/>
              <w:rPr>
                <w:b/>
                <w:sz w:val="22"/>
                <w:szCs w:val="22"/>
                <w:lang w:val="tr-TR"/>
              </w:rPr>
            </w:pPr>
            <w:r w:rsidRPr="00E5747D">
              <w:rPr>
                <w:b/>
                <w:sz w:val="22"/>
                <w:szCs w:val="22"/>
                <w:lang w:val="tr-TR"/>
              </w:rPr>
              <w:t>İzmir (İzmir)</w:t>
            </w:r>
          </w:p>
        </w:tc>
        <w:tc>
          <w:tcPr>
            <w:tcW w:w="1134" w:type="dxa"/>
            <w:shd w:val="clear" w:color="auto" w:fill="auto"/>
            <w:noWrap/>
            <w:vAlign w:val="bottom"/>
            <w:hideMark/>
          </w:tcPr>
          <w:p w14:paraId="157748B7" w14:textId="77777777" w:rsidR="008F070F" w:rsidRPr="00E5747D" w:rsidRDefault="008F070F" w:rsidP="008F070F">
            <w:pPr>
              <w:spacing w:line="276" w:lineRule="auto"/>
              <w:jc w:val="right"/>
              <w:rPr>
                <w:sz w:val="22"/>
                <w:szCs w:val="22"/>
                <w:lang w:val="tr-TR"/>
              </w:rPr>
            </w:pPr>
            <w:r w:rsidRPr="00E5747D">
              <w:rPr>
                <w:sz w:val="22"/>
                <w:szCs w:val="22"/>
                <w:lang w:val="tr-TR"/>
              </w:rPr>
              <w:t>1.564</w:t>
            </w:r>
          </w:p>
        </w:tc>
        <w:tc>
          <w:tcPr>
            <w:tcW w:w="1559" w:type="dxa"/>
            <w:shd w:val="clear" w:color="auto" w:fill="auto"/>
            <w:noWrap/>
            <w:vAlign w:val="bottom"/>
            <w:hideMark/>
          </w:tcPr>
          <w:p w14:paraId="1C2D6003" w14:textId="77777777" w:rsidR="008F070F" w:rsidRPr="00E5747D" w:rsidRDefault="008F070F" w:rsidP="008F070F">
            <w:pPr>
              <w:spacing w:line="276" w:lineRule="auto"/>
              <w:jc w:val="right"/>
              <w:rPr>
                <w:sz w:val="22"/>
                <w:szCs w:val="22"/>
                <w:lang w:val="tr-TR"/>
              </w:rPr>
            </w:pPr>
            <w:r w:rsidRPr="00E5747D">
              <w:rPr>
                <w:sz w:val="22"/>
                <w:szCs w:val="22"/>
                <w:lang w:val="tr-TR"/>
              </w:rPr>
              <w:t>1.720</w:t>
            </w:r>
          </w:p>
        </w:tc>
        <w:tc>
          <w:tcPr>
            <w:tcW w:w="1418" w:type="dxa"/>
            <w:shd w:val="clear" w:color="auto" w:fill="auto"/>
            <w:noWrap/>
            <w:vAlign w:val="bottom"/>
            <w:hideMark/>
          </w:tcPr>
          <w:p w14:paraId="13C90A2A" w14:textId="77777777" w:rsidR="008F070F" w:rsidRPr="00E5747D" w:rsidRDefault="008F070F" w:rsidP="008F070F">
            <w:pPr>
              <w:spacing w:line="276" w:lineRule="auto"/>
              <w:jc w:val="right"/>
              <w:rPr>
                <w:sz w:val="22"/>
                <w:szCs w:val="22"/>
                <w:lang w:val="tr-TR"/>
              </w:rPr>
            </w:pPr>
            <w:r w:rsidRPr="00E5747D">
              <w:rPr>
                <w:sz w:val="22"/>
                <w:szCs w:val="22"/>
                <w:lang w:val="tr-TR"/>
              </w:rPr>
              <w:t>156</w:t>
            </w:r>
          </w:p>
        </w:tc>
        <w:tc>
          <w:tcPr>
            <w:tcW w:w="1417" w:type="dxa"/>
            <w:shd w:val="clear" w:color="auto" w:fill="auto"/>
            <w:noWrap/>
            <w:vAlign w:val="bottom"/>
            <w:hideMark/>
          </w:tcPr>
          <w:p w14:paraId="2297B424" w14:textId="77777777" w:rsidR="008F070F" w:rsidRPr="00E5747D" w:rsidRDefault="008F070F" w:rsidP="008F070F">
            <w:pPr>
              <w:spacing w:line="276" w:lineRule="auto"/>
              <w:jc w:val="right"/>
              <w:rPr>
                <w:sz w:val="22"/>
                <w:szCs w:val="22"/>
                <w:lang w:val="tr-TR"/>
              </w:rPr>
            </w:pPr>
            <w:r w:rsidRPr="00E5747D">
              <w:rPr>
                <w:sz w:val="22"/>
                <w:szCs w:val="22"/>
                <w:lang w:val="tr-TR"/>
              </w:rPr>
              <w:t>10,0</w:t>
            </w:r>
          </w:p>
        </w:tc>
      </w:tr>
      <w:tr w:rsidR="008F070F" w:rsidRPr="00E5747D" w14:paraId="65D653E9" w14:textId="77777777" w:rsidTr="006E238C">
        <w:trPr>
          <w:trHeight w:val="315"/>
        </w:trPr>
        <w:tc>
          <w:tcPr>
            <w:tcW w:w="3544" w:type="dxa"/>
            <w:shd w:val="clear" w:color="auto" w:fill="auto"/>
            <w:noWrap/>
            <w:hideMark/>
          </w:tcPr>
          <w:p w14:paraId="1A0DAE2B" w14:textId="77777777" w:rsidR="008F070F" w:rsidRPr="00E5747D" w:rsidRDefault="008F070F" w:rsidP="008F070F">
            <w:pPr>
              <w:spacing w:line="276" w:lineRule="auto"/>
              <w:rPr>
                <w:b/>
                <w:sz w:val="22"/>
                <w:szCs w:val="22"/>
                <w:lang w:val="tr-TR"/>
              </w:rPr>
            </w:pPr>
            <w:r w:rsidRPr="00E5747D">
              <w:rPr>
                <w:b/>
                <w:sz w:val="22"/>
                <w:szCs w:val="22"/>
                <w:lang w:val="tr-TR"/>
              </w:rPr>
              <w:t>Aydın (Denizli-Aydın-Muğla)</w:t>
            </w:r>
          </w:p>
        </w:tc>
        <w:tc>
          <w:tcPr>
            <w:tcW w:w="1134" w:type="dxa"/>
            <w:shd w:val="clear" w:color="auto" w:fill="auto"/>
            <w:noWrap/>
            <w:vAlign w:val="bottom"/>
            <w:hideMark/>
          </w:tcPr>
          <w:p w14:paraId="19DF63CB" w14:textId="77777777" w:rsidR="008F070F" w:rsidRPr="00E5747D" w:rsidRDefault="008F070F" w:rsidP="008F070F">
            <w:pPr>
              <w:spacing w:line="276" w:lineRule="auto"/>
              <w:jc w:val="right"/>
              <w:rPr>
                <w:sz w:val="22"/>
                <w:szCs w:val="22"/>
                <w:lang w:val="tr-TR"/>
              </w:rPr>
            </w:pPr>
            <w:r w:rsidRPr="00E5747D">
              <w:rPr>
                <w:sz w:val="22"/>
                <w:szCs w:val="22"/>
                <w:lang w:val="tr-TR"/>
              </w:rPr>
              <w:t>1.319</w:t>
            </w:r>
          </w:p>
        </w:tc>
        <w:tc>
          <w:tcPr>
            <w:tcW w:w="1559" w:type="dxa"/>
            <w:shd w:val="clear" w:color="auto" w:fill="auto"/>
            <w:noWrap/>
            <w:vAlign w:val="bottom"/>
            <w:hideMark/>
          </w:tcPr>
          <w:p w14:paraId="2A0410C1" w14:textId="77777777" w:rsidR="008F070F" w:rsidRPr="00E5747D" w:rsidRDefault="008F070F" w:rsidP="008F070F">
            <w:pPr>
              <w:spacing w:line="276" w:lineRule="auto"/>
              <w:jc w:val="right"/>
              <w:rPr>
                <w:sz w:val="22"/>
                <w:szCs w:val="22"/>
                <w:lang w:val="tr-TR"/>
              </w:rPr>
            </w:pPr>
            <w:r w:rsidRPr="00E5747D">
              <w:rPr>
                <w:sz w:val="22"/>
                <w:szCs w:val="22"/>
                <w:lang w:val="tr-TR"/>
              </w:rPr>
              <w:t>1.525</w:t>
            </w:r>
          </w:p>
        </w:tc>
        <w:tc>
          <w:tcPr>
            <w:tcW w:w="1418" w:type="dxa"/>
            <w:shd w:val="clear" w:color="auto" w:fill="auto"/>
            <w:noWrap/>
            <w:vAlign w:val="bottom"/>
            <w:hideMark/>
          </w:tcPr>
          <w:p w14:paraId="790383D1" w14:textId="77777777" w:rsidR="008F070F" w:rsidRPr="00E5747D" w:rsidRDefault="008F070F" w:rsidP="008F070F">
            <w:pPr>
              <w:spacing w:line="276" w:lineRule="auto"/>
              <w:jc w:val="right"/>
              <w:rPr>
                <w:sz w:val="22"/>
                <w:szCs w:val="22"/>
                <w:lang w:val="tr-TR"/>
              </w:rPr>
            </w:pPr>
            <w:r w:rsidRPr="00E5747D">
              <w:rPr>
                <w:sz w:val="22"/>
                <w:szCs w:val="22"/>
                <w:lang w:val="tr-TR"/>
              </w:rPr>
              <w:t>206</w:t>
            </w:r>
          </w:p>
        </w:tc>
        <w:tc>
          <w:tcPr>
            <w:tcW w:w="1417" w:type="dxa"/>
            <w:shd w:val="clear" w:color="auto" w:fill="auto"/>
            <w:noWrap/>
            <w:vAlign w:val="bottom"/>
            <w:hideMark/>
          </w:tcPr>
          <w:p w14:paraId="16E4E29D" w14:textId="77777777" w:rsidR="008F070F" w:rsidRPr="00E5747D" w:rsidRDefault="008F070F" w:rsidP="008F070F">
            <w:pPr>
              <w:spacing w:line="276" w:lineRule="auto"/>
              <w:jc w:val="right"/>
              <w:rPr>
                <w:sz w:val="22"/>
                <w:szCs w:val="22"/>
                <w:lang w:val="tr-TR"/>
              </w:rPr>
            </w:pPr>
            <w:r w:rsidRPr="00E5747D">
              <w:rPr>
                <w:sz w:val="22"/>
                <w:szCs w:val="22"/>
                <w:lang w:val="tr-TR"/>
              </w:rPr>
              <w:t>15,6</w:t>
            </w:r>
          </w:p>
        </w:tc>
      </w:tr>
      <w:tr w:rsidR="008F070F" w:rsidRPr="00E5747D" w14:paraId="35D797AD" w14:textId="77777777" w:rsidTr="006E238C">
        <w:trPr>
          <w:trHeight w:val="315"/>
        </w:trPr>
        <w:tc>
          <w:tcPr>
            <w:tcW w:w="3544" w:type="dxa"/>
            <w:shd w:val="clear" w:color="auto" w:fill="auto"/>
            <w:noWrap/>
            <w:hideMark/>
          </w:tcPr>
          <w:p w14:paraId="6A5DF84B" w14:textId="77777777" w:rsidR="008F070F" w:rsidRPr="00E5747D" w:rsidRDefault="008F070F" w:rsidP="008F070F">
            <w:pPr>
              <w:spacing w:line="276" w:lineRule="auto"/>
              <w:rPr>
                <w:b/>
                <w:sz w:val="22"/>
                <w:szCs w:val="22"/>
                <w:lang w:val="tr-TR"/>
              </w:rPr>
            </w:pPr>
            <w:r w:rsidRPr="00E5747D">
              <w:rPr>
                <w:b/>
                <w:sz w:val="22"/>
                <w:szCs w:val="22"/>
                <w:lang w:val="tr-TR"/>
              </w:rPr>
              <w:t>Manisa (Manisa-Afyonkarahisar-Kütahya-Uşak)</w:t>
            </w:r>
          </w:p>
        </w:tc>
        <w:tc>
          <w:tcPr>
            <w:tcW w:w="1134" w:type="dxa"/>
            <w:shd w:val="clear" w:color="auto" w:fill="auto"/>
            <w:noWrap/>
            <w:vAlign w:val="bottom"/>
            <w:hideMark/>
          </w:tcPr>
          <w:p w14:paraId="320B4F9B" w14:textId="77777777" w:rsidR="008F070F" w:rsidRPr="00E5747D" w:rsidRDefault="008F070F" w:rsidP="008F070F">
            <w:pPr>
              <w:spacing w:line="276" w:lineRule="auto"/>
              <w:jc w:val="right"/>
              <w:rPr>
                <w:sz w:val="22"/>
                <w:szCs w:val="22"/>
                <w:lang w:val="tr-TR"/>
              </w:rPr>
            </w:pPr>
            <w:r w:rsidRPr="00E5747D">
              <w:rPr>
                <w:sz w:val="22"/>
                <w:szCs w:val="22"/>
                <w:lang w:val="tr-TR"/>
              </w:rPr>
              <w:t>1.182</w:t>
            </w:r>
          </w:p>
        </w:tc>
        <w:tc>
          <w:tcPr>
            <w:tcW w:w="1559" w:type="dxa"/>
            <w:shd w:val="clear" w:color="auto" w:fill="auto"/>
            <w:noWrap/>
            <w:vAlign w:val="bottom"/>
            <w:hideMark/>
          </w:tcPr>
          <w:p w14:paraId="76F9B889" w14:textId="77777777" w:rsidR="008F070F" w:rsidRPr="00E5747D" w:rsidRDefault="008F070F" w:rsidP="008F070F">
            <w:pPr>
              <w:spacing w:line="276" w:lineRule="auto"/>
              <w:jc w:val="right"/>
              <w:rPr>
                <w:sz w:val="22"/>
                <w:szCs w:val="22"/>
                <w:lang w:val="tr-TR"/>
              </w:rPr>
            </w:pPr>
            <w:r w:rsidRPr="00E5747D">
              <w:rPr>
                <w:sz w:val="22"/>
                <w:szCs w:val="22"/>
                <w:lang w:val="tr-TR"/>
              </w:rPr>
              <w:t>1.417</w:t>
            </w:r>
          </w:p>
        </w:tc>
        <w:tc>
          <w:tcPr>
            <w:tcW w:w="1418" w:type="dxa"/>
            <w:shd w:val="clear" w:color="auto" w:fill="auto"/>
            <w:noWrap/>
            <w:vAlign w:val="bottom"/>
            <w:hideMark/>
          </w:tcPr>
          <w:p w14:paraId="652947B1" w14:textId="77777777" w:rsidR="008F070F" w:rsidRPr="00E5747D" w:rsidRDefault="008F070F" w:rsidP="008F070F">
            <w:pPr>
              <w:spacing w:line="276" w:lineRule="auto"/>
              <w:jc w:val="right"/>
              <w:rPr>
                <w:sz w:val="22"/>
                <w:szCs w:val="22"/>
                <w:lang w:val="tr-TR"/>
              </w:rPr>
            </w:pPr>
            <w:r w:rsidRPr="00E5747D">
              <w:rPr>
                <w:sz w:val="22"/>
                <w:szCs w:val="22"/>
                <w:lang w:val="tr-TR"/>
              </w:rPr>
              <w:t>235</w:t>
            </w:r>
          </w:p>
        </w:tc>
        <w:tc>
          <w:tcPr>
            <w:tcW w:w="1417" w:type="dxa"/>
            <w:shd w:val="clear" w:color="auto" w:fill="auto"/>
            <w:noWrap/>
            <w:vAlign w:val="bottom"/>
            <w:hideMark/>
          </w:tcPr>
          <w:p w14:paraId="7BB04F1A" w14:textId="77777777" w:rsidR="008F070F" w:rsidRPr="00E5747D" w:rsidRDefault="008F070F" w:rsidP="008F070F">
            <w:pPr>
              <w:spacing w:line="276" w:lineRule="auto"/>
              <w:jc w:val="right"/>
              <w:rPr>
                <w:sz w:val="22"/>
                <w:szCs w:val="22"/>
                <w:lang w:val="tr-TR"/>
              </w:rPr>
            </w:pPr>
            <w:r w:rsidRPr="00E5747D">
              <w:rPr>
                <w:sz w:val="22"/>
                <w:szCs w:val="22"/>
                <w:lang w:val="tr-TR"/>
              </w:rPr>
              <w:t>19,9</w:t>
            </w:r>
          </w:p>
        </w:tc>
      </w:tr>
      <w:tr w:rsidR="008F070F" w:rsidRPr="00E5747D" w14:paraId="00E49457" w14:textId="77777777" w:rsidTr="006E238C">
        <w:trPr>
          <w:trHeight w:val="315"/>
        </w:trPr>
        <w:tc>
          <w:tcPr>
            <w:tcW w:w="3544" w:type="dxa"/>
            <w:shd w:val="clear" w:color="auto" w:fill="auto"/>
            <w:noWrap/>
            <w:hideMark/>
          </w:tcPr>
          <w:p w14:paraId="2AE28BCF" w14:textId="77777777" w:rsidR="008F070F" w:rsidRPr="00E5747D" w:rsidRDefault="008F070F" w:rsidP="008F070F">
            <w:pPr>
              <w:spacing w:line="276" w:lineRule="auto"/>
              <w:rPr>
                <w:b/>
                <w:sz w:val="22"/>
                <w:szCs w:val="22"/>
                <w:lang w:val="tr-TR"/>
              </w:rPr>
            </w:pPr>
            <w:r w:rsidRPr="00E5747D">
              <w:rPr>
                <w:b/>
                <w:sz w:val="22"/>
                <w:szCs w:val="22"/>
                <w:lang w:val="tr-TR"/>
              </w:rPr>
              <w:t>Bursa (Bursa-Eskişehir-Bilecik)</w:t>
            </w:r>
          </w:p>
        </w:tc>
        <w:tc>
          <w:tcPr>
            <w:tcW w:w="1134" w:type="dxa"/>
            <w:shd w:val="clear" w:color="auto" w:fill="auto"/>
            <w:noWrap/>
            <w:vAlign w:val="bottom"/>
            <w:hideMark/>
          </w:tcPr>
          <w:p w14:paraId="501A545F" w14:textId="77777777" w:rsidR="008F070F" w:rsidRPr="00E5747D" w:rsidRDefault="008F070F" w:rsidP="008F070F">
            <w:pPr>
              <w:spacing w:line="276" w:lineRule="auto"/>
              <w:jc w:val="right"/>
              <w:rPr>
                <w:sz w:val="22"/>
                <w:szCs w:val="22"/>
                <w:lang w:val="tr-TR"/>
              </w:rPr>
            </w:pPr>
            <w:r w:rsidRPr="00E5747D">
              <w:rPr>
                <w:sz w:val="22"/>
                <w:szCs w:val="22"/>
                <w:lang w:val="tr-TR"/>
              </w:rPr>
              <w:t>1.469</w:t>
            </w:r>
          </w:p>
        </w:tc>
        <w:tc>
          <w:tcPr>
            <w:tcW w:w="1559" w:type="dxa"/>
            <w:shd w:val="clear" w:color="auto" w:fill="auto"/>
            <w:noWrap/>
            <w:vAlign w:val="bottom"/>
            <w:hideMark/>
          </w:tcPr>
          <w:p w14:paraId="1D23A7FD" w14:textId="77777777" w:rsidR="008F070F" w:rsidRPr="00E5747D" w:rsidRDefault="008F070F" w:rsidP="008F070F">
            <w:pPr>
              <w:spacing w:line="276" w:lineRule="auto"/>
              <w:jc w:val="right"/>
              <w:rPr>
                <w:sz w:val="22"/>
                <w:szCs w:val="22"/>
                <w:lang w:val="tr-TR"/>
              </w:rPr>
            </w:pPr>
            <w:r w:rsidRPr="00E5747D">
              <w:rPr>
                <w:sz w:val="22"/>
                <w:szCs w:val="22"/>
                <w:lang w:val="tr-TR"/>
              </w:rPr>
              <w:t>1.620</w:t>
            </w:r>
          </w:p>
        </w:tc>
        <w:tc>
          <w:tcPr>
            <w:tcW w:w="1418" w:type="dxa"/>
            <w:shd w:val="clear" w:color="auto" w:fill="auto"/>
            <w:noWrap/>
            <w:vAlign w:val="bottom"/>
            <w:hideMark/>
          </w:tcPr>
          <w:p w14:paraId="7BF068D4" w14:textId="77777777" w:rsidR="008F070F" w:rsidRPr="00E5747D" w:rsidRDefault="008F070F" w:rsidP="008F070F">
            <w:pPr>
              <w:spacing w:line="276" w:lineRule="auto"/>
              <w:jc w:val="right"/>
              <w:rPr>
                <w:sz w:val="22"/>
                <w:szCs w:val="22"/>
                <w:lang w:val="tr-TR"/>
              </w:rPr>
            </w:pPr>
            <w:r w:rsidRPr="00E5747D">
              <w:rPr>
                <w:sz w:val="22"/>
                <w:szCs w:val="22"/>
                <w:lang w:val="tr-TR"/>
              </w:rPr>
              <w:t>151</w:t>
            </w:r>
          </w:p>
        </w:tc>
        <w:tc>
          <w:tcPr>
            <w:tcW w:w="1417" w:type="dxa"/>
            <w:shd w:val="clear" w:color="auto" w:fill="auto"/>
            <w:noWrap/>
            <w:vAlign w:val="bottom"/>
            <w:hideMark/>
          </w:tcPr>
          <w:p w14:paraId="50F277A3" w14:textId="77777777" w:rsidR="008F070F" w:rsidRPr="00E5747D" w:rsidRDefault="008F070F" w:rsidP="008F070F">
            <w:pPr>
              <w:spacing w:line="276" w:lineRule="auto"/>
              <w:jc w:val="right"/>
              <w:rPr>
                <w:sz w:val="22"/>
                <w:szCs w:val="22"/>
                <w:lang w:val="tr-TR"/>
              </w:rPr>
            </w:pPr>
            <w:r w:rsidRPr="00E5747D">
              <w:rPr>
                <w:sz w:val="22"/>
                <w:szCs w:val="22"/>
                <w:lang w:val="tr-TR"/>
              </w:rPr>
              <w:t>10,3</w:t>
            </w:r>
          </w:p>
        </w:tc>
      </w:tr>
      <w:tr w:rsidR="008F070F" w:rsidRPr="00E5747D" w14:paraId="6D783052" w14:textId="77777777" w:rsidTr="006E238C">
        <w:trPr>
          <w:trHeight w:val="315"/>
        </w:trPr>
        <w:tc>
          <w:tcPr>
            <w:tcW w:w="3544" w:type="dxa"/>
            <w:shd w:val="clear" w:color="auto" w:fill="auto"/>
            <w:noWrap/>
            <w:hideMark/>
          </w:tcPr>
          <w:p w14:paraId="5C1B8533" w14:textId="77777777" w:rsidR="008F070F" w:rsidRPr="00E5747D" w:rsidRDefault="008F070F" w:rsidP="008F070F">
            <w:pPr>
              <w:spacing w:line="276" w:lineRule="auto"/>
              <w:rPr>
                <w:b/>
                <w:sz w:val="22"/>
                <w:szCs w:val="22"/>
                <w:lang w:val="tr-TR"/>
              </w:rPr>
            </w:pPr>
            <w:r w:rsidRPr="00E5747D">
              <w:rPr>
                <w:b/>
                <w:sz w:val="22"/>
                <w:szCs w:val="22"/>
                <w:lang w:val="tr-TR"/>
              </w:rPr>
              <w:t>Kocaeli (Kocaeli-Sakarya-Düzce-Bolu-Yalova)</w:t>
            </w:r>
          </w:p>
        </w:tc>
        <w:tc>
          <w:tcPr>
            <w:tcW w:w="1134" w:type="dxa"/>
            <w:shd w:val="clear" w:color="auto" w:fill="auto"/>
            <w:noWrap/>
            <w:vAlign w:val="bottom"/>
            <w:hideMark/>
          </w:tcPr>
          <w:p w14:paraId="26D1ED31" w14:textId="77777777" w:rsidR="008F070F" w:rsidRPr="00E5747D" w:rsidRDefault="008F070F" w:rsidP="008F070F">
            <w:pPr>
              <w:spacing w:line="276" w:lineRule="auto"/>
              <w:jc w:val="right"/>
              <w:rPr>
                <w:sz w:val="22"/>
                <w:szCs w:val="22"/>
                <w:lang w:val="tr-TR"/>
              </w:rPr>
            </w:pPr>
            <w:r w:rsidRPr="00E5747D">
              <w:rPr>
                <w:sz w:val="22"/>
                <w:szCs w:val="22"/>
                <w:lang w:val="tr-TR"/>
              </w:rPr>
              <w:t>1.624</w:t>
            </w:r>
          </w:p>
        </w:tc>
        <w:tc>
          <w:tcPr>
            <w:tcW w:w="1559" w:type="dxa"/>
            <w:shd w:val="clear" w:color="auto" w:fill="auto"/>
            <w:noWrap/>
            <w:vAlign w:val="bottom"/>
            <w:hideMark/>
          </w:tcPr>
          <w:p w14:paraId="5E8532D0" w14:textId="77777777" w:rsidR="008F070F" w:rsidRPr="00E5747D" w:rsidRDefault="008F070F" w:rsidP="008F070F">
            <w:pPr>
              <w:spacing w:line="276" w:lineRule="auto"/>
              <w:jc w:val="right"/>
              <w:rPr>
                <w:sz w:val="22"/>
                <w:szCs w:val="22"/>
                <w:lang w:val="tr-TR"/>
              </w:rPr>
            </w:pPr>
            <w:r w:rsidRPr="00E5747D">
              <w:rPr>
                <w:sz w:val="22"/>
                <w:szCs w:val="22"/>
                <w:lang w:val="tr-TR"/>
              </w:rPr>
              <w:t>1.770</w:t>
            </w:r>
          </w:p>
        </w:tc>
        <w:tc>
          <w:tcPr>
            <w:tcW w:w="1418" w:type="dxa"/>
            <w:shd w:val="clear" w:color="auto" w:fill="auto"/>
            <w:noWrap/>
            <w:vAlign w:val="bottom"/>
            <w:hideMark/>
          </w:tcPr>
          <w:p w14:paraId="36FB3060" w14:textId="77777777" w:rsidR="008F070F" w:rsidRPr="00E5747D" w:rsidRDefault="008F070F" w:rsidP="008F070F">
            <w:pPr>
              <w:spacing w:line="276" w:lineRule="auto"/>
              <w:jc w:val="right"/>
              <w:rPr>
                <w:sz w:val="22"/>
                <w:szCs w:val="22"/>
                <w:lang w:val="tr-TR"/>
              </w:rPr>
            </w:pPr>
            <w:r w:rsidRPr="00E5747D">
              <w:rPr>
                <w:sz w:val="22"/>
                <w:szCs w:val="22"/>
                <w:lang w:val="tr-TR"/>
              </w:rPr>
              <w:t>146</w:t>
            </w:r>
          </w:p>
        </w:tc>
        <w:tc>
          <w:tcPr>
            <w:tcW w:w="1417" w:type="dxa"/>
            <w:shd w:val="clear" w:color="auto" w:fill="auto"/>
            <w:noWrap/>
            <w:vAlign w:val="bottom"/>
            <w:hideMark/>
          </w:tcPr>
          <w:p w14:paraId="5D7BB268" w14:textId="77777777" w:rsidR="008F070F" w:rsidRPr="00E5747D" w:rsidRDefault="008F070F" w:rsidP="008F070F">
            <w:pPr>
              <w:spacing w:line="276" w:lineRule="auto"/>
              <w:jc w:val="right"/>
              <w:rPr>
                <w:sz w:val="22"/>
                <w:szCs w:val="22"/>
                <w:lang w:val="tr-TR"/>
              </w:rPr>
            </w:pPr>
            <w:r w:rsidRPr="00E5747D">
              <w:rPr>
                <w:sz w:val="22"/>
                <w:szCs w:val="22"/>
                <w:lang w:val="tr-TR"/>
              </w:rPr>
              <w:t>9,0</w:t>
            </w:r>
          </w:p>
        </w:tc>
      </w:tr>
      <w:tr w:rsidR="008F070F" w:rsidRPr="00E5747D" w14:paraId="2929FEF2" w14:textId="77777777" w:rsidTr="006E238C">
        <w:trPr>
          <w:trHeight w:val="315"/>
        </w:trPr>
        <w:tc>
          <w:tcPr>
            <w:tcW w:w="3544" w:type="dxa"/>
            <w:shd w:val="clear" w:color="auto" w:fill="auto"/>
            <w:noWrap/>
            <w:hideMark/>
          </w:tcPr>
          <w:p w14:paraId="36E2B340" w14:textId="77777777" w:rsidR="008F070F" w:rsidRPr="00E5747D" w:rsidRDefault="008F070F" w:rsidP="008F070F">
            <w:pPr>
              <w:spacing w:line="276" w:lineRule="auto"/>
              <w:rPr>
                <w:b/>
                <w:sz w:val="22"/>
                <w:szCs w:val="22"/>
                <w:lang w:val="tr-TR"/>
              </w:rPr>
            </w:pPr>
            <w:r w:rsidRPr="00E5747D">
              <w:rPr>
                <w:b/>
                <w:sz w:val="22"/>
                <w:szCs w:val="22"/>
                <w:lang w:val="tr-TR"/>
              </w:rPr>
              <w:t>Ankara (Ankara)</w:t>
            </w:r>
          </w:p>
        </w:tc>
        <w:tc>
          <w:tcPr>
            <w:tcW w:w="1134" w:type="dxa"/>
            <w:shd w:val="clear" w:color="auto" w:fill="auto"/>
            <w:noWrap/>
            <w:vAlign w:val="bottom"/>
            <w:hideMark/>
          </w:tcPr>
          <w:p w14:paraId="320362A9" w14:textId="77777777" w:rsidR="008F070F" w:rsidRPr="00E5747D" w:rsidRDefault="008F070F" w:rsidP="008F070F">
            <w:pPr>
              <w:spacing w:line="276" w:lineRule="auto"/>
              <w:jc w:val="right"/>
              <w:rPr>
                <w:sz w:val="22"/>
                <w:szCs w:val="22"/>
                <w:lang w:val="tr-TR"/>
              </w:rPr>
            </w:pPr>
            <w:r w:rsidRPr="00E5747D">
              <w:rPr>
                <w:sz w:val="22"/>
                <w:szCs w:val="22"/>
                <w:lang w:val="tr-TR"/>
              </w:rPr>
              <w:t>1.760</w:t>
            </w:r>
          </w:p>
        </w:tc>
        <w:tc>
          <w:tcPr>
            <w:tcW w:w="1559" w:type="dxa"/>
            <w:shd w:val="clear" w:color="auto" w:fill="auto"/>
            <w:noWrap/>
            <w:vAlign w:val="bottom"/>
            <w:hideMark/>
          </w:tcPr>
          <w:p w14:paraId="46ECC104" w14:textId="77777777" w:rsidR="008F070F" w:rsidRPr="00E5747D" w:rsidRDefault="008F070F" w:rsidP="008F070F">
            <w:pPr>
              <w:spacing w:line="276" w:lineRule="auto"/>
              <w:jc w:val="right"/>
              <w:rPr>
                <w:sz w:val="22"/>
                <w:szCs w:val="22"/>
                <w:lang w:val="tr-TR"/>
              </w:rPr>
            </w:pPr>
            <w:r w:rsidRPr="00E5747D">
              <w:rPr>
                <w:sz w:val="22"/>
                <w:szCs w:val="22"/>
                <w:lang w:val="tr-TR"/>
              </w:rPr>
              <w:t>1.876</w:t>
            </w:r>
          </w:p>
        </w:tc>
        <w:tc>
          <w:tcPr>
            <w:tcW w:w="1418" w:type="dxa"/>
            <w:shd w:val="clear" w:color="auto" w:fill="auto"/>
            <w:noWrap/>
            <w:vAlign w:val="bottom"/>
            <w:hideMark/>
          </w:tcPr>
          <w:p w14:paraId="03B58535" w14:textId="77777777" w:rsidR="008F070F" w:rsidRPr="00E5747D" w:rsidRDefault="008F070F" w:rsidP="008F070F">
            <w:pPr>
              <w:spacing w:line="276" w:lineRule="auto"/>
              <w:jc w:val="right"/>
              <w:rPr>
                <w:sz w:val="22"/>
                <w:szCs w:val="22"/>
                <w:lang w:val="tr-TR"/>
              </w:rPr>
            </w:pPr>
            <w:r w:rsidRPr="00E5747D">
              <w:rPr>
                <w:sz w:val="22"/>
                <w:szCs w:val="22"/>
                <w:lang w:val="tr-TR"/>
              </w:rPr>
              <w:t>116</w:t>
            </w:r>
          </w:p>
        </w:tc>
        <w:tc>
          <w:tcPr>
            <w:tcW w:w="1417" w:type="dxa"/>
            <w:shd w:val="clear" w:color="auto" w:fill="auto"/>
            <w:noWrap/>
            <w:vAlign w:val="bottom"/>
            <w:hideMark/>
          </w:tcPr>
          <w:p w14:paraId="65C3F20E" w14:textId="77777777" w:rsidR="008F070F" w:rsidRPr="00E5747D" w:rsidRDefault="008F070F" w:rsidP="008F070F">
            <w:pPr>
              <w:spacing w:line="276" w:lineRule="auto"/>
              <w:jc w:val="right"/>
              <w:rPr>
                <w:sz w:val="22"/>
                <w:szCs w:val="22"/>
                <w:lang w:val="tr-TR"/>
              </w:rPr>
            </w:pPr>
            <w:r w:rsidRPr="00E5747D">
              <w:rPr>
                <w:sz w:val="22"/>
                <w:szCs w:val="22"/>
                <w:lang w:val="tr-TR"/>
              </w:rPr>
              <w:t>6,6</w:t>
            </w:r>
          </w:p>
        </w:tc>
      </w:tr>
      <w:tr w:rsidR="008F070F" w:rsidRPr="00E5747D" w14:paraId="1E57F184" w14:textId="77777777" w:rsidTr="006E238C">
        <w:trPr>
          <w:trHeight w:val="315"/>
        </w:trPr>
        <w:tc>
          <w:tcPr>
            <w:tcW w:w="3544" w:type="dxa"/>
            <w:shd w:val="clear" w:color="auto" w:fill="auto"/>
            <w:noWrap/>
            <w:hideMark/>
          </w:tcPr>
          <w:p w14:paraId="4B26470E" w14:textId="77777777" w:rsidR="008F070F" w:rsidRPr="00E5747D" w:rsidRDefault="008F070F" w:rsidP="008F070F">
            <w:pPr>
              <w:spacing w:line="276" w:lineRule="auto"/>
              <w:rPr>
                <w:b/>
                <w:sz w:val="22"/>
                <w:szCs w:val="22"/>
                <w:lang w:val="tr-TR"/>
              </w:rPr>
            </w:pPr>
            <w:r w:rsidRPr="00E5747D">
              <w:rPr>
                <w:b/>
                <w:sz w:val="22"/>
                <w:szCs w:val="22"/>
                <w:lang w:val="tr-TR"/>
              </w:rPr>
              <w:lastRenderedPageBreak/>
              <w:t>Konya (Konya-Karaman)</w:t>
            </w:r>
          </w:p>
        </w:tc>
        <w:tc>
          <w:tcPr>
            <w:tcW w:w="1134" w:type="dxa"/>
            <w:shd w:val="clear" w:color="auto" w:fill="auto"/>
            <w:noWrap/>
            <w:vAlign w:val="bottom"/>
            <w:hideMark/>
          </w:tcPr>
          <w:p w14:paraId="1680C652" w14:textId="77777777" w:rsidR="008F070F" w:rsidRPr="00E5747D" w:rsidRDefault="008F070F" w:rsidP="008F070F">
            <w:pPr>
              <w:spacing w:line="276" w:lineRule="auto"/>
              <w:jc w:val="right"/>
              <w:rPr>
                <w:sz w:val="22"/>
                <w:szCs w:val="22"/>
                <w:lang w:val="tr-TR"/>
              </w:rPr>
            </w:pPr>
            <w:r w:rsidRPr="00E5747D">
              <w:rPr>
                <w:sz w:val="22"/>
                <w:szCs w:val="22"/>
                <w:lang w:val="tr-TR"/>
              </w:rPr>
              <w:t>1.347</w:t>
            </w:r>
          </w:p>
        </w:tc>
        <w:tc>
          <w:tcPr>
            <w:tcW w:w="1559" w:type="dxa"/>
            <w:shd w:val="clear" w:color="auto" w:fill="auto"/>
            <w:noWrap/>
            <w:vAlign w:val="bottom"/>
            <w:hideMark/>
          </w:tcPr>
          <w:p w14:paraId="6544F048" w14:textId="77777777" w:rsidR="008F070F" w:rsidRPr="00E5747D" w:rsidRDefault="008F070F" w:rsidP="008F070F">
            <w:pPr>
              <w:spacing w:line="276" w:lineRule="auto"/>
              <w:jc w:val="right"/>
              <w:rPr>
                <w:sz w:val="22"/>
                <w:szCs w:val="22"/>
                <w:lang w:val="tr-TR"/>
              </w:rPr>
            </w:pPr>
            <w:r w:rsidRPr="00E5747D">
              <w:rPr>
                <w:sz w:val="22"/>
                <w:szCs w:val="22"/>
                <w:lang w:val="tr-TR"/>
              </w:rPr>
              <w:t>1.528</w:t>
            </w:r>
          </w:p>
        </w:tc>
        <w:tc>
          <w:tcPr>
            <w:tcW w:w="1418" w:type="dxa"/>
            <w:shd w:val="clear" w:color="auto" w:fill="auto"/>
            <w:noWrap/>
            <w:vAlign w:val="bottom"/>
            <w:hideMark/>
          </w:tcPr>
          <w:p w14:paraId="20C2F8B6" w14:textId="77777777" w:rsidR="008F070F" w:rsidRPr="00E5747D" w:rsidRDefault="008F070F" w:rsidP="008F070F">
            <w:pPr>
              <w:spacing w:line="276" w:lineRule="auto"/>
              <w:jc w:val="right"/>
              <w:rPr>
                <w:sz w:val="22"/>
                <w:szCs w:val="22"/>
                <w:lang w:val="tr-TR"/>
              </w:rPr>
            </w:pPr>
            <w:r w:rsidRPr="00E5747D">
              <w:rPr>
                <w:sz w:val="22"/>
                <w:szCs w:val="22"/>
                <w:lang w:val="tr-TR"/>
              </w:rPr>
              <w:t>181</w:t>
            </w:r>
          </w:p>
        </w:tc>
        <w:tc>
          <w:tcPr>
            <w:tcW w:w="1417" w:type="dxa"/>
            <w:shd w:val="clear" w:color="auto" w:fill="auto"/>
            <w:noWrap/>
            <w:vAlign w:val="bottom"/>
            <w:hideMark/>
          </w:tcPr>
          <w:p w14:paraId="72CC2FF0" w14:textId="77777777" w:rsidR="008F070F" w:rsidRPr="00E5747D" w:rsidRDefault="008F070F" w:rsidP="008F070F">
            <w:pPr>
              <w:spacing w:line="276" w:lineRule="auto"/>
              <w:jc w:val="right"/>
              <w:rPr>
                <w:sz w:val="22"/>
                <w:szCs w:val="22"/>
                <w:lang w:val="tr-TR"/>
              </w:rPr>
            </w:pPr>
            <w:r w:rsidRPr="00E5747D">
              <w:rPr>
                <w:sz w:val="22"/>
                <w:szCs w:val="22"/>
                <w:lang w:val="tr-TR"/>
              </w:rPr>
              <w:t>13,4</w:t>
            </w:r>
          </w:p>
        </w:tc>
      </w:tr>
      <w:tr w:rsidR="008F070F" w:rsidRPr="00E5747D" w14:paraId="6A4E5BA3" w14:textId="77777777" w:rsidTr="006E238C">
        <w:trPr>
          <w:trHeight w:val="315"/>
        </w:trPr>
        <w:tc>
          <w:tcPr>
            <w:tcW w:w="3544" w:type="dxa"/>
            <w:shd w:val="clear" w:color="auto" w:fill="auto"/>
            <w:noWrap/>
            <w:hideMark/>
          </w:tcPr>
          <w:p w14:paraId="2ED91B03" w14:textId="77777777" w:rsidR="008F070F" w:rsidRPr="00E5747D" w:rsidRDefault="008F070F" w:rsidP="008F070F">
            <w:pPr>
              <w:spacing w:line="276" w:lineRule="auto"/>
              <w:rPr>
                <w:b/>
                <w:sz w:val="22"/>
                <w:szCs w:val="22"/>
                <w:lang w:val="tr-TR"/>
              </w:rPr>
            </w:pPr>
            <w:r w:rsidRPr="00E5747D">
              <w:rPr>
                <w:b/>
                <w:sz w:val="22"/>
                <w:szCs w:val="22"/>
                <w:lang w:val="tr-TR"/>
              </w:rPr>
              <w:t>Antalya (Antalya-Isparta-Burdur)</w:t>
            </w:r>
          </w:p>
        </w:tc>
        <w:tc>
          <w:tcPr>
            <w:tcW w:w="1134" w:type="dxa"/>
            <w:shd w:val="clear" w:color="auto" w:fill="auto"/>
            <w:noWrap/>
            <w:vAlign w:val="bottom"/>
            <w:hideMark/>
          </w:tcPr>
          <w:p w14:paraId="59EE158F" w14:textId="77777777" w:rsidR="008F070F" w:rsidRPr="00E5747D" w:rsidRDefault="008F070F" w:rsidP="008F070F">
            <w:pPr>
              <w:spacing w:line="276" w:lineRule="auto"/>
              <w:jc w:val="right"/>
              <w:rPr>
                <w:sz w:val="22"/>
                <w:szCs w:val="22"/>
                <w:lang w:val="tr-TR"/>
              </w:rPr>
            </w:pPr>
            <w:r w:rsidRPr="00E5747D">
              <w:rPr>
                <w:sz w:val="22"/>
                <w:szCs w:val="22"/>
                <w:lang w:val="tr-TR"/>
              </w:rPr>
              <w:t>1.535</w:t>
            </w:r>
          </w:p>
        </w:tc>
        <w:tc>
          <w:tcPr>
            <w:tcW w:w="1559" w:type="dxa"/>
            <w:shd w:val="clear" w:color="auto" w:fill="auto"/>
            <w:noWrap/>
            <w:vAlign w:val="bottom"/>
            <w:hideMark/>
          </w:tcPr>
          <w:p w14:paraId="1DBDF621" w14:textId="77777777" w:rsidR="008F070F" w:rsidRPr="00E5747D" w:rsidRDefault="008F070F" w:rsidP="008F070F">
            <w:pPr>
              <w:spacing w:line="276" w:lineRule="auto"/>
              <w:jc w:val="right"/>
              <w:rPr>
                <w:sz w:val="22"/>
                <w:szCs w:val="22"/>
                <w:lang w:val="tr-TR"/>
              </w:rPr>
            </w:pPr>
            <w:r w:rsidRPr="00E5747D">
              <w:rPr>
                <w:sz w:val="22"/>
                <w:szCs w:val="22"/>
                <w:lang w:val="tr-TR"/>
              </w:rPr>
              <w:t>1.693</w:t>
            </w:r>
          </w:p>
        </w:tc>
        <w:tc>
          <w:tcPr>
            <w:tcW w:w="1418" w:type="dxa"/>
            <w:shd w:val="clear" w:color="auto" w:fill="auto"/>
            <w:noWrap/>
            <w:vAlign w:val="bottom"/>
            <w:hideMark/>
          </w:tcPr>
          <w:p w14:paraId="1B98080A" w14:textId="77777777" w:rsidR="008F070F" w:rsidRPr="00E5747D" w:rsidRDefault="008F070F" w:rsidP="008F070F">
            <w:pPr>
              <w:spacing w:line="276" w:lineRule="auto"/>
              <w:jc w:val="right"/>
              <w:rPr>
                <w:sz w:val="22"/>
                <w:szCs w:val="22"/>
                <w:lang w:val="tr-TR"/>
              </w:rPr>
            </w:pPr>
            <w:r w:rsidRPr="00E5747D">
              <w:rPr>
                <w:sz w:val="22"/>
                <w:szCs w:val="22"/>
                <w:lang w:val="tr-TR"/>
              </w:rPr>
              <w:t>158</w:t>
            </w:r>
          </w:p>
        </w:tc>
        <w:tc>
          <w:tcPr>
            <w:tcW w:w="1417" w:type="dxa"/>
            <w:shd w:val="clear" w:color="auto" w:fill="auto"/>
            <w:noWrap/>
            <w:vAlign w:val="bottom"/>
            <w:hideMark/>
          </w:tcPr>
          <w:p w14:paraId="32791604" w14:textId="77777777" w:rsidR="008F070F" w:rsidRPr="00E5747D" w:rsidRDefault="008F070F" w:rsidP="008F070F">
            <w:pPr>
              <w:spacing w:line="276" w:lineRule="auto"/>
              <w:jc w:val="right"/>
              <w:rPr>
                <w:sz w:val="22"/>
                <w:szCs w:val="22"/>
                <w:lang w:val="tr-TR"/>
              </w:rPr>
            </w:pPr>
            <w:r w:rsidRPr="00E5747D">
              <w:rPr>
                <w:sz w:val="22"/>
                <w:szCs w:val="22"/>
                <w:lang w:val="tr-TR"/>
              </w:rPr>
              <w:t>10,3</w:t>
            </w:r>
          </w:p>
        </w:tc>
      </w:tr>
      <w:tr w:rsidR="008F070F" w:rsidRPr="00E5747D" w14:paraId="77131BEE" w14:textId="77777777" w:rsidTr="006E238C">
        <w:trPr>
          <w:trHeight w:val="315"/>
        </w:trPr>
        <w:tc>
          <w:tcPr>
            <w:tcW w:w="3544" w:type="dxa"/>
            <w:shd w:val="clear" w:color="auto" w:fill="auto"/>
            <w:noWrap/>
            <w:hideMark/>
          </w:tcPr>
          <w:p w14:paraId="5B1E614B" w14:textId="77777777" w:rsidR="008F070F" w:rsidRPr="00E5747D" w:rsidRDefault="008F070F" w:rsidP="008F070F">
            <w:pPr>
              <w:spacing w:line="276" w:lineRule="auto"/>
              <w:rPr>
                <w:b/>
                <w:sz w:val="22"/>
                <w:szCs w:val="22"/>
                <w:lang w:val="tr-TR"/>
              </w:rPr>
            </w:pPr>
            <w:r w:rsidRPr="00E5747D">
              <w:rPr>
                <w:b/>
                <w:sz w:val="22"/>
                <w:szCs w:val="22"/>
                <w:lang w:val="tr-TR"/>
              </w:rPr>
              <w:t>Adana (Adana-Mersin)</w:t>
            </w:r>
          </w:p>
        </w:tc>
        <w:tc>
          <w:tcPr>
            <w:tcW w:w="1134" w:type="dxa"/>
            <w:shd w:val="clear" w:color="auto" w:fill="auto"/>
            <w:noWrap/>
            <w:vAlign w:val="bottom"/>
            <w:hideMark/>
          </w:tcPr>
          <w:p w14:paraId="3787555C" w14:textId="77777777" w:rsidR="008F070F" w:rsidRPr="00E5747D" w:rsidRDefault="008F070F" w:rsidP="008F070F">
            <w:pPr>
              <w:spacing w:line="276" w:lineRule="auto"/>
              <w:jc w:val="right"/>
              <w:rPr>
                <w:sz w:val="22"/>
                <w:szCs w:val="22"/>
                <w:lang w:val="tr-TR"/>
              </w:rPr>
            </w:pPr>
            <w:r w:rsidRPr="00E5747D">
              <w:rPr>
                <w:sz w:val="22"/>
                <w:szCs w:val="22"/>
                <w:lang w:val="tr-TR"/>
              </w:rPr>
              <w:t>1.333</w:t>
            </w:r>
          </w:p>
        </w:tc>
        <w:tc>
          <w:tcPr>
            <w:tcW w:w="1559" w:type="dxa"/>
            <w:shd w:val="clear" w:color="auto" w:fill="auto"/>
            <w:noWrap/>
            <w:vAlign w:val="bottom"/>
            <w:hideMark/>
          </w:tcPr>
          <w:p w14:paraId="5DE27F77" w14:textId="77777777" w:rsidR="008F070F" w:rsidRPr="00E5747D" w:rsidRDefault="008F070F" w:rsidP="008F070F">
            <w:pPr>
              <w:spacing w:line="276" w:lineRule="auto"/>
              <w:jc w:val="right"/>
              <w:rPr>
                <w:sz w:val="22"/>
                <w:szCs w:val="22"/>
                <w:lang w:val="tr-TR"/>
              </w:rPr>
            </w:pPr>
            <w:r w:rsidRPr="00E5747D">
              <w:rPr>
                <w:sz w:val="22"/>
                <w:szCs w:val="22"/>
                <w:lang w:val="tr-TR"/>
              </w:rPr>
              <w:t>1.552</w:t>
            </w:r>
          </w:p>
        </w:tc>
        <w:tc>
          <w:tcPr>
            <w:tcW w:w="1418" w:type="dxa"/>
            <w:shd w:val="clear" w:color="auto" w:fill="auto"/>
            <w:noWrap/>
            <w:vAlign w:val="bottom"/>
            <w:hideMark/>
          </w:tcPr>
          <w:p w14:paraId="5540D84A" w14:textId="77777777" w:rsidR="008F070F" w:rsidRPr="00E5747D" w:rsidRDefault="008F070F" w:rsidP="008F070F">
            <w:pPr>
              <w:spacing w:line="276" w:lineRule="auto"/>
              <w:jc w:val="right"/>
              <w:rPr>
                <w:sz w:val="22"/>
                <w:szCs w:val="22"/>
                <w:lang w:val="tr-TR"/>
              </w:rPr>
            </w:pPr>
            <w:r w:rsidRPr="00E5747D">
              <w:rPr>
                <w:sz w:val="22"/>
                <w:szCs w:val="22"/>
                <w:lang w:val="tr-TR"/>
              </w:rPr>
              <w:t>219</w:t>
            </w:r>
          </w:p>
        </w:tc>
        <w:tc>
          <w:tcPr>
            <w:tcW w:w="1417" w:type="dxa"/>
            <w:shd w:val="clear" w:color="auto" w:fill="auto"/>
            <w:noWrap/>
            <w:vAlign w:val="bottom"/>
            <w:hideMark/>
          </w:tcPr>
          <w:p w14:paraId="33B6637A" w14:textId="77777777" w:rsidR="008F070F" w:rsidRPr="00E5747D" w:rsidRDefault="008F070F" w:rsidP="008F070F">
            <w:pPr>
              <w:spacing w:line="276" w:lineRule="auto"/>
              <w:jc w:val="right"/>
              <w:rPr>
                <w:sz w:val="22"/>
                <w:szCs w:val="22"/>
                <w:lang w:val="tr-TR"/>
              </w:rPr>
            </w:pPr>
            <w:r w:rsidRPr="00E5747D">
              <w:rPr>
                <w:sz w:val="22"/>
                <w:szCs w:val="22"/>
                <w:lang w:val="tr-TR"/>
              </w:rPr>
              <w:t>16,4</w:t>
            </w:r>
          </w:p>
        </w:tc>
      </w:tr>
      <w:tr w:rsidR="008F070F" w:rsidRPr="00E5747D" w14:paraId="3C9C3E44" w14:textId="77777777" w:rsidTr="006E238C">
        <w:trPr>
          <w:trHeight w:val="315"/>
        </w:trPr>
        <w:tc>
          <w:tcPr>
            <w:tcW w:w="3544" w:type="dxa"/>
            <w:shd w:val="clear" w:color="auto" w:fill="auto"/>
            <w:noWrap/>
            <w:hideMark/>
          </w:tcPr>
          <w:p w14:paraId="332366C8" w14:textId="77777777" w:rsidR="008F070F" w:rsidRPr="00E5747D" w:rsidRDefault="008F070F" w:rsidP="008F070F">
            <w:pPr>
              <w:spacing w:line="276" w:lineRule="auto"/>
              <w:rPr>
                <w:b/>
                <w:sz w:val="22"/>
                <w:szCs w:val="22"/>
                <w:lang w:val="tr-TR"/>
              </w:rPr>
            </w:pPr>
            <w:r w:rsidRPr="00E5747D">
              <w:rPr>
                <w:b/>
                <w:sz w:val="22"/>
                <w:szCs w:val="22"/>
                <w:lang w:val="tr-TR"/>
              </w:rPr>
              <w:t>Hatay (Hatay-Kahramanmaraş-Osmaniye)</w:t>
            </w:r>
          </w:p>
        </w:tc>
        <w:tc>
          <w:tcPr>
            <w:tcW w:w="1134" w:type="dxa"/>
            <w:shd w:val="clear" w:color="auto" w:fill="auto"/>
            <w:noWrap/>
            <w:vAlign w:val="bottom"/>
            <w:hideMark/>
          </w:tcPr>
          <w:p w14:paraId="702AE118" w14:textId="77777777" w:rsidR="008F070F" w:rsidRPr="00E5747D" w:rsidRDefault="008F070F" w:rsidP="008F070F">
            <w:pPr>
              <w:spacing w:line="276" w:lineRule="auto"/>
              <w:jc w:val="right"/>
              <w:rPr>
                <w:sz w:val="22"/>
                <w:szCs w:val="22"/>
                <w:lang w:val="tr-TR"/>
              </w:rPr>
            </w:pPr>
            <w:r w:rsidRPr="00E5747D">
              <w:rPr>
                <w:sz w:val="22"/>
                <w:szCs w:val="22"/>
                <w:lang w:val="tr-TR"/>
              </w:rPr>
              <w:t>1.280</w:t>
            </w:r>
          </w:p>
        </w:tc>
        <w:tc>
          <w:tcPr>
            <w:tcW w:w="1559" w:type="dxa"/>
            <w:shd w:val="clear" w:color="auto" w:fill="auto"/>
            <w:noWrap/>
            <w:vAlign w:val="bottom"/>
            <w:hideMark/>
          </w:tcPr>
          <w:p w14:paraId="380A38C6" w14:textId="77777777" w:rsidR="008F070F" w:rsidRPr="00E5747D" w:rsidRDefault="008F070F" w:rsidP="008F070F">
            <w:pPr>
              <w:spacing w:line="276" w:lineRule="auto"/>
              <w:jc w:val="right"/>
              <w:rPr>
                <w:sz w:val="22"/>
                <w:szCs w:val="22"/>
                <w:lang w:val="tr-TR"/>
              </w:rPr>
            </w:pPr>
            <w:r w:rsidRPr="00E5747D">
              <w:rPr>
                <w:sz w:val="22"/>
                <w:szCs w:val="22"/>
                <w:lang w:val="tr-TR"/>
              </w:rPr>
              <w:t>1.504</w:t>
            </w:r>
          </w:p>
        </w:tc>
        <w:tc>
          <w:tcPr>
            <w:tcW w:w="1418" w:type="dxa"/>
            <w:shd w:val="clear" w:color="auto" w:fill="auto"/>
            <w:noWrap/>
            <w:vAlign w:val="bottom"/>
            <w:hideMark/>
          </w:tcPr>
          <w:p w14:paraId="7B30E2DC" w14:textId="77777777" w:rsidR="008F070F" w:rsidRPr="00E5747D" w:rsidRDefault="008F070F" w:rsidP="008F070F">
            <w:pPr>
              <w:spacing w:line="276" w:lineRule="auto"/>
              <w:jc w:val="right"/>
              <w:rPr>
                <w:sz w:val="22"/>
                <w:szCs w:val="22"/>
                <w:lang w:val="tr-TR"/>
              </w:rPr>
            </w:pPr>
            <w:r w:rsidRPr="00E5747D">
              <w:rPr>
                <w:sz w:val="22"/>
                <w:szCs w:val="22"/>
                <w:lang w:val="tr-TR"/>
              </w:rPr>
              <w:t>224</w:t>
            </w:r>
          </w:p>
        </w:tc>
        <w:tc>
          <w:tcPr>
            <w:tcW w:w="1417" w:type="dxa"/>
            <w:shd w:val="clear" w:color="auto" w:fill="auto"/>
            <w:noWrap/>
            <w:vAlign w:val="bottom"/>
            <w:hideMark/>
          </w:tcPr>
          <w:p w14:paraId="1D7C1772" w14:textId="77777777" w:rsidR="008F070F" w:rsidRPr="00E5747D" w:rsidRDefault="008F070F" w:rsidP="008F070F">
            <w:pPr>
              <w:spacing w:line="276" w:lineRule="auto"/>
              <w:jc w:val="right"/>
              <w:rPr>
                <w:sz w:val="22"/>
                <w:szCs w:val="22"/>
                <w:lang w:val="tr-TR"/>
              </w:rPr>
            </w:pPr>
            <w:r w:rsidRPr="00E5747D">
              <w:rPr>
                <w:sz w:val="22"/>
                <w:szCs w:val="22"/>
                <w:lang w:val="tr-TR"/>
              </w:rPr>
              <w:t>17,5</w:t>
            </w:r>
          </w:p>
        </w:tc>
      </w:tr>
      <w:tr w:rsidR="008F070F" w:rsidRPr="00E5747D" w14:paraId="0637FFE2" w14:textId="77777777" w:rsidTr="006E238C">
        <w:trPr>
          <w:trHeight w:val="315"/>
        </w:trPr>
        <w:tc>
          <w:tcPr>
            <w:tcW w:w="3544" w:type="dxa"/>
            <w:shd w:val="clear" w:color="auto" w:fill="auto"/>
            <w:noWrap/>
            <w:hideMark/>
          </w:tcPr>
          <w:p w14:paraId="510D85FA" w14:textId="77777777" w:rsidR="008F070F" w:rsidRPr="00E5747D" w:rsidRDefault="008F070F" w:rsidP="008F070F">
            <w:pPr>
              <w:spacing w:line="276" w:lineRule="auto"/>
              <w:rPr>
                <w:b/>
                <w:sz w:val="22"/>
                <w:szCs w:val="22"/>
                <w:lang w:val="tr-TR"/>
              </w:rPr>
            </w:pPr>
            <w:r w:rsidRPr="00E5747D">
              <w:rPr>
                <w:b/>
                <w:sz w:val="22"/>
                <w:szCs w:val="22"/>
                <w:lang w:val="tr-TR"/>
              </w:rPr>
              <w:t>Kırıkkale (Nevşehir-Aksaray-Niğde-Kırıkkale-Kırşehir)</w:t>
            </w:r>
          </w:p>
        </w:tc>
        <w:tc>
          <w:tcPr>
            <w:tcW w:w="1134" w:type="dxa"/>
            <w:shd w:val="clear" w:color="auto" w:fill="auto"/>
            <w:noWrap/>
            <w:vAlign w:val="bottom"/>
            <w:hideMark/>
          </w:tcPr>
          <w:p w14:paraId="0ED9A868" w14:textId="77777777" w:rsidR="008F070F" w:rsidRPr="00E5747D" w:rsidRDefault="008F070F" w:rsidP="008F070F">
            <w:pPr>
              <w:spacing w:line="276" w:lineRule="auto"/>
              <w:jc w:val="right"/>
              <w:rPr>
                <w:sz w:val="22"/>
                <w:szCs w:val="22"/>
                <w:lang w:val="tr-TR"/>
              </w:rPr>
            </w:pPr>
            <w:r w:rsidRPr="00E5747D">
              <w:rPr>
                <w:sz w:val="22"/>
                <w:szCs w:val="22"/>
                <w:lang w:val="tr-TR"/>
              </w:rPr>
              <w:t>1.282</w:t>
            </w:r>
          </w:p>
        </w:tc>
        <w:tc>
          <w:tcPr>
            <w:tcW w:w="1559" w:type="dxa"/>
            <w:shd w:val="clear" w:color="auto" w:fill="auto"/>
            <w:noWrap/>
            <w:vAlign w:val="bottom"/>
            <w:hideMark/>
          </w:tcPr>
          <w:p w14:paraId="4F1E566D" w14:textId="77777777" w:rsidR="008F070F" w:rsidRPr="00E5747D" w:rsidRDefault="008F070F" w:rsidP="008F070F">
            <w:pPr>
              <w:spacing w:line="276" w:lineRule="auto"/>
              <w:jc w:val="right"/>
              <w:rPr>
                <w:sz w:val="22"/>
                <w:szCs w:val="22"/>
                <w:lang w:val="tr-TR"/>
              </w:rPr>
            </w:pPr>
            <w:r w:rsidRPr="00E5747D">
              <w:rPr>
                <w:sz w:val="22"/>
                <w:szCs w:val="22"/>
                <w:lang w:val="tr-TR"/>
              </w:rPr>
              <w:t>1.493</w:t>
            </w:r>
          </w:p>
        </w:tc>
        <w:tc>
          <w:tcPr>
            <w:tcW w:w="1418" w:type="dxa"/>
            <w:shd w:val="clear" w:color="auto" w:fill="auto"/>
            <w:noWrap/>
            <w:vAlign w:val="bottom"/>
            <w:hideMark/>
          </w:tcPr>
          <w:p w14:paraId="59E679B9" w14:textId="77777777" w:rsidR="008F070F" w:rsidRPr="00E5747D" w:rsidRDefault="008F070F" w:rsidP="008F070F">
            <w:pPr>
              <w:spacing w:line="276" w:lineRule="auto"/>
              <w:jc w:val="right"/>
              <w:rPr>
                <w:sz w:val="22"/>
                <w:szCs w:val="22"/>
                <w:lang w:val="tr-TR"/>
              </w:rPr>
            </w:pPr>
            <w:r w:rsidRPr="00E5747D">
              <w:rPr>
                <w:sz w:val="22"/>
                <w:szCs w:val="22"/>
                <w:lang w:val="tr-TR"/>
              </w:rPr>
              <w:t>211</w:t>
            </w:r>
          </w:p>
        </w:tc>
        <w:tc>
          <w:tcPr>
            <w:tcW w:w="1417" w:type="dxa"/>
            <w:shd w:val="clear" w:color="auto" w:fill="auto"/>
            <w:noWrap/>
            <w:vAlign w:val="bottom"/>
            <w:hideMark/>
          </w:tcPr>
          <w:p w14:paraId="79D89E26" w14:textId="77777777" w:rsidR="008F070F" w:rsidRPr="00E5747D" w:rsidRDefault="008F070F" w:rsidP="008F070F">
            <w:pPr>
              <w:spacing w:line="276" w:lineRule="auto"/>
              <w:jc w:val="right"/>
              <w:rPr>
                <w:sz w:val="22"/>
                <w:szCs w:val="22"/>
                <w:lang w:val="tr-TR"/>
              </w:rPr>
            </w:pPr>
            <w:r w:rsidRPr="00E5747D">
              <w:rPr>
                <w:sz w:val="22"/>
                <w:szCs w:val="22"/>
                <w:lang w:val="tr-TR"/>
              </w:rPr>
              <w:t>16,5</w:t>
            </w:r>
          </w:p>
        </w:tc>
      </w:tr>
      <w:tr w:rsidR="008F070F" w:rsidRPr="00E5747D" w14:paraId="642B515A" w14:textId="77777777" w:rsidTr="006E238C">
        <w:trPr>
          <w:trHeight w:val="315"/>
        </w:trPr>
        <w:tc>
          <w:tcPr>
            <w:tcW w:w="3544" w:type="dxa"/>
            <w:shd w:val="clear" w:color="auto" w:fill="auto"/>
            <w:noWrap/>
            <w:hideMark/>
          </w:tcPr>
          <w:p w14:paraId="2D60401E" w14:textId="77777777" w:rsidR="008F070F" w:rsidRPr="00E5747D" w:rsidRDefault="008F070F" w:rsidP="008F070F">
            <w:pPr>
              <w:spacing w:line="276" w:lineRule="auto"/>
              <w:rPr>
                <w:b/>
                <w:sz w:val="22"/>
                <w:szCs w:val="22"/>
                <w:lang w:val="tr-TR"/>
              </w:rPr>
            </w:pPr>
            <w:r w:rsidRPr="00E5747D">
              <w:rPr>
                <w:b/>
                <w:sz w:val="22"/>
                <w:szCs w:val="22"/>
                <w:lang w:val="tr-TR"/>
              </w:rPr>
              <w:t>Kayseri (Kayseri-Sivas-Yozgat)</w:t>
            </w:r>
          </w:p>
        </w:tc>
        <w:tc>
          <w:tcPr>
            <w:tcW w:w="1134" w:type="dxa"/>
            <w:shd w:val="clear" w:color="auto" w:fill="auto"/>
            <w:noWrap/>
            <w:vAlign w:val="bottom"/>
            <w:hideMark/>
          </w:tcPr>
          <w:p w14:paraId="60888F85" w14:textId="77777777" w:rsidR="008F070F" w:rsidRPr="00E5747D" w:rsidRDefault="008F070F" w:rsidP="008F070F">
            <w:pPr>
              <w:spacing w:line="276" w:lineRule="auto"/>
              <w:jc w:val="right"/>
              <w:rPr>
                <w:sz w:val="22"/>
                <w:szCs w:val="22"/>
                <w:lang w:val="tr-TR"/>
              </w:rPr>
            </w:pPr>
            <w:r w:rsidRPr="00E5747D">
              <w:rPr>
                <w:sz w:val="22"/>
                <w:szCs w:val="22"/>
                <w:lang w:val="tr-TR"/>
              </w:rPr>
              <w:t>1.434</w:t>
            </w:r>
          </w:p>
        </w:tc>
        <w:tc>
          <w:tcPr>
            <w:tcW w:w="1559" w:type="dxa"/>
            <w:shd w:val="clear" w:color="auto" w:fill="auto"/>
            <w:noWrap/>
            <w:vAlign w:val="bottom"/>
            <w:hideMark/>
          </w:tcPr>
          <w:p w14:paraId="71F6CC3D" w14:textId="77777777" w:rsidR="008F070F" w:rsidRPr="00E5747D" w:rsidRDefault="008F070F" w:rsidP="008F070F">
            <w:pPr>
              <w:spacing w:line="276" w:lineRule="auto"/>
              <w:jc w:val="right"/>
              <w:rPr>
                <w:sz w:val="22"/>
                <w:szCs w:val="22"/>
                <w:lang w:val="tr-TR"/>
              </w:rPr>
            </w:pPr>
            <w:r w:rsidRPr="00E5747D">
              <w:rPr>
                <w:sz w:val="22"/>
                <w:szCs w:val="22"/>
                <w:lang w:val="tr-TR"/>
              </w:rPr>
              <w:t>1.612</w:t>
            </w:r>
          </w:p>
        </w:tc>
        <w:tc>
          <w:tcPr>
            <w:tcW w:w="1418" w:type="dxa"/>
            <w:shd w:val="clear" w:color="auto" w:fill="auto"/>
            <w:noWrap/>
            <w:vAlign w:val="bottom"/>
            <w:hideMark/>
          </w:tcPr>
          <w:p w14:paraId="240621B8" w14:textId="77777777" w:rsidR="008F070F" w:rsidRPr="00E5747D" w:rsidRDefault="008F070F" w:rsidP="008F070F">
            <w:pPr>
              <w:spacing w:line="276" w:lineRule="auto"/>
              <w:jc w:val="right"/>
              <w:rPr>
                <w:sz w:val="22"/>
                <w:szCs w:val="22"/>
                <w:lang w:val="tr-TR"/>
              </w:rPr>
            </w:pPr>
            <w:r w:rsidRPr="00E5747D">
              <w:rPr>
                <w:sz w:val="22"/>
                <w:szCs w:val="22"/>
                <w:lang w:val="tr-TR"/>
              </w:rPr>
              <w:t>178</w:t>
            </w:r>
          </w:p>
        </w:tc>
        <w:tc>
          <w:tcPr>
            <w:tcW w:w="1417" w:type="dxa"/>
            <w:shd w:val="clear" w:color="auto" w:fill="auto"/>
            <w:noWrap/>
            <w:vAlign w:val="bottom"/>
            <w:hideMark/>
          </w:tcPr>
          <w:p w14:paraId="1A485681" w14:textId="77777777" w:rsidR="008F070F" w:rsidRPr="00E5747D" w:rsidRDefault="008F070F" w:rsidP="008F070F">
            <w:pPr>
              <w:spacing w:line="276" w:lineRule="auto"/>
              <w:jc w:val="right"/>
              <w:rPr>
                <w:sz w:val="22"/>
                <w:szCs w:val="22"/>
                <w:lang w:val="tr-TR"/>
              </w:rPr>
            </w:pPr>
            <w:r w:rsidRPr="00E5747D">
              <w:rPr>
                <w:sz w:val="22"/>
                <w:szCs w:val="22"/>
                <w:lang w:val="tr-TR"/>
              </w:rPr>
              <w:t>12,4</w:t>
            </w:r>
          </w:p>
        </w:tc>
      </w:tr>
      <w:tr w:rsidR="008F070F" w:rsidRPr="00E5747D" w14:paraId="17975757" w14:textId="77777777" w:rsidTr="006E238C">
        <w:trPr>
          <w:trHeight w:val="315"/>
        </w:trPr>
        <w:tc>
          <w:tcPr>
            <w:tcW w:w="3544" w:type="dxa"/>
            <w:shd w:val="clear" w:color="auto" w:fill="auto"/>
            <w:noWrap/>
            <w:hideMark/>
          </w:tcPr>
          <w:p w14:paraId="6CDCD644" w14:textId="77777777" w:rsidR="008F070F" w:rsidRPr="00E5747D" w:rsidRDefault="008F070F" w:rsidP="008F070F">
            <w:pPr>
              <w:spacing w:line="276" w:lineRule="auto"/>
              <w:rPr>
                <w:b/>
                <w:sz w:val="22"/>
                <w:szCs w:val="22"/>
                <w:lang w:val="tr-TR"/>
              </w:rPr>
            </w:pPr>
            <w:r w:rsidRPr="00E5747D">
              <w:rPr>
                <w:b/>
                <w:sz w:val="22"/>
                <w:szCs w:val="22"/>
                <w:lang w:val="tr-TR"/>
              </w:rPr>
              <w:t>Zonguldak (Zonguldak-Karabük-Bartın)</w:t>
            </w:r>
          </w:p>
        </w:tc>
        <w:tc>
          <w:tcPr>
            <w:tcW w:w="1134" w:type="dxa"/>
            <w:shd w:val="clear" w:color="auto" w:fill="auto"/>
            <w:noWrap/>
            <w:vAlign w:val="bottom"/>
            <w:hideMark/>
          </w:tcPr>
          <w:p w14:paraId="6F14D01B" w14:textId="77777777" w:rsidR="008F070F" w:rsidRPr="00E5747D" w:rsidRDefault="008F070F" w:rsidP="008F070F">
            <w:pPr>
              <w:spacing w:line="276" w:lineRule="auto"/>
              <w:jc w:val="right"/>
              <w:rPr>
                <w:sz w:val="22"/>
                <w:szCs w:val="22"/>
                <w:lang w:val="tr-TR"/>
              </w:rPr>
            </w:pPr>
            <w:r w:rsidRPr="00E5747D">
              <w:rPr>
                <w:sz w:val="22"/>
                <w:szCs w:val="22"/>
                <w:lang w:val="tr-TR"/>
              </w:rPr>
              <w:t>1.422</w:t>
            </w:r>
          </w:p>
        </w:tc>
        <w:tc>
          <w:tcPr>
            <w:tcW w:w="1559" w:type="dxa"/>
            <w:shd w:val="clear" w:color="auto" w:fill="auto"/>
            <w:noWrap/>
            <w:vAlign w:val="bottom"/>
            <w:hideMark/>
          </w:tcPr>
          <w:p w14:paraId="0C80A11C" w14:textId="77777777" w:rsidR="008F070F" w:rsidRPr="00E5747D" w:rsidRDefault="008F070F" w:rsidP="008F070F">
            <w:pPr>
              <w:spacing w:line="276" w:lineRule="auto"/>
              <w:jc w:val="right"/>
              <w:rPr>
                <w:sz w:val="22"/>
                <w:szCs w:val="22"/>
                <w:lang w:val="tr-TR"/>
              </w:rPr>
            </w:pPr>
            <w:r w:rsidRPr="00E5747D">
              <w:rPr>
                <w:sz w:val="22"/>
                <w:szCs w:val="22"/>
                <w:lang w:val="tr-TR"/>
              </w:rPr>
              <w:t>1.616</w:t>
            </w:r>
          </w:p>
        </w:tc>
        <w:tc>
          <w:tcPr>
            <w:tcW w:w="1418" w:type="dxa"/>
            <w:shd w:val="clear" w:color="auto" w:fill="auto"/>
            <w:noWrap/>
            <w:vAlign w:val="bottom"/>
            <w:hideMark/>
          </w:tcPr>
          <w:p w14:paraId="3DB1680B" w14:textId="77777777" w:rsidR="008F070F" w:rsidRPr="00E5747D" w:rsidRDefault="008F070F" w:rsidP="008F070F">
            <w:pPr>
              <w:spacing w:line="276" w:lineRule="auto"/>
              <w:jc w:val="right"/>
              <w:rPr>
                <w:sz w:val="22"/>
                <w:szCs w:val="22"/>
                <w:lang w:val="tr-TR"/>
              </w:rPr>
            </w:pPr>
            <w:r w:rsidRPr="00E5747D">
              <w:rPr>
                <w:sz w:val="22"/>
                <w:szCs w:val="22"/>
                <w:lang w:val="tr-TR"/>
              </w:rPr>
              <w:t>194</w:t>
            </w:r>
          </w:p>
        </w:tc>
        <w:tc>
          <w:tcPr>
            <w:tcW w:w="1417" w:type="dxa"/>
            <w:shd w:val="clear" w:color="auto" w:fill="auto"/>
            <w:noWrap/>
            <w:vAlign w:val="bottom"/>
            <w:hideMark/>
          </w:tcPr>
          <w:p w14:paraId="59F142AA" w14:textId="77777777" w:rsidR="008F070F" w:rsidRPr="00E5747D" w:rsidRDefault="008F070F" w:rsidP="008F070F">
            <w:pPr>
              <w:spacing w:line="276" w:lineRule="auto"/>
              <w:jc w:val="right"/>
              <w:rPr>
                <w:sz w:val="22"/>
                <w:szCs w:val="22"/>
                <w:lang w:val="tr-TR"/>
              </w:rPr>
            </w:pPr>
            <w:r w:rsidRPr="00E5747D">
              <w:rPr>
                <w:sz w:val="22"/>
                <w:szCs w:val="22"/>
                <w:lang w:val="tr-TR"/>
              </w:rPr>
              <w:t>13,6</w:t>
            </w:r>
          </w:p>
        </w:tc>
      </w:tr>
      <w:tr w:rsidR="008F070F" w:rsidRPr="00E5747D" w14:paraId="02395434" w14:textId="77777777" w:rsidTr="006E238C">
        <w:trPr>
          <w:trHeight w:val="315"/>
        </w:trPr>
        <w:tc>
          <w:tcPr>
            <w:tcW w:w="3544" w:type="dxa"/>
            <w:shd w:val="clear" w:color="auto" w:fill="auto"/>
            <w:noWrap/>
            <w:hideMark/>
          </w:tcPr>
          <w:p w14:paraId="23FE6772" w14:textId="77777777" w:rsidR="008F070F" w:rsidRPr="00E5747D" w:rsidRDefault="008F070F" w:rsidP="008F070F">
            <w:pPr>
              <w:spacing w:line="276" w:lineRule="auto"/>
              <w:rPr>
                <w:b/>
                <w:sz w:val="22"/>
                <w:szCs w:val="22"/>
                <w:lang w:val="tr-TR"/>
              </w:rPr>
            </w:pPr>
            <w:r w:rsidRPr="00E5747D">
              <w:rPr>
                <w:b/>
                <w:sz w:val="22"/>
                <w:szCs w:val="22"/>
                <w:lang w:val="tr-TR"/>
              </w:rPr>
              <w:t>Kastamonu (Kastamonu-Çankırı-Sinop)</w:t>
            </w:r>
          </w:p>
        </w:tc>
        <w:tc>
          <w:tcPr>
            <w:tcW w:w="1134" w:type="dxa"/>
            <w:shd w:val="clear" w:color="auto" w:fill="auto"/>
            <w:noWrap/>
            <w:vAlign w:val="bottom"/>
            <w:hideMark/>
          </w:tcPr>
          <w:p w14:paraId="71D334C9" w14:textId="77777777" w:rsidR="008F070F" w:rsidRPr="00E5747D" w:rsidRDefault="008F070F" w:rsidP="008F070F">
            <w:pPr>
              <w:spacing w:line="276" w:lineRule="auto"/>
              <w:jc w:val="right"/>
              <w:rPr>
                <w:sz w:val="22"/>
                <w:szCs w:val="22"/>
                <w:lang w:val="tr-TR"/>
              </w:rPr>
            </w:pPr>
            <w:r w:rsidRPr="00E5747D">
              <w:rPr>
                <w:sz w:val="22"/>
                <w:szCs w:val="22"/>
                <w:lang w:val="tr-TR"/>
              </w:rPr>
              <w:t>1.150</w:t>
            </w:r>
          </w:p>
        </w:tc>
        <w:tc>
          <w:tcPr>
            <w:tcW w:w="1559" w:type="dxa"/>
            <w:shd w:val="clear" w:color="auto" w:fill="auto"/>
            <w:noWrap/>
            <w:vAlign w:val="bottom"/>
            <w:hideMark/>
          </w:tcPr>
          <w:p w14:paraId="4E9D01F3" w14:textId="77777777" w:rsidR="008F070F" w:rsidRPr="00E5747D" w:rsidRDefault="008F070F" w:rsidP="008F070F">
            <w:pPr>
              <w:spacing w:line="276" w:lineRule="auto"/>
              <w:jc w:val="right"/>
              <w:rPr>
                <w:sz w:val="22"/>
                <w:szCs w:val="22"/>
                <w:lang w:val="tr-TR"/>
              </w:rPr>
            </w:pPr>
            <w:r w:rsidRPr="00E5747D">
              <w:rPr>
                <w:sz w:val="22"/>
                <w:szCs w:val="22"/>
                <w:lang w:val="tr-TR"/>
              </w:rPr>
              <w:t>1.419</w:t>
            </w:r>
          </w:p>
        </w:tc>
        <w:tc>
          <w:tcPr>
            <w:tcW w:w="1418" w:type="dxa"/>
            <w:shd w:val="clear" w:color="auto" w:fill="auto"/>
            <w:noWrap/>
            <w:vAlign w:val="bottom"/>
            <w:hideMark/>
          </w:tcPr>
          <w:p w14:paraId="786095B9" w14:textId="77777777" w:rsidR="008F070F" w:rsidRPr="00E5747D" w:rsidRDefault="008F070F" w:rsidP="008F070F">
            <w:pPr>
              <w:spacing w:line="276" w:lineRule="auto"/>
              <w:jc w:val="right"/>
              <w:rPr>
                <w:sz w:val="22"/>
                <w:szCs w:val="22"/>
                <w:lang w:val="tr-TR"/>
              </w:rPr>
            </w:pPr>
            <w:r w:rsidRPr="00E5747D">
              <w:rPr>
                <w:sz w:val="22"/>
                <w:szCs w:val="22"/>
                <w:lang w:val="tr-TR"/>
              </w:rPr>
              <w:t>269</w:t>
            </w:r>
          </w:p>
        </w:tc>
        <w:tc>
          <w:tcPr>
            <w:tcW w:w="1417" w:type="dxa"/>
            <w:shd w:val="clear" w:color="auto" w:fill="auto"/>
            <w:noWrap/>
            <w:vAlign w:val="bottom"/>
            <w:hideMark/>
          </w:tcPr>
          <w:p w14:paraId="2C5CE13B" w14:textId="77777777" w:rsidR="008F070F" w:rsidRPr="00E5747D" w:rsidRDefault="008F070F" w:rsidP="008F070F">
            <w:pPr>
              <w:spacing w:line="276" w:lineRule="auto"/>
              <w:jc w:val="right"/>
              <w:rPr>
                <w:sz w:val="22"/>
                <w:szCs w:val="22"/>
                <w:lang w:val="tr-TR"/>
              </w:rPr>
            </w:pPr>
            <w:r w:rsidRPr="00E5747D">
              <w:rPr>
                <w:sz w:val="22"/>
                <w:szCs w:val="22"/>
                <w:lang w:val="tr-TR"/>
              </w:rPr>
              <w:t>23,4</w:t>
            </w:r>
          </w:p>
        </w:tc>
      </w:tr>
      <w:tr w:rsidR="008F070F" w:rsidRPr="00E5747D" w14:paraId="43BA6552" w14:textId="77777777" w:rsidTr="006E238C">
        <w:trPr>
          <w:trHeight w:val="315"/>
        </w:trPr>
        <w:tc>
          <w:tcPr>
            <w:tcW w:w="3544" w:type="dxa"/>
            <w:shd w:val="clear" w:color="auto" w:fill="auto"/>
            <w:noWrap/>
            <w:hideMark/>
          </w:tcPr>
          <w:p w14:paraId="6C5FF21B" w14:textId="77777777" w:rsidR="008F070F" w:rsidRPr="00E5747D" w:rsidRDefault="008F070F" w:rsidP="008F070F">
            <w:pPr>
              <w:spacing w:line="276" w:lineRule="auto"/>
              <w:rPr>
                <w:b/>
                <w:sz w:val="22"/>
                <w:szCs w:val="22"/>
                <w:lang w:val="tr-TR"/>
              </w:rPr>
            </w:pPr>
            <w:r w:rsidRPr="00E5747D">
              <w:rPr>
                <w:b/>
                <w:sz w:val="22"/>
                <w:szCs w:val="22"/>
                <w:lang w:val="tr-TR"/>
              </w:rPr>
              <w:t>Samsun (Samsun-Tokat-Çorum-Amasya)</w:t>
            </w:r>
          </w:p>
        </w:tc>
        <w:tc>
          <w:tcPr>
            <w:tcW w:w="1134" w:type="dxa"/>
            <w:shd w:val="clear" w:color="auto" w:fill="auto"/>
            <w:noWrap/>
            <w:vAlign w:val="bottom"/>
            <w:hideMark/>
          </w:tcPr>
          <w:p w14:paraId="37D7DDE3" w14:textId="77777777" w:rsidR="008F070F" w:rsidRPr="00E5747D" w:rsidRDefault="008F070F" w:rsidP="008F070F">
            <w:pPr>
              <w:spacing w:line="276" w:lineRule="auto"/>
              <w:jc w:val="right"/>
              <w:rPr>
                <w:sz w:val="22"/>
                <w:szCs w:val="22"/>
                <w:lang w:val="tr-TR"/>
              </w:rPr>
            </w:pPr>
            <w:r w:rsidRPr="00E5747D">
              <w:rPr>
                <w:sz w:val="22"/>
                <w:szCs w:val="22"/>
                <w:lang w:val="tr-TR"/>
              </w:rPr>
              <w:t>1.339</w:t>
            </w:r>
          </w:p>
        </w:tc>
        <w:tc>
          <w:tcPr>
            <w:tcW w:w="1559" w:type="dxa"/>
            <w:shd w:val="clear" w:color="auto" w:fill="auto"/>
            <w:noWrap/>
            <w:vAlign w:val="bottom"/>
            <w:hideMark/>
          </w:tcPr>
          <w:p w14:paraId="6F682368" w14:textId="77777777" w:rsidR="008F070F" w:rsidRPr="00E5747D" w:rsidRDefault="008F070F" w:rsidP="008F070F">
            <w:pPr>
              <w:spacing w:line="276" w:lineRule="auto"/>
              <w:jc w:val="right"/>
              <w:rPr>
                <w:sz w:val="22"/>
                <w:szCs w:val="22"/>
                <w:lang w:val="tr-TR"/>
              </w:rPr>
            </w:pPr>
            <w:r w:rsidRPr="00E5747D">
              <w:rPr>
                <w:sz w:val="22"/>
                <w:szCs w:val="22"/>
                <w:lang w:val="tr-TR"/>
              </w:rPr>
              <w:t>1.547</w:t>
            </w:r>
          </w:p>
        </w:tc>
        <w:tc>
          <w:tcPr>
            <w:tcW w:w="1418" w:type="dxa"/>
            <w:shd w:val="clear" w:color="auto" w:fill="auto"/>
            <w:noWrap/>
            <w:vAlign w:val="bottom"/>
            <w:hideMark/>
          </w:tcPr>
          <w:p w14:paraId="092333BD" w14:textId="77777777" w:rsidR="008F070F" w:rsidRPr="00E5747D" w:rsidRDefault="008F070F" w:rsidP="008F070F">
            <w:pPr>
              <w:spacing w:line="276" w:lineRule="auto"/>
              <w:jc w:val="right"/>
              <w:rPr>
                <w:sz w:val="22"/>
                <w:szCs w:val="22"/>
                <w:lang w:val="tr-TR"/>
              </w:rPr>
            </w:pPr>
            <w:r w:rsidRPr="00E5747D">
              <w:rPr>
                <w:sz w:val="22"/>
                <w:szCs w:val="22"/>
                <w:lang w:val="tr-TR"/>
              </w:rPr>
              <w:t>208</w:t>
            </w:r>
          </w:p>
        </w:tc>
        <w:tc>
          <w:tcPr>
            <w:tcW w:w="1417" w:type="dxa"/>
            <w:shd w:val="clear" w:color="auto" w:fill="auto"/>
            <w:noWrap/>
            <w:vAlign w:val="bottom"/>
            <w:hideMark/>
          </w:tcPr>
          <w:p w14:paraId="26847CF4" w14:textId="77777777" w:rsidR="008F070F" w:rsidRPr="00E5747D" w:rsidRDefault="008F070F" w:rsidP="008F070F">
            <w:pPr>
              <w:spacing w:line="276" w:lineRule="auto"/>
              <w:jc w:val="right"/>
              <w:rPr>
                <w:sz w:val="22"/>
                <w:szCs w:val="22"/>
                <w:lang w:val="tr-TR"/>
              </w:rPr>
            </w:pPr>
            <w:r w:rsidRPr="00E5747D">
              <w:rPr>
                <w:sz w:val="22"/>
                <w:szCs w:val="22"/>
                <w:lang w:val="tr-TR"/>
              </w:rPr>
              <w:t>15,5</w:t>
            </w:r>
          </w:p>
        </w:tc>
      </w:tr>
      <w:tr w:rsidR="008F070F" w:rsidRPr="00E5747D" w14:paraId="41A3A6E3" w14:textId="77777777" w:rsidTr="006E238C">
        <w:trPr>
          <w:trHeight w:val="315"/>
        </w:trPr>
        <w:tc>
          <w:tcPr>
            <w:tcW w:w="3544" w:type="dxa"/>
            <w:shd w:val="clear" w:color="auto" w:fill="auto"/>
            <w:noWrap/>
            <w:hideMark/>
          </w:tcPr>
          <w:p w14:paraId="60CDDBF8" w14:textId="77777777" w:rsidR="008F070F" w:rsidRPr="00E5747D" w:rsidRDefault="008F070F" w:rsidP="008F070F">
            <w:pPr>
              <w:spacing w:line="276" w:lineRule="auto"/>
              <w:rPr>
                <w:b/>
                <w:sz w:val="22"/>
                <w:szCs w:val="22"/>
                <w:lang w:val="tr-TR"/>
              </w:rPr>
            </w:pPr>
            <w:r w:rsidRPr="00E5747D">
              <w:rPr>
                <w:b/>
                <w:sz w:val="22"/>
                <w:szCs w:val="22"/>
                <w:lang w:val="tr-TR"/>
              </w:rPr>
              <w:t>Trabzon (Trabzon-Ordu-Giresun-Rize-Artvin-Gümüşhane)</w:t>
            </w:r>
          </w:p>
        </w:tc>
        <w:tc>
          <w:tcPr>
            <w:tcW w:w="1134" w:type="dxa"/>
            <w:shd w:val="clear" w:color="auto" w:fill="auto"/>
            <w:noWrap/>
            <w:vAlign w:val="bottom"/>
            <w:hideMark/>
          </w:tcPr>
          <w:p w14:paraId="547CA97C" w14:textId="77777777" w:rsidR="008F070F" w:rsidRPr="00E5747D" w:rsidRDefault="008F070F" w:rsidP="008F070F">
            <w:pPr>
              <w:spacing w:line="276" w:lineRule="auto"/>
              <w:jc w:val="right"/>
              <w:rPr>
                <w:sz w:val="22"/>
                <w:szCs w:val="22"/>
                <w:lang w:val="tr-TR"/>
              </w:rPr>
            </w:pPr>
            <w:r w:rsidRPr="00E5747D">
              <w:rPr>
                <w:sz w:val="22"/>
                <w:szCs w:val="22"/>
                <w:lang w:val="tr-TR"/>
              </w:rPr>
              <w:t>1.334</w:t>
            </w:r>
          </w:p>
        </w:tc>
        <w:tc>
          <w:tcPr>
            <w:tcW w:w="1559" w:type="dxa"/>
            <w:shd w:val="clear" w:color="auto" w:fill="auto"/>
            <w:noWrap/>
            <w:vAlign w:val="bottom"/>
            <w:hideMark/>
          </w:tcPr>
          <w:p w14:paraId="4D7EE592" w14:textId="77777777" w:rsidR="008F070F" w:rsidRPr="00E5747D" w:rsidRDefault="008F070F" w:rsidP="008F070F">
            <w:pPr>
              <w:spacing w:line="276" w:lineRule="auto"/>
              <w:jc w:val="right"/>
              <w:rPr>
                <w:sz w:val="22"/>
                <w:szCs w:val="22"/>
                <w:lang w:val="tr-TR"/>
              </w:rPr>
            </w:pPr>
            <w:r w:rsidRPr="00E5747D">
              <w:rPr>
                <w:sz w:val="22"/>
                <w:szCs w:val="22"/>
                <w:lang w:val="tr-TR"/>
              </w:rPr>
              <w:t>1.531</w:t>
            </w:r>
          </w:p>
        </w:tc>
        <w:tc>
          <w:tcPr>
            <w:tcW w:w="1418" w:type="dxa"/>
            <w:shd w:val="clear" w:color="auto" w:fill="auto"/>
            <w:noWrap/>
            <w:vAlign w:val="bottom"/>
            <w:hideMark/>
          </w:tcPr>
          <w:p w14:paraId="1839DE9E" w14:textId="77777777" w:rsidR="008F070F" w:rsidRPr="00E5747D" w:rsidRDefault="008F070F" w:rsidP="008F070F">
            <w:pPr>
              <w:spacing w:line="276" w:lineRule="auto"/>
              <w:jc w:val="right"/>
              <w:rPr>
                <w:sz w:val="22"/>
                <w:szCs w:val="22"/>
                <w:lang w:val="tr-TR"/>
              </w:rPr>
            </w:pPr>
            <w:r w:rsidRPr="00E5747D">
              <w:rPr>
                <w:sz w:val="22"/>
                <w:szCs w:val="22"/>
                <w:lang w:val="tr-TR"/>
              </w:rPr>
              <w:t>197</w:t>
            </w:r>
          </w:p>
        </w:tc>
        <w:tc>
          <w:tcPr>
            <w:tcW w:w="1417" w:type="dxa"/>
            <w:shd w:val="clear" w:color="auto" w:fill="auto"/>
            <w:noWrap/>
            <w:vAlign w:val="bottom"/>
            <w:hideMark/>
          </w:tcPr>
          <w:p w14:paraId="7F1E1F4C" w14:textId="77777777" w:rsidR="008F070F" w:rsidRPr="00E5747D" w:rsidRDefault="008F070F" w:rsidP="008F070F">
            <w:pPr>
              <w:spacing w:line="276" w:lineRule="auto"/>
              <w:jc w:val="right"/>
              <w:rPr>
                <w:sz w:val="22"/>
                <w:szCs w:val="22"/>
                <w:lang w:val="tr-TR"/>
              </w:rPr>
            </w:pPr>
            <w:r w:rsidRPr="00E5747D">
              <w:rPr>
                <w:sz w:val="22"/>
                <w:szCs w:val="22"/>
                <w:lang w:val="tr-TR"/>
              </w:rPr>
              <w:t>14,8</w:t>
            </w:r>
          </w:p>
        </w:tc>
      </w:tr>
      <w:tr w:rsidR="008F070F" w:rsidRPr="00E5747D" w14:paraId="717C12B6" w14:textId="77777777" w:rsidTr="006E238C">
        <w:trPr>
          <w:trHeight w:val="315"/>
        </w:trPr>
        <w:tc>
          <w:tcPr>
            <w:tcW w:w="3544" w:type="dxa"/>
            <w:shd w:val="clear" w:color="auto" w:fill="auto"/>
            <w:noWrap/>
            <w:hideMark/>
          </w:tcPr>
          <w:p w14:paraId="3E462B1B" w14:textId="77777777" w:rsidR="008F070F" w:rsidRPr="00E5747D" w:rsidRDefault="008F070F" w:rsidP="008F070F">
            <w:pPr>
              <w:spacing w:line="276" w:lineRule="auto"/>
              <w:rPr>
                <w:b/>
                <w:sz w:val="22"/>
                <w:szCs w:val="22"/>
                <w:lang w:val="tr-TR"/>
              </w:rPr>
            </w:pPr>
            <w:r w:rsidRPr="00E5747D">
              <w:rPr>
                <w:b/>
                <w:sz w:val="22"/>
                <w:szCs w:val="22"/>
                <w:lang w:val="tr-TR"/>
              </w:rPr>
              <w:t>Erzurum (Erzurum-Erzincan-Bayburt)</w:t>
            </w:r>
          </w:p>
        </w:tc>
        <w:tc>
          <w:tcPr>
            <w:tcW w:w="1134" w:type="dxa"/>
            <w:shd w:val="clear" w:color="auto" w:fill="auto"/>
            <w:noWrap/>
            <w:vAlign w:val="bottom"/>
            <w:hideMark/>
          </w:tcPr>
          <w:p w14:paraId="24F08014" w14:textId="77777777" w:rsidR="008F070F" w:rsidRPr="00E5747D" w:rsidRDefault="008F070F" w:rsidP="008F070F">
            <w:pPr>
              <w:spacing w:line="276" w:lineRule="auto"/>
              <w:jc w:val="right"/>
              <w:rPr>
                <w:sz w:val="22"/>
                <w:szCs w:val="22"/>
                <w:lang w:val="tr-TR"/>
              </w:rPr>
            </w:pPr>
            <w:r w:rsidRPr="00E5747D">
              <w:rPr>
                <w:sz w:val="22"/>
                <w:szCs w:val="22"/>
                <w:lang w:val="tr-TR"/>
              </w:rPr>
              <w:t>1.320</w:t>
            </w:r>
          </w:p>
        </w:tc>
        <w:tc>
          <w:tcPr>
            <w:tcW w:w="1559" w:type="dxa"/>
            <w:shd w:val="clear" w:color="auto" w:fill="auto"/>
            <w:noWrap/>
            <w:vAlign w:val="bottom"/>
            <w:hideMark/>
          </w:tcPr>
          <w:p w14:paraId="396E4DDE" w14:textId="77777777" w:rsidR="008F070F" w:rsidRPr="00E5747D" w:rsidRDefault="008F070F" w:rsidP="008F070F">
            <w:pPr>
              <w:spacing w:line="276" w:lineRule="auto"/>
              <w:jc w:val="right"/>
              <w:rPr>
                <w:sz w:val="22"/>
                <w:szCs w:val="22"/>
                <w:lang w:val="tr-TR"/>
              </w:rPr>
            </w:pPr>
            <w:r w:rsidRPr="00E5747D">
              <w:rPr>
                <w:sz w:val="22"/>
                <w:szCs w:val="22"/>
                <w:lang w:val="tr-TR"/>
              </w:rPr>
              <w:t>1.520</w:t>
            </w:r>
          </w:p>
        </w:tc>
        <w:tc>
          <w:tcPr>
            <w:tcW w:w="1418" w:type="dxa"/>
            <w:shd w:val="clear" w:color="auto" w:fill="auto"/>
            <w:noWrap/>
            <w:vAlign w:val="bottom"/>
            <w:hideMark/>
          </w:tcPr>
          <w:p w14:paraId="57AE05E1" w14:textId="77777777" w:rsidR="008F070F" w:rsidRPr="00E5747D" w:rsidRDefault="008F070F" w:rsidP="008F070F">
            <w:pPr>
              <w:spacing w:line="276" w:lineRule="auto"/>
              <w:jc w:val="right"/>
              <w:rPr>
                <w:sz w:val="22"/>
                <w:szCs w:val="22"/>
                <w:lang w:val="tr-TR"/>
              </w:rPr>
            </w:pPr>
            <w:r w:rsidRPr="00E5747D">
              <w:rPr>
                <w:sz w:val="22"/>
                <w:szCs w:val="22"/>
                <w:lang w:val="tr-TR"/>
              </w:rPr>
              <w:t>200</w:t>
            </w:r>
          </w:p>
        </w:tc>
        <w:tc>
          <w:tcPr>
            <w:tcW w:w="1417" w:type="dxa"/>
            <w:shd w:val="clear" w:color="auto" w:fill="auto"/>
            <w:noWrap/>
            <w:vAlign w:val="bottom"/>
            <w:hideMark/>
          </w:tcPr>
          <w:p w14:paraId="4A246679" w14:textId="77777777" w:rsidR="008F070F" w:rsidRPr="00E5747D" w:rsidRDefault="008F070F" w:rsidP="008F070F">
            <w:pPr>
              <w:spacing w:line="276" w:lineRule="auto"/>
              <w:jc w:val="right"/>
              <w:rPr>
                <w:sz w:val="22"/>
                <w:szCs w:val="22"/>
                <w:lang w:val="tr-TR"/>
              </w:rPr>
            </w:pPr>
            <w:r w:rsidRPr="00E5747D">
              <w:rPr>
                <w:sz w:val="22"/>
                <w:szCs w:val="22"/>
                <w:lang w:val="tr-TR"/>
              </w:rPr>
              <w:t>15,2</w:t>
            </w:r>
          </w:p>
        </w:tc>
      </w:tr>
      <w:tr w:rsidR="008F070F" w:rsidRPr="00E5747D" w14:paraId="6D27E710" w14:textId="77777777" w:rsidTr="006E238C">
        <w:trPr>
          <w:trHeight w:val="315"/>
        </w:trPr>
        <w:tc>
          <w:tcPr>
            <w:tcW w:w="3544" w:type="dxa"/>
            <w:shd w:val="clear" w:color="auto" w:fill="auto"/>
            <w:noWrap/>
            <w:hideMark/>
          </w:tcPr>
          <w:p w14:paraId="3FE6B964" w14:textId="77777777" w:rsidR="008F070F" w:rsidRPr="00E5747D" w:rsidRDefault="008F070F" w:rsidP="008F070F">
            <w:pPr>
              <w:spacing w:line="276" w:lineRule="auto"/>
              <w:rPr>
                <w:b/>
                <w:sz w:val="22"/>
                <w:szCs w:val="22"/>
                <w:lang w:val="tr-TR"/>
              </w:rPr>
            </w:pPr>
            <w:r w:rsidRPr="00E5747D">
              <w:rPr>
                <w:b/>
                <w:sz w:val="22"/>
                <w:szCs w:val="22"/>
                <w:lang w:val="tr-TR"/>
              </w:rPr>
              <w:t>Ağrı (Kars-Ağrı-Iğdır-Ardahan)</w:t>
            </w:r>
          </w:p>
        </w:tc>
        <w:tc>
          <w:tcPr>
            <w:tcW w:w="1134" w:type="dxa"/>
            <w:shd w:val="clear" w:color="auto" w:fill="auto"/>
            <w:noWrap/>
            <w:vAlign w:val="bottom"/>
            <w:hideMark/>
          </w:tcPr>
          <w:p w14:paraId="1163131D" w14:textId="77777777" w:rsidR="008F070F" w:rsidRPr="00E5747D" w:rsidRDefault="008F070F" w:rsidP="008F070F">
            <w:pPr>
              <w:spacing w:line="276" w:lineRule="auto"/>
              <w:jc w:val="right"/>
              <w:rPr>
                <w:sz w:val="22"/>
                <w:szCs w:val="22"/>
                <w:lang w:val="tr-TR"/>
              </w:rPr>
            </w:pPr>
            <w:r w:rsidRPr="00E5747D">
              <w:rPr>
                <w:sz w:val="22"/>
                <w:szCs w:val="22"/>
                <w:lang w:val="tr-TR"/>
              </w:rPr>
              <w:t>1.316</w:t>
            </w:r>
          </w:p>
        </w:tc>
        <w:tc>
          <w:tcPr>
            <w:tcW w:w="1559" w:type="dxa"/>
            <w:shd w:val="clear" w:color="auto" w:fill="auto"/>
            <w:noWrap/>
            <w:vAlign w:val="bottom"/>
            <w:hideMark/>
          </w:tcPr>
          <w:p w14:paraId="20E0F496" w14:textId="77777777" w:rsidR="008F070F" w:rsidRPr="00E5747D" w:rsidRDefault="008F070F" w:rsidP="008F070F">
            <w:pPr>
              <w:spacing w:line="276" w:lineRule="auto"/>
              <w:jc w:val="right"/>
              <w:rPr>
                <w:sz w:val="22"/>
                <w:szCs w:val="22"/>
                <w:lang w:val="tr-TR"/>
              </w:rPr>
            </w:pPr>
            <w:r w:rsidRPr="00E5747D">
              <w:rPr>
                <w:sz w:val="22"/>
                <w:szCs w:val="22"/>
                <w:lang w:val="tr-TR"/>
              </w:rPr>
              <w:t>1.510</w:t>
            </w:r>
          </w:p>
        </w:tc>
        <w:tc>
          <w:tcPr>
            <w:tcW w:w="1418" w:type="dxa"/>
            <w:shd w:val="clear" w:color="auto" w:fill="auto"/>
            <w:noWrap/>
            <w:vAlign w:val="bottom"/>
            <w:hideMark/>
          </w:tcPr>
          <w:p w14:paraId="7113E90B" w14:textId="77777777" w:rsidR="008F070F" w:rsidRPr="00E5747D" w:rsidRDefault="008F070F" w:rsidP="008F070F">
            <w:pPr>
              <w:spacing w:line="276" w:lineRule="auto"/>
              <w:jc w:val="right"/>
              <w:rPr>
                <w:sz w:val="22"/>
                <w:szCs w:val="22"/>
                <w:lang w:val="tr-TR"/>
              </w:rPr>
            </w:pPr>
            <w:r w:rsidRPr="00E5747D">
              <w:rPr>
                <w:sz w:val="22"/>
                <w:szCs w:val="22"/>
                <w:lang w:val="tr-TR"/>
              </w:rPr>
              <w:t>194</w:t>
            </w:r>
          </w:p>
        </w:tc>
        <w:tc>
          <w:tcPr>
            <w:tcW w:w="1417" w:type="dxa"/>
            <w:shd w:val="clear" w:color="auto" w:fill="auto"/>
            <w:noWrap/>
            <w:vAlign w:val="bottom"/>
            <w:hideMark/>
          </w:tcPr>
          <w:p w14:paraId="23E040EF" w14:textId="77777777" w:rsidR="008F070F" w:rsidRPr="00E5747D" w:rsidRDefault="008F070F" w:rsidP="008F070F">
            <w:pPr>
              <w:spacing w:line="276" w:lineRule="auto"/>
              <w:jc w:val="right"/>
              <w:rPr>
                <w:sz w:val="22"/>
                <w:szCs w:val="22"/>
                <w:lang w:val="tr-TR"/>
              </w:rPr>
            </w:pPr>
            <w:r w:rsidRPr="00E5747D">
              <w:rPr>
                <w:sz w:val="22"/>
                <w:szCs w:val="22"/>
                <w:lang w:val="tr-TR"/>
              </w:rPr>
              <w:t>14,7</w:t>
            </w:r>
          </w:p>
        </w:tc>
      </w:tr>
      <w:tr w:rsidR="008F070F" w:rsidRPr="00E5747D" w14:paraId="1F159A0B" w14:textId="77777777" w:rsidTr="006E238C">
        <w:trPr>
          <w:trHeight w:val="315"/>
        </w:trPr>
        <w:tc>
          <w:tcPr>
            <w:tcW w:w="3544" w:type="dxa"/>
            <w:shd w:val="clear" w:color="auto" w:fill="auto"/>
            <w:noWrap/>
            <w:hideMark/>
          </w:tcPr>
          <w:p w14:paraId="2ED853A4" w14:textId="77777777" w:rsidR="008F070F" w:rsidRPr="00E5747D" w:rsidRDefault="008F070F" w:rsidP="008F070F">
            <w:pPr>
              <w:spacing w:line="276" w:lineRule="auto"/>
              <w:rPr>
                <w:b/>
                <w:sz w:val="22"/>
                <w:szCs w:val="22"/>
                <w:lang w:val="tr-TR"/>
              </w:rPr>
            </w:pPr>
            <w:r w:rsidRPr="00E5747D">
              <w:rPr>
                <w:b/>
                <w:sz w:val="22"/>
                <w:szCs w:val="22"/>
                <w:lang w:val="tr-TR"/>
              </w:rPr>
              <w:t>Malatya (Malatya-Elazığ-Bingöl-Tunceli)</w:t>
            </w:r>
          </w:p>
        </w:tc>
        <w:tc>
          <w:tcPr>
            <w:tcW w:w="1134" w:type="dxa"/>
            <w:shd w:val="clear" w:color="auto" w:fill="auto"/>
            <w:noWrap/>
            <w:vAlign w:val="bottom"/>
            <w:hideMark/>
          </w:tcPr>
          <w:p w14:paraId="3C0D73C0" w14:textId="77777777" w:rsidR="008F070F" w:rsidRPr="00E5747D" w:rsidRDefault="008F070F" w:rsidP="008F070F">
            <w:pPr>
              <w:spacing w:line="276" w:lineRule="auto"/>
              <w:jc w:val="right"/>
              <w:rPr>
                <w:sz w:val="22"/>
                <w:szCs w:val="22"/>
                <w:lang w:val="tr-TR"/>
              </w:rPr>
            </w:pPr>
            <w:r w:rsidRPr="00E5747D">
              <w:rPr>
                <w:sz w:val="22"/>
                <w:szCs w:val="22"/>
                <w:lang w:val="tr-TR"/>
              </w:rPr>
              <w:t>1.188</w:t>
            </w:r>
          </w:p>
        </w:tc>
        <w:tc>
          <w:tcPr>
            <w:tcW w:w="1559" w:type="dxa"/>
            <w:shd w:val="clear" w:color="auto" w:fill="auto"/>
            <w:noWrap/>
            <w:vAlign w:val="bottom"/>
            <w:hideMark/>
          </w:tcPr>
          <w:p w14:paraId="6B1E56ED" w14:textId="77777777" w:rsidR="008F070F" w:rsidRPr="00E5747D" w:rsidRDefault="008F070F" w:rsidP="008F070F">
            <w:pPr>
              <w:spacing w:line="276" w:lineRule="auto"/>
              <w:jc w:val="right"/>
              <w:rPr>
                <w:sz w:val="22"/>
                <w:szCs w:val="22"/>
                <w:lang w:val="tr-TR"/>
              </w:rPr>
            </w:pPr>
            <w:r w:rsidRPr="00E5747D">
              <w:rPr>
                <w:sz w:val="22"/>
                <w:szCs w:val="22"/>
                <w:lang w:val="tr-TR"/>
              </w:rPr>
              <w:t>1.433</w:t>
            </w:r>
          </w:p>
        </w:tc>
        <w:tc>
          <w:tcPr>
            <w:tcW w:w="1418" w:type="dxa"/>
            <w:shd w:val="clear" w:color="auto" w:fill="auto"/>
            <w:noWrap/>
            <w:vAlign w:val="bottom"/>
            <w:hideMark/>
          </w:tcPr>
          <w:p w14:paraId="05F9BB8F" w14:textId="77777777" w:rsidR="008F070F" w:rsidRPr="00E5747D" w:rsidRDefault="008F070F" w:rsidP="008F070F">
            <w:pPr>
              <w:spacing w:line="276" w:lineRule="auto"/>
              <w:jc w:val="right"/>
              <w:rPr>
                <w:sz w:val="22"/>
                <w:szCs w:val="22"/>
                <w:lang w:val="tr-TR"/>
              </w:rPr>
            </w:pPr>
            <w:r w:rsidRPr="00E5747D">
              <w:rPr>
                <w:sz w:val="22"/>
                <w:szCs w:val="22"/>
                <w:lang w:val="tr-TR"/>
              </w:rPr>
              <w:t>245</w:t>
            </w:r>
          </w:p>
        </w:tc>
        <w:tc>
          <w:tcPr>
            <w:tcW w:w="1417" w:type="dxa"/>
            <w:shd w:val="clear" w:color="auto" w:fill="auto"/>
            <w:noWrap/>
            <w:vAlign w:val="bottom"/>
            <w:hideMark/>
          </w:tcPr>
          <w:p w14:paraId="589D215C" w14:textId="77777777" w:rsidR="008F070F" w:rsidRPr="00E5747D" w:rsidRDefault="008F070F" w:rsidP="008F070F">
            <w:pPr>
              <w:spacing w:line="276" w:lineRule="auto"/>
              <w:jc w:val="right"/>
              <w:rPr>
                <w:sz w:val="22"/>
                <w:szCs w:val="22"/>
                <w:lang w:val="tr-TR"/>
              </w:rPr>
            </w:pPr>
            <w:r w:rsidRPr="00E5747D">
              <w:rPr>
                <w:sz w:val="22"/>
                <w:szCs w:val="22"/>
                <w:lang w:val="tr-TR"/>
              </w:rPr>
              <w:t>20,6</w:t>
            </w:r>
          </w:p>
        </w:tc>
      </w:tr>
      <w:tr w:rsidR="008F070F" w:rsidRPr="00E5747D" w14:paraId="063AE059" w14:textId="77777777" w:rsidTr="006E238C">
        <w:trPr>
          <w:trHeight w:val="315"/>
        </w:trPr>
        <w:tc>
          <w:tcPr>
            <w:tcW w:w="3544" w:type="dxa"/>
            <w:shd w:val="clear" w:color="auto" w:fill="auto"/>
            <w:noWrap/>
            <w:hideMark/>
          </w:tcPr>
          <w:p w14:paraId="1AC366C0" w14:textId="77777777" w:rsidR="008F070F" w:rsidRPr="00E5747D" w:rsidRDefault="008F070F" w:rsidP="008F070F">
            <w:pPr>
              <w:spacing w:line="276" w:lineRule="auto"/>
              <w:rPr>
                <w:b/>
                <w:sz w:val="22"/>
                <w:szCs w:val="22"/>
                <w:lang w:val="tr-TR"/>
              </w:rPr>
            </w:pPr>
            <w:r w:rsidRPr="00E5747D">
              <w:rPr>
                <w:b/>
                <w:sz w:val="22"/>
                <w:szCs w:val="22"/>
                <w:lang w:val="tr-TR"/>
              </w:rPr>
              <w:t>Van (Van-Muş-Bitlis-Hakkâri)</w:t>
            </w:r>
          </w:p>
        </w:tc>
        <w:tc>
          <w:tcPr>
            <w:tcW w:w="1134" w:type="dxa"/>
            <w:shd w:val="clear" w:color="auto" w:fill="auto"/>
            <w:noWrap/>
            <w:vAlign w:val="bottom"/>
            <w:hideMark/>
          </w:tcPr>
          <w:p w14:paraId="5549838E" w14:textId="77777777" w:rsidR="008F070F" w:rsidRPr="00E5747D" w:rsidRDefault="008F070F" w:rsidP="008F070F">
            <w:pPr>
              <w:spacing w:line="276" w:lineRule="auto"/>
              <w:jc w:val="right"/>
              <w:rPr>
                <w:sz w:val="22"/>
                <w:szCs w:val="22"/>
                <w:lang w:val="tr-TR"/>
              </w:rPr>
            </w:pPr>
            <w:r w:rsidRPr="00E5747D">
              <w:rPr>
                <w:sz w:val="22"/>
                <w:szCs w:val="22"/>
                <w:lang w:val="tr-TR"/>
              </w:rPr>
              <w:t>1.333</w:t>
            </w:r>
          </w:p>
        </w:tc>
        <w:tc>
          <w:tcPr>
            <w:tcW w:w="1559" w:type="dxa"/>
            <w:shd w:val="clear" w:color="auto" w:fill="auto"/>
            <w:noWrap/>
            <w:vAlign w:val="bottom"/>
            <w:hideMark/>
          </w:tcPr>
          <w:p w14:paraId="0048B415" w14:textId="77777777" w:rsidR="008F070F" w:rsidRPr="00E5747D" w:rsidRDefault="008F070F" w:rsidP="008F070F">
            <w:pPr>
              <w:spacing w:line="276" w:lineRule="auto"/>
              <w:jc w:val="right"/>
              <w:rPr>
                <w:sz w:val="22"/>
                <w:szCs w:val="22"/>
                <w:lang w:val="tr-TR"/>
              </w:rPr>
            </w:pPr>
            <w:r w:rsidRPr="00E5747D">
              <w:rPr>
                <w:sz w:val="22"/>
                <w:szCs w:val="22"/>
                <w:lang w:val="tr-TR"/>
              </w:rPr>
              <w:t>1.506</w:t>
            </w:r>
          </w:p>
        </w:tc>
        <w:tc>
          <w:tcPr>
            <w:tcW w:w="1418" w:type="dxa"/>
            <w:shd w:val="clear" w:color="auto" w:fill="auto"/>
            <w:noWrap/>
            <w:vAlign w:val="bottom"/>
            <w:hideMark/>
          </w:tcPr>
          <w:p w14:paraId="003146C6" w14:textId="77777777" w:rsidR="008F070F" w:rsidRPr="00E5747D" w:rsidRDefault="008F070F" w:rsidP="008F070F">
            <w:pPr>
              <w:spacing w:line="276" w:lineRule="auto"/>
              <w:jc w:val="right"/>
              <w:rPr>
                <w:sz w:val="22"/>
                <w:szCs w:val="22"/>
                <w:lang w:val="tr-TR"/>
              </w:rPr>
            </w:pPr>
            <w:r w:rsidRPr="00E5747D">
              <w:rPr>
                <w:sz w:val="22"/>
                <w:szCs w:val="22"/>
                <w:lang w:val="tr-TR"/>
              </w:rPr>
              <w:t>173</w:t>
            </w:r>
          </w:p>
        </w:tc>
        <w:tc>
          <w:tcPr>
            <w:tcW w:w="1417" w:type="dxa"/>
            <w:shd w:val="clear" w:color="auto" w:fill="auto"/>
            <w:noWrap/>
            <w:vAlign w:val="bottom"/>
            <w:hideMark/>
          </w:tcPr>
          <w:p w14:paraId="7D74D5CC" w14:textId="77777777" w:rsidR="008F070F" w:rsidRPr="00E5747D" w:rsidRDefault="008F070F" w:rsidP="008F070F">
            <w:pPr>
              <w:spacing w:line="276" w:lineRule="auto"/>
              <w:jc w:val="right"/>
              <w:rPr>
                <w:sz w:val="22"/>
                <w:szCs w:val="22"/>
                <w:lang w:val="tr-TR"/>
              </w:rPr>
            </w:pPr>
            <w:r w:rsidRPr="00E5747D">
              <w:rPr>
                <w:sz w:val="22"/>
                <w:szCs w:val="22"/>
                <w:lang w:val="tr-TR"/>
              </w:rPr>
              <w:t>13,0</w:t>
            </w:r>
          </w:p>
        </w:tc>
      </w:tr>
      <w:tr w:rsidR="008F070F" w:rsidRPr="00E5747D" w14:paraId="5F331C9C" w14:textId="77777777" w:rsidTr="006E238C">
        <w:trPr>
          <w:trHeight w:val="315"/>
        </w:trPr>
        <w:tc>
          <w:tcPr>
            <w:tcW w:w="3544" w:type="dxa"/>
            <w:shd w:val="clear" w:color="auto" w:fill="auto"/>
            <w:noWrap/>
            <w:hideMark/>
          </w:tcPr>
          <w:p w14:paraId="1BBD5DD2" w14:textId="77777777" w:rsidR="008F070F" w:rsidRPr="00E5747D" w:rsidRDefault="008F070F" w:rsidP="008F070F">
            <w:pPr>
              <w:spacing w:line="276" w:lineRule="auto"/>
              <w:rPr>
                <w:b/>
                <w:sz w:val="22"/>
                <w:szCs w:val="22"/>
                <w:lang w:val="tr-TR"/>
              </w:rPr>
            </w:pPr>
            <w:r w:rsidRPr="00E5747D">
              <w:rPr>
                <w:b/>
                <w:sz w:val="22"/>
                <w:szCs w:val="22"/>
                <w:lang w:val="tr-TR"/>
              </w:rPr>
              <w:t>Gaziantep (Gaziantep-Adıyaman-Kilis)</w:t>
            </w:r>
          </w:p>
        </w:tc>
        <w:tc>
          <w:tcPr>
            <w:tcW w:w="1134" w:type="dxa"/>
            <w:shd w:val="clear" w:color="auto" w:fill="auto"/>
            <w:noWrap/>
            <w:vAlign w:val="bottom"/>
            <w:hideMark/>
          </w:tcPr>
          <w:p w14:paraId="4AC51090" w14:textId="77777777" w:rsidR="008F070F" w:rsidRPr="00E5747D" w:rsidRDefault="008F070F" w:rsidP="008F070F">
            <w:pPr>
              <w:spacing w:line="276" w:lineRule="auto"/>
              <w:jc w:val="right"/>
              <w:rPr>
                <w:sz w:val="22"/>
                <w:szCs w:val="22"/>
                <w:lang w:val="tr-TR"/>
              </w:rPr>
            </w:pPr>
            <w:r w:rsidRPr="00E5747D">
              <w:rPr>
                <w:sz w:val="22"/>
                <w:szCs w:val="22"/>
                <w:lang w:val="tr-TR"/>
              </w:rPr>
              <w:t>1.289</w:t>
            </w:r>
          </w:p>
        </w:tc>
        <w:tc>
          <w:tcPr>
            <w:tcW w:w="1559" w:type="dxa"/>
            <w:shd w:val="clear" w:color="auto" w:fill="auto"/>
            <w:noWrap/>
            <w:vAlign w:val="bottom"/>
            <w:hideMark/>
          </w:tcPr>
          <w:p w14:paraId="051944E6" w14:textId="77777777" w:rsidR="008F070F" w:rsidRPr="00E5747D" w:rsidRDefault="008F070F" w:rsidP="008F070F">
            <w:pPr>
              <w:spacing w:line="276" w:lineRule="auto"/>
              <w:jc w:val="right"/>
              <w:rPr>
                <w:sz w:val="22"/>
                <w:szCs w:val="22"/>
                <w:lang w:val="tr-TR"/>
              </w:rPr>
            </w:pPr>
            <w:r w:rsidRPr="00E5747D">
              <w:rPr>
                <w:sz w:val="22"/>
                <w:szCs w:val="22"/>
                <w:lang w:val="tr-TR"/>
              </w:rPr>
              <w:t>1.497</w:t>
            </w:r>
          </w:p>
        </w:tc>
        <w:tc>
          <w:tcPr>
            <w:tcW w:w="1418" w:type="dxa"/>
            <w:shd w:val="clear" w:color="auto" w:fill="auto"/>
            <w:noWrap/>
            <w:vAlign w:val="bottom"/>
            <w:hideMark/>
          </w:tcPr>
          <w:p w14:paraId="3574E434" w14:textId="77777777" w:rsidR="008F070F" w:rsidRPr="00E5747D" w:rsidRDefault="008F070F" w:rsidP="008F070F">
            <w:pPr>
              <w:spacing w:line="276" w:lineRule="auto"/>
              <w:jc w:val="right"/>
              <w:rPr>
                <w:sz w:val="22"/>
                <w:szCs w:val="22"/>
                <w:lang w:val="tr-TR"/>
              </w:rPr>
            </w:pPr>
            <w:r w:rsidRPr="00E5747D">
              <w:rPr>
                <w:sz w:val="22"/>
                <w:szCs w:val="22"/>
                <w:lang w:val="tr-TR"/>
              </w:rPr>
              <w:t>208</w:t>
            </w:r>
          </w:p>
        </w:tc>
        <w:tc>
          <w:tcPr>
            <w:tcW w:w="1417" w:type="dxa"/>
            <w:shd w:val="clear" w:color="auto" w:fill="auto"/>
            <w:noWrap/>
            <w:vAlign w:val="bottom"/>
            <w:hideMark/>
          </w:tcPr>
          <w:p w14:paraId="60635EA7" w14:textId="77777777" w:rsidR="008F070F" w:rsidRPr="00E5747D" w:rsidRDefault="008F070F" w:rsidP="008F070F">
            <w:pPr>
              <w:spacing w:line="276" w:lineRule="auto"/>
              <w:jc w:val="right"/>
              <w:rPr>
                <w:sz w:val="22"/>
                <w:szCs w:val="22"/>
                <w:lang w:val="tr-TR"/>
              </w:rPr>
            </w:pPr>
            <w:r w:rsidRPr="00E5747D">
              <w:rPr>
                <w:sz w:val="22"/>
                <w:szCs w:val="22"/>
                <w:lang w:val="tr-TR"/>
              </w:rPr>
              <w:t>16,1</w:t>
            </w:r>
          </w:p>
        </w:tc>
      </w:tr>
      <w:tr w:rsidR="008F070F" w:rsidRPr="00E5747D" w14:paraId="3B8BB882" w14:textId="77777777" w:rsidTr="006E238C">
        <w:trPr>
          <w:trHeight w:val="315"/>
        </w:trPr>
        <w:tc>
          <w:tcPr>
            <w:tcW w:w="3544" w:type="dxa"/>
            <w:shd w:val="clear" w:color="auto" w:fill="auto"/>
            <w:noWrap/>
            <w:hideMark/>
          </w:tcPr>
          <w:p w14:paraId="46DD74BF" w14:textId="77777777" w:rsidR="008F070F" w:rsidRPr="00E5747D" w:rsidRDefault="008F070F" w:rsidP="008F070F">
            <w:pPr>
              <w:spacing w:line="276" w:lineRule="auto"/>
              <w:rPr>
                <w:b/>
                <w:sz w:val="22"/>
                <w:szCs w:val="22"/>
                <w:lang w:val="tr-TR"/>
              </w:rPr>
            </w:pPr>
            <w:r w:rsidRPr="00E5747D">
              <w:rPr>
                <w:b/>
                <w:sz w:val="22"/>
                <w:szCs w:val="22"/>
                <w:lang w:val="tr-TR"/>
              </w:rPr>
              <w:t>Şanlıurfa (Diyarbakır-Şanlıurfa)</w:t>
            </w:r>
          </w:p>
        </w:tc>
        <w:tc>
          <w:tcPr>
            <w:tcW w:w="1134" w:type="dxa"/>
            <w:shd w:val="clear" w:color="auto" w:fill="auto"/>
            <w:noWrap/>
            <w:vAlign w:val="bottom"/>
            <w:hideMark/>
          </w:tcPr>
          <w:p w14:paraId="38D4A8B1" w14:textId="77777777" w:rsidR="008F070F" w:rsidRPr="00E5747D" w:rsidRDefault="008F070F" w:rsidP="008F070F">
            <w:pPr>
              <w:spacing w:line="276" w:lineRule="auto"/>
              <w:jc w:val="right"/>
              <w:rPr>
                <w:sz w:val="22"/>
                <w:szCs w:val="22"/>
                <w:lang w:val="tr-TR"/>
              </w:rPr>
            </w:pPr>
            <w:r w:rsidRPr="00E5747D">
              <w:rPr>
                <w:sz w:val="22"/>
                <w:szCs w:val="22"/>
                <w:lang w:val="tr-TR"/>
              </w:rPr>
              <w:t>1.332</w:t>
            </w:r>
          </w:p>
        </w:tc>
        <w:tc>
          <w:tcPr>
            <w:tcW w:w="1559" w:type="dxa"/>
            <w:shd w:val="clear" w:color="auto" w:fill="auto"/>
            <w:noWrap/>
            <w:vAlign w:val="bottom"/>
            <w:hideMark/>
          </w:tcPr>
          <w:p w14:paraId="515857F4" w14:textId="77777777" w:rsidR="008F070F" w:rsidRPr="00E5747D" w:rsidRDefault="008F070F" w:rsidP="008F070F">
            <w:pPr>
              <w:spacing w:line="276" w:lineRule="auto"/>
              <w:jc w:val="right"/>
              <w:rPr>
                <w:sz w:val="22"/>
                <w:szCs w:val="22"/>
                <w:lang w:val="tr-TR"/>
              </w:rPr>
            </w:pPr>
            <w:r w:rsidRPr="00E5747D">
              <w:rPr>
                <w:sz w:val="22"/>
                <w:szCs w:val="22"/>
                <w:lang w:val="tr-TR"/>
              </w:rPr>
              <w:t>1.551</w:t>
            </w:r>
          </w:p>
        </w:tc>
        <w:tc>
          <w:tcPr>
            <w:tcW w:w="1418" w:type="dxa"/>
            <w:shd w:val="clear" w:color="auto" w:fill="auto"/>
            <w:noWrap/>
            <w:vAlign w:val="bottom"/>
            <w:hideMark/>
          </w:tcPr>
          <w:p w14:paraId="45331AAF" w14:textId="77777777" w:rsidR="008F070F" w:rsidRPr="00E5747D" w:rsidRDefault="008F070F" w:rsidP="008F070F">
            <w:pPr>
              <w:spacing w:line="276" w:lineRule="auto"/>
              <w:jc w:val="right"/>
              <w:rPr>
                <w:sz w:val="22"/>
                <w:szCs w:val="22"/>
                <w:lang w:val="tr-TR"/>
              </w:rPr>
            </w:pPr>
            <w:r w:rsidRPr="00E5747D">
              <w:rPr>
                <w:sz w:val="22"/>
                <w:szCs w:val="22"/>
                <w:lang w:val="tr-TR"/>
              </w:rPr>
              <w:t>219</w:t>
            </w:r>
          </w:p>
        </w:tc>
        <w:tc>
          <w:tcPr>
            <w:tcW w:w="1417" w:type="dxa"/>
            <w:shd w:val="clear" w:color="auto" w:fill="auto"/>
            <w:noWrap/>
            <w:vAlign w:val="bottom"/>
            <w:hideMark/>
          </w:tcPr>
          <w:p w14:paraId="54938CC1" w14:textId="77777777" w:rsidR="008F070F" w:rsidRPr="00E5747D" w:rsidRDefault="008F070F" w:rsidP="008F070F">
            <w:pPr>
              <w:spacing w:line="276" w:lineRule="auto"/>
              <w:jc w:val="right"/>
              <w:rPr>
                <w:sz w:val="22"/>
                <w:szCs w:val="22"/>
                <w:lang w:val="tr-TR"/>
              </w:rPr>
            </w:pPr>
            <w:r w:rsidRPr="00E5747D">
              <w:rPr>
                <w:sz w:val="22"/>
                <w:szCs w:val="22"/>
                <w:lang w:val="tr-TR"/>
              </w:rPr>
              <w:t>16,4</w:t>
            </w:r>
          </w:p>
        </w:tc>
      </w:tr>
      <w:tr w:rsidR="008F070F" w:rsidRPr="00E5747D" w14:paraId="301511DD" w14:textId="77777777" w:rsidTr="006E238C">
        <w:trPr>
          <w:trHeight w:val="315"/>
        </w:trPr>
        <w:tc>
          <w:tcPr>
            <w:tcW w:w="3544" w:type="dxa"/>
            <w:shd w:val="clear" w:color="auto" w:fill="auto"/>
            <w:noWrap/>
            <w:hideMark/>
          </w:tcPr>
          <w:p w14:paraId="7A321862" w14:textId="77777777" w:rsidR="008F070F" w:rsidRPr="00E5747D" w:rsidRDefault="008F070F" w:rsidP="008F070F">
            <w:pPr>
              <w:spacing w:line="276" w:lineRule="auto"/>
              <w:rPr>
                <w:b/>
                <w:sz w:val="22"/>
                <w:szCs w:val="22"/>
                <w:lang w:val="tr-TR"/>
              </w:rPr>
            </w:pPr>
            <w:r w:rsidRPr="00E5747D">
              <w:rPr>
                <w:b/>
                <w:sz w:val="22"/>
                <w:szCs w:val="22"/>
                <w:lang w:val="tr-TR"/>
              </w:rPr>
              <w:t>Mardin (Siirt-Mardin-Batman-Şırnak)</w:t>
            </w:r>
          </w:p>
        </w:tc>
        <w:tc>
          <w:tcPr>
            <w:tcW w:w="1134" w:type="dxa"/>
            <w:shd w:val="clear" w:color="auto" w:fill="auto"/>
            <w:noWrap/>
            <w:vAlign w:val="bottom"/>
            <w:hideMark/>
          </w:tcPr>
          <w:p w14:paraId="6EDE5A8A" w14:textId="77777777" w:rsidR="008F070F" w:rsidRPr="00E5747D" w:rsidRDefault="008F070F" w:rsidP="008F070F">
            <w:pPr>
              <w:spacing w:line="276" w:lineRule="auto"/>
              <w:jc w:val="right"/>
              <w:rPr>
                <w:sz w:val="22"/>
                <w:szCs w:val="22"/>
                <w:lang w:val="tr-TR"/>
              </w:rPr>
            </w:pPr>
            <w:r w:rsidRPr="00E5747D">
              <w:rPr>
                <w:sz w:val="22"/>
                <w:szCs w:val="22"/>
                <w:lang w:val="tr-TR"/>
              </w:rPr>
              <w:t>1.228</w:t>
            </w:r>
          </w:p>
        </w:tc>
        <w:tc>
          <w:tcPr>
            <w:tcW w:w="1559" w:type="dxa"/>
            <w:shd w:val="clear" w:color="auto" w:fill="auto"/>
            <w:noWrap/>
            <w:vAlign w:val="bottom"/>
            <w:hideMark/>
          </w:tcPr>
          <w:p w14:paraId="6344528C" w14:textId="77777777" w:rsidR="008F070F" w:rsidRPr="00E5747D" w:rsidRDefault="008F070F" w:rsidP="008F070F">
            <w:pPr>
              <w:spacing w:line="276" w:lineRule="auto"/>
              <w:jc w:val="right"/>
              <w:rPr>
                <w:sz w:val="22"/>
                <w:szCs w:val="22"/>
                <w:lang w:val="tr-TR"/>
              </w:rPr>
            </w:pPr>
            <w:r w:rsidRPr="00E5747D">
              <w:rPr>
                <w:sz w:val="22"/>
                <w:szCs w:val="22"/>
                <w:lang w:val="tr-TR"/>
              </w:rPr>
              <w:t>1.491</w:t>
            </w:r>
          </w:p>
        </w:tc>
        <w:tc>
          <w:tcPr>
            <w:tcW w:w="1418" w:type="dxa"/>
            <w:shd w:val="clear" w:color="auto" w:fill="auto"/>
            <w:noWrap/>
            <w:vAlign w:val="bottom"/>
            <w:hideMark/>
          </w:tcPr>
          <w:p w14:paraId="4F1FACC9" w14:textId="77777777" w:rsidR="008F070F" w:rsidRPr="00E5747D" w:rsidRDefault="008F070F" w:rsidP="008F070F">
            <w:pPr>
              <w:spacing w:line="276" w:lineRule="auto"/>
              <w:jc w:val="right"/>
              <w:rPr>
                <w:sz w:val="22"/>
                <w:szCs w:val="22"/>
                <w:lang w:val="tr-TR"/>
              </w:rPr>
            </w:pPr>
            <w:r w:rsidRPr="00E5747D">
              <w:rPr>
                <w:sz w:val="22"/>
                <w:szCs w:val="22"/>
                <w:lang w:val="tr-TR"/>
              </w:rPr>
              <w:t>263</w:t>
            </w:r>
          </w:p>
        </w:tc>
        <w:tc>
          <w:tcPr>
            <w:tcW w:w="1417" w:type="dxa"/>
            <w:shd w:val="clear" w:color="auto" w:fill="auto"/>
            <w:noWrap/>
            <w:vAlign w:val="bottom"/>
            <w:hideMark/>
          </w:tcPr>
          <w:p w14:paraId="0D347264" w14:textId="77777777" w:rsidR="008F070F" w:rsidRPr="00E5747D" w:rsidRDefault="008F070F" w:rsidP="008F070F">
            <w:pPr>
              <w:spacing w:line="276" w:lineRule="auto"/>
              <w:jc w:val="right"/>
              <w:rPr>
                <w:sz w:val="22"/>
                <w:szCs w:val="22"/>
                <w:lang w:val="tr-TR"/>
              </w:rPr>
            </w:pPr>
            <w:r w:rsidRPr="00E5747D">
              <w:rPr>
                <w:sz w:val="22"/>
                <w:szCs w:val="22"/>
                <w:lang w:val="tr-TR"/>
              </w:rPr>
              <w:t>21,4</w:t>
            </w:r>
          </w:p>
        </w:tc>
      </w:tr>
      <w:tr w:rsidR="008F070F" w:rsidRPr="00E5747D" w14:paraId="1C485CFE" w14:textId="77777777" w:rsidTr="006E238C">
        <w:trPr>
          <w:trHeight w:val="315"/>
        </w:trPr>
        <w:tc>
          <w:tcPr>
            <w:tcW w:w="3544" w:type="dxa"/>
            <w:shd w:val="clear" w:color="auto" w:fill="auto"/>
            <w:noWrap/>
            <w:vAlign w:val="bottom"/>
            <w:hideMark/>
          </w:tcPr>
          <w:p w14:paraId="335B1338" w14:textId="77777777" w:rsidR="008F070F" w:rsidRPr="00E5747D" w:rsidRDefault="008F070F" w:rsidP="008F070F">
            <w:pPr>
              <w:spacing w:line="276" w:lineRule="auto"/>
              <w:rPr>
                <w:b/>
                <w:sz w:val="22"/>
                <w:szCs w:val="22"/>
                <w:lang w:val="tr-TR"/>
              </w:rPr>
            </w:pPr>
            <w:r w:rsidRPr="00E5747D">
              <w:rPr>
                <w:b/>
                <w:i/>
                <w:sz w:val="22"/>
                <w:szCs w:val="22"/>
                <w:lang w:val="tr-TR"/>
              </w:rPr>
              <w:t>Türkiye</w:t>
            </w:r>
          </w:p>
        </w:tc>
        <w:tc>
          <w:tcPr>
            <w:tcW w:w="1134" w:type="dxa"/>
            <w:shd w:val="clear" w:color="auto" w:fill="auto"/>
            <w:noWrap/>
            <w:vAlign w:val="bottom"/>
            <w:hideMark/>
          </w:tcPr>
          <w:p w14:paraId="47FD0D35" w14:textId="77777777" w:rsidR="008F070F" w:rsidRPr="00E5747D" w:rsidRDefault="008F070F" w:rsidP="008F070F">
            <w:pPr>
              <w:spacing w:line="276" w:lineRule="auto"/>
              <w:jc w:val="right"/>
              <w:rPr>
                <w:sz w:val="22"/>
                <w:szCs w:val="22"/>
                <w:lang w:val="tr-TR"/>
              </w:rPr>
            </w:pPr>
            <w:r w:rsidRPr="00E5747D">
              <w:rPr>
                <w:sz w:val="22"/>
                <w:szCs w:val="22"/>
                <w:lang w:val="tr-TR"/>
              </w:rPr>
              <w:t>1.595</w:t>
            </w:r>
          </w:p>
        </w:tc>
        <w:tc>
          <w:tcPr>
            <w:tcW w:w="1559" w:type="dxa"/>
            <w:shd w:val="clear" w:color="auto" w:fill="auto"/>
            <w:noWrap/>
            <w:vAlign w:val="bottom"/>
            <w:hideMark/>
          </w:tcPr>
          <w:p w14:paraId="51F07721" w14:textId="77777777" w:rsidR="008F070F" w:rsidRPr="00E5747D" w:rsidRDefault="008F070F" w:rsidP="008F070F">
            <w:pPr>
              <w:spacing w:line="276" w:lineRule="auto"/>
              <w:jc w:val="right"/>
              <w:rPr>
                <w:sz w:val="22"/>
                <w:szCs w:val="22"/>
                <w:lang w:val="tr-TR"/>
              </w:rPr>
            </w:pPr>
            <w:r w:rsidRPr="00E5747D">
              <w:rPr>
                <w:sz w:val="22"/>
                <w:szCs w:val="22"/>
                <w:lang w:val="tr-TR"/>
              </w:rPr>
              <w:t>1.749</w:t>
            </w:r>
          </w:p>
        </w:tc>
        <w:tc>
          <w:tcPr>
            <w:tcW w:w="1418" w:type="dxa"/>
            <w:shd w:val="clear" w:color="auto" w:fill="auto"/>
            <w:noWrap/>
            <w:vAlign w:val="bottom"/>
            <w:hideMark/>
          </w:tcPr>
          <w:p w14:paraId="111714C4" w14:textId="77777777" w:rsidR="008F070F" w:rsidRPr="00E5747D" w:rsidRDefault="008F070F" w:rsidP="008F070F">
            <w:pPr>
              <w:spacing w:line="276" w:lineRule="auto"/>
              <w:jc w:val="right"/>
              <w:rPr>
                <w:sz w:val="22"/>
                <w:szCs w:val="22"/>
                <w:lang w:val="tr-TR"/>
              </w:rPr>
            </w:pPr>
            <w:r w:rsidRPr="00E5747D">
              <w:rPr>
                <w:sz w:val="22"/>
                <w:szCs w:val="22"/>
                <w:lang w:val="tr-TR"/>
              </w:rPr>
              <w:t>154</w:t>
            </w:r>
          </w:p>
        </w:tc>
        <w:tc>
          <w:tcPr>
            <w:tcW w:w="1417" w:type="dxa"/>
            <w:shd w:val="clear" w:color="auto" w:fill="auto"/>
            <w:noWrap/>
            <w:vAlign w:val="bottom"/>
            <w:hideMark/>
          </w:tcPr>
          <w:p w14:paraId="3D846CA2" w14:textId="77777777" w:rsidR="008F070F" w:rsidRPr="00E5747D" w:rsidRDefault="008F070F" w:rsidP="008F070F">
            <w:pPr>
              <w:spacing w:line="276" w:lineRule="auto"/>
              <w:jc w:val="right"/>
              <w:rPr>
                <w:sz w:val="22"/>
                <w:szCs w:val="22"/>
                <w:lang w:val="tr-TR"/>
              </w:rPr>
            </w:pPr>
            <w:r w:rsidRPr="00E5747D">
              <w:rPr>
                <w:sz w:val="22"/>
                <w:szCs w:val="22"/>
                <w:lang w:val="tr-TR"/>
              </w:rPr>
              <w:t>9,7</w:t>
            </w:r>
          </w:p>
        </w:tc>
      </w:tr>
    </w:tbl>
    <w:p w14:paraId="1F244375" w14:textId="77777777" w:rsidR="00136E07" w:rsidRPr="00E5747D" w:rsidRDefault="00136E07" w:rsidP="00136E07">
      <w:pPr>
        <w:spacing w:line="276" w:lineRule="auto"/>
        <w:rPr>
          <w:sz w:val="20"/>
          <w:szCs w:val="20"/>
          <w:lang w:val="tr-TR"/>
        </w:rPr>
      </w:pPr>
      <w:r w:rsidRPr="00E5747D">
        <w:rPr>
          <w:sz w:val="20"/>
          <w:szCs w:val="20"/>
          <w:lang w:val="tr-TR"/>
        </w:rPr>
        <w:t>Kaynak: HİA 2013, Betam Kasım 2015 güncellemesi</w:t>
      </w:r>
    </w:p>
    <w:p w14:paraId="4D3CA869" w14:textId="77777777" w:rsidR="006E4190" w:rsidRPr="00E5747D" w:rsidRDefault="006E4190" w:rsidP="00B17072">
      <w:pPr>
        <w:spacing w:line="276" w:lineRule="auto"/>
        <w:rPr>
          <w:sz w:val="22"/>
          <w:szCs w:val="22"/>
          <w:lang w:val="tr-TR"/>
        </w:rPr>
      </w:pPr>
    </w:p>
    <w:p w14:paraId="2B1593DF" w14:textId="3A23B6D8" w:rsidR="0040744E" w:rsidRPr="00E5747D" w:rsidRDefault="003C2CA5" w:rsidP="00B17072">
      <w:pPr>
        <w:spacing w:line="276" w:lineRule="auto"/>
        <w:rPr>
          <w:sz w:val="22"/>
          <w:szCs w:val="22"/>
          <w:lang w:val="tr-TR"/>
        </w:rPr>
      </w:pPr>
      <w:r w:rsidRPr="00E5747D">
        <w:rPr>
          <w:sz w:val="22"/>
          <w:szCs w:val="22"/>
          <w:lang w:val="tr-TR"/>
        </w:rPr>
        <w:t>Veriler ortalama ücretin 1300 TL'ye oldukça yakın olduğunu ortaya koymaktadır. Dolayısıyla</w:t>
      </w:r>
      <w:r w:rsidR="00304B9D" w:rsidRPr="00E5747D">
        <w:rPr>
          <w:sz w:val="22"/>
          <w:szCs w:val="22"/>
          <w:lang w:val="tr-TR"/>
        </w:rPr>
        <w:t>,</w:t>
      </w:r>
      <w:r w:rsidRPr="00E5747D">
        <w:rPr>
          <w:sz w:val="22"/>
          <w:szCs w:val="22"/>
          <w:lang w:val="tr-TR"/>
        </w:rPr>
        <w:t xml:space="preserve"> asgari ücretin 1300 TL'ye çıkmasına paralel olarak bölgelerin</w:t>
      </w:r>
      <w:r w:rsidR="001F0853">
        <w:rPr>
          <w:sz w:val="22"/>
          <w:szCs w:val="22"/>
          <w:lang w:val="tr-TR"/>
        </w:rPr>
        <w:t xml:space="preserve">, </w:t>
      </w:r>
      <w:r w:rsidR="00304B9D" w:rsidRPr="00E5747D">
        <w:rPr>
          <w:sz w:val="22"/>
          <w:szCs w:val="22"/>
          <w:lang w:val="tr-TR"/>
        </w:rPr>
        <w:t xml:space="preserve">sadece </w:t>
      </w:r>
      <w:r w:rsidR="00A70DB0" w:rsidRPr="00E5747D">
        <w:rPr>
          <w:sz w:val="22"/>
          <w:szCs w:val="22"/>
          <w:lang w:val="tr-TR"/>
        </w:rPr>
        <w:t xml:space="preserve">üçü hariç hepsinde </w:t>
      </w:r>
      <w:r w:rsidRPr="00E5747D">
        <w:rPr>
          <w:sz w:val="22"/>
          <w:szCs w:val="22"/>
          <w:lang w:val="tr-TR"/>
        </w:rPr>
        <w:t xml:space="preserve">ortalama ücretin yüzde 10'un üzerinde artacağı </w:t>
      </w:r>
      <w:r w:rsidR="00AD17D4">
        <w:rPr>
          <w:sz w:val="22"/>
          <w:szCs w:val="22"/>
          <w:lang w:val="tr-TR"/>
        </w:rPr>
        <w:t>öng</w:t>
      </w:r>
      <w:r w:rsidRPr="00E5747D">
        <w:rPr>
          <w:sz w:val="22"/>
          <w:szCs w:val="22"/>
          <w:lang w:val="tr-TR"/>
        </w:rPr>
        <w:t xml:space="preserve">örülmektedir. </w:t>
      </w:r>
      <w:r w:rsidR="0040744E" w:rsidRPr="00E5747D">
        <w:rPr>
          <w:sz w:val="22"/>
          <w:szCs w:val="22"/>
          <w:lang w:val="tr-TR"/>
        </w:rPr>
        <w:t>Ortalama ücretlerdeki artış sadece İstanbul, Kocaeli ve Ankara bölgelerinde yüzde 10'un altında kalmaktadır. Manisa, Kastamonu, Malatya ve Mardin bölgelerinde artışın yüzde 20</w:t>
      </w:r>
      <w:r w:rsidR="00A70DB0" w:rsidRPr="00E5747D">
        <w:rPr>
          <w:sz w:val="22"/>
          <w:szCs w:val="22"/>
          <w:lang w:val="tr-TR"/>
        </w:rPr>
        <w:t>’yi aştığı</w:t>
      </w:r>
      <w:r w:rsidR="0040744E" w:rsidRPr="00E5747D">
        <w:rPr>
          <w:sz w:val="22"/>
          <w:szCs w:val="22"/>
          <w:lang w:val="tr-TR"/>
        </w:rPr>
        <w:t xml:space="preserve"> dikkat çekmektedir.</w:t>
      </w:r>
      <w:r w:rsidR="00A70DB0" w:rsidRPr="00E5747D">
        <w:rPr>
          <w:sz w:val="22"/>
          <w:szCs w:val="22"/>
          <w:lang w:val="tr-TR"/>
        </w:rPr>
        <w:t xml:space="preserve"> Türkiye genelinde ya da toplam ücretler itibariyle artış yüzde 9,7 olarak hesaplanmaktadır. Bu nispeten sınırlı artışın nedeni</w:t>
      </w:r>
      <w:r w:rsidR="001F0425" w:rsidRPr="00E5747D">
        <w:rPr>
          <w:sz w:val="22"/>
          <w:szCs w:val="22"/>
          <w:lang w:val="tr-TR"/>
        </w:rPr>
        <w:t>,</w:t>
      </w:r>
      <w:r w:rsidR="00A70DB0" w:rsidRPr="00E5747D">
        <w:rPr>
          <w:sz w:val="22"/>
          <w:szCs w:val="22"/>
          <w:lang w:val="tr-TR"/>
        </w:rPr>
        <w:t xml:space="preserve"> ücretli çalışanların yüzde</w:t>
      </w:r>
      <w:r w:rsidR="00026610">
        <w:rPr>
          <w:sz w:val="22"/>
          <w:szCs w:val="22"/>
          <w:lang w:val="tr-TR"/>
        </w:rPr>
        <w:t xml:space="preserve"> 44,8’inin</w:t>
      </w:r>
      <w:r w:rsidR="001F0425" w:rsidRPr="00E5747D">
        <w:rPr>
          <w:sz w:val="22"/>
          <w:szCs w:val="22"/>
          <w:lang w:val="tr-TR"/>
        </w:rPr>
        <w:t xml:space="preserve"> </w:t>
      </w:r>
      <w:r w:rsidR="00AB7FAE" w:rsidRPr="00AB7FAE">
        <w:rPr>
          <w:sz w:val="22"/>
          <w:szCs w:val="22"/>
          <w:lang w:val="tr-TR"/>
        </w:rPr>
        <w:t>düşük</w:t>
      </w:r>
      <w:r w:rsidR="00AB7FAE" w:rsidRPr="00E5747D">
        <w:rPr>
          <w:sz w:val="22"/>
          <w:szCs w:val="22"/>
          <w:lang w:val="tr-TR"/>
        </w:rPr>
        <w:t xml:space="preserve"> </w:t>
      </w:r>
      <w:r w:rsidR="00A70DB0" w:rsidRPr="00E5747D">
        <w:rPr>
          <w:sz w:val="22"/>
          <w:szCs w:val="22"/>
          <w:lang w:val="tr-TR"/>
        </w:rPr>
        <w:t>artış oranlarına sahip bu üç bölgede yoğunlaşmalarıdır. Bu üç bölge en yüksek ortalama ücre</w:t>
      </w:r>
      <w:r w:rsidR="002613FA" w:rsidRPr="00E5747D">
        <w:rPr>
          <w:sz w:val="22"/>
          <w:szCs w:val="22"/>
          <w:lang w:val="tr-TR"/>
        </w:rPr>
        <w:t>te sahip bölgelerdir (</w:t>
      </w:r>
      <w:r w:rsidR="002613FA" w:rsidRPr="00E5747D">
        <w:rPr>
          <w:sz w:val="22"/>
          <w:szCs w:val="22"/>
          <w:lang w:val="tr-TR"/>
        </w:rPr>
        <w:fldChar w:fldCharType="begin"/>
      </w:r>
      <w:r w:rsidR="002613FA" w:rsidRPr="00E5747D">
        <w:rPr>
          <w:sz w:val="22"/>
          <w:szCs w:val="22"/>
          <w:lang w:val="tr-TR"/>
        </w:rPr>
        <w:instrText xml:space="preserve"> REF _Ref439626094 \h  \* MERGEFORMAT </w:instrText>
      </w:r>
      <w:r w:rsidR="002613FA" w:rsidRPr="00E5747D">
        <w:rPr>
          <w:sz w:val="22"/>
          <w:szCs w:val="22"/>
          <w:lang w:val="tr-TR"/>
        </w:rPr>
      </w:r>
      <w:r w:rsidR="002613FA" w:rsidRPr="00E5747D">
        <w:rPr>
          <w:sz w:val="22"/>
          <w:szCs w:val="22"/>
          <w:lang w:val="tr-TR"/>
        </w:rPr>
        <w:fldChar w:fldCharType="separate"/>
      </w:r>
      <w:r w:rsidR="002613FA" w:rsidRPr="00E5747D">
        <w:rPr>
          <w:sz w:val="22"/>
          <w:szCs w:val="22"/>
          <w:lang w:val="tr-TR"/>
        </w:rPr>
        <w:t>Tablo 1</w:t>
      </w:r>
      <w:r w:rsidR="002613FA" w:rsidRPr="00E5747D">
        <w:rPr>
          <w:sz w:val="22"/>
          <w:szCs w:val="22"/>
          <w:lang w:val="tr-TR"/>
        </w:rPr>
        <w:fldChar w:fldCharType="end"/>
      </w:r>
      <w:r w:rsidR="002613FA" w:rsidRPr="00E5747D">
        <w:rPr>
          <w:sz w:val="22"/>
          <w:szCs w:val="22"/>
          <w:lang w:val="tr-TR"/>
        </w:rPr>
        <w:t>).</w:t>
      </w:r>
    </w:p>
    <w:p w14:paraId="75D68FAD" w14:textId="77777777" w:rsidR="008F52AE" w:rsidRPr="00E5747D" w:rsidRDefault="008F52AE" w:rsidP="00B17072">
      <w:pPr>
        <w:spacing w:line="276" w:lineRule="auto"/>
        <w:rPr>
          <w:sz w:val="22"/>
          <w:szCs w:val="22"/>
          <w:lang w:val="tr-TR"/>
        </w:rPr>
      </w:pPr>
    </w:p>
    <w:p w14:paraId="4352CC7E" w14:textId="77777777" w:rsidR="008F52AE" w:rsidRPr="00E5747D" w:rsidRDefault="008F52AE" w:rsidP="00B17072">
      <w:pPr>
        <w:spacing w:line="276" w:lineRule="auto"/>
        <w:rPr>
          <w:sz w:val="22"/>
          <w:szCs w:val="22"/>
          <w:lang w:val="tr-TR"/>
        </w:rPr>
      </w:pPr>
      <w:r w:rsidRPr="00E5747D">
        <w:rPr>
          <w:sz w:val="22"/>
          <w:szCs w:val="22"/>
          <w:lang w:val="tr-TR"/>
        </w:rPr>
        <w:t>Ücret dağılımın normal dağılıma kıyasla daha yanlı olduğu bilinmektedir. Diğer bir deyişle</w:t>
      </w:r>
      <w:r w:rsidR="00115F74" w:rsidRPr="00E5747D">
        <w:rPr>
          <w:sz w:val="22"/>
          <w:szCs w:val="22"/>
          <w:lang w:val="tr-TR"/>
        </w:rPr>
        <w:t>,</w:t>
      </w:r>
      <w:r w:rsidRPr="00E5747D">
        <w:rPr>
          <w:sz w:val="22"/>
          <w:szCs w:val="22"/>
          <w:lang w:val="tr-TR"/>
        </w:rPr>
        <w:t xml:space="preserve"> az sayıda yüksek ücretin ortalama ücreti yukarı çektiği, düşük ücretlerin </w:t>
      </w:r>
      <w:r w:rsidR="00115F74" w:rsidRPr="00E5747D">
        <w:rPr>
          <w:sz w:val="22"/>
          <w:szCs w:val="22"/>
          <w:lang w:val="tr-TR"/>
        </w:rPr>
        <w:t xml:space="preserve">ise </w:t>
      </w:r>
      <w:r w:rsidRPr="00E5747D">
        <w:rPr>
          <w:sz w:val="22"/>
          <w:szCs w:val="22"/>
          <w:lang w:val="tr-TR"/>
        </w:rPr>
        <w:t>genelde daha yaygın olduğu görülmektedir. Bu durumda</w:t>
      </w:r>
      <w:r w:rsidR="00115F74" w:rsidRPr="00E5747D">
        <w:rPr>
          <w:sz w:val="22"/>
          <w:szCs w:val="22"/>
          <w:lang w:val="tr-TR"/>
        </w:rPr>
        <w:t>,</w:t>
      </w:r>
      <w:r w:rsidRPr="00E5747D">
        <w:rPr>
          <w:sz w:val="22"/>
          <w:szCs w:val="22"/>
          <w:lang w:val="tr-TR"/>
        </w:rPr>
        <w:t xml:space="preserve"> genel eğilimi yansıtması açısından ortanca ücretler de değerlendirilmelidir. Ortanca ücret, en düşükten en yükseğe sıralanan ücretlerin tam orta noktasındaki ücrete tekabül etmektedir. </w:t>
      </w:r>
      <w:r w:rsidR="006D1ECB" w:rsidRPr="00E5747D">
        <w:rPr>
          <w:sz w:val="22"/>
          <w:szCs w:val="22"/>
          <w:lang w:val="tr-TR"/>
        </w:rPr>
        <w:t xml:space="preserve">Diğer bir deyişle, ücretlerin yarısı ortanca ücretin altında, </w:t>
      </w:r>
      <w:r w:rsidR="006D1ECB" w:rsidRPr="00E5747D">
        <w:rPr>
          <w:sz w:val="22"/>
          <w:szCs w:val="22"/>
          <w:lang w:val="tr-TR"/>
        </w:rPr>
        <w:lastRenderedPageBreak/>
        <w:t>kalan yarısı ise ortanca ücretin üzerindedir</w:t>
      </w:r>
      <w:r w:rsidR="006D1ECB" w:rsidRPr="005B4172">
        <w:rPr>
          <w:sz w:val="22"/>
          <w:szCs w:val="22"/>
          <w:lang w:val="tr-TR"/>
        </w:rPr>
        <w:t xml:space="preserve">. </w:t>
      </w:r>
      <w:r w:rsidR="00115F74" w:rsidRPr="005B4172">
        <w:rPr>
          <w:sz w:val="22"/>
          <w:szCs w:val="22"/>
          <w:lang w:val="tr-TR"/>
        </w:rPr>
        <w:fldChar w:fldCharType="begin"/>
      </w:r>
      <w:r w:rsidR="00115F74" w:rsidRPr="005B4172">
        <w:rPr>
          <w:sz w:val="22"/>
          <w:szCs w:val="22"/>
          <w:lang w:val="tr-TR"/>
        </w:rPr>
        <w:instrText xml:space="preserve"> REF _Ref439626185 \h  \* MERGEFORMAT </w:instrText>
      </w:r>
      <w:r w:rsidR="00115F74" w:rsidRPr="005B4172">
        <w:rPr>
          <w:sz w:val="22"/>
          <w:szCs w:val="22"/>
          <w:lang w:val="tr-TR"/>
        </w:rPr>
      </w:r>
      <w:r w:rsidR="00115F74" w:rsidRPr="005B4172">
        <w:rPr>
          <w:sz w:val="22"/>
          <w:szCs w:val="22"/>
          <w:lang w:val="tr-TR"/>
        </w:rPr>
        <w:fldChar w:fldCharType="separate"/>
      </w:r>
      <w:r w:rsidR="00115F74" w:rsidRPr="005B4172">
        <w:rPr>
          <w:sz w:val="22"/>
          <w:szCs w:val="22"/>
          <w:lang w:val="tr-TR"/>
        </w:rPr>
        <w:t>Tablo 3</w:t>
      </w:r>
      <w:r w:rsidR="00115F74" w:rsidRPr="005B4172">
        <w:rPr>
          <w:sz w:val="22"/>
          <w:szCs w:val="22"/>
          <w:lang w:val="tr-TR"/>
        </w:rPr>
        <w:fldChar w:fldCharType="end"/>
      </w:r>
      <w:r w:rsidRPr="005B4172">
        <w:rPr>
          <w:sz w:val="22"/>
          <w:szCs w:val="22"/>
          <w:lang w:val="tr-TR"/>
        </w:rPr>
        <w:t xml:space="preserve">'te benzer bir hesap ile mevcut ortanca ücretler, asgari ücret 1300 TL'ye çıktığında oluşacak </w:t>
      </w:r>
      <w:r w:rsidR="001B05B6" w:rsidRPr="005B4172">
        <w:rPr>
          <w:sz w:val="22"/>
          <w:szCs w:val="22"/>
          <w:lang w:val="tr-TR"/>
        </w:rPr>
        <w:t xml:space="preserve">tahmini </w:t>
      </w:r>
      <w:r w:rsidRPr="005B4172">
        <w:rPr>
          <w:sz w:val="22"/>
          <w:szCs w:val="22"/>
          <w:lang w:val="tr-TR"/>
        </w:rPr>
        <w:t>ortanca ücretler</w:t>
      </w:r>
      <w:r w:rsidR="00115F74" w:rsidRPr="005B4172">
        <w:rPr>
          <w:sz w:val="22"/>
          <w:szCs w:val="22"/>
          <w:lang w:val="tr-TR"/>
        </w:rPr>
        <w:t xml:space="preserve"> ve </w:t>
      </w:r>
      <w:r w:rsidR="001B05B6" w:rsidRPr="005B4172">
        <w:rPr>
          <w:sz w:val="22"/>
          <w:szCs w:val="22"/>
          <w:lang w:val="tr-TR"/>
        </w:rPr>
        <w:t xml:space="preserve">ortanca ücretteki </w:t>
      </w:r>
      <w:r w:rsidRPr="005B4172">
        <w:rPr>
          <w:sz w:val="22"/>
          <w:szCs w:val="22"/>
          <w:lang w:val="tr-TR"/>
        </w:rPr>
        <w:t xml:space="preserve">artış </w:t>
      </w:r>
      <w:r w:rsidR="00115F74" w:rsidRPr="005B4172">
        <w:rPr>
          <w:sz w:val="22"/>
          <w:szCs w:val="22"/>
          <w:lang w:val="tr-TR"/>
        </w:rPr>
        <w:t>miktarı ile</w:t>
      </w:r>
      <w:r w:rsidRPr="005B4172">
        <w:rPr>
          <w:sz w:val="22"/>
          <w:szCs w:val="22"/>
          <w:lang w:val="tr-TR"/>
        </w:rPr>
        <w:t xml:space="preserve"> yüzdeleri hesaplanmıştır.</w:t>
      </w:r>
      <w:r w:rsidRPr="00E5747D">
        <w:rPr>
          <w:sz w:val="22"/>
          <w:szCs w:val="22"/>
          <w:lang w:val="tr-TR"/>
        </w:rPr>
        <w:t xml:space="preserve"> </w:t>
      </w:r>
    </w:p>
    <w:p w14:paraId="5A7BE64C" w14:textId="77777777" w:rsidR="003C2CA5" w:rsidRPr="00E5747D" w:rsidRDefault="0040744E" w:rsidP="00B17072">
      <w:pPr>
        <w:spacing w:line="276" w:lineRule="auto"/>
        <w:rPr>
          <w:sz w:val="22"/>
          <w:szCs w:val="22"/>
          <w:lang w:val="tr-TR"/>
        </w:rPr>
      </w:pPr>
      <w:r w:rsidRPr="00E5747D">
        <w:rPr>
          <w:sz w:val="22"/>
          <w:szCs w:val="22"/>
          <w:lang w:val="tr-TR"/>
        </w:rPr>
        <w:t xml:space="preserve"> </w:t>
      </w:r>
    </w:p>
    <w:p w14:paraId="5E3EDA5C" w14:textId="77777777" w:rsidR="006E4190" w:rsidRPr="00E5747D" w:rsidRDefault="00BE6F77" w:rsidP="00B17072">
      <w:pPr>
        <w:spacing w:line="276" w:lineRule="auto"/>
        <w:rPr>
          <w:sz w:val="22"/>
          <w:szCs w:val="22"/>
          <w:lang w:val="tr-TR"/>
        </w:rPr>
      </w:pPr>
      <w:r w:rsidRPr="00E5747D">
        <w:rPr>
          <w:sz w:val="22"/>
          <w:szCs w:val="22"/>
          <w:lang w:val="tr-TR"/>
        </w:rPr>
        <w:t>Mevcut ortanca ücretler incelendiğinde</w:t>
      </w:r>
      <w:r w:rsidR="00DD6E76" w:rsidRPr="00E5747D">
        <w:rPr>
          <w:sz w:val="22"/>
          <w:szCs w:val="22"/>
          <w:lang w:val="tr-TR"/>
        </w:rPr>
        <w:t>,</w:t>
      </w:r>
      <w:r w:rsidRPr="00E5747D">
        <w:rPr>
          <w:sz w:val="22"/>
          <w:szCs w:val="22"/>
          <w:lang w:val="tr-TR"/>
        </w:rPr>
        <w:t xml:space="preserve"> sadece İstanbul ve Ankara</w:t>
      </w:r>
      <w:r w:rsidR="00F47494" w:rsidRPr="00E5747D">
        <w:rPr>
          <w:sz w:val="22"/>
          <w:szCs w:val="22"/>
          <w:lang w:val="tr-TR"/>
        </w:rPr>
        <w:t xml:space="preserve"> bölgelerinde ortanca ücretin </w:t>
      </w:r>
      <w:r w:rsidRPr="00E5747D">
        <w:rPr>
          <w:sz w:val="22"/>
          <w:szCs w:val="22"/>
          <w:lang w:val="tr-TR"/>
        </w:rPr>
        <w:t xml:space="preserve">1300 TL'den yüksek olduğu görülmektedir. </w:t>
      </w:r>
      <w:r w:rsidR="00F47494" w:rsidRPr="00E5747D">
        <w:rPr>
          <w:sz w:val="22"/>
          <w:szCs w:val="22"/>
          <w:lang w:val="tr-TR"/>
        </w:rPr>
        <w:t>Başka bir deyişle</w:t>
      </w:r>
      <w:r w:rsidR="00DD6E76" w:rsidRPr="00E5747D">
        <w:rPr>
          <w:sz w:val="22"/>
          <w:szCs w:val="22"/>
          <w:lang w:val="tr-TR"/>
        </w:rPr>
        <w:t>,</w:t>
      </w:r>
      <w:r w:rsidR="00F47494" w:rsidRPr="00E5747D">
        <w:rPr>
          <w:sz w:val="22"/>
          <w:szCs w:val="22"/>
          <w:lang w:val="tr-TR"/>
        </w:rPr>
        <w:t xml:space="preserve"> özel sektörde </w:t>
      </w:r>
      <w:r w:rsidR="00DF1FF3" w:rsidRPr="00E5747D">
        <w:rPr>
          <w:sz w:val="22"/>
          <w:szCs w:val="22"/>
          <w:lang w:val="tr-TR"/>
        </w:rPr>
        <w:t xml:space="preserve">kayıtlı </w:t>
      </w:r>
      <w:r w:rsidR="00F47494" w:rsidRPr="00E5747D">
        <w:rPr>
          <w:sz w:val="22"/>
          <w:szCs w:val="22"/>
          <w:lang w:val="tr-TR"/>
        </w:rPr>
        <w:t xml:space="preserve">çalışan tam zamanlı ücretlilerin yarısından fazlası 1300 TL’nin altında kazanmaktadır. </w:t>
      </w:r>
      <w:r w:rsidR="00B120B6" w:rsidRPr="00E5747D">
        <w:rPr>
          <w:sz w:val="22"/>
          <w:szCs w:val="22"/>
          <w:lang w:val="tr-TR"/>
        </w:rPr>
        <w:t>Dolayısıyla</w:t>
      </w:r>
      <w:r w:rsidR="00DD6E76" w:rsidRPr="00E5747D">
        <w:rPr>
          <w:sz w:val="22"/>
          <w:szCs w:val="22"/>
          <w:lang w:val="tr-TR"/>
        </w:rPr>
        <w:t>,</w:t>
      </w:r>
      <w:r w:rsidR="00B120B6" w:rsidRPr="00E5747D">
        <w:rPr>
          <w:sz w:val="22"/>
          <w:szCs w:val="22"/>
          <w:lang w:val="tr-TR"/>
        </w:rPr>
        <w:t xml:space="preserve"> asgari ücret 1300 TL</w:t>
      </w:r>
      <w:r w:rsidR="0005610C" w:rsidRPr="00E5747D">
        <w:rPr>
          <w:sz w:val="22"/>
          <w:szCs w:val="22"/>
          <w:lang w:val="tr-TR"/>
        </w:rPr>
        <w:t>’</w:t>
      </w:r>
      <w:r w:rsidR="00B120B6" w:rsidRPr="00E5747D">
        <w:rPr>
          <w:sz w:val="22"/>
          <w:szCs w:val="22"/>
          <w:lang w:val="tr-TR"/>
        </w:rPr>
        <w:t>ye çıktığı takdirde bu iki bölgede ortanca ücretlerde bir değişiklik görülmemektedir. Ancak</w:t>
      </w:r>
      <w:r w:rsidR="00DD6E76" w:rsidRPr="00E5747D">
        <w:rPr>
          <w:sz w:val="22"/>
          <w:szCs w:val="22"/>
          <w:lang w:val="tr-TR"/>
        </w:rPr>
        <w:t>,</w:t>
      </w:r>
      <w:r w:rsidR="00B120B6" w:rsidRPr="00E5747D">
        <w:rPr>
          <w:sz w:val="22"/>
          <w:szCs w:val="22"/>
          <w:lang w:val="tr-TR"/>
        </w:rPr>
        <w:t xml:space="preserve"> kalan 24 bölgenin hepsinde ortanca ücret 1300 TL</w:t>
      </w:r>
      <w:r w:rsidR="0005610C" w:rsidRPr="00E5747D">
        <w:rPr>
          <w:sz w:val="22"/>
          <w:szCs w:val="22"/>
          <w:lang w:val="tr-TR"/>
        </w:rPr>
        <w:t>’</w:t>
      </w:r>
      <w:r w:rsidR="00B120B6" w:rsidRPr="00E5747D">
        <w:rPr>
          <w:sz w:val="22"/>
          <w:szCs w:val="22"/>
          <w:lang w:val="tr-TR"/>
        </w:rPr>
        <w:t>ye yükselmektedir. Diğer deyişle bu 24 bölgede asgari ücretin 1300 TL</w:t>
      </w:r>
      <w:r w:rsidR="0005610C" w:rsidRPr="00E5747D">
        <w:rPr>
          <w:sz w:val="22"/>
          <w:szCs w:val="22"/>
          <w:lang w:val="tr-TR"/>
        </w:rPr>
        <w:t>’</w:t>
      </w:r>
      <w:r w:rsidR="00B120B6" w:rsidRPr="00E5747D">
        <w:rPr>
          <w:sz w:val="22"/>
          <w:szCs w:val="22"/>
          <w:lang w:val="tr-TR"/>
        </w:rPr>
        <w:t xml:space="preserve">ye yükselmesi özel sektörde tam zamanlı ve ücretli çalışanların yarısından fazlasının ücretini artıracaktır. </w:t>
      </w:r>
    </w:p>
    <w:p w14:paraId="2C4BD2B7" w14:textId="77777777" w:rsidR="004E0AD2" w:rsidRPr="00E5747D" w:rsidRDefault="004E0AD2" w:rsidP="00B17072">
      <w:pPr>
        <w:spacing w:line="276" w:lineRule="auto"/>
        <w:rPr>
          <w:sz w:val="22"/>
          <w:szCs w:val="22"/>
          <w:lang w:val="tr-TR"/>
        </w:rPr>
      </w:pPr>
    </w:p>
    <w:p w14:paraId="73DF8168" w14:textId="77777777" w:rsidR="004E0AD2" w:rsidRPr="00E5747D" w:rsidRDefault="004E0AD2" w:rsidP="00B17072">
      <w:pPr>
        <w:spacing w:line="276" w:lineRule="auto"/>
        <w:rPr>
          <w:sz w:val="22"/>
          <w:szCs w:val="22"/>
          <w:lang w:val="tr-TR"/>
        </w:rPr>
      </w:pPr>
      <w:r w:rsidRPr="00E5747D">
        <w:rPr>
          <w:sz w:val="22"/>
          <w:szCs w:val="22"/>
          <w:lang w:val="tr-TR"/>
        </w:rPr>
        <w:t>Asgari ücretin 1300 TL</w:t>
      </w:r>
      <w:r w:rsidR="0005610C" w:rsidRPr="00E5747D">
        <w:rPr>
          <w:sz w:val="22"/>
          <w:szCs w:val="22"/>
          <w:lang w:val="tr-TR"/>
        </w:rPr>
        <w:t>’</w:t>
      </w:r>
      <w:r w:rsidRPr="00E5747D">
        <w:rPr>
          <w:sz w:val="22"/>
          <w:szCs w:val="22"/>
          <w:lang w:val="tr-TR"/>
        </w:rPr>
        <w:t xml:space="preserve">ye çıkması ortanca ücretlerde de yüzde olarak büyük farklılıklar yaratacaktır. </w:t>
      </w:r>
      <w:r w:rsidR="00291E13" w:rsidRPr="00E5747D">
        <w:rPr>
          <w:sz w:val="22"/>
          <w:szCs w:val="22"/>
          <w:lang w:val="tr-TR"/>
        </w:rPr>
        <w:t xml:space="preserve">Ortanca ücretlerin </w:t>
      </w:r>
      <w:r w:rsidRPr="00E5747D">
        <w:rPr>
          <w:sz w:val="22"/>
          <w:szCs w:val="22"/>
          <w:lang w:val="tr-TR"/>
        </w:rPr>
        <w:t>Balıkesir, Aydın, Kırıkkale, Samsun, Trabzon, Erzurum, Ağrı ve Gaziantep bölgelerinde</w:t>
      </w:r>
      <w:r w:rsidR="00291E13" w:rsidRPr="00E5747D">
        <w:rPr>
          <w:sz w:val="22"/>
          <w:szCs w:val="22"/>
          <w:lang w:val="tr-TR"/>
        </w:rPr>
        <w:t xml:space="preserve"> neredeyse yüzde 20, Adana ve Hatay</w:t>
      </w:r>
      <w:r w:rsidR="0005610C" w:rsidRPr="00E5747D">
        <w:rPr>
          <w:sz w:val="22"/>
          <w:szCs w:val="22"/>
          <w:lang w:val="tr-TR"/>
        </w:rPr>
        <w:t>’</w:t>
      </w:r>
      <w:r w:rsidR="00291E13" w:rsidRPr="00E5747D">
        <w:rPr>
          <w:sz w:val="22"/>
          <w:szCs w:val="22"/>
          <w:lang w:val="tr-TR"/>
        </w:rPr>
        <w:t>da yüzde 23-</w:t>
      </w:r>
      <w:r w:rsidR="00487474" w:rsidRPr="00E5747D">
        <w:rPr>
          <w:sz w:val="22"/>
          <w:szCs w:val="22"/>
          <w:lang w:val="tr-TR"/>
        </w:rPr>
        <w:t>24</w:t>
      </w:r>
      <w:r w:rsidR="00291E13" w:rsidRPr="00E5747D">
        <w:rPr>
          <w:sz w:val="22"/>
          <w:szCs w:val="22"/>
          <w:lang w:val="tr-TR"/>
        </w:rPr>
        <w:t xml:space="preserve"> ve </w:t>
      </w:r>
      <w:r w:rsidRPr="00E5747D">
        <w:rPr>
          <w:sz w:val="22"/>
          <w:szCs w:val="22"/>
          <w:lang w:val="tr-TR"/>
        </w:rPr>
        <w:t xml:space="preserve">Manisa, </w:t>
      </w:r>
      <w:r w:rsidR="00291E13" w:rsidRPr="00E5747D">
        <w:rPr>
          <w:sz w:val="22"/>
          <w:szCs w:val="22"/>
          <w:lang w:val="tr-TR"/>
        </w:rPr>
        <w:t>Kastamonu, Malatya, Şanlıurfa ile</w:t>
      </w:r>
      <w:r w:rsidRPr="00E5747D">
        <w:rPr>
          <w:sz w:val="22"/>
          <w:szCs w:val="22"/>
          <w:lang w:val="tr-TR"/>
        </w:rPr>
        <w:t xml:space="preserve"> Mardin</w:t>
      </w:r>
      <w:r w:rsidR="0005610C" w:rsidRPr="00E5747D">
        <w:rPr>
          <w:sz w:val="22"/>
          <w:szCs w:val="22"/>
          <w:lang w:val="tr-TR"/>
        </w:rPr>
        <w:t>’</w:t>
      </w:r>
      <w:r w:rsidRPr="00E5747D">
        <w:rPr>
          <w:sz w:val="22"/>
          <w:szCs w:val="22"/>
          <w:lang w:val="tr-TR"/>
        </w:rPr>
        <w:t>de yüzde 25</w:t>
      </w:r>
      <w:r w:rsidR="0005610C" w:rsidRPr="00E5747D">
        <w:rPr>
          <w:sz w:val="22"/>
          <w:szCs w:val="22"/>
          <w:lang w:val="tr-TR"/>
        </w:rPr>
        <w:t>’</w:t>
      </w:r>
      <w:r w:rsidRPr="00E5747D">
        <w:rPr>
          <w:sz w:val="22"/>
          <w:szCs w:val="22"/>
          <w:lang w:val="tr-TR"/>
        </w:rPr>
        <w:t xml:space="preserve">in üzerinde </w:t>
      </w:r>
      <w:r w:rsidR="00291E13" w:rsidRPr="00E5747D">
        <w:rPr>
          <w:sz w:val="22"/>
          <w:szCs w:val="22"/>
          <w:lang w:val="tr-TR"/>
        </w:rPr>
        <w:t>artacağı</w:t>
      </w:r>
      <w:r w:rsidRPr="00E5747D">
        <w:rPr>
          <w:sz w:val="22"/>
          <w:szCs w:val="22"/>
          <w:lang w:val="tr-TR"/>
        </w:rPr>
        <w:t xml:space="preserve"> hesaplanmıştır. </w:t>
      </w:r>
      <w:r w:rsidR="003470BA" w:rsidRPr="00E5747D">
        <w:rPr>
          <w:sz w:val="22"/>
          <w:szCs w:val="22"/>
          <w:lang w:val="tr-TR"/>
        </w:rPr>
        <w:t>Bu veriler</w:t>
      </w:r>
      <w:r w:rsidR="00DD6E76" w:rsidRPr="00E5747D">
        <w:rPr>
          <w:sz w:val="22"/>
          <w:szCs w:val="22"/>
          <w:lang w:val="tr-TR"/>
        </w:rPr>
        <w:t>,</w:t>
      </w:r>
      <w:r w:rsidR="003470BA" w:rsidRPr="00E5747D">
        <w:rPr>
          <w:sz w:val="22"/>
          <w:szCs w:val="22"/>
          <w:lang w:val="tr-TR"/>
        </w:rPr>
        <w:t xml:space="preserve"> 26 bölgenin 15’indeki ortanca ücret artışlarının en az yüzde 20 olacağına işaret etmektedir. </w:t>
      </w:r>
    </w:p>
    <w:p w14:paraId="60746532" w14:textId="77777777" w:rsidR="006E4190" w:rsidRPr="00E5747D" w:rsidRDefault="006E4190" w:rsidP="00B17072">
      <w:pPr>
        <w:spacing w:line="276" w:lineRule="auto"/>
        <w:rPr>
          <w:sz w:val="22"/>
          <w:szCs w:val="22"/>
          <w:lang w:val="tr-TR"/>
        </w:rPr>
      </w:pPr>
    </w:p>
    <w:p w14:paraId="6C5B1716" w14:textId="77777777" w:rsidR="00676C66" w:rsidRPr="00E5747D" w:rsidRDefault="00676C66" w:rsidP="00676C66">
      <w:pPr>
        <w:pStyle w:val="Caption"/>
        <w:keepNext/>
        <w:rPr>
          <w:b/>
          <w:i w:val="0"/>
          <w:color w:val="auto"/>
          <w:sz w:val="22"/>
          <w:szCs w:val="22"/>
          <w:lang w:val="tr-TR"/>
        </w:rPr>
      </w:pPr>
      <w:bookmarkStart w:id="3" w:name="_Ref439624935"/>
      <w:r w:rsidRPr="00E5747D">
        <w:rPr>
          <w:b/>
          <w:i w:val="0"/>
          <w:color w:val="auto"/>
          <w:sz w:val="22"/>
          <w:szCs w:val="22"/>
          <w:lang w:val="tr-TR"/>
        </w:rPr>
        <w:t xml:space="preserve">Tablo </w:t>
      </w:r>
      <w:r w:rsidRPr="00E5747D">
        <w:rPr>
          <w:b/>
          <w:i w:val="0"/>
          <w:color w:val="auto"/>
          <w:sz w:val="22"/>
          <w:szCs w:val="22"/>
          <w:lang w:val="tr-TR"/>
        </w:rPr>
        <w:fldChar w:fldCharType="begin"/>
      </w:r>
      <w:r w:rsidRPr="00E5747D">
        <w:rPr>
          <w:b/>
          <w:i w:val="0"/>
          <w:color w:val="auto"/>
          <w:sz w:val="22"/>
          <w:szCs w:val="22"/>
          <w:lang w:val="tr-TR"/>
        </w:rPr>
        <w:instrText xml:space="preserve"> SEQ Tablo \* ARABIC </w:instrText>
      </w:r>
      <w:r w:rsidRPr="00E5747D">
        <w:rPr>
          <w:b/>
          <w:i w:val="0"/>
          <w:color w:val="auto"/>
          <w:sz w:val="22"/>
          <w:szCs w:val="22"/>
          <w:lang w:val="tr-TR"/>
        </w:rPr>
        <w:fldChar w:fldCharType="separate"/>
      </w:r>
      <w:r w:rsidR="00E5747D" w:rsidRPr="00E5747D">
        <w:rPr>
          <w:b/>
          <w:i w:val="0"/>
          <w:noProof/>
          <w:color w:val="auto"/>
          <w:sz w:val="22"/>
          <w:szCs w:val="22"/>
          <w:lang w:val="tr-TR"/>
        </w:rPr>
        <w:t>2</w:t>
      </w:r>
      <w:r w:rsidRPr="00E5747D">
        <w:rPr>
          <w:b/>
          <w:i w:val="0"/>
          <w:color w:val="auto"/>
          <w:sz w:val="22"/>
          <w:szCs w:val="22"/>
          <w:lang w:val="tr-TR"/>
        </w:rPr>
        <w:fldChar w:fldCharType="end"/>
      </w:r>
      <w:bookmarkEnd w:id="3"/>
      <w:r w:rsidR="00DD6E76" w:rsidRPr="00E5747D">
        <w:rPr>
          <w:b/>
          <w:i w:val="0"/>
          <w:color w:val="auto"/>
          <w:sz w:val="22"/>
          <w:szCs w:val="22"/>
          <w:lang w:val="tr-TR"/>
        </w:rPr>
        <w:t xml:space="preserve"> Asgari ücret artışının bölgesel ortanca ücretlere etkileri</w:t>
      </w:r>
    </w:p>
    <w:tbl>
      <w:tblPr>
        <w:tblW w:w="864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3544"/>
        <w:gridCol w:w="1098"/>
        <w:gridCol w:w="1595"/>
        <w:gridCol w:w="1276"/>
        <w:gridCol w:w="1134"/>
      </w:tblGrid>
      <w:tr w:rsidR="006E4190" w:rsidRPr="00E5747D" w14:paraId="255D9511" w14:textId="77777777" w:rsidTr="008701F0">
        <w:trPr>
          <w:trHeight w:val="1256"/>
        </w:trPr>
        <w:tc>
          <w:tcPr>
            <w:tcW w:w="3544" w:type="dxa"/>
            <w:shd w:val="clear" w:color="auto" w:fill="auto"/>
            <w:noWrap/>
            <w:vAlign w:val="bottom"/>
            <w:hideMark/>
          </w:tcPr>
          <w:p w14:paraId="7D91A4B8" w14:textId="77777777" w:rsidR="006E4190" w:rsidRPr="00E5747D" w:rsidRDefault="006E4190" w:rsidP="00B17072">
            <w:pPr>
              <w:spacing w:line="276" w:lineRule="auto"/>
              <w:rPr>
                <w:sz w:val="22"/>
                <w:szCs w:val="22"/>
                <w:lang w:val="tr-TR"/>
              </w:rPr>
            </w:pPr>
          </w:p>
        </w:tc>
        <w:tc>
          <w:tcPr>
            <w:tcW w:w="1098" w:type="dxa"/>
            <w:shd w:val="clear" w:color="auto" w:fill="auto"/>
            <w:noWrap/>
            <w:vAlign w:val="bottom"/>
            <w:hideMark/>
          </w:tcPr>
          <w:p w14:paraId="57691F41" w14:textId="77777777" w:rsidR="006E4190" w:rsidRPr="00E5747D" w:rsidRDefault="006E4190" w:rsidP="00487474">
            <w:pPr>
              <w:spacing w:line="276" w:lineRule="auto"/>
              <w:jc w:val="right"/>
              <w:rPr>
                <w:b/>
                <w:sz w:val="22"/>
                <w:szCs w:val="22"/>
                <w:lang w:val="tr-TR"/>
              </w:rPr>
            </w:pPr>
            <w:r w:rsidRPr="00E5747D">
              <w:rPr>
                <w:b/>
                <w:sz w:val="22"/>
                <w:szCs w:val="22"/>
                <w:lang w:val="tr-TR"/>
              </w:rPr>
              <w:t>Ortanca ücret</w:t>
            </w:r>
            <w:r w:rsidR="00487474" w:rsidRPr="00E5747D">
              <w:rPr>
                <w:b/>
                <w:sz w:val="22"/>
                <w:szCs w:val="22"/>
                <w:lang w:val="tr-TR"/>
              </w:rPr>
              <w:t>(TL)</w:t>
            </w:r>
          </w:p>
        </w:tc>
        <w:tc>
          <w:tcPr>
            <w:tcW w:w="1595" w:type="dxa"/>
            <w:shd w:val="clear" w:color="auto" w:fill="auto"/>
            <w:noWrap/>
            <w:vAlign w:val="bottom"/>
            <w:hideMark/>
          </w:tcPr>
          <w:p w14:paraId="76E0D68E" w14:textId="77777777" w:rsidR="006E4190" w:rsidRPr="00E5747D" w:rsidRDefault="006E4190" w:rsidP="00487474">
            <w:pPr>
              <w:spacing w:line="276" w:lineRule="auto"/>
              <w:jc w:val="right"/>
              <w:rPr>
                <w:b/>
                <w:sz w:val="22"/>
                <w:szCs w:val="22"/>
                <w:lang w:val="tr-TR"/>
              </w:rPr>
            </w:pPr>
            <w:r w:rsidRPr="00E5747D">
              <w:rPr>
                <w:b/>
                <w:sz w:val="22"/>
                <w:szCs w:val="22"/>
                <w:lang w:val="tr-TR"/>
              </w:rPr>
              <w:t>1300 TL asgari ücret ile ortanca ücret</w:t>
            </w:r>
            <w:r w:rsidR="00487474" w:rsidRPr="00E5747D">
              <w:rPr>
                <w:b/>
                <w:sz w:val="22"/>
                <w:szCs w:val="22"/>
                <w:lang w:val="tr-TR"/>
              </w:rPr>
              <w:t>(TL)</w:t>
            </w:r>
          </w:p>
        </w:tc>
        <w:tc>
          <w:tcPr>
            <w:tcW w:w="1276" w:type="dxa"/>
            <w:shd w:val="clear" w:color="auto" w:fill="auto"/>
            <w:noWrap/>
            <w:vAlign w:val="bottom"/>
            <w:hideMark/>
          </w:tcPr>
          <w:p w14:paraId="2A93EC8A" w14:textId="77777777" w:rsidR="006E4190" w:rsidRPr="00E5747D" w:rsidRDefault="006E4190" w:rsidP="00487474">
            <w:pPr>
              <w:spacing w:line="276" w:lineRule="auto"/>
              <w:jc w:val="right"/>
              <w:rPr>
                <w:b/>
                <w:sz w:val="22"/>
                <w:szCs w:val="22"/>
                <w:lang w:val="tr-TR"/>
              </w:rPr>
            </w:pPr>
            <w:r w:rsidRPr="00E5747D">
              <w:rPr>
                <w:b/>
                <w:sz w:val="22"/>
                <w:szCs w:val="22"/>
                <w:lang w:val="tr-TR"/>
              </w:rPr>
              <w:t>Ortanca ücretteki artış</w:t>
            </w:r>
            <w:r w:rsidR="00487474" w:rsidRPr="00E5747D">
              <w:rPr>
                <w:b/>
                <w:sz w:val="22"/>
                <w:szCs w:val="22"/>
                <w:lang w:val="tr-TR"/>
              </w:rPr>
              <w:t>(TL)</w:t>
            </w:r>
          </w:p>
        </w:tc>
        <w:tc>
          <w:tcPr>
            <w:tcW w:w="1134" w:type="dxa"/>
            <w:shd w:val="clear" w:color="auto" w:fill="auto"/>
            <w:noWrap/>
            <w:vAlign w:val="bottom"/>
            <w:hideMark/>
          </w:tcPr>
          <w:p w14:paraId="07E633CB" w14:textId="77777777" w:rsidR="006E4190" w:rsidRPr="00E5747D" w:rsidRDefault="006E4190" w:rsidP="00487474">
            <w:pPr>
              <w:spacing w:line="276" w:lineRule="auto"/>
              <w:jc w:val="right"/>
              <w:rPr>
                <w:b/>
                <w:sz w:val="22"/>
                <w:szCs w:val="22"/>
                <w:lang w:val="tr-TR"/>
              </w:rPr>
            </w:pPr>
            <w:r w:rsidRPr="00E5747D">
              <w:rPr>
                <w:b/>
                <w:sz w:val="22"/>
                <w:szCs w:val="22"/>
                <w:lang w:val="tr-TR"/>
              </w:rPr>
              <w:t>Ortanca ücretteki artış</w:t>
            </w:r>
            <w:r w:rsidR="00487474" w:rsidRPr="00E5747D">
              <w:rPr>
                <w:b/>
                <w:sz w:val="22"/>
                <w:szCs w:val="22"/>
                <w:lang w:val="tr-TR"/>
              </w:rPr>
              <w:t>(TL)</w:t>
            </w:r>
            <w:r w:rsidRPr="00E5747D">
              <w:rPr>
                <w:b/>
                <w:sz w:val="22"/>
                <w:szCs w:val="22"/>
                <w:lang w:val="tr-TR"/>
              </w:rPr>
              <w:t xml:space="preserve"> </w:t>
            </w:r>
          </w:p>
        </w:tc>
      </w:tr>
      <w:tr w:rsidR="007F5B17" w:rsidRPr="00E5747D" w14:paraId="1719702F" w14:textId="77777777" w:rsidTr="008701F0">
        <w:trPr>
          <w:trHeight w:val="315"/>
        </w:trPr>
        <w:tc>
          <w:tcPr>
            <w:tcW w:w="3544" w:type="dxa"/>
            <w:shd w:val="clear" w:color="auto" w:fill="auto"/>
            <w:noWrap/>
            <w:hideMark/>
          </w:tcPr>
          <w:p w14:paraId="122C67FF" w14:textId="77777777" w:rsidR="007F5B17" w:rsidRPr="00E5747D" w:rsidRDefault="007F5B17" w:rsidP="007F5B17">
            <w:pPr>
              <w:spacing w:line="276" w:lineRule="auto"/>
              <w:rPr>
                <w:b/>
                <w:sz w:val="22"/>
                <w:szCs w:val="22"/>
                <w:lang w:val="tr-TR"/>
              </w:rPr>
            </w:pPr>
            <w:r w:rsidRPr="00E5747D">
              <w:rPr>
                <w:b/>
                <w:sz w:val="22"/>
                <w:szCs w:val="22"/>
                <w:lang w:val="tr-TR"/>
              </w:rPr>
              <w:t>İstanbul (İstanbul)</w:t>
            </w:r>
          </w:p>
        </w:tc>
        <w:tc>
          <w:tcPr>
            <w:tcW w:w="1098" w:type="dxa"/>
            <w:shd w:val="clear" w:color="auto" w:fill="auto"/>
            <w:noWrap/>
            <w:vAlign w:val="bottom"/>
            <w:hideMark/>
          </w:tcPr>
          <w:p w14:paraId="4C9E6BAA" w14:textId="77777777" w:rsidR="007F5B17" w:rsidRPr="00E5747D" w:rsidRDefault="007F5B17" w:rsidP="007F5B17">
            <w:pPr>
              <w:spacing w:line="276" w:lineRule="auto"/>
              <w:jc w:val="right"/>
              <w:rPr>
                <w:sz w:val="22"/>
                <w:szCs w:val="22"/>
                <w:lang w:val="tr-TR"/>
              </w:rPr>
            </w:pPr>
            <w:r w:rsidRPr="00E5747D">
              <w:rPr>
                <w:sz w:val="22"/>
                <w:szCs w:val="22"/>
                <w:lang w:val="tr-TR"/>
              </w:rPr>
              <w:t>1.452</w:t>
            </w:r>
          </w:p>
        </w:tc>
        <w:tc>
          <w:tcPr>
            <w:tcW w:w="1595" w:type="dxa"/>
            <w:shd w:val="clear" w:color="auto" w:fill="auto"/>
            <w:noWrap/>
            <w:vAlign w:val="bottom"/>
            <w:hideMark/>
          </w:tcPr>
          <w:p w14:paraId="74954447" w14:textId="77777777" w:rsidR="007F5B17" w:rsidRPr="00E5747D" w:rsidRDefault="007F5B17" w:rsidP="007F5B17">
            <w:pPr>
              <w:spacing w:line="276" w:lineRule="auto"/>
              <w:jc w:val="right"/>
              <w:rPr>
                <w:sz w:val="22"/>
                <w:szCs w:val="22"/>
                <w:lang w:val="tr-TR"/>
              </w:rPr>
            </w:pPr>
            <w:r w:rsidRPr="00E5747D">
              <w:rPr>
                <w:sz w:val="22"/>
                <w:szCs w:val="22"/>
                <w:lang w:val="tr-TR"/>
              </w:rPr>
              <w:t>1.452</w:t>
            </w:r>
          </w:p>
        </w:tc>
        <w:tc>
          <w:tcPr>
            <w:tcW w:w="1276" w:type="dxa"/>
            <w:shd w:val="clear" w:color="auto" w:fill="auto"/>
            <w:noWrap/>
            <w:vAlign w:val="bottom"/>
            <w:hideMark/>
          </w:tcPr>
          <w:p w14:paraId="1D694ABC" w14:textId="77777777" w:rsidR="007F5B17" w:rsidRPr="00E5747D" w:rsidRDefault="007F5B17" w:rsidP="007F5B17">
            <w:pPr>
              <w:spacing w:line="276" w:lineRule="auto"/>
              <w:jc w:val="right"/>
              <w:rPr>
                <w:sz w:val="22"/>
                <w:szCs w:val="22"/>
                <w:lang w:val="tr-TR"/>
              </w:rPr>
            </w:pPr>
            <w:r w:rsidRPr="00E5747D">
              <w:rPr>
                <w:sz w:val="22"/>
                <w:szCs w:val="22"/>
                <w:lang w:val="tr-TR"/>
              </w:rPr>
              <w:t>0</w:t>
            </w:r>
          </w:p>
        </w:tc>
        <w:tc>
          <w:tcPr>
            <w:tcW w:w="1134" w:type="dxa"/>
            <w:shd w:val="clear" w:color="auto" w:fill="auto"/>
            <w:noWrap/>
            <w:vAlign w:val="bottom"/>
            <w:hideMark/>
          </w:tcPr>
          <w:p w14:paraId="6B64DA59" w14:textId="77777777" w:rsidR="007F5B17" w:rsidRPr="00E5747D" w:rsidRDefault="007F5B17" w:rsidP="007F5B17">
            <w:pPr>
              <w:spacing w:line="276" w:lineRule="auto"/>
              <w:jc w:val="right"/>
              <w:rPr>
                <w:sz w:val="22"/>
                <w:szCs w:val="22"/>
                <w:lang w:val="tr-TR"/>
              </w:rPr>
            </w:pPr>
            <w:r w:rsidRPr="00E5747D">
              <w:rPr>
                <w:sz w:val="22"/>
                <w:szCs w:val="22"/>
                <w:lang w:val="tr-TR"/>
              </w:rPr>
              <w:t>0,0</w:t>
            </w:r>
          </w:p>
        </w:tc>
      </w:tr>
      <w:tr w:rsidR="007F5B17" w:rsidRPr="00E5747D" w14:paraId="16E2413E" w14:textId="77777777" w:rsidTr="008701F0">
        <w:trPr>
          <w:trHeight w:val="315"/>
        </w:trPr>
        <w:tc>
          <w:tcPr>
            <w:tcW w:w="3544" w:type="dxa"/>
            <w:shd w:val="clear" w:color="auto" w:fill="auto"/>
            <w:noWrap/>
            <w:hideMark/>
          </w:tcPr>
          <w:p w14:paraId="45F18B9F" w14:textId="77777777" w:rsidR="007F5B17" w:rsidRPr="00E5747D" w:rsidRDefault="007F5B17" w:rsidP="007F5B17">
            <w:pPr>
              <w:spacing w:line="276" w:lineRule="auto"/>
              <w:rPr>
                <w:b/>
                <w:sz w:val="22"/>
                <w:szCs w:val="22"/>
                <w:lang w:val="tr-TR"/>
              </w:rPr>
            </w:pPr>
            <w:r w:rsidRPr="00E5747D">
              <w:rPr>
                <w:b/>
                <w:sz w:val="22"/>
                <w:szCs w:val="22"/>
                <w:lang w:val="tr-TR"/>
              </w:rPr>
              <w:t>Tekirdağ (Edirne-Tekirdağ-Kırklareli)</w:t>
            </w:r>
          </w:p>
        </w:tc>
        <w:tc>
          <w:tcPr>
            <w:tcW w:w="1098" w:type="dxa"/>
            <w:shd w:val="clear" w:color="auto" w:fill="auto"/>
            <w:noWrap/>
            <w:vAlign w:val="bottom"/>
            <w:hideMark/>
          </w:tcPr>
          <w:p w14:paraId="5E8636B7" w14:textId="77777777" w:rsidR="007F5B17" w:rsidRPr="00E5747D" w:rsidRDefault="007F5B17" w:rsidP="007F5B17">
            <w:pPr>
              <w:spacing w:line="276" w:lineRule="auto"/>
              <w:jc w:val="right"/>
              <w:rPr>
                <w:sz w:val="22"/>
                <w:szCs w:val="22"/>
                <w:lang w:val="tr-TR"/>
              </w:rPr>
            </w:pPr>
            <w:r w:rsidRPr="00E5747D">
              <w:rPr>
                <w:sz w:val="22"/>
                <w:szCs w:val="22"/>
                <w:lang w:val="tr-TR"/>
              </w:rPr>
              <w:t>1.177</w:t>
            </w:r>
          </w:p>
        </w:tc>
        <w:tc>
          <w:tcPr>
            <w:tcW w:w="1595" w:type="dxa"/>
            <w:shd w:val="clear" w:color="auto" w:fill="auto"/>
            <w:noWrap/>
            <w:vAlign w:val="bottom"/>
            <w:hideMark/>
          </w:tcPr>
          <w:p w14:paraId="5DEDF028"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0C231B08" w14:textId="77777777" w:rsidR="007F5B17" w:rsidRPr="00E5747D" w:rsidRDefault="007F5B17" w:rsidP="007F5B17">
            <w:pPr>
              <w:spacing w:line="276" w:lineRule="auto"/>
              <w:jc w:val="right"/>
              <w:rPr>
                <w:sz w:val="22"/>
                <w:szCs w:val="22"/>
                <w:lang w:val="tr-TR"/>
              </w:rPr>
            </w:pPr>
            <w:r w:rsidRPr="00E5747D">
              <w:rPr>
                <w:sz w:val="22"/>
                <w:szCs w:val="22"/>
                <w:lang w:val="tr-TR"/>
              </w:rPr>
              <w:t>123</w:t>
            </w:r>
          </w:p>
        </w:tc>
        <w:tc>
          <w:tcPr>
            <w:tcW w:w="1134" w:type="dxa"/>
            <w:shd w:val="clear" w:color="auto" w:fill="auto"/>
            <w:noWrap/>
            <w:vAlign w:val="bottom"/>
            <w:hideMark/>
          </w:tcPr>
          <w:p w14:paraId="39D0B5FB" w14:textId="77777777" w:rsidR="007F5B17" w:rsidRPr="00E5747D" w:rsidRDefault="007F5B17" w:rsidP="007F5B17">
            <w:pPr>
              <w:spacing w:line="276" w:lineRule="auto"/>
              <w:jc w:val="right"/>
              <w:rPr>
                <w:sz w:val="22"/>
                <w:szCs w:val="22"/>
                <w:lang w:val="tr-TR"/>
              </w:rPr>
            </w:pPr>
            <w:r w:rsidRPr="00E5747D">
              <w:rPr>
                <w:sz w:val="22"/>
                <w:szCs w:val="22"/>
                <w:lang w:val="tr-TR"/>
              </w:rPr>
              <w:t>10,5</w:t>
            </w:r>
          </w:p>
        </w:tc>
      </w:tr>
      <w:tr w:rsidR="007F5B17" w:rsidRPr="00E5747D" w14:paraId="239AFD1A" w14:textId="77777777" w:rsidTr="008701F0">
        <w:trPr>
          <w:trHeight w:val="315"/>
        </w:trPr>
        <w:tc>
          <w:tcPr>
            <w:tcW w:w="3544" w:type="dxa"/>
            <w:shd w:val="clear" w:color="auto" w:fill="auto"/>
            <w:noWrap/>
            <w:hideMark/>
          </w:tcPr>
          <w:p w14:paraId="00ED9FF3" w14:textId="77777777" w:rsidR="007F5B17" w:rsidRPr="00E5747D" w:rsidRDefault="007F5B17" w:rsidP="007F5B17">
            <w:pPr>
              <w:spacing w:line="276" w:lineRule="auto"/>
              <w:rPr>
                <w:b/>
                <w:sz w:val="22"/>
                <w:szCs w:val="22"/>
                <w:lang w:val="tr-TR"/>
              </w:rPr>
            </w:pPr>
            <w:r w:rsidRPr="00E5747D">
              <w:rPr>
                <w:b/>
                <w:sz w:val="22"/>
                <w:szCs w:val="22"/>
                <w:lang w:val="tr-TR"/>
              </w:rPr>
              <w:t>Balıkesir (Balıkesir-Çanakkale)</w:t>
            </w:r>
          </w:p>
        </w:tc>
        <w:tc>
          <w:tcPr>
            <w:tcW w:w="1098" w:type="dxa"/>
            <w:shd w:val="clear" w:color="auto" w:fill="auto"/>
            <w:noWrap/>
            <w:vAlign w:val="bottom"/>
            <w:hideMark/>
          </w:tcPr>
          <w:p w14:paraId="371DD823" w14:textId="77777777" w:rsidR="007F5B17" w:rsidRPr="00E5747D" w:rsidRDefault="007F5B17" w:rsidP="007F5B17">
            <w:pPr>
              <w:spacing w:line="276" w:lineRule="auto"/>
              <w:jc w:val="right"/>
              <w:rPr>
                <w:sz w:val="22"/>
                <w:szCs w:val="22"/>
                <w:lang w:val="tr-TR"/>
              </w:rPr>
            </w:pPr>
            <w:r w:rsidRPr="00E5747D">
              <w:rPr>
                <w:sz w:val="22"/>
                <w:szCs w:val="22"/>
                <w:lang w:val="tr-TR"/>
              </w:rPr>
              <w:t>1.089</w:t>
            </w:r>
          </w:p>
        </w:tc>
        <w:tc>
          <w:tcPr>
            <w:tcW w:w="1595" w:type="dxa"/>
            <w:shd w:val="clear" w:color="auto" w:fill="auto"/>
            <w:noWrap/>
            <w:vAlign w:val="bottom"/>
            <w:hideMark/>
          </w:tcPr>
          <w:p w14:paraId="0EF98CA9"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1695FB73" w14:textId="77777777" w:rsidR="007F5B17" w:rsidRPr="00E5747D" w:rsidRDefault="007F5B17" w:rsidP="007F5B17">
            <w:pPr>
              <w:spacing w:line="276" w:lineRule="auto"/>
              <w:jc w:val="right"/>
              <w:rPr>
                <w:sz w:val="22"/>
                <w:szCs w:val="22"/>
                <w:lang w:val="tr-TR"/>
              </w:rPr>
            </w:pPr>
            <w:r w:rsidRPr="00E5747D">
              <w:rPr>
                <w:sz w:val="22"/>
                <w:szCs w:val="22"/>
                <w:lang w:val="tr-TR"/>
              </w:rPr>
              <w:t>211</w:t>
            </w:r>
          </w:p>
        </w:tc>
        <w:tc>
          <w:tcPr>
            <w:tcW w:w="1134" w:type="dxa"/>
            <w:shd w:val="clear" w:color="auto" w:fill="auto"/>
            <w:noWrap/>
            <w:vAlign w:val="bottom"/>
            <w:hideMark/>
          </w:tcPr>
          <w:p w14:paraId="12DC2C45" w14:textId="77777777" w:rsidR="007F5B17" w:rsidRPr="00E5747D" w:rsidRDefault="007F5B17" w:rsidP="007F5B17">
            <w:pPr>
              <w:spacing w:line="276" w:lineRule="auto"/>
              <w:jc w:val="right"/>
              <w:rPr>
                <w:sz w:val="22"/>
                <w:szCs w:val="22"/>
                <w:lang w:val="tr-TR"/>
              </w:rPr>
            </w:pPr>
            <w:r w:rsidRPr="00E5747D">
              <w:rPr>
                <w:sz w:val="22"/>
                <w:szCs w:val="22"/>
                <w:lang w:val="tr-TR"/>
              </w:rPr>
              <w:t>19,4</w:t>
            </w:r>
          </w:p>
        </w:tc>
      </w:tr>
      <w:tr w:rsidR="007F5B17" w:rsidRPr="00E5747D" w14:paraId="314AE84E" w14:textId="77777777" w:rsidTr="008701F0">
        <w:trPr>
          <w:trHeight w:val="315"/>
        </w:trPr>
        <w:tc>
          <w:tcPr>
            <w:tcW w:w="3544" w:type="dxa"/>
            <w:shd w:val="clear" w:color="auto" w:fill="auto"/>
            <w:noWrap/>
            <w:hideMark/>
          </w:tcPr>
          <w:p w14:paraId="0BECA477" w14:textId="77777777" w:rsidR="007F5B17" w:rsidRPr="00E5747D" w:rsidRDefault="007F5B17" w:rsidP="007F5B17">
            <w:pPr>
              <w:spacing w:line="276" w:lineRule="auto"/>
              <w:rPr>
                <w:b/>
                <w:sz w:val="22"/>
                <w:szCs w:val="22"/>
                <w:lang w:val="tr-TR"/>
              </w:rPr>
            </w:pPr>
            <w:r w:rsidRPr="00E5747D">
              <w:rPr>
                <w:b/>
                <w:sz w:val="22"/>
                <w:szCs w:val="22"/>
                <w:lang w:val="tr-TR"/>
              </w:rPr>
              <w:t>İzmir (İzmir)</w:t>
            </w:r>
          </w:p>
        </w:tc>
        <w:tc>
          <w:tcPr>
            <w:tcW w:w="1098" w:type="dxa"/>
            <w:shd w:val="clear" w:color="auto" w:fill="auto"/>
            <w:noWrap/>
            <w:vAlign w:val="bottom"/>
            <w:hideMark/>
          </w:tcPr>
          <w:p w14:paraId="106E30CA" w14:textId="77777777" w:rsidR="007F5B17" w:rsidRPr="00E5747D" w:rsidRDefault="007F5B17" w:rsidP="007F5B17">
            <w:pPr>
              <w:spacing w:line="276" w:lineRule="auto"/>
              <w:jc w:val="right"/>
              <w:rPr>
                <w:sz w:val="22"/>
                <w:szCs w:val="22"/>
                <w:lang w:val="tr-TR"/>
              </w:rPr>
            </w:pPr>
            <w:r w:rsidRPr="00E5747D">
              <w:rPr>
                <w:sz w:val="22"/>
                <w:szCs w:val="22"/>
                <w:lang w:val="tr-TR"/>
              </w:rPr>
              <w:t>1.210</w:t>
            </w:r>
          </w:p>
        </w:tc>
        <w:tc>
          <w:tcPr>
            <w:tcW w:w="1595" w:type="dxa"/>
            <w:shd w:val="clear" w:color="auto" w:fill="auto"/>
            <w:noWrap/>
            <w:vAlign w:val="bottom"/>
            <w:hideMark/>
          </w:tcPr>
          <w:p w14:paraId="6E527AC4"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6D3C92AF" w14:textId="77777777" w:rsidR="007F5B17" w:rsidRPr="00E5747D" w:rsidRDefault="007F5B17" w:rsidP="007F5B17">
            <w:pPr>
              <w:spacing w:line="276" w:lineRule="auto"/>
              <w:jc w:val="right"/>
              <w:rPr>
                <w:sz w:val="22"/>
                <w:szCs w:val="22"/>
                <w:lang w:val="tr-TR"/>
              </w:rPr>
            </w:pPr>
            <w:r w:rsidRPr="00E5747D">
              <w:rPr>
                <w:sz w:val="22"/>
                <w:szCs w:val="22"/>
                <w:lang w:val="tr-TR"/>
              </w:rPr>
              <w:t>90</w:t>
            </w:r>
          </w:p>
        </w:tc>
        <w:tc>
          <w:tcPr>
            <w:tcW w:w="1134" w:type="dxa"/>
            <w:shd w:val="clear" w:color="auto" w:fill="auto"/>
            <w:noWrap/>
            <w:vAlign w:val="bottom"/>
            <w:hideMark/>
          </w:tcPr>
          <w:p w14:paraId="47D4298D" w14:textId="77777777" w:rsidR="007F5B17" w:rsidRPr="00E5747D" w:rsidRDefault="007F5B17" w:rsidP="007F5B17">
            <w:pPr>
              <w:spacing w:line="276" w:lineRule="auto"/>
              <w:jc w:val="right"/>
              <w:rPr>
                <w:sz w:val="22"/>
                <w:szCs w:val="22"/>
                <w:lang w:val="tr-TR"/>
              </w:rPr>
            </w:pPr>
            <w:r w:rsidRPr="00E5747D">
              <w:rPr>
                <w:sz w:val="22"/>
                <w:szCs w:val="22"/>
                <w:lang w:val="tr-TR"/>
              </w:rPr>
              <w:t>7,4</w:t>
            </w:r>
          </w:p>
        </w:tc>
      </w:tr>
      <w:tr w:rsidR="007F5B17" w:rsidRPr="00E5747D" w14:paraId="5D6A7ACC" w14:textId="77777777" w:rsidTr="008701F0">
        <w:trPr>
          <w:trHeight w:val="315"/>
        </w:trPr>
        <w:tc>
          <w:tcPr>
            <w:tcW w:w="3544" w:type="dxa"/>
            <w:shd w:val="clear" w:color="auto" w:fill="auto"/>
            <w:noWrap/>
            <w:hideMark/>
          </w:tcPr>
          <w:p w14:paraId="21BEC943" w14:textId="77777777" w:rsidR="007F5B17" w:rsidRPr="00E5747D" w:rsidRDefault="007F5B17" w:rsidP="007F5B17">
            <w:pPr>
              <w:spacing w:line="276" w:lineRule="auto"/>
              <w:rPr>
                <w:b/>
                <w:sz w:val="22"/>
                <w:szCs w:val="22"/>
                <w:lang w:val="tr-TR"/>
              </w:rPr>
            </w:pPr>
            <w:r w:rsidRPr="00E5747D">
              <w:rPr>
                <w:b/>
                <w:sz w:val="22"/>
                <w:szCs w:val="22"/>
                <w:lang w:val="tr-TR"/>
              </w:rPr>
              <w:t>Aydın (Denizli-Aydın-Muğla)</w:t>
            </w:r>
          </w:p>
        </w:tc>
        <w:tc>
          <w:tcPr>
            <w:tcW w:w="1098" w:type="dxa"/>
            <w:shd w:val="clear" w:color="auto" w:fill="auto"/>
            <w:noWrap/>
            <w:vAlign w:val="bottom"/>
            <w:hideMark/>
          </w:tcPr>
          <w:p w14:paraId="2F3BC969" w14:textId="77777777" w:rsidR="007F5B17" w:rsidRPr="00E5747D" w:rsidRDefault="007F5B17" w:rsidP="007F5B17">
            <w:pPr>
              <w:spacing w:line="276" w:lineRule="auto"/>
              <w:jc w:val="right"/>
              <w:rPr>
                <w:sz w:val="22"/>
                <w:szCs w:val="22"/>
                <w:lang w:val="tr-TR"/>
              </w:rPr>
            </w:pPr>
            <w:r w:rsidRPr="00E5747D">
              <w:rPr>
                <w:sz w:val="22"/>
                <w:szCs w:val="22"/>
                <w:lang w:val="tr-TR"/>
              </w:rPr>
              <w:t>1.089</w:t>
            </w:r>
          </w:p>
        </w:tc>
        <w:tc>
          <w:tcPr>
            <w:tcW w:w="1595" w:type="dxa"/>
            <w:shd w:val="clear" w:color="auto" w:fill="auto"/>
            <w:noWrap/>
            <w:vAlign w:val="bottom"/>
            <w:hideMark/>
          </w:tcPr>
          <w:p w14:paraId="23AA9238"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61B83659" w14:textId="77777777" w:rsidR="007F5B17" w:rsidRPr="00E5747D" w:rsidRDefault="007F5B17" w:rsidP="007F5B17">
            <w:pPr>
              <w:spacing w:line="276" w:lineRule="auto"/>
              <w:jc w:val="right"/>
              <w:rPr>
                <w:sz w:val="22"/>
                <w:szCs w:val="22"/>
                <w:lang w:val="tr-TR"/>
              </w:rPr>
            </w:pPr>
            <w:r w:rsidRPr="00E5747D">
              <w:rPr>
                <w:sz w:val="22"/>
                <w:szCs w:val="22"/>
                <w:lang w:val="tr-TR"/>
              </w:rPr>
              <w:t>211</w:t>
            </w:r>
          </w:p>
        </w:tc>
        <w:tc>
          <w:tcPr>
            <w:tcW w:w="1134" w:type="dxa"/>
            <w:shd w:val="clear" w:color="auto" w:fill="auto"/>
            <w:noWrap/>
            <w:vAlign w:val="bottom"/>
            <w:hideMark/>
          </w:tcPr>
          <w:p w14:paraId="7309E386" w14:textId="77777777" w:rsidR="007F5B17" w:rsidRPr="00E5747D" w:rsidRDefault="007F5B17" w:rsidP="007F5B17">
            <w:pPr>
              <w:spacing w:line="276" w:lineRule="auto"/>
              <w:jc w:val="right"/>
              <w:rPr>
                <w:sz w:val="22"/>
                <w:szCs w:val="22"/>
                <w:lang w:val="tr-TR"/>
              </w:rPr>
            </w:pPr>
            <w:r w:rsidRPr="00E5747D">
              <w:rPr>
                <w:sz w:val="22"/>
                <w:szCs w:val="22"/>
                <w:lang w:val="tr-TR"/>
              </w:rPr>
              <w:t>19,4</w:t>
            </w:r>
          </w:p>
        </w:tc>
      </w:tr>
      <w:tr w:rsidR="007F5B17" w:rsidRPr="00E5747D" w14:paraId="4B377115" w14:textId="77777777" w:rsidTr="008701F0">
        <w:trPr>
          <w:trHeight w:val="315"/>
        </w:trPr>
        <w:tc>
          <w:tcPr>
            <w:tcW w:w="3544" w:type="dxa"/>
            <w:shd w:val="clear" w:color="auto" w:fill="auto"/>
            <w:noWrap/>
            <w:hideMark/>
          </w:tcPr>
          <w:p w14:paraId="58F5CC55" w14:textId="77777777" w:rsidR="007F5B17" w:rsidRPr="00E5747D" w:rsidRDefault="007F5B17" w:rsidP="007F5B17">
            <w:pPr>
              <w:spacing w:line="276" w:lineRule="auto"/>
              <w:rPr>
                <w:b/>
                <w:sz w:val="22"/>
                <w:szCs w:val="22"/>
                <w:lang w:val="tr-TR"/>
              </w:rPr>
            </w:pPr>
            <w:r w:rsidRPr="00E5747D">
              <w:rPr>
                <w:b/>
                <w:sz w:val="22"/>
                <w:szCs w:val="22"/>
                <w:lang w:val="tr-TR"/>
              </w:rPr>
              <w:t>Manisa (Manisa-Afyonkarahisar-Kütahya-Uşak)</w:t>
            </w:r>
          </w:p>
        </w:tc>
        <w:tc>
          <w:tcPr>
            <w:tcW w:w="1098" w:type="dxa"/>
            <w:shd w:val="clear" w:color="auto" w:fill="auto"/>
            <w:noWrap/>
            <w:vAlign w:val="bottom"/>
            <w:hideMark/>
          </w:tcPr>
          <w:p w14:paraId="68ACCC1E" w14:textId="77777777" w:rsidR="007F5B17" w:rsidRPr="00E5747D" w:rsidRDefault="007F5B17" w:rsidP="007F5B17">
            <w:pPr>
              <w:spacing w:line="276" w:lineRule="auto"/>
              <w:jc w:val="right"/>
              <w:rPr>
                <w:sz w:val="22"/>
                <w:szCs w:val="22"/>
                <w:lang w:val="tr-TR"/>
              </w:rPr>
            </w:pPr>
            <w:r w:rsidRPr="00E5747D">
              <w:rPr>
                <w:sz w:val="22"/>
                <w:szCs w:val="22"/>
                <w:lang w:val="tr-TR"/>
              </w:rPr>
              <w:t>1.028</w:t>
            </w:r>
          </w:p>
        </w:tc>
        <w:tc>
          <w:tcPr>
            <w:tcW w:w="1595" w:type="dxa"/>
            <w:shd w:val="clear" w:color="auto" w:fill="auto"/>
            <w:noWrap/>
            <w:vAlign w:val="bottom"/>
            <w:hideMark/>
          </w:tcPr>
          <w:p w14:paraId="481F82AD"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7BE4F046" w14:textId="77777777" w:rsidR="007F5B17" w:rsidRPr="00E5747D" w:rsidRDefault="007F5B17" w:rsidP="007F5B17">
            <w:pPr>
              <w:spacing w:line="276" w:lineRule="auto"/>
              <w:jc w:val="right"/>
              <w:rPr>
                <w:sz w:val="22"/>
                <w:szCs w:val="22"/>
                <w:lang w:val="tr-TR"/>
              </w:rPr>
            </w:pPr>
            <w:r w:rsidRPr="00E5747D">
              <w:rPr>
                <w:sz w:val="22"/>
                <w:szCs w:val="22"/>
                <w:lang w:val="tr-TR"/>
              </w:rPr>
              <w:t>272</w:t>
            </w:r>
          </w:p>
        </w:tc>
        <w:tc>
          <w:tcPr>
            <w:tcW w:w="1134" w:type="dxa"/>
            <w:shd w:val="clear" w:color="auto" w:fill="auto"/>
            <w:noWrap/>
            <w:vAlign w:val="bottom"/>
            <w:hideMark/>
          </w:tcPr>
          <w:p w14:paraId="18E2ADEF" w14:textId="77777777" w:rsidR="007F5B17" w:rsidRPr="00E5747D" w:rsidRDefault="007F5B17" w:rsidP="007F5B17">
            <w:pPr>
              <w:spacing w:line="276" w:lineRule="auto"/>
              <w:jc w:val="right"/>
              <w:rPr>
                <w:sz w:val="22"/>
                <w:szCs w:val="22"/>
                <w:lang w:val="tr-TR"/>
              </w:rPr>
            </w:pPr>
            <w:r w:rsidRPr="00E5747D">
              <w:rPr>
                <w:sz w:val="22"/>
                <w:szCs w:val="22"/>
                <w:lang w:val="tr-TR"/>
              </w:rPr>
              <w:t>26,5</w:t>
            </w:r>
          </w:p>
        </w:tc>
      </w:tr>
      <w:tr w:rsidR="007F5B17" w:rsidRPr="00E5747D" w14:paraId="4273BD6A" w14:textId="77777777" w:rsidTr="008701F0">
        <w:trPr>
          <w:trHeight w:val="315"/>
        </w:trPr>
        <w:tc>
          <w:tcPr>
            <w:tcW w:w="3544" w:type="dxa"/>
            <w:shd w:val="clear" w:color="auto" w:fill="auto"/>
            <w:noWrap/>
            <w:hideMark/>
          </w:tcPr>
          <w:p w14:paraId="28FA0281" w14:textId="77777777" w:rsidR="007F5B17" w:rsidRPr="00E5747D" w:rsidRDefault="007F5B17" w:rsidP="007F5B17">
            <w:pPr>
              <w:spacing w:line="276" w:lineRule="auto"/>
              <w:rPr>
                <w:b/>
                <w:sz w:val="22"/>
                <w:szCs w:val="22"/>
                <w:lang w:val="tr-TR"/>
              </w:rPr>
            </w:pPr>
            <w:r w:rsidRPr="00E5747D">
              <w:rPr>
                <w:b/>
                <w:sz w:val="22"/>
                <w:szCs w:val="22"/>
                <w:lang w:val="tr-TR"/>
              </w:rPr>
              <w:t>Bursa (Bursa-Eskişehir-Bilecik)</w:t>
            </w:r>
          </w:p>
        </w:tc>
        <w:tc>
          <w:tcPr>
            <w:tcW w:w="1098" w:type="dxa"/>
            <w:shd w:val="clear" w:color="auto" w:fill="auto"/>
            <w:noWrap/>
            <w:vAlign w:val="bottom"/>
            <w:hideMark/>
          </w:tcPr>
          <w:p w14:paraId="1A3EDA78" w14:textId="77777777" w:rsidR="007F5B17" w:rsidRPr="00E5747D" w:rsidRDefault="007F5B17" w:rsidP="007F5B17">
            <w:pPr>
              <w:spacing w:line="276" w:lineRule="auto"/>
              <w:jc w:val="right"/>
              <w:rPr>
                <w:sz w:val="22"/>
                <w:szCs w:val="22"/>
                <w:lang w:val="tr-TR"/>
              </w:rPr>
            </w:pPr>
            <w:r w:rsidRPr="00E5747D">
              <w:rPr>
                <w:sz w:val="22"/>
                <w:szCs w:val="22"/>
                <w:lang w:val="tr-TR"/>
              </w:rPr>
              <w:t>1.210</w:t>
            </w:r>
          </w:p>
        </w:tc>
        <w:tc>
          <w:tcPr>
            <w:tcW w:w="1595" w:type="dxa"/>
            <w:shd w:val="clear" w:color="auto" w:fill="auto"/>
            <w:noWrap/>
            <w:vAlign w:val="bottom"/>
            <w:hideMark/>
          </w:tcPr>
          <w:p w14:paraId="784FEBA2"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2D0F8EFA" w14:textId="77777777" w:rsidR="007F5B17" w:rsidRPr="00E5747D" w:rsidRDefault="007F5B17" w:rsidP="007F5B17">
            <w:pPr>
              <w:spacing w:line="276" w:lineRule="auto"/>
              <w:jc w:val="right"/>
              <w:rPr>
                <w:sz w:val="22"/>
                <w:szCs w:val="22"/>
                <w:lang w:val="tr-TR"/>
              </w:rPr>
            </w:pPr>
            <w:r w:rsidRPr="00E5747D">
              <w:rPr>
                <w:sz w:val="22"/>
                <w:szCs w:val="22"/>
                <w:lang w:val="tr-TR"/>
              </w:rPr>
              <w:t>90</w:t>
            </w:r>
          </w:p>
        </w:tc>
        <w:tc>
          <w:tcPr>
            <w:tcW w:w="1134" w:type="dxa"/>
            <w:shd w:val="clear" w:color="auto" w:fill="auto"/>
            <w:noWrap/>
            <w:vAlign w:val="bottom"/>
            <w:hideMark/>
          </w:tcPr>
          <w:p w14:paraId="48ECE0AA" w14:textId="77777777" w:rsidR="007F5B17" w:rsidRPr="00E5747D" w:rsidRDefault="007F5B17" w:rsidP="007F5B17">
            <w:pPr>
              <w:spacing w:line="276" w:lineRule="auto"/>
              <w:jc w:val="right"/>
              <w:rPr>
                <w:sz w:val="22"/>
                <w:szCs w:val="22"/>
                <w:lang w:val="tr-TR"/>
              </w:rPr>
            </w:pPr>
            <w:r w:rsidRPr="00E5747D">
              <w:rPr>
                <w:sz w:val="22"/>
                <w:szCs w:val="22"/>
                <w:lang w:val="tr-TR"/>
              </w:rPr>
              <w:t>7,4</w:t>
            </w:r>
          </w:p>
        </w:tc>
      </w:tr>
      <w:tr w:rsidR="007F5B17" w:rsidRPr="00E5747D" w14:paraId="6127366B" w14:textId="77777777" w:rsidTr="008701F0">
        <w:trPr>
          <w:trHeight w:val="315"/>
        </w:trPr>
        <w:tc>
          <w:tcPr>
            <w:tcW w:w="3544" w:type="dxa"/>
            <w:shd w:val="clear" w:color="auto" w:fill="auto"/>
            <w:noWrap/>
            <w:hideMark/>
          </w:tcPr>
          <w:p w14:paraId="6D36554F" w14:textId="77777777" w:rsidR="007F5B17" w:rsidRPr="00E5747D" w:rsidRDefault="007F5B17" w:rsidP="007F5B17">
            <w:pPr>
              <w:spacing w:line="276" w:lineRule="auto"/>
              <w:rPr>
                <w:b/>
                <w:sz w:val="22"/>
                <w:szCs w:val="22"/>
                <w:lang w:val="tr-TR"/>
              </w:rPr>
            </w:pPr>
            <w:r w:rsidRPr="00E5747D">
              <w:rPr>
                <w:b/>
                <w:sz w:val="22"/>
                <w:szCs w:val="22"/>
                <w:lang w:val="tr-TR"/>
              </w:rPr>
              <w:t>Kocaeli (Kocaeli-Sakarya-Düzce-Bolu-Yalova)</w:t>
            </w:r>
          </w:p>
        </w:tc>
        <w:tc>
          <w:tcPr>
            <w:tcW w:w="1098" w:type="dxa"/>
            <w:shd w:val="clear" w:color="auto" w:fill="auto"/>
            <w:noWrap/>
            <w:vAlign w:val="bottom"/>
            <w:hideMark/>
          </w:tcPr>
          <w:p w14:paraId="5873B4AE" w14:textId="77777777" w:rsidR="007F5B17" w:rsidRPr="00E5747D" w:rsidRDefault="007F5B17" w:rsidP="007F5B17">
            <w:pPr>
              <w:spacing w:line="276" w:lineRule="auto"/>
              <w:jc w:val="right"/>
              <w:rPr>
                <w:sz w:val="22"/>
                <w:szCs w:val="22"/>
                <w:lang w:val="tr-TR"/>
              </w:rPr>
            </w:pPr>
            <w:r w:rsidRPr="00E5747D">
              <w:rPr>
                <w:sz w:val="22"/>
                <w:szCs w:val="22"/>
                <w:lang w:val="tr-TR"/>
              </w:rPr>
              <w:t>1.210</w:t>
            </w:r>
          </w:p>
        </w:tc>
        <w:tc>
          <w:tcPr>
            <w:tcW w:w="1595" w:type="dxa"/>
            <w:shd w:val="clear" w:color="auto" w:fill="auto"/>
            <w:noWrap/>
            <w:vAlign w:val="bottom"/>
            <w:hideMark/>
          </w:tcPr>
          <w:p w14:paraId="69E75026"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69FAB2F2" w14:textId="77777777" w:rsidR="007F5B17" w:rsidRPr="00E5747D" w:rsidRDefault="007F5B17" w:rsidP="007F5B17">
            <w:pPr>
              <w:spacing w:line="276" w:lineRule="auto"/>
              <w:jc w:val="right"/>
              <w:rPr>
                <w:sz w:val="22"/>
                <w:szCs w:val="22"/>
                <w:lang w:val="tr-TR"/>
              </w:rPr>
            </w:pPr>
            <w:r w:rsidRPr="00E5747D">
              <w:rPr>
                <w:sz w:val="22"/>
                <w:szCs w:val="22"/>
                <w:lang w:val="tr-TR"/>
              </w:rPr>
              <w:t>90</w:t>
            </w:r>
          </w:p>
        </w:tc>
        <w:tc>
          <w:tcPr>
            <w:tcW w:w="1134" w:type="dxa"/>
            <w:shd w:val="clear" w:color="auto" w:fill="auto"/>
            <w:noWrap/>
            <w:vAlign w:val="bottom"/>
            <w:hideMark/>
          </w:tcPr>
          <w:p w14:paraId="51AFD264" w14:textId="77777777" w:rsidR="007F5B17" w:rsidRPr="00E5747D" w:rsidRDefault="007F5B17" w:rsidP="007F5B17">
            <w:pPr>
              <w:spacing w:line="276" w:lineRule="auto"/>
              <w:jc w:val="right"/>
              <w:rPr>
                <w:sz w:val="22"/>
                <w:szCs w:val="22"/>
                <w:lang w:val="tr-TR"/>
              </w:rPr>
            </w:pPr>
            <w:r w:rsidRPr="00E5747D">
              <w:rPr>
                <w:sz w:val="22"/>
                <w:szCs w:val="22"/>
                <w:lang w:val="tr-TR"/>
              </w:rPr>
              <w:t>7,4</w:t>
            </w:r>
          </w:p>
        </w:tc>
      </w:tr>
      <w:tr w:rsidR="007F5B17" w:rsidRPr="00E5747D" w14:paraId="38320A52" w14:textId="77777777" w:rsidTr="008701F0">
        <w:trPr>
          <w:trHeight w:val="315"/>
        </w:trPr>
        <w:tc>
          <w:tcPr>
            <w:tcW w:w="3544" w:type="dxa"/>
            <w:shd w:val="clear" w:color="auto" w:fill="auto"/>
            <w:noWrap/>
            <w:hideMark/>
          </w:tcPr>
          <w:p w14:paraId="385F9CE2" w14:textId="77777777" w:rsidR="007F5B17" w:rsidRPr="00E5747D" w:rsidRDefault="007F5B17" w:rsidP="007F5B17">
            <w:pPr>
              <w:spacing w:line="276" w:lineRule="auto"/>
              <w:rPr>
                <w:b/>
                <w:sz w:val="22"/>
                <w:szCs w:val="22"/>
                <w:lang w:val="tr-TR"/>
              </w:rPr>
            </w:pPr>
            <w:r w:rsidRPr="00E5747D">
              <w:rPr>
                <w:b/>
                <w:sz w:val="22"/>
                <w:szCs w:val="22"/>
                <w:lang w:val="tr-TR"/>
              </w:rPr>
              <w:t>Ankara (Ankara)</w:t>
            </w:r>
          </w:p>
        </w:tc>
        <w:tc>
          <w:tcPr>
            <w:tcW w:w="1098" w:type="dxa"/>
            <w:shd w:val="clear" w:color="auto" w:fill="auto"/>
            <w:noWrap/>
            <w:vAlign w:val="bottom"/>
            <w:hideMark/>
          </w:tcPr>
          <w:p w14:paraId="4712672A" w14:textId="77777777" w:rsidR="007F5B17" w:rsidRPr="00E5747D" w:rsidRDefault="007F5B17" w:rsidP="007F5B17">
            <w:pPr>
              <w:spacing w:line="276" w:lineRule="auto"/>
              <w:jc w:val="right"/>
              <w:rPr>
                <w:sz w:val="22"/>
                <w:szCs w:val="22"/>
                <w:lang w:val="tr-TR"/>
              </w:rPr>
            </w:pPr>
            <w:r w:rsidRPr="00E5747D">
              <w:rPr>
                <w:sz w:val="22"/>
                <w:szCs w:val="22"/>
                <w:lang w:val="tr-TR"/>
              </w:rPr>
              <w:t>1.331</w:t>
            </w:r>
          </w:p>
        </w:tc>
        <w:tc>
          <w:tcPr>
            <w:tcW w:w="1595" w:type="dxa"/>
            <w:shd w:val="clear" w:color="auto" w:fill="auto"/>
            <w:noWrap/>
            <w:vAlign w:val="bottom"/>
            <w:hideMark/>
          </w:tcPr>
          <w:p w14:paraId="280C80AA" w14:textId="77777777" w:rsidR="007F5B17" w:rsidRPr="00E5747D" w:rsidRDefault="007F5B17" w:rsidP="007F5B17">
            <w:pPr>
              <w:spacing w:line="276" w:lineRule="auto"/>
              <w:jc w:val="right"/>
              <w:rPr>
                <w:sz w:val="22"/>
                <w:szCs w:val="22"/>
                <w:lang w:val="tr-TR"/>
              </w:rPr>
            </w:pPr>
            <w:r w:rsidRPr="00E5747D">
              <w:rPr>
                <w:sz w:val="22"/>
                <w:szCs w:val="22"/>
                <w:lang w:val="tr-TR"/>
              </w:rPr>
              <w:t>1.331</w:t>
            </w:r>
          </w:p>
        </w:tc>
        <w:tc>
          <w:tcPr>
            <w:tcW w:w="1276" w:type="dxa"/>
            <w:shd w:val="clear" w:color="auto" w:fill="auto"/>
            <w:noWrap/>
            <w:vAlign w:val="bottom"/>
            <w:hideMark/>
          </w:tcPr>
          <w:p w14:paraId="02B0BB66" w14:textId="77777777" w:rsidR="007F5B17" w:rsidRPr="00E5747D" w:rsidRDefault="007F5B17" w:rsidP="007F5B17">
            <w:pPr>
              <w:spacing w:line="276" w:lineRule="auto"/>
              <w:jc w:val="right"/>
              <w:rPr>
                <w:sz w:val="22"/>
                <w:szCs w:val="22"/>
                <w:lang w:val="tr-TR"/>
              </w:rPr>
            </w:pPr>
            <w:r w:rsidRPr="00E5747D">
              <w:rPr>
                <w:sz w:val="22"/>
                <w:szCs w:val="22"/>
                <w:lang w:val="tr-TR"/>
              </w:rPr>
              <w:t>0</w:t>
            </w:r>
          </w:p>
        </w:tc>
        <w:tc>
          <w:tcPr>
            <w:tcW w:w="1134" w:type="dxa"/>
            <w:shd w:val="clear" w:color="auto" w:fill="auto"/>
            <w:noWrap/>
            <w:vAlign w:val="bottom"/>
            <w:hideMark/>
          </w:tcPr>
          <w:p w14:paraId="5111F007" w14:textId="77777777" w:rsidR="007F5B17" w:rsidRPr="00E5747D" w:rsidRDefault="007F5B17" w:rsidP="007F5B17">
            <w:pPr>
              <w:spacing w:line="276" w:lineRule="auto"/>
              <w:jc w:val="right"/>
              <w:rPr>
                <w:sz w:val="22"/>
                <w:szCs w:val="22"/>
                <w:lang w:val="tr-TR"/>
              </w:rPr>
            </w:pPr>
            <w:r w:rsidRPr="00E5747D">
              <w:rPr>
                <w:sz w:val="22"/>
                <w:szCs w:val="22"/>
                <w:lang w:val="tr-TR"/>
              </w:rPr>
              <w:t>0,0</w:t>
            </w:r>
          </w:p>
        </w:tc>
      </w:tr>
      <w:tr w:rsidR="007F5B17" w:rsidRPr="00E5747D" w14:paraId="01B28B6F" w14:textId="77777777" w:rsidTr="008701F0">
        <w:trPr>
          <w:trHeight w:val="315"/>
        </w:trPr>
        <w:tc>
          <w:tcPr>
            <w:tcW w:w="3544" w:type="dxa"/>
            <w:shd w:val="clear" w:color="auto" w:fill="auto"/>
            <w:noWrap/>
            <w:hideMark/>
          </w:tcPr>
          <w:p w14:paraId="72C2CB18" w14:textId="77777777" w:rsidR="007F5B17" w:rsidRPr="00E5747D" w:rsidRDefault="007F5B17" w:rsidP="007F5B17">
            <w:pPr>
              <w:spacing w:line="276" w:lineRule="auto"/>
              <w:rPr>
                <w:b/>
                <w:sz w:val="22"/>
                <w:szCs w:val="22"/>
                <w:lang w:val="tr-TR"/>
              </w:rPr>
            </w:pPr>
            <w:r w:rsidRPr="00E5747D">
              <w:rPr>
                <w:b/>
                <w:sz w:val="22"/>
                <w:szCs w:val="22"/>
                <w:lang w:val="tr-TR"/>
              </w:rPr>
              <w:t>Konya (Konya-Karaman)</w:t>
            </w:r>
          </w:p>
        </w:tc>
        <w:tc>
          <w:tcPr>
            <w:tcW w:w="1098" w:type="dxa"/>
            <w:shd w:val="clear" w:color="auto" w:fill="auto"/>
            <w:noWrap/>
            <w:vAlign w:val="bottom"/>
            <w:hideMark/>
          </w:tcPr>
          <w:p w14:paraId="35F659B8" w14:textId="77777777" w:rsidR="007F5B17" w:rsidRPr="00E5747D" w:rsidRDefault="007F5B17" w:rsidP="007F5B17">
            <w:pPr>
              <w:spacing w:line="276" w:lineRule="auto"/>
              <w:jc w:val="right"/>
              <w:rPr>
                <w:sz w:val="22"/>
                <w:szCs w:val="22"/>
                <w:lang w:val="tr-TR"/>
              </w:rPr>
            </w:pPr>
            <w:r w:rsidRPr="00E5747D">
              <w:rPr>
                <w:sz w:val="22"/>
                <w:szCs w:val="22"/>
                <w:lang w:val="tr-TR"/>
              </w:rPr>
              <w:t>1.149</w:t>
            </w:r>
          </w:p>
        </w:tc>
        <w:tc>
          <w:tcPr>
            <w:tcW w:w="1595" w:type="dxa"/>
            <w:shd w:val="clear" w:color="auto" w:fill="auto"/>
            <w:noWrap/>
            <w:vAlign w:val="bottom"/>
            <w:hideMark/>
          </w:tcPr>
          <w:p w14:paraId="46DCC761"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1ED99E6B" w14:textId="77777777" w:rsidR="007F5B17" w:rsidRPr="00E5747D" w:rsidRDefault="007F5B17" w:rsidP="007F5B17">
            <w:pPr>
              <w:spacing w:line="276" w:lineRule="auto"/>
              <w:jc w:val="right"/>
              <w:rPr>
                <w:sz w:val="22"/>
                <w:szCs w:val="22"/>
                <w:lang w:val="tr-TR"/>
              </w:rPr>
            </w:pPr>
            <w:r w:rsidRPr="00E5747D">
              <w:rPr>
                <w:sz w:val="22"/>
                <w:szCs w:val="22"/>
                <w:lang w:val="tr-TR"/>
              </w:rPr>
              <w:t>151</w:t>
            </w:r>
          </w:p>
        </w:tc>
        <w:tc>
          <w:tcPr>
            <w:tcW w:w="1134" w:type="dxa"/>
            <w:shd w:val="clear" w:color="auto" w:fill="auto"/>
            <w:noWrap/>
            <w:vAlign w:val="bottom"/>
            <w:hideMark/>
          </w:tcPr>
          <w:p w14:paraId="1D9F41F8" w14:textId="77777777" w:rsidR="007F5B17" w:rsidRPr="00E5747D" w:rsidRDefault="007F5B17" w:rsidP="007F5B17">
            <w:pPr>
              <w:spacing w:line="276" w:lineRule="auto"/>
              <w:jc w:val="right"/>
              <w:rPr>
                <w:sz w:val="22"/>
                <w:szCs w:val="22"/>
                <w:lang w:val="tr-TR"/>
              </w:rPr>
            </w:pPr>
            <w:r w:rsidRPr="00E5747D">
              <w:rPr>
                <w:sz w:val="22"/>
                <w:szCs w:val="22"/>
                <w:lang w:val="tr-TR"/>
              </w:rPr>
              <w:t>13,1</w:t>
            </w:r>
          </w:p>
        </w:tc>
      </w:tr>
      <w:tr w:rsidR="007F5B17" w:rsidRPr="00E5747D" w14:paraId="0172B1A9" w14:textId="77777777" w:rsidTr="008701F0">
        <w:trPr>
          <w:trHeight w:val="315"/>
        </w:trPr>
        <w:tc>
          <w:tcPr>
            <w:tcW w:w="3544" w:type="dxa"/>
            <w:shd w:val="clear" w:color="auto" w:fill="auto"/>
            <w:noWrap/>
            <w:hideMark/>
          </w:tcPr>
          <w:p w14:paraId="399BC79D" w14:textId="77777777" w:rsidR="007F5B17" w:rsidRPr="00E5747D" w:rsidRDefault="007F5B17" w:rsidP="007F5B17">
            <w:pPr>
              <w:spacing w:line="276" w:lineRule="auto"/>
              <w:rPr>
                <w:b/>
                <w:sz w:val="22"/>
                <w:szCs w:val="22"/>
                <w:lang w:val="tr-TR"/>
              </w:rPr>
            </w:pPr>
            <w:r w:rsidRPr="00E5747D">
              <w:rPr>
                <w:b/>
                <w:sz w:val="22"/>
                <w:szCs w:val="22"/>
                <w:lang w:val="tr-TR"/>
              </w:rPr>
              <w:t>Antalya (Antalya-Isparta-Burdur)</w:t>
            </w:r>
          </w:p>
        </w:tc>
        <w:tc>
          <w:tcPr>
            <w:tcW w:w="1098" w:type="dxa"/>
            <w:shd w:val="clear" w:color="auto" w:fill="auto"/>
            <w:noWrap/>
            <w:vAlign w:val="bottom"/>
            <w:hideMark/>
          </w:tcPr>
          <w:p w14:paraId="2845A4E9" w14:textId="77777777" w:rsidR="007F5B17" w:rsidRPr="00E5747D" w:rsidRDefault="007F5B17" w:rsidP="007F5B17">
            <w:pPr>
              <w:spacing w:line="276" w:lineRule="auto"/>
              <w:jc w:val="right"/>
              <w:rPr>
                <w:sz w:val="22"/>
                <w:szCs w:val="22"/>
                <w:lang w:val="tr-TR"/>
              </w:rPr>
            </w:pPr>
            <w:r w:rsidRPr="00E5747D">
              <w:rPr>
                <w:sz w:val="22"/>
                <w:szCs w:val="22"/>
                <w:lang w:val="tr-TR"/>
              </w:rPr>
              <w:t>1.210</w:t>
            </w:r>
          </w:p>
        </w:tc>
        <w:tc>
          <w:tcPr>
            <w:tcW w:w="1595" w:type="dxa"/>
            <w:shd w:val="clear" w:color="auto" w:fill="auto"/>
            <w:noWrap/>
            <w:vAlign w:val="bottom"/>
            <w:hideMark/>
          </w:tcPr>
          <w:p w14:paraId="12D44515"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746AE036" w14:textId="77777777" w:rsidR="007F5B17" w:rsidRPr="00E5747D" w:rsidRDefault="007F5B17" w:rsidP="007F5B17">
            <w:pPr>
              <w:spacing w:line="276" w:lineRule="auto"/>
              <w:jc w:val="right"/>
              <w:rPr>
                <w:sz w:val="22"/>
                <w:szCs w:val="22"/>
                <w:lang w:val="tr-TR"/>
              </w:rPr>
            </w:pPr>
            <w:r w:rsidRPr="00E5747D">
              <w:rPr>
                <w:sz w:val="22"/>
                <w:szCs w:val="22"/>
                <w:lang w:val="tr-TR"/>
              </w:rPr>
              <w:t>90</w:t>
            </w:r>
          </w:p>
        </w:tc>
        <w:tc>
          <w:tcPr>
            <w:tcW w:w="1134" w:type="dxa"/>
            <w:shd w:val="clear" w:color="auto" w:fill="auto"/>
            <w:noWrap/>
            <w:vAlign w:val="bottom"/>
            <w:hideMark/>
          </w:tcPr>
          <w:p w14:paraId="4328708D" w14:textId="77777777" w:rsidR="007F5B17" w:rsidRPr="00E5747D" w:rsidRDefault="007F5B17" w:rsidP="007F5B17">
            <w:pPr>
              <w:spacing w:line="276" w:lineRule="auto"/>
              <w:jc w:val="right"/>
              <w:rPr>
                <w:sz w:val="22"/>
                <w:szCs w:val="22"/>
                <w:lang w:val="tr-TR"/>
              </w:rPr>
            </w:pPr>
            <w:r w:rsidRPr="00E5747D">
              <w:rPr>
                <w:sz w:val="22"/>
                <w:szCs w:val="22"/>
                <w:lang w:val="tr-TR"/>
              </w:rPr>
              <w:t>7,4</w:t>
            </w:r>
          </w:p>
        </w:tc>
      </w:tr>
      <w:tr w:rsidR="007F5B17" w:rsidRPr="00E5747D" w14:paraId="5ADA1678" w14:textId="77777777" w:rsidTr="008701F0">
        <w:trPr>
          <w:trHeight w:val="315"/>
        </w:trPr>
        <w:tc>
          <w:tcPr>
            <w:tcW w:w="3544" w:type="dxa"/>
            <w:shd w:val="clear" w:color="auto" w:fill="auto"/>
            <w:noWrap/>
            <w:hideMark/>
          </w:tcPr>
          <w:p w14:paraId="28164B1B" w14:textId="77777777" w:rsidR="007F5B17" w:rsidRPr="00E5747D" w:rsidRDefault="007F5B17" w:rsidP="007F5B17">
            <w:pPr>
              <w:spacing w:line="276" w:lineRule="auto"/>
              <w:rPr>
                <w:b/>
                <w:sz w:val="22"/>
                <w:szCs w:val="22"/>
                <w:lang w:val="tr-TR"/>
              </w:rPr>
            </w:pPr>
            <w:r w:rsidRPr="00E5747D">
              <w:rPr>
                <w:b/>
                <w:sz w:val="22"/>
                <w:szCs w:val="22"/>
                <w:lang w:val="tr-TR"/>
              </w:rPr>
              <w:t>Adana (Adana-Mersin)</w:t>
            </w:r>
          </w:p>
        </w:tc>
        <w:tc>
          <w:tcPr>
            <w:tcW w:w="1098" w:type="dxa"/>
            <w:shd w:val="clear" w:color="auto" w:fill="auto"/>
            <w:noWrap/>
            <w:vAlign w:val="bottom"/>
            <w:hideMark/>
          </w:tcPr>
          <w:p w14:paraId="7A4C12D0" w14:textId="77777777" w:rsidR="007F5B17" w:rsidRPr="00E5747D" w:rsidRDefault="007F5B17" w:rsidP="007F5B17">
            <w:pPr>
              <w:spacing w:line="276" w:lineRule="auto"/>
              <w:jc w:val="right"/>
              <w:rPr>
                <w:sz w:val="22"/>
                <w:szCs w:val="22"/>
                <w:lang w:val="tr-TR"/>
              </w:rPr>
            </w:pPr>
            <w:r w:rsidRPr="00E5747D">
              <w:rPr>
                <w:sz w:val="22"/>
                <w:szCs w:val="22"/>
                <w:lang w:val="tr-TR"/>
              </w:rPr>
              <w:t>1.052</w:t>
            </w:r>
          </w:p>
        </w:tc>
        <w:tc>
          <w:tcPr>
            <w:tcW w:w="1595" w:type="dxa"/>
            <w:shd w:val="clear" w:color="auto" w:fill="auto"/>
            <w:noWrap/>
            <w:vAlign w:val="bottom"/>
            <w:hideMark/>
          </w:tcPr>
          <w:p w14:paraId="537AB042"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24C8AB6B" w14:textId="77777777" w:rsidR="007F5B17" w:rsidRPr="00E5747D" w:rsidRDefault="007F5B17" w:rsidP="007F5B17">
            <w:pPr>
              <w:spacing w:line="276" w:lineRule="auto"/>
              <w:jc w:val="right"/>
              <w:rPr>
                <w:sz w:val="22"/>
                <w:szCs w:val="22"/>
                <w:lang w:val="tr-TR"/>
              </w:rPr>
            </w:pPr>
            <w:r w:rsidRPr="00E5747D">
              <w:rPr>
                <w:sz w:val="22"/>
                <w:szCs w:val="22"/>
                <w:lang w:val="tr-TR"/>
              </w:rPr>
              <w:t>248</w:t>
            </w:r>
          </w:p>
        </w:tc>
        <w:tc>
          <w:tcPr>
            <w:tcW w:w="1134" w:type="dxa"/>
            <w:shd w:val="clear" w:color="auto" w:fill="auto"/>
            <w:noWrap/>
            <w:vAlign w:val="bottom"/>
            <w:hideMark/>
          </w:tcPr>
          <w:p w14:paraId="416500BC" w14:textId="77777777" w:rsidR="007F5B17" w:rsidRPr="00E5747D" w:rsidRDefault="007F5B17" w:rsidP="007F5B17">
            <w:pPr>
              <w:spacing w:line="276" w:lineRule="auto"/>
              <w:jc w:val="right"/>
              <w:rPr>
                <w:sz w:val="22"/>
                <w:szCs w:val="22"/>
                <w:lang w:val="tr-TR"/>
              </w:rPr>
            </w:pPr>
            <w:r w:rsidRPr="00E5747D">
              <w:rPr>
                <w:sz w:val="22"/>
                <w:szCs w:val="22"/>
                <w:lang w:val="tr-TR"/>
              </w:rPr>
              <w:t>23,6</w:t>
            </w:r>
          </w:p>
        </w:tc>
      </w:tr>
      <w:tr w:rsidR="007F5B17" w:rsidRPr="00E5747D" w14:paraId="1746C348" w14:textId="77777777" w:rsidTr="008701F0">
        <w:trPr>
          <w:trHeight w:val="315"/>
        </w:trPr>
        <w:tc>
          <w:tcPr>
            <w:tcW w:w="3544" w:type="dxa"/>
            <w:shd w:val="clear" w:color="auto" w:fill="auto"/>
            <w:noWrap/>
            <w:hideMark/>
          </w:tcPr>
          <w:p w14:paraId="7B9CE231" w14:textId="77777777" w:rsidR="007F5B17" w:rsidRPr="00E5747D" w:rsidRDefault="007F5B17" w:rsidP="007F5B17">
            <w:pPr>
              <w:spacing w:line="276" w:lineRule="auto"/>
              <w:rPr>
                <w:b/>
                <w:sz w:val="22"/>
                <w:szCs w:val="22"/>
                <w:lang w:val="tr-TR"/>
              </w:rPr>
            </w:pPr>
            <w:r w:rsidRPr="00E5747D">
              <w:rPr>
                <w:b/>
                <w:sz w:val="22"/>
                <w:szCs w:val="22"/>
                <w:lang w:val="tr-TR"/>
              </w:rPr>
              <w:t>Hatay (Hatay-Kahramanmaraş-Osmaniye)</w:t>
            </w:r>
          </w:p>
        </w:tc>
        <w:tc>
          <w:tcPr>
            <w:tcW w:w="1098" w:type="dxa"/>
            <w:shd w:val="clear" w:color="auto" w:fill="auto"/>
            <w:noWrap/>
            <w:vAlign w:val="bottom"/>
            <w:hideMark/>
          </w:tcPr>
          <w:p w14:paraId="4C9E6185" w14:textId="77777777" w:rsidR="007F5B17" w:rsidRPr="00E5747D" w:rsidRDefault="007F5B17" w:rsidP="007F5B17">
            <w:pPr>
              <w:spacing w:line="276" w:lineRule="auto"/>
              <w:jc w:val="right"/>
              <w:rPr>
                <w:sz w:val="22"/>
                <w:szCs w:val="22"/>
                <w:lang w:val="tr-TR"/>
              </w:rPr>
            </w:pPr>
            <w:r w:rsidRPr="00E5747D">
              <w:rPr>
                <w:sz w:val="22"/>
                <w:szCs w:val="22"/>
                <w:lang w:val="tr-TR"/>
              </w:rPr>
              <w:t>1.046</w:t>
            </w:r>
          </w:p>
        </w:tc>
        <w:tc>
          <w:tcPr>
            <w:tcW w:w="1595" w:type="dxa"/>
            <w:shd w:val="clear" w:color="auto" w:fill="auto"/>
            <w:noWrap/>
            <w:vAlign w:val="bottom"/>
            <w:hideMark/>
          </w:tcPr>
          <w:p w14:paraId="730FFE8F"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47A5AC95" w14:textId="77777777" w:rsidR="007F5B17" w:rsidRPr="00E5747D" w:rsidRDefault="007F5B17" w:rsidP="007F5B17">
            <w:pPr>
              <w:spacing w:line="276" w:lineRule="auto"/>
              <w:jc w:val="right"/>
              <w:rPr>
                <w:sz w:val="22"/>
                <w:szCs w:val="22"/>
                <w:lang w:val="tr-TR"/>
              </w:rPr>
            </w:pPr>
            <w:r w:rsidRPr="00E5747D">
              <w:rPr>
                <w:sz w:val="22"/>
                <w:szCs w:val="22"/>
                <w:lang w:val="tr-TR"/>
              </w:rPr>
              <w:t>254</w:t>
            </w:r>
          </w:p>
        </w:tc>
        <w:tc>
          <w:tcPr>
            <w:tcW w:w="1134" w:type="dxa"/>
            <w:shd w:val="clear" w:color="auto" w:fill="auto"/>
            <w:noWrap/>
            <w:vAlign w:val="bottom"/>
            <w:hideMark/>
          </w:tcPr>
          <w:p w14:paraId="39DABB0D" w14:textId="77777777" w:rsidR="007F5B17" w:rsidRPr="00E5747D" w:rsidRDefault="007F5B17" w:rsidP="007F5B17">
            <w:pPr>
              <w:spacing w:line="276" w:lineRule="auto"/>
              <w:jc w:val="right"/>
              <w:rPr>
                <w:sz w:val="22"/>
                <w:szCs w:val="22"/>
                <w:lang w:val="tr-TR"/>
              </w:rPr>
            </w:pPr>
            <w:r w:rsidRPr="00E5747D">
              <w:rPr>
                <w:sz w:val="22"/>
                <w:szCs w:val="22"/>
                <w:lang w:val="tr-TR"/>
              </w:rPr>
              <w:t>24,3</w:t>
            </w:r>
          </w:p>
        </w:tc>
      </w:tr>
      <w:tr w:rsidR="007F5B17" w:rsidRPr="00E5747D" w14:paraId="0F901343" w14:textId="77777777" w:rsidTr="008701F0">
        <w:trPr>
          <w:trHeight w:val="315"/>
        </w:trPr>
        <w:tc>
          <w:tcPr>
            <w:tcW w:w="3544" w:type="dxa"/>
            <w:shd w:val="clear" w:color="auto" w:fill="auto"/>
            <w:noWrap/>
            <w:hideMark/>
          </w:tcPr>
          <w:p w14:paraId="10BE67AB" w14:textId="77777777" w:rsidR="007F5B17" w:rsidRPr="00E5747D" w:rsidRDefault="007F5B17" w:rsidP="007F5B17">
            <w:pPr>
              <w:spacing w:line="276" w:lineRule="auto"/>
              <w:rPr>
                <w:b/>
                <w:sz w:val="22"/>
                <w:szCs w:val="22"/>
                <w:lang w:val="tr-TR"/>
              </w:rPr>
            </w:pPr>
            <w:r w:rsidRPr="00E5747D">
              <w:rPr>
                <w:b/>
                <w:sz w:val="22"/>
                <w:szCs w:val="22"/>
                <w:lang w:val="tr-TR"/>
              </w:rPr>
              <w:t>Kırıkkale (Nevşehir-Aksaray-Niğde-Kırıkkale-Kırşehir)</w:t>
            </w:r>
          </w:p>
        </w:tc>
        <w:tc>
          <w:tcPr>
            <w:tcW w:w="1098" w:type="dxa"/>
            <w:shd w:val="clear" w:color="auto" w:fill="auto"/>
            <w:noWrap/>
            <w:vAlign w:val="bottom"/>
            <w:hideMark/>
          </w:tcPr>
          <w:p w14:paraId="739BBBAC" w14:textId="77777777" w:rsidR="007F5B17" w:rsidRPr="00E5747D" w:rsidRDefault="007F5B17" w:rsidP="007F5B17">
            <w:pPr>
              <w:spacing w:line="276" w:lineRule="auto"/>
              <w:jc w:val="right"/>
              <w:rPr>
                <w:sz w:val="22"/>
                <w:szCs w:val="22"/>
                <w:lang w:val="tr-TR"/>
              </w:rPr>
            </w:pPr>
            <w:r w:rsidRPr="00E5747D">
              <w:rPr>
                <w:sz w:val="22"/>
                <w:szCs w:val="22"/>
                <w:lang w:val="tr-TR"/>
              </w:rPr>
              <w:t>1.089</w:t>
            </w:r>
          </w:p>
        </w:tc>
        <w:tc>
          <w:tcPr>
            <w:tcW w:w="1595" w:type="dxa"/>
            <w:shd w:val="clear" w:color="auto" w:fill="auto"/>
            <w:noWrap/>
            <w:vAlign w:val="bottom"/>
            <w:hideMark/>
          </w:tcPr>
          <w:p w14:paraId="387BAA4C"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7B410657" w14:textId="77777777" w:rsidR="007F5B17" w:rsidRPr="00E5747D" w:rsidRDefault="007F5B17" w:rsidP="007F5B17">
            <w:pPr>
              <w:spacing w:line="276" w:lineRule="auto"/>
              <w:jc w:val="right"/>
              <w:rPr>
                <w:sz w:val="22"/>
                <w:szCs w:val="22"/>
                <w:lang w:val="tr-TR"/>
              </w:rPr>
            </w:pPr>
            <w:r w:rsidRPr="00E5747D">
              <w:rPr>
                <w:sz w:val="22"/>
                <w:szCs w:val="22"/>
                <w:lang w:val="tr-TR"/>
              </w:rPr>
              <w:t>211</w:t>
            </w:r>
          </w:p>
        </w:tc>
        <w:tc>
          <w:tcPr>
            <w:tcW w:w="1134" w:type="dxa"/>
            <w:shd w:val="clear" w:color="auto" w:fill="auto"/>
            <w:noWrap/>
            <w:vAlign w:val="bottom"/>
            <w:hideMark/>
          </w:tcPr>
          <w:p w14:paraId="089D248E" w14:textId="77777777" w:rsidR="007F5B17" w:rsidRPr="00E5747D" w:rsidRDefault="007F5B17" w:rsidP="007F5B17">
            <w:pPr>
              <w:spacing w:line="276" w:lineRule="auto"/>
              <w:jc w:val="right"/>
              <w:rPr>
                <w:sz w:val="22"/>
                <w:szCs w:val="22"/>
                <w:lang w:val="tr-TR"/>
              </w:rPr>
            </w:pPr>
            <w:r w:rsidRPr="00E5747D">
              <w:rPr>
                <w:sz w:val="22"/>
                <w:szCs w:val="22"/>
                <w:lang w:val="tr-TR"/>
              </w:rPr>
              <w:t>19,4</w:t>
            </w:r>
          </w:p>
        </w:tc>
      </w:tr>
      <w:tr w:rsidR="007F5B17" w:rsidRPr="00E5747D" w14:paraId="3CFB8975" w14:textId="77777777" w:rsidTr="008701F0">
        <w:trPr>
          <w:trHeight w:val="315"/>
        </w:trPr>
        <w:tc>
          <w:tcPr>
            <w:tcW w:w="3544" w:type="dxa"/>
            <w:shd w:val="clear" w:color="auto" w:fill="auto"/>
            <w:noWrap/>
            <w:hideMark/>
          </w:tcPr>
          <w:p w14:paraId="253FA33E" w14:textId="77777777" w:rsidR="007F5B17" w:rsidRPr="00E5747D" w:rsidRDefault="007F5B17" w:rsidP="007F5B17">
            <w:pPr>
              <w:spacing w:line="276" w:lineRule="auto"/>
              <w:rPr>
                <w:b/>
                <w:sz w:val="22"/>
                <w:szCs w:val="22"/>
                <w:lang w:val="tr-TR"/>
              </w:rPr>
            </w:pPr>
            <w:r w:rsidRPr="00E5747D">
              <w:rPr>
                <w:b/>
                <w:sz w:val="22"/>
                <w:szCs w:val="22"/>
                <w:lang w:val="tr-TR"/>
              </w:rPr>
              <w:t>Kayseri (Kayseri-Sivas-Yozgat)</w:t>
            </w:r>
          </w:p>
        </w:tc>
        <w:tc>
          <w:tcPr>
            <w:tcW w:w="1098" w:type="dxa"/>
            <w:shd w:val="clear" w:color="auto" w:fill="auto"/>
            <w:noWrap/>
            <w:vAlign w:val="bottom"/>
            <w:hideMark/>
          </w:tcPr>
          <w:p w14:paraId="15665A51" w14:textId="77777777" w:rsidR="007F5B17" w:rsidRPr="00E5747D" w:rsidRDefault="007F5B17" w:rsidP="007F5B17">
            <w:pPr>
              <w:spacing w:line="276" w:lineRule="auto"/>
              <w:jc w:val="right"/>
              <w:rPr>
                <w:sz w:val="22"/>
                <w:szCs w:val="22"/>
                <w:lang w:val="tr-TR"/>
              </w:rPr>
            </w:pPr>
            <w:r w:rsidRPr="00E5747D">
              <w:rPr>
                <w:sz w:val="22"/>
                <w:szCs w:val="22"/>
                <w:lang w:val="tr-TR"/>
              </w:rPr>
              <w:t>1.210</w:t>
            </w:r>
          </w:p>
        </w:tc>
        <w:tc>
          <w:tcPr>
            <w:tcW w:w="1595" w:type="dxa"/>
            <w:shd w:val="clear" w:color="auto" w:fill="auto"/>
            <w:noWrap/>
            <w:vAlign w:val="bottom"/>
            <w:hideMark/>
          </w:tcPr>
          <w:p w14:paraId="12A39245"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282F276D" w14:textId="77777777" w:rsidR="007F5B17" w:rsidRPr="00E5747D" w:rsidRDefault="007F5B17" w:rsidP="007F5B17">
            <w:pPr>
              <w:spacing w:line="276" w:lineRule="auto"/>
              <w:jc w:val="right"/>
              <w:rPr>
                <w:sz w:val="22"/>
                <w:szCs w:val="22"/>
                <w:lang w:val="tr-TR"/>
              </w:rPr>
            </w:pPr>
            <w:r w:rsidRPr="00E5747D">
              <w:rPr>
                <w:sz w:val="22"/>
                <w:szCs w:val="22"/>
                <w:lang w:val="tr-TR"/>
              </w:rPr>
              <w:t>90</w:t>
            </w:r>
          </w:p>
        </w:tc>
        <w:tc>
          <w:tcPr>
            <w:tcW w:w="1134" w:type="dxa"/>
            <w:shd w:val="clear" w:color="auto" w:fill="auto"/>
            <w:noWrap/>
            <w:vAlign w:val="bottom"/>
            <w:hideMark/>
          </w:tcPr>
          <w:p w14:paraId="34084994" w14:textId="77777777" w:rsidR="007F5B17" w:rsidRPr="00E5747D" w:rsidRDefault="007F5B17" w:rsidP="007F5B17">
            <w:pPr>
              <w:spacing w:line="276" w:lineRule="auto"/>
              <w:jc w:val="right"/>
              <w:rPr>
                <w:sz w:val="22"/>
                <w:szCs w:val="22"/>
                <w:lang w:val="tr-TR"/>
              </w:rPr>
            </w:pPr>
            <w:r w:rsidRPr="00E5747D">
              <w:rPr>
                <w:sz w:val="22"/>
                <w:szCs w:val="22"/>
                <w:lang w:val="tr-TR"/>
              </w:rPr>
              <w:t>7,4</w:t>
            </w:r>
          </w:p>
        </w:tc>
      </w:tr>
      <w:tr w:rsidR="007F5B17" w:rsidRPr="00E5747D" w14:paraId="61C12CE5" w14:textId="77777777" w:rsidTr="008701F0">
        <w:trPr>
          <w:trHeight w:val="315"/>
        </w:trPr>
        <w:tc>
          <w:tcPr>
            <w:tcW w:w="3544" w:type="dxa"/>
            <w:shd w:val="clear" w:color="auto" w:fill="auto"/>
            <w:noWrap/>
            <w:hideMark/>
          </w:tcPr>
          <w:p w14:paraId="18D52D6A" w14:textId="77777777" w:rsidR="007F5B17" w:rsidRPr="00E5747D" w:rsidRDefault="007F5B17" w:rsidP="007F5B17">
            <w:pPr>
              <w:spacing w:line="276" w:lineRule="auto"/>
              <w:rPr>
                <w:b/>
                <w:sz w:val="22"/>
                <w:szCs w:val="22"/>
                <w:lang w:val="tr-TR"/>
              </w:rPr>
            </w:pPr>
            <w:r w:rsidRPr="00E5747D">
              <w:rPr>
                <w:b/>
                <w:sz w:val="22"/>
                <w:szCs w:val="22"/>
                <w:lang w:val="tr-TR"/>
              </w:rPr>
              <w:t>Zonguldak (Zonguldak-Karabük-</w:t>
            </w:r>
            <w:r w:rsidRPr="00E5747D">
              <w:rPr>
                <w:b/>
                <w:sz w:val="22"/>
                <w:szCs w:val="22"/>
                <w:lang w:val="tr-TR"/>
              </w:rPr>
              <w:lastRenderedPageBreak/>
              <w:t>Bartın)</w:t>
            </w:r>
          </w:p>
        </w:tc>
        <w:tc>
          <w:tcPr>
            <w:tcW w:w="1098" w:type="dxa"/>
            <w:shd w:val="clear" w:color="auto" w:fill="auto"/>
            <w:noWrap/>
            <w:vAlign w:val="bottom"/>
            <w:hideMark/>
          </w:tcPr>
          <w:p w14:paraId="453C022A" w14:textId="77777777" w:rsidR="007F5B17" w:rsidRPr="00E5747D" w:rsidRDefault="007F5B17" w:rsidP="007F5B17">
            <w:pPr>
              <w:spacing w:line="276" w:lineRule="auto"/>
              <w:jc w:val="right"/>
              <w:rPr>
                <w:sz w:val="22"/>
                <w:szCs w:val="22"/>
                <w:lang w:val="tr-TR"/>
              </w:rPr>
            </w:pPr>
            <w:r w:rsidRPr="00E5747D">
              <w:rPr>
                <w:sz w:val="22"/>
                <w:szCs w:val="22"/>
                <w:lang w:val="tr-TR"/>
              </w:rPr>
              <w:lastRenderedPageBreak/>
              <w:t>1.125</w:t>
            </w:r>
          </w:p>
        </w:tc>
        <w:tc>
          <w:tcPr>
            <w:tcW w:w="1595" w:type="dxa"/>
            <w:shd w:val="clear" w:color="auto" w:fill="auto"/>
            <w:noWrap/>
            <w:vAlign w:val="bottom"/>
            <w:hideMark/>
          </w:tcPr>
          <w:p w14:paraId="2A2BEA1D"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71C120BE" w14:textId="77777777" w:rsidR="007F5B17" w:rsidRPr="00E5747D" w:rsidRDefault="007F5B17" w:rsidP="007F5B17">
            <w:pPr>
              <w:spacing w:line="276" w:lineRule="auto"/>
              <w:jc w:val="right"/>
              <w:rPr>
                <w:sz w:val="22"/>
                <w:szCs w:val="22"/>
                <w:lang w:val="tr-TR"/>
              </w:rPr>
            </w:pPr>
            <w:r w:rsidRPr="00E5747D">
              <w:rPr>
                <w:sz w:val="22"/>
                <w:szCs w:val="22"/>
                <w:lang w:val="tr-TR"/>
              </w:rPr>
              <w:t>175</w:t>
            </w:r>
          </w:p>
        </w:tc>
        <w:tc>
          <w:tcPr>
            <w:tcW w:w="1134" w:type="dxa"/>
            <w:shd w:val="clear" w:color="auto" w:fill="auto"/>
            <w:noWrap/>
            <w:vAlign w:val="bottom"/>
            <w:hideMark/>
          </w:tcPr>
          <w:p w14:paraId="1911FA6F" w14:textId="77777777" w:rsidR="007F5B17" w:rsidRPr="00E5747D" w:rsidRDefault="007F5B17" w:rsidP="007F5B17">
            <w:pPr>
              <w:spacing w:line="276" w:lineRule="auto"/>
              <w:jc w:val="right"/>
              <w:rPr>
                <w:sz w:val="22"/>
                <w:szCs w:val="22"/>
                <w:lang w:val="tr-TR"/>
              </w:rPr>
            </w:pPr>
            <w:r w:rsidRPr="00E5747D">
              <w:rPr>
                <w:sz w:val="22"/>
                <w:szCs w:val="22"/>
                <w:lang w:val="tr-TR"/>
              </w:rPr>
              <w:t>15,6</w:t>
            </w:r>
          </w:p>
        </w:tc>
      </w:tr>
      <w:tr w:rsidR="007F5B17" w:rsidRPr="00E5747D" w14:paraId="630D65A3" w14:textId="77777777" w:rsidTr="008701F0">
        <w:trPr>
          <w:trHeight w:val="315"/>
        </w:trPr>
        <w:tc>
          <w:tcPr>
            <w:tcW w:w="3544" w:type="dxa"/>
            <w:shd w:val="clear" w:color="auto" w:fill="auto"/>
            <w:noWrap/>
            <w:hideMark/>
          </w:tcPr>
          <w:p w14:paraId="4AE42C5A" w14:textId="77777777" w:rsidR="007F5B17" w:rsidRPr="00E5747D" w:rsidRDefault="007F5B17" w:rsidP="007F5B17">
            <w:pPr>
              <w:spacing w:line="276" w:lineRule="auto"/>
              <w:rPr>
                <w:b/>
                <w:sz w:val="22"/>
                <w:szCs w:val="22"/>
                <w:lang w:val="tr-TR"/>
              </w:rPr>
            </w:pPr>
            <w:r w:rsidRPr="00E5747D">
              <w:rPr>
                <w:b/>
                <w:sz w:val="22"/>
                <w:szCs w:val="22"/>
                <w:lang w:val="tr-TR"/>
              </w:rPr>
              <w:lastRenderedPageBreak/>
              <w:t>Kastamonu (Kastamonu-Çankırı-Sinop)</w:t>
            </w:r>
          </w:p>
        </w:tc>
        <w:tc>
          <w:tcPr>
            <w:tcW w:w="1098" w:type="dxa"/>
            <w:shd w:val="clear" w:color="auto" w:fill="auto"/>
            <w:noWrap/>
            <w:vAlign w:val="bottom"/>
            <w:hideMark/>
          </w:tcPr>
          <w:p w14:paraId="2E864666" w14:textId="77777777" w:rsidR="007F5B17" w:rsidRPr="00E5747D" w:rsidRDefault="007F5B17" w:rsidP="007F5B17">
            <w:pPr>
              <w:spacing w:line="276" w:lineRule="auto"/>
              <w:jc w:val="right"/>
              <w:rPr>
                <w:sz w:val="22"/>
                <w:szCs w:val="22"/>
                <w:lang w:val="tr-TR"/>
              </w:rPr>
            </w:pPr>
            <w:r w:rsidRPr="00E5747D">
              <w:rPr>
                <w:sz w:val="22"/>
                <w:szCs w:val="22"/>
                <w:lang w:val="tr-TR"/>
              </w:rPr>
              <w:t>1.004</w:t>
            </w:r>
          </w:p>
        </w:tc>
        <w:tc>
          <w:tcPr>
            <w:tcW w:w="1595" w:type="dxa"/>
            <w:shd w:val="clear" w:color="auto" w:fill="auto"/>
            <w:noWrap/>
            <w:vAlign w:val="bottom"/>
            <w:hideMark/>
          </w:tcPr>
          <w:p w14:paraId="70477864"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00E27D28" w14:textId="77777777" w:rsidR="007F5B17" w:rsidRPr="00E5747D" w:rsidRDefault="007F5B17" w:rsidP="007F5B17">
            <w:pPr>
              <w:spacing w:line="276" w:lineRule="auto"/>
              <w:jc w:val="right"/>
              <w:rPr>
                <w:sz w:val="22"/>
                <w:szCs w:val="22"/>
                <w:lang w:val="tr-TR"/>
              </w:rPr>
            </w:pPr>
            <w:r w:rsidRPr="00E5747D">
              <w:rPr>
                <w:sz w:val="22"/>
                <w:szCs w:val="22"/>
                <w:lang w:val="tr-TR"/>
              </w:rPr>
              <w:t>296</w:t>
            </w:r>
          </w:p>
        </w:tc>
        <w:tc>
          <w:tcPr>
            <w:tcW w:w="1134" w:type="dxa"/>
            <w:shd w:val="clear" w:color="auto" w:fill="auto"/>
            <w:noWrap/>
            <w:vAlign w:val="bottom"/>
            <w:hideMark/>
          </w:tcPr>
          <w:p w14:paraId="0BE81F82" w14:textId="77777777" w:rsidR="007F5B17" w:rsidRPr="00E5747D" w:rsidRDefault="007F5B17" w:rsidP="007F5B17">
            <w:pPr>
              <w:spacing w:line="276" w:lineRule="auto"/>
              <w:jc w:val="right"/>
              <w:rPr>
                <w:sz w:val="22"/>
                <w:szCs w:val="22"/>
                <w:lang w:val="tr-TR"/>
              </w:rPr>
            </w:pPr>
            <w:r w:rsidRPr="00E5747D">
              <w:rPr>
                <w:sz w:val="22"/>
                <w:szCs w:val="22"/>
                <w:lang w:val="tr-TR"/>
              </w:rPr>
              <w:t>29,5</w:t>
            </w:r>
          </w:p>
        </w:tc>
      </w:tr>
      <w:tr w:rsidR="007F5B17" w:rsidRPr="00E5747D" w14:paraId="4BA3D385" w14:textId="77777777" w:rsidTr="008701F0">
        <w:trPr>
          <w:trHeight w:val="315"/>
        </w:trPr>
        <w:tc>
          <w:tcPr>
            <w:tcW w:w="3544" w:type="dxa"/>
            <w:shd w:val="clear" w:color="auto" w:fill="auto"/>
            <w:noWrap/>
            <w:hideMark/>
          </w:tcPr>
          <w:p w14:paraId="14011863" w14:textId="77777777" w:rsidR="007F5B17" w:rsidRPr="00E5747D" w:rsidRDefault="007F5B17" w:rsidP="007F5B17">
            <w:pPr>
              <w:spacing w:line="276" w:lineRule="auto"/>
              <w:rPr>
                <w:b/>
                <w:sz w:val="22"/>
                <w:szCs w:val="22"/>
                <w:lang w:val="tr-TR"/>
              </w:rPr>
            </w:pPr>
            <w:r w:rsidRPr="00E5747D">
              <w:rPr>
                <w:b/>
                <w:sz w:val="22"/>
                <w:szCs w:val="22"/>
                <w:lang w:val="tr-TR"/>
              </w:rPr>
              <w:t>Samsun (Samsun-Tokat-Çorum-Amasya)</w:t>
            </w:r>
          </w:p>
        </w:tc>
        <w:tc>
          <w:tcPr>
            <w:tcW w:w="1098" w:type="dxa"/>
            <w:shd w:val="clear" w:color="auto" w:fill="auto"/>
            <w:noWrap/>
            <w:vAlign w:val="bottom"/>
            <w:hideMark/>
          </w:tcPr>
          <w:p w14:paraId="09115AFF" w14:textId="77777777" w:rsidR="007F5B17" w:rsidRPr="00E5747D" w:rsidRDefault="007F5B17" w:rsidP="007F5B17">
            <w:pPr>
              <w:spacing w:line="276" w:lineRule="auto"/>
              <w:jc w:val="right"/>
              <w:rPr>
                <w:sz w:val="22"/>
                <w:szCs w:val="22"/>
                <w:lang w:val="tr-TR"/>
              </w:rPr>
            </w:pPr>
            <w:r w:rsidRPr="00E5747D">
              <w:rPr>
                <w:sz w:val="22"/>
                <w:szCs w:val="22"/>
                <w:lang w:val="tr-TR"/>
              </w:rPr>
              <w:t>1.089</w:t>
            </w:r>
          </w:p>
        </w:tc>
        <w:tc>
          <w:tcPr>
            <w:tcW w:w="1595" w:type="dxa"/>
            <w:shd w:val="clear" w:color="auto" w:fill="auto"/>
            <w:noWrap/>
            <w:vAlign w:val="bottom"/>
            <w:hideMark/>
          </w:tcPr>
          <w:p w14:paraId="79DC919F"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1DCB6851" w14:textId="77777777" w:rsidR="007F5B17" w:rsidRPr="00E5747D" w:rsidRDefault="007F5B17" w:rsidP="007F5B17">
            <w:pPr>
              <w:spacing w:line="276" w:lineRule="auto"/>
              <w:jc w:val="right"/>
              <w:rPr>
                <w:sz w:val="22"/>
                <w:szCs w:val="22"/>
                <w:lang w:val="tr-TR"/>
              </w:rPr>
            </w:pPr>
            <w:r w:rsidRPr="00E5747D">
              <w:rPr>
                <w:sz w:val="22"/>
                <w:szCs w:val="22"/>
                <w:lang w:val="tr-TR"/>
              </w:rPr>
              <w:t>211</w:t>
            </w:r>
          </w:p>
        </w:tc>
        <w:tc>
          <w:tcPr>
            <w:tcW w:w="1134" w:type="dxa"/>
            <w:shd w:val="clear" w:color="auto" w:fill="auto"/>
            <w:noWrap/>
            <w:vAlign w:val="bottom"/>
            <w:hideMark/>
          </w:tcPr>
          <w:p w14:paraId="1F6DA01A" w14:textId="77777777" w:rsidR="007F5B17" w:rsidRPr="00E5747D" w:rsidRDefault="007F5B17" w:rsidP="007F5B17">
            <w:pPr>
              <w:spacing w:line="276" w:lineRule="auto"/>
              <w:jc w:val="right"/>
              <w:rPr>
                <w:sz w:val="22"/>
                <w:szCs w:val="22"/>
                <w:lang w:val="tr-TR"/>
              </w:rPr>
            </w:pPr>
            <w:r w:rsidRPr="00E5747D">
              <w:rPr>
                <w:sz w:val="22"/>
                <w:szCs w:val="22"/>
                <w:lang w:val="tr-TR"/>
              </w:rPr>
              <w:t>19,4</w:t>
            </w:r>
          </w:p>
        </w:tc>
      </w:tr>
      <w:tr w:rsidR="007F5B17" w:rsidRPr="00E5747D" w14:paraId="65724E1F" w14:textId="77777777" w:rsidTr="008701F0">
        <w:trPr>
          <w:trHeight w:val="315"/>
        </w:trPr>
        <w:tc>
          <w:tcPr>
            <w:tcW w:w="3544" w:type="dxa"/>
            <w:shd w:val="clear" w:color="auto" w:fill="auto"/>
            <w:noWrap/>
            <w:hideMark/>
          </w:tcPr>
          <w:p w14:paraId="66F6797E" w14:textId="77777777" w:rsidR="007F5B17" w:rsidRPr="00E5747D" w:rsidRDefault="007F5B17" w:rsidP="007F5B17">
            <w:pPr>
              <w:spacing w:line="276" w:lineRule="auto"/>
              <w:rPr>
                <w:b/>
                <w:sz w:val="22"/>
                <w:szCs w:val="22"/>
                <w:lang w:val="tr-TR"/>
              </w:rPr>
            </w:pPr>
            <w:r w:rsidRPr="00E5747D">
              <w:rPr>
                <w:b/>
                <w:sz w:val="22"/>
                <w:szCs w:val="22"/>
                <w:lang w:val="tr-TR"/>
              </w:rPr>
              <w:t>Trabzon (Trabzon-Ordu-Giresun-Rize-Artvin-Gümüşhane)</w:t>
            </w:r>
          </w:p>
        </w:tc>
        <w:tc>
          <w:tcPr>
            <w:tcW w:w="1098" w:type="dxa"/>
            <w:shd w:val="clear" w:color="auto" w:fill="auto"/>
            <w:noWrap/>
            <w:vAlign w:val="bottom"/>
            <w:hideMark/>
          </w:tcPr>
          <w:p w14:paraId="189FD15C" w14:textId="77777777" w:rsidR="007F5B17" w:rsidRPr="00E5747D" w:rsidRDefault="007F5B17" w:rsidP="007F5B17">
            <w:pPr>
              <w:spacing w:line="276" w:lineRule="auto"/>
              <w:jc w:val="right"/>
              <w:rPr>
                <w:sz w:val="22"/>
                <w:szCs w:val="22"/>
                <w:lang w:val="tr-TR"/>
              </w:rPr>
            </w:pPr>
            <w:r w:rsidRPr="00E5747D">
              <w:rPr>
                <w:sz w:val="22"/>
                <w:szCs w:val="22"/>
                <w:lang w:val="tr-TR"/>
              </w:rPr>
              <w:t>1.089</w:t>
            </w:r>
          </w:p>
        </w:tc>
        <w:tc>
          <w:tcPr>
            <w:tcW w:w="1595" w:type="dxa"/>
            <w:shd w:val="clear" w:color="auto" w:fill="auto"/>
            <w:noWrap/>
            <w:vAlign w:val="bottom"/>
            <w:hideMark/>
          </w:tcPr>
          <w:p w14:paraId="462F7031"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24EFE35D" w14:textId="77777777" w:rsidR="007F5B17" w:rsidRPr="00E5747D" w:rsidRDefault="007F5B17" w:rsidP="007F5B17">
            <w:pPr>
              <w:spacing w:line="276" w:lineRule="auto"/>
              <w:jc w:val="right"/>
              <w:rPr>
                <w:sz w:val="22"/>
                <w:szCs w:val="22"/>
                <w:lang w:val="tr-TR"/>
              </w:rPr>
            </w:pPr>
            <w:r w:rsidRPr="00E5747D">
              <w:rPr>
                <w:sz w:val="22"/>
                <w:szCs w:val="22"/>
                <w:lang w:val="tr-TR"/>
              </w:rPr>
              <w:t>211</w:t>
            </w:r>
          </w:p>
        </w:tc>
        <w:tc>
          <w:tcPr>
            <w:tcW w:w="1134" w:type="dxa"/>
            <w:shd w:val="clear" w:color="auto" w:fill="auto"/>
            <w:noWrap/>
            <w:vAlign w:val="bottom"/>
            <w:hideMark/>
          </w:tcPr>
          <w:p w14:paraId="21F23F47" w14:textId="77777777" w:rsidR="007F5B17" w:rsidRPr="00E5747D" w:rsidRDefault="007F5B17" w:rsidP="007F5B17">
            <w:pPr>
              <w:spacing w:line="276" w:lineRule="auto"/>
              <w:jc w:val="right"/>
              <w:rPr>
                <w:sz w:val="22"/>
                <w:szCs w:val="22"/>
                <w:lang w:val="tr-TR"/>
              </w:rPr>
            </w:pPr>
            <w:r w:rsidRPr="00E5747D">
              <w:rPr>
                <w:sz w:val="22"/>
                <w:szCs w:val="22"/>
                <w:lang w:val="tr-TR"/>
              </w:rPr>
              <w:t>19,4</w:t>
            </w:r>
          </w:p>
        </w:tc>
      </w:tr>
      <w:tr w:rsidR="007F5B17" w:rsidRPr="00E5747D" w14:paraId="143F5253" w14:textId="77777777" w:rsidTr="008701F0">
        <w:trPr>
          <w:trHeight w:val="315"/>
        </w:trPr>
        <w:tc>
          <w:tcPr>
            <w:tcW w:w="3544" w:type="dxa"/>
            <w:shd w:val="clear" w:color="auto" w:fill="auto"/>
            <w:noWrap/>
            <w:hideMark/>
          </w:tcPr>
          <w:p w14:paraId="6D2BF877" w14:textId="77777777" w:rsidR="007F5B17" w:rsidRPr="00E5747D" w:rsidRDefault="007F5B17" w:rsidP="007F5B17">
            <w:pPr>
              <w:spacing w:line="276" w:lineRule="auto"/>
              <w:rPr>
                <w:b/>
                <w:sz w:val="22"/>
                <w:szCs w:val="22"/>
                <w:lang w:val="tr-TR"/>
              </w:rPr>
            </w:pPr>
            <w:r w:rsidRPr="00E5747D">
              <w:rPr>
                <w:b/>
                <w:sz w:val="22"/>
                <w:szCs w:val="22"/>
                <w:lang w:val="tr-TR"/>
              </w:rPr>
              <w:t>Erzurum (Erzurum-Erzincan-Bayburt)</w:t>
            </w:r>
          </w:p>
        </w:tc>
        <w:tc>
          <w:tcPr>
            <w:tcW w:w="1098" w:type="dxa"/>
            <w:shd w:val="clear" w:color="auto" w:fill="auto"/>
            <w:noWrap/>
            <w:vAlign w:val="bottom"/>
            <w:hideMark/>
          </w:tcPr>
          <w:p w14:paraId="4AE7DB13" w14:textId="77777777" w:rsidR="007F5B17" w:rsidRPr="00E5747D" w:rsidRDefault="007F5B17" w:rsidP="007F5B17">
            <w:pPr>
              <w:spacing w:line="276" w:lineRule="auto"/>
              <w:jc w:val="right"/>
              <w:rPr>
                <w:sz w:val="22"/>
                <w:szCs w:val="22"/>
                <w:lang w:val="tr-TR"/>
              </w:rPr>
            </w:pPr>
            <w:r w:rsidRPr="00E5747D">
              <w:rPr>
                <w:sz w:val="22"/>
                <w:szCs w:val="22"/>
                <w:lang w:val="tr-TR"/>
              </w:rPr>
              <w:t>1.089</w:t>
            </w:r>
          </w:p>
        </w:tc>
        <w:tc>
          <w:tcPr>
            <w:tcW w:w="1595" w:type="dxa"/>
            <w:shd w:val="clear" w:color="auto" w:fill="auto"/>
            <w:noWrap/>
            <w:vAlign w:val="bottom"/>
            <w:hideMark/>
          </w:tcPr>
          <w:p w14:paraId="3BCC4CD5"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27AC548F" w14:textId="77777777" w:rsidR="007F5B17" w:rsidRPr="00E5747D" w:rsidRDefault="007F5B17" w:rsidP="007F5B17">
            <w:pPr>
              <w:spacing w:line="276" w:lineRule="auto"/>
              <w:jc w:val="right"/>
              <w:rPr>
                <w:sz w:val="22"/>
                <w:szCs w:val="22"/>
                <w:lang w:val="tr-TR"/>
              </w:rPr>
            </w:pPr>
            <w:r w:rsidRPr="00E5747D">
              <w:rPr>
                <w:sz w:val="22"/>
                <w:szCs w:val="22"/>
                <w:lang w:val="tr-TR"/>
              </w:rPr>
              <w:t>211</w:t>
            </w:r>
          </w:p>
        </w:tc>
        <w:tc>
          <w:tcPr>
            <w:tcW w:w="1134" w:type="dxa"/>
            <w:shd w:val="clear" w:color="auto" w:fill="auto"/>
            <w:noWrap/>
            <w:vAlign w:val="bottom"/>
            <w:hideMark/>
          </w:tcPr>
          <w:p w14:paraId="1934A8E0" w14:textId="77777777" w:rsidR="007F5B17" w:rsidRPr="00E5747D" w:rsidRDefault="007F5B17" w:rsidP="007F5B17">
            <w:pPr>
              <w:spacing w:line="276" w:lineRule="auto"/>
              <w:jc w:val="right"/>
              <w:rPr>
                <w:sz w:val="22"/>
                <w:szCs w:val="22"/>
                <w:lang w:val="tr-TR"/>
              </w:rPr>
            </w:pPr>
            <w:r w:rsidRPr="00E5747D">
              <w:rPr>
                <w:sz w:val="22"/>
                <w:szCs w:val="22"/>
                <w:lang w:val="tr-TR"/>
              </w:rPr>
              <w:t>19,4</w:t>
            </w:r>
          </w:p>
        </w:tc>
      </w:tr>
      <w:tr w:rsidR="007F5B17" w:rsidRPr="00E5747D" w14:paraId="5611ED41" w14:textId="77777777" w:rsidTr="008701F0">
        <w:trPr>
          <w:trHeight w:val="315"/>
        </w:trPr>
        <w:tc>
          <w:tcPr>
            <w:tcW w:w="3544" w:type="dxa"/>
            <w:shd w:val="clear" w:color="auto" w:fill="auto"/>
            <w:noWrap/>
            <w:hideMark/>
          </w:tcPr>
          <w:p w14:paraId="5C45EF6D" w14:textId="77777777" w:rsidR="007F5B17" w:rsidRPr="00E5747D" w:rsidRDefault="007F5B17" w:rsidP="007F5B17">
            <w:pPr>
              <w:spacing w:line="276" w:lineRule="auto"/>
              <w:rPr>
                <w:b/>
                <w:sz w:val="22"/>
                <w:szCs w:val="22"/>
                <w:lang w:val="tr-TR"/>
              </w:rPr>
            </w:pPr>
            <w:r w:rsidRPr="00E5747D">
              <w:rPr>
                <w:b/>
                <w:sz w:val="22"/>
                <w:szCs w:val="22"/>
                <w:lang w:val="tr-TR"/>
              </w:rPr>
              <w:t>Ağrı (Kars-Ağrı-Iğdır-Ardahan)</w:t>
            </w:r>
          </w:p>
        </w:tc>
        <w:tc>
          <w:tcPr>
            <w:tcW w:w="1098" w:type="dxa"/>
            <w:shd w:val="clear" w:color="auto" w:fill="auto"/>
            <w:noWrap/>
            <w:vAlign w:val="bottom"/>
            <w:hideMark/>
          </w:tcPr>
          <w:p w14:paraId="01FF080F" w14:textId="77777777" w:rsidR="007F5B17" w:rsidRPr="00E5747D" w:rsidRDefault="007F5B17" w:rsidP="007F5B17">
            <w:pPr>
              <w:spacing w:line="276" w:lineRule="auto"/>
              <w:jc w:val="right"/>
              <w:rPr>
                <w:sz w:val="22"/>
                <w:szCs w:val="22"/>
                <w:lang w:val="tr-TR"/>
              </w:rPr>
            </w:pPr>
            <w:r w:rsidRPr="00E5747D">
              <w:rPr>
                <w:sz w:val="22"/>
                <w:szCs w:val="22"/>
                <w:lang w:val="tr-TR"/>
              </w:rPr>
              <w:t>1.089</w:t>
            </w:r>
          </w:p>
        </w:tc>
        <w:tc>
          <w:tcPr>
            <w:tcW w:w="1595" w:type="dxa"/>
            <w:shd w:val="clear" w:color="auto" w:fill="auto"/>
            <w:noWrap/>
            <w:vAlign w:val="bottom"/>
            <w:hideMark/>
          </w:tcPr>
          <w:p w14:paraId="2FE4EAA9"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7C0B2C9C" w14:textId="77777777" w:rsidR="007F5B17" w:rsidRPr="00E5747D" w:rsidRDefault="007F5B17" w:rsidP="007F5B17">
            <w:pPr>
              <w:spacing w:line="276" w:lineRule="auto"/>
              <w:jc w:val="right"/>
              <w:rPr>
                <w:sz w:val="22"/>
                <w:szCs w:val="22"/>
                <w:lang w:val="tr-TR"/>
              </w:rPr>
            </w:pPr>
            <w:r w:rsidRPr="00E5747D">
              <w:rPr>
                <w:sz w:val="22"/>
                <w:szCs w:val="22"/>
                <w:lang w:val="tr-TR"/>
              </w:rPr>
              <w:t>211</w:t>
            </w:r>
          </w:p>
        </w:tc>
        <w:tc>
          <w:tcPr>
            <w:tcW w:w="1134" w:type="dxa"/>
            <w:shd w:val="clear" w:color="auto" w:fill="auto"/>
            <w:noWrap/>
            <w:vAlign w:val="bottom"/>
            <w:hideMark/>
          </w:tcPr>
          <w:p w14:paraId="53BB5DFF" w14:textId="77777777" w:rsidR="007F5B17" w:rsidRPr="00E5747D" w:rsidRDefault="007F5B17" w:rsidP="007F5B17">
            <w:pPr>
              <w:spacing w:line="276" w:lineRule="auto"/>
              <w:jc w:val="right"/>
              <w:rPr>
                <w:sz w:val="22"/>
                <w:szCs w:val="22"/>
                <w:lang w:val="tr-TR"/>
              </w:rPr>
            </w:pPr>
            <w:r w:rsidRPr="00E5747D">
              <w:rPr>
                <w:sz w:val="22"/>
                <w:szCs w:val="22"/>
                <w:lang w:val="tr-TR"/>
              </w:rPr>
              <w:t>19,4</w:t>
            </w:r>
          </w:p>
        </w:tc>
      </w:tr>
      <w:tr w:rsidR="007F5B17" w:rsidRPr="00E5747D" w14:paraId="360C8DF0" w14:textId="77777777" w:rsidTr="008701F0">
        <w:trPr>
          <w:trHeight w:val="315"/>
        </w:trPr>
        <w:tc>
          <w:tcPr>
            <w:tcW w:w="3544" w:type="dxa"/>
            <w:shd w:val="clear" w:color="auto" w:fill="auto"/>
            <w:noWrap/>
            <w:hideMark/>
          </w:tcPr>
          <w:p w14:paraId="08C7CCDB" w14:textId="77777777" w:rsidR="007F5B17" w:rsidRPr="00E5747D" w:rsidRDefault="007F5B17" w:rsidP="007F5B17">
            <w:pPr>
              <w:spacing w:line="276" w:lineRule="auto"/>
              <w:rPr>
                <w:b/>
                <w:sz w:val="22"/>
                <w:szCs w:val="22"/>
                <w:lang w:val="tr-TR"/>
              </w:rPr>
            </w:pPr>
            <w:r w:rsidRPr="00E5747D">
              <w:rPr>
                <w:b/>
                <w:sz w:val="22"/>
                <w:szCs w:val="22"/>
                <w:lang w:val="tr-TR"/>
              </w:rPr>
              <w:t>Malatya (Malatya-Elazığ-Bingöl-Tunceli)</w:t>
            </w:r>
          </w:p>
        </w:tc>
        <w:tc>
          <w:tcPr>
            <w:tcW w:w="1098" w:type="dxa"/>
            <w:shd w:val="clear" w:color="auto" w:fill="auto"/>
            <w:noWrap/>
            <w:vAlign w:val="bottom"/>
            <w:hideMark/>
          </w:tcPr>
          <w:p w14:paraId="740A92CC" w14:textId="77777777" w:rsidR="007F5B17" w:rsidRPr="00E5747D" w:rsidRDefault="007F5B17" w:rsidP="007F5B17">
            <w:pPr>
              <w:spacing w:line="276" w:lineRule="auto"/>
              <w:jc w:val="right"/>
              <w:rPr>
                <w:sz w:val="22"/>
                <w:szCs w:val="22"/>
                <w:lang w:val="tr-TR"/>
              </w:rPr>
            </w:pPr>
            <w:r w:rsidRPr="00E5747D">
              <w:rPr>
                <w:sz w:val="22"/>
                <w:szCs w:val="22"/>
                <w:lang w:val="tr-TR"/>
              </w:rPr>
              <w:t>1.028</w:t>
            </w:r>
          </w:p>
        </w:tc>
        <w:tc>
          <w:tcPr>
            <w:tcW w:w="1595" w:type="dxa"/>
            <w:shd w:val="clear" w:color="auto" w:fill="auto"/>
            <w:noWrap/>
            <w:vAlign w:val="bottom"/>
            <w:hideMark/>
          </w:tcPr>
          <w:p w14:paraId="54AE8083"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45850AB7" w14:textId="77777777" w:rsidR="007F5B17" w:rsidRPr="00E5747D" w:rsidRDefault="007F5B17" w:rsidP="007F5B17">
            <w:pPr>
              <w:spacing w:line="276" w:lineRule="auto"/>
              <w:jc w:val="right"/>
              <w:rPr>
                <w:sz w:val="22"/>
                <w:szCs w:val="22"/>
                <w:lang w:val="tr-TR"/>
              </w:rPr>
            </w:pPr>
            <w:r w:rsidRPr="00E5747D">
              <w:rPr>
                <w:sz w:val="22"/>
                <w:szCs w:val="22"/>
                <w:lang w:val="tr-TR"/>
              </w:rPr>
              <w:t>272</w:t>
            </w:r>
          </w:p>
        </w:tc>
        <w:tc>
          <w:tcPr>
            <w:tcW w:w="1134" w:type="dxa"/>
            <w:shd w:val="clear" w:color="auto" w:fill="auto"/>
            <w:noWrap/>
            <w:vAlign w:val="bottom"/>
            <w:hideMark/>
          </w:tcPr>
          <w:p w14:paraId="1BF8E241" w14:textId="77777777" w:rsidR="007F5B17" w:rsidRPr="00E5747D" w:rsidRDefault="007F5B17" w:rsidP="007F5B17">
            <w:pPr>
              <w:spacing w:line="276" w:lineRule="auto"/>
              <w:jc w:val="right"/>
              <w:rPr>
                <w:sz w:val="22"/>
                <w:szCs w:val="22"/>
                <w:lang w:val="tr-TR"/>
              </w:rPr>
            </w:pPr>
            <w:r w:rsidRPr="00E5747D">
              <w:rPr>
                <w:sz w:val="22"/>
                <w:szCs w:val="22"/>
                <w:lang w:val="tr-TR"/>
              </w:rPr>
              <w:t>26,5</w:t>
            </w:r>
          </w:p>
        </w:tc>
      </w:tr>
      <w:tr w:rsidR="007F5B17" w:rsidRPr="00E5747D" w14:paraId="0016D35E" w14:textId="77777777" w:rsidTr="008701F0">
        <w:trPr>
          <w:trHeight w:val="315"/>
        </w:trPr>
        <w:tc>
          <w:tcPr>
            <w:tcW w:w="3544" w:type="dxa"/>
            <w:shd w:val="clear" w:color="auto" w:fill="auto"/>
            <w:noWrap/>
            <w:hideMark/>
          </w:tcPr>
          <w:p w14:paraId="1AADFE1E" w14:textId="77777777" w:rsidR="007F5B17" w:rsidRPr="00E5747D" w:rsidRDefault="007F5B17" w:rsidP="007F5B17">
            <w:pPr>
              <w:spacing w:line="276" w:lineRule="auto"/>
              <w:rPr>
                <w:b/>
                <w:sz w:val="22"/>
                <w:szCs w:val="22"/>
                <w:lang w:val="tr-TR"/>
              </w:rPr>
            </w:pPr>
            <w:r w:rsidRPr="00E5747D">
              <w:rPr>
                <w:b/>
                <w:sz w:val="22"/>
                <w:szCs w:val="22"/>
                <w:lang w:val="tr-TR"/>
              </w:rPr>
              <w:t>Van (Van-Muş-Bitlis-Hakkâri)</w:t>
            </w:r>
          </w:p>
        </w:tc>
        <w:tc>
          <w:tcPr>
            <w:tcW w:w="1098" w:type="dxa"/>
            <w:shd w:val="clear" w:color="auto" w:fill="auto"/>
            <w:noWrap/>
            <w:vAlign w:val="bottom"/>
            <w:hideMark/>
          </w:tcPr>
          <w:p w14:paraId="1FFA74C8" w14:textId="77777777" w:rsidR="007F5B17" w:rsidRPr="00E5747D" w:rsidRDefault="007F5B17" w:rsidP="007F5B17">
            <w:pPr>
              <w:spacing w:line="276" w:lineRule="auto"/>
              <w:jc w:val="right"/>
              <w:rPr>
                <w:sz w:val="22"/>
                <w:szCs w:val="22"/>
                <w:lang w:val="tr-TR"/>
              </w:rPr>
            </w:pPr>
            <w:r w:rsidRPr="00E5747D">
              <w:rPr>
                <w:sz w:val="22"/>
                <w:szCs w:val="22"/>
                <w:lang w:val="tr-TR"/>
              </w:rPr>
              <w:t>1.210</w:t>
            </w:r>
          </w:p>
        </w:tc>
        <w:tc>
          <w:tcPr>
            <w:tcW w:w="1595" w:type="dxa"/>
            <w:shd w:val="clear" w:color="auto" w:fill="auto"/>
            <w:noWrap/>
            <w:vAlign w:val="bottom"/>
            <w:hideMark/>
          </w:tcPr>
          <w:p w14:paraId="665ED2C1"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5EC8157F" w14:textId="77777777" w:rsidR="007F5B17" w:rsidRPr="00E5747D" w:rsidRDefault="007F5B17" w:rsidP="007F5B17">
            <w:pPr>
              <w:spacing w:line="276" w:lineRule="auto"/>
              <w:jc w:val="right"/>
              <w:rPr>
                <w:sz w:val="22"/>
                <w:szCs w:val="22"/>
                <w:lang w:val="tr-TR"/>
              </w:rPr>
            </w:pPr>
            <w:r w:rsidRPr="00E5747D">
              <w:rPr>
                <w:sz w:val="22"/>
                <w:szCs w:val="22"/>
                <w:lang w:val="tr-TR"/>
              </w:rPr>
              <w:t>90</w:t>
            </w:r>
          </w:p>
        </w:tc>
        <w:tc>
          <w:tcPr>
            <w:tcW w:w="1134" w:type="dxa"/>
            <w:shd w:val="clear" w:color="auto" w:fill="auto"/>
            <w:noWrap/>
            <w:vAlign w:val="bottom"/>
            <w:hideMark/>
          </w:tcPr>
          <w:p w14:paraId="3CED8BBE" w14:textId="77777777" w:rsidR="007F5B17" w:rsidRPr="00E5747D" w:rsidRDefault="007F5B17" w:rsidP="007F5B17">
            <w:pPr>
              <w:spacing w:line="276" w:lineRule="auto"/>
              <w:jc w:val="right"/>
              <w:rPr>
                <w:sz w:val="22"/>
                <w:szCs w:val="22"/>
                <w:lang w:val="tr-TR"/>
              </w:rPr>
            </w:pPr>
            <w:r w:rsidRPr="00E5747D">
              <w:rPr>
                <w:sz w:val="22"/>
                <w:szCs w:val="22"/>
                <w:lang w:val="tr-TR"/>
              </w:rPr>
              <w:t>7,4</w:t>
            </w:r>
          </w:p>
        </w:tc>
      </w:tr>
      <w:tr w:rsidR="007F5B17" w:rsidRPr="00E5747D" w14:paraId="57839866" w14:textId="77777777" w:rsidTr="008701F0">
        <w:trPr>
          <w:trHeight w:val="315"/>
        </w:trPr>
        <w:tc>
          <w:tcPr>
            <w:tcW w:w="3544" w:type="dxa"/>
            <w:shd w:val="clear" w:color="auto" w:fill="auto"/>
            <w:noWrap/>
            <w:hideMark/>
          </w:tcPr>
          <w:p w14:paraId="06B75A60" w14:textId="77777777" w:rsidR="007F5B17" w:rsidRPr="00E5747D" w:rsidRDefault="007F5B17" w:rsidP="007F5B17">
            <w:pPr>
              <w:spacing w:line="276" w:lineRule="auto"/>
              <w:rPr>
                <w:b/>
                <w:sz w:val="22"/>
                <w:szCs w:val="22"/>
                <w:lang w:val="tr-TR"/>
              </w:rPr>
            </w:pPr>
            <w:r w:rsidRPr="00E5747D">
              <w:rPr>
                <w:b/>
                <w:sz w:val="22"/>
                <w:szCs w:val="22"/>
                <w:lang w:val="tr-TR"/>
              </w:rPr>
              <w:t>Gaziantep (Gaziantep-Adıyaman-Kilis)</w:t>
            </w:r>
          </w:p>
        </w:tc>
        <w:tc>
          <w:tcPr>
            <w:tcW w:w="1098" w:type="dxa"/>
            <w:shd w:val="clear" w:color="auto" w:fill="auto"/>
            <w:noWrap/>
            <w:vAlign w:val="bottom"/>
            <w:hideMark/>
          </w:tcPr>
          <w:p w14:paraId="4312C235" w14:textId="77777777" w:rsidR="007F5B17" w:rsidRPr="00E5747D" w:rsidRDefault="007F5B17" w:rsidP="007F5B17">
            <w:pPr>
              <w:spacing w:line="276" w:lineRule="auto"/>
              <w:jc w:val="right"/>
              <w:rPr>
                <w:sz w:val="22"/>
                <w:szCs w:val="22"/>
                <w:lang w:val="tr-TR"/>
              </w:rPr>
            </w:pPr>
            <w:r w:rsidRPr="00E5747D">
              <w:rPr>
                <w:sz w:val="22"/>
                <w:szCs w:val="22"/>
                <w:lang w:val="tr-TR"/>
              </w:rPr>
              <w:t>1.089</w:t>
            </w:r>
          </w:p>
        </w:tc>
        <w:tc>
          <w:tcPr>
            <w:tcW w:w="1595" w:type="dxa"/>
            <w:shd w:val="clear" w:color="auto" w:fill="auto"/>
            <w:noWrap/>
            <w:vAlign w:val="bottom"/>
            <w:hideMark/>
          </w:tcPr>
          <w:p w14:paraId="41B14EA1"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4A2242EA" w14:textId="77777777" w:rsidR="007F5B17" w:rsidRPr="00E5747D" w:rsidRDefault="007F5B17" w:rsidP="007F5B17">
            <w:pPr>
              <w:spacing w:line="276" w:lineRule="auto"/>
              <w:jc w:val="right"/>
              <w:rPr>
                <w:sz w:val="22"/>
                <w:szCs w:val="22"/>
                <w:lang w:val="tr-TR"/>
              </w:rPr>
            </w:pPr>
            <w:r w:rsidRPr="00E5747D">
              <w:rPr>
                <w:sz w:val="22"/>
                <w:szCs w:val="22"/>
                <w:lang w:val="tr-TR"/>
              </w:rPr>
              <w:t>211</w:t>
            </w:r>
          </w:p>
        </w:tc>
        <w:tc>
          <w:tcPr>
            <w:tcW w:w="1134" w:type="dxa"/>
            <w:shd w:val="clear" w:color="auto" w:fill="auto"/>
            <w:noWrap/>
            <w:vAlign w:val="bottom"/>
            <w:hideMark/>
          </w:tcPr>
          <w:p w14:paraId="1F6DEF57" w14:textId="77777777" w:rsidR="007F5B17" w:rsidRPr="00E5747D" w:rsidRDefault="007F5B17" w:rsidP="007F5B17">
            <w:pPr>
              <w:spacing w:line="276" w:lineRule="auto"/>
              <w:jc w:val="right"/>
              <w:rPr>
                <w:sz w:val="22"/>
                <w:szCs w:val="22"/>
                <w:lang w:val="tr-TR"/>
              </w:rPr>
            </w:pPr>
            <w:r w:rsidRPr="00E5747D">
              <w:rPr>
                <w:sz w:val="22"/>
                <w:szCs w:val="22"/>
                <w:lang w:val="tr-TR"/>
              </w:rPr>
              <w:t>19,4</w:t>
            </w:r>
          </w:p>
        </w:tc>
      </w:tr>
      <w:tr w:rsidR="007F5B17" w:rsidRPr="00E5747D" w14:paraId="11AB3B30" w14:textId="77777777" w:rsidTr="008701F0">
        <w:trPr>
          <w:trHeight w:val="315"/>
        </w:trPr>
        <w:tc>
          <w:tcPr>
            <w:tcW w:w="3544" w:type="dxa"/>
            <w:shd w:val="clear" w:color="auto" w:fill="auto"/>
            <w:noWrap/>
            <w:hideMark/>
          </w:tcPr>
          <w:p w14:paraId="6E7A58F1" w14:textId="77777777" w:rsidR="007F5B17" w:rsidRPr="00E5747D" w:rsidRDefault="007F5B17" w:rsidP="007F5B17">
            <w:pPr>
              <w:spacing w:line="276" w:lineRule="auto"/>
              <w:rPr>
                <w:b/>
                <w:sz w:val="22"/>
                <w:szCs w:val="22"/>
                <w:lang w:val="tr-TR"/>
              </w:rPr>
            </w:pPr>
            <w:r w:rsidRPr="00E5747D">
              <w:rPr>
                <w:b/>
                <w:sz w:val="22"/>
                <w:szCs w:val="22"/>
                <w:lang w:val="tr-TR"/>
              </w:rPr>
              <w:t>Şanlıurfa (Diyarbakır-Şanlıurfa)</w:t>
            </w:r>
          </w:p>
        </w:tc>
        <w:tc>
          <w:tcPr>
            <w:tcW w:w="1098" w:type="dxa"/>
            <w:shd w:val="clear" w:color="auto" w:fill="auto"/>
            <w:noWrap/>
            <w:vAlign w:val="bottom"/>
            <w:hideMark/>
          </w:tcPr>
          <w:p w14:paraId="66B31839" w14:textId="77777777" w:rsidR="007F5B17" w:rsidRPr="00E5747D" w:rsidRDefault="007F5B17" w:rsidP="007F5B17">
            <w:pPr>
              <w:spacing w:line="276" w:lineRule="auto"/>
              <w:jc w:val="right"/>
              <w:rPr>
                <w:sz w:val="22"/>
                <w:szCs w:val="22"/>
                <w:lang w:val="tr-TR"/>
              </w:rPr>
            </w:pPr>
            <w:r w:rsidRPr="00E5747D">
              <w:rPr>
                <w:sz w:val="22"/>
                <w:szCs w:val="22"/>
                <w:lang w:val="tr-TR"/>
              </w:rPr>
              <w:t>1.028</w:t>
            </w:r>
          </w:p>
        </w:tc>
        <w:tc>
          <w:tcPr>
            <w:tcW w:w="1595" w:type="dxa"/>
            <w:shd w:val="clear" w:color="auto" w:fill="auto"/>
            <w:noWrap/>
            <w:vAlign w:val="bottom"/>
            <w:hideMark/>
          </w:tcPr>
          <w:p w14:paraId="7FB53A84"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6692C4CD" w14:textId="77777777" w:rsidR="007F5B17" w:rsidRPr="00E5747D" w:rsidRDefault="007F5B17" w:rsidP="007F5B17">
            <w:pPr>
              <w:spacing w:line="276" w:lineRule="auto"/>
              <w:jc w:val="right"/>
              <w:rPr>
                <w:sz w:val="22"/>
                <w:szCs w:val="22"/>
                <w:lang w:val="tr-TR"/>
              </w:rPr>
            </w:pPr>
            <w:r w:rsidRPr="00E5747D">
              <w:rPr>
                <w:sz w:val="22"/>
                <w:szCs w:val="22"/>
                <w:lang w:val="tr-TR"/>
              </w:rPr>
              <w:t>272</w:t>
            </w:r>
          </w:p>
        </w:tc>
        <w:tc>
          <w:tcPr>
            <w:tcW w:w="1134" w:type="dxa"/>
            <w:shd w:val="clear" w:color="auto" w:fill="auto"/>
            <w:noWrap/>
            <w:vAlign w:val="bottom"/>
            <w:hideMark/>
          </w:tcPr>
          <w:p w14:paraId="2794C736" w14:textId="77777777" w:rsidR="007F5B17" w:rsidRPr="00E5747D" w:rsidRDefault="007F5B17" w:rsidP="007F5B17">
            <w:pPr>
              <w:spacing w:line="276" w:lineRule="auto"/>
              <w:jc w:val="right"/>
              <w:rPr>
                <w:sz w:val="22"/>
                <w:szCs w:val="22"/>
                <w:lang w:val="tr-TR"/>
              </w:rPr>
            </w:pPr>
            <w:r w:rsidRPr="00E5747D">
              <w:rPr>
                <w:sz w:val="22"/>
                <w:szCs w:val="22"/>
                <w:lang w:val="tr-TR"/>
              </w:rPr>
              <w:t>26,5</w:t>
            </w:r>
          </w:p>
        </w:tc>
      </w:tr>
      <w:tr w:rsidR="007F5B17" w:rsidRPr="00E5747D" w14:paraId="7F133D0B" w14:textId="77777777" w:rsidTr="008701F0">
        <w:trPr>
          <w:trHeight w:val="315"/>
        </w:trPr>
        <w:tc>
          <w:tcPr>
            <w:tcW w:w="3544" w:type="dxa"/>
            <w:shd w:val="clear" w:color="auto" w:fill="auto"/>
            <w:noWrap/>
            <w:hideMark/>
          </w:tcPr>
          <w:p w14:paraId="710A485F" w14:textId="77777777" w:rsidR="007F5B17" w:rsidRPr="00E5747D" w:rsidRDefault="007F5B17" w:rsidP="007F5B17">
            <w:pPr>
              <w:spacing w:line="276" w:lineRule="auto"/>
              <w:rPr>
                <w:b/>
                <w:sz w:val="22"/>
                <w:szCs w:val="22"/>
                <w:lang w:val="tr-TR"/>
              </w:rPr>
            </w:pPr>
            <w:r w:rsidRPr="00E5747D">
              <w:rPr>
                <w:b/>
                <w:sz w:val="22"/>
                <w:szCs w:val="22"/>
                <w:lang w:val="tr-TR"/>
              </w:rPr>
              <w:t>Mardin (Siirt-Mardin-Batman-Şırnak)</w:t>
            </w:r>
          </w:p>
        </w:tc>
        <w:tc>
          <w:tcPr>
            <w:tcW w:w="1098" w:type="dxa"/>
            <w:shd w:val="clear" w:color="auto" w:fill="auto"/>
            <w:noWrap/>
            <w:vAlign w:val="bottom"/>
            <w:hideMark/>
          </w:tcPr>
          <w:p w14:paraId="32875D99" w14:textId="77777777" w:rsidR="007F5B17" w:rsidRPr="00E5747D" w:rsidRDefault="007F5B17" w:rsidP="007F5B17">
            <w:pPr>
              <w:spacing w:line="276" w:lineRule="auto"/>
              <w:jc w:val="right"/>
              <w:rPr>
                <w:sz w:val="22"/>
                <w:szCs w:val="22"/>
                <w:lang w:val="tr-TR"/>
              </w:rPr>
            </w:pPr>
            <w:r w:rsidRPr="00E5747D">
              <w:rPr>
                <w:sz w:val="22"/>
                <w:szCs w:val="22"/>
                <w:lang w:val="tr-TR"/>
              </w:rPr>
              <w:t>1.028</w:t>
            </w:r>
          </w:p>
        </w:tc>
        <w:tc>
          <w:tcPr>
            <w:tcW w:w="1595" w:type="dxa"/>
            <w:shd w:val="clear" w:color="auto" w:fill="auto"/>
            <w:noWrap/>
            <w:vAlign w:val="bottom"/>
            <w:hideMark/>
          </w:tcPr>
          <w:p w14:paraId="0E1E7E71" w14:textId="77777777" w:rsidR="007F5B17" w:rsidRPr="00E5747D" w:rsidRDefault="007F5B17" w:rsidP="007F5B17">
            <w:pPr>
              <w:spacing w:line="276" w:lineRule="auto"/>
              <w:jc w:val="right"/>
              <w:rPr>
                <w:sz w:val="22"/>
                <w:szCs w:val="22"/>
                <w:lang w:val="tr-TR"/>
              </w:rPr>
            </w:pPr>
            <w:r w:rsidRPr="00E5747D">
              <w:rPr>
                <w:sz w:val="22"/>
                <w:szCs w:val="22"/>
                <w:lang w:val="tr-TR"/>
              </w:rPr>
              <w:t>1.300</w:t>
            </w:r>
          </w:p>
        </w:tc>
        <w:tc>
          <w:tcPr>
            <w:tcW w:w="1276" w:type="dxa"/>
            <w:shd w:val="clear" w:color="auto" w:fill="auto"/>
            <w:noWrap/>
            <w:vAlign w:val="bottom"/>
            <w:hideMark/>
          </w:tcPr>
          <w:p w14:paraId="42E56FF2" w14:textId="77777777" w:rsidR="007F5B17" w:rsidRPr="00E5747D" w:rsidRDefault="007F5B17" w:rsidP="007F5B17">
            <w:pPr>
              <w:spacing w:line="276" w:lineRule="auto"/>
              <w:jc w:val="right"/>
              <w:rPr>
                <w:sz w:val="22"/>
                <w:szCs w:val="22"/>
                <w:lang w:val="tr-TR"/>
              </w:rPr>
            </w:pPr>
            <w:r w:rsidRPr="00E5747D">
              <w:rPr>
                <w:sz w:val="22"/>
                <w:szCs w:val="22"/>
                <w:lang w:val="tr-TR"/>
              </w:rPr>
              <w:t>272</w:t>
            </w:r>
          </w:p>
        </w:tc>
        <w:tc>
          <w:tcPr>
            <w:tcW w:w="1134" w:type="dxa"/>
            <w:shd w:val="clear" w:color="auto" w:fill="auto"/>
            <w:noWrap/>
            <w:vAlign w:val="bottom"/>
            <w:hideMark/>
          </w:tcPr>
          <w:p w14:paraId="770467E9" w14:textId="77777777" w:rsidR="007F5B17" w:rsidRPr="00E5747D" w:rsidRDefault="007F5B17" w:rsidP="007F5B17">
            <w:pPr>
              <w:spacing w:line="276" w:lineRule="auto"/>
              <w:jc w:val="right"/>
              <w:rPr>
                <w:sz w:val="22"/>
                <w:szCs w:val="22"/>
                <w:lang w:val="tr-TR"/>
              </w:rPr>
            </w:pPr>
            <w:r w:rsidRPr="00E5747D">
              <w:rPr>
                <w:sz w:val="22"/>
                <w:szCs w:val="22"/>
                <w:lang w:val="tr-TR"/>
              </w:rPr>
              <w:t>26,5</w:t>
            </w:r>
          </w:p>
        </w:tc>
      </w:tr>
      <w:tr w:rsidR="007F5B17" w:rsidRPr="00E5747D" w14:paraId="33001EAF" w14:textId="77777777" w:rsidTr="008701F0">
        <w:trPr>
          <w:trHeight w:val="315"/>
        </w:trPr>
        <w:tc>
          <w:tcPr>
            <w:tcW w:w="3544" w:type="dxa"/>
            <w:shd w:val="clear" w:color="auto" w:fill="auto"/>
            <w:noWrap/>
            <w:vAlign w:val="bottom"/>
            <w:hideMark/>
          </w:tcPr>
          <w:p w14:paraId="2019C250" w14:textId="77777777" w:rsidR="007F5B17" w:rsidRPr="00E5747D" w:rsidRDefault="007F5B17" w:rsidP="007F5B17">
            <w:pPr>
              <w:spacing w:line="276" w:lineRule="auto"/>
              <w:rPr>
                <w:b/>
                <w:i/>
                <w:sz w:val="22"/>
                <w:szCs w:val="22"/>
                <w:lang w:val="tr-TR"/>
              </w:rPr>
            </w:pPr>
            <w:r w:rsidRPr="00E5747D">
              <w:rPr>
                <w:b/>
                <w:i/>
                <w:sz w:val="22"/>
                <w:szCs w:val="22"/>
                <w:lang w:val="tr-TR"/>
              </w:rPr>
              <w:t>Türkiye</w:t>
            </w:r>
          </w:p>
        </w:tc>
        <w:tc>
          <w:tcPr>
            <w:tcW w:w="1098" w:type="dxa"/>
            <w:shd w:val="clear" w:color="auto" w:fill="auto"/>
            <w:noWrap/>
            <w:vAlign w:val="bottom"/>
            <w:hideMark/>
          </w:tcPr>
          <w:p w14:paraId="17403F85" w14:textId="77777777" w:rsidR="007F5B17" w:rsidRPr="00E5747D" w:rsidRDefault="007F5B17" w:rsidP="007F5B17">
            <w:pPr>
              <w:spacing w:line="276" w:lineRule="auto"/>
              <w:jc w:val="right"/>
              <w:rPr>
                <w:i/>
                <w:sz w:val="22"/>
                <w:szCs w:val="22"/>
                <w:lang w:val="tr-TR"/>
              </w:rPr>
            </w:pPr>
            <w:r w:rsidRPr="00E5747D">
              <w:rPr>
                <w:i/>
                <w:sz w:val="22"/>
                <w:szCs w:val="22"/>
                <w:lang w:val="tr-TR"/>
              </w:rPr>
              <w:t>1.210</w:t>
            </w:r>
          </w:p>
        </w:tc>
        <w:tc>
          <w:tcPr>
            <w:tcW w:w="1595" w:type="dxa"/>
            <w:shd w:val="clear" w:color="auto" w:fill="auto"/>
            <w:noWrap/>
            <w:vAlign w:val="bottom"/>
            <w:hideMark/>
          </w:tcPr>
          <w:p w14:paraId="16D19D99" w14:textId="77777777" w:rsidR="007F5B17" w:rsidRPr="00E5747D" w:rsidRDefault="007F5B17" w:rsidP="007F5B17">
            <w:pPr>
              <w:spacing w:line="276" w:lineRule="auto"/>
              <w:jc w:val="right"/>
              <w:rPr>
                <w:i/>
                <w:sz w:val="22"/>
                <w:szCs w:val="22"/>
                <w:lang w:val="tr-TR"/>
              </w:rPr>
            </w:pPr>
            <w:r w:rsidRPr="00E5747D">
              <w:rPr>
                <w:i/>
                <w:sz w:val="22"/>
                <w:szCs w:val="22"/>
                <w:lang w:val="tr-TR"/>
              </w:rPr>
              <w:t>1.300</w:t>
            </w:r>
          </w:p>
        </w:tc>
        <w:tc>
          <w:tcPr>
            <w:tcW w:w="1276" w:type="dxa"/>
            <w:shd w:val="clear" w:color="auto" w:fill="auto"/>
            <w:noWrap/>
            <w:vAlign w:val="bottom"/>
            <w:hideMark/>
          </w:tcPr>
          <w:p w14:paraId="0297A69D" w14:textId="77777777" w:rsidR="007F5B17" w:rsidRPr="00E5747D" w:rsidRDefault="007F5B17" w:rsidP="007F5B17">
            <w:pPr>
              <w:spacing w:line="276" w:lineRule="auto"/>
              <w:jc w:val="right"/>
              <w:rPr>
                <w:i/>
                <w:sz w:val="22"/>
                <w:szCs w:val="22"/>
                <w:lang w:val="tr-TR"/>
              </w:rPr>
            </w:pPr>
            <w:r w:rsidRPr="00E5747D">
              <w:rPr>
                <w:i/>
                <w:sz w:val="22"/>
                <w:szCs w:val="22"/>
                <w:lang w:val="tr-TR"/>
              </w:rPr>
              <w:t>90</w:t>
            </w:r>
          </w:p>
        </w:tc>
        <w:tc>
          <w:tcPr>
            <w:tcW w:w="1134" w:type="dxa"/>
            <w:shd w:val="clear" w:color="auto" w:fill="auto"/>
            <w:noWrap/>
            <w:vAlign w:val="bottom"/>
            <w:hideMark/>
          </w:tcPr>
          <w:p w14:paraId="0EDF9913" w14:textId="77777777" w:rsidR="007F5B17" w:rsidRPr="00E5747D" w:rsidRDefault="007F5B17" w:rsidP="007F5B17">
            <w:pPr>
              <w:spacing w:line="276" w:lineRule="auto"/>
              <w:jc w:val="right"/>
              <w:rPr>
                <w:i/>
                <w:sz w:val="22"/>
                <w:szCs w:val="22"/>
                <w:lang w:val="tr-TR"/>
              </w:rPr>
            </w:pPr>
            <w:r w:rsidRPr="00E5747D">
              <w:rPr>
                <w:i/>
                <w:sz w:val="22"/>
                <w:szCs w:val="22"/>
                <w:lang w:val="tr-TR"/>
              </w:rPr>
              <w:t>7</w:t>
            </w:r>
            <w:r w:rsidRPr="00E5747D">
              <w:rPr>
                <w:sz w:val="22"/>
                <w:szCs w:val="22"/>
                <w:lang w:val="tr-TR"/>
              </w:rPr>
              <w:t>,</w:t>
            </w:r>
            <w:r w:rsidRPr="00E5747D">
              <w:rPr>
                <w:i/>
                <w:sz w:val="22"/>
                <w:szCs w:val="22"/>
                <w:lang w:val="tr-TR"/>
              </w:rPr>
              <w:t>4</w:t>
            </w:r>
          </w:p>
        </w:tc>
      </w:tr>
    </w:tbl>
    <w:p w14:paraId="26A5F392" w14:textId="77777777" w:rsidR="00136E07" w:rsidRPr="00E5747D" w:rsidRDefault="00136E07" w:rsidP="00136E07">
      <w:pPr>
        <w:spacing w:line="276" w:lineRule="auto"/>
        <w:rPr>
          <w:sz w:val="20"/>
          <w:szCs w:val="20"/>
          <w:lang w:val="tr-TR"/>
        </w:rPr>
      </w:pPr>
      <w:r w:rsidRPr="00E5747D">
        <w:rPr>
          <w:sz w:val="20"/>
          <w:szCs w:val="20"/>
          <w:lang w:val="tr-TR"/>
        </w:rPr>
        <w:t>Kaynak: HİA 2013, Betam Kasım 2015 güncellemesi</w:t>
      </w:r>
    </w:p>
    <w:p w14:paraId="477DF344" w14:textId="77777777" w:rsidR="003A4542" w:rsidRPr="00E5747D" w:rsidRDefault="003A4542" w:rsidP="00B17072">
      <w:pPr>
        <w:spacing w:line="276" w:lineRule="auto"/>
        <w:rPr>
          <w:sz w:val="22"/>
          <w:szCs w:val="22"/>
          <w:lang w:val="tr-TR"/>
        </w:rPr>
      </w:pPr>
    </w:p>
    <w:p w14:paraId="45EA5FA1" w14:textId="5837ED18" w:rsidR="0008691E" w:rsidRDefault="005A4201" w:rsidP="00B17072">
      <w:pPr>
        <w:spacing w:line="276" w:lineRule="auto"/>
        <w:rPr>
          <w:sz w:val="22"/>
          <w:szCs w:val="22"/>
          <w:lang w:val="tr-TR"/>
        </w:rPr>
      </w:pPr>
      <w:r w:rsidRPr="00E5747D">
        <w:rPr>
          <w:sz w:val="22"/>
          <w:szCs w:val="22"/>
          <w:lang w:val="tr-TR"/>
        </w:rPr>
        <w:t xml:space="preserve">Bu veriler ışığında, </w:t>
      </w:r>
      <w:r w:rsidR="00654048">
        <w:rPr>
          <w:sz w:val="22"/>
          <w:szCs w:val="22"/>
          <w:lang w:val="tr-TR"/>
        </w:rPr>
        <w:t xml:space="preserve">net </w:t>
      </w:r>
      <w:r w:rsidRPr="00E5747D">
        <w:rPr>
          <w:sz w:val="22"/>
          <w:szCs w:val="22"/>
          <w:lang w:val="tr-TR"/>
        </w:rPr>
        <w:t xml:space="preserve">asgari ücretin 1300 TL’ye yükseltilmesinin, sadece Temmuz 2015’ten beri geçerli olan </w:t>
      </w:r>
      <w:r w:rsidRPr="00DE0DB1">
        <w:rPr>
          <w:sz w:val="22"/>
          <w:szCs w:val="22"/>
          <w:lang w:val="tr-TR"/>
        </w:rPr>
        <w:t>1000 TL</w:t>
      </w:r>
      <w:r w:rsidRPr="00E5747D">
        <w:rPr>
          <w:sz w:val="22"/>
          <w:szCs w:val="22"/>
          <w:lang w:val="tr-TR"/>
        </w:rPr>
        <w:t xml:space="preserve"> ile yeni asgari ücret olması beklenen 1300 TL arasında ücret kazananlar</w:t>
      </w:r>
      <w:r w:rsidR="00C5388C">
        <w:rPr>
          <w:sz w:val="22"/>
          <w:szCs w:val="22"/>
          <w:lang w:val="tr-TR"/>
        </w:rPr>
        <w:t>l</w:t>
      </w:r>
      <w:r w:rsidRPr="00E5747D">
        <w:rPr>
          <w:sz w:val="22"/>
          <w:szCs w:val="22"/>
          <w:lang w:val="tr-TR"/>
        </w:rPr>
        <w:t xml:space="preserve">a sınırlı kaldığı takdirde bile, ücret dağılımı ve işgücü maliyetleri açısından oldukça ağır bir yük getireceği </w:t>
      </w:r>
      <w:r w:rsidR="0008691E" w:rsidRPr="00E5747D">
        <w:rPr>
          <w:sz w:val="22"/>
          <w:szCs w:val="22"/>
          <w:lang w:val="tr-TR"/>
        </w:rPr>
        <w:t xml:space="preserve">görülmektedir. </w:t>
      </w:r>
      <w:r w:rsidR="000F20EB">
        <w:rPr>
          <w:sz w:val="22"/>
          <w:szCs w:val="22"/>
          <w:lang w:val="tr-TR"/>
        </w:rPr>
        <w:t xml:space="preserve">Yapılan varsayımlar altında </w:t>
      </w:r>
      <w:r w:rsidR="00C5388C">
        <w:rPr>
          <w:sz w:val="22"/>
          <w:szCs w:val="22"/>
          <w:lang w:val="tr-TR"/>
        </w:rPr>
        <w:t>d</w:t>
      </w:r>
      <w:r w:rsidR="000F20EB">
        <w:rPr>
          <w:sz w:val="22"/>
          <w:szCs w:val="22"/>
          <w:lang w:val="tr-TR"/>
        </w:rPr>
        <w:t xml:space="preserve">evlet desteği olmadığı takdirde firmalara </w:t>
      </w:r>
      <w:r w:rsidR="00E50C2C">
        <w:rPr>
          <w:sz w:val="22"/>
          <w:szCs w:val="22"/>
          <w:lang w:val="tr-TR"/>
        </w:rPr>
        <w:t>yıllık</w:t>
      </w:r>
      <w:r w:rsidR="000F20EB">
        <w:rPr>
          <w:sz w:val="22"/>
          <w:szCs w:val="22"/>
          <w:lang w:val="tr-TR"/>
        </w:rPr>
        <w:t xml:space="preserve"> toplam </w:t>
      </w:r>
      <w:r w:rsidR="000F20EB" w:rsidRPr="00E50C2C">
        <w:rPr>
          <w:sz w:val="22"/>
          <w:szCs w:val="22"/>
          <w:lang w:val="tr-TR"/>
        </w:rPr>
        <w:t>yükün 1</w:t>
      </w:r>
      <w:r w:rsidR="00E50C2C" w:rsidRPr="00E50C2C">
        <w:rPr>
          <w:sz w:val="22"/>
          <w:szCs w:val="22"/>
          <w:lang w:val="tr-TR"/>
        </w:rPr>
        <w:t>8</w:t>
      </w:r>
      <w:r w:rsidR="000F20EB" w:rsidRPr="00E50C2C">
        <w:rPr>
          <w:sz w:val="22"/>
          <w:szCs w:val="22"/>
          <w:lang w:val="tr-TR"/>
        </w:rPr>
        <w:t xml:space="preserve"> milyar TL </w:t>
      </w:r>
      <w:r w:rsidR="000F20EB">
        <w:rPr>
          <w:sz w:val="22"/>
          <w:szCs w:val="22"/>
          <w:lang w:val="tr-TR"/>
        </w:rPr>
        <w:t>olacağı tahmin edil</w:t>
      </w:r>
      <w:r w:rsidR="00E50C2C">
        <w:rPr>
          <w:sz w:val="22"/>
          <w:szCs w:val="22"/>
          <w:lang w:val="tr-TR"/>
        </w:rPr>
        <w:t>eblir</w:t>
      </w:r>
      <w:r w:rsidR="000F20EB">
        <w:rPr>
          <w:sz w:val="22"/>
          <w:szCs w:val="22"/>
          <w:lang w:val="tr-TR"/>
        </w:rPr>
        <w:t xml:space="preserve">. </w:t>
      </w:r>
    </w:p>
    <w:p w14:paraId="1E53A706" w14:textId="77777777" w:rsidR="00180533" w:rsidRDefault="00180533" w:rsidP="00B17072">
      <w:pPr>
        <w:spacing w:line="276" w:lineRule="auto"/>
        <w:rPr>
          <w:sz w:val="22"/>
          <w:szCs w:val="22"/>
          <w:lang w:val="tr-TR"/>
        </w:rPr>
      </w:pPr>
    </w:p>
    <w:p w14:paraId="0A3B5598" w14:textId="01A031BA" w:rsidR="00180533" w:rsidRDefault="00180533" w:rsidP="00B17072">
      <w:pPr>
        <w:spacing w:line="276" w:lineRule="auto"/>
        <w:rPr>
          <w:sz w:val="22"/>
          <w:szCs w:val="22"/>
          <w:lang w:val="tr-TR"/>
        </w:rPr>
      </w:pPr>
      <w:r>
        <w:rPr>
          <w:sz w:val="22"/>
          <w:szCs w:val="22"/>
          <w:lang w:val="tr-TR"/>
        </w:rPr>
        <w:t>Devlet tarafından sağlanacak 110 TL yardım sayesinde bir sene süreyle asgari ücretin firmalar için 1190 TL (1300-110=1190) olacağı düşünülebilir.</w:t>
      </w:r>
      <w:r w:rsidR="00216E20">
        <w:rPr>
          <w:sz w:val="22"/>
          <w:szCs w:val="22"/>
          <w:lang w:val="tr-TR"/>
        </w:rPr>
        <w:t xml:space="preserve"> </w:t>
      </w:r>
      <w:r w:rsidR="000F20EB">
        <w:rPr>
          <w:sz w:val="22"/>
          <w:szCs w:val="22"/>
          <w:lang w:val="tr-TR"/>
        </w:rPr>
        <w:t>Yine yapılan</w:t>
      </w:r>
      <w:r w:rsidR="00216E20">
        <w:rPr>
          <w:sz w:val="22"/>
          <w:szCs w:val="22"/>
          <w:lang w:val="tr-TR"/>
        </w:rPr>
        <w:t xml:space="preserve"> varsayımlar altında,</w:t>
      </w:r>
      <w:r>
        <w:rPr>
          <w:sz w:val="22"/>
          <w:szCs w:val="22"/>
          <w:lang w:val="tr-TR"/>
        </w:rPr>
        <w:t xml:space="preserve"> </w:t>
      </w:r>
      <w:r w:rsidR="00216E20">
        <w:rPr>
          <w:sz w:val="22"/>
          <w:szCs w:val="22"/>
          <w:lang w:val="tr-TR"/>
        </w:rPr>
        <w:t xml:space="preserve">Türkiye genelinde ortalama ücretlerin 1689 TL’ye, ortanca ücretlerin ise 1210’a çıkacağı </w:t>
      </w:r>
      <w:r w:rsidR="000F6586">
        <w:rPr>
          <w:sz w:val="22"/>
          <w:szCs w:val="22"/>
          <w:lang w:val="tr-TR"/>
        </w:rPr>
        <w:t>görülmektedir.</w:t>
      </w:r>
      <w:r w:rsidR="00216E20">
        <w:rPr>
          <w:sz w:val="22"/>
          <w:szCs w:val="22"/>
          <w:lang w:val="tr-TR"/>
        </w:rPr>
        <w:t xml:space="preserve"> </w:t>
      </w:r>
      <w:r w:rsidR="000F20EB">
        <w:rPr>
          <w:sz w:val="22"/>
          <w:szCs w:val="22"/>
          <w:lang w:val="tr-TR"/>
        </w:rPr>
        <w:t>Bu durumda firmalara gelecek toplam yükün 894 milyon TL ile sını</w:t>
      </w:r>
      <w:r w:rsidR="000F6586">
        <w:rPr>
          <w:sz w:val="22"/>
          <w:szCs w:val="22"/>
          <w:lang w:val="tr-TR"/>
        </w:rPr>
        <w:t>rlı kalacağı tahmin edilmektedi</w:t>
      </w:r>
      <w:r w:rsidR="000F20EB">
        <w:rPr>
          <w:sz w:val="22"/>
          <w:szCs w:val="22"/>
          <w:lang w:val="tr-TR"/>
        </w:rPr>
        <w:t>r</w:t>
      </w:r>
      <w:r w:rsidR="000F6586">
        <w:rPr>
          <w:sz w:val="22"/>
          <w:szCs w:val="22"/>
          <w:lang w:val="tr-TR"/>
        </w:rPr>
        <w:t>.</w:t>
      </w:r>
      <w:r w:rsidR="000F20EB">
        <w:rPr>
          <w:sz w:val="22"/>
          <w:szCs w:val="22"/>
          <w:lang w:val="tr-TR"/>
        </w:rPr>
        <w:t xml:space="preserve"> </w:t>
      </w:r>
    </w:p>
    <w:p w14:paraId="4B637ADB" w14:textId="77777777" w:rsidR="0008691E" w:rsidRDefault="0008691E" w:rsidP="00B17072">
      <w:pPr>
        <w:spacing w:line="276" w:lineRule="auto"/>
        <w:rPr>
          <w:sz w:val="22"/>
          <w:szCs w:val="22"/>
          <w:lang w:val="tr-TR"/>
        </w:rPr>
      </w:pPr>
    </w:p>
    <w:p w14:paraId="35C52CB2" w14:textId="3E7DC573" w:rsidR="00623FC7" w:rsidRPr="004050E2" w:rsidRDefault="007A3106" w:rsidP="00B17072">
      <w:pPr>
        <w:spacing w:line="276" w:lineRule="auto"/>
        <w:rPr>
          <w:b/>
          <w:lang w:val="tr-TR"/>
        </w:rPr>
      </w:pPr>
      <w:r>
        <w:rPr>
          <w:b/>
          <w:lang w:val="tr-TR"/>
        </w:rPr>
        <w:t>Küçük ve orta ölçek</w:t>
      </w:r>
      <w:r w:rsidR="003B12E3">
        <w:rPr>
          <w:b/>
          <w:lang w:val="tr-TR"/>
        </w:rPr>
        <w:t>li</w:t>
      </w:r>
      <w:r>
        <w:rPr>
          <w:b/>
          <w:lang w:val="tr-TR"/>
        </w:rPr>
        <w:t xml:space="preserve"> firmalara büyük yük </w:t>
      </w:r>
    </w:p>
    <w:p w14:paraId="74532BD3" w14:textId="77777777" w:rsidR="00623FC7" w:rsidRDefault="00623FC7" w:rsidP="00B17072">
      <w:pPr>
        <w:spacing w:line="276" w:lineRule="auto"/>
        <w:rPr>
          <w:sz w:val="22"/>
          <w:szCs w:val="22"/>
          <w:lang w:val="tr-TR"/>
        </w:rPr>
      </w:pPr>
    </w:p>
    <w:p w14:paraId="54C2BACF" w14:textId="62396AF1" w:rsidR="00132FF7" w:rsidRDefault="00D76A9B" w:rsidP="00D76A9B">
      <w:pPr>
        <w:spacing w:line="276" w:lineRule="auto"/>
        <w:rPr>
          <w:sz w:val="22"/>
          <w:szCs w:val="22"/>
          <w:lang w:val="tr-TR"/>
        </w:rPr>
      </w:pPr>
      <w:r w:rsidRPr="00E5747D">
        <w:rPr>
          <w:sz w:val="22"/>
          <w:szCs w:val="22"/>
          <w:lang w:val="tr-TR"/>
        </w:rPr>
        <w:fldChar w:fldCharType="begin"/>
      </w:r>
      <w:r w:rsidRPr="00E5747D">
        <w:rPr>
          <w:sz w:val="22"/>
          <w:szCs w:val="22"/>
          <w:lang w:val="tr-TR"/>
        </w:rPr>
        <w:instrText xml:space="preserve"> REF _Ref439626185 \h  \* MERGEFORMAT </w:instrText>
      </w:r>
      <w:r w:rsidRPr="00E5747D">
        <w:rPr>
          <w:sz w:val="22"/>
          <w:szCs w:val="22"/>
          <w:lang w:val="tr-TR"/>
        </w:rPr>
      </w:r>
      <w:r w:rsidRPr="00E5747D">
        <w:rPr>
          <w:sz w:val="22"/>
          <w:szCs w:val="22"/>
          <w:lang w:val="tr-TR"/>
        </w:rPr>
        <w:fldChar w:fldCharType="separate"/>
      </w:r>
      <w:r w:rsidRPr="00D76A9B">
        <w:rPr>
          <w:sz w:val="22"/>
          <w:szCs w:val="22"/>
          <w:lang w:val="tr-TR"/>
        </w:rPr>
        <w:t>Tablo 3</w:t>
      </w:r>
      <w:r w:rsidRPr="00E5747D">
        <w:rPr>
          <w:sz w:val="22"/>
          <w:szCs w:val="22"/>
          <w:lang w:val="tr-TR"/>
        </w:rPr>
        <w:fldChar w:fldCharType="end"/>
      </w:r>
      <w:r w:rsidRPr="00E5747D">
        <w:rPr>
          <w:sz w:val="22"/>
          <w:szCs w:val="22"/>
          <w:lang w:val="tr-TR"/>
        </w:rPr>
        <w:t xml:space="preserve">’te </w:t>
      </w:r>
      <w:r>
        <w:rPr>
          <w:sz w:val="22"/>
          <w:szCs w:val="22"/>
          <w:lang w:val="tr-TR"/>
        </w:rPr>
        <w:t xml:space="preserve">asgari ücret artışından etkilenecek çalışanların toplam istihdamdaki paylarının firma boyutuna göre dağılımları </w:t>
      </w:r>
      <w:r w:rsidRPr="00E5747D">
        <w:rPr>
          <w:sz w:val="22"/>
          <w:szCs w:val="22"/>
          <w:lang w:val="tr-TR"/>
        </w:rPr>
        <w:t>verilmektedir.</w:t>
      </w:r>
      <w:r>
        <w:rPr>
          <w:sz w:val="22"/>
          <w:szCs w:val="22"/>
          <w:lang w:val="tr-TR"/>
        </w:rPr>
        <w:t xml:space="preserve"> Veriler asgari ücret artışının </w:t>
      </w:r>
      <w:r w:rsidR="00C5388C">
        <w:rPr>
          <w:sz w:val="22"/>
          <w:szCs w:val="22"/>
          <w:lang w:val="tr-TR"/>
        </w:rPr>
        <w:t>nispeten</w:t>
      </w:r>
      <w:r>
        <w:rPr>
          <w:sz w:val="22"/>
          <w:szCs w:val="22"/>
          <w:lang w:val="tr-TR"/>
        </w:rPr>
        <w:t xml:space="preserve"> küçük ölçekli firmalarda daha yoğun şekilde hissedileceğine işaret etmektedir. 10 kişiden az çalışanı olan firmaların yarattığı toplam istihdamın yüzde 67,7’si asgari ücret artışından etkilenecektir. </w:t>
      </w:r>
      <w:r w:rsidR="00132FF7">
        <w:rPr>
          <w:sz w:val="22"/>
          <w:szCs w:val="22"/>
          <w:lang w:val="tr-TR"/>
        </w:rPr>
        <w:t>Bu firmalar toplam istihdamın yüzde 27,7’sini yaratmaktadır.</w:t>
      </w:r>
      <w:r w:rsidR="000370EC">
        <w:rPr>
          <w:rStyle w:val="FootnoteReference"/>
          <w:sz w:val="22"/>
          <w:szCs w:val="22"/>
          <w:lang w:val="tr-TR"/>
        </w:rPr>
        <w:footnoteReference w:id="6"/>
      </w:r>
      <w:r w:rsidR="00132FF7">
        <w:rPr>
          <w:sz w:val="22"/>
          <w:szCs w:val="22"/>
          <w:lang w:val="tr-TR"/>
        </w:rPr>
        <w:t xml:space="preserve"> </w:t>
      </w:r>
      <w:r w:rsidR="00E61545">
        <w:rPr>
          <w:sz w:val="22"/>
          <w:szCs w:val="22"/>
          <w:lang w:val="tr-TR"/>
        </w:rPr>
        <w:t xml:space="preserve">Daha genel olarak </w:t>
      </w:r>
      <w:r w:rsidR="00132FF7">
        <w:rPr>
          <w:sz w:val="22"/>
          <w:szCs w:val="22"/>
          <w:lang w:val="tr-TR"/>
        </w:rPr>
        <w:t>250 kişiden az çalışanı olan firmalarda yaratılan istihdamın yarısından çoğu asgari</w:t>
      </w:r>
      <w:r w:rsidR="00E61545">
        <w:rPr>
          <w:sz w:val="22"/>
          <w:szCs w:val="22"/>
          <w:lang w:val="tr-TR"/>
        </w:rPr>
        <w:t xml:space="preserve"> ücret artışından etkileneceği görülmektedir</w:t>
      </w:r>
      <w:r w:rsidR="00132FF7">
        <w:rPr>
          <w:sz w:val="22"/>
          <w:szCs w:val="22"/>
          <w:lang w:val="tr-TR"/>
        </w:rPr>
        <w:t>.</w:t>
      </w:r>
      <w:r w:rsidR="00E61545">
        <w:rPr>
          <w:sz w:val="22"/>
          <w:szCs w:val="22"/>
          <w:lang w:val="tr-TR"/>
        </w:rPr>
        <w:t xml:space="preserve"> Bu firmalar toplam istihdamın yüzde 87,1’ini yaratmaktadır.  </w:t>
      </w:r>
      <w:r w:rsidR="00132FF7">
        <w:rPr>
          <w:sz w:val="22"/>
          <w:szCs w:val="22"/>
          <w:lang w:val="tr-TR"/>
        </w:rPr>
        <w:t xml:space="preserve"> </w:t>
      </w:r>
    </w:p>
    <w:p w14:paraId="17229235" w14:textId="77777777" w:rsidR="00132FF7" w:rsidRDefault="00132FF7" w:rsidP="00D76A9B">
      <w:pPr>
        <w:spacing w:line="276" w:lineRule="auto"/>
        <w:rPr>
          <w:sz w:val="22"/>
          <w:szCs w:val="22"/>
          <w:lang w:val="tr-TR"/>
        </w:rPr>
      </w:pPr>
    </w:p>
    <w:p w14:paraId="52F1AB14" w14:textId="10FCA50E" w:rsidR="00D76A9B" w:rsidRPr="00E5747D" w:rsidRDefault="00D76A9B" w:rsidP="00D76A9B">
      <w:pPr>
        <w:spacing w:line="276" w:lineRule="auto"/>
        <w:rPr>
          <w:sz w:val="22"/>
          <w:szCs w:val="22"/>
          <w:lang w:val="tr-TR"/>
        </w:rPr>
      </w:pPr>
      <w:r>
        <w:rPr>
          <w:sz w:val="22"/>
          <w:szCs w:val="22"/>
          <w:lang w:val="tr-TR"/>
        </w:rPr>
        <w:lastRenderedPageBreak/>
        <w:t>Asgari ücret artışının getireceği nispi yükün firma büyüklüğü arttıkça azaldığı görülmektedir. Bu durum</w:t>
      </w:r>
      <w:r w:rsidR="00C5388C">
        <w:rPr>
          <w:sz w:val="22"/>
          <w:szCs w:val="22"/>
          <w:lang w:val="tr-TR"/>
        </w:rPr>
        <w:t>,</w:t>
      </w:r>
      <w:r>
        <w:rPr>
          <w:sz w:val="22"/>
          <w:szCs w:val="22"/>
          <w:lang w:val="tr-TR"/>
        </w:rPr>
        <w:t xml:space="preserve"> firma büyüklüğü ile çalışan verimliliği arasında pozitif bir ilişki olduğunu doğrulamaktadır. Dolayısıyla en düşük verimliliğe sahip çalışanlar küçük ve orta büyüklükteki firmalarda yoğunlaşmaktadır. </w:t>
      </w:r>
      <w:r w:rsidR="00E61545">
        <w:rPr>
          <w:sz w:val="22"/>
          <w:szCs w:val="22"/>
          <w:lang w:val="tr-TR"/>
        </w:rPr>
        <w:t>Bu durum asgari ücret artışının k</w:t>
      </w:r>
      <w:r w:rsidR="00C5388C">
        <w:rPr>
          <w:sz w:val="22"/>
          <w:szCs w:val="22"/>
          <w:lang w:val="tr-TR"/>
        </w:rPr>
        <w:t>üçük ve orta ölçekteki firmalar</w:t>
      </w:r>
      <w:r w:rsidR="00E61545">
        <w:rPr>
          <w:sz w:val="22"/>
          <w:szCs w:val="22"/>
          <w:lang w:val="tr-TR"/>
        </w:rPr>
        <w:t xml:space="preserve">a nispeten daha ağır bir yük getireceğine işaret etmektedir. </w:t>
      </w:r>
      <w:r w:rsidR="00F25D81">
        <w:rPr>
          <w:sz w:val="22"/>
          <w:szCs w:val="22"/>
          <w:lang w:val="tr-TR"/>
        </w:rPr>
        <w:t xml:space="preserve">Dolayısıyla </w:t>
      </w:r>
      <w:r w:rsidR="00C5388C">
        <w:rPr>
          <w:sz w:val="22"/>
          <w:szCs w:val="22"/>
          <w:lang w:val="tr-TR"/>
        </w:rPr>
        <w:t>d</w:t>
      </w:r>
      <w:r w:rsidR="00F25D81">
        <w:rPr>
          <w:sz w:val="22"/>
          <w:szCs w:val="22"/>
          <w:lang w:val="tr-TR"/>
        </w:rPr>
        <w:t>evlet tarafından yapıl</w:t>
      </w:r>
      <w:r w:rsidR="006130EB">
        <w:rPr>
          <w:sz w:val="22"/>
          <w:szCs w:val="22"/>
          <w:lang w:val="tr-TR"/>
        </w:rPr>
        <w:t>acak 110 TL tutarındaki yardımdan</w:t>
      </w:r>
      <w:r w:rsidR="00F25D81">
        <w:rPr>
          <w:sz w:val="22"/>
          <w:szCs w:val="22"/>
          <w:lang w:val="tr-TR"/>
        </w:rPr>
        <w:t xml:space="preserve"> göreli olarak en çok bu firmaların </w:t>
      </w:r>
      <w:r w:rsidR="006130EB">
        <w:rPr>
          <w:sz w:val="22"/>
          <w:szCs w:val="22"/>
          <w:lang w:val="tr-TR"/>
        </w:rPr>
        <w:t xml:space="preserve">faydalanacağı </w:t>
      </w:r>
      <w:r w:rsidR="00F25D81">
        <w:rPr>
          <w:sz w:val="22"/>
          <w:szCs w:val="22"/>
          <w:lang w:val="tr-TR"/>
        </w:rPr>
        <w:t xml:space="preserve">düşünülmektedir. </w:t>
      </w:r>
    </w:p>
    <w:p w14:paraId="1C3CFF4D" w14:textId="77777777" w:rsidR="00D76A9B" w:rsidRPr="00E5747D" w:rsidRDefault="00D76A9B" w:rsidP="00D76A9B">
      <w:pPr>
        <w:spacing w:line="276" w:lineRule="auto"/>
        <w:rPr>
          <w:sz w:val="22"/>
          <w:szCs w:val="22"/>
          <w:lang w:val="tr-TR"/>
        </w:rPr>
      </w:pPr>
    </w:p>
    <w:p w14:paraId="6B1AE910" w14:textId="60477D45" w:rsidR="00D76A9B" w:rsidRPr="00E5747D" w:rsidRDefault="00D76A9B" w:rsidP="00D76A9B">
      <w:pPr>
        <w:pStyle w:val="Caption"/>
        <w:keepNext/>
        <w:rPr>
          <w:b/>
          <w:i w:val="0"/>
          <w:color w:val="auto"/>
          <w:sz w:val="22"/>
          <w:szCs w:val="22"/>
          <w:lang w:val="tr-TR"/>
        </w:rPr>
      </w:pPr>
      <w:bookmarkStart w:id="4" w:name="_Ref439626185"/>
      <w:r w:rsidRPr="00E5747D">
        <w:rPr>
          <w:b/>
          <w:i w:val="0"/>
          <w:color w:val="auto"/>
          <w:sz w:val="22"/>
          <w:szCs w:val="22"/>
          <w:lang w:val="tr-TR"/>
        </w:rPr>
        <w:t xml:space="preserve">Tablo </w:t>
      </w:r>
      <w:r w:rsidRPr="00E5747D">
        <w:rPr>
          <w:b/>
          <w:i w:val="0"/>
          <w:color w:val="auto"/>
          <w:sz w:val="22"/>
          <w:szCs w:val="22"/>
          <w:lang w:val="tr-TR"/>
        </w:rPr>
        <w:fldChar w:fldCharType="begin"/>
      </w:r>
      <w:r w:rsidRPr="00E5747D">
        <w:rPr>
          <w:b/>
          <w:i w:val="0"/>
          <w:color w:val="auto"/>
          <w:sz w:val="22"/>
          <w:szCs w:val="22"/>
          <w:lang w:val="tr-TR"/>
        </w:rPr>
        <w:instrText xml:space="preserve"> SEQ Tablo \* ARABIC </w:instrText>
      </w:r>
      <w:r w:rsidRPr="00E5747D">
        <w:rPr>
          <w:b/>
          <w:i w:val="0"/>
          <w:color w:val="auto"/>
          <w:sz w:val="22"/>
          <w:szCs w:val="22"/>
          <w:lang w:val="tr-TR"/>
        </w:rPr>
        <w:fldChar w:fldCharType="separate"/>
      </w:r>
      <w:r>
        <w:rPr>
          <w:b/>
          <w:i w:val="0"/>
          <w:noProof/>
          <w:color w:val="auto"/>
          <w:sz w:val="22"/>
          <w:szCs w:val="22"/>
          <w:lang w:val="tr-TR"/>
        </w:rPr>
        <w:t>3</w:t>
      </w:r>
      <w:r w:rsidRPr="00E5747D">
        <w:rPr>
          <w:b/>
          <w:i w:val="0"/>
          <w:color w:val="auto"/>
          <w:sz w:val="22"/>
          <w:szCs w:val="22"/>
          <w:lang w:val="tr-TR"/>
        </w:rPr>
        <w:fldChar w:fldCharType="end"/>
      </w:r>
      <w:bookmarkEnd w:id="4"/>
      <w:r w:rsidRPr="00E5747D">
        <w:rPr>
          <w:b/>
          <w:i w:val="0"/>
          <w:color w:val="auto"/>
          <w:sz w:val="22"/>
          <w:szCs w:val="22"/>
          <w:lang w:val="tr-TR"/>
        </w:rPr>
        <w:t xml:space="preserve"> </w:t>
      </w:r>
      <w:r w:rsidR="00BA3196">
        <w:rPr>
          <w:b/>
          <w:i w:val="0"/>
          <w:color w:val="auto"/>
          <w:sz w:val="22"/>
          <w:szCs w:val="22"/>
          <w:lang w:val="tr-TR"/>
        </w:rPr>
        <w:t>Asgari ücret artış</w:t>
      </w:r>
      <w:r>
        <w:rPr>
          <w:b/>
          <w:i w:val="0"/>
          <w:color w:val="auto"/>
          <w:sz w:val="22"/>
          <w:szCs w:val="22"/>
          <w:lang w:val="tr-TR"/>
        </w:rPr>
        <w:t xml:space="preserve"> etkile</w:t>
      </w:r>
      <w:r w:rsidR="00BA3196">
        <w:rPr>
          <w:b/>
          <w:i w:val="0"/>
          <w:color w:val="auto"/>
          <w:sz w:val="22"/>
          <w:szCs w:val="22"/>
          <w:lang w:val="tr-TR"/>
        </w:rPr>
        <w:t>rinin</w:t>
      </w:r>
      <w:r>
        <w:rPr>
          <w:b/>
          <w:i w:val="0"/>
          <w:color w:val="auto"/>
          <w:sz w:val="22"/>
          <w:szCs w:val="22"/>
          <w:lang w:val="tr-TR"/>
        </w:rPr>
        <w:t xml:space="preserve"> firma boyutuna göre dağılımı</w:t>
      </w:r>
    </w:p>
    <w:tbl>
      <w:tblPr>
        <w:tblW w:w="396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29"/>
        <w:gridCol w:w="1940"/>
      </w:tblGrid>
      <w:tr w:rsidR="00D76A9B" w:rsidRPr="00E5747D" w14:paraId="4B215D09" w14:textId="77777777" w:rsidTr="000B6AAB">
        <w:trPr>
          <w:trHeight w:val="320"/>
        </w:trPr>
        <w:tc>
          <w:tcPr>
            <w:tcW w:w="2029" w:type="dxa"/>
            <w:shd w:val="clear" w:color="auto" w:fill="auto"/>
            <w:noWrap/>
            <w:vAlign w:val="bottom"/>
          </w:tcPr>
          <w:p w14:paraId="026BFE95" w14:textId="77777777" w:rsidR="00D76A9B" w:rsidRPr="00E5747D" w:rsidRDefault="00D76A9B" w:rsidP="000B6AAB">
            <w:pPr>
              <w:spacing w:line="276" w:lineRule="auto"/>
              <w:rPr>
                <w:b/>
                <w:sz w:val="22"/>
                <w:szCs w:val="22"/>
                <w:lang w:val="tr-TR"/>
              </w:rPr>
            </w:pPr>
            <w:r w:rsidRPr="00E5747D">
              <w:rPr>
                <w:b/>
                <w:sz w:val="22"/>
                <w:szCs w:val="22"/>
                <w:lang w:val="tr-TR"/>
              </w:rPr>
              <w:t>Firma büyüklüğü</w:t>
            </w:r>
          </w:p>
        </w:tc>
        <w:tc>
          <w:tcPr>
            <w:tcW w:w="1940" w:type="dxa"/>
            <w:shd w:val="clear" w:color="auto" w:fill="auto"/>
            <w:noWrap/>
            <w:vAlign w:val="bottom"/>
          </w:tcPr>
          <w:p w14:paraId="04123FAC" w14:textId="77777777" w:rsidR="00D76A9B" w:rsidRPr="00E5747D" w:rsidRDefault="00D76A9B" w:rsidP="000B6AAB">
            <w:pPr>
              <w:spacing w:line="276" w:lineRule="auto"/>
              <w:jc w:val="right"/>
              <w:rPr>
                <w:b/>
                <w:sz w:val="22"/>
                <w:szCs w:val="22"/>
                <w:lang w:val="tr-TR"/>
              </w:rPr>
            </w:pPr>
          </w:p>
        </w:tc>
      </w:tr>
      <w:tr w:rsidR="00D76A9B" w:rsidRPr="00E5747D" w14:paraId="3929A7DB" w14:textId="77777777" w:rsidTr="000B6AAB">
        <w:trPr>
          <w:trHeight w:val="320"/>
        </w:trPr>
        <w:tc>
          <w:tcPr>
            <w:tcW w:w="2029" w:type="dxa"/>
            <w:shd w:val="clear" w:color="auto" w:fill="auto"/>
            <w:noWrap/>
            <w:vAlign w:val="bottom"/>
            <w:hideMark/>
          </w:tcPr>
          <w:p w14:paraId="59FB11E7" w14:textId="77777777" w:rsidR="00D76A9B" w:rsidRPr="00E5747D" w:rsidRDefault="00D76A9B" w:rsidP="000B6AAB">
            <w:pPr>
              <w:spacing w:line="276" w:lineRule="auto"/>
              <w:rPr>
                <w:b/>
                <w:sz w:val="22"/>
                <w:szCs w:val="22"/>
                <w:lang w:val="tr-TR"/>
              </w:rPr>
            </w:pPr>
            <w:r w:rsidRPr="00E5747D">
              <w:rPr>
                <w:b/>
                <w:sz w:val="22"/>
                <w:szCs w:val="22"/>
                <w:lang w:val="tr-TR"/>
              </w:rPr>
              <w:t>10 kişiden az</w:t>
            </w:r>
          </w:p>
        </w:tc>
        <w:tc>
          <w:tcPr>
            <w:tcW w:w="1940" w:type="dxa"/>
            <w:shd w:val="clear" w:color="auto" w:fill="auto"/>
            <w:noWrap/>
            <w:vAlign w:val="bottom"/>
            <w:hideMark/>
          </w:tcPr>
          <w:p w14:paraId="0FEAAE34" w14:textId="77777777" w:rsidR="00D76A9B" w:rsidRPr="00E5747D" w:rsidRDefault="00D76A9B" w:rsidP="000B6AAB">
            <w:pPr>
              <w:spacing w:line="276" w:lineRule="auto"/>
              <w:jc w:val="right"/>
              <w:rPr>
                <w:sz w:val="22"/>
                <w:szCs w:val="22"/>
                <w:lang w:val="tr-TR"/>
              </w:rPr>
            </w:pPr>
            <w:r>
              <w:rPr>
                <w:sz w:val="22"/>
                <w:szCs w:val="22"/>
                <w:lang w:val="tr-TR"/>
              </w:rPr>
              <w:t>67,7</w:t>
            </w:r>
          </w:p>
        </w:tc>
      </w:tr>
      <w:tr w:rsidR="00D76A9B" w:rsidRPr="00E5747D" w14:paraId="7398DF92" w14:textId="77777777" w:rsidTr="000B6AAB">
        <w:trPr>
          <w:trHeight w:val="320"/>
        </w:trPr>
        <w:tc>
          <w:tcPr>
            <w:tcW w:w="2029" w:type="dxa"/>
            <w:shd w:val="clear" w:color="auto" w:fill="auto"/>
            <w:noWrap/>
            <w:vAlign w:val="bottom"/>
            <w:hideMark/>
          </w:tcPr>
          <w:p w14:paraId="0E19416C" w14:textId="77777777" w:rsidR="00D76A9B" w:rsidRPr="00E5747D" w:rsidRDefault="00D76A9B" w:rsidP="000B6AAB">
            <w:pPr>
              <w:spacing w:line="276" w:lineRule="auto"/>
              <w:rPr>
                <w:b/>
                <w:sz w:val="22"/>
                <w:szCs w:val="22"/>
                <w:lang w:val="tr-TR"/>
              </w:rPr>
            </w:pPr>
            <w:r w:rsidRPr="00E5747D">
              <w:rPr>
                <w:b/>
                <w:sz w:val="22"/>
                <w:szCs w:val="22"/>
                <w:lang w:val="tr-TR"/>
              </w:rPr>
              <w:t>10-24 kişi</w:t>
            </w:r>
          </w:p>
        </w:tc>
        <w:tc>
          <w:tcPr>
            <w:tcW w:w="1940" w:type="dxa"/>
            <w:shd w:val="clear" w:color="auto" w:fill="auto"/>
            <w:noWrap/>
            <w:vAlign w:val="bottom"/>
            <w:hideMark/>
          </w:tcPr>
          <w:p w14:paraId="79EF7CEF" w14:textId="77777777" w:rsidR="00D76A9B" w:rsidRPr="00E5747D" w:rsidRDefault="00D76A9B" w:rsidP="000B6AAB">
            <w:pPr>
              <w:spacing w:line="276" w:lineRule="auto"/>
              <w:jc w:val="right"/>
              <w:rPr>
                <w:sz w:val="22"/>
                <w:szCs w:val="22"/>
                <w:lang w:val="tr-TR"/>
              </w:rPr>
            </w:pPr>
            <w:r>
              <w:rPr>
                <w:sz w:val="22"/>
                <w:szCs w:val="22"/>
                <w:lang w:val="tr-TR"/>
              </w:rPr>
              <w:t>57,6</w:t>
            </w:r>
          </w:p>
        </w:tc>
      </w:tr>
      <w:tr w:rsidR="00D76A9B" w:rsidRPr="00E5747D" w14:paraId="6407F564" w14:textId="77777777" w:rsidTr="000B6AAB">
        <w:trPr>
          <w:trHeight w:val="320"/>
        </w:trPr>
        <w:tc>
          <w:tcPr>
            <w:tcW w:w="2029" w:type="dxa"/>
            <w:shd w:val="clear" w:color="auto" w:fill="auto"/>
            <w:noWrap/>
            <w:vAlign w:val="bottom"/>
            <w:hideMark/>
          </w:tcPr>
          <w:p w14:paraId="4AC5E2E4" w14:textId="77777777" w:rsidR="00D76A9B" w:rsidRPr="00E5747D" w:rsidRDefault="00D76A9B" w:rsidP="000B6AAB">
            <w:pPr>
              <w:spacing w:line="276" w:lineRule="auto"/>
              <w:rPr>
                <w:b/>
                <w:sz w:val="22"/>
                <w:szCs w:val="22"/>
                <w:lang w:val="tr-TR"/>
              </w:rPr>
            </w:pPr>
            <w:r w:rsidRPr="00E5747D">
              <w:rPr>
                <w:b/>
                <w:sz w:val="22"/>
                <w:szCs w:val="22"/>
                <w:lang w:val="tr-TR"/>
              </w:rPr>
              <w:t>25-49 kişi</w:t>
            </w:r>
          </w:p>
        </w:tc>
        <w:tc>
          <w:tcPr>
            <w:tcW w:w="1940" w:type="dxa"/>
            <w:shd w:val="clear" w:color="auto" w:fill="auto"/>
            <w:noWrap/>
            <w:vAlign w:val="bottom"/>
            <w:hideMark/>
          </w:tcPr>
          <w:p w14:paraId="249E329A" w14:textId="77777777" w:rsidR="00D76A9B" w:rsidRPr="00E5747D" w:rsidRDefault="00D76A9B" w:rsidP="000B6AAB">
            <w:pPr>
              <w:spacing w:line="276" w:lineRule="auto"/>
              <w:jc w:val="right"/>
              <w:rPr>
                <w:sz w:val="22"/>
                <w:szCs w:val="22"/>
                <w:lang w:val="tr-TR"/>
              </w:rPr>
            </w:pPr>
            <w:r>
              <w:rPr>
                <w:sz w:val="22"/>
                <w:szCs w:val="22"/>
                <w:lang w:val="tr-TR"/>
              </w:rPr>
              <w:t>56,1</w:t>
            </w:r>
          </w:p>
        </w:tc>
      </w:tr>
      <w:tr w:rsidR="00D76A9B" w:rsidRPr="00E5747D" w14:paraId="39C1ED75" w14:textId="77777777" w:rsidTr="000B6AAB">
        <w:trPr>
          <w:trHeight w:val="320"/>
        </w:trPr>
        <w:tc>
          <w:tcPr>
            <w:tcW w:w="2029" w:type="dxa"/>
            <w:shd w:val="clear" w:color="auto" w:fill="auto"/>
            <w:noWrap/>
            <w:vAlign w:val="bottom"/>
            <w:hideMark/>
          </w:tcPr>
          <w:p w14:paraId="205DE70E" w14:textId="77777777" w:rsidR="00D76A9B" w:rsidRPr="00E5747D" w:rsidRDefault="00D76A9B" w:rsidP="000B6AAB">
            <w:pPr>
              <w:spacing w:line="276" w:lineRule="auto"/>
              <w:rPr>
                <w:b/>
                <w:sz w:val="22"/>
                <w:szCs w:val="22"/>
                <w:lang w:val="tr-TR"/>
              </w:rPr>
            </w:pPr>
            <w:r w:rsidRPr="00E5747D">
              <w:rPr>
                <w:b/>
                <w:sz w:val="22"/>
                <w:szCs w:val="22"/>
                <w:lang w:val="tr-TR"/>
              </w:rPr>
              <w:t xml:space="preserve">50-249 kişi </w:t>
            </w:r>
          </w:p>
        </w:tc>
        <w:tc>
          <w:tcPr>
            <w:tcW w:w="1940" w:type="dxa"/>
            <w:shd w:val="clear" w:color="auto" w:fill="auto"/>
            <w:noWrap/>
            <w:vAlign w:val="bottom"/>
            <w:hideMark/>
          </w:tcPr>
          <w:p w14:paraId="4D75C2E0" w14:textId="77777777" w:rsidR="00D76A9B" w:rsidRPr="00E5747D" w:rsidRDefault="00D76A9B" w:rsidP="000B6AAB">
            <w:pPr>
              <w:spacing w:line="276" w:lineRule="auto"/>
              <w:jc w:val="right"/>
              <w:rPr>
                <w:sz w:val="22"/>
                <w:szCs w:val="22"/>
                <w:lang w:val="tr-TR"/>
              </w:rPr>
            </w:pPr>
            <w:r>
              <w:rPr>
                <w:sz w:val="22"/>
                <w:szCs w:val="22"/>
                <w:lang w:val="tr-TR"/>
              </w:rPr>
              <w:t>53,9</w:t>
            </w:r>
          </w:p>
        </w:tc>
      </w:tr>
      <w:tr w:rsidR="00D76A9B" w:rsidRPr="00E5747D" w14:paraId="5D2923FA" w14:textId="77777777" w:rsidTr="000B6AAB">
        <w:trPr>
          <w:trHeight w:val="320"/>
        </w:trPr>
        <w:tc>
          <w:tcPr>
            <w:tcW w:w="2029" w:type="dxa"/>
            <w:shd w:val="clear" w:color="auto" w:fill="auto"/>
            <w:noWrap/>
            <w:vAlign w:val="bottom"/>
            <w:hideMark/>
          </w:tcPr>
          <w:p w14:paraId="5FBF726D" w14:textId="77777777" w:rsidR="00D76A9B" w:rsidRPr="00E5747D" w:rsidRDefault="00D76A9B" w:rsidP="000B6AAB">
            <w:pPr>
              <w:spacing w:line="276" w:lineRule="auto"/>
              <w:rPr>
                <w:b/>
                <w:sz w:val="22"/>
                <w:szCs w:val="22"/>
                <w:lang w:val="tr-TR"/>
              </w:rPr>
            </w:pPr>
            <w:r w:rsidRPr="00E5747D">
              <w:rPr>
                <w:b/>
                <w:sz w:val="22"/>
                <w:szCs w:val="22"/>
                <w:lang w:val="tr-TR"/>
              </w:rPr>
              <w:t>250-499 kişi</w:t>
            </w:r>
          </w:p>
        </w:tc>
        <w:tc>
          <w:tcPr>
            <w:tcW w:w="1940" w:type="dxa"/>
            <w:shd w:val="clear" w:color="auto" w:fill="auto"/>
            <w:noWrap/>
            <w:vAlign w:val="bottom"/>
            <w:hideMark/>
          </w:tcPr>
          <w:p w14:paraId="4E95A008" w14:textId="77777777" w:rsidR="00D76A9B" w:rsidRPr="00E5747D" w:rsidRDefault="00D76A9B" w:rsidP="000B6AAB">
            <w:pPr>
              <w:spacing w:line="276" w:lineRule="auto"/>
              <w:jc w:val="right"/>
              <w:rPr>
                <w:sz w:val="22"/>
                <w:szCs w:val="22"/>
                <w:lang w:val="tr-TR"/>
              </w:rPr>
            </w:pPr>
            <w:r>
              <w:rPr>
                <w:sz w:val="22"/>
                <w:szCs w:val="22"/>
                <w:lang w:val="tr-TR"/>
              </w:rPr>
              <w:t>49,8</w:t>
            </w:r>
          </w:p>
        </w:tc>
      </w:tr>
      <w:tr w:rsidR="00D76A9B" w:rsidRPr="00E5747D" w14:paraId="267CAB9C" w14:textId="77777777" w:rsidTr="000B6AAB">
        <w:trPr>
          <w:trHeight w:val="320"/>
        </w:trPr>
        <w:tc>
          <w:tcPr>
            <w:tcW w:w="2029" w:type="dxa"/>
            <w:shd w:val="clear" w:color="auto" w:fill="auto"/>
            <w:noWrap/>
            <w:vAlign w:val="bottom"/>
            <w:hideMark/>
          </w:tcPr>
          <w:p w14:paraId="0E561C31" w14:textId="77777777" w:rsidR="00D76A9B" w:rsidRPr="00E5747D" w:rsidRDefault="00D76A9B" w:rsidP="000B6AAB">
            <w:pPr>
              <w:spacing w:line="276" w:lineRule="auto"/>
              <w:rPr>
                <w:b/>
                <w:sz w:val="22"/>
                <w:szCs w:val="22"/>
                <w:lang w:val="tr-TR"/>
              </w:rPr>
            </w:pPr>
            <w:r w:rsidRPr="00E5747D">
              <w:rPr>
                <w:b/>
                <w:sz w:val="22"/>
                <w:szCs w:val="22"/>
                <w:lang w:val="tr-TR"/>
              </w:rPr>
              <w:t>500 ve daha fazla</w:t>
            </w:r>
          </w:p>
        </w:tc>
        <w:tc>
          <w:tcPr>
            <w:tcW w:w="1940" w:type="dxa"/>
            <w:shd w:val="clear" w:color="auto" w:fill="auto"/>
            <w:noWrap/>
            <w:vAlign w:val="bottom"/>
            <w:hideMark/>
          </w:tcPr>
          <w:p w14:paraId="18844CA2" w14:textId="77777777" w:rsidR="00D76A9B" w:rsidRPr="00E5747D" w:rsidRDefault="00D76A9B" w:rsidP="000B6AAB">
            <w:pPr>
              <w:spacing w:line="276" w:lineRule="auto"/>
              <w:jc w:val="right"/>
              <w:rPr>
                <w:sz w:val="22"/>
                <w:szCs w:val="22"/>
                <w:lang w:val="tr-TR"/>
              </w:rPr>
            </w:pPr>
            <w:r>
              <w:rPr>
                <w:sz w:val="22"/>
                <w:szCs w:val="22"/>
                <w:lang w:val="tr-TR"/>
              </w:rPr>
              <w:t>37,7</w:t>
            </w:r>
          </w:p>
        </w:tc>
      </w:tr>
      <w:tr w:rsidR="00D76A9B" w:rsidRPr="00E5747D" w14:paraId="6BF2C4D3" w14:textId="77777777" w:rsidTr="000B6AAB">
        <w:trPr>
          <w:trHeight w:val="273"/>
        </w:trPr>
        <w:tc>
          <w:tcPr>
            <w:tcW w:w="2029" w:type="dxa"/>
            <w:shd w:val="clear" w:color="auto" w:fill="auto"/>
            <w:noWrap/>
            <w:vAlign w:val="bottom"/>
            <w:hideMark/>
          </w:tcPr>
          <w:p w14:paraId="17D04176" w14:textId="77777777" w:rsidR="00D76A9B" w:rsidRPr="00E5747D" w:rsidRDefault="00D76A9B" w:rsidP="000B6AAB">
            <w:pPr>
              <w:spacing w:line="276" w:lineRule="auto"/>
              <w:rPr>
                <w:b/>
                <w:i/>
                <w:sz w:val="22"/>
                <w:szCs w:val="22"/>
                <w:lang w:val="tr-TR"/>
              </w:rPr>
            </w:pPr>
            <w:r w:rsidRPr="00E5747D">
              <w:rPr>
                <w:b/>
                <w:i/>
                <w:sz w:val="22"/>
                <w:szCs w:val="22"/>
                <w:lang w:val="tr-TR"/>
              </w:rPr>
              <w:t>Toplam</w:t>
            </w:r>
          </w:p>
        </w:tc>
        <w:tc>
          <w:tcPr>
            <w:tcW w:w="1940" w:type="dxa"/>
            <w:shd w:val="clear" w:color="auto" w:fill="auto"/>
            <w:noWrap/>
            <w:vAlign w:val="bottom"/>
            <w:hideMark/>
          </w:tcPr>
          <w:p w14:paraId="2B6C11C7" w14:textId="77777777" w:rsidR="00D76A9B" w:rsidRPr="00E5747D" w:rsidRDefault="00D76A9B" w:rsidP="000B6AAB">
            <w:pPr>
              <w:spacing w:line="276" w:lineRule="auto"/>
              <w:jc w:val="right"/>
              <w:rPr>
                <w:i/>
                <w:sz w:val="22"/>
                <w:szCs w:val="22"/>
                <w:lang w:val="tr-TR"/>
              </w:rPr>
            </w:pPr>
            <w:r>
              <w:rPr>
                <w:i/>
                <w:sz w:val="22"/>
                <w:szCs w:val="22"/>
                <w:lang w:val="tr-TR"/>
              </w:rPr>
              <w:t>57,3</w:t>
            </w:r>
          </w:p>
        </w:tc>
      </w:tr>
    </w:tbl>
    <w:p w14:paraId="5B75C212" w14:textId="77777777" w:rsidR="00D76A9B" w:rsidRPr="00E5747D" w:rsidRDefault="00D76A9B" w:rsidP="00D76A9B">
      <w:pPr>
        <w:spacing w:line="276" w:lineRule="auto"/>
        <w:rPr>
          <w:sz w:val="20"/>
          <w:szCs w:val="20"/>
          <w:lang w:val="tr-TR"/>
        </w:rPr>
      </w:pPr>
      <w:r w:rsidRPr="00E5747D">
        <w:rPr>
          <w:sz w:val="20"/>
          <w:szCs w:val="20"/>
          <w:lang w:val="tr-TR"/>
        </w:rPr>
        <w:t>Kaynak: HİA 2013, Betam Kasım 2015 güncellemesi</w:t>
      </w:r>
    </w:p>
    <w:p w14:paraId="5CD0D7BF" w14:textId="3ACB6E0A" w:rsidR="00D76A9B" w:rsidRPr="00E5747D" w:rsidRDefault="00D76A9B" w:rsidP="00B17072">
      <w:pPr>
        <w:spacing w:line="276" w:lineRule="auto"/>
        <w:rPr>
          <w:sz w:val="22"/>
          <w:szCs w:val="22"/>
          <w:lang w:val="tr-TR"/>
        </w:rPr>
      </w:pPr>
      <w:r w:rsidRPr="00E5747D">
        <w:rPr>
          <w:sz w:val="22"/>
          <w:szCs w:val="22"/>
          <w:lang w:val="tr-TR"/>
        </w:rPr>
        <w:t xml:space="preserve"> </w:t>
      </w:r>
    </w:p>
    <w:p w14:paraId="426CF575" w14:textId="77777777" w:rsidR="006A5E33" w:rsidRPr="00E5747D" w:rsidRDefault="006A5E33" w:rsidP="00B17072">
      <w:pPr>
        <w:spacing w:line="276" w:lineRule="auto"/>
        <w:rPr>
          <w:b/>
          <w:sz w:val="22"/>
          <w:szCs w:val="22"/>
          <w:lang w:val="tr-TR"/>
        </w:rPr>
      </w:pPr>
      <w:r w:rsidRPr="00E5747D">
        <w:rPr>
          <w:b/>
          <w:sz w:val="22"/>
          <w:szCs w:val="22"/>
          <w:lang w:val="tr-TR"/>
        </w:rPr>
        <w:t>Genel değerlendirme</w:t>
      </w:r>
    </w:p>
    <w:p w14:paraId="6911516F" w14:textId="77777777" w:rsidR="006A5E33" w:rsidRPr="00E5747D" w:rsidRDefault="006A5E33" w:rsidP="00B17072">
      <w:pPr>
        <w:spacing w:line="276" w:lineRule="auto"/>
        <w:rPr>
          <w:sz w:val="22"/>
          <w:szCs w:val="22"/>
          <w:lang w:val="tr-TR"/>
        </w:rPr>
      </w:pPr>
    </w:p>
    <w:p w14:paraId="586DF78C" w14:textId="77777777" w:rsidR="0008691E" w:rsidRPr="00E5747D" w:rsidRDefault="0008691E" w:rsidP="00B17072">
      <w:pPr>
        <w:spacing w:line="276" w:lineRule="auto"/>
        <w:rPr>
          <w:sz w:val="22"/>
          <w:szCs w:val="22"/>
          <w:lang w:val="tr-TR"/>
        </w:rPr>
      </w:pPr>
      <w:r w:rsidRPr="00E5747D">
        <w:rPr>
          <w:sz w:val="22"/>
          <w:szCs w:val="22"/>
          <w:lang w:val="tr-TR"/>
        </w:rPr>
        <w:t xml:space="preserve">Asgari ücret, bireylere insani yaşam koşulları sağlamak amacıyla kullanılan bir sosyal politika olarak değerlendirilebilir. Özellikle Türkiye gibi işgücü piyasasına katılma oranlarının düşük seyrettiği ülkelerde asgari ücretin artması </w:t>
      </w:r>
      <w:r w:rsidR="00873763" w:rsidRPr="00E5747D">
        <w:rPr>
          <w:sz w:val="22"/>
          <w:szCs w:val="22"/>
          <w:lang w:val="tr-TR"/>
        </w:rPr>
        <w:t>hâlihazırda</w:t>
      </w:r>
      <w:r w:rsidRPr="00E5747D">
        <w:rPr>
          <w:sz w:val="22"/>
          <w:szCs w:val="22"/>
          <w:lang w:val="tr-TR"/>
        </w:rPr>
        <w:t xml:space="preserve"> atıl duran işgücünü piyasaya çekebilir. Bu durum</w:t>
      </w:r>
      <w:r w:rsidR="00317EC1" w:rsidRPr="00E5747D">
        <w:rPr>
          <w:sz w:val="22"/>
          <w:szCs w:val="22"/>
          <w:lang w:val="tr-TR"/>
        </w:rPr>
        <w:t>,</w:t>
      </w:r>
      <w:r w:rsidRPr="00E5747D">
        <w:rPr>
          <w:sz w:val="22"/>
          <w:szCs w:val="22"/>
          <w:lang w:val="tr-TR"/>
        </w:rPr>
        <w:t xml:space="preserve"> kuşkusuz insan kaynağının verimli kullanımı açısından da önem arz etmektedir. </w:t>
      </w:r>
    </w:p>
    <w:p w14:paraId="0DBEA91A" w14:textId="77777777" w:rsidR="0008691E" w:rsidRPr="00E5747D" w:rsidRDefault="0008691E" w:rsidP="00B17072">
      <w:pPr>
        <w:spacing w:line="276" w:lineRule="auto"/>
        <w:rPr>
          <w:sz w:val="22"/>
          <w:szCs w:val="22"/>
          <w:lang w:val="tr-TR"/>
        </w:rPr>
      </w:pPr>
    </w:p>
    <w:p w14:paraId="666A0BDB" w14:textId="29B18AD6" w:rsidR="009C688B" w:rsidRPr="00E5747D" w:rsidRDefault="0008691E" w:rsidP="00B17072">
      <w:pPr>
        <w:spacing w:line="276" w:lineRule="auto"/>
        <w:rPr>
          <w:sz w:val="22"/>
          <w:szCs w:val="22"/>
          <w:lang w:val="tr-TR"/>
        </w:rPr>
      </w:pPr>
      <w:r w:rsidRPr="00E5747D">
        <w:rPr>
          <w:sz w:val="22"/>
          <w:szCs w:val="22"/>
          <w:lang w:val="tr-TR"/>
        </w:rPr>
        <w:t>Diğer taraftan</w:t>
      </w:r>
      <w:r w:rsidR="00317EC1" w:rsidRPr="00E5747D">
        <w:rPr>
          <w:sz w:val="22"/>
          <w:szCs w:val="22"/>
          <w:lang w:val="tr-TR"/>
        </w:rPr>
        <w:t>,</w:t>
      </w:r>
      <w:r w:rsidRPr="00E5747D">
        <w:rPr>
          <w:sz w:val="22"/>
          <w:szCs w:val="22"/>
          <w:lang w:val="tr-TR"/>
        </w:rPr>
        <w:t xml:space="preserve"> </w:t>
      </w:r>
      <w:r w:rsidR="006A5E33" w:rsidRPr="00E5747D">
        <w:rPr>
          <w:sz w:val="22"/>
          <w:szCs w:val="22"/>
          <w:lang w:val="tr-TR"/>
        </w:rPr>
        <w:t xml:space="preserve">ekonomik yazında araştırmalar </w:t>
      </w:r>
      <w:r w:rsidRPr="00E5747D">
        <w:rPr>
          <w:sz w:val="22"/>
          <w:szCs w:val="22"/>
          <w:lang w:val="tr-TR"/>
        </w:rPr>
        <w:t>asgari ücret</w:t>
      </w:r>
      <w:r w:rsidR="006A5E33" w:rsidRPr="00E5747D">
        <w:rPr>
          <w:sz w:val="22"/>
          <w:szCs w:val="22"/>
          <w:lang w:val="tr-TR"/>
        </w:rPr>
        <w:t xml:space="preserve"> artışlarının</w:t>
      </w:r>
      <w:r w:rsidRPr="00E5747D">
        <w:rPr>
          <w:sz w:val="22"/>
          <w:szCs w:val="22"/>
          <w:lang w:val="tr-TR"/>
        </w:rPr>
        <w:t xml:space="preserve"> Türkiye gibi kayıt dışı işgücü piyasasının geniş bir alan kap</w:t>
      </w:r>
      <w:r w:rsidR="00C5388C">
        <w:rPr>
          <w:sz w:val="22"/>
          <w:szCs w:val="22"/>
          <w:lang w:val="tr-TR"/>
        </w:rPr>
        <w:t>l</w:t>
      </w:r>
      <w:r w:rsidRPr="00E5747D">
        <w:rPr>
          <w:sz w:val="22"/>
          <w:szCs w:val="22"/>
          <w:lang w:val="tr-TR"/>
        </w:rPr>
        <w:t>adığı ülkelerde kayıt dışılığın artması</w:t>
      </w:r>
      <w:r w:rsidR="00D6677C" w:rsidRPr="00E5747D">
        <w:rPr>
          <w:sz w:val="22"/>
          <w:szCs w:val="22"/>
          <w:lang w:val="tr-TR"/>
        </w:rPr>
        <w:t>na neden olduğunu göstermektedir. Türkiye’de halen ücretli çalışanların yaklaşık yüzde 18’i SGK’ya kayıtsız çalışmakta,</w:t>
      </w:r>
      <w:r w:rsidR="00A44589" w:rsidRPr="00E5747D">
        <w:rPr>
          <w:sz w:val="22"/>
          <w:szCs w:val="22"/>
          <w:lang w:val="tr-TR"/>
        </w:rPr>
        <w:t xml:space="preserve">    </w:t>
      </w:r>
      <w:r w:rsidR="00D6677C" w:rsidRPr="00E5747D">
        <w:rPr>
          <w:sz w:val="22"/>
          <w:szCs w:val="22"/>
          <w:lang w:val="tr-TR"/>
        </w:rPr>
        <w:t xml:space="preserve"> </w:t>
      </w:r>
      <w:r w:rsidR="00A44589" w:rsidRPr="00E5747D">
        <w:rPr>
          <w:sz w:val="22"/>
          <w:szCs w:val="22"/>
          <w:lang w:val="tr-TR"/>
        </w:rPr>
        <w:t>-s</w:t>
      </w:r>
      <w:r w:rsidR="00D6677C" w:rsidRPr="00E5747D">
        <w:rPr>
          <w:sz w:val="22"/>
          <w:szCs w:val="22"/>
          <w:lang w:val="tr-TR"/>
        </w:rPr>
        <w:t>a</w:t>
      </w:r>
      <w:r w:rsidR="00306252" w:rsidRPr="00E5747D">
        <w:rPr>
          <w:sz w:val="22"/>
          <w:szCs w:val="22"/>
          <w:lang w:val="tr-TR"/>
        </w:rPr>
        <w:t>yıları ta</w:t>
      </w:r>
      <w:r w:rsidR="00D6677C" w:rsidRPr="00E5747D">
        <w:rPr>
          <w:sz w:val="22"/>
          <w:szCs w:val="22"/>
          <w:lang w:val="tr-TR"/>
        </w:rPr>
        <w:t>m bilinmemekle birlikte</w:t>
      </w:r>
      <w:r w:rsidR="00A44589" w:rsidRPr="00E5747D">
        <w:rPr>
          <w:sz w:val="22"/>
          <w:szCs w:val="22"/>
          <w:lang w:val="tr-TR"/>
        </w:rPr>
        <w:t>-</w:t>
      </w:r>
      <w:r w:rsidR="00D6677C" w:rsidRPr="00E5747D">
        <w:rPr>
          <w:sz w:val="22"/>
          <w:szCs w:val="22"/>
          <w:lang w:val="tr-TR"/>
        </w:rPr>
        <w:t xml:space="preserve"> tahminen bir o kadarı da kayıtlı çalı</w:t>
      </w:r>
      <w:r w:rsidR="00C5388C">
        <w:rPr>
          <w:sz w:val="22"/>
          <w:szCs w:val="22"/>
          <w:lang w:val="tr-TR"/>
        </w:rPr>
        <w:t>şmakla birlikte ücretleri SGK’ya</w:t>
      </w:r>
      <w:r w:rsidR="00D6677C" w:rsidRPr="00E5747D">
        <w:rPr>
          <w:sz w:val="22"/>
          <w:szCs w:val="22"/>
          <w:lang w:val="tr-TR"/>
        </w:rPr>
        <w:t xml:space="preserve"> eksik bildirilmektedir. Kayıt dışılık özellikle verimliliği ve ücret düzeyi düşük küçük ve orta</w:t>
      </w:r>
      <w:r w:rsidR="001515C1">
        <w:rPr>
          <w:sz w:val="22"/>
          <w:szCs w:val="22"/>
          <w:lang w:val="tr-TR"/>
        </w:rPr>
        <w:t xml:space="preserve"> boy firmalarda </w:t>
      </w:r>
      <w:r w:rsidR="001515C1" w:rsidRPr="00374FED">
        <w:rPr>
          <w:sz w:val="22"/>
          <w:szCs w:val="22"/>
          <w:lang w:val="tr-TR"/>
        </w:rPr>
        <w:t>yoğunlaşmaktadır.</w:t>
      </w:r>
      <w:r w:rsidR="007C0A8E">
        <w:rPr>
          <w:sz w:val="22"/>
          <w:szCs w:val="22"/>
          <w:lang w:val="tr-TR"/>
        </w:rPr>
        <w:t xml:space="preserve"> Üst</w:t>
      </w:r>
      <w:r w:rsidR="00373098">
        <w:rPr>
          <w:sz w:val="22"/>
          <w:szCs w:val="22"/>
          <w:lang w:val="tr-TR"/>
        </w:rPr>
        <w:t>elik</w:t>
      </w:r>
      <w:r w:rsidR="00C5388C">
        <w:rPr>
          <w:sz w:val="22"/>
          <w:szCs w:val="22"/>
          <w:lang w:val="tr-TR"/>
        </w:rPr>
        <w:t>, d</w:t>
      </w:r>
      <w:bookmarkStart w:id="5" w:name="_GoBack"/>
      <w:bookmarkEnd w:id="5"/>
      <w:r w:rsidR="00374FED">
        <w:rPr>
          <w:sz w:val="22"/>
          <w:szCs w:val="22"/>
          <w:lang w:val="tr-TR"/>
        </w:rPr>
        <w:t xml:space="preserve">evlet </w:t>
      </w:r>
      <w:r w:rsidR="00D6677C" w:rsidRPr="00374FED">
        <w:rPr>
          <w:sz w:val="22"/>
          <w:szCs w:val="22"/>
          <w:lang w:val="tr-TR"/>
        </w:rPr>
        <w:t>desteğine</w:t>
      </w:r>
      <w:r w:rsidR="00D6677C" w:rsidRPr="00E5747D">
        <w:rPr>
          <w:sz w:val="22"/>
          <w:szCs w:val="22"/>
          <w:lang w:val="tr-TR"/>
        </w:rPr>
        <w:t xml:space="preserve"> rağmen bu firmalar ücret artışları ile büyük bir ek maliyet artışı ile karşı karşıya </w:t>
      </w:r>
      <w:r w:rsidR="007C0A8E">
        <w:rPr>
          <w:sz w:val="22"/>
          <w:szCs w:val="22"/>
          <w:lang w:val="tr-TR"/>
        </w:rPr>
        <w:t>kalacaklardır. Bu koşullar altında</w:t>
      </w:r>
      <w:r w:rsidR="00D6677C" w:rsidRPr="00E5747D">
        <w:rPr>
          <w:sz w:val="22"/>
          <w:szCs w:val="22"/>
          <w:lang w:val="tr-TR"/>
        </w:rPr>
        <w:t xml:space="preserve"> yüksek asgari ücret artışının kayıt dışılıkta artışa neden olması çok muhtemeldir. </w:t>
      </w:r>
    </w:p>
    <w:p w14:paraId="05A53FA0" w14:textId="77777777" w:rsidR="00A61DB5" w:rsidRPr="00E5747D" w:rsidRDefault="00A61DB5" w:rsidP="00B17072">
      <w:pPr>
        <w:spacing w:line="276" w:lineRule="auto"/>
        <w:rPr>
          <w:sz w:val="22"/>
          <w:szCs w:val="22"/>
          <w:lang w:val="tr-TR"/>
        </w:rPr>
      </w:pPr>
    </w:p>
    <w:p w14:paraId="3C7FB1F6" w14:textId="77777777" w:rsidR="00351938" w:rsidRPr="00E5747D" w:rsidRDefault="00351938" w:rsidP="00B17072">
      <w:pPr>
        <w:spacing w:line="276" w:lineRule="auto"/>
        <w:rPr>
          <w:sz w:val="22"/>
          <w:szCs w:val="22"/>
          <w:lang w:val="tr-TR"/>
        </w:rPr>
      </w:pPr>
    </w:p>
    <w:p w14:paraId="09DB0329" w14:textId="77777777" w:rsidR="00351938" w:rsidRPr="00E5747D" w:rsidRDefault="00351938" w:rsidP="00B17072">
      <w:pPr>
        <w:spacing w:line="276" w:lineRule="auto"/>
        <w:rPr>
          <w:sz w:val="22"/>
          <w:szCs w:val="22"/>
          <w:lang w:val="tr-TR"/>
        </w:rPr>
      </w:pPr>
    </w:p>
    <w:p w14:paraId="3214F8BD" w14:textId="77777777" w:rsidR="00351938" w:rsidRPr="00E5747D" w:rsidRDefault="00351938" w:rsidP="00B17072">
      <w:pPr>
        <w:spacing w:line="276" w:lineRule="auto"/>
        <w:rPr>
          <w:sz w:val="22"/>
          <w:szCs w:val="22"/>
          <w:lang w:val="tr-TR"/>
        </w:rPr>
      </w:pPr>
      <w:r w:rsidRPr="00E5747D">
        <w:rPr>
          <w:sz w:val="22"/>
          <w:szCs w:val="22"/>
          <w:lang w:val="tr-TR"/>
        </w:rPr>
        <w:br w:type="page"/>
      </w:r>
    </w:p>
    <w:p w14:paraId="69973104" w14:textId="77777777" w:rsidR="00351938" w:rsidRPr="00E5747D" w:rsidRDefault="00351938" w:rsidP="00B17072">
      <w:pPr>
        <w:spacing w:line="276" w:lineRule="auto"/>
        <w:rPr>
          <w:b/>
          <w:sz w:val="22"/>
          <w:szCs w:val="22"/>
          <w:lang w:val="tr-TR"/>
        </w:rPr>
      </w:pPr>
      <w:r w:rsidRPr="00E5747D">
        <w:rPr>
          <w:b/>
          <w:sz w:val="22"/>
          <w:szCs w:val="22"/>
          <w:lang w:val="tr-TR"/>
        </w:rPr>
        <w:lastRenderedPageBreak/>
        <w:t xml:space="preserve"> </w:t>
      </w:r>
    </w:p>
    <w:p w14:paraId="684055CB" w14:textId="31A8423A" w:rsidR="00E5747D" w:rsidRPr="00E5747D" w:rsidRDefault="00C06823" w:rsidP="00E5747D">
      <w:pPr>
        <w:pStyle w:val="Caption"/>
        <w:keepNext/>
        <w:rPr>
          <w:b/>
          <w:i w:val="0"/>
          <w:color w:val="auto"/>
          <w:sz w:val="22"/>
          <w:szCs w:val="22"/>
          <w:lang w:val="tr-TR"/>
        </w:rPr>
      </w:pPr>
      <w:r>
        <w:rPr>
          <w:b/>
          <w:i w:val="0"/>
          <w:color w:val="auto"/>
          <w:sz w:val="22"/>
          <w:szCs w:val="22"/>
          <w:lang w:val="tr-TR"/>
        </w:rPr>
        <w:t xml:space="preserve">Ek </w:t>
      </w:r>
      <w:r w:rsidR="00E5747D" w:rsidRPr="00E5747D">
        <w:rPr>
          <w:b/>
          <w:i w:val="0"/>
          <w:color w:val="auto"/>
          <w:sz w:val="22"/>
          <w:szCs w:val="22"/>
          <w:lang w:val="tr-TR"/>
        </w:rPr>
        <w:t>Tablo</w:t>
      </w:r>
      <w:r>
        <w:rPr>
          <w:b/>
          <w:i w:val="0"/>
          <w:color w:val="auto"/>
          <w:sz w:val="22"/>
          <w:szCs w:val="22"/>
          <w:lang w:val="tr-TR"/>
        </w:rPr>
        <w:t xml:space="preserve"> 1</w:t>
      </w:r>
      <w:r w:rsidR="00E5747D" w:rsidRPr="00E5747D">
        <w:rPr>
          <w:b/>
          <w:i w:val="0"/>
          <w:color w:val="auto"/>
          <w:sz w:val="22"/>
          <w:szCs w:val="22"/>
          <w:lang w:val="tr-TR"/>
        </w:rPr>
        <w:t xml:space="preserve">  </w:t>
      </w:r>
      <w:r w:rsidR="00283652">
        <w:rPr>
          <w:b/>
          <w:i w:val="0"/>
          <w:color w:val="auto"/>
          <w:sz w:val="22"/>
          <w:szCs w:val="22"/>
          <w:lang w:val="tr-TR"/>
        </w:rPr>
        <w:t xml:space="preserve">Toplam istihdamın firma ölçeğine göre dağılımı </w:t>
      </w:r>
    </w:p>
    <w:tbl>
      <w:tblPr>
        <w:tblW w:w="408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29"/>
        <w:gridCol w:w="2051"/>
      </w:tblGrid>
      <w:tr w:rsidR="00283652" w:rsidRPr="00283652" w14:paraId="0782037A" w14:textId="77777777" w:rsidTr="000B6AAB">
        <w:trPr>
          <w:trHeight w:val="320"/>
        </w:trPr>
        <w:tc>
          <w:tcPr>
            <w:tcW w:w="2029" w:type="dxa"/>
            <w:shd w:val="clear" w:color="auto" w:fill="auto"/>
            <w:noWrap/>
            <w:vAlign w:val="bottom"/>
          </w:tcPr>
          <w:p w14:paraId="0585FC40" w14:textId="77777777" w:rsidR="00283652" w:rsidRPr="00283652" w:rsidRDefault="00283652" w:rsidP="000B6AAB">
            <w:pPr>
              <w:rPr>
                <w:rFonts w:ascii="Calibri" w:eastAsia="Times New Roman" w:hAnsi="Calibri" w:cs="Times New Roman"/>
                <w:color w:val="000000"/>
                <w:sz w:val="22"/>
                <w:szCs w:val="22"/>
              </w:rPr>
            </w:pPr>
            <w:r w:rsidRPr="00C5388C">
              <w:rPr>
                <w:rFonts w:ascii="Calibri" w:eastAsia="Times New Roman" w:hAnsi="Calibri" w:cs="Times New Roman"/>
                <w:b/>
                <w:color w:val="000000"/>
                <w:sz w:val="22"/>
                <w:szCs w:val="22"/>
              </w:rPr>
              <w:t>Firma</w:t>
            </w:r>
            <w:r w:rsidRPr="00283652">
              <w:rPr>
                <w:rFonts w:ascii="Calibri" w:eastAsia="Times New Roman" w:hAnsi="Calibri" w:cs="Times New Roman"/>
                <w:color w:val="000000"/>
                <w:sz w:val="22"/>
                <w:szCs w:val="22"/>
              </w:rPr>
              <w:t xml:space="preserve"> </w:t>
            </w:r>
            <w:r w:rsidRPr="00C5388C">
              <w:rPr>
                <w:rFonts w:ascii="Calibri" w:eastAsia="Times New Roman" w:hAnsi="Calibri" w:cs="Times New Roman"/>
                <w:b/>
                <w:color w:val="000000"/>
                <w:sz w:val="22"/>
                <w:szCs w:val="22"/>
              </w:rPr>
              <w:t>büyüklüğü</w:t>
            </w:r>
          </w:p>
        </w:tc>
        <w:tc>
          <w:tcPr>
            <w:tcW w:w="2051" w:type="dxa"/>
            <w:shd w:val="clear" w:color="auto" w:fill="auto"/>
            <w:noWrap/>
            <w:vAlign w:val="bottom"/>
          </w:tcPr>
          <w:p w14:paraId="002ADD8C" w14:textId="77777777" w:rsidR="00283652" w:rsidRPr="00C5388C" w:rsidRDefault="00283652" w:rsidP="000B6AAB">
            <w:pPr>
              <w:jc w:val="right"/>
              <w:rPr>
                <w:rFonts w:ascii="Calibri" w:eastAsia="Times New Roman" w:hAnsi="Calibri" w:cs="Times New Roman"/>
                <w:b/>
                <w:color w:val="000000"/>
                <w:sz w:val="22"/>
                <w:szCs w:val="22"/>
              </w:rPr>
            </w:pPr>
            <w:r w:rsidRPr="00C5388C">
              <w:rPr>
                <w:rFonts w:ascii="Calibri" w:eastAsia="Times New Roman" w:hAnsi="Calibri" w:cs="Times New Roman"/>
                <w:b/>
                <w:color w:val="000000"/>
                <w:sz w:val="22"/>
                <w:szCs w:val="22"/>
              </w:rPr>
              <w:t>İstihdamdaki payı</w:t>
            </w:r>
          </w:p>
        </w:tc>
      </w:tr>
      <w:tr w:rsidR="00283652" w:rsidRPr="00283652" w14:paraId="01468C54" w14:textId="77777777" w:rsidTr="000B6AAB">
        <w:trPr>
          <w:trHeight w:val="320"/>
        </w:trPr>
        <w:tc>
          <w:tcPr>
            <w:tcW w:w="2029" w:type="dxa"/>
            <w:shd w:val="clear" w:color="auto" w:fill="auto"/>
            <w:noWrap/>
            <w:vAlign w:val="bottom"/>
            <w:hideMark/>
          </w:tcPr>
          <w:p w14:paraId="21CC1AF8" w14:textId="77777777" w:rsidR="00283652" w:rsidRPr="00283652" w:rsidRDefault="00283652" w:rsidP="000B6AAB">
            <w:pPr>
              <w:rPr>
                <w:rFonts w:ascii="Calibri" w:eastAsia="Times New Roman" w:hAnsi="Calibri" w:cs="Times New Roman"/>
                <w:color w:val="000000"/>
                <w:sz w:val="22"/>
                <w:szCs w:val="22"/>
              </w:rPr>
            </w:pPr>
            <w:r w:rsidRPr="00283652">
              <w:rPr>
                <w:rFonts w:ascii="Calibri" w:eastAsia="Times New Roman" w:hAnsi="Calibri" w:cs="Times New Roman"/>
                <w:color w:val="000000"/>
                <w:sz w:val="22"/>
                <w:szCs w:val="22"/>
              </w:rPr>
              <w:t>10 kişiden az</w:t>
            </w:r>
          </w:p>
        </w:tc>
        <w:tc>
          <w:tcPr>
            <w:tcW w:w="2051" w:type="dxa"/>
            <w:shd w:val="clear" w:color="auto" w:fill="auto"/>
            <w:noWrap/>
            <w:vAlign w:val="bottom"/>
            <w:hideMark/>
          </w:tcPr>
          <w:p w14:paraId="2E334E10" w14:textId="1415DD82" w:rsidR="00283652" w:rsidRPr="00283652" w:rsidRDefault="00D43AC4" w:rsidP="000B6AAB">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27,</w:t>
            </w:r>
            <w:r w:rsidR="00283652" w:rsidRPr="00283652">
              <w:rPr>
                <w:rFonts w:ascii="Calibri" w:eastAsia="Times New Roman" w:hAnsi="Calibri" w:cs="Times New Roman"/>
                <w:color w:val="000000"/>
                <w:sz w:val="22"/>
                <w:szCs w:val="22"/>
              </w:rPr>
              <w:t>7</w:t>
            </w:r>
          </w:p>
        </w:tc>
      </w:tr>
      <w:tr w:rsidR="00283652" w:rsidRPr="00283652" w14:paraId="5380AA1E" w14:textId="77777777" w:rsidTr="000B6AAB">
        <w:trPr>
          <w:trHeight w:val="320"/>
        </w:trPr>
        <w:tc>
          <w:tcPr>
            <w:tcW w:w="2029" w:type="dxa"/>
            <w:shd w:val="clear" w:color="auto" w:fill="auto"/>
            <w:noWrap/>
            <w:vAlign w:val="bottom"/>
            <w:hideMark/>
          </w:tcPr>
          <w:p w14:paraId="0A821972" w14:textId="77777777" w:rsidR="00283652" w:rsidRPr="00283652" w:rsidRDefault="00283652" w:rsidP="000B6AAB">
            <w:pPr>
              <w:rPr>
                <w:rFonts w:ascii="Calibri" w:eastAsia="Times New Roman" w:hAnsi="Calibri" w:cs="Times New Roman"/>
                <w:color w:val="000000"/>
                <w:sz w:val="22"/>
                <w:szCs w:val="22"/>
              </w:rPr>
            </w:pPr>
            <w:r w:rsidRPr="00283652">
              <w:rPr>
                <w:rFonts w:ascii="Calibri" w:eastAsia="Times New Roman" w:hAnsi="Calibri" w:cs="Times New Roman"/>
                <w:color w:val="000000"/>
                <w:sz w:val="22"/>
                <w:szCs w:val="22"/>
              </w:rPr>
              <w:t>10-24 kişi</w:t>
            </w:r>
          </w:p>
        </w:tc>
        <w:tc>
          <w:tcPr>
            <w:tcW w:w="2051" w:type="dxa"/>
            <w:shd w:val="clear" w:color="auto" w:fill="auto"/>
            <w:noWrap/>
            <w:vAlign w:val="bottom"/>
            <w:hideMark/>
          </w:tcPr>
          <w:p w14:paraId="3C16D89C" w14:textId="4CE6AA7B" w:rsidR="00283652" w:rsidRPr="00283652" w:rsidRDefault="00D43AC4" w:rsidP="000B6AAB">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r w:rsidR="00283652" w:rsidRPr="00283652">
              <w:rPr>
                <w:rFonts w:ascii="Calibri" w:eastAsia="Times New Roman" w:hAnsi="Calibri" w:cs="Times New Roman"/>
                <w:color w:val="000000"/>
                <w:sz w:val="22"/>
                <w:szCs w:val="22"/>
              </w:rPr>
              <w:t>8</w:t>
            </w:r>
          </w:p>
        </w:tc>
      </w:tr>
      <w:tr w:rsidR="00283652" w:rsidRPr="00283652" w14:paraId="57BCF973" w14:textId="77777777" w:rsidTr="000B6AAB">
        <w:trPr>
          <w:trHeight w:val="320"/>
        </w:trPr>
        <w:tc>
          <w:tcPr>
            <w:tcW w:w="2029" w:type="dxa"/>
            <w:shd w:val="clear" w:color="auto" w:fill="auto"/>
            <w:noWrap/>
            <w:vAlign w:val="bottom"/>
            <w:hideMark/>
          </w:tcPr>
          <w:p w14:paraId="0A0B2BC0" w14:textId="77777777" w:rsidR="00283652" w:rsidRPr="00283652" w:rsidRDefault="00283652" w:rsidP="000B6AAB">
            <w:pPr>
              <w:rPr>
                <w:rFonts w:ascii="Calibri" w:eastAsia="Times New Roman" w:hAnsi="Calibri" w:cs="Times New Roman"/>
                <w:color w:val="000000"/>
                <w:sz w:val="22"/>
                <w:szCs w:val="22"/>
              </w:rPr>
            </w:pPr>
            <w:r w:rsidRPr="00283652">
              <w:rPr>
                <w:rFonts w:ascii="Calibri" w:eastAsia="Times New Roman" w:hAnsi="Calibri" w:cs="Times New Roman"/>
                <w:color w:val="000000"/>
                <w:sz w:val="22"/>
                <w:szCs w:val="22"/>
              </w:rPr>
              <w:t>25-49 kişi</w:t>
            </w:r>
          </w:p>
        </w:tc>
        <w:tc>
          <w:tcPr>
            <w:tcW w:w="2051" w:type="dxa"/>
            <w:shd w:val="clear" w:color="auto" w:fill="auto"/>
            <w:noWrap/>
            <w:vAlign w:val="bottom"/>
            <w:hideMark/>
          </w:tcPr>
          <w:p w14:paraId="699A18F9" w14:textId="15A5BB1B" w:rsidR="00283652" w:rsidRPr="00283652" w:rsidRDefault="00D43AC4" w:rsidP="000B6AAB">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w:t>
            </w:r>
            <w:r w:rsidR="00283652" w:rsidRPr="00283652">
              <w:rPr>
                <w:rFonts w:ascii="Calibri" w:eastAsia="Times New Roman" w:hAnsi="Calibri" w:cs="Times New Roman"/>
                <w:color w:val="000000"/>
                <w:sz w:val="22"/>
                <w:szCs w:val="22"/>
              </w:rPr>
              <w:t>6</w:t>
            </w:r>
          </w:p>
        </w:tc>
      </w:tr>
      <w:tr w:rsidR="00283652" w:rsidRPr="00283652" w14:paraId="2D69D5BE" w14:textId="77777777" w:rsidTr="000B6AAB">
        <w:trPr>
          <w:trHeight w:val="320"/>
        </w:trPr>
        <w:tc>
          <w:tcPr>
            <w:tcW w:w="2029" w:type="dxa"/>
            <w:shd w:val="clear" w:color="auto" w:fill="auto"/>
            <w:noWrap/>
            <w:vAlign w:val="bottom"/>
            <w:hideMark/>
          </w:tcPr>
          <w:p w14:paraId="07BA8753" w14:textId="77777777" w:rsidR="00283652" w:rsidRPr="00283652" w:rsidRDefault="00283652" w:rsidP="000B6AAB">
            <w:pPr>
              <w:rPr>
                <w:rFonts w:ascii="Calibri" w:eastAsia="Times New Roman" w:hAnsi="Calibri" w:cs="Times New Roman"/>
                <w:color w:val="000000"/>
                <w:sz w:val="22"/>
                <w:szCs w:val="22"/>
              </w:rPr>
            </w:pPr>
            <w:r w:rsidRPr="00283652">
              <w:rPr>
                <w:rFonts w:ascii="Calibri" w:eastAsia="Times New Roman" w:hAnsi="Calibri" w:cs="Times New Roman"/>
                <w:color w:val="000000"/>
                <w:sz w:val="22"/>
                <w:szCs w:val="22"/>
              </w:rPr>
              <w:t xml:space="preserve">50-249 kişi </w:t>
            </w:r>
          </w:p>
        </w:tc>
        <w:tc>
          <w:tcPr>
            <w:tcW w:w="2051" w:type="dxa"/>
            <w:shd w:val="clear" w:color="auto" w:fill="auto"/>
            <w:noWrap/>
            <w:vAlign w:val="bottom"/>
            <w:hideMark/>
          </w:tcPr>
          <w:p w14:paraId="19E626C3" w14:textId="2040E085" w:rsidR="00283652" w:rsidRPr="00283652" w:rsidRDefault="00D43AC4" w:rsidP="000B6AAB">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25,</w:t>
            </w:r>
            <w:r w:rsidR="00283652" w:rsidRPr="00283652">
              <w:rPr>
                <w:rFonts w:ascii="Calibri" w:eastAsia="Times New Roman" w:hAnsi="Calibri" w:cs="Times New Roman"/>
                <w:color w:val="000000"/>
                <w:sz w:val="22"/>
                <w:szCs w:val="22"/>
              </w:rPr>
              <w:t>1</w:t>
            </w:r>
          </w:p>
        </w:tc>
      </w:tr>
      <w:tr w:rsidR="00283652" w:rsidRPr="00283652" w14:paraId="66AAD165" w14:textId="77777777" w:rsidTr="000B6AAB">
        <w:trPr>
          <w:trHeight w:val="320"/>
        </w:trPr>
        <w:tc>
          <w:tcPr>
            <w:tcW w:w="2029" w:type="dxa"/>
            <w:shd w:val="clear" w:color="auto" w:fill="auto"/>
            <w:noWrap/>
            <w:vAlign w:val="bottom"/>
            <w:hideMark/>
          </w:tcPr>
          <w:p w14:paraId="503997C4" w14:textId="77777777" w:rsidR="00283652" w:rsidRPr="00283652" w:rsidRDefault="00283652" w:rsidP="000B6AAB">
            <w:pPr>
              <w:rPr>
                <w:rFonts w:ascii="Calibri" w:eastAsia="Times New Roman" w:hAnsi="Calibri" w:cs="Times New Roman"/>
                <w:color w:val="000000"/>
                <w:sz w:val="22"/>
                <w:szCs w:val="22"/>
              </w:rPr>
            </w:pPr>
            <w:r w:rsidRPr="00283652">
              <w:rPr>
                <w:rFonts w:ascii="Calibri" w:eastAsia="Times New Roman" w:hAnsi="Calibri" w:cs="Times New Roman"/>
                <w:color w:val="000000"/>
                <w:sz w:val="22"/>
                <w:szCs w:val="22"/>
              </w:rPr>
              <w:t>250-499 kişi</w:t>
            </w:r>
          </w:p>
        </w:tc>
        <w:tc>
          <w:tcPr>
            <w:tcW w:w="2051" w:type="dxa"/>
            <w:shd w:val="clear" w:color="auto" w:fill="auto"/>
            <w:noWrap/>
            <w:vAlign w:val="bottom"/>
            <w:hideMark/>
          </w:tcPr>
          <w:p w14:paraId="4C800774" w14:textId="2B6B9EAC" w:rsidR="00283652" w:rsidRPr="00283652" w:rsidRDefault="00D43AC4" w:rsidP="000B6AAB">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r w:rsidR="00283652" w:rsidRPr="00283652">
              <w:rPr>
                <w:rFonts w:ascii="Calibri" w:eastAsia="Times New Roman" w:hAnsi="Calibri" w:cs="Times New Roman"/>
                <w:color w:val="000000"/>
                <w:sz w:val="22"/>
                <w:szCs w:val="22"/>
              </w:rPr>
              <w:t>7</w:t>
            </w:r>
          </w:p>
        </w:tc>
      </w:tr>
      <w:tr w:rsidR="00283652" w:rsidRPr="00283652" w14:paraId="5247C2B0" w14:textId="77777777" w:rsidTr="000B6AAB">
        <w:trPr>
          <w:trHeight w:val="320"/>
        </w:trPr>
        <w:tc>
          <w:tcPr>
            <w:tcW w:w="2029" w:type="dxa"/>
            <w:shd w:val="clear" w:color="auto" w:fill="auto"/>
            <w:noWrap/>
            <w:vAlign w:val="bottom"/>
            <w:hideMark/>
          </w:tcPr>
          <w:p w14:paraId="422FEAE1" w14:textId="77777777" w:rsidR="00283652" w:rsidRPr="00283652" w:rsidRDefault="00283652" w:rsidP="000B6AAB">
            <w:pPr>
              <w:rPr>
                <w:rFonts w:ascii="Calibri" w:eastAsia="Times New Roman" w:hAnsi="Calibri" w:cs="Times New Roman"/>
                <w:color w:val="000000"/>
                <w:sz w:val="22"/>
                <w:szCs w:val="22"/>
              </w:rPr>
            </w:pPr>
            <w:r w:rsidRPr="00283652">
              <w:rPr>
                <w:rFonts w:ascii="Calibri" w:eastAsia="Times New Roman" w:hAnsi="Calibri" w:cs="Times New Roman"/>
                <w:color w:val="000000"/>
                <w:sz w:val="22"/>
                <w:szCs w:val="22"/>
              </w:rPr>
              <w:t>500 ve daha fazla</w:t>
            </w:r>
          </w:p>
        </w:tc>
        <w:tc>
          <w:tcPr>
            <w:tcW w:w="2051" w:type="dxa"/>
            <w:shd w:val="clear" w:color="auto" w:fill="auto"/>
            <w:noWrap/>
            <w:vAlign w:val="bottom"/>
            <w:hideMark/>
          </w:tcPr>
          <w:p w14:paraId="435295C0" w14:textId="1D579A3F" w:rsidR="00283652" w:rsidRPr="00283652" w:rsidRDefault="00D43AC4" w:rsidP="000B6AAB">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r w:rsidR="00283652" w:rsidRPr="00283652">
              <w:rPr>
                <w:rFonts w:ascii="Calibri" w:eastAsia="Times New Roman" w:hAnsi="Calibri" w:cs="Times New Roman"/>
                <w:color w:val="000000"/>
                <w:sz w:val="22"/>
                <w:szCs w:val="22"/>
              </w:rPr>
              <w:t>2</w:t>
            </w:r>
          </w:p>
        </w:tc>
      </w:tr>
      <w:tr w:rsidR="00283652" w:rsidRPr="00283652" w14:paraId="2CD7BC3A" w14:textId="77777777" w:rsidTr="000B6AAB">
        <w:trPr>
          <w:trHeight w:val="273"/>
        </w:trPr>
        <w:tc>
          <w:tcPr>
            <w:tcW w:w="2029" w:type="dxa"/>
            <w:shd w:val="clear" w:color="auto" w:fill="auto"/>
            <w:noWrap/>
            <w:vAlign w:val="bottom"/>
            <w:hideMark/>
          </w:tcPr>
          <w:p w14:paraId="2604AEE8" w14:textId="77777777" w:rsidR="00283652" w:rsidRPr="00283652" w:rsidRDefault="00283652" w:rsidP="000B6AAB">
            <w:pPr>
              <w:rPr>
                <w:rFonts w:ascii="Calibri" w:eastAsia="Times New Roman" w:hAnsi="Calibri" w:cs="Times New Roman"/>
                <w:color w:val="000000"/>
                <w:sz w:val="22"/>
                <w:szCs w:val="22"/>
              </w:rPr>
            </w:pPr>
            <w:r w:rsidRPr="00283652">
              <w:rPr>
                <w:rFonts w:ascii="Calibri" w:eastAsia="Times New Roman" w:hAnsi="Calibri" w:cs="Times New Roman"/>
                <w:color w:val="000000"/>
                <w:sz w:val="22"/>
                <w:szCs w:val="22"/>
              </w:rPr>
              <w:t>Toplam</w:t>
            </w:r>
          </w:p>
        </w:tc>
        <w:tc>
          <w:tcPr>
            <w:tcW w:w="2051" w:type="dxa"/>
            <w:shd w:val="clear" w:color="auto" w:fill="auto"/>
            <w:noWrap/>
            <w:vAlign w:val="bottom"/>
            <w:hideMark/>
          </w:tcPr>
          <w:p w14:paraId="1CB6D360" w14:textId="71D3EC6D" w:rsidR="00283652" w:rsidRPr="00283652" w:rsidRDefault="00D43AC4" w:rsidP="000B6AAB">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r w:rsidR="00283652" w:rsidRPr="00283652">
              <w:rPr>
                <w:rFonts w:ascii="Calibri" w:eastAsia="Times New Roman" w:hAnsi="Calibri" w:cs="Times New Roman"/>
                <w:color w:val="000000"/>
                <w:sz w:val="22"/>
                <w:szCs w:val="22"/>
              </w:rPr>
              <w:t>0</w:t>
            </w:r>
          </w:p>
        </w:tc>
      </w:tr>
    </w:tbl>
    <w:p w14:paraId="1FA48FB1" w14:textId="77777777" w:rsidR="00351938" w:rsidRPr="00E5747D" w:rsidRDefault="00351938" w:rsidP="00B17072">
      <w:pPr>
        <w:spacing w:line="276" w:lineRule="auto"/>
        <w:rPr>
          <w:sz w:val="22"/>
          <w:szCs w:val="22"/>
          <w:lang w:val="tr-TR"/>
        </w:rPr>
      </w:pPr>
    </w:p>
    <w:p w14:paraId="07292B82" w14:textId="77777777" w:rsidR="00351938" w:rsidRPr="00E5747D" w:rsidRDefault="00351938" w:rsidP="00B17072">
      <w:pPr>
        <w:spacing w:line="276" w:lineRule="auto"/>
        <w:rPr>
          <w:sz w:val="22"/>
          <w:szCs w:val="22"/>
          <w:lang w:val="tr-TR"/>
        </w:rPr>
      </w:pPr>
    </w:p>
    <w:sectPr w:rsidR="00351938" w:rsidRPr="00E5747D" w:rsidSect="00C433D3">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F905" w14:textId="77777777" w:rsidR="00D635D5" w:rsidRDefault="00D635D5" w:rsidP="007007AC">
      <w:r>
        <w:separator/>
      </w:r>
    </w:p>
  </w:endnote>
  <w:endnote w:type="continuationSeparator" w:id="0">
    <w:p w14:paraId="390267B3" w14:textId="77777777" w:rsidR="00D635D5" w:rsidRDefault="00D635D5" w:rsidP="0070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3674"/>
      <w:docPartObj>
        <w:docPartGallery w:val="Page Numbers (Bottom of Page)"/>
        <w:docPartUnique/>
      </w:docPartObj>
    </w:sdtPr>
    <w:sdtEndPr/>
    <w:sdtContent>
      <w:p w14:paraId="02E3BE98" w14:textId="77777777" w:rsidR="001515C1" w:rsidRDefault="001515C1">
        <w:pPr>
          <w:pStyle w:val="Footer"/>
          <w:jc w:val="right"/>
        </w:pPr>
        <w:r>
          <w:fldChar w:fldCharType="begin"/>
        </w:r>
        <w:r>
          <w:instrText xml:space="preserve"> PAGE   \* MERGEFORMAT </w:instrText>
        </w:r>
        <w:r>
          <w:fldChar w:fldCharType="separate"/>
        </w:r>
        <w:r w:rsidR="00C5388C">
          <w:rPr>
            <w:noProof/>
          </w:rPr>
          <w:t>7</w:t>
        </w:r>
        <w:r>
          <w:rPr>
            <w:noProof/>
          </w:rPr>
          <w:fldChar w:fldCharType="end"/>
        </w:r>
      </w:p>
    </w:sdtContent>
  </w:sdt>
  <w:p w14:paraId="76138B1B" w14:textId="77777777" w:rsidR="001515C1" w:rsidRDefault="00151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0151" w14:textId="77777777" w:rsidR="00D635D5" w:rsidRDefault="00D635D5" w:rsidP="007007AC">
      <w:r>
        <w:separator/>
      </w:r>
    </w:p>
  </w:footnote>
  <w:footnote w:type="continuationSeparator" w:id="0">
    <w:p w14:paraId="65B32CCD" w14:textId="77777777" w:rsidR="00D635D5" w:rsidRDefault="00D635D5" w:rsidP="007007AC">
      <w:r>
        <w:continuationSeparator/>
      </w:r>
    </w:p>
  </w:footnote>
  <w:footnote w:id="1">
    <w:p w14:paraId="19B1D390" w14:textId="77777777" w:rsidR="001515C1" w:rsidRPr="00F477EA" w:rsidRDefault="001515C1" w:rsidP="00B40DE2">
      <w:pPr>
        <w:pStyle w:val="FootnoteText"/>
      </w:pPr>
      <w:r w:rsidRPr="00F477EA">
        <w:rPr>
          <w:rStyle w:val="FootnoteReference"/>
          <w:sz w:val="16"/>
          <w:szCs w:val="16"/>
        </w:rPr>
        <w:t>*</w:t>
      </w:r>
      <w:r w:rsidRPr="00F477EA">
        <w:rPr>
          <w:rFonts w:cs="Arial"/>
          <w:sz w:val="16"/>
          <w:szCs w:val="16"/>
        </w:rPr>
        <w:t xml:space="preserve">Prof. Dr. Seyfettin Gürsel, Betam, Direktör, </w:t>
      </w:r>
      <w:hyperlink r:id="rId1" w:history="1">
        <w:r w:rsidRPr="00F477EA">
          <w:rPr>
            <w:rStyle w:val="Hyperlink"/>
            <w:rFonts w:cs="Arial"/>
            <w:sz w:val="16"/>
            <w:szCs w:val="16"/>
          </w:rPr>
          <w:t>seyfettin.gursel@eas.bahcesehir.edu.tr</w:t>
        </w:r>
      </w:hyperlink>
    </w:p>
  </w:footnote>
  <w:footnote w:id="2">
    <w:p w14:paraId="560DEABE" w14:textId="77777777" w:rsidR="001515C1" w:rsidRPr="00F477EA" w:rsidRDefault="001515C1" w:rsidP="00B40DE2">
      <w:pPr>
        <w:pStyle w:val="FootnoteText"/>
      </w:pPr>
      <w:r w:rsidRPr="00F477EA">
        <w:rPr>
          <w:rStyle w:val="FootnoteReference"/>
          <w:sz w:val="16"/>
          <w:szCs w:val="16"/>
        </w:rPr>
        <w:sym w:font="Symbol" w:char="F02A"/>
      </w:r>
      <w:r w:rsidRPr="00F477EA">
        <w:rPr>
          <w:rStyle w:val="FootnoteReference"/>
          <w:sz w:val="16"/>
          <w:szCs w:val="16"/>
        </w:rPr>
        <w:sym w:font="Symbol" w:char="F02A"/>
      </w:r>
      <w:r w:rsidRPr="00F477EA">
        <w:rPr>
          <w:rFonts w:cs="Arial"/>
          <w:sz w:val="16"/>
          <w:szCs w:val="16"/>
        </w:rPr>
        <w:t xml:space="preserve"> Yrd. Doç. Dr. Gökçe Uysal, Betam, Direktör Yardımcısı, </w:t>
      </w:r>
      <w:hyperlink r:id="rId2" w:history="1">
        <w:r w:rsidRPr="00F477EA">
          <w:rPr>
            <w:rStyle w:val="Hyperlink"/>
            <w:rFonts w:cs="Arial"/>
            <w:sz w:val="16"/>
            <w:szCs w:val="16"/>
          </w:rPr>
          <w:t>gokce.uysal@eas.bahcesehir.edu.tr</w:t>
        </w:r>
      </w:hyperlink>
    </w:p>
  </w:footnote>
  <w:footnote w:id="3">
    <w:p w14:paraId="6EF35409" w14:textId="77777777" w:rsidR="001515C1" w:rsidRPr="00F477EA" w:rsidRDefault="001515C1" w:rsidP="00B40DE2">
      <w:pPr>
        <w:pStyle w:val="FootnoteText"/>
      </w:pPr>
      <w:r w:rsidRPr="00F477EA">
        <w:rPr>
          <w:rStyle w:val="FootnoteReference"/>
          <w:sz w:val="16"/>
          <w:szCs w:val="16"/>
        </w:rPr>
        <w:sym w:font="Symbol" w:char="F02A"/>
      </w:r>
      <w:r w:rsidRPr="00F477EA">
        <w:rPr>
          <w:rStyle w:val="FootnoteReference"/>
          <w:sz w:val="16"/>
          <w:szCs w:val="16"/>
        </w:rPr>
        <w:sym w:font="Symbol" w:char="F02A"/>
      </w:r>
      <w:r w:rsidRPr="00F477EA">
        <w:rPr>
          <w:rStyle w:val="FootnoteReference"/>
          <w:sz w:val="16"/>
          <w:szCs w:val="16"/>
        </w:rPr>
        <w:sym w:font="Symbol" w:char="F02A"/>
      </w:r>
      <w:r w:rsidRPr="00F477EA">
        <w:rPr>
          <w:rFonts w:cs="Arial"/>
          <w:sz w:val="16"/>
          <w:szCs w:val="16"/>
        </w:rPr>
        <w:t xml:space="preserve">Melike Kökkızıl, Betam, Araştırma Görevlisi, </w:t>
      </w:r>
      <w:hyperlink r:id="rId3" w:history="1">
        <w:r w:rsidRPr="00F477EA">
          <w:rPr>
            <w:rStyle w:val="Hyperlink"/>
            <w:rFonts w:cs="Arial"/>
            <w:sz w:val="16"/>
            <w:szCs w:val="16"/>
          </w:rPr>
          <w:t>melike.kokkizil@eas.bahcesehir.edu.tr</w:t>
        </w:r>
      </w:hyperlink>
    </w:p>
  </w:footnote>
  <w:footnote w:id="4">
    <w:p w14:paraId="07EBD562" w14:textId="77777777" w:rsidR="001515C1" w:rsidRPr="00F477EA" w:rsidRDefault="001515C1">
      <w:pPr>
        <w:pStyle w:val="FootnoteText"/>
      </w:pPr>
      <w:r w:rsidRPr="00F477EA">
        <w:rPr>
          <w:rStyle w:val="FootnoteReference"/>
        </w:rPr>
        <w:footnoteRef/>
      </w:r>
      <w:r w:rsidRPr="00F477EA">
        <w:t xml:space="preserve"> </w:t>
      </w:r>
      <w:r>
        <w:t xml:space="preserve">2015 yılı asgari ücret hesaplamaları şu adresten incelenebilir:  </w:t>
      </w:r>
      <w:hyperlink r:id="rId4" w:history="1">
        <w:r w:rsidRPr="00F477EA">
          <w:rPr>
            <w:rStyle w:val="Hyperlink"/>
            <w:sz w:val="18"/>
            <w:szCs w:val="18"/>
          </w:rPr>
          <w:t>http://www.turmob.org.tr/arsiv/mbs/pratikBilgiler/asgari_ucret2015.pdf</w:t>
        </w:r>
      </w:hyperlink>
    </w:p>
  </w:footnote>
  <w:footnote w:id="5">
    <w:p w14:paraId="316965A1" w14:textId="666931C3" w:rsidR="0085620C" w:rsidRDefault="0085620C">
      <w:pPr>
        <w:pStyle w:val="FootnoteText"/>
      </w:pPr>
      <w:r>
        <w:rPr>
          <w:rStyle w:val="FootnoteReference"/>
        </w:rPr>
        <w:footnoteRef/>
      </w:r>
      <w:r>
        <w:t xml:space="preserve"> NUTS2 bölgeleri içerdikleri iller içerisinde en büyük olan ilin adını almakla birlikte genelde birden çok ili içermektedir. Bölgelerin içerdikleri iller aşağıdaki tablolarda açık olarak yazılmıştır. </w:t>
      </w:r>
    </w:p>
  </w:footnote>
  <w:footnote w:id="6">
    <w:p w14:paraId="2B560AAF" w14:textId="70034205" w:rsidR="000370EC" w:rsidRDefault="000370EC">
      <w:pPr>
        <w:pStyle w:val="FootnoteText"/>
      </w:pPr>
      <w:r>
        <w:rPr>
          <w:rStyle w:val="FootnoteReference"/>
        </w:rPr>
        <w:footnoteRef/>
      </w:r>
      <w:r>
        <w:t xml:space="preserve"> Yaratılan istihdamın firma büyüklüğüne göre dağılımı Ek Tablo 1’de verilmektedir.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04"/>
    <w:rsid w:val="00001DF5"/>
    <w:rsid w:val="00004094"/>
    <w:rsid w:val="00006FD1"/>
    <w:rsid w:val="0000707D"/>
    <w:rsid w:val="00026610"/>
    <w:rsid w:val="00027C30"/>
    <w:rsid w:val="000370EC"/>
    <w:rsid w:val="000449A4"/>
    <w:rsid w:val="000539CA"/>
    <w:rsid w:val="0005610C"/>
    <w:rsid w:val="0008691E"/>
    <w:rsid w:val="000B03EF"/>
    <w:rsid w:val="000B5E6F"/>
    <w:rsid w:val="000D653A"/>
    <w:rsid w:val="000F1A4A"/>
    <w:rsid w:val="000F20EB"/>
    <w:rsid w:val="000F6586"/>
    <w:rsid w:val="00115F74"/>
    <w:rsid w:val="00132FF7"/>
    <w:rsid w:val="00136E07"/>
    <w:rsid w:val="001515C1"/>
    <w:rsid w:val="00156455"/>
    <w:rsid w:val="00180533"/>
    <w:rsid w:val="001809AC"/>
    <w:rsid w:val="00191193"/>
    <w:rsid w:val="001978CA"/>
    <w:rsid w:val="001B05B6"/>
    <w:rsid w:val="001B133A"/>
    <w:rsid w:val="001B2051"/>
    <w:rsid w:val="001E1C96"/>
    <w:rsid w:val="001E5885"/>
    <w:rsid w:val="001E6342"/>
    <w:rsid w:val="001F0425"/>
    <w:rsid w:val="001F0853"/>
    <w:rsid w:val="001F245E"/>
    <w:rsid w:val="00203A8E"/>
    <w:rsid w:val="00216E20"/>
    <w:rsid w:val="002171EB"/>
    <w:rsid w:val="00234AD9"/>
    <w:rsid w:val="00254C8C"/>
    <w:rsid w:val="002613FA"/>
    <w:rsid w:val="00283652"/>
    <w:rsid w:val="002878EB"/>
    <w:rsid w:val="00291E13"/>
    <w:rsid w:val="002C34CC"/>
    <w:rsid w:val="002C5A08"/>
    <w:rsid w:val="002E41FB"/>
    <w:rsid w:val="002E719C"/>
    <w:rsid w:val="002E7AB2"/>
    <w:rsid w:val="002F0365"/>
    <w:rsid w:val="002F5C1C"/>
    <w:rsid w:val="00304B9D"/>
    <w:rsid w:val="00304BE3"/>
    <w:rsid w:val="00306252"/>
    <w:rsid w:val="00317EC1"/>
    <w:rsid w:val="0032216F"/>
    <w:rsid w:val="0033751B"/>
    <w:rsid w:val="003470BA"/>
    <w:rsid w:val="00351938"/>
    <w:rsid w:val="00373098"/>
    <w:rsid w:val="00374FED"/>
    <w:rsid w:val="0038579B"/>
    <w:rsid w:val="00386AD8"/>
    <w:rsid w:val="003946C3"/>
    <w:rsid w:val="003A13F0"/>
    <w:rsid w:val="003A4542"/>
    <w:rsid w:val="003B12E3"/>
    <w:rsid w:val="003C18A6"/>
    <w:rsid w:val="003C2CA5"/>
    <w:rsid w:val="003C6261"/>
    <w:rsid w:val="003E628E"/>
    <w:rsid w:val="003E6667"/>
    <w:rsid w:val="00401FE4"/>
    <w:rsid w:val="004050E2"/>
    <w:rsid w:val="0040744E"/>
    <w:rsid w:val="0041555E"/>
    <w:rsid w:val="00433771"/>
    <w:rsid w:val="004436D6"/>
    <w:rsid w:val="00464ED0"/>
    <w:rsid w:val="00470EA0"/>
    <w:rsid w:val="00487474"/>
    <w:rsid w:val="004C08FE"/>
    <w:rsid w:val="004C6463"/>
    <w:rsid w:val="004E0AD2"/>
    <w:rsid w:val="0050405D"/>
    <w:rsid w:val="005125A8"/>
    <w:rsid w:val="00516EBB"/>
    <w:rsid w:val="00543B0B"/>
    <w:rsid w:val="005569B4"/>
    <w:rsid w:val="00566576"/>
    <w:rsid w:val="00594BE9"/>
    <w:rsid w:val="005A4201"/>
    <w:rsid w:val="005B4172"/>
    <w:rsid w:val="005D39C9"/>
    <w:rsid w:val="005D7443"/>
    <w:rsid w:val="005E1DD2"/>
    <w:rsid w:val="005E4F44"/>
    <w:rsid w:val="00600801"/>
    <w:rsid w:val="006130EB"/>
    <w:rsid w:val="006161F2"/>
    <w:rsid w:val="00623FC7"/>
    <w:rsid w:val="00634E49"/>
    <w:rsid w:val="00654048"/>
    <w:rsid w:val="00657E0E"/>
    <w:rsid w:val="00676C66"/>
    <w:rsid w:val="00681C3A"/>
    <w:rsid w:val="0068653F"/>
    <w:rsid w:val="006A30DD"/>
    <w:rsid w:val="006A4F4A"/>
    <w:rsid w:val="006A5E33"/>
    <w:rsid w:val="006C0596"/>
    <w:rsid w:val="006D0C36"/>
    <w:rsid w:val="006D1ECB"/>
    <w:rsid w:val="006E1080"/>
    <w:rsid w:val="006E238C"/>
    <w:rsid w:val="006E4190"/>
    <w:rsid w:val="006E4C24"/>
    <w:rsid w:val="006F463F"/>
    <w:rsid w:val="007007AC"/>
    <w:rsid w:val="00704B03"/>
    <w:rsid w:val="0072478F"/>
    <w:rsid w:val="00732FF2"/>
    <w:rsid w:val="00755C17"/>
    <w:rsid w:val="00757469"/>
    <w:rsid w:val="0076137D"/>
    <w:rsid w:val="007702D0"/>
    <w:rsid w:val="0077126B"/>
    <w:rsid w:val="00787929"/>
    <w:rsid w:val="007A3106"/>
    <w:rsid w:val="007A3316"/>
    <w:rsid w:val="007A3919"/>
    <w:rsid w:val="007A7CDD"/>
    <w:rsid w:val="007C0A8E"/>
    <w:rsid w:val="007C139B"/>
    <w:rsid w:val="007C3F51"/>
    <w:rsid w:val="007D4E7B"/>
    <w:rsid w:val="007F5B17"/>
    <w:rsid w:val="00813CA2"/>
    <w:rsid w:val="00827A2E"/>
    <w:rsid w:val="00836048"/>
    <w:rsid w:val="00855A3D"/>
    <w:rsid w:val="0085620C"/>
    <w:rsid w:val="008701F0"/>
    <w:rsid w:val="00873763"/>
    <w:rsid w:val="00882010"/>
    <w:rsid w:val="008917E1"/>
    <w:rsid w:val="00893D13"/>
    <w:rsid w:val="008B1831"/>
    <w:rsid w:val="008B40EE"/>
    <w:rsid w:val="008C02C9"/>
    <w:rsid w:val="008F070F"/>
    <w:rsid w:val="008F52AE"/>
    <w:rsid w:val="00914A7F"/>
    <w:rsid w:val="009167FC"/>
    <w:rsid w:val="00924231"/>
    <w:rsid w:val="00927BCD"/>
    <w:rsid w:val="00933953"/>
    <w:rsid w:val="0093730D"/>
    <w:rsid w:val="0094435B"/>
    <w:rsid w:val="0095219D"/>
    <w:rsid w:val="009765C1"/>
    <w:rsid w:val="009909BE"/>
    <w:rsid w:val="009C688B"/>
    <w:rsid w:val="009C7502"/>
    <w:rsid w:val="009F1CC7"/>
    <w:rsid w:val="009F3773"/>
    <w:rsid w:val="00A03A4C"/>
    <w:rsid w:val="00A06982"/>
    <w:rsid w:val="00A12262"/>
    <w:rsid w:val="00A44589"/>
    <w:rsid w:val="00A61DB5"/>
    <w:rsid w:val="00A70DB0"/>
    <w:rsid w:val="00A95B94"/>
    <w:rsid w:val="00AA2B04"/>
    <w:rsid w:val="00AB6455"/>
    <w:rsid w:val="00AB7FAE"/>
    <w:rsid w:val="00AD0074"/>
    <w:rsid w:val="00AD17D4"/>
    <w:rsid w:val="00B05DEA"/>
    <w:rsid w:val="00B120B6"/>
    <w:rsid w:val="00B17072"/>
    <w:rsid w:val="00B40DE2"/>
    <w:rsid w:val="00B8390A"/>
    <w:rsid w:val="00BA3196"/>
    <w:rsid w:val="00BB200E"/>
    <w:rsid w:val="00BC0F39"/>
    <w:rsid w:val="00BE5B52"/>
    <w:rsid w:val="00BE6F77"/>
    <w:rsid w:val="00C06823"/>
    <w:rsid w:val="00C13A4B"/>
    <w:rsid w:val="00C15D09"/>
    <w:rsid w:val="00C30C69"/>
    <w:rsid w:val="00C433D3"/>
    <w:rsid w:val="00C5388C"/>
    <w:rsid w:val="00C60B26"/>
    <w:rsid w:val="00C63CF6"/>
    <w:rsid w:val="00C758DE"/>
    <w:rsid w:val="00C94877"/>
    <w:rsid w:val="00C962DB"/>
    <w:rsid w:val="00CA7715"/>
    <w:rsid w:val="00CB4860"/>
    <w:rsid w:val="00CD6ABA"/>
    <w:rsid w:val="00CF1127"/>
    <w:rsid w:val="00CF2F37"/>
    <w:rsid w:val="00D1146B"/>
    <w:rsid w:val="00D220FA"/>
    <w:rsid w:val="00D24B79"/>
    <w:rsid w:val="00D306E1"/>
    <w:rsid w:val="00D437BF"/>
    <w:rsid w:val="00D43AC4"/>
    <w:rsid w:val="00D44DC0"/>
    <w:rsid w:val="00D55695"/>
    <w:rsid w:val="00D6194C"/>
    <w:rsid w:val="00D635D5"/>
    <w:rsid w:val="00D6677C"/>
    <w:rsid w:val="00D76A9B"/>
    <w:rsid w:val="00D851FE"/>
    <w:rsid w:val="00DA6B75"/>
    <w:rsid w:val="00DB2050"/>
    <w:rsid w:val="00DB6E56"/>
    <w:rsid w:val="00DD605C"/>
    <w:rsid w:val="00DD60DC"/>
    <w:rsid w:val="00DD6E76"/>
    <w:rsid w:val="00DE0DB1"/>
    <w:rsid w:val="00DE2009"/>
    <w:rsid w:val="00DE3A08"/>
    <w:rsid w:val="00DF1FF3"/>
    <w:rsid w:val="00E126B3"/>
    <w:rsid w:val="00E1353B"/>
    <w:rsid w:val="00E24667"/>
    <w:rsid w:val="00E4519A"/>
    <w:rsid w:val="00E47654"/>
    <w:rsid w:val="00E50C2C"/>
    <w:rsid w:val="00E52F3D"/>
    <w:rsid w:val="00E548A0"/>
    <w:rsid w:val="00E5747D"/>
    <w:rsid w:val="00E61545"/>
    <w:rsid w:val="00E74AB4"/>
    <w:rsid w:val="00E82095"/>
    <w:rsid w:val="00E91AE5"/>
    <w:rsid w:val="00EC6D99"/>
    <w:rsid w:val="00EF7530"/>
    <w:rsid w:val="00F151F8"/>
    <w:rsid w:val="00F25D81"/>
    <w:rsid w:val="00F26106"/>
    <w:rsid w:val="00F37836"/>
    <w:rsid w:val="00F47494"/>
    <w:rsid w:val="00F477EA"/>
    <w:rsid w:val="00F512F8"/>
    <w:rsid w:val="00F51E2D"/>
    <w:rsid w:val="00F679E8"/>
    <w:rsid w:val="00F95FF2"/>
    <w:rsid w:val="00F974BD"/>
    <w:rsid w:val="00FA3C2C"/>
    <w:rsid w:val="00FA6AA6"/>
    <w:rsid w:val="00FB6C1F"/>
    <w:rsid w:val="00FD029F"/>
    <w:rsid w:val="00FD0E47"/>
    <w:rsid w:val="00FD3CBA"/>
    <w:rsid w:val="00FE11F0"/>
    <w:rsid w:val="00FE7030"/>
    <w:rsid w:val="00FF0F9A"/>
    <w:rsid w:val="00FF2E43"/>
    <w:rsid w:val="00FF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B2"/>
  </w:style>
  <w:style w:type="paragraph" w:styleId="Heading1">
    <w:name w:val="heading 1"/>
    <w:basedOn w:val="Normal"/>
    <w:next w:val="Normal"/>
    <w:link w:val="Heading1Char"/>
    <w:uiPriority w:val="99"/>
    <w:qFormat/>
    <w:rsid w:val="00B40DE2"/>
    <w:pPr>
      <w:keepNext/>
      <w:suppressAutoHyphens/>
      <w:jc w:val="center"/>
      <w:outlineLvl w:val="0"/>
    </w:pPr>
    <w:rPr>
      <w:rFonts w:ascii="Arial" w:eastAsia="Times New Roman" w:hAnsi="Arial" w:cs="Times New Roman"/>
      <w:b/>
      <w:iCs/>
      <w:sz w:val="18"/>
      <w:szCs w:val="18"/>
      <w:lang w:val="tr-TR" w:eastAsia="ar-SA"/>
    </w:rPr>
  </w:style>
  <w:style w:type="paragraph" w:styleId="Heading2">
    <w:name w:val="heading 2"/>
    <w:basedOn w:val="Normal"/>
    <w:next w:val="Normal"/>
    <w:link w:val="Heading2Char"/>
    <w:uiPriority w:val="99"/>
    <w:qFormat/>
    <w:rsid w:val="00B40DE2"/>
    <w:pPr>
      <w:keepNext/>
      <w:suppressAutoHyphens/>
      <w:spacing w:before="240" w:after="60"/>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B40DE2"/>
    <w:pPr>
      <w:keepNext/>
      <w:suppressAutoHyphens/>
      <w:spacing w:before="240" w:after="60"/>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52F3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05DEA"/>
    <w:rPr>
      <w:rFonts w:ascii="Tahoma" w:hAnsi="Tahoma" w:cs="Tahoma"/>
      <w:sz w:val="16"/>
      <w:szCs w:val="16"/>
    </w:rPr>
  </w:style>
  <w:style w:type="character" w:customStyle="1" w:styleId="BalloonTextChar">
    <w:name w:val="Balloon Text Char"/>
    <w:basedOn w:val="DefaultParagraphFont"/>
    <w:link w:val="BalloonText"/>
    <w:uiPriority w:val="99"/>
    <w:semiHidden/>
    <w:rsid w:val="00B05DEA"/>
    <w:rPr>
      <w:rFonts w:ascii="Tahoma" w:hAnsi="Tahoma" w:cs="Tahoma"/>
      <w:sz w:val="16"/>
      <w:szCs w:val="16"/>
    </w:rPr>
  </w:style>
  <w:style w:type="paragraph" w:styleId="Header">
    <w:name w:val="header"/>
    <w:basedOn w:val="Normal"/>
    <w:link w:val="HeaderChar"/>
    <w:uiPriority w:val="99"/>
    <w:unhideWhenUsed/>
    <w:rsid w:val="007007AC"/>
    <w:pPr>
      <w:tabs>
        <w:tab w:val="center" w:pos="4703"/>
        <w:tab w:val="right" w:pos="9406"/>
      </w:tabs>
    </w:pPr>
  </w:style>
  <w:style w:type="character" w:customStyle="1" w:styleId="HeaderChar">
    <w:name w:val="Header Char"/>
    <w:basedOn w:val="DefaultParagraphFont"/>
    <w:link w:val="Header"/>
    <w:uiPriority w:val="99"/>
    <w:rsid w:val="007007AC"/>
  </w:style>
  <w:style w:type="paragraph" w:styleId="Footer">
    <w:name w:val="footer"/>
    <w:basedOn w:val="Normal"/>
    <w:link w:val="FooterChar"/>
    <w:uiPriority w:val="99"/>
    <w:unhideWhenUsed/>
    <w:rsid w:val="007007AC"/>
    <w:pPr>
      <w:tabs>
        <w:tab w:val="center" w:pos="4703"/>
        <w:tab w:val="right" w:pos="9406"/>
      </w:tabs>
    </w:pPr>
  </w:style>
  <w:style w:type="character" w:customStyle="1" w:styleId="FooterChar">
    <w:name w:val="Footer Char"/>
    <w:basedOn w:val="DefaultParagraphFont"/>
    <w:link w:val="Footer"/>
    <w:uiPriority w:val="99"/>
    <w:rsid w:val="007007AC"/>
  </w:style>
  <w:style w:type="character" w:customStyle="1" w:styleId="Heading1Char">
    <w:name w:val="Heading 1 Char"/>
    <w:basedOn w:val="DefaultParagraphFont"/>
    <w:link w:val="Heading1"/>
    <w:uiPriority w:val="99"/>
    <w:rsid w:val="00B40DE2"/>
    <w:rPr>
      <w:rFonts w:ascii="Arial" w:eastAsia="Times New Roman" w:hAnsi="Arial" w:cs="Times New Roman"/>
      <w:b/>
      <w:iCs/>
      <w:sz w:val="18"/>
      <w:szCs w:val="18"/>
      <w:lang w:val="tr-TR" w:eastAsia="ar-SA"/>
    </w:rPr>
  </w:style>
  <w:style w:type="character" w:customStyle="1" w:styleId="Heading2Char">
    <w:name w:val="Heading 2 Char"/>
    <w:basedOn w:val="DefaultParagraphFont"/>
    <w:link w:val="Heading2"/>
    <w:uiPriority w:val="99"/>
    <w:rsid w:val="00B40DE2"/>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B40DE2"/>
    <w:rPr>
      <w:rFonts w:ascii="Arial" w:eastAsia="Times New Roman" w:hAnsi="Arial" w:cs="Arial"/>
      <w:b/>
      <w:bCs/>
      <w:sz w:val="26"/>
      <w:szCs w:val="26"/>
      <w:lang w:val="en-GB" w:eastAsia="ar-SA"/>
    </w:rPr>
  </w:style>
  <w:style w:type="paragraph" w:styleId="FootnoteText">
    <w:name w:val="footnote text"/>
    <w:basedOn w:val="Normal"/>
    <w:link w:val="FootnoteTextChar"/>
    <w:uiPriority w:val="99"/>
    <w:unhideWhenUsed/>
    <w:rsid w:val="00B40DE2"/>
    <w:rPr>
      <w:rFonts w:eastAsiaTheme="minorEastAsia"/>
      <w:sz w:val="20"/>
      <w:szCs w:val="20"/>
      <w:lang w:val="tr-TR" w:eastAsia="tr-TR"/>
    </w:rPr>
  </w:style>
  <w:style w:type="character" w:customStyle="1" w:styleId="FootnoteTextChar">
    <w:name w:val="Footnote Text Char"/>
    <w:basedOn w:val="DefaultParagraphFont"/>
    <w:link w:val="FootnoteText"/>
    <w:uiPriority w:val="99"/>
    <w:rsid w:val="00B40DE2"/>
    <w:rPr>
      <w:rFonts w:eastAsiaTheme="minorEastAsia"/>
      <w:sz w:val="20"/>
      <w:szCs w:val="20"/>
      <w:lang w:val="tr-TR" w:eastAsia="tr-TR"/>
    </w:rPr>
  </w:style>
  <w:style w:type="character" w:styleId="FootnoteReference">
    <w:name w:val="footnote reference"/>
    <w:basedOn w:val="DefaultParagraphFont"/>
    <w:uiPriority w:val="99"/>
    <w:unhideWhenUsed/>
    <w:rsid w:val="00B40DE2"/>
    <w:rPr>
      <w:vertAlign w:val="superscript"/>
    </w:rPr>
  </w:style>
  <w:style w:type="character" w:styleId="Strong">
    <w:name w:val="Strong"/>
    <w:basedOn w:val="DefaultParagraphFont"/>
    <w:uiPriority w:val="22"/>
    <w:qFormat/>
    <w:rsid w:val="004C08FE"/>
    <w:rPr>
      <w:b/>
      <w:bCs/>
    </w:rPr>
  </w:style>
  <w:style w:type="character" w:styleId="Hyperlink">
    <w:name w:val="Hyperlink"/>
    <w:basedOn w:val="DefaultParagraphFont"/>
    <w:uiPriority w:val="99"/>
    <w:unhideWhenUsed/>
    <w:rsid w:val="00CD6ABA"/>
    <w:rPr>
      <w:color w:val="0563C1" w:themeColor="hyperlink"/>
      <w:u w:val="single"/>
    </w:rPr>
  </w:style>
  <w:style w:type="character" w:styleId="FollowedHyperlink">
    <w:name w:val="FollowedHyperlink"/>
    <w:basedOn w:val="DefaultParagraphFont"/>
    <w:uiPriority w:val="99"/>
    <w:semiHidden/>
    <w:unhideWhenUsed/>
    <w:rsid w:val="00F477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B2"/>
  </w:style>
  <w:style w:type="paragraph" w:styleId="Heading1">
    <w:name w:val="heading 1"/>
    <w:basedOn w:val="Normal"/>
    <w:next w:val="Normal"/>
    <w:link w:val="Heading1Char"/>
    <w:uiPriority w:val="99"/>
    <w:qFormat/>
    <w:rsid w:val="00B40DE2"/>
    <w:pPr>
      <w:keepNext/>
      <w:suppressAutoHyphens/>
      <w:jc w:val="center"/>
      <w:outlineLvl w:val="0"/>
    </w:pPr>
    <w:rPr>
      <w:rFonts w:ascii="Arial" w:eastAsia="Times New Roman" w:hAnsi="Arial" w:cs="Times New Roman"/>
      <w:b/>
      <w:iCs/>
      <w:sz w:val="18"/>
      <w:szCs w:val="18"/>
      <w:lang w:val="tr-TR" w:eastAsia="ar-SA"/>
    </w:rPr>
  </w:style>
  <w:style w:type="paragraph" w:styleId="Heading2">
    <w:name w:val="heading 2"/>
    <w:basedOn w:val="Normal"/>
    <w:next w:val="Normal"/>
    <w:link w:val="Heading2Char"/>
    <w:uiPriority w:val="99"/>
    <w:qFormat/>
    <w:rsid w:val="00B40DE2"/>
    <w:pPr>
      <w:keepNext/>
      <w:suppressAutoHyphens/>
      <w:spacing w:before="240" w:after="60"/>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B40DE2"/>
    <w:pPr>
      <w:keepNext/>
      <w:suppressAutoHyphens/>
      <w:spacing w:before="240" w:after="60"/>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52F3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05DEA"/>
    <w:rPr>
      <w:rFonts w:ascii="Tahoma" w:hAnsi="Tahoma" w:cs="Tahoma"/>
      <w:sz w:val="16"/>
      <w:szCs w:val="16"/>
    </w:rPr>
  </w:style>
  <w:style w:type="character" w:customStyle="1" w:styleId="BalloonTextChar">
    <w:name w:val="Balloon Text Char"/>
    <w:basedOn w:val="DefaultParagraphFont"/>
    <w:link w:val="BalloonText"/>
    <w:uiPriority w:val="99"/>
    <w:semiHidden/>
    <w:rsid w:val="00B05DEA"/>
    <w:rPr>
      <w:rFonts w:ascii="Tahoma" w:hAnsi="Tahoma" w:cs="Tahoma"/>
      <w:sz w:val="16"/>
      <w:szCs w:val="16"/>
    </w:rPr>
  </w:style>
  <w:style w:type="paragraph" w:styleId="Header">
    <w:name w:val="header"/>
    <w:basedOn w:val="Normal"/>
    <w:link w:val="HeaderChar"/>
    <w:uiPriority w:val="99"/>
    <w:unhideWhenUsed/>
    <w:rsid w:val="007007AC"/>
    <w:pPr>
      <w:tabs>
        <w:tab w:val="center" w:pos="4703"/>
        <w:tab w:val="right" w:pos="9406"/>
      </w:tabs>
    </w:pPr>
  </w:style>
  <w:style w:type="character" w:customStyle="1" w:styleId="HeaderChar">
    <w:name w:val="Header Char"/>
    <w:basedOn w:val="DefaultParagraphFont"/>
    <w:link w:val="Header"/>
    <w:uiPriority w:val="99"/>
    <w:rsid w:val="007007AC"/>
  </w:style>
  <w:style w:type="paragraph" w:styleId="Footer">
    <w:name w:val="footer"/>
    <w:basedOn w:val="Normal"/>
    <w:link w:val="FooterChar"/>
    <w:uiPriority w:val="99"/>
    <w:unhideWhenUsed/>
    <w:rsid w:val="007007AC"/>
    <w:pPr>
      <w:tabs>
        <w:tab w:val="center" w:pos="4703"/>
        <w:tab w:val="right" w:pos="9406"/>
      </w:tabs>
    </w:pPr>
  </w:style>
  <w:style w:type="character" w:customStyle="1" w:styleId="FooterChar">
    <w:name w:val="Footer Char"/>
    <w:basedOn w:val="DefaultParagraphFont"/>
    <w:link w:val="Footer"/>
    <w:uiPriority w:val="99"/>
    <w:rsid w:val="007007AC"/>
  </w:style>
  <w:style w:type="character" w:customStyle="1" w:styleId="Heading1Char">
    <w:name w:val="Heading 1 Char"/>
    <w:basedOn w:val="DefaultParagraphFont"/>
    <w:link w:val="Heading1"/>
    <w:uiPriority w:val="99"/>
    <w:rsid w:val="00B40DE2"/>
    <w:rPr>
      <w:rFonts w:ascii="Arial" w:eastAsia="Times New Roman" w:hAnsi="Arial" w:cs="Times New Roman"/>
      <w:b/>
      <w:iCs/>
      <w:sz w:val="18"/>
      <w:szCs w:val="18"/>
      <w:lang w:val="tr-TR" w:eastAsia="ar-SA"/>
    </w:rPr>
  </w:style>
  <w:style w:type="character" w:customStyle="1" w:styleId="Heading2Char">
    <w:name w:val="Heading 2 Char"/>
    <w:basedOn w:val="DefaultParagraphFont"/>
    <w:link w:val="Heading2"/>
    <w:uiPriority w:val="99"/>
    <w:rsid w:val="00B40DE2"/>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B40DE2"/>
    <w:rPr>
      <w:rFonts w:ascii="Arial" w:eastAsia="Times New Roman" w:hAnsi="Arial" w:cs="Arial"/>
      <w:b/>
      <w:bCs/>
      <w:sz w:val="26"/>
      <w:szCs w:val="26"/>
      <w:lang w:val="en-GB" w:eastAsia="ar-SA"/>
    </w:rPr>
  </w:style>
  <w:style w:type="paragraph" w:styleId="FootnoteText">
    <w:name w:val="footnote text"/>
    <w:basedOn w:val="Normal"/>
    <w:link w:val="FootnoteTextChar"/>
    <w:uiPriority w:val="99"/>
    <w:unhideWhenUsed/>
    <w:rsid w:val="00B40DE2"/>
    <w:rPr>
      <w:rFonts w:eastAsiaTheme="minorEastAsia"/>
      <w:sz w:val="20"/>
      <w:szCs w:val="20"/>
      <w:lang w:val="tr-TR" w:eastAsia="tr-TR"/>
    </w:rPr>
  </w:style>
  <w:style w:type="character" w:customStyle="1" w:styleId="FootnoteTextChar">
    <w:name w:val="Footnote Text Char"/>
    <w:basedOn w:val="DefaultParagraphFont"/>
    <w:link w:val="FootnoteText"/>
    <w:uiPriority w:val="99"/>
    <w:rsid w:val="00B40DE2"/>
    <w:rPr>
      <w:rFonts w:eastAsiaTheme="minorEastAsia"/>
      <w:sz w:val="20"/>
      <w:szCs w:val="20"/>
      <w:lang w:val="tr-TR" w:eastAsia="tr-TR"/>
    </w:rPr>
  </w:style>
  <w:style w:type="character" w:styleId="FootnoteReference">
    <w:name w:val="footnote reference"/>
    <w:basedOn w:val="DefaultParagraphFont"/>
    <w:uiPriority w:val="99"/>
    <w:unhideWhenUsed/>
    <w:rsid w:val="00B40DE2"/>
    <w:rPr>
      <w:vertAlign w:val="superscript"/>
    </w:rPr>
  </w:style>
  <w:style w:type="character" w:styleId="Strong">
    <w:name w:val="Strong"/>
    <w:basedOn w:val="DefaultParagraphFont"/>
    <w:uiPriority w:val="22"/>
    <w:qFormat/>
    <w:rsid w:val="004C08FE"/>
    <w:rPr>
      <w:b/>
      <w:bCs/>
    </w:rPr>
  </w:style>
  <w:style w:type="character" w:styleId="Hyperlink">
    <w:name w:val="Hyperlink"/>
    <w:basedOn w:val="DefaultParagraphFont"/>
    <w:uiPriority w:val="99"/>
    <w:unhideWhenUsed/>
    <w:rsid w:val="00CD6ABA"/>
    <w:rPr>
      <w:color w:val="0563C1" w:themeColor="hyperlink"/>
      <w:u w:val="single"/>
    </w:rPr>
  </w:style>
  <w:style w:type="character" w:styleId="FollowedHyperlink">
    <w:name w:val="FollowedHyperlink"/>
    <w:basedOn w:val="DefaultParagraphFont"/>
    <w:uiPriority w:val="99"/>
    <w:semiHidden/>
    <w:unhideWhenUsed/>
    <w:rsid w:val="00F47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4711">
      <w:bodyDiv w:val="1"/>
      <w:marLeft w:val="0"/>
      <w:marRight w:val="0"/>
      <w:marTop w:val="0"/>
      <w:marBottom w:val="0"/>
      <w:divBdr>
        <w:top w:val="none" w:sz="0" w:space="0" w:color="auto"/>
        <w:left w:val="none" w:sz="0" w:space="0" w:color="auto"/>
        <w:bottom w:val="none" w:sz="0" w:space="0" w:color="auto"/>
        <w:right w:val="none" w:sz="0" w:space="0" w:color="auto"/>
      </w:divBdr>
    </w:div>
    <w:div w:id="723142123">
      <w:bodyDiv w:val="1"/>
      <w:marLeft w:val="0"/>
      <w:marRight w:val="0"/>
      <w:marTop w:val="0"/>
      <w:marBottom w:val="0"/>
      <w:divBdr>
        <w:top w:val="none" w:sz="0" w:space="0" w:color="auto"/>
        <w:left w:val="none" w:sz="0" w:space="0" w:color="auto"/>
        <w:bottom w:val="none" w:sz="0" w:space="0" w:color="auto"/>
        <w:right w:val="none" w:sz="0" w:space="0" w:color="auto"/>
      </w:divBdr>
    </w:div>
    <w:div w:id="754326586">
      <w:bodyDiv w:val="1"/>
      <w:marLeft w:val="0"/>
      <w:marRight w:val="0"/>
      <w:marTop w:val="0"/>
      <w:marBottom w:val="0"/>
      <w:divBdr>
        <w:top w:val="none" w:sz="0" w:space="0" w:color="auto"/>
        <w:left w:val="none" w:sz="0" w:space="0" w:color="auto"/>
        <w:bottom w:val="none" w:sz="0" w:space="0" w:color="auto"/>
        <w:right w:val="none" w:sz="0" w:space="0" w:color="auto"/>
      </w:divBdr>
    </w:div>
    <w:div w:id="958681971">
      <w:bodyDiv w:val="1"/>
      <w:marLeft w:val="0"/>
      <w:marRight w:val="0"/>
      <w:marTop w:val="0"/>
      <w:marBottom w:val="0"/>
      <w:divBdr>
        <w:top w:val="none" w:sz="0" w:space="0" w:color="auto"/>
        <w:left w:val="none" w:sz="0" w:space="0" w:color="auto"/>
        <w:bottom w:val="none" w:sz="0" w:space="0" w:color="auto"/>
        <w:right w:val="none" w:sz="0" w:space="0" w:color="auto"/>
      </w:divBdr>
    </w:div>
    <w:div w:id="1113212703">
      <w:bodyDiv w:val="1"/>
      <w:marLeft w:val="0"/>
      <w:marRight w:val="0"/>
      <w:marTop w:val="0"/>
      <w:marBottom w:val="0"/>
      <w:divBdr>
        <w:top w:val="none" w:sz="0" w:space="0" w:color="auto"/>
        <w:left w:val="none" w:sz="0" w:space="0" w:color="auto"/>
        <w:bottom w:val="none" w:sz="0" w:space="0" w:color="auto"/>
        <w:right w:val="none" w:sz="0" w:space="0" w:color="auto"/>
      </w:divBdr>
    </w:div>
    <w:div w:id="1674448898">
      <w:bodyDiv w:val="1"/>
      <w:marLeft w:val="0"/>
      <w:marRight w:val="0"/>
      <w:marTop w:val="0"/>
      <w:marBottom w:val="0"/>
      <w:divBdr>
        <w:top w:val="none" w:sz="0" w:space="0" w:color="auto"/>
        <w:left w:val="none" w:sz="0" w:space="0" w:color="auto"/>
        <w:bottom w:val="none" w:sz="0" w:space="0" w:color="auto"/>
        <w:right w:val="none" w:sz="0" w:space="0" w:color="auto"/>
      </w:divBdr>
    </w:div>
    <w:div w:id="1990749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hcesehir.edu.tr" TargetMode="External"/><Relationship Id="rId2" Type="http://schemas.openxmlformats.org/officeDocument/2006/relationships/hyperlink" Target="mailto:gokce.uysal@eas.bahcesehir.edu.tr" TargetMode="External"/><Relationship Id="rId1" Type="http://schemas.openxmlformats.org/officeDocument/2006/relationships/hyperlink" Target="mailto:seyfettin.gursel@eas.bahcesehir.edu.tr" TargetMode="External"/><Relationship Id="rId4" Type="http://schemas.openxmlformats.org/officeDocument/2006/relationships/hyperlink" Target="http://www.turmob.org.tr/arsiv/mbs/pratikBilgiler/asgari_ucret20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io\Dropbox\AN_AsgariUcret\minw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Sheet1!$Q$5:$Q$30</c:f>
              <c:strCache>
                <c:ptCount val="26"/>
                <c:pt idx="0">
                  <c:v>İstanbul </c:v>
                </c:pt>
                <c:pt idx="1">
                  <c:v>Ankara </c:v>
                </c:pt>
                <c:pt idx="2">
                  <c:v>Kocaeli </c:v>
                </c:pt>
                <c:pt idx="3">
                  <c:v>Antalya </c:v>
                </c:pt>
                <c:pt idx="4">
                  <c:v>İzmir</c:v>
                </c:pt>
                <c:pt idx="5">
                  <c:v>Bursa </c:v>
                </c:pt>
                <c:pt idx="6">
                  <c:v>Kayseri </c:v>
                </c:pt>
                <c:pt idx="7">
                  <c:v>Tekirdağ</c:v>
                </c:pt>
                <c:pt idx="8">
                  <c:v>Van </c:v>
                </c:pt>
                <c:pt idx="9">
                  <c:v>Zonguldak </c:v>
                </c:pt>
                <c:pt idx="10">
                  <c:v>Samsun </c:v>
                </c:pt>
                <c:pt idx="11">
                  <c:v>Konya </c:v>
                </c:pt>
                <c:pt idx="12">
                  <c:v>Balıkesir</c:v>
                </c:pt>
                <c:pt idx="13">
                  <c:v>Ağrı </c:v>
                </c:pt>
                <c:pt idx="14">
                  <c:v>Aydın</c:v>
                </c:pt>
                <c:pt idx="15">
                  <c:v>Trabzon </c:v>
                </c:pt>
                <c:pt idx="16">
                  <c:v>Adana </c:v>
                </c:pt>
                <c:pt idx="17">
                  <c:v>Kırıkkale </c:v>
                </c:pt>
                <c:pt idx="18">
                  <c:v>Erzurum </c:v>
                </c:pt>
                <c:pt idx="19">
                  <c:v>Şanlıurfa </c:v>
                </c:pt>
                <c:pt idx="20">
                  <c:v>Hatay </c:v>
                </c:pt>
                <c:pt idx="21">
                  <c:v>Gaziantep </c:v>
                </c:pt>
                <c:pt idx="22">
                  <c:v>Malatya </c:v>
                </c:pt>
                <c:pt idx="23">
                  <c:v>Mardin </c:v>
                </c:pt>
                <c:pt idx="24">
                  <c:v>Manisa </c:v>
                </c:pt>
                <c:pt idx="25">
                  <c:v>Kastamonu </c:v>
                </c:pt>
              </c:strCache>
            </c:strRef>
          </c:cat>
          <c:val>
            <c:numRef>
              <c:f>Sheet1!$S$5:$S$30</c:f>
              <c:numCache>
                <c:formatCode>#,#00</c:formatCode>
                <c:ptCount val="26"/>
                <c:pt idx="0">
                  <c:v>42.97</c:v>
                </c:pt>
                <c:pt idx="1">
                  <c:v>48.85</c:v>
                </c:pt>
                <c:pt idx="2">
                  <c:v>54.43</c:v>
                </c:pt>
                <c:pt idx="3">
                  <c:v>58.49</c:v>
                </c:pt>
                <c:pt idx="4">
                  <c:v>59.01</c:v>
                </c:pt>
                <c:pt idx="5">
                  <c:v>60.15</c:v>
                </c:pt>
                <c:pt idx="6">
                  <c:v>60.49</c:v>
                </c:pt>
                <c:pt idx="7">
                  <c:v>63.39</c:v>
                </c:pt>
                <c:pt idx="8">
                  <c:v>64.45</c:v>
                </c:pt>
                <c:pt idx="9">
                  <c:v>64.81</c:v>
                </c:pt>
                <c:pt idx="10">
                  <c:v>67.55</c:v>
                </c:pt>
                <c:pt idx="11">
                  <c:v>67.87</c:v>
                </c:pt>
                <c:pt idx="12">
                  <c:v>68.099999999999994</c:v>
                </c:pt>
                <c:pt idx="13">
                  <c:v>68.38</c:v>
                </c:pt>
                <c:pt idx="14">
                  <c:v>69.239999999999995</c:v>
                </c:pt>
                <c:pt idx="15">
                  <c:v>70.31</c:v>
                </c:pt>
                <c:pt idx="16">
                  <c:v>70.5</c:v>
                </c:pt>
                <c:pt idx="17">
                  <c:v>71.55</c:v>
                </c:pt>
                <c:pt idx="18">
                  <c:v>71.569999999999993</c:v>
                </c:pt>
                <c:pt idx="19">
                  <c:v>71.63</c:v>
                </c:pt>
                <c:pt idx="20">
                  <c:v>73.28</c:v>
                </c:pt>
                <c:pt idx="21">
                  <c:v>74.08</c:v>
                </c:pt>
                <c:pt idx="22">
                  <c:v>77.73</c:v>
                </c:pt>
                <c:pt idx="23">
                  <c:v>78.86</c:v>
                </c:pt>
                <c:pt idx="24">
                  <c:v>80.11</c:v>
                </c:pt>
                <c:pt idx="25">
                  <c:v>81.95</c:v>
                </c:pt>
              </c:numCache>
            </c:numRef>
          </c:val>
        </c:ser>
        <c:dLbls>
          <c:showLegendKey val="0"/>
          <c:showVal val="0"/>
          <c:showCatName val="0"/>
          <c:showSerName val="0"/>
          <c:showPercent val="0"/>
          <c:showBubbleSize val="0"/>
        </c:dLbls>
        <c:gapWidth val="90"/>
        <c:overlap val="-27"/>
        <c:axId val="177844224"/>
        <c:axId val="177852800"/>
      </c:barChart>
      <c:catAx>
        <c:axId val="1778442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177852800"/>
        <c:crosses val="autoZero"/>
        <c:auto val="1"/>
        <c:lblAlgn val="ctr"/>
        <c:lblOffset val="100"/>
        <c:noMultiLvlLbl val="0"/>
      </c:catAx>
      <c:valAx>
        <c:axId val="177852800"/>
        <c:scaling>
          <c:orientation val="minMax"/>
        </c:scaling>
        <c:delete val="1"/>
        <c:axPos val="l"/>
        <c:numFmt formatCode="#,#00" sourceLinked="1"/>
        <c:majorTickMark val="none"/>
        <c:minorTickMark val="none"/>
        <c:tickLblPos val="none"/>
        <c:crossAx val="177844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2CBC21-CEAA-44CC-BDF9-CC2E40E4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 Uysal KOLASIN</dc:creator>
  <cp:lastModifiedBy>merve.akgul</cp:lastModifiedBy>
  <cp:revision>4</cp:revision>
  <dcterms:created xsi:type="dcterms:W3CDTF">2016-01-04T08:56:00Z</dcterms:created>
  <dcterms:modified xsi:type="dcterms:W3CDTF">2016-01-04T09:12:00Z</dcterms:modified>
</cp:coreProperties>
</file>