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D3" w:rsidRPr="007170B7" w:rsidRDefault="00BE0C6B" w:rsidP="00A71944">
      <w:pPr>
        <w:spacing w:line="360" w:lineRule="auto"/>
        <w:ind w:right="-319"/>
        <w:jc w:val="center"/>
        <w:outlineLvl w:val="0"/>
        <w:rPr>
          <w:rFonts w:ascii="Arial" w:hAnsi="Arial" w:cs="Arial"/>
          <w:b/>
          <w:bCs/>
          <w:color w:val="FF0000"/>
          <w:sz w:val="32"/>
          <w:szCs w:val="32"/>
          <w:lang w:val="en-US"/>
        </w:rPr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233045</wp:posOffset>
                </wp:positionV>
                <wp:extent cx="2187575" cy="34861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348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C50" w:rsidRPr="004847DC" w:rsidRDefault="006E6C50" w:rsidP="00E57928">
                            <w:pPr>
                              <w:pStyle w:val="Heading3"/>
                              <w:rPr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847DC">
                              <w:rPr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  24 November  2015</w:t>
                            </w:r>
                          </w:p>
                          <w:p w:rsidR="006E6C50" w:rsidRPr="004847DC" w:rsidRDefault="006E6C50" w:rsidP="00E579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9.55pt;margin-top:18.35pt;width:172.25pt;height:27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yUjQIAABwFAAAOAAAAZHJzL2Uyb0RvYy54bWysVNuO2yAQfa/Uf0C8Z22nzsXWOqvdpKkq&#10;bS/Sbj+AYByjYqBAYm+r/nsHiLOb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" stroked="f">
                <v:fill opacity="0"/>
                <v:textbox inset="0,0,0,0">
                  <w:txbxContent>
                    <w:p w:rsidR="006E6C50" w:rsidRPr="004847DC" w:rsidRDefault="006E6C50" w:rsidP="00E57928">
                      <w:pPr>
                        <w:pStyle w:val="Heading3"/>
                        <w:rPr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 w:rsidRPr="004847DC">
                        <w:rPr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  24 November  2015</w:t>
                      </w:r>
                    </w:p>
                    <w:p w:rsidR="006E6C50" w:rsidRPr="004847DC" w:rsidRDefault="006E6C50" w:rsidP="00E579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-490855</wp:posOffset>
                </wp:positionV>
                <wp:extent cx="4396740" cy="56896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568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C50" w:rsidRPr="004847DC" w:rsidRDefault="006E6C50" w:rsidP="005F7370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847DC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Economic Outlook and Forecasts: </w:t>
                            </w:r>
                            <w:r w:rsidRPr="004847DC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Pr="004847DC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Pr="004847DC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Pr="004847DC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ab/>
                              <w:t>November 2015</w:t>
                            </w:r>
                          </w:p>
                          <w:p w:rsidR="006E6C50" w:rsidRPr="004847DC" w:rsidRDefault="006E6C50" w:rsidP="00E57928">
                            <w:pPr>
                              <w:pStyle w:val="Heading2"/>
                              <w:rPr>
                                <w:b w:val="0"/>
                                <w:bCs w:val="0"/>
                                <w:i w:val="0"/>
                                <w:i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1.4pt;margin-top:-38.65pt;width:346.2pt;height:44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" stroked="f">
                <v:fill opacity="0"/>
                <v:textbox inset="0,0,0,0">
                  <w:txbxContent>
                    <w:p w:rsidR="006E6C50" w:rsidRPr="004847DC" w:rsidRDefault="006E6C50" w:rsidP="005F7370">
                      <w:pPr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4847DC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Economic Outlook and Forecasts: </w:t>
                      </w:r>
                      <w:r w:rsidRPr="004847DC">
                        <w:rPr>
                          <w:b/>
                          <w:sz w:val="40"/>
                          <w:szCs w:val="40"/>
                          <w:lang w:val="en-US"/>
                        </w:rPr>
                        <w:tab/>
                      </w:r>
                      <w:r w:rsidRPr="004847DC">
                        <w:rPr>
                          <w:b/>
                          <w:sz w:val="40"/>
                          <w:szCs w:val="40"/>
                          <w:lang w:val="en-US"/>
                        </w:rPr>
                        <w:tab/>
                      </w:r>
                      <w:r w:rsidRPr="004847DC">
                        <w:rPr>
                          <w:b/>
                          <w:sz w:val="40"/>
                          <w:szCs w:val="40"/>
                          <w:lang w:val="en-US"/>
                        </w:rPr>
                        <w:tab/>
                      </w:r>
                      <w:r w:rsidRPr="004847DC">
                        <w:rPr>
                          <w:b/>
                          <w:sz w:val="40"/>
                          <w:szCs w:val="40"/>
                          <w:lang w:val="en-US"/>
                        </w:rPr>
                        <w:tab/>
                        <w:t>November 2015</w:t>
                      </w:r>
                    </w:p>
                    <w:p w:rsidR="006E6C50" w:rsidRPr="004847DC" w:rsidRDefault="006E6C50" w:rsidP="00E57928">
                      <w:pPr>
                        <w:pStyle w:val="Heading2"/>
                        <w:rPr>
                          <w:b w:val="0"/>
                          <w:bCs w:val="0"/>
                          <w:i w:val="0"/>
                          <w:iCs w:val="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928" w:rsidRPr="007170B7">
        <w:rPr>
          <w:rFonts w:ascii="Arial" w:hAnsi="Arial" w:cs="Arial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858000" cy="1261745"/>
            <wp:effectExtent l="19050" t="0" r="0" b="0"/>
            <wp:wrapNone/>
            <wp:docPr id="8" name="Picture 1" descr="Description: 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banner(TUR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BD3" w:rsidRPr="007170B7" w:rsidRDefault="00054BD3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bCs/>
          <w:color w:val="FF0000"/>
          <w:sz w:val="32"/>
          <w:szCs w:val="32"/>
          <w:lang w:val="en-US"/>
        </w:rPr>
      </w:pPr>
    </w:p>
    <w:p w:rsidR="004847DC" w:rsidRPr="007170B7" w:rsidRDefault="004847DC" w:rsidP="004847DC">
      <w:pPr>
        <w:ind w:right="-317"/>
        <w:jc w:val="center"/>
        <w:outlineLvl w:val="0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7170B7">
        <w:rPr>
          <w:rFonts w:ascii="Arial" w:hAnsi="Arial" w:cs="Arial"/>
          <w:b/>
          <w:bCs/>
          <w:caps/>
          <w:sz w:val="28"/>
          <w:szCs w:val="28"/>
          <w:lang w:val="en-US"/>
        </w:rPr>
        <w:t xml:space="preserve">MODERATE GROWTH IN THIRD QUARTER </w:t>
      </w:r>
    </w:p>
    <w:p w:rsidR="00EB408D" w:rsidRPr="007170B7" w:rsidRDefault="00EB408D" w:rsidP="00EB408D">
      <w:pPr>
        <w:ind w:right="-317"/>
        <w:jc w:val="center"/>
        <w:outlineLvl w:val="0"/>
        <w:rPr>
          <w:rFonts w:ascii="Arial" w:hAnsi="Arial" w:cs="Arial"/>
          <w:b/>
          <w:bCs/>
          <w:caps/>
          <w:color w:val="FF0000"/>
          <w:sz w:val="28"/>
          <w:szCs w:val="28"/>
          <w:lang w:val="en-US"/>
        </w:rPr>
      </w:pPr>
    </w:p>
    <w:p w:rsidR="00EB408D" w:rsidRPr="007170B7" w:rsidRDefault="000F0372" w:rsidP="00EB408D">
      <w:pPr>
        <w:ind w:right="-317"/>
        <w:jc w:val="center"/>
        <w:outlineLvl w:val="0"/>
        <w:rPr>
          <w:rFonts w:ascii="Arial" w:hAnsi="Arial" w:cs="Arial"/>
          <w:b/>
          <w:bCs/>
          <w:sz w:val="21"/>
          <w:szCs w:val="21"/>
          <w:vertAlign w:val="superscript"/>
          <w:lang w:val="en-US"/>
        </w:rPr>
      </w:pPr>
      <w:r w:rsidRPr="007170B7">
        <w:rPr>
          <w:rFonts w:ascii="Arial" w:hAnsi="Arial" w:cs="Arial"/>
          <w:b/>
          <w:bCs/>
          <w:sz w:val="21"/>
          <w:szCs w:val="21"/>
          <w:lang w:val="en-US"/>
        </w:rPr>
        <w:t>Seyfettin Gürsel*,</w:t>
      </w:r>
      <w:r w:rsidR="00EB408D" w:rsidRPr="007170B7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Pr="007170B7">
        <w:rPr>
          <w:rFonts w:ascii="Arial" w:hAnsi="Arial" w:cs="Arial"/>
          <w:b/>
          <w:bCs/>
          <w:sz w:val="21"/>
          <w:szCs w:val="21"/>
          <w:lang w:val="en-US"/>
        </w:rPr>
        <w:t>Mine Durmaz</w:t>
      </w:r>
      <w:r w:rsidRPr="007170B7">
        <w:rPr>
          <w:rFonts w:ascii="Arial" w:hAnsi="Arial" w:cs="Arial"/>
          <w:b/>
          <w:bCs/>
          <w:sz w:val="21"/>
          <w:szCs w:val="21"/>
          <w:vertAlign w:val="superscript"/>
          <w:lang w:val="en-US"/>
        </w:rPr>
        <w:t>**</w:t>
      </w:r>
      <w:r w:rsidRPr="007170B7">
        <w:rPr>
          <w:rFonts w:ascii="Arial" w:hAnsi="Arial" w:cs="Arial"/>
          <w:b/>
          <w:bCs/>
          <w:sz w:val="21"/>
          <w:szCs w:val="21"/>
          <w:lang w:val="en-US"/>
        </w:rPr>
        <w:t>, Melike Kökkızıl***</w:t>
      </w:r>
    </w:p>
    <w:p w:rsidR="00EB408D" w:rsidRPr="007170B7" w:rsidRDefault="00EB408D" w:rsidP="00EB408D">
      <w:pPr>
        <w:ind w:right="-317"/>
        <w:jc w:val="center"/>
        <w:outlineLvl w:val="0"/>
        <w:rPr>
          <w:rFonts w:ascii="Arial" w:hAnsi="Arial" w:cs="Arial"/>
          <w:b/>
          <w:bCs/>
          <w:color w:val="FF0000"/>
          <w:sz w:val="21"/>
          <w:szCs w:val="21"/>
          <w:vertAlign w:val="superscript"/>
          <w:lang w:val="en-US"/>
        </w:rPr>
      </w:pPr>
    </w:p>
    <w:p w:rsidR="00EB408D" w:rsidRPr="007170B7" w:rsidRDefault="00EB408D" w:rsidP="00EB408D">
      <w:pPr>
        <w:spacing w:line="360" w:lineRule="auto"/>
        <w:ind w:right="-319"/>
        <w:jc w:val="center"/>
        <w:outlineLvl w:val="0"/>
        <w:rPr>
          <w:rFonts w:ascii="Arial" w:hAnsi="Arial" w:cs="Arial"/>
          <w:color w:val="FF0000"/>
          <w:sz w:val="22"/>
          <w:szCs w:val="22"/>
          <w:vertAlign w:val="superscript"/>
          <w:lang w:val="en-US"/>
        </w:rPr>
      </w:pPr>
    </w:p>
    <w:p w:rsidR="00EB408D" w:rsidRPr="007170B7" w:rsidRDefault="00EB408D" w:rsidP="00EB408D">
      <w:pPr>
        <w:spacing w:line="360" w:lineRule="auto"/>
        <w:ind w:right="-319"/>
        <w:jc w:val="center"/>
        <w:outlineLvl w:val="0"/>
        <w:rPr>
          <w:rFonts w:ascii="Arial" w:hAnsi="Arial" w:cs="Arial"/>
          <w:color w:val="FF0000"/>
          <w:sz w:val="22"/>
          <w:szCs w:val="22"/>
          <w:vertAlign w:val="superscript"/>
          <w:lang w:val="en-US"/>
        </w:rPr>
        <w:sectPr w:rsidR="00EB408D" w:rsidRPr="007170B7" w:rsidSect="008651A8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63C4" w:rsidRPr="007170B7" w:rsidRDefault="004847DC" w:rsidP="00760D63">
      <w:pPr>
        <w:spacing w:line="360" w:lineRule="auto"/>
        <w:ind w:left="-360" w:right="42" w:firstLine="360"/>
        <w:jc w:val="center"/>
        <w:rPr>
          <w:b/>
          <w:bCs/>
          <w:sz w:val="22"/>
          <w:szCs w:val="22"/>
          <w:lang w:val="en-US"/>
        </w:rPr>
      </w:pPr>
      <w:r w:rsidRPr="007170B7">
        <w:rPr>
          <w:b/>
          <w:bCs/>
          <w:sz w:val="22"/>
          <w:szCs w:val="22"/>
          <w:lang w:val="en-US"/>
        </w:rPr>
        <w:lastRenderedPageBreak/>
        <w:t xml:space="preserve">Executive Summary </w:t>
      </w:r>
    </w:p>
    <w:p w:rsidR="00760D63" w:rsidRPr="007170B7" w:rsidRDefault="00760D63" w:rsidP="00760D63">
      <w:pPr>
        <w:spacing w:line="360" w:lineRule="auto"/>
        <w:ind w:left="-360" w:right="42" w:firstLine="360"/>
        <w:jc w:val="center"/>
        <w:rPr>
          <w:b/>
          <w:bCs/>
          <w:sz w:val="22"/>
          <w:szCs w:val="22"/>
          <w:lang w:val="en-US"/>
        </w:rPr>
      </w:pPr>
    </w:p>
    <w:p w:rsidR="00D23AAF" w:rsidRPr="007170B7" w:rsidRDefault="003E66CB" w:rsidP="00B161B7">
      <w:pPr>
        <w:spacing w:line="360" w:lineRule="auto"/>
        <w:ind w:left="-360" w:right="40"/>
        <w:jc w:val="both"/>
        <w:rPr>
          <w:sz w:val="22"/>
          <w:szCs w:val="22"/>
          <w:lang w:val="en-US"/>
        </w:rPr>
      </w:pPr>
      <w:r w:rsidRPr="007170B7">
        <w:rPr>
          <w:sz w:val="22"/>
          <w:szCs w:val="22"/>
          <w:lang w:val="en-US"/>
        </w:rPr>
        <w:t xml:space="preserve">We revise up our economic growth forecast for the third quarter compared to second quarter from 0.6 percent, </w:t>
      </w:r>
      <w:r w:rsidR="009E2440" w:rsidRPr="007170B7">
        <w:rPr>
          <w:sz w:val="22"/>
          <w:szCs w:val="22"/>
          <w:lang w:val="en-US"/>
        </w:rPr>
        <w:t xml:space="preserve">which was </w:t>
      </w:r>
      <w:r w:rsidRPr="007170B7">
        <w:rPr>
          <w:sz w:val="22"/>
          <w:szCs w:val="22"/>
          <w:lang w:val="en-US"/>
        </w:rPr>
        <w:t>mostly based on leading indicators of July and August, to 0.7 per</w:t>
      </w:r>
      <w:r w:rsidR="007172A4">
        <w:rPr>
          <w:sz w:val="22"/>
          <w:szCs w:val="22"/>
          <w:lang w:val="en-US"/>
        </w:rPr>
        <w:t xml:space="preserve"> </w:t>
      </w:r>
      <w:r w:rsidR="007172A4" w:rsidRPr="007170B7">
        <w:rPr>
          <w:sz w:val="22"/>
          <w:szCs w:val="22"/>
          <w:lang w:val="en-US"/>
        </w:rPr>
        <w:t>cent considering</w:t>
      </w:r>
      <w:r w:rsidRPr="007170B7">
        <w:rPr>
          <w:sz w:val="22"/>
          <w:szCs w:val="22"/>
          <w:lang w:val="en-US"/>
        </w:rPr>
        <w:t xml:space="preserve"> </w:t>
      </w:r>
      <w:r w:rsidR="007172A4">
        <w:rPr>
          <w:sz w:val="22"/>
          <w:szCs w:val="22"/>
          <w:lang w:val="en-US"/>
        </w:rPr>
        <w:t>the new data of</w:t>
      </w:r>
      <w:r w:rsidR="00943DE4" w:rsidRPr="007170B7">
        <w:rPr>
          <w:sz w:val="22"/>
          <w:szCs w:val="22"/>
          <w:lang w:val="en-US"/>
        </w:rPr>
        <w:t xml:space="preserve"> September. Seasonally adjusted Industrial Production Index (IPI) remained stable in September compared to </w:t>
      </w:r>
      <w:r w:rsidR="008A60F3" w:rsidRPr="007170B7">
        <w:rPr>
          <w:sz w:val="22"/>
          <w:szCs w:val="22"/>
          <w:lang w:val="en-US"/>
        </w:rPr>
        <w:t>its previous month</w:t>
      </w:r>
      <w:r w:rsidR="00D23AAF" w:rsidRPr="007170B7">
        <w:rPr>
          <w:sz w:val="22"/>
          <w:szCs w:val="22"/>
          <w:lang w:val="en-US"/>
        </w:rPr>
        <w:t>.</w:t>
      </w:r>
      <w:r w:rsidR="00CF0D49" w:rsidRPr="007170B7">
        <w:rPr>
          <w:sz w:val="22"/>
          <w:szCs w:val="22"/>
          <w:lang w:val="en-US"/>
        </w:rPr>
        <w:t xml:space="preserve"> </w:t>
      </w:r>
      <w:r w:rsidR="006C1BC9" w:rsidRPr="007170B7">
        <w:rPr>
          <w:sz w:val="22"/>
          <w:szCs w:val="22"/>
          <w:lang w:val="en-US"/>
        </w:rPr>
        <w:t>In the third quarter, IPI has incre</w:t>
      </w:r>
      <w:r w:rsidR="00703CAA" w:rsidRPr="007170B7">
        <w:rPr>
          <w:sz w:val="22"/>
          <w:szCs w:val="22"/>
          <w:lang w:val="en-US"/>
        </w:rPr>
        <w:t>a</w:t>
      </w:r>
      <w:r w:rsidR="006C1BC9" w:rsidRPr="007170B7">
        <w:rPr>
          <w:sz w:val="22"/>
          <w:szCs w:val="22"/>
          <w:lang w:val="en-US"/>
        </w:rPr>
        <w:t>sed by 1.2 percent compared to its previous quarter.</w:t>
      </w:r>
      <w:r w:rsidR="00C42CC2" w:rsidRPr="007170B7">
        <w:rPr>
          <w:sz w:val="22"/>
          <w:szCs w:val="22"/>
          <w:lang w:val="en-US"/>
        </w:rPr>
        <w:t xml:space="preserve"> At the same period, export volume index increased by 3.3 percent and import volume index decreased by 1.2 percent. </w:t>
      </w:r>
      <w:r w:rsidR="007172A4">
        <w:rPr>
          <w:sz w:val="22"/>
          <w:szCs w:val="22"/>
          <w:lang w:val="en-US"/>
        </w:rPr>
        <w:t>So</w:t>
      </w:r>
      <w:r w:rsidR="00C42CC2" w:rsidRPr="007170B7">
        <w:rPr>
          <w:sz w:val="22"/>
          <w:szCs w:val="22"/>
          <w:lang w:val="en-US"/>
        </w:rPr>
        <w:t>, the contribution of net exports to the growth is expected to</w:t>
      </w:r>
      <w:r w:rsidR="00A16730">
        <w:rPr>
          <w:sz w:val="22"/>
          <w:szCs w:val="22"/>
          <w:lang w:val="en-US"/>
        </w:rPr>
        <w:t xml:space="preserve"> be </w:t>
      </w:r>
      <w:r w:rsidR="00C42CC2" w:rsidRPr="007170B7">
        <w:rPr>
          <w:sz w:val="22"/>
          <w:szCs w:val="22"/>
          <w:lang w:val="en-US"/>
        </w:rPr>
        <w:t xml:space="preserve"> significantly positive.</w:t>
      </w:r>
    </w:p>
    <w:p w:rsidR="00625336" w:rsidRPr="007170B7" w:rsidRDefault="00625336" w:rsidP="00625336">
      <w:pPr>
        <w:spacing w:line="360" w:lineRule="auto"/>
        <w:ind w:left="-360" w:right="40"/>
        <w:jc w:val="both"/>
        <w:rPr>
          <w:sz w:val="22"/>
          <w:szCs w:val="22"/>
          <w:lang w:val="en-US"/>
        </w:rPr>
      </w:pPr>
    </w:p>
    <w:p w:rsidR="00625336" w:rsidRPr="007170B7" w:rsidRDefault="00625336" w:rsidP="00625336">
      <w:pPr>
        <w:spacing w:line="360" w:lineRule="auto"/>
        <w:ind w:left="-360" w:right="40"/>
        <w:jc w:val="both"/>
        <w:rPr>
          <w:sz w:val="22"/>
          <w:szCs w:val="22"/>
          <w:lang w:val="en-US"/>
        </w:rPr>
      </w:pPr>
      <w:r w:rsidRPr="007170B7">
        <w:rPr>
          <w:sz w:val="22"/>
          <w:szCs w:val="22"/>
          <w:lang w:val="en-US"/>
        </w:rPr>
        <w:t>The current account surplus in September was $95 millio</w:t>
      </w:r>
      <w:r w:rsidR="004454FD" w:rsidRPr="007170B7">
        <w:rPr>
          <w:sz w:val="22"/>
          <w:szCs w:val="22"/>
          <w:lang w:val="en-US"/>
        </w:rPr>
        <w:t xml:space="preserve">n. </w:t>
      </w:r>
      <w:r w:rsidRPr="007170B7">
        <w:rPr>
          <w:sz w:val="22"/>
          <w:szCs w:val="22"/>
          <w:lang w:val="en-US"/>
        </w:rPr>
        <w:t>12-month rolling current account deficit decreased from $4</w:t>
      </w:r>
      <w:r w:rsidR="004454FD" w:rsidRPr="007170B7">
        <w:rPr>
          <w:sz w:val="22"/>
          <w:szCs w:val="22"/>
          <w:lang w:val="en-US"/>
        </w:rPr>
        <w:t>4.</w:t>
      </w:r>
      <w:r w:rsidRPr="007170B7">
        <w:rPr>
          <w:sz w:val="22"/>
          <w:szCs w:val="22"/>
          <w:lang w:val="en-US"/>
        </w:rPr>
        <w:t xml:space="preserve">3 billion to $40.5 billion. We predict the current account deficit to GDP ratio to be 5.5 percent in third quarter and the gold-excluded ratio to be 5.6 percent.  </w:t>
      </w:r>
    </w:p>
    <w:p w:rsidR="00FB0FBD" w:rsidRPr="007170B7" w:rsidRDefault="00FB0FBD" w:rsidP="00FB0FBD">
      <w:pPr>
        <w:spacing w:line="360" w:lineRule="auto"/>
        <w:ind w:left="-360" w:right="40"/>
        <w:jc w:val="both"/>
        <w:rPr>
          <w:sz w:val="22"/>
          <w:szCs w:val="22"/>
          <w:lang w:val="en-US"/>
        </w:rPr>
      </w:pPr>
    </w:p>
    <w:p w:rsidR="00FB0FBD" w:rsidRPr="007170B7" w:rsidRDefault="00FB0FBD" w:rsidP="00F43211">
      <w:pPr>
        <w:spacing w:line="360" w:lineRule="auto"/>
        <w:ind w:left="-360" w:right="42"/>
        <w:jc w:val="both"/>
        <w:rPr>
          <w:b/>
          <w:sz w:val="22"/>
          <w:szCs w:val="22"/>
          <w:lang w:val="en-US"/>
        </w:rPr>
      </w:pPr>
    </w:p>
    <w:p w:rsidR="00EB408D" w:rsidRPr="007170B7" w:rsidRDefault="00BE0C6B" w:rsidP="00EB408D">
      <w:pPr>
        <w:spacing w:line="288" w:lineRule="auto"/>
        <w:ind w:right="-318"/>
        <w:jc w:val="both"/>
        <w:rPr>
          <w:rFonts w:ascii="Arial" w:hAnsi="Arial" w:cs="Arial"/>
          <w:color w:val="FF0000"/>
          <w:sz w:val="16"/>
          <w:szCs w:val="16"/>
          <w:lang w:val="en-US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67945</wp:posOffset>
                </wp:positionV>
                <wp:extent cx="2514600" cy="635"/>
                <wp:effectExtent l="0" t="0" r="19050" b="3746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5.35pt" to="18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  <w:color w:val="FF0000"/>
          <w:sz w:val="16"/>
          <w:szCs w:val="16"/>
        </w:rPr>
        <mc:AlternateContent>
          <mc:Choice Requires="wpc">
            <w:drawing>
              <wp:inline distT="0" distB="0" distL="0" distR="0">
                <wp:extent cx="2514600" cy="45720"/>
                <wp:effectExtent l="0" t="0" r="0" b="0"/>
                <wp:docPr id="2" name="Canv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9" o:spid="_x0000_s1026" editas="canvas" style="width:198pt;height:3.6pt;mso-position-horizontal-relative:char;mso-position-vertical-relative:line" coordsize="2514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X8hqMN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146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816E4" w:rsidRPr="007170B7" w:rsidRDefault="009816E4" w:rsidP="009816E4">
      <w:pPr>
        <w:spacing w:line="288" w:lineRule="auto"/>
        <w:ind w:left="-360" w:right="-318"/>
        <w:jc w:val="both"/>
        <w:rPr>
          <w:sz w:val="16"/>
          <w:szCs w:val="16"/>
          <w:lang w:val="en-US"/>
        </w:rPr>
      </w:pPr>
      <w:r w:rsidRPr="007170B7">
        <w:rPr>
          <w:sz w:val="16"/>
          <w:szCs w:val="16"/>
          <w:lang w:val="en-US"/>
        </w:rPr>
        <w:t xml:space="preserve">* Prof. Dr. Seyfettin Gürsel, Betam Director, </w:t>
      </w:r>
    </w:p>
    <w:p w:rsidR="009816E4" w:rsidRPr="007170B7" w:rsidRDefault="00B06E71" w:rsidP="009816E4">
      <w:pPr>
        <w:spacing w:line="288" w:lineRule="auto"/>
        <w:ind w:left="-360" w:right="-318"/>
        <w:jc w:val="both"/>
        <w:rPr>
          <w:rStyle w:val="Hyperlink"/>
          <w:lang w:val="en-US"/>
        </w:rPr>
      </w:pPr>
      <w:hyperlink r:id="rId11" w:history="1">
        <w:r w:rsidR="009816E4" w:rsidRPr="007170B7">
          <w:rPr>
            <w:rStyle w:val="Hyperlink"/>
            <w:sz w:val="16"/>
            <w:szCs w:val="16"/>
            <w:lang w:val="en-US"/>
          </w:rPr>
          <w:t>seyfettin.gursel@eas.bahcesehir.edu.tr</w:t>
        </w:r>
      </w:hyperlink>
    </w:p>
    <w:p w:rsidR="009816E4" w:rsidRPr="007170B7" w:rsidRDefault="009816E4" w:rsidP="009816E4">
      <w:pPr>
        <w:spacing w:line="288" w:lineRule="auto"/>
        <w:ind w:left="-360" w:right="-318"/>
        <w:jc w:val="both"/>
        <w:rPr>
          <w:sz w:val="16"/>
          <w:szCs w:val="16"/>
          <w:lang w:val="en-US"/>
        </w:rPr>
      </w:pPr>
      <w:r w:rsidRPr="007170B7">
        <w:rPr>
          <w:sz w:val="16"/>
          <w:szCs w:val="16"/>
          <w:lang w:val="en-US"/>
        </w:rPr>
        <w:t>** Mine Durmaz, Betam, Research Assistant,</w:t>
      </w:r>
    </w:p>
    <w:p w:rsidR="009816E4" w:rsidRPr="007170B7" w:rsidRDefault="00B06E71" w:rsidP="009816E4">
      <w:pPr>
        <w:ind w:left="-360"/>
        <w:rPr>
          <w:lang w:val="en-US"/>
        </w:rPr>
      </w:pPr>
      <w:hyperlink r:id="rId12" w:history="1">
        <w:r w:rsidR="009816E4" w:rsidRPr="007170B7">
          <w:rPr>
            <w:rStyle w:val="Hyperlink"/>
            <w:sz w:val="16"/>
            <w:szCs w:val="16"/>
            <w:lang w:val="en-US"/>
          </w:rPr>
          <w:t>mine.durmaz@eas.bahcesehir.edu.tr</w:t>
        </w:r>
      </w:hyperlink>
    </w:p>
    <w:p w:rsidR="009816E4" w:rsidRPr="007170B7" w:rsidRDefault="009816E4" w:rsidP="009816E4">
      <w:pPr>
        <w:ind w:left="-360"/>
        <w:rPr>
          <w:sz w:val="16"/>
          <w:szCs w:val="16"/>
          <w:lang w:val="en-US"/>
        </w:rPr>
      </w:pPr>
      <w:r w:rsidRPr="007170B7">
        <w:rPr>
          <w:sz w:val="16"/>
          <w:szCs w:val="16"/>
          <w:lang w:val="en-US"/>
        </w:rPr>
        <w:t>***Melike Kökkızıl, Betam, Research Assistant,</w:t>
      </w:r>
    </w:p>
    <w:p w:rsidR="009816E4" w:rsidRPr="007170B7" w:rsidRDefault="00B06E71" w:rsidP="009816E4">
      <w:pPr>
        <w:ind w:left="-360"/>
        <w:rPr>
          <w:color w:val="FF0000"/>
          <w:sz w:val="16"/>
          <w:szCs w:val="16"/>
          <w:lang w:val="en-US"/>
        </w:rPr>
      </w:pPr>
      <w:hyperlink r:id="rId13" w:history="1">
        <w:r w:rsidR="009816E4" w:rsidRPr="007170B7">
          <w:rPr>
            <w:rStyle w:val="Hyperlink"/>
            <w:sz w:val="16"/>
            <w:szCs w:val="16"/>
            <w:lang w:val="en-US"/>
          </w:rPr>
          <w:t>melike.kokkızıl@eas.bahcsehir.edu.tr</w:t>
        </w:r>
      </w:hyperlink>
    </w:p>
    <w:p w:rsidR="00B161B7" w:rsidRPr="007170B7" w:rsidRDefault="00B161B7" w:rsidP="00B161B7">
      <w:pPr>
        <w:ind w:left="-360"/>
        <w:rPr>
          <w:color w:val="FF0000"/>
          <w:sz w:val="16"/>
          <w:szCs w:val="16"/>
          <w:lang w:val="en-US"/>
        </w:rPr>
      </w:pPr>
    </w:p>
    <w:p w:rsidR="00B161B7" w:rsidRPr="007170B7" w:rsidRDefault="00B161B7" w:rsidP="00B161B7">
      <w:pPr>
        <w:ind w:left="-360"/>
        <w:rPr>
          <w:color w:val="FF0000"/>
          <w:sz w:val="16"/>
          <w:szCs w:val="16"/>
          <w:lang w:val="en-US"/>
        </w:rPr>
      </w:pPr>
    </w:p>
    <w:p w:rsidR="00FB0FBD" w:rsidRPr="007170B7" w:rsidRDefault="00FB0FBD" w:rsidP="000B100E">
      <w:pPr>
        <w:spacing w:line="360" w:lineRule="auto"/>
        <w:ind w:left="-360" w:right="40"/>
        <w:jc w:val="both"/>
        <w:rPr>
          <w:sz w:val="22"/>
          <w:szCs w:val="22"/>
          <w:lang w:val="en-US"/>
        </w:rPr>
      </w:pPr>
    </w:p>
    <w:p w:rsidR="00760D63" w:rsidRPr="007170B7" w:rsidRDefault="00760D63" w:rsidP="002914BF">
      <w:pPr>
        <w:ind w:left="-284" w:right="-71"/>
        <w:outlineLvl w:val="0"/>
        <w:rPr>
          <w:b/>
          <w:bCs/>
          <w:sz w:val="22"/>
          <w:szCs w:val="22"/>
          <w:lang w:val="en-US"/>
        </w:rPr>
      </w:pPr>
    </w:p>
    <w:p w:rsidR="00760D63" w:rsidRPr="007170B7" w:rsidRDefault="00760D63" w:rsidP="002914BF">
      <w:pPr>
        <w:ind w:left="-284" w:right="-71"/>
        <w:outlineLvl w:val="0"/>
        <w:rPr>
          <w:b/>
          <w:bCs/>
          <w:sz w:val="22"/>
          <w:szCs w:val="22"/>
          <w:lang w:val="en-US"/>
        </w:rPr>
      </w:pPr>
    </w:p>
    <w:p w:rsidR="00FB0FBD" w:rsidRPr="007170B7" w:rsidRDefault="00EB408D" w:rsidP="002914BF">
      <w:pPr>
        <w:ind w:left="-284" w:right="-71"/>
        <w:outlineLvl w:val="0"/>
        <w:rPr>
          <w:b/>
          <w:bCs/>
          <w:sz w:val="22"/>
          <w:szCs w:val="22"/>
          <w:lang w:val="en-US"/>
        </w:rPr>
      </w:pPr>
      <w:r w:rsidRPr="007170B7">
        <w:rPr>
          <w:b/>
          <w:bCs/>
          <w:sz w:val="22"/>
          <w:szCs w:val="22"/>
          <w:lang w:val="en-US"/>
        </w:rPr>
        <w:t>Tabl</w:t>
      </w:r>
      <w:r w:rsidR="002914BF" w:rsidRPr="007170B7">
        <w:rPr>
          <w:b/>
          <w:bCs/>
          <w:sz w:val="22"/>
          <w:szCs w:val="22"/>
          <w:lang w:val="en-US"/>
        </w:rPr>
        <w:t>e</w:t>
      </w:r>
      <w:r w:rsidRPr="007170B7">
        <w:rPr>
          <w:b/>
          <w:bCs/>
          <w:sz w:val="22"/>
          <w:szCs w:val="22"/>
          <w:lang w:val="en-US"/>
        </w:rPr>
        <w:t xml:space="preserve"> 1. </w:t>
      </w:r>
      <w:r w:rsidR="002914BF" w:rsidRPr="007170B7">
        <w:rPr>
          <w:b/>
          <w:bCs/>
          <w:sz w:val="22"/>
          <w:szCs w:val="22"/>
          <w:lang w:val="en-US"/>
        </w:rPr>
        <w:t>Betam's quarterly growth rate forecast</w:t>
      </w:r>
    </w:p>
    <w:p w:rsidR="00FB0FBD" w:rsidRPr="007170B7" w:rsidRDefault="00FB0FBD" w:rsidP="00EB408D">
      <w:pPr>
        <w:outlineLvl w:val="0"/>
        <w:rPr>
          <w:b/>
          <w:bCs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right" w:tblpY="129"/>
        <w:tblW w:w="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1421"/>
      </w:tblGrid>
      <w:tr w:rsidR="000C40CE" w:rsidRPr="007170B7" w:rsidTr="00044A0F">
        <w:trPr>
          <w:trHeight w:val="842"/>
        </w:trPr>
        <w:tc>
          <w:tcPr>
            <w:tcW w:w="3215" w:type="dxa"/>
            <w:tcMar>
              <w:left w:w="28" w:type="dxa"/>
              <w:right w:w="28" w:type="dxa"/>
            </w:tcMar>
            <w:vAlign w:val="center"/>
          </w:tcPr>
          <w:p w:rsidR="003B33D9" w:rsidRPr="007170B7" w:rsidRDefault="003B33D9" w:rsidP="006E6C5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3B33D9" w:rsidRPr="007170B7" w:rsidRDefault="003B33D9" w:rsidP="006E6C50">
            <w:pPr>
              <w:ind w:right="4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170B7">
              <w:rPr>
                <w:b/>
                <w:bCs/>
                <w:sz w:val="20"/>
                <w:szCs w:val="20"/>
                <w:lang w:val="en-US"/>
              </w:rPr>
              <w:t>2015</w:t>
            </w:r>
          </w:p>
          <w:p w:rsidR="00317EE9" w:rsidRPr="007170B7" w:rsidRDefault="00317EE9" w:rsidP="00317EE9">
            <w:pPr>
              <w:ind w:right="4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170B7">
              <w:rPr>
                <w:b/>
                <w:bCs/>
                <w:sz w:val="18"/>
                <w:szCs w:val="18"/>
                <w:lang w:val="en-US"/>
              </w:rPr>
              <w:t>3. Quarter</w:t>
            </w:r>
          </w:p>
          <w:p w:rsidR="003B33D9" w:rsidRPr="007170B7" w:rsidRDefault="00317EE9" w:rsidP="00317EE9">
            <w:pPr>
              <w:ind w:right="4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170B7">
              <w:rPr>
                <w:b/>
                <w:bCs/>
                <w:sz w:val="20"/>
                <w:szCs w:val="20"/>
                <w:lang w:val="en-US"/>
              </w:rPr>
              <w:t>(%)</w:t>
            </w:r>
          </w:p>
        </w:tc>
      </w:tr>
      <w:tr w:rsidR="000C40CE" w:rsidRPr="007170B7" w:rsidTr="00044A0F">
        <w:trPr>
          <w:trHeight w:val="659"/>
        </w:trPr>
        <w:tc>
          <w:tcPr>
            <w:tcW w:w="3215" w:type="dxa"/>
            <w:tcMar>
              <w:left w:w="28" w:type="dxa"/>
              <w:right w:w="28" w:type="dxa"/>
            </w:tcMar>
            <w:vAlign w:val="center"/>
          </w:tcPr>
          <w:p w:rsidR="00317EE9" w:rsidRPr="007170B7" w:rsidRDefault="00317EE9" w:rsidP="00317EE9">
            <w:pPr>
              <w:spacing w:line="360" w:lineRule="auto"/>
              <w:ind w:right="42"/>
              <w:rPr>
                <w:b/>
                <w:sz w:val="20"/>
                <w:szCs w:val="20"/>
                <w:lang w:val="en-US"/>
              </w:rPr>
            </w:pPr>
            <w:r w:rsidRPr="007170B7">
              <w:rPr>
                <w:b/>
                <w:sz w:val="20"/>
                <w:szCs w:val="20"/>
                <w:lang w:val="en-US"/>
              </w:rPr>
              <w:t xml:space="preserve">Real GDP growth, % </w:t>
            </w:r>
          </w:p>
          <w:p w:rsidR="003B33D9" w:rsidRPr="007170B7" w:rsidRDefault="00317EE9" w:rsidP="00317EE9">
            <w:pPr>
              <w:ind w:right="42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(quarter on quarter, sa*)</w:t>
            </w:r>
          </w:p>
        </w:tc>
        <w:tc>
          <w:tcPr>
            <w:tcW w:w="1421" w:type="dxa"/>
            <w:vAlign w:val="center"/>
          </w:tcPr>
          <w:p w:rsidR="003B33D9" w:rsidRPr="007170B7" w:rsidRDefault="00283666" w:rsidP="00317EE9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</w:t>
            </w:r>
            <w:r w:rsidR="00317EE9" w:rsidRPr="007170B7">
              <w:rPr>
                <w:sz w:val="20"/>
                <w:szCs w:val="20"/>
                <w:lang w:val="en-US"/>
              </w:rPr>
              <w:t>.</w:t>
            </w:r>
            <w:r w:rsidR="005E4877" w:rsidRPr="007170B7">
              <w:rPr>
                <w:sz w:val="20"/>
                <w:szCs w:val="20"/>
                <w:lang w:val="en-US"/>
              </w:rPr>
              <w:t>7</w:t>
            </w:r>
          </w:p>
        </w:tc>
      </w:tr>
      <w:tr w:rsidR="000C40CE" w:rsidRPr="007170B7" w:rsidTr="00044A0F">
        <w:trPr>
          <w:trHeight w:val="646"/>
        </w:trPr>
        <w:tc>
          <w:tcPr>
            <w:tcW w:w="3215" w:type="dxa"/>
            <w:tcMar>
              <w:left w:w="28" w:type="dxa"/>
              <w:right w:w="28" w:type="dxa"/>
            </w:tcMar>
            <w:vAlign w:val="center"/>
          </w:tcPr>
          <w:p w:rsidR="00317EE9" w:rsidRPr="007170B7" w:rsidRDefault="00317EE9" w:rsidP="00317EE9">
            <w:pPr>
              <w:spacing w:line="360" w:lineRule="auto"/>
              <w:ind w:right="42"/>
              <w:rPr>
                <w:sz w:val="20"/>
                <w:szCs w:val="20"/>
                <w:lang w:val="en-US"/>
              </w:rPr>
            </w:pPr>
            <w:r w:rsidRPr="007170B7">
              <w:rPr>
                <w:b/>
                <w:sz w:val="20"/>
                <w:szCs w:val="20"/>
                <w:lang w:val="en-US"/>
              </w:rPr>
              <w:t>Current account deficit</w:t>
            </w:r>
          </w:p>
          <w:p w:rsidR="003B33D9" w:rsidRPr="007170B7" w:rsidRDefault="00317EE9" w:rsidP="00317EE9">
            <w:pPr>
              <w:ind w:right="40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(% of GDP, annual)</w:t>
            </w:r>
          </w:p>
        </w:tc>
        <w:tc>
          <w:tcPr>
            <w:tcW w:w="1421" w:type="dxa"/>
            <w:vAlign w:val="center"/>
          </w:tcPr>
          <w:p w:rsidR="003B33D9" w:rsidRPr="007170B7" w:rsidRDefault="008F1089" w:rsidP="00317EE9">
            <w:pPr>
              <w:ind w:right="40"/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5</w:t>
            </w:r>
            <w:r w:rsidR="00317EE9" w:rsidRPr="007170B7">
              <w:rPr>
                <w:sz w:val="20"/>
                <w:szCs w:val="20"/>
                <w:lang w:val="en-US"/>
              </w:rPr>
              <w:t>.</w:t>
            </w:r>
            <w:r w:rsidR="005E4877" w:rsidRPr="007170B7">
              <w:rPr>
                <w:sz w:val="20"/>
                <w:szCs w:val="20"/>
                <w:lang w:val="en-US"/>
              </w:rPr>
              <w:t>5</w:t>
            </w:r>
          </w:p>
        </w:tc>
      </w:tr>
      <w:tr w:rsidR="000C40CE" w:rsidRPr="007170B7" w:rsidTr="00044A0F">
        <w:trPr>
          <w:trHeight w:val="498"/>
        </w:trPr>
        <w:tc>
          <w:tcPr>
            <w:tcW w:w="3215" w:type="dxa"/>
            <w:tcMar>
              <w:left w:w="28" w:type="dxa"/>
              <w:right w:w="28" w:type="dxa"/>
            </w:tcMar>
            <w:vAlign w:val="center"/>
          </w:tcPr>
          <w:p w:rsidR="003B33D9" w:rsidRPr="007170B7" w:rsidRDefault="00317EE9" w:rsidP="004454FD">
            <w:pPr>
              <w:spacing w:line="360" w:lineRule="auto"/>
              <w:ind w:right="42"/>
              <w:rPr>
                <w:sz w:val="20"/>
                <w:szCs w:val="20"/>
                <w:lang w:val="en-US"/>
              </w:rPr>
            </w:pPr>
            <w:r w:rsidRPr="007170B7">
              <w:rPr>
                <w:b/>
                <w:sz w:val="20"/>
                <w:szCs w:val="20"/>
                <w:lang w:val="en-US"/>
              </w:rPr>
              <w:t>Gold Excluded current account deficit</w:t>
            </w:r>
            <w:r w:rsidR="004454FD" w:rsidRPr="007170B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170B7">
              <w:rPr>
                <w:sz w:val="20"/>
                <w:szCs w:val="20"/>
                <w:lang w:val="en-US"/>
              </w:rPr>
              <w:t>(% of GDP, annual)</w:t>
            </w:r>
          </w:p>
        </w:tc>
        <w:tc>
          <w:tcPr>
            <w:tcW w:w="1421" w:type="dxa"/>
            <w:vAlign w:val="center"/>
          </w:tcPr>
          <w:p w:rsidR="003B33D9" w:rsidRPr="007170B7" w:rsidRDefault="00317EE9" w:rsidP="00283666">
            <w:pPr>
              <w:ind w:right="40"/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5.</w:t>
            </w:r>
            <w:r w:rsidR="005E4877" w:rsidRPr="007170B7">
              <w:rPr>
                <w:sz w:val="20"/>
                <w:szCs w:val="20"/>
                <w:lang w:val="en-US"/>
              </w:rPr>
              <w:t>6</w:t>
            </w:r>
          </w:p>
        </w:tc>
      </w:tr>
    </w:tbl>
    <w:p w:rsidR="00FC6565" w:rsidRPr="007170B7" w:rsidRDefault="004454FD" w:rsidP="00A71944">
      <w:pPr>
        <w:spacing w:line="360" w:lineRule="auto"/>
        <w:ind w:right="42"/>
        <w:rPr>
          <w:sz w:val="18"/>
          <w:szCs w:val="18"/>
          <w:lang w:val="en-US"/>
        </w:rPr>
      </w:pPr>
      <w:r w:rsidRPr="007170B7">
        <w:rPr>
          <w:sz w:val="18"/>
          <w:szCs w:val="18"/>
          <w:lang w:val="en-US"/>
        </w:rPr>
        <w:t>Source:</w:t>
      </w:r>
      <w:r w:rsidR="00A71944" w:rsidRPr="007170B7">
        <w:rPr>
          <w:sz w:val="18"/>
          <w:szCs w:val="18"/>
          <w:lang w:val="en-US"/>
        </w:rPr>
        <w:t xml:space="preserve"> </w:t>
      </w:r>
      <w:r w:rsidR="00317EE9" w:rsidRPr="007170B7">
        <w:rPr>
          <w:sz w:val="18"/>
          <w:szCs w:val="18"/>
          <w:lang w:val="en-US"/>
        </w:rPr>
        <w:t>Betam.*sa</w:t>
      </w:r>
      <w:r w:rsidRPr="007170B7">
        <w:rPr>
          <w:sz w:val="18"/>
          <w:szCs w:val="18"/>
          <w:lang w:val="en-US"/>
        </w:rPr>
        <w:t>:</w:t>
      </w:r>
      <w:r w:rsidR="00A71944" w:rsidRPr="007170B7">
        <w:rPr>
          <w:sz w:val="18"/>
          <w:szCs w:val="18"/>
          <w:lang w:val="en-US"/>
        </w:rPr>
        <w:t xml:space="preserve"> </w:t>
      </w:r>
      <w:r w:rsidR="00317EE9" w:rsidRPr="007170B7">
        <w:rPr>
          <w:sz w:val="18"/>
          <w:szCs w:val="18"/>
          <w:lang w:val="en-US"/>
        </w:rPr>
        <w:t>seaso</w:t>
      </w:r>
      <w:r w:rsidRPr="007170B7">
        <w:rPr>
          <w:sz w:val="18"/>
          <w:szCs w:val="18"/>
          <w:lang w:val="en-US"/>
        </w:rPr>
        <w:t xml:space="preserve">nally and calendar day adjusted. </w:t>
      </w:r>
      <w:r w:rsidR="00317EE9" w:rsidRPr="007170B7">
        <w:rPr>
          <w:sz w:val="18"/>
          <w:szCs w:val="18"/>
          <w:lang w:val="en-US"/>
        </w:rPr>
        <w:t>**ca: calendar day adjusted</w:t>
      </w:r>
      <w:r w:rsidRPr="007170B7">
        <w:rPr>
          <w:sz w:val="18"/>
          <w:szCs w:val="18"/>
          <w:lang w:val="en-US"/>
        </w:rPr>
        <w:t>.</w:t>
      </w:r>
    </w:p>
    <w:p w:rsidR="00A71944" w:rsidRPr="007170B7" w:rsidRDefault="00A71944" w:rsidP="00A71944">
      <w:pPr>
        <w:spacing w:line="360" w:lineRule="auto"/>
        <w:ind w:right="42"/>
        <w:rPr>
          <w:b/>
          <w:sz w:val="22"/>
          <w:szCs w:val="22"/>
          <w:lang w:val="en-US"/>
        </w:rPr>
      </w:pPr>
    </w:p>
    <w:p w:rsidR="00A71944" w:rsidRPr="007170B7" w:rsidRDefault="004848F9" w:rsidP="00F43211">
      <w:pPr>
        <w:spacing w:line="360" w:lineRule="auto"/>
        <w:ind w:left="-360" w:right="42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Components</w:t>
      </w:r>
      <w:r w:rsidR="00A71944" w:rsidRPr="007170B7">
        <w:rPr>
          <w:b/>
          <w:sz w:val="22"/>
          <w:szCs w:val="22"/>
          <w:lang w:val="en-US"/>
        </w:rPr>
        <w:t xml:space="preserve"> of industrial production </w:t>
      </w:r>
    </w:p>
    <w:p w:rsidR="00A71944" w:rsidRPr="007170B7" w:rsidRDefault="004848F9" w:rsidP="00F43211">
      <w:pPr>
        <w:spacing w:line="360" w:lineRule="auto"/>
        <w:ind w:left="-360" w:right="42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i</w:t>
      </w:r>
      <w:r w:rsidRPr="007170B7">
        <w:rPr>
          <w:b/>
          <w:sz w:val="22"/>
          <w:szCs w:val="22"/>
          <w:lang w:val="en-US"/>
        </w:rPr>
        <w:t>n</w:t>
      </w:r>
      <w:r w:rsidR="00A71944" w:rsidRPr="007170B7">
        <w:rPr>
          <w:b/>
          <w:sz w:val="22"/>
          <w:szCs w:val="22"/>
          <w:lang w:val="en-US"/>
        </w:rPr>
        <w:t xml:space="preserve"> op</w:t>
      </w:r>
      <w:r w:rsidR="003F525A" w:rsidRPr="007170B7">
        <w:rPr>
          <w:b/>
          <w:sz w:val="22"/>
          <w:szCs w:val="22"/>
          <w:lang w:val="en-US"/>
        </w:rPr>
        <w:t>posite</w:t>
      </w:r>
      <w:r w:rsidR="00EB42D1" w:rsidRPr="007170B7">
        <w:rPr>
          <w:b/>
          <w:sz w:val="22"/>
          <w:szCs w:val="22"/>
          <w:lang w:val="en-US"/>
        </w:rPr>
        <w:t xml:space="preserve"> </w:t>
      </w:r>
      <w:r w:rsidR="00A71944" w:rsidRPr="007170B7">
        <w:rPr>
          <w:b/>
          <w:sz w:val="22"/>
          <w:szCs w:val="22"/>
          <w:lang w:val="en-US"/>
        </w:rPr>
        <w:t>directions</w:t>
      </w:r>
    </w:p>
    <w:p w:rsidR="00A71944" w:rsidRPr="007170B7" w:rsidRDefault="00A71944" w:rsidP="00EB42D1">
      <w:pPr>
        <w:spacing w:line="360" w:lineRule="auto"/>
        <w:ind w:left="-360" w:right="42"/>
        <w:jc w:val="both"/>
        <w:rPr>
          <w:sz w:val="22"/>
          <w:szCs w:val="22"/>
          <w:lang w:val="en-US"/>
        </w:rPr>
      </w:pPr>
    </w:p>
    <w:p w:rsidR="00EB42D1" w:rsidRPr="007170B7" w:rsidRDefault="00EB42D1" w:rsidP="00EB42D1">
      <w:pPr>
        <w:spacing w:line="360" w:lineRule="auto"/>
        <w:ind w:left="-360" w:right="42"/>
        <w:jc w:val="both"/>
        <w:rPr>
          <w:sz w:val="22"/>
          <w:szCs w:val="22"/>
          <w:lang w:val="en-US"/>
        </w:rPr>
      </w:pPr>
      <w:r w:rsidRPr="007170B7">
        <w:rPr>
          <w:sz w:val="22"/>
          <w:szCs w:val="22"/>
          <w:lang w:val="en-US"/>
        </w:rPr>
        <w:t xml:space="preserve">In July, industrial production had declined by 1.5 percent and it had substantially increased by 3.0 percent in August. In September, industrial production remained stable compared to August. </w:t>
      </w:r>
    </w:p>
    <w:p w:rsidR="00EB42D1" w:rsidRPr="007170B7" w:rsidRDefault="00FB5B93" w:rsidP="00EB42D1">
      <w:pPr>
        <w:spacing w:line="360" w:lineRule="auto"/>
        <w:ind w:left="-360" w:right="42"/>
        <w:jc w:val="both"/>
        <w:rPr>
          <w:sz w:val="22"/>
          <w:szCs w:val="22"/>
          <w:lang w:val="en-US"/>
        </w:rPr>
      </w:pPr>
      <w:r w:rsidRPr="007170B7">
        <w:rPr>
          <w:sz w:val="22"/>
          <w:szCs w:val="22"/>
          <w:lang w:val="en-US"/>
        </w:rPr>
        <w:t>Overall</w:t>
      </w:r>
      <w:r w:rsidR="00EB42D1" w:rsidRPr="007170B7">
        <w:rPr>
          <w:sz w:val="22"/>
          <w:szCs w:val="22"/>
          <w:lang w:val="en-US"/>
        </w:rPr>
        <w:t xml:space="preserve">, 1.2 percent </w:t>
      </w:r>
      <w:r w:rsidR="00900612" w:rsidRPr="007170B7">
        <w:rPr>
          <w:sz w:val="22"/>
          <w:szCs w:val="22"/>
          <w:lang w:val="en-US"/>
        </w:rPr>
        <w:t xml:space="preserve">rise in </w:t>
      </w:r>
      <w:r w:rsidR="00B23288" w:rsidRPr="007170B7">
        <w:rPr>
          <w:sz w:val="22"/>
          <w:szCs w:val="22"/>
          <w:lang w:val="en-US"/>
        </w:rPr>
        <w:t xml:space="preserve">the third quarter compared to the second quarter </w:t>
      </w:r>
      <w:r w:rsidR="003F525A" w:rsidRPr="007170B7">
        <w:rPr>
          <w:sz w:val="22"/>
          <w:szCs w:val="22"/>
          <w:lang w:val="en-US"/>
        </w:rPr>
        <w:t>has been</w:t>
      </w:r>
      <w:r w:rsidR="00EB42D1" w:rsidRPr="007170B7">
        <w:rPr>
          <w:sz w:val="22"/>
          <w:szCs w:val="22"/>
          <w:lang w:val="en-US"/>
        </w:rPr>
        <w:t xml:space="preserve"> recorded</w:t>
      </w:r>
      <w:r w:rsidR="00B23288" w:rsidRPr="007170B7">
        <w:rPr>
          <w:sz w:val="22"/>
          <w:szCs w:val="22"/>
          <w:lang w:val="en-US"/>
        </w:rPr>
        <w:t xml:space="preserve">. </w:t>
      </w:r>
      <w:r w:rsidR="00900612" w:rsidRPr="007170B7">
        <w:rPr>
          <w:sz w:val="22"/>
          <w:szCs w:val="22"/>
          <w:lang w:val="en-US"/>
        </w:rPr>
        <w:t>It is noteworthy that</w:t>
      </w:r>
      <w:r w:rsidRPr="007170B7">
        <w:rPr>
          <w:sz w:val="22"/>
          <w:szCs w:val="22"/>
          <w:lang w:val="en-US"/>
        </w:rPr>
        <w:t xml:space="preserve"> </w:t>
      </w:r>
      <w:r w:rsidR="00F523F3" w:rsidRPr="007170B7">
        <w:rPr>
          <w:sz w:val="22"/>
          <w:szCs w:val="22"/>
          <w:lang w:val="en-US"/>
        </w:rPr>
        <w:t>rises</w:t>
      </w:r>
      <w:r w:rsidRPr="007170B7">
        <w:rPr>
          <w:sz w:val="22"/>
          <w:szCs w:val="22"/>
          <w:lang w:val="en-US"/>
        </w:rPr>
        <w:t xml:space="preserve"> are totally </w:t>
      </w:r>
      <w:r w:rsidR="00C626EC" w:rsidRPr="007170B7">
        <w:rPr>
          <w:sz w:val="22"/>
          <w:szCs w:val="22"/>
          <w:lang w:val="en-US"/>
        </w:rPr>
        <w:t>derived from</w:t>
      </w:r>
      <w:r w:rsidRPr="007170B7">
        <w:rPr>
          <w:sz w:val="22"/>
          <w:szCs w:val="22"/>
          <w:lang w:val="en-US"/>
        </w:rPr>
        <w:t xml:space="preserve"> </w:t>
      </w:r>
      <w:r w:rsidR="00961E25" w:rsidRPr="007170B7">
        <w:rPr>
          <w:sz w:val="22"/>
          <w:szCs w:val="22"/>
          <w:lang w:val="en-US"/>
        </w:rPr>
        <w:t>the production of investment goods wh</w:t>
      </w:r>
      <w:r w:rsidR="00571099">
        <w:rPr>
          <w:sz w:val="22"/>
          <w:szCs w:val="22"/>
          <w:lang w:val="en-US"/>
        </w:rPr>
        <w:t>ose</w:t>
      </w:r>
      <w:r w:rsidR="00961E25" w:rsidRPr="007170B7">
        <w:rPr>
          <w:sz w:val="22"/>
          <w:szCs w:val="22"/>
          <w:lang w:val="en-US"/>
        </w:rPr>
        <w:t xml:space="preserve"> production  dramatically</w:t>
      </w:r>
      <w:r w:rsidR="00C626EC" w:rsidRPr="007170B7">
        <w:rPr>
          <w:sz w:val="22"/>
          <w:szCs w:val="22"/>
          <w:lang w:val="en-US"/>
        </w:rPr>
        <w:t xml:space="preserve"> </w:t>
      </w:r>
      <w:r w:rsidR="00F523F3" w:rsidRPr="007170B7">
        <w:rPr>
          <w:sz w:val="22"/>
          <w:szCs w:val="22"/>
          <w:lang w:val="en-US"/>
        </w:rPr>
        <w:t>increase</w:t>
      </w:r>
      <w:r w:rsidR="00961E25" w:rsidRPr="007170B7">
        <w:rPr>
          <w:sz w:val="22"/>
          <w:szCs w:val="22"/>
          <w:lang w:val="en-US"/>
        </w:rPr>
        <w:t>d</w:t>
      </w:r>
      <w:r w:rsidR="00F523F3" w:rsidRPr="007170B7">
        <w:rPr>
          <w:sz w:val="22"/>
          <w:szCs w:val="22"/>
          <w:lang w:val="en-US"/>
        </w:rPr>
        <w:t xml:space="preserve"> by</w:t>
      </w:r>
      <w:r w:rsidR="00C626EC" w:rsidRPr="007170B7">
        <w:rPr>
          <w:sz w:val="22"/>
          <w:szCs w:val="22"/>
          <w:lang w:val="en-US"/>
        </w:rPr>
        <w:t xml:space="preserve"> 5.4 percent.</w:t>
      </w:r>
      <w:r w:rsidR="005B683A" w:rsidRPr="007170B7">
        <w:rPr>
          <w:sz w:val="22"/>
          <w:szCs w:val="22"/>
          <w:lang w:val="en-US"/>
        </w:rPr>
        <w:t xml:space="preserve"> </w:t>
      </w:r>
      <w:r w:rsidR="00E83548" w:rsidRPr="007170B7">
        <w:rPr>
          <w:sz w:val="22"/>
          <w:szCs w:val="22"/>
          <w:lang w:val="en-US"/>
        </w:rPr>
        <w:t>Production in the s</w:t>
      </w:r>
      <w:r w:rsidR="00F523F3" w:rsidRPr="007170B7">
        <w:rPr>
          <w:sz w:val="22"/>
          <w:szCs w:val="22"/>
          <w:lang w:val="en-US"/>
        </w:rPr>
        <w:t>ectors of non</w:t>
      </w:r>
      <w:r w:rsidR="00E83548" w:rsidRPr="007170B7">
        <w:rPr>
          <w:sz w:val="22"/>
          <w:szCs w:val="22"/>
          <w:lang w:val="en-US"/>
        </w:rPr>
        <w:t>d</w:t>
      </w:r>
      <w:r w:rsidR="005D285D" w:rsidRPr="007170B7">
        <w:rPr>
          <w:sz w:val="22"/>
          <w:szCs w:val="22"/>
          <w:lang w:val="en-US"/>
        </w:rPr>
        <w:t xml:space="preserve">urable </w:t>
      </w:r>
      <w:r w:rsidR="00F523F3" w:rsidRPr="007170B7">
        <w:rPr>
          <w:sz w:val="22"/>
          <w:szCs w:val="22"/>
          <w:lang w:val="en-US"/>
        </w:rPr>
        <w:t xml:space="preserve">goods, </w:t>
      </w:r>
      <w:r w:rsidR="00E83548" w:rsidRPr="007170B7">
        <w:rPr>
          <w:sz w:val="22"/>
          <w:szCs w:val="22"/>
          <w:lang w:val="en-US"/>
        </w:rPr>
        <w:t xml:space="preserve">durable goods and intermediate goods declined </w:t>
      </w:r>
      <w:r w:rsidR="00CB0244" w:rsidRPr="007170B7">
        <w:rPr>
          <w:sz w:val="22"/>
          <w:szCs w:val="22"/>
          <w:lang w:val="en-US"/>
        </w:rPr>
        <w:t xml:space="preserve">over the ranges of </w:t>
      </w:r>
      <w:r w:rsidR="00E83548" w:rsidRPr="007170B7">
        <w:rPr>
          <w:sz w:val="22"/>
          <w:szCs w:val="22"/>
          <w:lang w:val="en-US"/>
        </w:rPr>
        <w:t>0.1 - 1.0 percent</w:t>
      </w:r>
      <w:r w:rsidR="00CB0244" w:rsidRPr="007170B7">
        <w:rPr>
          <w:sz w:val="22"/>
          <w:szCs w:val="22"/>
          <w:lang w:val="en-US"/>
        </w:rPr>
        <w:t xml:space="preserve"> in the third quarter compared to </w:t>
      </w:r>
      <w:r w:rsidR="00033767" w:rsidRPr="007170B7">
        <w:rPr>
          <w:sz w:val="22"/>
          <w:szCs w:val="22"/>
          <w:lang w:val="en-US"/>
        </w:rPr>
        <w:t>the second</w:t>
      </w:r>
      <w:r w:rsidR="00CB0244" w:rsidRPr="007170B7">
        <w:rPr>
          <w:sz w:val="22"/>
          <w:szCs w:val="22"/>
          <w:lang w:val="en-US"/>
        </w:rPr>
        <w:t xml:space="preserve"> quarter</w:t>
      </w:r>
      <w:r w:rsidR="00FF417B" w:rsidRPr="007170B7">
        <w:rPr>
          <w:sz w:val="22"/>
          <w:szCs w:val="22"/>
          <w:lang w:val="en-US"/>
        </w:rPr>
        <w:t xml:space="preserve"> (Table 2)</w:t>
      </w:r>
      <w:r w:rsidR="00CB0244" w:rsidRPr="007170B7">
        <w:rPr>
          <w:sz w:val="22"/>
          <w:szCs w:val="22"/>
          <w:lang w:val="en-US"/>
        </w:rPr>
        <w:t xml:space="preserve">. </w:t>
      </w:r>
    </w:p>
    <w:p w:rsidR="00FB0FBD" w:rsidRPr="007170B7" w:rsidRDefault="00FB0FBD" w:rsidP="00B94D20">
      <w:pPr>
        <w:spacing w:line="360" w:lineRule="auto"/>
        <w:ind w:left="-360" w:right="42"/>
        <w:jc w:val="both"/>
        <w:rPr>
          <w:color w:val="FF0000"/>
          <w:sz w:val="22"/>
          <w:szCs w:val="22"/>
          <w:lang w:val="en-US"/>
        </w:rPr>
      </w:pPr>
    </w:p>
    <w:p w:rsidR="008452BB" w:rsidRPr="007170B7" w:rsidRDefault="00351FB6" w:rsidP="008452BB">
      <w:pPr>
        <w:spacing w:line="360" w:lineRule="auto"/>
        <w:ind w:left="-360" w:right="42"/>
        <w:jc w:val="center"/>
        <w:rPr>
          <w:b/>
          <w:sz w:val="22"/>
          <w:szCs w:val="22"/>
          <w:lang w:val="en-US"/>
        </w:rPr>
      </w:pPr>
      <w:r w:rsidRPr="007170B7">
        <w:rPr>
          <w:b/>
          <w:sz w:val="22"/>
          <w:szCs w:val="22"/>
          <w:lang w:val="en-US"/>
        </w:rPr>
        <w:t xml:space="preserve">Positive contribution of net export </w:t>
      </w:r>
    </w:p>
    <w:p w:rsidR="008F7C6E" w:rsidRPr="007170B7" w:rsidRDefault="00351FB6" w:rsidP="008452BB">
      <w:pPr>
        <w:spacing w:line="360" w:lineRule="auto"/>
        <w:ind w:left="-360" w:right="42"/>
        <w:jc w:val="center"/>
        <w:rPr>
          <w:b/>
          <w:sz w:val="22"/>
          <w:szCs w:val="22"/>
          <w:lang w:val="en-US"/>
        </w:rPr>
      </w:pPr>
      <w:r w:rsidRPr="007170B7">
        <w:rPr>
          <w:b/>
          <w:sz w:val="22"/>
          <w:szCs w:val="22"/>
          <w:lang w:val="en-US"/>
        </w:rPr>
        <w:t xml:space="preserve">to economic growth  </w:t>
      </w:r>
    </w:p>
    <w:p w:rsidR="008F7C6E" w:rsidRPr="007170B7" w:rsidRDefault="008F7C6E" w:rsidP="008F7C6E">
      <w:pPr>
        <w:spacing w:line="360" w:lineRule="auto"/>
        <w:ind w:left="-360" w:right="42"/>
        <w:jc w:val="center"/>
        <w:rPr>
          <w:color w:val="FF0000"/>
          <w:sz w:val="22"/>
          <w:szCs w:val="22"/>
          <w:lang w:val="en-US"/>
        </w:rPr>
      </w:pPr>
    </w:p>
    <w:p w:rsidR="00E27C5B" w:rsidRPr="007170B7" w:rsidRDefault="008F617B" w:rsidP="00E27C5B">
      <w:pPr>
        <w:spacing w:line="360" w:lineRule="auto"/>
        <w:ind w:left="-360" w:right="42"/>
        <w:jc w:val="both"/>
        <w:rPr>
          <w:sz w:val="22"/>
          <w:szCs w:val="22"/>
          <w:lang w:val="en-US"/>
        </w:rPr>
      </w:pPr>
      <w:r w:rsidRPr="007170B7">
        <w:rPr>
          <w:sz w:val="22"/>
          <w:szCs w:val="22"/>
          <w:lang w:val="en-US"/>
        </w:rPr>
        <w:t xml:space="preserve">In September, </w:t>
      </w:r>
      <w:r w:rsidR="00DD0C3E" w:rsidRPr="007170B7">
        <w:rPr>
          <w:sz w:val="22"/>
          <w:szCs w:val="22"/>
          <w:lang w:val="en-US"/>
        </w:rPr>
        <w:t>high rise</w:t>
      </w:r>
      <w:r w:rsidRPr="007170B7">
        <w:rPr>
          <w:sz w:val="22"/>
          <w:szCs w:val="22"/>
          <w:lang w:val="en-US"/>
        </w:rPr>
        <w:t xml:space="preserve"> of 13.8 percent has been recorded in e</w:t>
      </w:r>
      <w:r w:rsidR="005C0BFD" w:rsidRPr="007170B7">
        <w:rPr>
          <w:sz w:val="22"/>
          <w:szCs w:val="22"/>
          <w:lang w:val="en-US"/>
        </w:rPr>
        <w:t xml:space="preserve">xport volume index </w:t>
      </w:r>
      <w:r w:rsidR="008452BB" w:rsidRPr="007170B7">
        <w:rPr>
          <w:sz w:val="22"/>
          <w:szCs w:val="22"/>
          <w:lang w:val="en-US"/>
        </w:rPr>
        <w:t xml:space="preserve">and </w:t>
      </w:r>
      <w:r w:rsidR="000A2CF9" w:rsidRPr="007170B7">
        <w:rPr>
          <w:sz w:val="22"/>
          <w:szCs w:val="22"/>
          <w:lang w:val="en-US"/>
        </w:rPr>
        <w:t>slight</w:t>
      </w:r>
      <w:r w:rsidR="005C0BFD" w:rsidRPr="007170B7">
        <w:rPr>
          <w:sz w:val="22"/>
          <w:szCs w:val="22"/>
          <w:lang w:val="en-US"/>
        </w:rPr>
        <w:t xml:space="preserve"> </w:t>
      </w:r>
      <w:r w:rsidR="00924579" w:rsidRPr="007170B7">
        <w:rPr>
          <w:sz w:val="22"/>
          <w:szCs w:val="22"/>
          <w:lang w:val="en-US"/>
        </w:rPr>
        <w:t>rise of 0.1 percent has been recorded in import volume index.</w:t>
      </w:r>
      <w:r w:rsidR="00170D81" w:rsidRPr="007170B7">
        <w:rPr>
          <w:sz w:val="22"/>
          <w:szCs w:val="22"/>
          <w:lang w:val="en-US"/>
        </w:rPr>
        <w:t xml:space="preserve"> </w:t>
      </w:r>
      <w:r w:rsidR="00760C78" w:rsidRPr="007170B7">
        <w:rPr>
          <w:sz w:val="22"/>
          <w:szCs w:val="22"/>
          <w:lang w:val="en-US"/>
        </w:rPr>
        <w:t xml:space="preserve">In the third quarter, </w:t>
      </w:r>
      <w:r w:rsidR="00170D81" w:rsidRPr="007170B7">
        <w:rPr>
          <w:sz w:val="22"/>
          <w:szCs w:val="22"/>
          <w:lang w:val="en-US"/>
        </w:rPr>
        <w:t xml:space="preserve">export volume index has increased by 3.3 percent </w:t>
      </w:r>
      <w:r w:rsidR="00760C78" w:rsidRPr="007170B7">
        <w:rPr>
          <w:sz w:val="22"/>
          <w:szCs w:val="22"/>
          <w:lang w:val="en-US"/>
        </w:rPr>
        <w:t>and import volume index has decreased by 1.2 percent</w:t>
      </w:r>
      <w:r w:rsidR="00170D81" w:rsidRPr="007170B7">
        <w:rPr>
          <w:sz w:val="22"/>
          <w:szCs w:val="22"/>
          <w:lang w:val="en-US"/>
        </w:rPr>
        <w:t xml:space="preserve"> </w:t>
      </w:r>
      <w:r w:rsidR="00760C78" w:rsidRPr="007170B7">
        <w:rPr>
          <w:sz w:val="22"/>
          <w:szCs w:val="22"/>
          <w:lang w:val="en-US"/>
        </w:rPr>
        <w:t>compared to the second quarter</w:t>
      </w:r>
      <w:r w:rsidR="00EE4CC2" w:rsidRPr="007170B7">
        <w:rPr>
          <w:sz w:val="22"/>
          <w:szCs w:val="22"/>
          <w:lang w:val="en-US"/>
        </w:rPr>
        <w:t xml:space="preserve">. </w:t>
      </w:r>
      <w:r w:rsidR="00DD0C3E" w:rsidRPr="007170B7">
        <w:rPr>
          <w:sz w:val="22"/>
          <w:szCs w:val="22"/>
          <w:lang w:val="en-US"/>
        </w:rPr>
        <w:t>At</w:t>
      </w:r>
      <w:r w:rsidR="00EE4CC2" w:rsidRPr="007170B7">
        <w:rPr>
          <w:sz w:val="22"/>
          <w:szCs w:val="22"/>
          <w:lang w:val="en-US"/>
        </w:rPr>
        <w:t xml:space="preserve"> the same </w:t>
      </w:r>
      <w:r w:rsidR="00DD0C3E" w:rsidRPr="007170B7">
        <w:rPr>
          <w:sz w:val="22"/>
          <w:szCs w:val="22"/>
          <w:lang w:val="en-US"/>
        </w:rPr>
        <w:t>time</w:t>
      </w:r>
      <w:r w:rsidR="00EE4CC2" w:rsidRPr="007170B7">
        <w:rPr>
          <w:sz w:val="22"/>
          <w:szCs w:val="22"/>
          <w:lang w:val="en-US"/>
        </w:rPr>
        <w:t xml:space="preserve">, </w:t>
      </w:r>
      <w:r w:rsidR="00BD7644" w:rsidRPr="007170B7">
        <w:rPr>
          <w:sz w:val="22"/>
          <w:szCs w:val="22"/>
          <w:lang w:val="en-US"/>
        </w:rPr>
        <w:t>gold-excluded real export</w:t>
      </w:r>
      <w:r w:rsidR="00BD7644" w:rsidRPr="007170B7">
        <w:rPr>
          <w:rStyle w:val="FootnoteReference"/>
          <w:sz w:val="22"/>
          <w:szCs w:val="22"/>
          <w:lang w:val="en-US"/>
        </w:rPr>
        <w:footnoteReference w:id="1"/>
      </w:r>
      <w:r w:rsidR="00BD7644" w:rsidRPr="007170B7">
        <w:rPr>
          <w:sz w:val="22"/>
          <w:szCs w:val="22"/>
          <w:lang w:val="en-US"/>
        </w:rPr>
        <w:t xml:space="preserve"> has increased by 2.1 percent and gold-excluded real import has decreased by 3.8 percent.</w:t>
      </w:r>
      <w:r w:rsidR="000A2CF9" w:rsidRPr="007170B7">
        <w:rPr>
          <w:sz w:val="22"/>
          <w:szCs w:val="22"/>
          <w:lang w:val="en-US"/>
        </w:rPr>
        <w:t xml:space="preserve"> </w:t>
      </w:r>
      <w:r w:rsidR="00E27C5B" w:rsidRPr="007170B7">
        <w:rPr>
          <w:sz w:val="22"/>
          <w:szCs w:val="22"/>
          <w:lang w:val="en-US"/>
        </w:rPr>
        <w:t xml:space="preserve">Our forecast model based on the data in the third quarter points that net exports will have a significant positive contribution to GDP growth.  </w:t>
      </w:r>
    </w:p>
    <w:p w:rsidR="001510B5" w:rsidRPr="007170B7" w:rsidRDefault="001510B5" w:rsidP="00311546">
      <w:pPr>
        <w:spacing w:line="360" w:lineRule="auto"/>
        <w:ind w:right="42"/>
        <w:jc w:val="both"/>
        <w:rPr>
          <w:sz w:val="22"/>
          <w:szCs w:val="22"/>
          <w:highlight w:val="yellow"/>
          <w:lang w:val="en-US"/>
        </w:rPr>
      </w:pPr>
    </w:p>
    <w:p w:rsidR="008A6526" w:rsidRPr="007170B7" w:rsidRDefault="008A6526" w:rsidP="008A6526">
      <w:pPr>
        <w:spacing w:line="360" w:lineRule="auto"/>
        <w:ind w:left="-360" w:right="42"/>
        <w:jc w:val="center"/>
        <w:rPr>
          <w:b/>
          <w:sz w:val="22"/>
          <w:szCs w:val="22"/>
          <w:lang w:val="en-US"/>
        </w:rPr>
      </w:pPr>
      <w:r w:rsidRPr="007170B7">
        <w:rPr>
          <w:b/>
          <w:sz w:val="22"/>
          <w:szCs w:val="22"/>
          <w:lang w:val="en-US"/>
        </w:rPr>
        <w:t xml:space="preserve">Fiscal discipline in progress </w:t>
      </w:r>
    </w:p>
    <w:p w:rsidR="001510B5" w:rsidRPr="007170B7" w:rsidRDefault="001510B5" w:rsidP="001510B5">
      <w:pPr>
        <w:spacing w:line="360" w:lineRule="auto"/>
        <w:ind w:left="-360" w:right="42"/>
        <w:jc w:val="center"/>
        <w:rPr>
          <w:b/>
          <w:sz w:val="22"/>
          <w:szCs w:val="22"/>
          <w:lang w:val="en-US"/>
        </w:rPr>
      </w:pPr>
    </w:p>
    <w:p w:rsidR="00373E40" w:rsidRPr="007170B7" w:rsidRDefault="008A6526" w:rsidP="0060110A">
      <w:pPr>
        <w:spacing w:line="360" w:lineRule="auto"/>
        <w:ind w:left="-360" w:right="42"/>
        <w:jc w:val="both"/>
        <w:rPr>
          <w:sz w:val="22"/>
          <w:szCs w:val="22"/>
          <w:lang w:val="en-US"/>
        </w:rPr>
      </w:pPr>
      <w:r w:rsidRPr="007170B7">
        <w:rPr>
          <w:sz w:val="22"/>
          <w:szCs w:val="22"/>
          <w:lang w:val="en-US"/>
        </w:rPr>
        <w:t xml:space="preserve">There was a </w:t>
      </w:r>
      <w:r w:rsidR="00266FAE" w:rsidRPr="007170B7">
        <w:rPr>
          <w:sz w:val="22"/>
          <w:szCs w:val="22"/>
          <w:lang w:val="en-US"/>
        </w:rPr>
        <w:t>sharp stop</w:t>
      </w:r>
      <w:r w:rsidRPr="007170B7">
        <w:rPr>
          <w:sz w:val="22"/>
          <w:szCs w:val="22"/>
          <w:lang w:val="en-US"/>
        </w:rPr>
        <w:t xml:space="preserve"> in government spending in </w:t>
      </w:r>
      <w:r w:rsidR="00266FAE" w:rsidRPr="007170B7">
        <w:rPr>
          <w:sz w:val="22"/>
          <w:szCs w:val="22"/>
          <w:lang w:val="en-US"/>
        </w:rPr>
        <w:t>August</w:t>
      </w:r>
      <w:r w:rsidRPr="007170B7">
        <w:rPr>
          <w:sz w:val="22"/>
          <w:szCs w:val="22"/>
          <w:lang w:val="en-US"/>
        </w:rPr>
        <w:t xml:space="preserve"> (</w:t>
      </w:r>
      <w:r w:rsidR="00266FAE" w:rsidRPr="007170B7">
        <w:rPr>
          <w:sz w:val="22"/>
          <w:szCs w:val="22"/>
          <w:lang w:val="en-US"/>
        </w:rPr>
        <w:t>minus 2.1</w:t>
      </w:r>
      <w:r w:rsidR="00984EAA" w:rsidRPr="007170B7">
        <w:rPr>
          <w:sz w:val="22"/>
          <w:szCs w:val="22"/>
          <w:lang w:val="en-US"/>
        </w:rPr>
        <w:t xml:space="preserve"> percent)</w:t>
      </w:r>
      <w:r w:rsidR="000A2CF9" w:rsidRPr="007170B7">
        <w:rPr>
          <w:sz w:val="22"/>
          <w:szCs w:val="22"/>
          <w:lang w:val="en-US"/>
        </w:rPr>
        <w:t xml:space="preserve"> but</w:t>
      </w:r>
      <w:r w:rsidR="00A228AE" w:rsidRPr="007170B7">
        <w:rPr>
          <w:sz w:val="22"/>
          <w:szCs w:val="22"/>
          <w:lang w:val="en-US"/>
        </w:rPr>
        <w:t xml:space="preserve"> </w:t>
      </w:r>
      <w:r w:rsidR="000A2CF9" w:rsidRPr="007170B7">
        <w:rPr>
          <w:sz w:val="22"/>
          <w:szCs w:val="22"/>
          <w:lang w:val="en-US"/>
        </w:rPr>
        <w:t xml:space="preserve">in September, </w:t>
      </w:r>
      <w:r w:rsidR="003D1625" w:rsidRPr="007170B7">
        <w:rPr>
          <w:sz w:val="22"/>
          <w:szCs w:val="22"/>
          <w:lang w:val="en-US"/>
        </w:rPr>
        <w:t>government spending has a significant increase (2.8 percent).</w:t>
      </w:r>
      <w:r w:rsidR="008961EE" w:rsidRPr="007170B7">
        <w:rPr>
          <w:sz w:val="22"/>
          <w:szCs w:val="22"/>
          <w:lang w:val="en-US"/>
        </w:rPr>
        <w:t xml:space="preserve"> In total, there is a moderate increase</w:t>
      </w:r>
      <w:r w:rsidR="0018444C" w:rsidRPr="007170B7">
        <w:rPr>
          <w:sz w:val="22"/>
          <w:szCs w:val="22"/>
          <w:lang w:val="en-US"/>
        </w:rPr>
        <w:t xml:space="preserve"> (0.3 percent)</w:t>
      </w:r>
      <w:r w:rsidR="008961EE" w:rsidRPr="007170B7">
        <w:rPr>
          <w:sz w:val="22"/>
          <w:szCs w:val="22"/>
          <w:lang w:val="en-US"/>
        </w:rPr>
        <w:t xml:space="preserve"> in government spending. Since the government spending has a limited share in GDP, we do not expect that the government spending will make a significant contribution </w:t>
      </w:r>
      <w:r w:rsidR="0060110A" w:rsidRPr="007170B7">
        <w:rPr>
          <w:sz w:val="22"/>
          <w:szCs w:val="22"/>
          <w:lang w:val="en-US"/>
        </w:rPr>
        <w:t>to GDP growth.</w:t>
      </w:r>
    </w:p>
    <w:p w:rsidR="00FC6565" w:rsidRPr="007170B7" w:rsidRDefault="00FC6565" w:rsidP="00FC6565">
      <w:pPr>
        <w:spacing w:line="360" w:lineRule="auto"/>
        <w:ind w:right="42"/>
        <w:jc w:val="center"/>
        <w:rPr>
          <w:b/>
          <w:bCs/>
          <w:sz w:val="22"/>
          <w:szCs w:val="22"/>
          <w:lang w:val="en-US"/>
        </w:rPr>
      </w:pPr>
    </w:p>
    <w:p w:rsidR="00CA2952" w:rsidRPr="007170B7" w:rsidRDefault="00563E9D" w:rsidP="00FC6565">
      <w:pPr>
        <w:spacing w:line="360" w:lineRule="auto"/>
        <w:ind w:right="42"/>
        <w:jc w:val="center"/>
        <w:rPr>
          <w:b/>
          <w:bCs/>
          <w:sz w:val="22"/>
          <w:szCs w:val="22"/>
          <w:lang w:val="en-US"/>
        </w:rPr>
      </w:pPr>
      <w:r w:rsidRPr="007170B7">
        <w:rPr>
          <w:b/>
          <w:bCs/>
          <w:sz w:val="22"/>
          <w:szCs w:val="22"/>
          <w:lang w:val="en-US"/>
        </w:rPr>
        <w:t>Volatil</w:t>
      </w:r>
      <w:r w:rsidR="0053485A" w:rsidRPr="007170B7">
        <w:rPr>
          <w:b/>
          <w:bCs/>
          <w:sz w:val="22"/>
          <w:szCs w:val="22"/>
          <w:lang w:val="en-US"/>
        </w:rPr>
        <w:t xml:space="preserve">ity in private </w:t>
      </w:r>
      <w:r w:rsidR="006F196F" w:rsidRPr="007170B7">
        <w:rPr>
          <w:b/>
          <w:bCs/>
          <w:sz w:val="22"/>
          <w:szCs w:val="22"/>
          <w:lang w:val="en-US"/>
        </w:rPr>
        <w:t>consumption</w:t>
      </w:r>
      <w:r w:rsidR="0053485A" w:rsidRPr="007170B7">
        <w:rPr>
          <w:b/>
          <w:bCs/>
          <w:sz w:val="22"/>
          <w:szCs w:val="22"/>
          <w:lang w:val="en-US"/>
        </w:rPr>
        <w:t xml:space="preserve"> indicators</w:t>
      </w:r>
    </w:p>
    <w:p w:rsidR="00FC6565" w:rsidRPr="007170B7" w:rsidRDefault="00FC6565" w:rsidP="00E73397">
      <w:pPr>
        <w:spacing w:line="360" w:lineRule="auto"/>
        <w:ind w:left="-360" w:right="42"/>
        <w:rPr>
          <w:bCs/>
          <w:sz w:val="22"/>
          <w:szCs w:val="22"/>
          <w:lang w:val="en-US"/>
        </w:rPr>
      </w:pPr>
    </w:p>
    <w:p w:rsidR="00373E40" w:rsidRPr="007170B7" w:rsidRDefault="00C41AF2" w:rsidP="0060110A">
      <w:pPr>
        <w:spacing w:line="360" w:lineRule="auto"/>
        <w:ind w:left="-360" w:right="42"/>
        <w:rPr>
          <w:bCs/>
          <w:sz w:val="22"/>
          <w:szCs w:val="22"/>
          <w:lang w:val="en-US"/>
        </w:rPr>
      </w:pPr>
      <w:r w:rsidRPr="007170B7">
        <w:rPr>
          <w:bCs/>
          <w:sz w:val="22"/>
          <w:szCs w:val="22"/>
          <w:lang w:val="en-US"/>
        </w:rPr>
        <w:t xml:space="preserve">In the third quarter, </w:t>
      </w:r>
      <w:r w:rsidR="009A1819" w:rsidRPr="007170B7">
        <w:rPr>
          <w:bCs/>
          <w:sz w:val="22"/>
          <w:szCs w:val="22"/>
          <w:lang w:val="en-US"/>
        </w:rPr>
        <w:t>sharp fluctuations based on monthly data have</w:t>
      </w:r>
      <w:r w:rsidRPr="007170B7">
        <w:rPr>
          <w:bCs/>
          <w:sz w:val="22"/>
          <w:szCs w:val="22"/>
          <w:lang w:val="en-US"/>
        </w:rPr>
        <w:t xml:space="preserve"> occurred in production of </w:t>
      </w:r>
      <w:r w:rsidRPr="007170B7">
        <w:rPr>
          <w:bCs/>
          <w:sz w:val="22"/>
          <w:szCs w:val="22"/>
          <w:lang w:val="en-US"/>
        </w:rPr>
        <w:lastRenderedPageBreak/>
        <w:t xml:space="preserve">consumption goods. </w:t>
      </w:r>
      <w:r w:rsidR="00400CEC" w:rsidRPr="007170B7">
        <w:rPr>
          <w:bCs/>
          <w:sz w:val="22"/>
          <w:szCs w:val="22"/>
          <w:lang w:val="en-US"/>
        </w:rPr>
        <w:t xml:space="preserve">Sharp drop </w:t>
      </w:r>
      <w:r w:rsidR="008B7CB4" w:rsidRPr="007170B7">
        <w:rPr>
          <w:bCs/>
          <w:sz w:val="22"/>
          <w:szCs w:val="22"/>
          <w:lang w:val="en-US"/>
        </w:rPr>
        <w:t>in July has been partially compensated by rises in August and September. Overall, production in the sectors of durable goods and non-durable goods has respectively declined by 0.1 and 1.0 percent in the third quarter compared to the second qua</w:t>
      </w:r>
      <w:r w:rsidR="000E7F6F" w:rsidRPr="007170B7">
        <w:rPr>
          <w:bCs/>
          <w:sz w:val="22"/>
          <w:szCs w:val="22"/>
          <w:lang w:val="en-US"/>
        </w:rPr>
        <w:t xml:space="preserve">rter </w:t>
      </w:r>
      <w:r w:rsidR="002C0FB2" w:rsidRPr="007170B7">
        <w:rPr>
          <w:sz w:val="22"/>
          <w:szCs w:val="22"/>
          <w:lang w:val="en-US"/>
        </w:rPr>
        <w:t>(T</w:t>
      </w:r>
      <w:r w:rsidR="00DE7E48" w:rsidRPr="007170B7">
        <w:rPr>
          <w:sz w:val="22"/>
          <w:szCs w:val="22"/>
          <w:lang w:val="en-US"/>
        </w:rPr>
        <w:t>abl</w:t>
      </w:r>
      <w:r w:rsidR="000E7F6F" w:rsidRPr="007170B7">
        <w:rPr>
          <w:sz w:val="22"/>
          <w:szCs w:val="22"/>
          <w:lang w:val="en-US"/>
        </w:rPr>
        <w:t>e</w:t>
      </w:r>
      <w:r w:rsidR="002C0FB2" w:rsidRPr="007170B7">
        <w:rPr>
          <w:sz w:val="22"/>
          <w:szCs w:val="22"/>
          <w:lang w:val="en-US"/>
        </w:rPr>
        <w:t xml:space="preserve"> </w:t>
      </w:r>
      <w:r w:rsidR="00DE7E48" w:rsidRPr="007170B7">
        <w:rPr>
          <w:sz w:val="22"/>
          <w:szCs w:val="22"/>
          <w:lang w:val="en-US"/>
        </w:rPr>
        <w:t>2).</w:t>
      </w:r>
      <w:r w:rsidR="00454254" w:rsidRPr="007170B7">
        <w:rPr>
          <w:sz w:val="22"/>
          <w:szCs w:val="22"/>
          <w:lang w:val="en-US"/>
        </w:rPr>
        <w:t xml:space="preserve"> </w:t>
      </w:r>
      <w:r w:rsidR="00E73397" w:rsidRPr="007170B7">
        <w:rPr>
          <w:sz w:val="22"/>
          <w:szCs w:val="22"/>
          <w:lang w:val="en-US"/>
        </w:rPr>
        <w:t>At the same time, import in the sectors of consumption goods has declined by 3.1 percent.</w:t>
      </w:r>
      <w:r w:rsidR="000D73CC" w:rsidRPr="007170B7">
        <w:rPr>
          <w:sz w:val="22"/>
          <w:szCs w:val="22"/>
          <w:lang w:val="en-US"/>
        </w:rPr>
        <w:t xml:space="preserve"> </w:t>
      </w:r>
      <w:r w:rsidR="00DD14DC" w:rsidRPr="007170B7">
        <w:rPr>
          <w:sz w:val="22"/>
          <w:szCs w:val="22"/>
          <w:lang w:val="en-US"/>
        </w:rPr>
        <w:t>Consumption c</w:t>
      </w:r>
      <w:r w:rsidR="000D73CC" w:rsidRPr="007170B7">
        <w:rPr>
          <w:sz w:val="22"/>
          <w:szCs w:val="22"/>
          <w:lang w:val="en-US"/>
        </w:rPr>
        <w:t xml:space="preserve">onfidence </w:t>
      </w:r>
      <w:r w:rsidR="00DD14DC" w:rsidRPr="007170B7">
        <w:rPr>
          <w:sz w:val="22"/>
          <w:szCs w:val="22"/>
          <w:lang w:val="en-US"/>
        </w:rPr>
        <w:t>i</w:t>
      </w:r>
      <w:r w:rsidR="000D73CC" w:rsidRPr="007170B7">
        <w:rPr>
          <w:sz w:val="22"/>
          <w:szCs w:val="22"/>
          <w:lang w:val="en-US"/>
        </w:rPr>
        <w:t>ndex</w:t>
      </w:r>
      <w:r w:rsidR="005C3CD8" w:rsidRPr="007170B7">
        <w:rPr>
          <w:sz w:val="22"/>
          <w:szCs w:val="22"/>
          <w:lang w:val="en-US"/>
        </w:rPr>
        <w:t xml:space="preserve">, </w:t>
      </w:r>
      <w:r w:rsidR="000D73CC" w:rsidRPr="007170B7">
        <w:rPr>
          <w:sz w:val="22"/>
          <w:szCs w:val="22"/>
          <w:lang w:val="en-US"/>
        </w:rPr>
        <w:t xml:space="preserve">which has a </w:t>
      </w:r>
      <w:r w:rsidR="00076887" w:rsidRPr="007170B7">
        <w:rPr>
          <w:sz w:val="22"/>
          <w:szCs w:val="22"/>
          <w:lang w:val="en-US"/>
        </w:rPr>
        <w:t>d</w:t>
      </w:r>
      <w:r w:rsidR="000D73CC" w:rsidRPr="007170B7">
        <w:rPr>
          <w:sz w:val="22"/>
          <w:szCs w:val="22"/>
          <w:lang w:val="en-US"/>
        </w:rPr>
        <w:t xml:space="preserve">ownward trend </w:t>
      </w:r>
      <w:r w:rsidR="005C3CD8" w:rsidRPr="007170B7">
        <w:rPr>
          <w:sz w:val="22"/>
          <w:szCs w:val="22"/>
          <w:lang w:val="en-US"/>
        </w:rPr>
        <w:t>since</w:t>
      </w:r>
      <w:r w:rsidR="000D73CC" w:rsidRPr="007170B7">
        <w:rPr>
          <w:sz w:val="22"/>
          <w:szCs w:val="22"/>
          <w:lang w:val="en-US"/>
        </w:rPr>
        <w:t xml:space="preserve"> July</w:t>
      </w:r>
      <w:r w:rsidR="005C3CD8" w:rsidRPr="007170B7">
        <w:rPr>
          <w:sz w:val="22"/>
          <w:szCs w:val="22"/>
          <w:lang w:val="en-US"/>
        </w:rPr>
        <w:t xml:space="preserve">, has </w:t>
      </w:r>
      <w:r w:rsidR="00DD14DC" w:rsidRPr="007170B7">
        <w:rPr>
          <w:sz w:val="22"/>
          <w:szCs w:val="22"/>
          <w:lang w:val="en-US"/>
        </w:rPr>
        <w:t xml:space="preserve">continued to decline in September. Overall, </w:t>
      </w:r>
      <w:r w:rsidR="00C43269" w:rsidRPr="007170B7">
        <w:rPr>
          <w:sz w:val="22"/>
          <w:szCs w:val="22"/>
          <w:lang w:val="en-US"/>
        </w:rPr>
        <w:t xml:space="preserve"> </w:t>
      </w:r>
      <w:r w:rsidR="00DD14DC" w:rsidRPr="007170B7">
        <w:rPr>
          <w:sz w:val="22"/>
          <w:szCs w:val="22"/>
          <w:lang w:val="en-US"/>
        </w:rPr>
        <w:t xml:space="preserve">fall of 4.2 percent in consumer confidence index </w:t>
      </w:r>
      <w:r w:rsidR="003260D1">
        <w:rPr>
          <w:sz w:val="22"/>
          <w:szCs w:val="22"/>
          <w:lang w:val="en-US"/>
        </w:rPr>
        <w:t>is</w:t>
      </w:r>
      <w:r w:rsidR="00DD14DC" w:rsidRPr="007170B7">
        <w:rPr>
          <w:sz w:val="22"/>
          <w:szCs w:val="22"/>
          <w:lang w:val="en-US"/>
        </w:rPr>
        <w:t xml:space="preserve"> recorded in the third quarter compared to the second quarter.</w:t>
      </w:r>
      <w:r w:rsidR="008E22DD" w:rsidRPr="007170B7">
        <w:rPr>
          <w:sz w:val="22"/>
          <w:szCs w:val="22"/>
          <w:lang w:val="en-US"/>
        </w:rPr>
        <w:t xml:space="preserve"> </w:t>
      </w:r>
      <w:r w:rsidR="00DC5260" w:rsidRPr="007170B7">
        <w:rPr>
          <w:sz w:val="22"/>
          <w:szCs w:val="22"/>
          <w:lang w:val="en-US"/>
        </w:rPr>
        <w:t xml:space="preserve">On the other hand, </w:t>
      </w:r>
      <w:r w:rsidR="00DC5260" w:rsidRPr="007170B7">
        <w:rPr>
          <w:bCs/>
          <w:sz w:val="22"/>
          <w:szCs w:val="22"/>
          <w:lang w:val="en-US"/>
        </w:rPr>
        <w:t xml:space="preserve">special consumption tax revenues has declined by 5.7 percent in September </w:t>
      </w:r>
      <w:r w:rsidR="00076887" w:rsidRPr="007170B7">
        <w:rPr>
          <w:bCs/>
          <w:sz w:val="22"/>
          <w:szCs w:val="22"/>
          <w:lang w:val="en-US"/>
        </w:rPr>
        <w:t xml:space="preserve">However, </w:t>
      </w:r>
      <w:r w:rsidR="009057FA" w:rsidRPr="007170B7">
        <w:rPr>
          <w:bCs/>
          <w:sz w:val="22"/>
          <w:szCs w:val="22"/>
          <w:lang w:val="en-US"/>
        </w:rPr>
        <w:t xml:space="preserve">quarter on quarter change has recorded as 2.6 percent </w:t>
      </w:r>
      <w:r w:rsidR="002E6FD0" w:rsidRPr="007170B7">
        <w:rPr>
          <w:bCs/>
          <w:sz w:val="22"/>
          <w:szCs w:val="22"/>
          <w:lang w:val="en-US"/>
        </w:rPr>
        <w:t xml:space="preserve">increase </w:t>
      </w:r>
      <w:r w:rsidR="00A66375" w:rsidRPr="007170B7">
        <w:rPr>
          <w:bCs/>
          <w:sz w:val="22"/>
          <w:szCs w:val="22"/>
          <w:lang w:val="en-US"/>
        </w:rPr>
        <w:t>in</w:t>
      </w:r>
      <w:r w:rsidR="009057FA" w:rsidRPr="007170B7">
        <w:rPr>
          <w:bCs/>
          <w:sz w:val="22"/>
          <w:szCs w:val="22"/>
          <w:lang w:val="en-US"/>
        </w:rPr>
        <w:t xml:space="preserve"> the third quarter </w:t>
      </w:r>
      <w:r w:rsidR="00090768" w:rsidRPr="007170B7">
        <w:rPr>
          <w:bCs/>
          <w:sz w:val="22"/>
          <w:szCs w:val="22"/>
          <w:lang w:val="en-US"/>
        </w:rPr>
        <w:t xml:space="preserve">due to large rises </w:t>
      </w:r>
      <w:r w:rsidR="00076887" w:rsidRPr="007170B7">
        <w:rPr>
          <w:bCs/>
          <w:sz w:val="22"/>
          <w:szCs w:val="22"/>
          <w:lang w:val="en-US"/>
        </w:rPr>
        <w:t>during</w:t>
      </w:r>
      <w:r w:rsidR="00090768" w:rsidRPr="007170B7">
        <w:rPr>
          <w:bCs/>
          <w:sz w:val="22"/>
          <w:szCs w:val="22"/>
          <w:lang w:val="en-US"/>
        </w:rPr>
        <w:t xml:space="preserve"> </w:t>
      </w:r>
      <w:r w:rsidR="003260D1">
        <w:rPr>
          <w:bCs/>
          <w:sz w:val="22"/>
          <w:szCs w:val="22"/>
          <w:lang w:val="en-US"/>
        </w:rPr>
        <w:t>July and August</w:t>
      </w:r>
      <w:r w:rsidR="009C3F48" w:rsidRPr="007170B7">
        <w:rPr>
          <w:bCs/>
          <w:sz w:val="22"/>
          <w:szCs w:val="22"/>
          <w:lang w:val="en-US"/>
        </w:rPr>
        <w:t xml:space="preserve">. </w:t>
      </w:r>
      <w:r w:rsidR="0042101F" w:rsidRPr="007170B7">
        <w:rPr>
          <w:bCs/>
          <w:sz w:val="22"/>
          <w:szCs w:val="22"/>
          <w:lang w:val="en-US"/>
        </w:rPr>
        <w:t>Likewise, p</w:t>
      </w:r>
      <w:r w:rsidR="009C3F48" w:rsidRPr="007170B7">
        <w:rPr>
          <w:sz w:val="22"/>
          <w:szCs w:val="22"/>
          <w:lang w:val="en-US"/>
        </w:rPr>
        <w:t xml:space="preserve">roduction in the sector of passenger cars has quarterly increased by 6.8 percent </w:t>
      </w:r>
      <w:r w:rsidR="0042101F" w:rsidRPr="007170B7">
        <w:rPr>
          <w:sz w:val="22"/>
          <w:szCs w:val="22"/>
          <w:lang w:val="en-US"/>
        </w:rPr>
        <w:t>due to</w:t>
      </w:r>
      <w:r w:rsidR="009C3F48" w:rsidRPr="007170B7">
        <w:rPr>
          <w:sz w:val="22"/>
          <w:szCs w:val="22"/>
          <w:lang w:val="en-US"/>
        </w:rPr>
        <w:t xml:space="preserve"> its high performance in Au</w:t>
      </w:r>
      <w:r w:rsidR="009451F4" w:rsidRPr="007170B7">
        <w:rPr>
          <w:sz w:val="22"/>
          <w:szCs w:val="22"/>
          <w:lang w:val="en-US"/>
        </w:rPr>
        <w:t xml:space="preserve">gust. </w:t>
      </w:r>
      <w:r w:rsidR="00FB2710" w:rsidRPr="007170B7">
        <w:rPr>
          <w:sz w:val="22"/>
          <w:szCs w:val="22"/>
          <w:lang w:val="en-US"/>
        </w:rPr>
        <w:t>Our forecast model considering these opposite directions predicts that privat</w:t>
      </w:r>
      <w:r w:rsidR="004D4FC9" w:rsidRPr="007170B7">
        <w:rPr>
          <w:sz w:val="22"/>
          <w:szCs w:val="22"/>
          <w:lang w:val="en-US"/>
        </w:rPr>
        <w:t xml:space="preserve">e consumption in the third quarter will be slightly increased. </w:t>
      </w:r>
    </w:p>
    <w:p w:rsidR="00FC6565" w:rsidRDefault="00FC6565" w:rsidP="0084085E">
      <w:pPr>
        <w:spacing w:line="360" w:lineRule="auto"/>
        <w:ind w:left="-360" w:right="42"/>
        <w:jc w:val="both"/>
        <w:rPr>
          <w:sz w:val="22"/>
          <w:szCs w:val="22"/>
          <w:lang w:val="en-US"/>
        </w:rPr>
      </w:pPr>
    </w:p>
    <w:p w:rsidR="00A16730" w:rsidRPr="007170B7" w:rsidRDefault="00A16730" w:rsidP="0084085E">
      <w:pPr>
        <w:spacing w:line="360" w:lineRule="auto"/>
        <w:ind w:left="-360" w:right="42"/>
        <w:jc w:val="both"/>
        <w:rPr>
          <w:sz w:val="22"/>
          <w:szCs w:val="22"/>
          <w:lang w:val="en-US"/>
        </w:rPr>
      </w:pPr>
    </w:p>
    <w:p w:rsidR="009E02BB" w:rsidRPr="007170B7" w:rsidRDefault="009E02BB" w:rsidP="009E02BB">
      <w:pPr>
        <w:spacing w:line="360" w:lineRule="auto"/>
        <w:ind w:left="-360" w:right="42"/>
        <w:jc w:val="center"/>
        <w:rPr>
          <w:b/>
          <w:bCs/>
          <w:sz w:val="22"/>
          <w:szCs w:val="22"/>
          <w:lang w:val="en-US"/>
        </w:rPr>
      </w:pPr>
      <w:r w:rsidRPr="007170B7">
        <w:rPr>
          <w:b/>
          <w:bCs/>
          <w:sz w:val="22"/>
          <w:szCs w:val="22"/>
          <w:lang w:val="en-US"/>
        </w:rPr>
        <w:t xml:space="preserve">Signs of stagnation in private investments </w:t>
      </w:r>
    </w:p>
    <w:p w:rsidR="0060110A" w:rsidRPr="007170B7" w:rsidRDefault="0060110A" w:rsidP="009E02BB">
      <w:pPr>
        <w:spacing w:line="360" w:lineRule="auto"/>
        <w:ind w:left="-360" w:right="42"/>
        <w:jc w:val="center"/>
        <w:rPr>
          <w:b/>
          <w:bCs/>
          <w:sz w:val="22"/>
          <w:szCs w:val="22"/>
          <w:lang w:val="en-US"/>
        </w:rPr>
      </w:pPr>
    </w:p>
    <w:p w:rsidR="00FC6565" w:rsidRPr="00A16730" w:rsidRDefault="009E02BB" w:rsidP="00A16730">
      <w:pPr>
        <w:spacing w:line="360" w:lineRule="auto"/>
        <w:ind w:left="-360" w:right="42"/>
        <w:jc w:val="both"/>
        <w:rPr>
          <w:sz w:val="22"/>
          <w:szCs w:val="22"/>
          <w:lang w:val="en-US"/>
        </w:rPr>
      </w:pPr>
      <w:r w:rsidRPr="007170B7">
        <w:rPr>
          <w:sz w:val="22"/>
          <w:szCs w:val="22"/>
          <w:lang w:val="en-US"/>
        </w:rPr>
        <w:t xml:space="preserve">It is noteworthy that there were opposite changes in investment indicators in the third quarter. While domestic investment goods production had </w:t>
      </w:r>
      <w:r w:rsidR="0053485A" w:rsidRPr="007170B7">
        <w:rPr>
          <w:sz w:val="22"/>
          <w:szCs w:val="22"/>
          <w:lang w:val="en-US"/>
        </w:rPr>
        <w:t xml:space="preserve">a </w:t>
      </w:r>
      <w:r w:rsidRPr="007170B7">
        <w:rPr>
          <w:sz w:val="22"/>
          <w:szCs w:val="22"/>
          <w:lang w:val="en-US"/>
        </w:rPr>
        <w:t>relatively high rise of 5.4 percent in the third quarter compared to the second quarter, decline in investment g</w:t>
      </w:r>
      <w:r w:rsidR="00D249F2" w:rsidRPr="007170B7">
        <w:rPr>
          <w:sz w:val="22"/>
          <w:szCs w:val="22"/>
          <w:lang w:val="en-US"/>
        </w:rPr>
        <w:t>oods import</w:t>
      </w:r>
      <w:r w:rsidRPr="007170B7">
        <w:rPr>
          <w:sz w:val="22"/>
          <w:szCs w:val="22"/>
          <w:lang w:val="en-US"/>
        </w:rPr>
        <w:t xml:space="preserve"> by 4.6 percent </w:t>
      </w:r>
      <w:r w:rsidR="00FB4BFA" w:rsidRPr="007170B7">
        <w:rPr>
          <w:sz w:val="22"/>
          <w:szCs w:val="22"/>
          <w:lang w:val="en-US"/>
        </w:rPr>
        <w:t>indicates the opposite.</w:t>
      </w:r>
      <w:r w:rsidR="000C0257" w:rsidRPr="007170B7">
        <w:rPr>
          <w:sz w:val="22"/>
          <w:szCs w:val="22"/>
          <w:lang w:val="en-US"/>
        </w:rPr>
        <w:t xml:space="preserve"> </w:t>
      </w:r>
      <w:r w:rsidR="0001617E" w:rsidRPr="007170B7">
        <w:rPr>
          <w:sz w:val="22"/>
          <w:szCs w:val="22"/>
          <w:lang w:val="en-US"/>
        </w:rPr>
        <w:t xml:space="preserve">Likewise, </w:t>
      </w:r>
      <w:r w:rsidR="00E55200" w:rsidRPr="007170B7">
        <w:rPr>
          <w:sz w:val="22"/>
          <w:szCs w:val="22"/>
          <w:lang w:val="en-US"/>
        </w:rPr>
        <w:t xml:space="preserve">production in the sector of </w:t>
      </w:r>
      <w:r w:rsidR="001A7EC7" w:rsidRPr="007170B7">
        <w:rPr>
          <w:sz w:val="22"/>
          <w:szCs w:val="22"/>
          <w:lang w:val="en-US"/>
        </w:rPr>
        <w:t xml:space="preserve">commercial vehicles </w:t>
      </w:r>
      <w:r w:rsidR="007F6706" w:rsidRPr="007170B7">
        <w:rPr>
          <w:sz w:val="22"/>
          <w:szCs w:val="22"/>
          <w:lang w:val="en-US"/>
        </w:rPr>
        <w:t>has increased by 3.7 and 3.3 percent in first two months of the quarter</w:t>
      </w:r>
      <w:r w:rsidR="00D249F2" w:rsidRPr="007170B7">
        <w:rPr>
          <w:sz w:val="22"/>
          <w:szCs w:val="22"/>
          <w:lang w:val="en-US"/>
        </w:rPr>
        <w:t>.</w:t>
      </w:r>
      <w:r w:rsidR="00627A66" w:rsidRPr="007170B7">
        <w:rPr>
          <w:sz w:val="22"/>
          <w:szCs w:val="22"/>
          <w:lang w:val="en-US"/>
        </w:rPr>
        <w:t xml:space="preserve"> </w:t>
      </w:r>
      <w:r w:rsidR="00D249F2" w:rsidRPr="007170B7">
        <w:rPr>
          <w:sz w:val="22"/>
          <w:szCs w:val="22"/>
          <w:lang w:val="en-US"/>
        </w:rPr>
        <w:t>I</w:t>
      </w:r>
      <w:r w:rsidR="004A2152" w:rsidRPr="007170B7">
        <w:rPr>
          <w:sz w:val="22"/>
          <w:szCs w:val="22"/>
          <w:lang w:val="en-US"/>
        </w:rPr>
        <w:t xml:space="preserve">n </w:t>
      </w:r>
      <w:r w:rsidR="004A2152" w:rsidRPr="007170B7">
        <w:rPr>
          <w:sz w:val="22"/>
          <w:szCs w:val="22"/>
          <w:lang w:val="en-US"/>
        </w:rPr>
        <w:lastRenderedPageBreak/>
        <w:t>September, it has decreased by 1.3 percent.</w:t>
      </w:r>
      <w:r w:rsidR="004E4470" w:rsidRPr="007170B7">
        <w:rPr>
          <w:sz w:val="22"/>
          <w:szCs w:val="22"/>
          <w:lang w:val="en-US"/>
        </w:rPr>
        <w:t xml:space="preserve"> However, total production in the sector of commercial vehicles </w:t>
      </w:r>
      <w:r w:rsidR="00D249F2" w:rsidRPr="007170B7">
        <w:rPr>
          <w:sz w:val="22"/>
          <w:szCs w:val="22"/>
          <w:lang w:val="en-US"/>
        </w:rPr>
        <w:t xml:space="preserve">for the third quarter </w:t>
      </w:r>
      <w:r w:rsidR="004E4470" w:rsidRPr="007170B7">
        <w:rPr>
          <w:sz w:val="22"/>
          <w:szCs w:val="22"/>
          <w:lang w:val="en-US"/>
        </w:rPr>
        <w:t>has increased by 15.1 percent due to</w:t>
      </w:r>
      <w:r w:rsidR="00B17D31" w:rsidRPr="007170B7">
        <w:rPr>
          <w:sz w:val="22"/>
          <w:szCs w:val="22"/>
          <w:lang w:val="en-US"/>
        </w:rPr>
        <w:t xml:space="preserve"> a slump in its production in the second quarter.</w:t>
      </w:r>
      <w:r w:rsidR="00A96248" w:rsidRPr="007170B7">
        <w:rPr>
          <w:sz w:val="22"/>
          <w:szCs w:val="22"/>
          <w:lang w:val="en-US"/>
        </w:rPr>
        <w:t xml:space="preserve"> </w:t>
      </w:r>
      <w:r w:rsidR="00D249F2" w:rsidRPr="007170B7">
        <w:rPr>
          <w:sz w:val="22"/>
          <w:szCs w:val="22"/>
          <w:lang w:val="en-US"/>
        </w:rPr>
        <w:t>It is noteworthy that real sector confidence index has fallen by 0.8 percent in the same period</w:t>
      </w:r>
      <w:r w:rsidR="002F4976" w:rsidRPr="007170B7">
        <w:rPr>
          <w:sz w:val="22"/>
          <w:szCs w:val="22"/>
          <w:lang w:val="en-US"/>
        </w:rPr>
        <w:t xml:space="preserve">. </w:t>
      </w:r>
      <w:r w:rsidR="00D249F2" w:rsidRPr="007170B7">
        <w:rPr>
          <w:sz w:val="22"/>
          <w:szCs w:val="22"/>
          <w:lang w:val="en-US"/>
        </w:rPr>
        <w:t>Therefore, w</w:t>
      </w:r>
      <w:r w:rsidR="00882DAA" w:rsidRPr="007170B7">
        <w:rPr>
          <w:sz w:val="22"/>
          <w:szCs w:val="22"/>
          <w:lang w:val="en-US"/>
        </w:rPr>
        <w:t xml:space="preserve">e </w:t>
      </w:r>
      <w:r w:rsidR="00A3014D" w:rsidRPr="007170B7">
        <w:rPr>
          <w:sz w:val="22"/>
          <w:szCs w:val="22"/>
          <w:lang w:val="en-US"/>
        </w:rPr>
        <w:t>expect</w:t>
      </w:r>
      <w:r w:rsidR="00882DAA" w:rsidRPr="007170B7">
        <w:rPr>
          <w:sz w:val="22"/>
          <w:szCs w:val="22"/>
          <w:lang w:val="en-US"/>
        </w:rPr>
        <w:t xml:space="preserve"> that </w:t>
      </w:r>
      <w:r w:rsidR="00A3014D" w:rsidRPr="007170B7">
        <w:rPr>
          <w:bCs/>
          <w:sz w:val="22"/>
          <w:szCs w:val="22"/>
          <w:lang w:val="en-US"/>
        </w:rPr>
        <w:t>the contribution of private investments to growth will not be significant considering these opposite changes.</w:t>
      </w:r>
    </w:p>
    <w:p w:rsidR="00FC6565" w:rsidRDefault="00FC6565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Pr="007170B7" w:rsidRDefault="00A16730" w:rsidP="00A16730">
      <w:pPr>
        <w:spacing w:line="360" w:lineRule="auto"/>
        <w:ind w:left="-360" w:right="42"/>
        <w:jc w:val="center"/>
        <w:rPr>
          <w:b/>
          <w:sz w:val="22"/>
          <w:szCs w:val="22"/>
          <w:lang w:val="en-US"/>
        </w:rPr>
      </w:pPr>
      <w:r w:rsidRPr="007170B7">
        <w:rPr>
          <w:b/>
          <w:sz w:val="22"/>
          <w:szCs w:val="22"/>
          <w:lang w:val="en-US"/>
        </w:rPr>
        <w:lastRenderedPageBreak/>
        <w:t xml:space="preserve">Moderate economic growth </w:t>
      </w:r>
    </w:p>
    <w:p w:rsidR="00A16730" w:rsidRPr="007170B7" w:rsidRDefault="00A16730" w:rsidP="00A16730">
      <w:pPr>
        <w:spacing w:line="360" w:lineRule="auto"/>
        <w:ind w:left="-360" w:right="42"/>
        <w:jc w:val="center"/>
        <w:rPr>
          <w:b/>
          <w:sz w:val="22"/>
          <w:szCs w:val="22"/>
          <w:lang w:val="en-US"/>
        </w:rPr>
      </w:pPr>
      <w:r w:rsidRPr="007170B7">
        <w:rPr>
          <w:b/>
          <w:sz w:val="22"/>
          <w:szCs w:val="22"/>
          <w:lang w:val="en-US"/>
        </w:rPr>
        <w:t xml:space="preserve">in the third quarter </w:t>
      </w:r>
    </w:p>
    <w:p w:rsidR="00A16730" w:rsidRPr="007170B7" w:rsidRDefault="00A16730" w:rsidP="00A16730">
      <w:pPr>
        <w:spacing w:line="360" w:lineRule="auto"/>
        <w:ind w:right="42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</w:t>
      </w:r>
      <w:r w:rsidRPr="007170B7">
        <w:rPr>
          <w:sz w:val="22"/>
          <w:szCs w:val="22"/>
          <w:lang w:val="en-US"/>
        </w:rPr>
        <w:t xml:space="preserve">umulative </w:t>
      </w:r>
      <w:r>
        <w:rPr>
          <w:sz w:val="22"/>
          <w:szCs w:val="22"/>
          <w:lang w:val="en-US"/>
        </w:rPr>
        <w:t xml:space="preserve">quarterly </w:t>
      </w:r>
      <w:r w:rsidRPr="007170B7">
        <w:rPr>
          <w:sz w:val="22"/>
          <w:szCs w:val="22"/>
          <w:lang w:val="en-US"/>
        </w:rPr>
        <w:t>growth</w:t>
      </w:r>
      <w:r>
        <w:rPr>
          <w:sz w:val="22"/>
          <w:szCs w:val="22"/>
          <w:lang w:val="en-US"/>
        </w:rPr>
        <w:t xml:space="preserve"> rates of the first two quarters of 2015 had reached 2.8 per cent.</w:t>
      </w:r>
      <w:r w:rsidRPr="007170B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Nevertheless, we forecast an noticeable slowdown of 0.7 percent </w:t>
      </w:r>
      <w:r w:rsidRPr="007170B7">
        <w:rPr>
          <w:sz w:val="22"/>
          <w:szCs w:val="22"/>
          <w:lang w:val="en-US"/>
        </w:rPr>
        <w:t xml:space="preserve">for the third quarter. Note that early data of the fourth quarter on consumption points out strong recovery. </w:t>
      </w:r>
      <w:r>
        <w:rPr>
          <w:sz w:val="22"/>
          <w:szCs w:val="22"/>
          <w:lang w:val="en-US"/>
        </w:rPr>
        <w:t xml:space="preserve">Assuming 1.0 percent quarterly </w:t>
      </w:r>
      <w:r w:rsidRPr="007170B7">
        <w:rPr>
          <w:sz w:val="22"/>
          <w:szCs w:val="22"/>
          <w:lang w:val="en-US"/>
        </w:rPr>
        <w:t xml:space="preserve">GDP growth in the fourth quarter, we </w:t>
      </w:r>
      <w:r>
        <w:rPr>
          <w:sz w:val="22"/>
          <w:szCs w:val="22"/>
          <w:lang w:val="en-US"/>
        </w:rPr>
        <w:t xml:space="preserve">estimate an </w:t>
      </w:r>
      <w:r w:rsidRPr="007170B7">
        <w:rPr>
          <w:sz w:val="22"/>
          <w:szCs w:val="22"/>
          <w:lang w:val="en-US"/>
        </w:rPr>
        <w:t xml:space="preserve">annual GDP growth of </w:t>
      </w:r>
      <w:r>
        <w:rPr>
          <w:sz w:val="22"/>
          <w:szCs w:val="22"/>
          <w:lang w:val="en-US"/>
        </w:rPr>
        <w:t xml:space="preserve">4.0 percent for </w:t>
      </w:r>
      <w:r w:rsidRPr="007170B7">
        <w:rPr>
          <w:sz w:val="22"/>
          <w:szCs w:val="22"/>
          <w:lang w:val="en-US"/>
        </w:rPr>
        <w:t>2015</w:t>
      </w:r>
      <w:r>
        <w:rPr>
          <w:sz w:val="22"/>
          <w:szCs w:val="22"/>
          <w:lang w:val="en-US"/>
        </w:rPr>
        <w:t>.</w:t>
      </w:r>
      <w:r w:rsidRPr="007170B7">
        <w:rPr>
          <w:sz w:val="22"/>
          <w:szCs w:val="22"/>
          <w:lang w:val="en-US"/>
        </w:rPr>
        <w:t xml:space="preserve"> </w:t>
      </w: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A16730" w:rsidRPr="007170B7" w:rsidRDefault="00A16730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FC6565" w:rsidRPr="007170B7" w:rsidRDefault="00FC6565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FC6565" w:rsidRPr="007170B7" w:rsidRDefault="00FC6565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FC6565" w:rsidRPr="007170B7" w:rsidRDefault="00FC6565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FC6565" w:rsidRPr="007170B7" w:rsidRDefault="00FC6565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FC6565" w:rsidRPr="007170B7" w:rsidRDefault="00FC6565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FC6565" w:rsidRPr="007170B7" w:rsidRDefault="00FC6565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FC6565" w:rsidRPr="007170B7" w:rsidRDefault="00FC6565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FC6565" w:rsidRPr="007170B7" w:rsidRDefault="00FC6565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FC6565" w:rsidRPr="007170B7" w:rsidRDefault="00FC6565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FC6565" w:rsidRPr="007170B7" w:rsidRDefault="00FC6565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FC6565" w:rsidRPr="007170B7" w:rsidRDefault="00FC6565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FC6565" w:rsidRPr="007170B7" w:rsidRDefault="00FC6565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FC6565" w:rsidRPr="007170B7" w:rsidRDefault="00FC6565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FC6565" w:rsidRPr="007170B7" w:rsidRDefault="00FC6565" w:rsidP="00FC6565">
      <w:pPr>
        <w:spacing w:line="360" w:lineRule="auto"/>
        <w:ind w:right="42"/>
        <w:jc w:val="both"/>
        <w:rPr>
          <w:sz w:val="22"/>
          <w:szCs w:val="22"/>
          <w:lang w:val="en-US"/>
        </w:rPr>
      </w:pPr>
    </w:p>
    <w:p w:rsidR="00921DCA" w:rsidRDefault="00921DCA" w:rsidP="00F67437">
      <w:pPr>
        <w:spacing w:line="360" w:lineRule="auto"/>
        <w:ind w:left="-360" w:right="42"/>
        <w:jc w:val="both"/>
        <w:rPr>
          <w:sz w:val="22"/>
          <w:szCs w:val="22"/>
          <w:lang w:val="en-US"/>
        </w:rPr>
      </w:pPr>
    </w:p>
    <w:p w:rsidR="00A16730" w:rsidRPr="007170B7" w:rsidRDefault="00A16730" w:rsidP="00F67437">
      <w:pPr>
        <w:spacing w:line="360" w:lineRule="auto"/>
        <w:ind w:left="-360" w:right="42"/>
        <w:jc w:val="both"/>
        <w:rPr>
          <w:bCs/>
          <w:color w:val="FF0000"/>
          <w:sz w:val="22"/>
          <w:szCs w:val="22"/>
          <w:lang w:val="en-US"/>
        </w:rPr>
        <w:sectPr w:rsidR="00A16730" w:rsidRPr="007170B7" w:rsidSect="00D850C9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B2AEB" w:rsidRPr="007170B7" w:rsidRDefault="00AB2AEB" w:rsidP="00AB2AEB">
      <w:pPr>
        <w:spacing w:line="360" w:lineRule="auto"/>
        <w:ind w:right="42"/>
        <w:jc w:val="both"/>
        <w:rPr>
          <w:sz w:val="22"/>
          <w:szCs w:val="22"/>
          <w:lang w:val="en-US"/>
        </w:rPr>
      </w:pPr>
      <w:r w:rsidRPr="007170B7">
        <w:rPr>
          <w:b/>
          <w:bCs/>
          <w:sz w:val="22"/>
          <w:szCs w:val="22"/>
          <w:lang w:val="en-US"/>
        </w:rPr>
        <w:lastRenderedPageBreak/>
        <w:t>Table</w:t>
      </w:r>
      <w:r w:rsidR="00197085" w:rsidRPr="007170B7">
        <w:rPr>
          <w:b/>
          <w:bCs/>
          <w:sz w:val="22"/>
          <w:szCs w:val="22"/>
          <w:lang w:val="en-US"/>
        </w:rPr>
        <w:t xml:space="preserve"> 2. </w:t>
      </w:r>
      <w:r w:rsidRPr="007170B7">
        <w:rPr>
          <w:b/>
          <w:sz w:val="22"/>
          <w:szCs w:val="22"/>
          <w:lang w:val="en-US"/>
        </w:rPr>
        <w:t>Monthly and quarterly changes of Betam’s selected indicators (SA)</w:t>
      </w:r>
    </w:p>
    <w:tbl>
      <w:tblPr>
        <w:tblW w:w="9671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1117"/>
        <w:gridCol w:w="1075"/>
        <w:gridCol w:w="1130"/>
        <w:gridCol w:w="1343"/>
        <w:gridCol w:w="1044"/>
        <w:gridCol w:w="1044"/>
      </w:tblGrid>
      <w:tr w:rsidR="00AB2AEB" w:rsidRPr="007170B7" w:rsidTr="00A16730">
        <w:trPr>
          <w:trHeight w:val="689"/>
        </w:trPr>
        <w:tc>
          <w:tcPr>
            <w:tcW w:w="2918" w:type="dxa"/>
            <w:vAlign w:val="center"/>
          </w:tcPr>
          <w:p w:rsidR="00AB2AEB" w:rsidRPr="007170B7" w:rsidRDefault="00AB2AEB" w:rsidP="006E6C50">
            <w:pPr>
              <w:ind w:right="42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170B7">
              <w:rPr>
                <w:b/>
                <w:bCs/>
                <w:sz w:val="22"/>
                <w:szCs w:val="22"/>
                <w:lang w:val="en-US"/>
              </w:rPr>
              <w:t>Economic Indicators</w:t>
            </w:r>
          </w:p>
        </w:tc>
        <w:tc>
          <w:tcPr>
            <w:tcW w:w="1117" w:type="dxa"/>
            <w:vAlign w:val="center"/>
          </w:tcPr>
          <w:p w:rsidR="00AB2AEB" w:rsidRPr="007170B7" w:rsidRDefault="00AB2AEB" w:rsidP="006E6C50">
            <w:pPr>
              <w:jc w:val="center"/>
              <w:rPr>
                <w:rFonts w:ascii="Segoe UI" w:hAnsi="Segoe UI" w:cs="Segoe UI"/>
                <w:sz w:val="23"/>
                <w:szCs w:val="23"/>
                <w:lang w:val="en-US"/>
              </w:rPr>
            </w:pPr>
            <w:r w:rsidRPr="007170B7">
              <w:rPr>
                <w:b/>
                <w:bCs/>
                <w:lang w:val="en-US"/>
              </w:rPr>
              <w:t>June</w:t>
            </w:r>
          </w:p>
        </w:tc>
        <w:tc>
          <w:tcPr>
            <w:tcW w:w="1075" w:type="dxa"/>
            <w:vAlign w:val="center"/>
          </w:tcPr>
          <w:p w:rsidR="00AB2AEB" w:rsidRPr="007170B7" w:rsidRDefault="00AB2AEB" w:rsidP="006E6C50">
            <w:pPr>
              <w:jc w:val="center"/>
              <w:rPr>
                <w:b/>
                <w:bCs/>
                <w:lang w:val="en-US"/>
              </w:rPr>
            </w:pPr>
            <w:r w:rsidRPr="007170B7">
              <w:rPr>
                <w:b/>
                <w:bCs/>
                <w:lang w:val="en-US"/>
              </w:rPr>
              <w:t>July</w:t>
            </w:r>
          </w:p>
        </w:tc>
        <w:tc>
          <w:tcPr>
            <w:tcW w:w="1130" w:type="dxa"/>
            <w:vAlign w:val="center"/>
          </w:tcPr>
          <w:p w:rsidR="00AB2AEB" w:rsidRPr="007170B7" w:rsidRDefault="00AB2AEB" w:rsidP="006E6C50">
            <w:pPr>
              <w:jc w:val="center"/>
              <w:rPr>
                <w:b/>
                <w:bCs/>
                <w:lang w:val="en-US"/>
              </w:rPr>
            </w:pPr>
            <w:r w:rsidRPr="007170B7">
              <w:rPr>
                <w:b/>
                <w:bCs/>
                <w:lang w:val="en-US"/>
              </w:rPr>
              <w:t>August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vAlign w:val="center"/>
          </w:tcPr>
          <w:p w:rsidR="00AB2AEB" w:rsidRPr="007170B7" w:rsidRDefault="00AB2AEB" w:rsidP="006E6C50">
            <w:pPr>
              <w:jc w:val="center"/>
              <w:rPr>
                <w:b/>
                <w:bCs/>
                <w:lang w:val="en-US"/>
              </w:rPr>
            </w:pPr>
            <w:r w:rsidRPr="007170B7">
              <w:rPr>
                <w:b/>
                <w:bCs/>
                <w:lang w:val="en-US"/>
              </w:rPr>
              <w:t>September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vAlign w:val="center"/>
          </w:tcPr>
          <w:p w:rsidR="00AB2AEB" w:rsidRPr="007170B7" w:rsidRDefault="00AB2AEB" w:rsidP="006E6C50">
            <w:pPr>
              <w:ind w:right="42"/>
              <w:jc w:val="center"/>
              <w:rPr>
                <w:b/>
                <w:bCs/>
                <w:lang w:val="en-US"/>
              </w:rPr>
            </w:pPr>
            <w:r w:rsidRPr="007170B7">
              <w:rPr>
                <w:b/>
                <w:bCs/>
                <w:sz w:val="22"/>
                <w:szCs w:val="22"/>
                <w:lang w:val="en-US"/>
              </w:rPr>
              <w:t>2015 2. Quarter</w:t>
            </w:r>
          </w:p>
        </w:tc>
        <w:tc>
          <w:tcPr>
            <w:tcW w:w="1044" w:type="dxa"/>
            <w:vAlign w:val="center"/>
          </w:tcPr>
          <w:p w:rsidR="00AB2AEB" w:rsidRPr="007170B7" w:rsidRDefault="00AB2AEB" w:rsidP="006E6C50">
            <w:pPr>
              <w:ind w:right="42"/>
              <w:jc w:val="center"/>
              <w:rPr>
                <w:b/>
                <w:bCs/>
                <w:lang w:val="en-US"/>
              </w:rPr>
            </w:pPr>
            <w:r w:rsidRPr="007170B7">
              <w:rPr>
                <w:b/>
                <w:bCs/>
                <w:sz w:val="22"/>
                <w:szCs w:val="22"/>
                <w:lang w:val="en-US"/>
              </w:rPr>
              <w:t>2015 3. Quarter</w:t>
            </w:r>
          </w:p>
        </w:tc>
      </w:tr>
      <w:tr w:rsidR="0068529C" w:rsidRPr="007170B7" w:rsidTr="00A16730">
        <w:trPr>
          <w:trHeight w:val="328"/>
        </w:trPr>
        <w:tc>
          <w:tcPr>
            <w:tcW w:w="2918" w:type="dxa"/>
            <w:vAlign w:val="center"/>
          </w:tcPr>
          <w:p w:rsidR="0068529C" w:rsidRPr="007170B7" w:rsidRDefault="0068529C" w:rsidP="006E6C50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170B7">
              <w:rPr>
                <w:b/>
                <w:bCs/>
                <w:sz w:val="20"/>
                <w:szCs w:val="20"/>
                <w:lang w:val="en-US"/>
              </w:rPr>
              <w:t>Export*</w:t>
            </w:r>
          </w:p>
        </w:tc>
        <w:tc>
          <w:tcPr>
            <w:tcW w:w="1117" w:type="dxa"/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-0.4</w:t>
            </w:r>
          </w:p>
        </w:tc>
        <w:tc>
          <w:tcPr>
            <w:tcW w:w="1075" w:type="dxa"/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0.9</w:t>
            </w:r>
          </w:p>
        </w:tc>
        <w:tc>
          <w:tcPr>
            <w:tcW w:w="1130" w:type="dxa"/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13.8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-4.6</w:t>
            </w:r>
          </w:p>
        </w:tc>
        <w:tc>
          <w:tcPr>
            <w:tcW w:w="1044" w:type="dxa"/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3.3</w:t>
            </w:r>
          </w:p>
        </w:tc>
      </w:tr>
      <w:tr w:rsidR="0068529C" w:rsidRPr="007170B7" w:rsidTr="00A16730">
        <w:trPr>
          <w:trHeight w:val="293"/>
        </w:trPr>
        <w:tc>
          <w:tcPr>
            <w:tcW w:w="2918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170B7">
              <w:rPr>
                <w:b/>
                <w:bCs/>
                <w:sz w:val="20"/>
                <w:szCs w:val="20"/>
                <w:lang w:val="en-US"/>
              </w:rPr>
              <w:t>Import*</w:t>
            </w: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-3.2</w:t>
            </w:r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1343" w:type="dxa"/>
            <w:tcBorders>
              <w:bottom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044" w:type="dxa"/>
            <w:tcBorders>
              <w:left w:val="double" w:sz="4" w:space="0" w:color="auto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-1.5</w:t>
            </w:r>
          </w:p>
        </w:tc>
        <w:tc>
          <w:tcPr>
            <w:tcW w:w="1044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-1.2</w:t>
            </w:r>
          </w:p>
        </w:tc>
      </w:tr>
      <w:tr w:rsidR="0068529C" w:rsidRPr="007170B7" w:rsidTr="00A16730">
        <w:trPr>
          <w:trHeight w:val="356"/>
        </w:trPr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:rsidR="0068529C" w:rsidRPr="007170B7" w:rsidRDefault="0064676D" w:rsidP="006E6C5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Intermediate goods import</w:t>
            </w:r>
            <w:r w:rsidR="0068529C" w:rsidRPr="007170B7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-3.4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1.0</w:t>
            </w: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04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-2.0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-1.3</w:t>
            </w:r>
          </w:p>
        </w:tc>
      </w:tr>
      <w:tr w:rsidR="0068529C" w:rsidRPr="007170B7" w:rsidTr="00A16730">
        <w:trPr>
          <w:trHeight w:val="446"/>
        </w:trPr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:rsidR="0068529C" w:rsidRPr="007170B7" w:rsidRDefault="0064676D" w:rsidP="006E6C5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 xml:space="preserve">Consumer goods import </w:t>
            </w:r>
            <w:r w:rsidR="0068529C" w:rsidRPr="007170B7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-7.6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-10.9</w:t>
            </w: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04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1.0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-3.1</w:t>
            </w:r>
          </w:p>
        </w:tc>
      </w:tr>
      <w:tr w:rsidR="0068529C" w:rsidRPr="007170B7" w:rsidTr="00A16730">
        <w:trPr>
          <w:trHeight w:val="127"/>
        </w:trPr>
        <w:tc>
          <w:tcPr>
            <w:tcW w:w="2918" w:type="dxa"/>
            <w:tcBorders>
              <w:top w:val="nil"/>
            </w:tcBorders>
            <w:vAlign w:val="center"/>
          </w:tcPr>
          <w:p w:rsidR="0068529C" w:rsidRPr="007170B7" w:rsidRDefault="0064676D" w:rsidP="006E6C5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 xml:space="preserve">Investment goods import </w:t>
            </w:r>
            <w:r w:rsidR="0068529C" w:rsidRPr="007170B7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117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1.0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-8.7</w:t>
            </w:r>
          </w:p>
        </w:tc>
        <w:tc>
          <w:tcPr>
            <w:tcW w:w="1130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1343" w:type="dxa"/>
            <w:tcBorders>
              <w:top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044" w:type="dxa"/>
            <w:tcBorders>
              <w:top w:val="nil"/>
              <w:lef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5.6</w:t>
            </w:r>
          </w:p>
        </w:tc>
        <w:tc>
          <w:tcPr>
            <w:tcW w:w="1044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-4.6</w:t>
            </w:r>
          </w:p>
        </w:tc>
      </w:tr>
      <w:tr w:rsidR="0068529C" w:rsidRPr="007170B7" w:rsidTr="00A16730">
        <w:trPr>
          <w:trHeight w:val="358"/>
        </w:trPr>
        <w:tc>
          <w:tcPr>
            <w:tcW w:w="2918" w:type="dxa"/>
            <w:vAlign w:val="center"/>
          </w:tcPr>
          <w:p w:rsidR="0068529C" w:rsidRPr="007170B7" w:rsidRDefault="00341FFD" w:rsidP="006E6C50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170B7">
              <w:rPr>
                <w:b/>
                <w:bCs/>
                <w:sz w:val="20"/>
                <w:szCs w:val="20"/>
                <w:lang w:val="en-US"/>
              </w:rPr>
              <w:t xml:space="preserve">Exports excluding gold </w:t>
            </w:r>
            <w:r w:rsidR="0068529C" w:rsidRPr="007170B7">
              <w:rPr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17" w:type="dxa"/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-1.8</w:t>
            </w:r>
          </w:p>
        </w:tc>
        <w:tc>
          <w:tcPr>
            <w:tcW w:w="1075" w:type="dxa"/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2.6</w:t>
            </w:r>
          </w:p>
        </w:tc>
        <w:tc>
          <w:tcPr>
            <w:tcW w:w="1130" w:type="dxa"/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-1.0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0.8</w:t>
            </w:r>
          </w:p>
        </w:tc>
        <w:tc>
          <w:tcPr>
            <w:tcW w:w="1044" w:type="dxa"/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2.1</w:t>
            </w:r>
          </w:p>
        </w:tc>
      </w:tr>
      <w:tr w:rsidR="0068529C" w:rsidRPr="007170B7" w:rsidTr="00A16730">
        <w:trPr>
          <w:trHeight w:val="304"/>
        </w:trPr>
        <w:tc>
          <w:tcPr>
            <w:tcW w:w="2918" w:type="dxa"/>
            <w:vAlign w:val="center"/>
          </w:tcPr>
          <w:p w:rsidR="0068529C" w:rsidRPr="007170B7" w:rsidRDefault="00341FFD" w:rsidP="006E6C50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170B7">
              <w:rPr>
                <w:b/>
                <w:bCs/>
                <w:sz w:val="20"/>
                <w:szCs w:val="20"/>
                <w:lang w:val="en-US"/>
              </w:rPr>
              <w:t xml:space="preserve">Imports excluding gold </w:t>
            </w:r>
            <w:r w:rsidR="0068529C" w:rsidRPr="007170B7">
              <w:rPr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17" w:type="dxa"/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-0.6</w:t>
            </w:r>
          </w:p>
        </w:tc>
        <w:tc>
          <w:tcPr>
            <w:tcW w:w="1075" w:type="dxa"/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-6.9</w:t>
            </w:r>
          </w:p>
        </w:tc>
        <w:tc>
          <w:tcPr>
            <w:tcW w:w="1130" w:type="dxa"/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2.5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0.8</w:t>
            </w:r>
          </w:p>
        </w:tc>
        <w:tc>
          <w:tcPr>
            <w:tcW w:w="1044" w:type="dxa"/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-3.8</w:t>
            </w:r>
          </w:p>
        </w:tc>
      </w:tr>
      <w:tr w:rsidR="0068529C" w:rsidRPr="007170B7" w:rsidTr="00A16730">
        <w:trPr>
          <w:trHeight w:val="474"/>
        </w:trPr>
        <w:tc>
          <w:tcPr>
            <w:tcW w:w="2918" w:type="dxa"/>
            <w:tcBorders>
              <w:bottom w:val="nil"/>
            </w:tcBorders>
            <w:vAlign w:val="center"/>
          </w:tcPr>
          <w:p w:rsidR="0068529C" w:rsidRPr="007170B7" w:rsidRDefault="00FE2171" w:rsidP="006E6C50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170B7">
              <w:rPr>
                <w:b/>
                <w:bCs/>
                <w:sz w:val="20"/>
                <w:szCs w:val="20"/>
                <w:lang w:val="en-US"/>
              </w:rPr>
              <w:t xml:space="preserve">Industrial Production Index (IPI) </w:t>
            </w:r>
            <w:r w:rsidR="0068529C" w:rsidRPr="007170B7">
              <w:rPr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-1.5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3.0</w:t>
            </w:r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343" w:type="dxa"/>
            <w:tcBorders>
              <w:bottom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044" w:type="dxa"/>
            <w:tcBorders>
              <w:left w:val="double" w:sz="4" w:space="0" w:color="auto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1.5</w:t>
            </w:r>
          </w:p>
        </w:tc>
        <w:tc>
          <w:tcPr>
            <w:tcW w:w="1044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1.2</w:t>
            </w:r>
          </w:p>
        </w:tc>
      </w:tr>
      <w:tr w:rsidR="0068529C" w:rsidRPr="007170B7" w:rsidTr="00A16730">
        <w:trPr>
          <w:trHeight w:val="233"/>
        </w:trPr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:rsidR="0068529C" w:rsidRPr="007170B7" w:rsidRDefault="00FE2171" w:rsidP="00FE2171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Nondurable consumer goods</w:t>
            </w:r>
            <w:r w:rsidR="0068529C" w:rsidRPr="007170B7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-2.8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2.5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04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2.6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-0.1</w:t>
            </w:r>
          </w:p>
        </w:tc>
      </w:tr>
      <w:tr w:rsidR="0068529C" w:rsidRPr="007170B7" w:rsidTr="00A16730">
        <w:trPr>
          <w:trHeight w:val="178"/>
        </w:trPr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:rsidR="0068529C" w:rsidRPr="007170B7" w:rsidRDefault="00FE2171" w:rsidP="006E6C50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 xml:space="preserve">Durable consumer goods </w:t>
            </w:r>
            <w:r w:rsidR="0068529C" w:rsidRPr="007170B7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-11.5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11.6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6.3</w:t>
            </w: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04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6.4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-1.0</w:t>
            </w:r>
          </w:p>
        </w:tc>
      </w:tr>
      <w:tr w:rsidR="0068529C" w:rsidRPr="007170B7" w:rsidTr="00A16730">
        <w:trPr>
          <w:trHeight w:val="127"/>
        </w:trPr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:rsidR="0068529C" w:rsidRPr="007170B7" w:rsidRDefault="00FF72E0" w:rsidP="006E6C5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 xml:space="preserve">Intermediate goods </w:t>
            </w:r>
            <w:r w:rsidR="0068529C" w:rsidRPr="007170B7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117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-2.2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1.7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-0.9</w:t>
            </w: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04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1.5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-0.3</w:t>
            </w:r>
          </w:p>
        </w:tc>
      </w:tr>
      <w:tr w:rsidR="0068529C" w:rsidRPr="007170B7" w:rsidTr="00A16730">
        <w:trPr>
          <w:trHeight w:val="127"/>
        </w:trPr>
        <w:tc>
          <w:tcPr>
            <w:tcW w:w="2918" w:type="dxa"/>
            <w:tcBorders>
              <w:top w:val="nil"/>
            </w:tcBorders>
            <w:vAlign w:val="center"/>
          </w:tcPr>
          <w:p w:rsidR="0068529C" w:rsidRPr="007170B7" w:rsidRDefault="0079250C" w:rsidP="006E6C5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 xml:space="preserve">Investment goods </w:t>
            </w:r>
            <w:r w:rsidR="0068529C" w:rsidRPr="007170B7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117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5.3</w:t>
            </w:r>
          </w:p>
        </w:tc>
        <w:tc>
          <w:tcPr>
            <w:tcW w:w="1130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-0.3</w:t>
            </w:r>
          </w:p>
        </w:tc>
        <w:tc>
          <w:tcPr>
            <w:tcW w:w="1343" w:type="dxa"/>
            <w:tcBorders>
              <w:top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**</w:t>
            </w:r>
          </w:p>
        </w:tc>
        <w:tc>
          <w:tcPr>
            <w:tcW w:w="1044" w:type="dxa"/>
            <w:tcBorders>
              <w:top w:val="nil"/>
              <w:lef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-1.8</w:t>
            </w:r>
          </w:p>
        </w:tc>
        <w:tc>
          <w:tcPr>
            <w:tcW w:w="1044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5.4</w:t>
            </w:r>
          </w:p>
        </w:tc>
      </w:tr>
      <w:tr w:rsidR="0068529C" w:rsidRPr="007170B7" w:rsidTr="00A16730">
        <w:trPr>
          <w:trHeight w:val="287"/>
        </w:trPr>
        <w:tc>
          <w:tcPr>
            <w:tcW w:w="2918" w:type="dxa"/>
            <w:tcBorders>
              <w:bottom w:val="nil"/>
            </w:tcBorders>
            <w:vAlign w:val="center"/>
          </w:tcPr>
          <w:p w:rsidR="0068529C" w:rsidRPr="007170B7" w:rsidRDefault="00537555" w:rsidP="00537555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170B7">
              <w:rPr>
                <w:b/>
                <w:bCs/>
                <w:sz w:val="20"/>
                <w:szCs w:val="20"/>
                <w:lang w:val="en-US"/>
              </w:rPr>
              <w:t>Capacity Utilization Rate</w:t>
            </w:r>
            <w:r w:rsidR="0068529C" w:rsidRPr="007170B7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7170B7">
              <w:rPr>
                <w:b/>
                <w:bCs/>
                <w:sz w:val="20"/>
                <w:szCs w:val="20"/>
                <w:lang w:val="en-US"/>
              </w:rPr>
              <w:t>CUR</w:t>
            </w:r>
            <w:r w:rsidR="0068529C" w:rsidRPr="007170B7">
              <w:rPr>
                <w:b/>
                <w:bCs/>
                <w:sz w:val="20"/>
                <w:szCs w:val="20"/>
                <w:lang w:val="en-US"/>
              </w:rPr>
              <w:t>)*</w:t>
            </w:r>
            <w:r w:rsidR="0068529C" w:rsidRPr="007170B7">
              <w:rPr>
                <w:b/>
                <w:bCs/>
                <w:sz w:val="20"/>
                <w:szCs w:val="20"/>
                <w:vertAlign w:val="superscript"/>
                <w:lang w:val="en-US"/>
              </w:rPr>
              <w:t>, ‡</w:t>
            </w: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-0.8</w:t>
            </w:r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1343" w:type="dxa"/>
            <w:tcBorders>
              <w:bottom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-0.8</w:t>
            </w:r>
          </w:p>
        </w:tc>
        <w:tc>
          <w:tcPr>
            <w:tcW w:w="1044" w:type="dxa"/>
            <w:tcBorders>
              <w:left w:val="double" w:sz="4" w:space="0" w:color="auto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1044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0.2</w:t>
            </w:r>
          </w:p>
        </w:tc>
      </w:tr>
      <w:tr w:rsidR="0068529C" w:rsidRPr="007170B7" w:rsidTr="00A16730">
        <w:trPr>
          <w:trHeight w:val="540"/>
        </w:trPr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:rsidR="0068529C" w:rsidRPr="007170B7" w:rsidRDefault="002232FA" w:rsidP="006E6C5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Nondurable consumer goods</w:t>
            </w:r>
            <w:r w:rsidRPr="007170B7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68529C" w:rsidRPr="007170B7">
              <w:rPr>
                <w:sz w:val="20"/>
                <w:szCs w:val="20"/>
                <w:vertAlign w:val="superscript"/>
                <w:lang w:val="en-US"/>
              </w:rPr>
              <w:t>§,</w:t>
            </w:r>
            <w:r w:rsidR="0068529C" w:rsidRPr="007170B7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117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-0.8</w:t>
            </w:r>
          </w:p>
        </w:tc>
        <w:tc>
          <w:tcPr>
            <w:tcW w:w="104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-0.3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0.2</w:t>
            </w:r>
          </w:p>
        </w:tc>
      </w:tr>
      <w:tr w:rsidR="0068529C" w:rsidRPr="007170B7" w:rsidTr="00A16730">
        <w:trPr>
          <w:trHeight w:val="336"/>
        </w:trPr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:rsidR="0068529C" w:rsidRPr="007170B7" w:rsidRDefault="002232FA" w:rsidP="006E6C50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Durable consumer goods</w:t>
            </w:r>
            <w:r w:rsidRPr="007170B7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68529C" w:rsidRPr="007170B7">
              <w:rPr>
                <w:sz w:val="20"/>
                <w:szCs w:val="20"/>
                <w:vertAlign w:val="superscript"/>
                <w:lang w:val="en-US"/>
              </w:rPr>
              <w:t>§,</w:t>
            </w:r>
            <w:r w:rsidR="0068529C" w:rsidRPr="007170B7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117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2.7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-1.3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0.7</w:t>
            </w: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104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0.8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2.5</w:t>
            </w:r>
          </w:p>
        </w:tc>
      </w:tr>
      <w:tr w:rsidR="0068529C" w:rsidRPr="007170B7" w:rsidTr="00A16730">
        <w:trPr>
          <w:trHeight w:val="540"/>
        </w:trPr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:rsidR="0068529C" w:rsidRPr="007170B7" w:rsidRDefault="007A55EB" w:rsidP="006E6C5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Intermediate goods</w:t>
            </w:r>
            <w:r w:rsidRPr="007170B7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68529C" w:rsidRPr="007170B7">
              <w:rPr>
                <w:sz w:val="20"/>
                <w:szCs w:val="20"/>
                <w:vertAlign w:val="superscript"/>
                <w:lang w:val="en-US"/>
              </w:rPr>
              <w:t>§,</w:t>
            </w:r>
            <w:r w:rsidR="0068529C" w:rsidRPr="007170B7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117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-0.6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104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-0.6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0.1</w:t>
            </w:r>
          </w:p>
        </w:tc>
      </w:tr>
      <w:tr w:rsidR="0068529C" w:rsidRPr="007170B7" w:rsidTr="00A16730">
        <w:trPr>
          <w:trHeight w:val="184"/>
        </w:trPr>
        <w:tc>
          <w:tcPr>
            <w:tcW w:w="2918" w:type="dxa"/>
            <w:tcBorders>
              <w:top w:val="nil"/>
            </w:tcBorders>
            <w:vAlign w:val="center"/>
          </w:tcPr>
          <w:p w:rsidR="0068529C" w:rsidRPr="007170B7" w:rsidRDefault="001754D3" w:rsidP="006E6C5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Investment goods</w:t>
            </w:r>
            <w:r w:rsidRPr="007170B7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68529C" w:rsidRPr="007170B7">
              <w:rPr>
                <w:sz w:val="20"/>
                <w:szCs w:val="20"/>
                <w:vertAlign w:val="superscript"/>
                <w:lang w:val="en-US"/>
              </w:rPr>
              <w:t>§,</w:t>
            </w:r>
            <w:r w:rsidR="0068529C" w:rsidRPr="007170B7">
              <w:rPr>
                <w:b/>
                <w:bCs/>
                <w:sz w:val="20"/>
                <w:szCs w:val="20"/>
                <w:vertAlign w:val="superscript"/>
                <w:lang w:val="en-US"/>
              </w:rPr>
              <w:t>‡</w:t>
            </w:r>
          </w:p>
        </w:tc>
        <w:tc>
          <w:tcPr>
            <w:tcW w:w="1117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0.9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-0.5</w:t>
            </w:r>
          </w:p>
        </w:tc>
        <w:tc>
          <w:tcPr>
            <w:tcW w:w="1130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1.3</w:t>
            </w:r>
          </w:p>
        </w:tc>
        <w:tc>
          <w:tcPr>
            <w:tcW w:w="1343" w:type="dxa"/>
            <w:tcBorders>
              <w:top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-0.5</w:t>
            </w:r>
          </w:p>
        </w:tc>
        <w:tc>
          <w:tcPr>
            <w:tcW w:w="1044" w:type="dxa"/>
            <w:tcBorders>
              <w:top w:val="nil"/>
              <w:lef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0.9</w:t>
            </w:r>
          </w:p>
        </w:tc>
        <w:tc>
          <w:tcPr>
            <w:tcW w:w="1044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0.3</w:t>
            </w:r>
          </w:p>
        </w:tc>
      </w:tr>
      <w:tr w:rsidR="0068529C" w:rsidRPr="007170B7" w:rsidTr="00A16730">
        <w:trPr>
          <w:trHeight w:val="344"/>
        </w:trPr>
        <w:tc>
          <w:tcPr>
            <w:tcW w:w="2918" w:type="dxa"/>
            <w:tcBorders>
              <w:bottom w:val="nil"/>
            </w:tcBorders>
            <w:vAlign w:val="center"/>
          </w:tcPr>
          <w:p w:rsidR="0068529C" w:rsidRPr="007170B7" w:rsidRDefault="003B38BF" w:rsidP="006E6C50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170B7">
              <w:rPr>
                <w:b/>
                <w:sz w:val="22"/>
                <w:szCs w:val="22"/>
                <w:lang w:val="en-US"/>
              </w:rPr>
              <w:t>Soft Data</w:t>
            </w: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bottom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tcBorders>
              <w:left w:val="double" w:sz="4" w:space="0" w:color="auto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8529C" w:rsidRPr="007170B7" w:rsidTr="00A16730">
        <w:trPr>
          <w:trHeight w:val="321"/>
        </w:trPr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:rsidR="0068529C" w:rsidRPr="007170B7" w:rsidRDefault="003B38BF" w:rsidP="006E6C5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Consumer confidence index (TurkStat)</w:t>
            </w:r>
            <w:r w:rsidR="0068529C" w:rsidRPr="007170B7">
              <w:rPr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1117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-2.5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-2.5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-6.2</w:t>
            </w: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8.6</w:t>
            </w:r>
          </w:p>
        </w:tc>
        <w:tc>
          <w:tcPr>
            <w:tcW w:w="104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-2.7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-4.2</w:t>
            </w:r>
          </w:p>
        </w:tc>
      </w:tr>
      <w:tr w:rsidR="0068529C" w:rsidRPr="007170B7" w:rsidTr="00A16730">
        <w:trPr>
          <w:trHeight w:val="127"/>
        </w:trPr>
        <w:tc>
          <w:tcPr>
            <w:tcW w:w="2918" w:type="dxa"/>
            <w:tcBorders>
              <w:top w:val="nil"/>
            </w:tcBorders>
            <w:vAlign w:val="center"/>
          </w:tcPr>
          <w:p w:rsidR="0068529C" w:rsidRPr="007170B7" w:rsidRDefault="00F34EF0" w:rsidP="006E6C5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Real sector confidence index</w:t>
            </w:r>
            <w:r w:rsidR="0068529C" w:rsidRPr="007170B7">
              <w:rPr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117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1.4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-0.1</w:t>
            </w:r>
          </w:p>
        </w:tc>
        <w:tc>
          <w:tcPr>
            <w:tcW w:w="1130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-3.3</w:t>
            </w:r>
          </w:p>
        </w:tc>
        <w:tc>
          <w:tcPr>
            <w:tcW w:w="1343" w:type="dxa"/>
            <w:tcBorders>
              <w:top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3.7</w:t>
            </w:r>
          </w:p>
        </w:tc>
        <w:tc>
          <w:tcPr>
            <w:tcW w:w="1044" w:type="dxa"/>
            <w:tcBorders>
              <w:top w:val="nil"/>
              <w:lef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-1.2</w:t>
            </w:r>
          </w:p>
        </w:tc>
        <w:tc>
          <w:tcPr>
            <w:tcW w:w="1044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-0.8</w:t>
            </w:r>
          </w:p>
        </w:tc>
      </w:tr>
      <w:tr w:rsidR="0068529C" w:rsidRPr="007170B7" w:rsidTr="00A16730">
        <w:trPr>
          <w:trHeight w:val="222"/>
        </w:trPr>
        <w:tc>
          <w:tcPr>
            <w:tcW w:w="2918" w:type="dxa"/>
            <w:tcBorders>
              <w:bottom w:val="nil"/>
            </w:tcBorders>
            <w:vAlign w:val="center"/>
          </w:tcPr>
          <w:p w:rsidR="0068529C" w:rsidRPr="007170B7" w:rsidRDefault="008600DF" w:rsidP="006E6C50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170B7">
              <w:rPr>
                <w:b/>
                <w:bCs/>
                <w:sz w:val="20"/>
                <w:szCs w:val="20"/>
                <w:lang w:val="en-US"/>
              </w:rPr>
              <w:t>Financial Data</w:t>
            </w: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bottom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tcBorders>
              <w:left w:val="double" w:sz="4" w:space="0" w:color="auto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8529C" w:rsidRPr="007170B7" w:rsidTr="00A16730">
        <w:trPr>
          <w:trHeight w:val="491"/>
        </w:trPr>
        <w:tc>
          <w:tcPr>
            <w:tcW w:w="2918" w:type="dxa"/>
            <w:tcBorders>
              <w:top w:val="nil"/>
            </w:tcBorders>
            <w:vAlign w:val="center"/>
          </w:tcPr>
          <w:p w:rsidR="0068529C" w:rsidRPr="007170B7" w:rsidRDefault="00252E67" w:rsidP="00252E67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IMKB 100 (Stock Exchange)</w:t>
            </w:r>
            <w:r w:rsidR="0068529C" w:rsidRPr="007170B7">
              <w:rPr>
                <w:sz w:val="20"/>
                <w:szCs w:val="20"/>
                <w:lang w:val="en-US"/>
              </w:rPr>
              <w:t xml:space="preserve"> </w:t>
            </w:r>
            <w:r w:rsidR="0068529C" w:rsidRPr="007170B7">
              <w:rPr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1117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-2.3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-4.4</w:t>
            </w:r>
          </w:p>
        </w:tc>
        <w:tc>
          <w:tcPr>
            <w:tcW w:w="1130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-4.2</w:t>
            </w:r>
          </w:p>
        </w:tc>
        <w:tc>
          <w:tcPr>
            <w:tcW w:w="1343" w:type="dxa"/>
            <w:tcBorders>
              <w:top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4.9</w:t>
            </w:r>
          </w:p>
        </w:tc>
        <w:tc>
          <w:tcPr>
            <w:tcW w:w="1044" w:type="dxa"/>
            <w:tcBorders>
              <w:top w:val="nil"/>
              <w:lef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-6.3</w:t>
            </w:r>
          </w:p>
        </w:tc>
        <w:tc>
          <w:tcPr>
            <w:tcW w:w="1044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-6.2</w:t>
            </w:r>
          </w:p>
        </w:tc>
      </w:tr>
      <w:tr w:rsidR="0068529C" w:rsidRPr="007170B7" w:rsidTr="00A16730">
        <w:trPr>
          <w:trHeight w:val="324"/>
        </w:trPr>
        <w:tc>
          <w:tcPr>
            <w:tcW w:w="2918" w:type="dxa"/>
            <w:tcBorders>
              <w:bottom w:val="nil"/>
            </w:tcBorders>
            <w:vAlign w:val="center"/>
          </w:tcPr>
          <w:p w:rsidR="0068529C" w:rsidRPr="007170B7" w:rsidRDefault="00F46EC6" w:rsidP="006E6C50">
            <w:pPr>
              <w:ind w:right="4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170B7">
              <w:rPr>
                <w:b/>
                <w:sz w:val="22"/>
                <w:szCs w:val="22"/>
                <w:lang w:val="en-US"/>
              </w:rPr>
              <w:t>Other</w:t>
            </w: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bottom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tcBorders>
              <w:left w:val="double" w:sz="4" w:space="0" w:color="auto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8529C" w:rsidRPr="007170B7" w:rsidTr="00A16730">
        <w:trPr>
          <w:trHeight w:val="576"/>
        </w:trPr>
        <w:tc>
          <w:tcPr>
            <w:tcW w:w="2918" w:type="dxa"/>
            <w:tcBorders>
              <w:bottom w:val="nil"/>
            </w:tcBorders>
            <w:vAlign w:val="center"/>
          </w:tcPr>
          <w:p w:rsidR="0068529C" w:rsidRPr="007170B7" w:rsidRDefault="005B05C8" w:rsidP="006E6C5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Government spending</w:t>
            </w:r>
            <w:r w:rsidRPr="007170B7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68529C" w:rsidRPr="007170B7">
              <w:rPr>
                <w:sz w:val="20"/>
                <w:szCs w:val="20"/>
                <w:vertAlign w:val="superscript"/>
                <w:lang w:val="en-US"/>
              </w:rPr>
              <w:t>§,</w:t>
            </w:r>
            <w:bookmarkStart w:id="1" w:name="OLE_LINK1"/>
            <w:bookmarkStart w:id="2" w:name="OLE_LINK2"/>
            <w:bookmarkStart w:id="3" w:name="OLE_LINK3"/>
            <w:r w:rsidR="0068529C" w:rsidRPr="007170B7">
              <w:rPr>
                <w:rFonts w:ascii="Calibri" w:hAnsi="Calibri"/>
                <w:sz w:val="20"/>
                <w:szCs w:val="20"/>
                <w:lang w:val="en-US"/>
              </w:rPr>
              <w:t>⁰</w:t>
            </w:r>
            <w:bookmarkEnd w:id="1"/>
            <w:bookmarkEnd w:id="2"/>
            <w:bookmarkEnd w:id="3"/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0.7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-2.1</w:t>
            </w:r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2.8</w:t>
            </w:r>
          </w:p>
        </w:tc>
        <w:tc>
          <w:tcPr>
            <w:tcW w:w="1343" w:type="dxa"/>
            <w:tcBorders>
              <w:bottom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-1.3</w:t>
            </w:r>
          </w:p>
        </w:tc>
        <w:tc>
          <w:tcPr>
            <w:tcW w:w="1044" w:type="dxa"/>
            <w:tcBorders>
              <w:left w:val="double" w:sz="4" w:space="0" w:color="auto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1044" w:type="dxa"/>
            <w:tcBorders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0.3</w:t>
            </w:r>
          </w:p>
        </w:tc>
      </w:tr>
      <w:tr w:rsidR="0068529C" w:rsidRPr="007170B7" w:rsidTr="00A16730">
        <w:trPr>
          <w:trHeight w:val="127"/>
        </w:trPr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:rsidR="0068529C" w:rsidRPr="007170B7" w:rsidRDefault="00836294" w:rsidP="006E6C5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Special consumption tax</w:t>
            </w:r>
            <w:r w:rsidR="006A0BB9" w:rsidRPr="007170B7">
              <w:rPr>
                <w:sz w:val="20"/>
                <w:szCs w:val="20"/>
                <w:lang w:val="en-US"/>
              </w:rPr>
              <w:t xml:space="preserve"> (SCT)</w:t>
            </w:r>
            <w:r w:rsidRPr="007170B7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68529C" w:rsidRPr="007170B7">
              <w:rPr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1117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0.9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7.3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-6.5</w:t>
            </w: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-5.7</w:t>
            </w:r>
          </w:p>
        </w:tc>
        <w:tc>
          <w:tcPr>
            <w:tcW w:w="104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2.8</w:t>
            </w:r>
          </w:p>
        </w:tc>
      </w:tr>
      <w:tr w:rsidR="0068529C" w:rsidRPr="007170B7" w:rsidTr="00A16730">
        <w:trPr>
          <w:trHeight w:val="163"/>
        </w:trPr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:rsidR="0068529C" w:rsidRPr="007170B7" w:rsidRDefault="00A7561D" w:rsidP="006E6C5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Passenger Cars</w:t>
            </w:r>
            <w:r w:rsidRPr="007170B7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68529C" w:rsidRPr="007170B7">
              <w:rPr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1117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-9.2</w:t>
            </w:r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7.4</w:t>
            </w:r>
          </w:p>
        </w:tc>
        <w:tc>
          <w:tcPr>
            <w:tcW w:w="1130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-3.1</w:t>
            </w: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9.2</w:t>
            </w:r>
          </w:p>
        </w:tc>
        <w:tc>
          <w:tcPr>
            <w:tcW w:w="104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-8.8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6.8</w:t>
            </w:r>
          </w:p>
        </w:tc>
      </w:tr>
      <w:tr w:rsidR="0068529C" w:rsidRPr="007170B7" w:rsidTr="00A16730">
        <w:trPr>
          <w:trHeight w:val="127"/>
        </w:trPr>
        <w:tc>
          <w:tcPr>
            <w:tcW w:w="2918" w:type="dxa"/>
            <w:tcBorders>
              <w:top w:val="nil"/>
            </w:tcBorders>
            <w:vAlign w:val="center"/>
          </w:tcPr>
          <w:p w:rsidR="0068529C" w:rsidRPr="007170B7" w:rsidRDefault="00A73342" w:rsidP="006E6C50">
            <w:pPr>
              <w:ind w:right="42"/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Commercial Vehicles</w:t>
            </w:r>
            <w:r w:rsidRPr="007170B7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68529C" w:rsidRPr="007170B7">
              <w:rPr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1117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3.7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1130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-1.3</w:t>
            </w:r>
          </w:p>
        </w:tc>
        <w:tc>
          <w:tcPr>
            <w:tcW w:w="1343" w:type="dxa"/>
            <w:tcBorders>
              <w:top w:val="nil"/>
              <w:righ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3.8</w:t>
            </w:r>
          </w:p>
        </w:tc>
        <w:tc>
          <w:tcPr>
            <w:tcW w:w="1044" w:type="dxa"/>
            <w:tcBorders>
              <w:top w:val="nil"/>
              <w:left w:val="double" w:sz="4" w:space="0" w:color="auto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-3.3</w:t>
            </w:r>
          </w:p>
        </w:tc>
        <w:tc>
          <w:tcPr>
            <w:tcW w:w="1044" w:type="dxa"/>
            <w:tcBorders>
              <w:top w:val="nil"/>
            </w:tcBorders>
            <w:vAlign w:val="center"/>
          </w:tcPr>
          <w:p w:rsidR="0068529C" w:rsidRPr="007170B7" w:rsidRDefault="0068529C" w:rsidP="006E6C50">
            <w:pPr>
              <w:jc w:val="center"/>
              <w:rPr>
                <w:sz w:val="20"/>
                <w:szCs w:val="20"/>
                <w:lang w:val="en-US"/>
              </w:rPr>
            </w:pPr>
            <w:r w:rsidRPr="007170B7">
              <w:rPr>
                <w:sz w:val="20"/>
                <w:szCs w:val="20"/>
                <w:lang w:val="en-US"/>
              </w:rPr>
              <w:t>15.1</w:t>
            </w:r>
          </w:p>
        </w:tc>
      </w:tr>
    </w:tbl>
    <w:p w:rsidR="00CD18F1" w:rsidRPr="007170B7" w:rsidRDefault="00CD18F1" w:rsidP="00CD18F1">
      <w:pPr>
        <w:ind w:left="-720" w:right="43" w:firstLine="360"/>
        <w:jc w:val="both"/>
        <w:rPr>
          <w:sz w:val="16"/>
          <w:szCs w:val="16"/>
          <w:lang w:val="en-US"/>
        </w:rPr>
      </w:pPr>
      <w:r w:rsidRPr="007170B7">
        <w:rPr>
          <w:sz w:val="16"/>
          <w:szCs w:val="16"/>
          <w:lang w:val="en-US"/>
        </w:rPr>
        <w:t>Source: TurkStat, TCMB, Treasury, IMKB, Betam.</w:t>
      </w:r>
    </w:p>
    <w:p w:rsidR="006324E0" w:rsidRPr="007170B7" w:rsidRDefault="00197085" w:rsidP="006324E0">
      <w:pPr>
        <w:ind w:left="-720" w:right="43" w:firstLine="360"/>
        <w:jc w:val="both"/>
        <w:rPr>
          <w:sz w:val="16"/>
          <w:szCs w:val="16"/>
          <w:vertAlign w:val="superscript"/>
          <w:lang w:val="en-US"/>
        </w:rPr>
      </w:pPr>
      <w:r w:rsidRPr="007170B7">
        <w:rPr>
          <w:sz w:val="16"/>
          <w:szCs w:val="16"/>
          <w:vertAlign w:val="superscript"/>
          <w:lang w:val="en-US"/>
        </w:rPr>
        <w:t xml:space="preserve">† </w:t>
      </w:r>
      <w:r w:rsidR="006324E0" w:rsidRPr="007170B7">
        <w:rPr>
          <w:sz w:val="16"/>
          <w:szCs w:val="16"/>
          <w:lang w:val="en-US"/>
        </w:rPr>
        <w:t>This is seasonally adjusted by TCMB</w:t>
      </w:r>
      <w:r w:rsidR="006324E0" w:rsidRPr="007170B7">
        <w:rPr>
          <w:sz w:val="16"/>
          <w:szCs w:val="16"/>
          <w:vertAlign w:val="superscript"/>
          <w:lang w:val="en-US"/>
        </w:rPr>
        <w:t xml:space="preserve"> </w:t>
      </w:r>
    </w:p>
    <w:p w:rsidR="00D031AD" w:rsidRPr="007170B7" w:rsidRDefault="00197085" w:rsidP="00D031AD">
      <w:pPr>
        <w:ind w:left="-720" w:right="43" w:firstLine="360"/>
        <w:jc w:val="both"/>
        <w:rPr>
          <w:sz w:val="16"/>
          <w:szCs w:val="16"/>
          <w:lang w:val="en-US"/>
        </w:rPr>
      </w:pPr>
      <w:r w:rsidRPr="007170B7">
        <w:rPr>
          <w:sz w:val="16"/>
          <w:szCs w:val="16"/>
          <w:vertAlign w:val="superscript"/>
          <w:lang w:val="en-US"/>
        </w:rPr>
        <w:t>‡</w:t>
      </w:r>
      <w:r w:rsidRPr="007170B7">
        <w:rPr>
          <w:sz w:val="16"/>
          <w:szCs w:val="16"/>
          <w:lang w:val="en-US"/>
        </w:rPr>
        <w:t xml:space="preserve"> </w:t>
      </w:r>
      <w:r w:rsidR="00D031AD" w:rsidRPr="007170B7">
        <w:rPr>
          <w:sz w:val="16"/>
          <w:szCs w:val="16"/>
          <w:lang w:val="en-US"/>
        </w:rPr>
        <w:t>CUR and its components are given as percentage point change unlike the other indicators.</w:t>
      </w:r>
    </w:p>
    <w:p w:rsidR="00D031AD" w:rsidRPr="007170B7" w:rsidRDefault="00624BC1" w:rsidP="00D031AD">
      <w:pPr>
        <w:ind w:left="-720" w:right="43" w:firstLine="360"/>
        <w:jc w:val="both"/>
        <w:rPr>
          <w:sz w:val="16"/>
          <w:szCs w:val="16"/>
          <w:lang w:val="en-US"/>
        </w:rPr>
      </w:pPr>
      <w:r w:rsidRPr="007170B7">
        <w:rPr>
          <w:sz w:val="16"/>
          <w:szCs w:val="16"/>
          <w:lang w:val="en-US"/>
        </w:rPr>
        <w:t xml:space="preserve">§ </w:t>
      </w:r>
      <w:r w:rsidR="00D031AD" w:rsidRPr="007170B7">
        <w:rPr>
          <w:sz w:val="16"/>
          <w:szCs w:val="16"/>
          <w:lang w:val="en-US"/>
        </w:rPr>
        <w:t xml:space="preserve">This is seasonally adjusted by Betam. </w:t>
      </w:r>
    </w:p>
    <w:p w:rsidR="00D031AD" w:rsidRPr="007170B7" w:rsidRDefault="00197085" w:rsidP="00D031AD">
      <w:pPr>
        <w:ind w:left="-720" w:right="43" w:firstLine="360"/>
        <w:jc w:val="both"/>
        <w:rPr>
          <w:sz w:val="16"/>
          <w:szCs w:val="16"/>
          <w:lang w:val="en-US"/>
        </w:rPr>
      </w:pPr>
      <w:r w:rsidRPr="007170B7">
        <w:rPr>
          <w:sz w:val="16"/>
          <w:szCs w:val="16"/>
          <w:lang w:val="en-US"/>
        </w:rPr>
        <w:t>*</w:t>
      </w:r>
      <w:r w:rsidR="00D031AD" w:rsidRPr="007170B7">
        <w:rPr>
          <w:sz w:val="16"/>
          <w:szCs w:val="16"/>
          <w:lang w:val="en-US"/>
        </w:rPr>
        <w:t xml:space="preserve"> This is seasonally adjusted by TURKSTAT. </w:t>
      </w:r>
    </w:p>
    <w:p w:rsidR="00457A1A" w:rsidRPr="007170B7" w:rsidRDefault="00197085" w:rsidP="00457A1A">
      <w:pPr>
        <w:ind w:left="-720" w:right="43" w:firstLine="360"/>
        <w:jc w:val="both"/>
        <w:rPr>
          <w:sz w:val="16"/>
          <w:szCs w:val="16"/>
          <w:lang w:val="en-US"/>
        </w:rPr>
      </w:pPr>
      <w:r w:rsidRPr="007170B7">
        <w:rPr>
          <w:sz w:val="16"/>
          <w:szCs w:val="16"/>
          <w:lang w:val="en-US"/>
        </w:rPr>
        <w:t>**</w:t>
      </w:r>
      <w:r w:rsidR="00457A1A" w:rsidRPr="007170B7">
        <w:rPr>
          <w:sz w:val="16"/>
          <w:szCs w:val="16"/>
          <w:lang w:val="en-US"/>
        </w:rPr>
        <w:t xml:space="preserve"> Data not yet released </w:t>
      </w:r>
    </w:p>
    <w:p w:rsidR="005F598A" w:rsidRPr="007170B7" w:rsidRDefault="001344A4" w:rsidP="005F598A">
      <w:pPr>
        <w:spacing w:line="276" w:lineRule="auto"/>
        <w:ind w:left="-426" w:right="42" w:hanging="114"/>
        <w:jc w:val="both"/>
        <w:rPr>
          <w:sz w:val="16"/>
          <w:szCs w:val="16"/>
          <w:lang w:val="en-US"/>
        </w:rPr>
      </w:pPr>
      <w:r w:rsidRPr="007170B7">
        <w:rPr>
          <w:sz w:val="16"/>
          <w:szCs w:val="16"/>
          <w:lang w:val="en-US"/>
        </w:rPr>
        <w:t xml:space="preserve">*** </w:t>
      </w:r>
      <w:r w:rsidR="005F598A" w:rsidRPr="007170B7">
        <w:rPr>
          <w:sz w:val="16"/>
          <w:szCs w:val="16"/>
          <w:lang w:val="en-US"/>
        </w:rPr>
        <w:t xml:space="preserve">Betam’s calculations: Nominal exports (imports) minus non-monetary gold, deflated using the export (import) unit value index. It is    seasonally adjusted by Betam. </w:t>
      </w:r>
    </w:p>
    <w:p w:rsidR="005C4F3D" w:rsidRPr="007170B7" w:rsidRDefault="00197085" w:rsidP="005C4F3D">
      <w:pPr>
        <w:ind w:left="-360" w:right="43"/>
        <w:rPr>
          <w:sz w:val="16"/>
          <w:szCs w:val="16"/>
          <w:lang w:val="en-US"/>
        </w:rPr>
      </w:pPr>
      <w:r w:rsidRPr="007170B7">
        <w:rPr>
          <w:rFonts w:ascii="Calibri" w:hAnsi="Calibri"/>
          <w:sz w:val="16"/>
          <w:szCs w:val="16"/>
          <w:lang w:val="en-US"/>
        </w:rPr>
        <w:t>⁰</w:t>
      </w:r>
      <w:r w:rsidRPr="007170B7">
        <w:rPr>
          <w:sz w:val="16"/>
          <w:szCs w:val="16"/>
          <w:lang w:val="en-US"/>
        </w:rPr>
        <w:t xml:space="preserve"> </w:t>
      </w:r>
      <w:r w:rsidR="005C4F3D" w:rsidRPr="007170B7">
        <w:rPr>
          <w:sz w:val="16"/>
          <w:szCs w:val="16"/>
          <w:lang w:val="en-US"/>
        </w:rPr>
        <w:t>Total government spending excluding transfers are deflated.</w:t>
      </w:r>
    </w:p>
    <w:p w:rsidR="00197085" w:rsidRPr="007170B7" w:rsidRDefault="00197085" w:rsidP="005C4F3D">
      <w:pPr>
        <w:ind w:left="-720" w:right="43" w:firstLine="360"/>
        <w:jc w:val="both"/>
        <w:rPr>
          <w:color w:val="FF0000"/>
          <w:sz w:val="22"/>
          <w:szCs w:val="22"/>
          <w:lang w:val="en-US"/>
        </w:rPr>
      </w:pPr>
    </w:p>
    <w:p w:rsidR="00197085" w:rsidRPr="007170B7" w:rsidRDefault="00197085" w:rsidP="00197085">
      <w:pPr>
        <w:spacing w:line="360" w:lineRule="auto"/>
        <w:ind w:right="42"/>
        <w:jc w:val="both"/>
        <w:rPr>
          <w:color w:val="FF0000"/>
          <w:sz w:val="22"/>
          <w:szCs w:val="22"/>
          <w:lang w:val="en-US"/>
        </w:rPr>
        <w:sectPr w:rsidR="00197085" w:rsidRPr="007170B7" w:rsidSect="008651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070F" w:rsidRPr="007170B7" w:rsidRDefault="003A070F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3A070F" w:rsidRPr="007170B7" w:rsidRDefault="003A070F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3A070F" w:rsidRDefault="003A070F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A16730" w:rsidRDefault="00A16730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A16730" w:rsidRPr="007170B7" w:rsidRDefault="00A16730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F67437" w:rsidRPr="007170B7" w:rsidRDefault="00F67437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F67437" w:rsidRPr="007170B7" w:rsidRDefault="00F67437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F67437" w:rsidRPr="007170B7" w:rsidRDefault="00F67437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F67437" w:rsidRPr="007170B7" w:rsidRDefault="00F67437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F67437" w:rsidRPr="007170B7" w:rsidRDefault="00F67437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F67437" w:rsidRPr="007170B7" w:rsidRDefault="00F67437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F67437" w:rsidRPr="007170B7" w:rsidRDefault="00F67437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E84383" w:rsidRPr="007170B7" w:rsidRDefault="00E84383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197085" w:rsidRPr="007170B7" w:rsidRDefault="00C65C7B" w:rsidP="00197085">
      <w:pPr>
        <w:ind w:left="-360" w:right="42"/>
        <w:jc w:val="both"/>
        <w:rPr>
          <w:b/>
          <w:bCs/>
          <w:color w:val="FF0000"/>
          <w:sz w:val="8"/>
          <w:szCs w:val="8"/>
          <w:lang w:val="en-US"/>
        </w:rPr>
      </w:pPr>
      <w:r w:rsidRPr="007170B7">
        <w:rPr>
          <w:b/>
          <w:bCs/>
          <w:sz w:val="22"/>
          <w:szCs w:val="22"/>
          <w:lang w:val="en-US"/>
        </w:rPr>
        <w:t xml:space="preserve">Figure </w:t>
      </w:r>
      <w:r w:rsidR="00BF394C" w:rsidRPr="007170B7">
        <w:rPr>
          <w:b/>
          <w:bCs/>
          <w:sz w:val="22"/>
          <w:szCs w:val="22"/>
          <w:lang w:val="en-US"/>
        </w:rPr>
        <w:t xml:space="preserve">1: </w:t>
      </w:r>
      <w:r w:rsidR="00E052C9" w:rsidRPr="007170B7">
        <w:rPr>
          <w:b/>
          <w:bCs/>
          <w:sz w:val="22"/>
          <w:szCs w:val="22"/>
          <w:lang w:val="en-US"/>
        </w:rPr>
        <w:t>Capacity utilization rate and industrial production index (sa)</w:t>
      </w:r>
    </w:p>
    <w:p w:rsidR="00197085" w:rsidRPr="007170B7" w:rsidRDefault="00E84383" w:rsidP="00197085">
      <w:pPr>
        <w:ind w:left="-360" w:right="42"/>
        <w:jc w:val="both"/>
        <w:rPr>
          <w:color w:val="FF0000"/>
          <w:lang w:val="en-US"/>
        </w:rPr>
      </w:pPr>
      <w:r w:rsidRPr="007170B7">
        <w:rPr>
          <w:noProof/>
        </w:rPr>
        <w:drawing>
          <wp:inline distT="0" distB="0" distL="0" distR="0">
            <wp:extent cx="2859322" cy="23058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36" cy="230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C9" w:rsidRPr="007170B7" w:rsidRDefault="00E052C9" w:rsidP="00E052C9">
      <w:pPr>
        <w:ind w:left="-360" w:right="42"/>
        <w:jc w:val="both"/>
        <w:rPr>
          <w:sz w:val="18"/>
          <w:szCs w:val="18"/>
          <w:lang w:val="en-US"/>
        </w:rPr>
      </w:pPr>
      <w:r w:rsidRPr="007170B7">
        <w:rPr>
          <w:sz w:val="18"/>
          <w:szCs w:val="18"/>
          <w:lang w:val="en-US"/>
        </w:rPr>
        <w:t>Source: Turkstat (Left axis is CUR, right axis is IPI )</w:t>
      </w:r>
    </w:p>
    <w:p w:rsidR="008F1089" w:rsidRDefault="008F1089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A16730" w:rsidRDefault="00A16730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A16730" w:rsidRPr="007170B7" w:rsidRDefault="00A16730" w:rsidP="00197085">
      <w:pPr>
        <w:ind w:left="-360" w:right="42"/>
        <w:jc w:val="both"/>
        <w:rPr>
          <w:b/>
          <w:bCs/>
          <w:sz w:val="22"/>
          <w:szCs w:val="22"/>
          <w:lang w:val="en-US"/>
        </w:rPr>
      </w:pPr>
    </w:p>
    <w:p w:rsidR="00197085" w:rsidRPr="007170B7" w:rsidRDefault="00A42568" w:rsidP="00197085">
      <w:pPr>
        <w:ind w:left="-360" w:right="42"/>
        <w:jc w:val="both"/>
        <w:rPr>
          <w:b/>
          <w:bCs/>
          <w:sz w:val="8"/>
          <w:szCs w:val="8"/>
          <w:lang w:val="en-US"/>
        </w:rPr>
      </w:pPr>
      <w:r w:rsidRPr="007170B7">
        <w:rPr>
          <w:b/>
          <w:bCs/>
          <w:sz w:val="22"/>
          <w:szCs w:val="22"/>
          <w:lang w:val="en-US"/>
        </w:rPr>
        <w:t xml:space="preserve">Figure </w:t>
      </w:r>
      <w:r w:rsidR="00197085" w:rsidRPr="007170B7">
        <w:rPr>
          <w:b/>
          <w:bCs/>
          <w:sz w:val="22"/>
          <w:szCs w:val="22"/>
          <w:lang w:val="en-US"/>
        </w:rPr>
        <w:t xml:space="preserve">3: </w:t>
      </w:r>
      <w:r w:rsidRPr="007170B7">
        <w:rPr>
          <w:b/>
          <w:bCs/>
          <w:sz w:val="22"/>
          <w:szCs w:val="22"/>
          <w:lang w:val="en-US"/>
        </w:rPr>
        <w:t>Gold included current account deficit to GDP ratio, 12 months</w:t>
      </w:r>
    </w:p>
    <w:p w:rsidR="00197085" w:rsidRPr="007170B7" w:rsidRDefault="00E84383" w:rsidP="00197085">
      <w:pPr>
        <w:ind w:left="-360" w:right="42"/>
        <w:jc w:val="both"/>
        <w:rPr>
          <w:lang w:val="en-US"/>
        </w:rPr>
      </w:pPr>
      <w:r w:rsidRPr="007170B7">
        <w:rPr>
          <w:noProof/>
        </w:rPr>
        <w:drawing>
          <wp:inline distT="0" distB="0" distL="0" distR="0">
            <wp:extent cx="2859322" cy="2337683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36" cy="234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730" w:rsidRDefault="00A42568" w:rsidP="00A42568">
      <w:pPr>
        <w:ind w:left="-360" w:right="42"/>
        <w:rPr>
          <w:b/>
          <w:bCs/>
          <w:color w:val="FF0000"/>
          <w:sz w:val="22"/>
          <w:szCs w:val="22"/>
          <w:lang w:val="en-US"/>
        </w:rPr>
      </w:pPr>
      <w:r w:rsidRPr="007170B7">
        <w:rPr>
          <w:sz w:val="18"/>
          <w:szCs w:val="18"/>
          <w:lang w:val="en-US"/>
        </w:rPr>
        <w:t>Source: Turkstat, TCMB, Betam</w:t>
      </w:r>
      <w:r w:rsidRPr="007170B7">
        <w:rPr>
          <w:b/>
          <w:bCs/>
          <w:color w:val="FF0000"/>
          <w:sz w:val="22"/>
          <w:szCs w:val="22"/>
          <w:lang w:val="en-US"/>
        </w:rPr>
        <w:br/>
      </w:r>
    </w:p>
    <w:p w:rsidR="00197085" w:rsidRPr="00A16730" w:rsidRDefault="00197085" w:rsidP="00A42568">
      <w:pPr>
        <w:ind w:left="-360" w:right="42"/>
        <w:rPr>
          <w:b/>
          <w:bCs/>
          <w:color w:val="FF0000"/>
          <w:sz w:val="22"/>
          <w:szCs w:val="22"/>
          <w:lang w:val="en-US"/>
        </w:rPr>
      </w:pPr>
      <w:r w:rsidRPr="007170B7">
        <w:rPr>
          <w:b/>
          <w:bCs/>
          <w:color w:val="FF0000"/>
          <w:sz w:val="22"/>
          <w:szCs w:val="22"/>
          <w:lang w:val="en-US"/>
        </w:rPr>
        <w:lastRenderedPageBreak/>
        <w:br/>
      </w:r>
      <w:r w:rsidR="00D829B5" w:rsidRPr="007170B7">
        <w:rPr>
          <w:b/>
          <w:bCs/>
          <w:sz w:val="22"/>
          <w:szCs w:val="22"/>
          <w:lang w:val="en-US"/>
        </w:rPr>
        <w:t xml:space="preserve">Figure </w:t>
      </w:r>
      <w:r w:rsidRPr="007170B7">
        <w:rPr>
          <w:b/>
          <w:bCs/>
          <w:sz w:val="22"/>
          <w:szCs w:val="22"/>
          <w:lang w:val="en-US"/>
        </w:rPr>
        <w:t xml:space="preserve">2: </w:t>
      </w:r>
      <w:r w:rsidR="00D829B5" w:rsidRPr="007170B7">
        <w:rPr>
          <w:b/>
          <w:bCs/>
          <w:sz w:val="22"/>
          <w:szCs w:val="22"/>
          <w:lang w:val="en-US"/>
        </w:rPr>
        <w:t>Volume indices of exports and imports (sa)</w:t>
      </w:r>
    </w:p>
    <w:p w:rsidR="00E84383" w:rsidRPr="007170B7" w:rsidRDefault="00E84383" w:rsidP="00A42568">
      <w:pPr>
        <w:ind w:left="-360" w:right="42"/>
        <w:rPr>
          <w:b/>
          <w:bCs/>
          <w:sz w:val="22"/>
          <w:szCs w:val="22"/>
          <w:lang w:val="en-US"/>
        </w:rPr>
      </w:pPr>
      <w:r w:rsidRPr="007170B7">
        <w:rPr>
          <w:b/>
          <w:bCs/>
          <w:noProof/>
          <w:sz w:val="22"/>
          <w:szCs w:val="22"/>
        </w:rPr>
        <w:drawing>
          <wp:inline distT="0" distB="0" distL="0" distR="0">
            <wp:extent cx="2986543" cy="2293101"/>
            <wp:effectExtent l="19050" t="0" r="4307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00" cy="229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68" w:rsidRPr="007170B7" w:rsidRDefault="00A42568" w:rsidP="00A42568">
      <w:pPr>
        <w:ind w:left="-360" w:right="42"/>
        <w:jc w:val="both"/>
        <w:rPr>
          <w:b/>
          <w:bCs/>
          <w:color w:val="FF0000"/>
          <w:sz w:val="18"/>
          <w:szCs w:val="18"/>
          <w:lang w:val="en-US"/>
        </w:rPr>
      </w:pPr>
      <w:r w:rsidRPr="007170B7">
        <w:rPr>
          <w:sz w:val="18"/>
          <w:szCs w:val="18"/>
          <w:lang w:val="en-US"/>
        </w:rPr>
        <w:t>Source: Turkstat, Betam</w:t>
      </w:r>
    </w:p>
    <w:p w:rsidR="00A16730" w:rsidRDefault="00A16730" w:rsidP="00A42568">
      <w:pPr>
        <w:ind w:left="-360" w:right="42"/>
        <w:jc w:val="both"/>
        <w:rPr>
          <w:b/>
          <w:bCs/>
          <w:color w:val="FF0000"/>
          <w:sz w:val="22"/>
          <w:szCs w:val="22"/>
          <w:lang w:val="en-US"/>
        </w:rPr>
      </w:pPr>
    </w:p>
    <w:p w:rsidR="00A16730" w:rsidRDefault="00A16730" w:rsidP="00A42568">
      <w:pPr>
        <w:ind w:left="-360" w:right="42"/>
        <w:jc w:val="both"/>
        <w:rPr>
          <w:b/>
          <w:bCs/>
          <w:color w:val="FF0000"/>
          <w:sz w:val="22"/>
          <w:szCs w:val="22"/>
          <w:lang w:val="en-US"/>
        </w:rPr>
      </w:pPr>
    </w:p>
    <w:p w:rsidR="00197085" w:rsidRPr="007170B7" w:rsidRDefault="00197085" w:rsidP="00A42568">
      <w:pPr>
        <w:ind w:left="-360" w:right="42"/>
        <w:jc w:val="both"/>
        <w:rPr>
          <w:b/>
          <w:bCs/>
          <w:sz w:val="22"/>
          <w:szCs w:val="22"/>
          <w:lang w:val="en-US"/>
        </w:rPr>
      </w:pPr>
      <w:r w:rsidRPr="007170B7">
        <w:rPr>
          <w:b/>
          <w:bCs/>
          <w:color w:val="FF0000"/>
          <w:sz w:val="22"/>
          <w:szCs w:val="22"/>
          <w:lang w:val="en-US"/>
        </w:rPr>
        <w:br/>
      </w:r>
      <w:r w:rsidR="00A42568" w:rsidRPr="007170B7">
        <w:rPr>
          <w:b/>
          <w:bCs/>
          <w:sz w:val="22"/>
          <w:szCs w:val="22"/>
          <w:lang w:val="en-US"/>
        </w:rPr>
        <w:t>Figure</w:t>
      </w:r>
      <w:r w:rsidRPr="007170B7">
        <w:rPr>
          <w:b/>
          <w:bCs/>
          <w:sz w:val="22"/>
          <w:szCs w:val="22"/>
          <w:lang w:val="en-US"/>
        </w:rPr>
        <w:t xml:space="preserve"> 4: </w:t>
      </w:r>
      <w:r w:rsidR="00A42568" w:rsidRPr="007170B7">
        <w:rPr>
          <w:b/>
          <w:bCs/>
          <w:sz w:val="22"/>
          <w:szCs w:val="22"/>
          <w:lang w:val="en-US"/>
        </w:rPr>
        <w:t>Gold excluded current account deficit to GDP ratio, 12 months</w:t>
      </w:r>
    </w:p>
    <w:p w:rsidR="00197085" w:rsidRPr="007170B7" w:rsidRDefault="008C4612" w:rsidP="00197085">
      <w:pPr>
        <w:ind w:left="-360" w:right="42"/>
        <w:jc w:val="both"/>
        <w:rPr>
          <w:lang w:val="en-US"/>
        </w:rPr>
      </w:pPr>
      <w:r w:rsidRPr="007170B7">
        <w:rPr>
          <w:noProof/>
        </w:rPr>
        <w:drawing>
          <wp:inline distT="0" distB="0" distL="0" distR="0">
            <wp:extent cx="2993635" cy="2353586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46" cy="235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2B" w:rsidRPr="007170B7" w:rsidRDefault="00C37A2B" w:rsidP="00C37A2B">
      <w:pPr>
        <w:spacing w:line="360" w:lineRule="auto"/>
        <w:ind w:right="42"/>
        <w:rPr>
          <w:color w:val="FF0000"/>
          <w:sz w:val="22"/>
          <w:szCs w:val="22"/>
          <w:lang w:val="en-US"/>
        </w:rPr>
        <w:sectPr w:rsidR="00C37A2B" w:rsidRPr="007170B7" w:rsidSect="007067F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7170B7">
        <w:rPr>
          <w:sz w:val="18"/>
          <w:szCs w:val="18"/>
          <w:lang w:val="en-US"/>
        </w:rPr>
        <w:t>Source: Turkstat, TCMB, Betam</w:t>
      </w:r>
    </w:p>
    <w:p w:rsidR="00197085" w:rsidRPr="007170B7" w:rsidRDefault="00197085" w:rsidP="00197085">
      <w:pPr>
        <w:spacing w:line="360" w:lineRule="auto"/>
        <w:ind w:right="42"/>
        <w:jc w:val="both"/>
        <w:rPr>
          <w:color w:val="FF0000"/>
          <w:sz w:val="22"/>
          <w:szCs w:val="22"/>
          <w:lang w:val="en-US"/>
        </w:rPr>
        <w:sectPr w:rsidR="00197085" w:rsidRPr="007170B7" w:rsidSect="007067F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197085" w:rsidRPr="007170B7" w:rsidRDefault="00197085" w:rsidP="00197085">
      <w:pPr>
        <w:spacing w:line="360" w:lineRule="auto"/>
        <w:ind w:left="-360" w:right="42"/>
        <w:jc w:val="both"/>
        <w:rPr>
          <w:b/>
          <w:bCs/>
          <w:color w:val="FF0000"/>
          <w:sz w:val="22"/>
          <w:szCs w:val="22"/>
          <w:lang w:val="en-US"/>
        </w:rPr>
      </w:pPr>
    </w:p>
    <w:p w:rsidR="00197085" w:rsidRPr="007170B7" w:rsidRDefault="00197085" w:rsidP="0011609A">
      <w:pPr>
        <w:ind w:left="-360" w:right="42"/>
        <w:rPr>
          <w:b/>
          <w:bCs/>
          <w:color w:val="FF0000"/>
          <w:sz w:val="22"/>
          <w:szCs w:val="22"/>
          <w:lang w:val="en-US"/>
        </w:rPr>
      </w:pPr>
      <w:r w:rsidRPr="007170B7">
        <w:rPr>
          <w:color w:val="FF0000"/>
          <w:sz w:val="18"/>
          <w:szCs w:val="18"/>
          <w:lang w:val="en-US"/>
        </w:rPr>
        <w:tab/>
      </w:r>
    </w:p>
    <w:p w:rsidR="00197085" w:rsidRPr="007170B7" w:rsidRDefault="00197085" w:rsidP="00197085">
      <w:pPr>
        <w:ind w:left="-360" w:right="42"/>
        <w:jc w:val="both"/>
        <w:rPr>
          <w:b/>
          <w:bCs/>
          <w:color w:val="FF0000"/>
          <w:sz w:val="22"/>
          <w:szCs w:val="22"/>
          <w:lang w:val="en-US"/>
        </w:rPr>
      </w:pPr>
    </w:p>
    <w:p w:rsidR="00197085" w:rsidRPr="007170B7" w:rsidRDefault="00197085" w:rsidP="00197085">
      <w:pPr>
        <w:ind w:left="-360" w:right="42"/>
        <w:jc w:val="both"/>
        <w:rPr>
          <w:b/>
          <w:bCs/>
          <w:color w:val="FF0000"/>
          <w:sz w:val="22"/>
          <w:szCs w:val="22"/>
          <w:lang w:val="en-US"/>
        </w:rPr>
      </w:pPr>
    </w:p>
    <w:p w:rsidR="00197085" w:rsidRPr="007170B7" w:rsidRDefault="00197085" w:rsidP="00197085">
      <w:pPr>
        <w:ind w:left="-360" w:right="42"/>
        <w:jc w:val="both"/>
        <w:rPr>
          <w:b/>
          <w:bCs/>
          <w:color w:val="FF0000"/>
          <w:sz w:val="22"/>
          <w:szCs w:val="22"/>
          <w:lang w:val="en-US"/>
        </w:rPr>
      </w:pPr>
    </w:p>
    <w:p w:rsidR="00197085" w:rsidRPr="007170B7" w:rsidRDefault="00197085" w:rsidP="00197085">
      <w:pPr>
        <w:ind w:left="-360" w:right="42"/>
        <w:jc w:val="both"/>
        <w:rPr>
          <w:b/>
          <w:bCs/>
          <w:color w:val="FF0000"/>
          <w:sz w:val="22"/>
          <w:szCs w:val="22"/>
          <w:lang w:val="en-US"/>
        </w:rPr>
      </w:pPr>
    </w:p>
    <w:p w:rsidR="00197085" w:rsidRPr="007170B7" w:rsidRDefault="00197085" w:rsidP="00197085">
      <w:pPr>
        <w:ind w:left="-360" w:right="42"/>
        <w:jc w:val="both"/>
        <w:rPr>
          <w:b/>
          <w:bCs/>
          <w:color w:val="FF0000"/>
          <w:sz w:val="22"/>
          <w:szCs w:val="22"/>
          <w:lang w:val="en-US"/>
        </w:rPr>
      </w:pPr>
    </w:p>
    <w:p w:rsidR="00197085" w:rsidRPr="007170B7" w:rsidRDefault="00197085" w:rsidP="00197085">
      <w:pPr>
        <w:ind w:left="-360" w:right="42"/>
        <w:jc w:val="both"/>
        <w:rPr>
          <w:b/>
          <w:bCs/>
          <w:color w:val="FF0000"/>
          <w:sz w:val="22"/>
          <w:szCs w:val="22"/>
          <w:lang w:val="en-US"/>
        </w:rPr>
      </w:pPr>
    </w:p>
    <w:p w:rsidR="00197085" w:rsidRPr="007170B7" w:rsidRDefault="00197085" w:rsidP="00197085">
      <w:pPr>
        <w:ind w:left="-360" w:right="42"/>
        <w:jc w:val="both"/>
        <w:rPr>
          <w:b/>
          <w:bCs/>
          <w:color w:val="FF0000"/>
          <w:sz w:val="22"/>
          <w:szCs w:val="22"/>
          <w:lang w:val="en-US"/>
        </w:rPr>
      </w:pPr>
    </w:p>
    <w:p w:rsidR="00197085" w:rsidRPr="007170B7" w:rsidRDefault="00197085" w:rsidP="00197085">
      <w:pPr>
        <w:ind w:left="-360" w:right="42"/>
        <w:jc w:val="both"/>
        <w:rPr>
          <w:b/>
          <w:bCs/>
          <w:color w:val="FF0000"/>
          <w:sz w:val="22"/>
          <w:szCs w:val="22"/>
          <w:lang w:val="en-US"/>
        </w:rPr>
      </w:pPr>
    </w:p>
    <w:p w:rsidR="00197085" w:rsidRPr="007170B7" w:rsidRDefault="00197085" w:rsidP="00197085">
      <w:pPr>
        <w:ind w:left="-360" w:right="42"/>
        <w:jc w:val="both"/>
        <w:rPr>
          <w:b/>
          <w:bCs/>
          <w:color w:val="FF0000"/>
          <w:sz w:val="22"/>
          <w:szCs w:val="22"/>
          <w:lang w:val="en-US"/>
        </w:rPr>
      </w:pPr>
    </w:p>
    <w:sectPr w:rsidR="00197085" w:rsidRPr="007170B7" w:rsidSect="00E973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71" w:rsidRDefault="00B06E71">
      <w:r>
        <w:separator/>
      </w:r>
    </w:p>
  </w:endnote>
  <w:endnote w:type="continuationSeparator" w:id="0">
    <w:p w:rsidR="00B06E71" w:rsidRDefault="00B0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50" w:rsidRDefault="00CB102C" w:rsidP="00D830C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6C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C6B">
      <w:rPr>
        <w:rStyle w:val="PageNumber"/>
        <w:noProof/>
      </w:rPr>
      <w:t>1</w:t>
    </w:r>
    <w:r>
      <w:rPr>
        <w:rStyle w:val="PageNumber"/>
      </w:rPr>
      <w:fldChar w:fldCharType="end"/>
    </w:r>
  </w:p>
  <w:p w:rsidR="006E6C50" w:rsidRPr="007B51E3" w:rsidRDefault="006E6C50" w:rsidP="007B51E3">
    <w:pPr>
      <w:pStyle w:val="Footer"/>
      <w:ind w:right="360"/>
      <w:jc w:val="center"/>
      <w:rPr>
        <w:b/>
        <w:bCs/>
        <w:i/>
        <w:iCs/>
      </w:rPr>
    </w:pPr>
    <w:r w:rsidRPr="007B51E3">
      <w:rPr>
        <w:b/>
        <w:bCs/>
        <w:i/>
        <w:iCs/>
      </w:rPr>
      <w:t>www.betam.bahcesehir.edu.tr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50" w:rsidRDefault="00CB102C" w:rsidP="00D830C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6C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C6B">
      <w:rPr>
        <w:rStyle w:val="PageNumber"/>
        <w:noProof/>
      </w:rPr>
      <w:t>5</w:t>
    </w:r>
    <w:r>
      <w:rPr>
        <w:rStyle w:val="PageNumber"/>
      </w:rPr>
      <w:fldChar w:fldCharType="end"/>
    </w:r>
  </w:p>
  <w:p w:rsidR="006E6C50" w:rsidRPr="007B51E3" w:rsidRDefault="006E6C50" w:rsidP="007B51E3">
    <w:pPr>
      <w:pStyle w:val="Footer"/>
      <w:ind w:right="360"/>
      <w:jc w:val="center"/>
      <w:rPr>
        <w:b/>
        <w:bCs/>
        <w:i/>
        <w:iCs/>
      </w:rPr>
    </w:pPr>
    <w:r w:rsidRPr="007B51E3">
      <w:rPr>
        <w:b/>
        <w:bCs/>
        <w:i/>
        <w:iCs/>
      </w:rPr>
      <w:t>www.betam.bahcesehir.edu.tr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71" w:rsidRDefault="00B06E71">
      <w:r>
        <w:separator/>
      </w:r>
    </w:p>
  </w:footnote>
  <w:footnote w:type="continuationSeparator" w:id="0">
    <w:p w:rsidR="00B06E71" w:rsidRDefault="00B06E71">
      <w:r>
        <w:continuationSeparator/>
      </w:r>
    </w:p>
  </w:footnote>
  <w:footnote w:id="1">
    <w:p w:rsidR="006E6C50" w:rsidRDefault="006E6C50" w:rsidP="00BD7644">
      <w:pPr>
        <w:pStyle w:val="FootnoteText"/>
        <w:ind w:left="-284"/>
        <w:jc w:val="both"/>
      </w:pPr>
      <w:r>
        <w:rPr>
          <w:rStyle w:val="FootnoteReference"/>
        </w:rPr>
        <w:footnoteRef/>
      </w:r>
      <w:r>
        <w:t xml:space="preserve"> </w:t>
      </w:r>
      <w:r w:rsidRPr="00203517">
        <w:rPr>
          <w:lang w:val="en-US"/>
        </w:rPr>
        <w:t>Gold-excluded real exports are calculated by subtracting gold exports from goods and services exports.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A43944"/>
    <w:multiLevelType w:val="hybridMultilevel"/>
    <w:tmpl w:val="3DD22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CC"/>
    <w:rsid w:val="0000014A"/>
    <w:rsid w:val="000015B4"/>
    <w:rsid w:val="00001CF9"/>
    <w:rsid w:val="0000230B"/>
    <w:rsid w:val="0000306F"/>
    <w:rsid w:val="000039F2"/>
    <w:rsid w:val="00004860"/>
    <w:rsid w:val="00004B78"/>
    <w:rsid w:val="0000507C"/>
    <w:rsid w:val="000056C3"/>
    <w:rsid w:val="0000704D"/>
    <w:rsid w:val="00007D65"/>
    <w:rsid w:val="00011090"/>
    <w:rsid w:val="0001121A"/>
    <w:rsid w:val="000117B7"/>
    <w:rsid w:val="0001277D"/>
    <w:rsid w:val="0001288B"/>
    <w:rsid w:val="000144EB"/>
    <w:rsid w:val="000150D2"/>
    <w:rsid w:val="0001617E"/>
    <w:rsid w:val="00017809"/>
    <w:rsid w:val="0002037B"/>
    <w:rsid w:val="000205A1"/>
    <w:rsid w:val="000208EA"/>
    <w:rsid w:val="000212AC"/>
    <w:rsid w:val="00021349"/>
    <w:rsid w:val="000217AE"/>
    <w:rsid w:val="000224B9"/>
    <w:rsid w:val="000232EC"/>
    <w:rsid w:val="000233A7"/>
    <w:rsid w:val="00024559"/>
    <w:rsid w:val="000262EC"/>
    <w:rsid w:val="00026F21"/>
    <w:rsid w:val="00027FC3"/>
    <w:rsid w:val="000311C6"/>
    <w:rsid w:val="00031D72"/>
    <w:rsid w:val="0003248D"/>
    <w:rsid w:val="00033700"/>
    <w:rsid w:val="00033767"/>
    <w:rsid w:val="00033AF8"/>
    <w:rsid w:val="00034090"/>
    <w:rsid w:val="0003546D"/>
    <w:rsid w:val="0004076C"/>
    <w:rsid w:val="000449FC"/>
    <w:rsid w:val="00044A0F"/>
    <w:rsid w:val="00045C5A"/>
    <w:rsid w:val="00047B99"/>
    <w:rsid w:val="00047E9F"/>
    <w:rsid w:val="0005020D"/>
    <w:rsid w:val="0005037D"/>
    <w:rsid w:val="00050453"/>
    <w:rsid w:val="000507D6"/>
    <w:rsid w:val="000509A3"/>
    <w:rsid w:val="00052AD4"/>
    <w:rsid w:val="00052D7A"/>
    <w:rsid w:val="00052EFB"/>
    <w:rsid w:val="00054BD3"/>
    <w:rsid w:val="00056118"/>
    <w:rsid w:val="00056B3E"/>
    <w:rsid w:val="00060119"/>
    <w:rsid w:val="00060540"/>
    <w:rsid w:val="00061256"/>
    <w:rsid w:val="000616F0"/>
    <w:rsid w:val="00061732"/>
    <w:rsid w:val="00063005"/>
    <w:rsid w:val="00064636"/>
    <w:rsid w:val="0006518B"/>
    <w:rsid w:val="00065B3C"/>
    <w:rsid w:val="0006725C"/>
    <w:rsid w:val="000678F9"/>
    <w:rsid w:val="00070FF1"/>
    <w:rsid w:val="000716BA"/>
    <w:rsid w:val="000716CA"/>
    <w:rsid w:val="0007202B"/>
    <w:rsid w:val="00072321"/>
    <w:rsid w:val="00072407"/>
    <w:rsid w:val="00074648"/>
    <w:rsid w:val="000750E3"/>
    <w:rsid w:val="00076887"/>
    <w:rsid w:val="00076BAC"/>
    <w:rsid w:val="0007701E"/>
    <w:rsid w:val="00077A9D"/>
    <w:rsid w:val="00077FF4"/>
    <w:rsid w:val="00080D7E"/>
    <w:rsid w:val="00081E3F"/>
    <w:rsid w:val="000829B5"/>
    <w:rsid w:val="00082FE4"/>
    <w:rsid w:val="000833C7"/>
    <w:rsid w:val="0008631D"/>
    <w:rsid w:val="0008735C"/>
    <w:rsid w:val="000875E6"/>
    <w:rsid w:val="00087E0A"/>
    <w:rsid w:val="00090498"/>
    <w:rsid w:val="0009059A"/>
    <w:rsid w:val="00090768"/>
    <w:rsid w:val="000925B3"/>
    <w:rsid w:val="00092972"/>
    <w:rsid w:val="000960F1"/>
    <w:rsid w:val="00096B4E"/>
    <w:rsid w:val="00097E2B"/>
    <w:rsid w:val="000A0D4D"/>
    <w:rsid w:val="000A2514"/>
    <w:rsid w:val="000A27A5"/>
    <w:rsid w:val="000A292B"/>
    <w:rsid w:val="000A2CF9"/>
    <w:rsid w:val="000A399E"/>
    <w:rsid w:val="000A5675"/>
    <w:rsid w:val="000A583D"/>
    <w:rsid w:val="000A687F"/>
    <w:rsid w:val="000A6907"/>
    <w:rsid w:val="000A701D"/>
    <w:rsid w:val="000A79A0"/>
    <w:rsid w:val="000B0589"/>
    <w:rsid w:val="000B100E"/>
    <w:rsid w:val="000B16FB"/>
    <w:rsid w:val="000B2409"/>
    <w:rsid w:val="000B2AF0"/>
    <w:rsid w:val="000B2B47"/>
    <w:rsid w:val="000B2BF9"/>
    <w:rsid w:val="000B2E92"/>
    <w:rsid w:val="000B325E"/>
    <w:rsid w:val="000B3995"/>
    <w:rsid w:val="000B3C1E"/>
    <w:rsid w:val="000B41F3"/>
    <w:rsid w:val="000B42EA"/>
    <w:rsid w:val="000B469F"/>
    <w:rsid w:val="000B50AD"/>
    <w:rsid w:val="000B50DE"/>
    <w:rsid w:val="000B6120"/>
    <w:rsid w:val="000B6127"/>
    <w:rsid w:val="000B7B77"/>
    <w:rsid w:val="000B7E94"/>
    <w:rsid w:val="000C0257"/>
    <w:rsid w:val="000C2102"/>
    <w:rsid w:val="000C2F1B"/>
    <w:rsid w:val="000C40CE"/>
    <w:rsid w:val="000C5B7E"/>
    <w:rsid w:val="000C667B"/>
    <w:rsid w:val="000C7A83"/>
    <w:rsid w:val="000C7B42"/>
    <w:rsid w:val="000D0C5A"/>
    <w:rsid w:val="000D1198"/>
    <w:rsid w:val="000D17A2"/>
    <w:rsid w:val="000D1F14"/>
    <w:rsid w:val="000D49FD"/>
    <w:rsid w:val="000D56EB"/>
    <w:rsid w:val="000D5927"/>
    <w:rsid w:val="000D73CC"/>
    <w:rsid w:val="000E01ED"/>
    <w:rsid w:val="000E10A3"/>
    <w:rsid w:val="000E1F75"/>
    <w:rsid w:val="000E2708"/>
    <w:rsid w:val="000E4E83"/>
    <w:rsid w:val="000E5365"/>
    <w:rsid w:val="000E631E"/>
    <w:rsid w:val="000E6807"/>
    <w:rsid w:val="000E74B5"/>
    <w:rsid w:val="000E7AB3"/>
    <w:rsid w:val="000E7CBB"/>
    <w:rsid w:val="000E7F6F"/>
    <w:rsid w:val="000F0372"/>
    <w:rsid w:val="000F0C2B"/>
    <w:rsid w:val="000F2DB4"/>
    <w:rsid w:val="000F360E"/>
    <w:rsid w:val="000F396D"/>
    <w:rsid w:val="000F4941"/>
    <w:rsid w:val="000F5457"/>
    <w:rsid w:val="000F71D2"/>
    <w:rsid w:val="001007B5"/>
    <w:rsid w:val="001009B7"/>
    <w:rsid w:val="001044D1"/>
    <w:rsid w:val="00106470"/>
    <w:rsid w:val="001075D1"/>
    <w:rsid w:val="00107FF7"/>
    <w:rsid w:val="001105B2"/>
    <w:rsid w:val="001117C6"/>
    <w:rsid w:val="0011236C"/>
    <w:rsid w:val="0011279B"/>
    <w:rsid w:val="00112E08"/>
    <w:rsid w:val="00113C74"/>
    <w:rsid w:val="001144FB"/>
    <w:rsid w:val="00114BC7"/>
    <w:rsid w:val="0011609A"/>
    <w:rsid w:val="00117A11"/>
    <w:rsid w:val="00121017"/>
    <w:rsid w:val="00121ABE"/>
    <w:rsid w:val="0012262F"/>
    <w:rsid w:val="001236FF"/>
    <w:rsid w:val="00123E71"/>
    <w:rsid w:val="0012410A"/>
    <w:rsid w:val="001251CC"/>
    <w:rsid w:val="00125FC6"/>
    <w:rsid w:val="001260D7"/>
    <w:rsid w:val="001261A8"/>
    <w:rsid w:val="001267DF"/>
    <w:rsid w:val="00130959"/>
    <w:rsid w:val="0013240F"/>
    <w:rsid w:val="00132E7B"/>
    <w:rsid w:val="001331CB"/>
    <w:rsid w:val="0013381D"/>
    <w:rsid w:val="001344A4"/>
    <w:rsid w:val="00135B82"/>
    <w:rsid w:val="00135B92"/>
    <w:rsid w:val="001360D1"/>
    <w:rsid w:val="00136362"/>
    <w:rsid w:val="00136A69"/>
    <w:rsid w:val="00140831"/>
    <w:rsid w:val="001408D6"/>
    <w:rsid w:val="00140E1E"/>
    <w:rsid w:val="00141B1A"/>
    <w:rsid w:val="00141B88"/>
    <w:rsid w:val="00141B93"/>
    <w:rsid w:val="00143024"/>
    <w:rsid w:val="00143828"/>
    <w:rsid w:val="00143A92"/>
    <w:rsid w:val="00143DE9"/>
    <w:rsid w:val="00144285"/>
    <w:rsid w:val="001466BE"/>
    <w:rsid w:val="001510B5"/>
    <w:rsid w:val="00151BCF"/>
    <w:rsid w:val="0015370A"/>
    <w:rsid w:val="00154503"/>
    <w:rsid w:val="00154510"/>
    <w:rsid w:val="001553F2"/>
    <w:rsid w:val="0015586B"/>
    <w:rsid w:val="00155EE3"/>
    <w:rsid w:val="0015676E"/>
    <w:rsid w:val="00156914"/>
    <w:rsid w:val="00157DC2"/>
    <w:rsid w:val="00157E8F"/>
    <w:rsid w:val="001609FA"/>
    <w:rsid w:val="00160EF6"/>
    <w:rsid w:val="00161689"/>
    <w:rsid w:val="00162629"/>
    <w:rsid w:val="001632B0"/>
    <w:rsid w:val="0016401E"/>
    <w:rsid w:val="001653F9"/>
    <w:rsid w:val="00165552"/>
    <w:rsid w:val="00165AAB"/>
    <w:rsid w:val="00165C4C"/>
    <w:rsid w:val="00165C59"/>
    <w:rsid w:val="00165CB0"/>
    <w:rsid w:val="001664DC"/>
    <w:rsid w:val="00166FE5"/>
    <w:rsid w:val="00167D69"/>
    <w:rsid w:val="00170502"/>
    <w:rsid w:val="00170CA9"/>
    <w:rsid w:val="00170D81"/>
    <w:rsid w:val="00171424"/>
    <w:rsid w:val="00172263"/>
    <w:rsid w:val="00173824"/>
    <w:rsid w:val="001754D3"/>
    <w:rsid w:val="00175574"/>
    <w:rsid w:val="00175F89"/>
    <w:rsid w:val="00176E56"/>
    <w:rsid w:val="00177FE3"/>
    <w:rsid w:val="0018034E"/>
    <w:rsid w:val="00180C8C"/>
    <w:rsid w:val="00181B5A"/>
    <w:rsid w:val="00182F2B"/>
    <w:rsid w:val="00183507"/>
    <w:rsid w:val="001837A6"/>
    <w:rsid w:val="00183896"/>
    <w:rsid w:val="0018444C"/>
    <w:rsid w:val="00186DB6"/>
    <w:rsid w:val="00190F20"/>
    <w:rsid w:val="0019159E"/>
    <w:rsid w:val="00192274"/>
    <w:rsid w:val="001938A7"/>
    <w:rsid w:val="00193F73"/>
    <w:rsid w:val="0019538C"/>
    <w:rsid w:val="00197085"/>
    <w:rsid w:val="00197ACB"/>
    <w:rsid w:val="00197D95"/>
    <w:rsid w:val="001A054B"/>
    <w:rsid w:val="001A2051"/>
    <w:rsid w:val="001A2B3D"/>
    <w:rsid w:val="001A3025"/>
    <w:rsid w:val="001A319A"/>
    <w:rsid w:val="001A4381"/>
    <w:rsid w:val="001A45BC"/>
    <w:rsid w:val="001A528A"/>
    <w:rsid w:val="001A5534"/>
    <w:rsid w:val="001A6188"/>
    <w:rsid w:val="001A6206"/>
    <w:rsid w:val="001A772F"/>
    <w:rsid w:val="001A7EC7"/>
    <w:rsid w:val="001B0683"/>
    <w:rsid w:val="001B0EF9"/>
    <w:rsid w:val="001B1651"/>
    <w:rsid w:val="001B1CE5"/>
    <w:rsid w:val="001B2F96"/>
    <w:rsid w:val="001B30E0"/>
    <w:rsid w:val="001B34B5"/>
    <w:rsid w:val="001B3B49"/>
    <w:rsid w:val="001B3C7B"/>
    <w:rsid w:val="001B6AFA"/>
    <w:rsid w:val="001C0377"/>
    <w:rsid w:val="001C184E"/>
    <w:rsid w:val="001C295D"/>
    <w:rsid w:val="001C3E81"/>
    <w:rsid w:val="001C4996"/>
    <w:rsid w:val="001C62D3"/>
    <w:rsid w:val="001C6BAB"/>
    <w:rsid w:val="001C7334"/>
    <w:rsid w:val="001C7C05"/>
    <w:rsid w:val="001D09B1"/>
    <w:rsid w:val="001D129A"/>
    <w:rsid w:val="001D1F1B"/>
    <w:rsid w:val="001D2615"/>
    <w:rsid w:val="001D3F5A"/>
    <w:rsid w:val="001D436C"/>
    <w:rsid w:val="001E0274"/>
    <w:rsid w:val="001E115E"/>
    <w:rsid w:val="001E27F8"/>
    <w:rsid w:val="001E2EE8"/>
    <w:rsid w:val="001E30C3"/>
    <w:rsid w:val="001E3C27"/>
    <w:rsid w:val="001E4BF5"/>
    <w:rsid w:val="001E5387"/>
    <w:rsid w:val="001E739D"/>
    <w:rsid w:val="001E75C8"/>
    <w:rsid w:val="001E7720"/>
    <w:rsid w:val="001E7744"/>
    <w:rsid w:val="001F2761"/>
    <w:rsid w:val="001F2A11"/>
    <w:rsid w:val="001F3854"/>
    <w:rsid w:val="001F4CFB"/>
    <w:rsid w:val="001F583D"/>
    <w:rsid w:val="001F6F00"/>
    <w:rsid w:val="001F7144"/>
    <w:rsid w:val="001F71A5"/>
    <w:rsid w:val="001F7216"/>
    <w:rsid w:val="001F775A"/>
    <w:rsid w:val="00200D5C"/>
    <w:rsid w:val="0020167B"/>
    <w:rsid w:val="00203517"/>
    <w:rsid w:val="00204364"/>
    <w:rsid w:val="00206291"/>
    <w:rsid w:val="00206862"/>
    <w:rsid w:val="00207185"/>
    <w:rsid w:val="00207313"/>
    <w:rsid w:val="0020739E"/>
    <w:rsid w:val="00207C8A"/>
    <w:rsid w:val="00207CC3"/>
    <w:rsid w:val="0021024B"/>
    <w:rsid w:val="00212675"/>
    <w:rsid w:val="00213153"/>
    <w:rsid w:val="0021387C"/>
    <w:rsid w:val="0021684B"/>
    <w:rsid w:val="002168E5"/>
    <w:rsid w:val="002173B9"/>
    <w:rsid w:val="0021766E"/>
    <w:rsid w:val="002176C5"/>
    <w:rsid w:val="00217D35"/>
    <w:rsid w:val="00220B5E"/>
    <w:rsid w:val="00221184"/>
    <w:rsid w:val="002232FA"/>
    <w:rsid w:val="00223A5B"/>
    <w:rsid w:val="00223AC9"/>
    <w:rsid w:val="002242A1"/>
    <w:rsid w:val="00224908"/>
    <w:rsid w:val="00224F8E"/>
    <w:rsid w:val="00225204"/>
    <w:rsid w:val="00226D50"/>
    <w:rsid w:val="002272CB"/>
    <w:rsid w:val="00227E25"/>
    <w:rsid w:val="0023153E"/>
    <w:rsid w:val="00231E92"/>
    <w:rsid w:val="00232243"/>
    <w:rsid w:val="0023312F"/>
    <w:rsid w:val="00233D56"/>
    <w:rsid w:val="00233FED"/>
    <w:rsid w:val="002345CA"/>
    <w:rsid w:val="00234DDB"/>
    <w:rsid w:val="00237255"/>
    <w:rsid w:val="00237353"/>
    <w:rsid w:val="0024030B"/>
    <w:rsid w:val="00241A67"/>
    <w:rsid w:val="00243212"/>
    <w:rsid w:val="00243355"/>
    <w:rsid w:val="00243BC2"/>
    <w:rsid w:val="00245B1F"/>
    <w:rsid w:val="00251885"/>
    <w:rsid w:val="00251DE2"/>
    <w:rsid w:val="00251E82"/>
    <w:rsid w:val="00252E67"/>
    <w:rsid w:val="00252FAF"/>
    <w:rsid w:val="00253D39"/>
    <w:rsid w:val="0025486C"/>
    <w:rsid w:val="00254A99"/>
    <w:rsid w:val="00255059"/>
    <w:rsid w:val="002563B1"/>
    <w:rsid w:val="002569EA"/>
    <w:rsid w:val="002576F7"/>
    <w:rsid w:val="0026114C"/>
    <w:rsid w:val="002614C1"/>
    <w:rsid w:val="00261A05"/>
    <w:rsid w:val="00261B02"/>
    <w:rsid w:val="00262020"/>
    <w:rsid w:val="00262245"/>
    <w:rsid w:val="00264335"/>
    <w:rsid w:val="002654A6"/>
    <w:rsid w:val="00265BC9"/>
    <w:rsid w:val="00266FAE"/>
    <w:rsid w:val="002670FE"/>
    <w:rsid w:val="00267EB4"/>
    <w:rsid w:val="0027244B"/>
    <w:rsid w:val="00273CB4"/>
    <w:rsid w:val="00273E62"/>
    <w:rsid w:val="00277E58"/>
    <w:rsid w:val="002802F2"/>
    <w:rsid w:val="00280552"/>
    <w:rsid w:val="002816C6"/>
    <w:rsid w:val="00281D8F"/>
    <w:rsid w:val="002820F1"/>
    <w:rsid w:val="00283666"/>
    <w:rsid w:val="00284A28"/>
    <w:rsid w:val="002854D6"/>
    <w:rsid w:val="00285656"/>
    <w:rsid w:val="002871E8"/>
    <w:rsid w:val="0029079C"/>
    <w:rsid w:val="002914BF"/>
    <w:rsid w:val="00291C79"/>
    <w:rsid w:val="0029246E"/>
    <w:rsid w:val="002926BF"/>
    <w:rsid w:val="00293DC6"/>
    <w:rsid w:val="0029480C"/>
    <w:rsid w:val="00295AFF"/>
    <w:rsid w:val="00297710"/>
    <w:rsid w:val="00297712"/>
    <w:rsid w:val="002A05DB"/>
    <w:rsid w:val="002A17E5"/>
    <w:rsid w:val="002A1FA0"/>
    <w:rsid w:val="002A3A57"/>
    <w:rsid w:val="002A3EDD"/>
    <w:rsid w:val="002A49A3"/>
    <w:rsid w:val="002A4AF7"/>
    <w:rsid w:val="002A5230"/>
    <w:rsid w:val="002A5D22"/>
    <w:rsid w:val="002A66ED"/>
    <w:rsid w:val="002B0426"/>
    <w:rsid w:val="002B085F"/>
    <w:rsid w:val="002B3129"/>
    <w:rsid w:val="002B3644"/>
    <w:rsid w:val="002B58B1"/>
    <w:rsid w:val="002B626B"/>
    <w:rsid w:val="002B73C6"/>
    <w:rsid w:val="002C0FB2"/>
    <w:rsid w:val="002C11F9"/>
    <w:rsid w:val="002C236E"/>
    <w:rsid w:val="002C25CE"/>
    <w:rsid w:val="002C2AE1"/>
    <w:rsid w:val="002C2DA3"/>
    <w:rsid w:val="002C4200"/>
    <w:rsid w:val="002C49EC"/>
    <w:rsid w:val="002C5048"/>
    <w:rsid w:val="002C5F2D"/>
    <w:rsid w:val="002C7D04"/>
    <w:rsid w:val="002D1908"/>
    <w:rsid w:val="002D2F1A"/>
    <w:rsid w:val="002D3C8B"/>
    <w:rsid w:val="002D4158"/>
    <w:rsid w:val="002D44DC"/>
    <w:rsid w:val="002D5390"/>
    <w:rsid w:val="002D584B"/>
    <w:rsid w:val="002D7342"/>
    <w:rsid w:val="002E02BA"/>
    <w:rsid w:val="002E0E16"/>
    <w:rsid w:val="002E1EA4"/>
    <w:rsid w:val="002E205D"/>
    <w:rsid w:val="002E2084"/>
    <w:rsid w:val="002E26DA"/>
    <w:rsid w:val="002E31DD"/>
    <w:rsid w:val="002E41FC"/>
    <w:rsid w:val="002E5D5E"/>
    <w:rsid w:val="002E6E82"/>
    <w:rsid w:val="002E6F28"/>
    <w:rsid w:val="002E6F87"/>
    <w:rsid w:val="002E6FD0"/>
    <w:rsid w:val="002E7357"/>
    <w:rsid w:val="002E7860"/>
    <w:rsid w:val="002F129C"/>
    <w:rsid w:val="002F150B"/>
    <w:rsid w:val="002F21C6"/>
    <w:rsid w:val="002F2F7B"/>
    <w:rsid w:val="002F3718"/>
    <w:rsid w:val="002F3940"/>
    <w:rsid w:val="002F4648"/>
    <w:rsid w:val="002F467E"/>
    <w:rsid w:val="002F4976"/>
    <w:rsid w:val="002F5134"/>
    <w:rsid w:val="002F5C24"/>
    <w:rsid w:val="002F5E1E"/>
    <w:rsid w:val="002F61A9"/>
    <w:rsid w:val="002F64AE"/>
    <w:rsid w:val="002F6BD8"/>
    <w:rsid w:val="003001AF"/>
    <w:rsid w:val="003009F0"/>
    <w:rsid w:val="0030120F"/>
    <w:rsid w:val="003012EA"/>
    <w:rsid w:val="0030237B"/>
    <w:rsid w:val="00303A3C"/>
    <w:rsid w:val="003044A5"/>
    <w:rsid w:val="0030512F"/>
    <w:rsid w:val="003051E6"/>
    <w:rsid w:val="00306265"/>
    <w:rsid w:val="00306F51"/>
    <w:rsid w:val="0031043B"/>
    <w:rsid w:val="00311546"/>
    <w:rsid w:val="003118F7"/>
    <w:rsid w:val="00312DB8"/>
    <w:rsid w:val="00312EB0"/>
    <w:rsid w:val="003134C3"/>
    <w:rsid w:val="003136F7"/>
    <w:rsid w:val="003142BA"/>
    <w:rsid w:val="003143D4"/>
    <w:rsid w:val="003146E6"/>
    <w:rsid w:val="0031673E"/>
    <w:rsid w:val="0031682C"/>
    <w:rsid w:val="00316CE9"/>
    <w:rsid w:val="00316DB4"/>
    <w:rsid w:val="00317EE9"/>
    <w:rsid w:val="00320218"/>
    <w:rsid w:val="003202F8"/>
    <w:rsid w:val="003208B4"/>
    <w:rsid w:val="00320F7D"/>
    <w:rsid w:val="00321533"/>
    <w:rsid w:val="003223B0"/>
    <w:rsid w:val="00323169"/>
    <w:rsid w:val="003234F0"/>
    <w:rsid w:val="00323CA6"/>
    <w:rsid w:val="00324A91"/>
    <w:rsid w:val="00324C15"/>
    <w:rsid w:val="003260D1"/>
    <w:rsid w:val="003269F7"/>
    <w:rsid w:val="003270D6"/>
    <w:rsid w:val="0033129D"/>
    <w:rsid w:val="00332DBD"/>
    <w:rsid w:val="003333BF"/>
    <w:rsid w:val="0033367B"/>
    <w:rsid w:val="00333B98"/>
    <w:rsid w:val="00333C8E"/>
    <w:rsid w:val="003341A9"/>
    <w:rsid w:val="00337AE5"/>
    <w:rsid w:val="0034012E"/>
    <w:rsid w:val="0034025B"/>
    <w:rsid w:val="00341195"/>
    <w:rsid w:val="0034138A"/>
    <w:rsid w:val="00341FFD"/>
    <w:rsid w:val="0034251A"/>
    <w:rsid w:val="00342E6B"/>
    <w:rsid w:val="00344555"/>
    <w:rsid w:val="00344F97"/>
    <w:rsid w:val="0034543C"/>
    <w:rsid w:val="00346201"/>
    <w:rsid w:val="003466B0"/>
    <w:rsid w:val="003467E7"/>
    <w:rsid w:val="00347B6F"/>
    <w:rsid w:val="00347FA0"/>
    <w:rsid w:val="00351FB6"/>
    <w:rsid w:val="00353167"/>
    <w:rsid w:val="0035343B"/>
    <w:rsid w:val="003545A8"/>
    <w:rsid w:val="003552A4"/>
    <w:rsid w:val="00356020"/>
    <w:rsid w:val="00356266"/>
    <w:rsid w:val="003578FF"/>
    <w:rsid w:val="00357987"/>
    <w:rsid w:val="00357C3B"/>
    <w:rsid w:val="00357ECC"/>
    <w:rsid w:val="003622FF"/>
    <w:rsid w:val="00362436"/>
    <w:rsid w:val="00362D77"/>
    <w:rsid w:val="003634C2"/>
    <w:rsid w:val="00363ECE"/>
    <w:rsid w:val="003640DE"/>
    <w:rsid w:val="00365B7D"/>
    <w:rsid w:val="00366A30"/>
    <w:rsid w:val="00366D41"/>
    <w:rsid w:val="00373E40"/>
    <w:rsid w:val="00375126"/>
    <w:rsid w:val="00375CC6"/>
    <w:rsid w:val="00376AC1"/>
    <w:rsid w:val="00376F93"/>
    <w:rsid w:val="00377FEF"/>
    <w:rsid w:val="00381CA9"/>
    <w:rsid w:val="00382C02"/>
    <w:rsid w:val="00382F97"/>
    <w:rsid w:val="0038488E"/>
    <w:rsid w:val="00385F45"/>
    <w:rsid w:val="00390136"/>
    <w:rsid w:val="00392A7C"/>
    <w:rsid w:val="00394F60"/>
    <w:rsid w:val="0039541E"/>
    <w:rsid w:val="00395F95"/>
    <w:rsid w:val="00396CE9"/>
    <w:rsid w:val="00397518"/>
    <w:rsid w:val="0039785D"/>
    <w:rsid w:val="003A070F"/>
    <w:rsid w:val="003A2B60"/>
    <w:rsid w:val="003A2C52"/>
    <w:rsid w:val="003A31B2"/>
    <w:rsid w:val="003A3575"/>
    <w:rsid w:val="003A3A61"/>
    <w:rsid w:val="003A4593"/>
    <w:rsid w:val="003A5C17"/>
    <w:rsid w:val="003A6089"/>
    <w:rsid w:val="003A6471"/>
    <w:rsid w:val="003A78A3"/>
    <w:rsid w:val="003B00C3"/>
    <w:rsid w:val="003B0180"/>
    <w:rsid w:val="003B0F7E"/>
    <w:rsid w:val="003B148B"/>
    <w:rsid w:val="003B199A"/>
    <w:rsid w:val="003B1BE8"/>
    <w:rsid w:val="003B241B"/>
    <w:rsid w:val="003B2FC4"/>
    <w:rsid w:val="003B33D9"/>
    <w:rsid w:val="003B38BF"/>
    <w:rsid w:val="003B472B"/>
    <w:rsid w:val="003B4A44"/>
    <w:rsid w:val="003B5209"/>
    <w:rsid w:val="003B65FB"/>
    <w:rsid w:val="003B757A"/>
    <w:rsid w:val="003C280B"/>
    <w:rsid w:val="003C2B2A"/>
    <w:rsid w:val="003C2BAF"/>
    <w:rsid w:val="003C3188"/>
    <w:rsid w:val="003C640D"/>
    <w:rsid w:val="003C6B73"/>
    <w:rsid w:val="003C6C41"/>
    <w:rsid w:val="003C7051"/>
    <w:rsid w:val="003C791D"/>
    <w:rsid w:val="003C7C35"/>
    <w:rsid w:val="003D0AB6"/>
    <w:rsid w:val="003D0E64"/>
    <w:rsid w:val="003D1625"/>
    <w:rsid w:val="003D1BAD"/>
    <w:rsid w:val="003D2405"/>
    <w:rsid w:val="003D472B"/>
    <w:rsid w:val="003D7373"/>
    <w:rsid w:val="003D7D0B"/>
    <w:rsid w:val="003D7E7F"/>
    <w:rsid w:val="003E3D21"/>
    <w:rsid w:val="003E40B5"/>
    <w:rsid w:val="003E4DF6"/>
    <w:rsid w:val="003E512C"/>
    <w:rsid w:val="003E5BE3"/>
    <w:rsid w:val="003E5EC3"/>
    <w:rsid w:val="003E66CB"/>
    <w:rsid w:val="003E6807"/>
    <w:rsid w:val="003E6BDC"/>
    <w:rsid w:val="003F1E42"/>
    <w:rsid w:val="003F47E3"/>
    <w:rsid w:val="003F503B"/>
    <w:rsid w:val="003F525A"/>
    <w:rsid w:val="003F60C0"/>
    <w:rsid w:val="003F6C96"/>
    <w:rsid w:val="003F7185"/>
    <w:rsid w:val="003F7D4B"/>
    <w:rsid w:val="0040061A"/>
    <w:rsid w:val="00400CEC"/>
    <w:rsid w:val="00402158"/>
    <w:rsid w:val="00402270"/>
    <w:rsid w:val="00405E96"/>
    <w:rsid w:val="0040602A"/>
    <w:rsid w:val="00407480"/>
    <w:rsid w:val="004074ED"/>
    <w:rsid w:val="00412C49"/>
    <w:rsid w:val="00413AFE"/>
    <w:rsid w:val="00414443"/>
    <w:rsid w:val="00415FC4"/>
    <w:rsid w:val="00417092"/>
    <w:rsid w:val="00417568"/>
    <w:rsid w:val="0042101F"/>
    <w:rsid w:val="00421D0B"/>
    <w:rsid w:val="00422927"/>
    <w:rsid w:val="004229DE"/>
    <w:rsid w:val="00423602"/>
    <w:rsid w:val="004239AE"/>
    <w:rsid w:val="00423E8F"/>
    <w:rsid w:val="004251B6"/>
    <w:rsid w:val="004259B8"/>
    <w:rsid w:val="00425C5D"/>
    <w:rsid w:val="004269DA"/>
    <w:rsid w:val="0042798D"/>
    <w:rsid w:val="00431047"/>
    <w:rsid w:val="00432F82"/>
    <w:rsid w:val="00434618"/>
    <w:rsid w:val="00434B76"/>
    <w:rsid w:val="00435527"/>
    <w:rsid w:val="004359CE"/>
    <w:rsid w:val="00435FF5"/>
    <w:rsid w:val="0043681C"/>
    <w:rsid w:val="00437273"/>
    <w:rsid w:val="00440820"/>
    <w:rsid w:val="004441AD"/>
    <w:rsid w:val="00444581"/>
    <w:rsid w:val="00444DA6"/>
    <w:rsid w:val="004454FD"/>
    <w:rsid w:val="00445C19"/>
    <w:rsid w:val="004466EA"/>
    <w:rsid w:val="00446A31"/>
    <w:rsid w:val="00446D37"/>
    <w:rsid w:val="004475A9"/>
    <w:rsid w:val="0044794F"/>
    <w:rsid w:val="00447A6C"/>
    <w:rsid w:val="00447CD2"/>
    <w:rsid w:val="00450447"/>
    <w:rsid w:val="00450723"/>
    <w:rsid w:val="00453D77"/>
    <w:rsid w:val="00454254"/>
    <w:rsid w:val="00454313"/>
    <w:rsid w:val="00454965"/>
    <w:rsid w:val="00457A1A"/>
    <w:rsid w:val="00461612"/>
    <w:rsid w:val="0046178B"/>
    <w:rsid w:val="00462314"/>
    <w:rsid w:val="00462E07"/>
    <w:rsid w:val="0046331C"/>
    <w:rsid w:val="00463512"/>
    <w:rsid w:val="0046362C"/>
    <w:rsid w:val="00463BBF"/>
    <w:rsid w:val="00463C05"/>
    <w:rsid w:val="00466C2F"/>
    <w:rsid w:val="00467112"/>
    <w:rsid w:val="004701D0"/>
    <w:rsid w:val="00470E4D"/>
    <w:rsid w:val="00472098"/>
    <w:rsid w:val="00474C08"/>
    <w:rsid w:val="00474D75"/>
    <w:rsid w:val="004764CC"/>
    <w:rsid w:val="004764EE"/>
    <w:rsid w:val="00476D76"/>
    <w:rsid w:val="004771EB"/>
    <w:rsid w:val="004814D5"/>
    <w:rsid w:val="004814F0"/>
    <w:rsid w:val="00482771"/>
    <w:rsid w:val="00483180"/>
    <w:rsid w:val="00483C58"/>
    <w:rsid w:val="00484222"/>
    <w:rsid w:val="004847DC"/>
    <w:rsid w:val="004848F9"/>
    <w:rsid w:val="00485F46"/>
    <w:rsid w:val="004860AE"/>
    <w:rsid w:val="0048785A"/>
    <w:rsid w:val="00491855"/>
    <w:rsid w:val="00491CDD"/>
    <w:rsid w:val="0049412C"/>
    <w:rsid w:val="00494345"/>
    <w:rsid w:val="00495192"/>
    <w:rsid w:val="004956C0"/>
    <w:rsid w:val="00495D58"/>
    <w:rsid w:val="004A0D43"/>
    <w:rsid w:val="004A1818"/>
    <w:rsid w:val="004A1C7F"/>
    <w:rsid w:val="004A2152"/>
    <w:rsid w:val="004A3EE9"/>
    <w:rsid w:val="004A4E4F"/>
    <w:rsid w:val="004A56E7"/>
    <w:rsid w:val="004A7738"/>
    <w:rsid w:val="004A7750"/>
    <w:rsid w:val="004A7FE6"/>
    <w:rsid w:val="004B02B9"/>
    <w:rsid w:val="004B0B90"/>
    <w:rsid w:val="004B2F0D"/>
    <w:rsid w:val="004B30FB"/>
    <w:rsid w:val="004B3F80"/>
    <w:rsid w:val="004B40EE"/>
    <w:rsid w:val="004B45F4"/>
    <w:rsid w:val="004B4A27"/>
    <w:rsid w:val="004C0A8D"/>
    <w:rsid w:val="004C2024"/>
    <w:rsid w:val="004C25F6"/>
    <w:rsid w:val="004C2782"/>
    <w:rsid w:val="004C2D19"/>
    <w:rsid w:val="004C357C"/>
    <w:rsid w:val="004C62C6"/>
    <w:rsid w:val="004D100D"/>
    <w:rsid w:val="004D2626"/>
    <w:rsid w:val="004D2C34"/>
    <w:rsid w:val="004D2E28"/>
    <w:rsid w:val="004D3901"/>
    <w:rsid w:val="004D3F5D"/>
    <w:rsid w:val="004D41D8"/>
    <w:rsid w:val="004D4FC9"/>
    <w:rsid w:val="004D5E10"/>
    <w:rsid w:val="004D67C5"/>
    <w:rsid w:val="004D6E34"/>
    <w:rsid w:val="004D7E65"/>
    <w:rsid w:val="004E00D0"/>
    <w:rsid w:val="004E07DC"/>
    <w:rsid w:val="004E0851"/>
    <w:rsid w:val="004E0939"/>
    <w:rsid w:val="004E1AB5"/>
    <w:rsid w:val="004E1AE2"/>
    <w:rsid w:val="004E4165"/>
    <w:rsid w:val="004E4470"/>
    <w:rsid w:val="004E5446"/>
    <w:rsid w:val="004E7F1E"/>
    <w:rsid w:val="004F059F"/>
    <w:rsid w:val="004F1352"/>
    <w:rsid w:val="004F2868"/>
    <w:rsid w:val="004F55F8"/>
    <w:rsid w:val="004F6ACE"/>
    <w:rsid w:val="004F7447"/>
    <w:rsid w:val="004F76D9"/>
    <w:rsid w:val="004F7E37"/>
    <w:rsid w:val="00501F2F"/>
    <w:rsid w:val="00505141"/>
    <w:rsid w:val="005066A2"/>
    <w:rsid w:val="00506CD9"/>
    <w:rsid w:val="00511753"/>
    <w:rsid w:val="00511EF3"/>
    <w:rsid w:val="00512AE9"/>
    <w:rsid w:val="00512E41"/>
    <w:rsid w:val="00513472"/>
    <w:rsid w:val="00513FBF"/>
    <w:rsid w:val="00516576"/>
    <w:rsid w:val="0051750C"/>
    <w:rsid w:val="00521D8D"/>
    <w:rsid w:val="00522063"/>
    <w:rsid w:val="00522ED0"/>
    <w:rsid w:val="00523826"/>
    <w:rsid w:val="00523C58"/>
    <w:rsid w:val="005253A2"/>
    <w:rsid w:val="0052557E"/>
    <w:rsid w:val="00525782"/>
    <w:rsid w:val="00526CC9"/>
    <w:rsid w:val="0052770E"/>
    <w:rsid w:val="00530C05"/>
    <w:rsid w:val="005310F8"/>
    <w:rsid w:val="0053163F"/>
    <w:rsid w:val="005347F8"/>
    <w:rsid w:val="0053485A"/>
    <w:rsid w:val="00534CA7"/>
    <w:rsid w:val="00535BAD"/>
    <w:rsid w:val="00535C26"/>
    <w:rsid w:val="00536008"/>
    <w:rsid w:val="00536B3B"/>
    <w:rsid w:val="00537555"/>
    <w:rsid w:val="00537DBB"/>
    <w:rsid w:val="00541D0D"/>
    <w:rsid w:val="005429D2"/>
    <w:rsid w:val="005435C8"/>
    <w:rsid w:val="00543E56"/>
    <w:rsid w:val="00544A5C"/>
    <w:rsid w:val="0054542E"/>
    <w:rsid w:val="005470EC"/>
    <w:rsid w:val="00550399"/>
    <w:rsid w:val="00551433"/>
    <w:rsid w:val="005514CA"/>
    <w:rsid w:val="00552380"/>
    <w:rsid w:val="00556328"/>
    <w:rsid w:val="00556D13"/>
    <w:rsid w:val="00560806"/>
    <w:rsid w:val="00562378"/>
    <w:rsid w:val="00563399"/>
    <w:rsid w:val="00563E9D"/>
    <w:rsid w:val="0056591F"/>
    <w:rsid w:val="00566E5E"/>
    <w:rsid w:val="00570EFE"/>
    <w:rsid w:val="00571099"/>
    <w:rsid w:val="00571282"/>
    <w:rsid w:val="00571E9F"/>
    <w:rsid w:val="00573C3B"/>
    <w:rsid w:val="00574E1B"/>
    <w:rsid w:val="005776FA"/>
    <w:rsid w:val="0058041E"/>
    <w:rsid w:val="00583974"/>
    <w:rsid w:val="005860AC"/>
    <w:rsid w:val="0058722C"/>
    <w:rsid w:val="0058799A"/>
    <w:rsid w:val="00587F62"/>
    <w:rsid w:val="00590149"/>
    <w:rsid w:val="00592358"/>
    <w:rsid w:val="00592FD2"/>
    <w:rsid w:val="0059373B"/>
    <w:rsid w:val="00593B80"/>
    <w:rsid w:val="00596A1C"/>
    <w:rsid w:val="00596FDB"/>
    <w:rsid w:val="005A06D3"/>
    <w:rsid w:val="005A0AF8"/>
    <w:rsid w:val="005A0E6F"/>
    <w:rsid w:val="005A1E77"/>
    <w:rsid w:val="005A2B2E"/>
    <w:rsid w:val="005A3E49"/>
    <w:rsid w:val="005A4714"/>
    <w:rsid w:val="005A47EC"/>
    <w:rsid w:val="005A58B2"/>
    <w:rsid w:val="005A73A1"/>
    <w:rsid w:val="005B05C8"/>
    <w:rsid w:val="005B551F"/>
    <w:rsid w:val="005B5D93"/>
    <w:rsid w:val="005B66C8"/>
    <w:rsid w:val="005B683A"/>
    <w:rsid w:val="005C0A9A"/>
    <w:rsid w:val="005C0BFD"/>
    <w:rsid w:val="005C11DE"/>
    <w:rsid w:val="005C28BC"/>
    <w:rsid w:val="005C3CD8"/>
    <w:rsid w:val="005C4EA4"/>
    <w:rsid w:val="005C4F3D"/>
    <w:rsid w:val="005D0287"/>
    <w:rsid w:val="005D06A8"/>
    <w:rsid w:val="005D07B2"/>
    <w:rsid w:val="005D092B"/>
    <w:rsid w:val="005D0AD6"/>
    <w:rsid w:val="005D10E5"/>
    <w:rsid w:val="005D285D"/>
    <w:rsid w:val="005D39F3"/>
    <w:rsid w:val="005D46EE"/>
    <w:rsid w:val="005D7E62"/>
    <w:rsid w:val="005E0596"/>
    <w:rsid w:val="005E0731"/>
    <w:rsid w:val="005E13DF"/>
    <w:rsid w:val="005E1D9A"/>
    <w:rsid w:val="005E2073"/>
    <w:rsid w:val="005E2983"/>
    <w:rsid w:val="005E3EE4"/>
    <w:rsid w:val="005E4877"/>
    <w:rsid w:val="005E57A7"/>
    <w:rsid w:val="005E6479"/>
    <w:rsid w:val="005E6778"/>
    <w:rsid w:val="005F03CC"/>
    <w:rsid w:val="005F10D3"/>
    <w:rsid w:val="005F2063"/>
    <w:rsid w:val="005F2279"/>
    <w:rsid w:val="005F2A5B"/>
    <w:rsid w:val="005F31BE"/>
    <w:rsid w:val="005F36AB"/>
    <w:rsid w:val="005F442A"/>
    <w:rsid w:val="005F598A"/>
    <w:rsid w:val="005F700B"/>
    <w:rsid w:val="005F7370"/>
    <w:rsid w:val="006007C7"/>
    <w:rsid w:val="00600B5F"/>
    <w:rsid w:val="00600FFC"/>
    <w:rsid w:val="0060110A"/>
    <w:rsid w:val="0060133B"/>
    <w:rsid w:val="0060156F"/>
    <w:rsid w:val="006015A3"/>
    <w:rsid w:val="00601C31"/>
    <w:rsid w:val="00602BC6"/>
    <w:rsid w:val="00602EB0"/>
    <w:rsid w:val="00603311"/>
    <w:rsid w:val="00603888"/>
    <w:rsid w:val="00603C6D"/>
    <w:rsid w:val="006040ED"/>
    <w:rsid w:val="00604415"/>
    <w:rsid w:val="006079B9"/>
    <w:rsid w:val="00613A11"/>
    <w:rsid w:val="00613B72"/>
    <w:rsid w:val="0061706E"/>
    <w:rsid w:val="006224B6"/>
    <w:rsid w:val="006227B4"/>
    <w:rsid w:val="00622914"/>
    <w:rsid w:val="0062291A"/>
    <w:rsid w:val="00622AA8"/>
    <w:rsid w:val="00622D91"/>
    <w:rsid w:val="006237CF"/>
    <w:rsid w:val="00623B31"/>
    <w:rsid w:val="00623C7E"/>
    <w:rsid w:val="00624BC1"/>
    <w:rsid w:val="00625336"/>
    <w:rsid w:val="0062575D"/>
    <w:rsid w:val="00626CC1"/>
    <w:rsid w:val="00627A66"/>
    <w:rsid w:val="0063164E"/>
    <w:rsid w:val="006324E0"/>
    <w:rsid w:val="0063286C"/>
    <w:rsid w:val="006335A2"/>
    <w:rsid w:val="00635FF5"/>
    <w:rsid w:val="00636375"/>
    <w:rsid w:val="00636DD3"/>
    <w:rsid w:val="00637FF0"/>
    <w:rsid w:val="0064166F"/>
    <w:rsid w:val="00643373"/>
    <w:rsid w:val="0064342E"/>
    <w:rsid w:val="00643C4C"/>
    <w:rsid w:val="00644764"/>
    <w:rsid w:val="0064549C"/>
    <w:rsid w:val="0064601A"/>
    <w:rsid w:val="0064676D"/>
    <w:rsid w:val="00647676"/>
    <w:rsid w:val="00647DB4"/>
    <w:rsid w:val="006502E3"/>
    <w:rsid w:val="006511AA"/>
    <w:rsid w:val="006522C9"/>
    <w:rsid w:val="00653325"/>
    <w:rsid w:val="00653E7B"/>
    <w:rsid w:val="00655823"/>
    <w:rsid w:val="00660F48"/>
    <w:rsid w:val="00665483"/>
    <w:rsid w:val="00665640"/>
    <w:rsid w:val="0066619C"/>
    <w:rsid w:val="006702D1"/>
    <w:rsid w:val="006704F7"/>
    <w:rsid w:val="006707E3"/>
    <w:rsid w:val="00670A74"/>
    <w:rsid w:val="006713C0"/>
    <w:rsid w:val="006717CE"/>
    <w:rsid w:val="00673A3D"/>
    <w:rsid w:val="00674304"/>
    <w:rsid w:val="00674779"/>
    <w:rsid w:val="00674A7F"/>
    <w:rsid w:val="006761CA"/>
    <w:rsid w:val="00676D51"/>
    <w:rsid w:val="00676EAB"/>
    <w:rsid w:val="0067747F"/>
    <w:rsid w:val="00680C1A"/>
    <w:rsid w:val="006811DC"/>
    <w:rsid w:val="006836A7"/>
    <w:rsid w:val="00683A24"/>
    <w:rsid w:val="0068529C"/>
    <w:rsid w:val="006868AD"/>
    <w:rsid w:val="0069091E"/>
    <w:rsid w:val="00691D96"/>
    <w:rsid w:val="00692936"/>
    <w:rsid w:val="00692CE3"/>
    <w:rsid w:val="00692D34"/>
    <w:rsid w:val="0069300A"/>
    <w:rsid w:val="00693B96"/>
    <w:rsid w:val="00693FF6"/>
    <w:rsid w:val="00694925"/>
    <w:rsid w:val="00695F24"/>
    <w:rsid w:val="00696507"/>
    <w:rsid w:val="0069688D"/>
    <w:rsid w:val="006975FE"/>
    <w:rsid w:val="0069776E"/>
    <w:rsid w:val="006A0BB9"/>
    <w:rsid w:val="006A0BF0"/>
    <w:rsid w:val="006A2CBF"/>
    <w:rsid w:val="006A507F"/>
    <w:rsid w:val="006A53AA"/>
    <w:rsid w:val="006A57F3"/>
    <w:rsid w:val="006A7193"/>
    <w:rsid w:val="006B08B4"/>
    <w:rsid w:val="006B12C5"/>
    <w:rsid w:val="006B1F6D"/>
    <w:rsid w:val="006B2978"/>
    <w:rsid w:val="006B30D5"/>
    <w:rsid w:val="006B3DC5"/>
    <w:rsid w:val="006B3EAE"/>
    <w:rsid w:val="006B4323"/>
    <w:rsid w:val="006B6367"/>
    <w:rsid w:val="006B7A8F"/>
    <w:rsid w:val="006B7AC4"/>
    <w:rsid w:val="006C034B"/>
    <w:rsid w:val="006C1BC9"/>
    <w:rsid w:val="006C2AB7"/>
    <w:rsid w:val="006C372B"/>
    <w:rsid w:val="006C38D6"/>
    <w:rsid w:val="006C4184"/>
    <w:rsid w:val="006C5AEF"/>
    <w:rsid w:val="006C6C6F"/>
    <w:rsid w:val="006C6E2C"/>
    <w:rsid w:val="006C74FB"/>
    <w:rsid w:val="006D416F"/>
    <w:rsid w:val="006D453A"/>
    <w:rsid w:val="006D62BB"/>
    <w:rsid w:val="006D76C4"/>
    <w:rsid w:val="006E0358"/>
    <w:rsid w:val="006E0C79"/>
    <w:rsid w:val="006E0D45"/>
    <w:rsid w:val="006E3384"/>
    <w:rsid w:val="006E3B24"/>
    <w:rsid w:val="006E4051"/>
    <w:rsid w:val="006E480B"/>
    <w:rsid w:val="006E5E68"/>
    <w:rsid w:val="006E668E"/>
    <w:rsid w:val="006E68A1"/>
    <w:rsid w:val="006E6C50"/>
    <w:rsid w:val="006F0B18"/>
    <w:rsid w:val="006F196F"/>
    <w:rsid w:val="006F1A82"/>
    <w:rsid w:val="006F2049"/>
    <w:rsid w:val="006F278A"/>
    <w:rsid w:val="006F2975"/>
    <w:rsid w:val="006F33D4"/>
    <w:rsid w:val="006F3608"/>
    <w:rsid w:val="006F39D1"/>
    <w:rsid w:val="006F3ECA"/>
    <w:rsid w:val="006F49FC"/>
    <w:rsid w:val="006F64B0"/>
    <w:rsid w:val="006F6BE2"/>
    <w:rsid w:val="006F7FE6"/>
    <w:rsid w:val="00701A0C"/>
    <w:rsid w:val="00702823"/>
    <w:rsid w:val="00702DFC"/>
    <w:rsid w:val="0070339C"/>
    <w:rsid w:val="00703664"/>
    <w:rsid w:val="007037E4"/>
    <w:rsid w:val="00703CAA"/>
    <w:rsid w:val="0070556E"/>
    <w:rsid w:val="00705CE7"/>
    <w:rsid w:val="007067CB"/>
    <w:rsid w:val="007067F4"/>
    <w:rsid w:val="0070704B"/>
    <w:rsid w:val="00707B18"/>
    <w:rsid w:val="007103A2"/>
    <w:rsid w:val="00710B36"/>
    <w:rsid w:val="00712041"/>
    <w:rsid w:val="00713CBF"/>
    <w:rsid w:val="007168F4"/>
    <w:rsid w:val="007169B6"/>
    <w:rsid w:val="007170B7"/>
    <w:rsid w:val="007172A4"/>
    <w:rsid w:val="00717C4C"/>
    <w:rsid w:val="00721276"/>
    <w:rsid w:val="007220A0"/>
    <w:rsid w:val="00723BCD"/>
    <w:rsid w:val="00724574"/>
    <w:rsid w:val="00725236"/>
    <w:rsid w:val="0072768C"/>
    <w:rsid w:val="00731730"/>
    <w:rsid w:val="00732049"/>
    <w:rsid w:val="007323C8"/>
    <w:rsid w:val="00732BA5"/>
    <w:rsid w:val="007343EE"/>
    <w:rsid w:val="007347FF"/>
    <w:rsid w:val="00734AAC"/>
    <w:rsid w:val="0073536D"/>
    <w:rsid w:val="007357A6"/>
    <w:rsid w:val="00742130"/>
    <w:rsid w:val="0074346F"/>
    <w:rsid w:val="007435F7"/>
    <w:rsid w:val="007440DB"/>
    <w:rsid w:val="00745577"/>
    <w:rsid w:val="00745E22"/>
    <w:rsid w:val="0074648A"/>
    <w:rsid w:val="00747A9B"/>
    <w:rsid w:val="007501A9"/>
    <w:rsid w:val="0075074A"/>
    <w:rsid w:val="007522D9"/>
    <w:rsid w:val="00752330"/>
    <w:rsid w:val="00753469"/>
    <w:rsid w:val="0075405B"/>
    <w:rsid w:val="007543EE"/>
    <w:rsid w:val="00755623"/>
    <w:rsid w:val="00755D28"/>
    <w:rsid w:val="0075617D"/>
    <w:rsid w:val="0075696F"/>
    <w:rsid w:val="00760A4B"/>
    <w:rsid w:val="00760C78"/>
    <w:rsid w:val="00760D63"/>
    <w:rsid w:val="0076118C"/>
    <w:rsid w:val="00761767"/>
    <w:rsid w:val="007633AA"/>
    <w:rsid w:val="007652AE"/>
    <w:rsid w:val="00767D6E"/>
    <w:rsid w:val="0077007A"/>
    <w:rsid w:val="00770580"/>
    <w:rsid w:val="00770D1C"/>
    <w:rsid w:val="00771BFD"/>
    <w:rsid w:val="00771CB2"/>
    <w:rsid w:val="007750EF"/>
    <w:rsid w:val="00775D69"/>
    <w:rsid w:val="00776484"/>
    <w:rsid w:val="00777955"/>
    <w:rsid w:val="007806C4"/>
    <w:rsid w:val="00781E83"/>
    <w:rsid w:val="00781ECE"/>
    <w:rsid w:val="00783619"/>
    <w:rsid w:val="00783C9A"/>
    <w:rsid w:val="00783CDF"/>
    <w:rsid w:val="00784067"/>
    <w:rsid w:val="00785375"/>
    <w:rsid w:val="00786067"/>
    <w:rsid w:val="007906E2"/>
    <w:rsid w:val="00790FFD"/>
    <w:rsid w:val="0079170E"/>
    <w:rsid w:val="0079250C"/>
    <w:rsid w:val="007956C2"/>
    <w:rsid w:val="007966CB"/>
    <w:rsid w:val="007975D4"/>
    <w:rsid w:val="00797B31"/>
    <w:rsid w:val="007A1E73"/>
    <w:rsid w:val="007A311A"/>
    <w:rsid w:val="007A35F3"/>
    <w:rsid w:val="007A36DD"/>
    <w:rsid w:val="007A55EB"/>
    <w:rsid w:val="007A6307"/>
    <w:rsid w:val="007A69DC"/>
    <w:rsid w:val="007B14EF"/>
    <w:rsid w:val="007B19BC"/>
    <w:rsid w:val="007B1EEE"/>
    <w:rsid w:val="007B4C7C"/>
    <w:rsid w:val="007B51E3"/>
    <w:rsid w:val="007B56E7"/>
    <w:rsid w:val="007B579E"/>
    <w:rsid w:val="007B6D85"/>
    <w:rsid w:val="007B7BF7"/>
    <w:rsid w:val="007C0C59"/>
    <w:rsid w:val="007C19A4"/>
    <w:rsid w:val="007C31F8"/>
    <w:rsid w:val="007C3C2B"/>
    <w:rsid w:val="007C3C78"/>
    <w:rsid w:val="007C3F82"/>
    <w:rsid w:val="007C5E78"/>
    <w:rsid w:val="007D02A6"/>
    <w:rsid w:val="007D0625"/>
    <w:rsid w:val="007D14BA"/>
    <w:rsid w:val="007D185F"/>
    <w:rsid w:val="007D21E2"/>
    <w:rsid w:val="007D3176"/>
    <w:rsid w:val="007D35F5"/>
    <w:rsid w:val="007D3E0C"/>
    <w:rsid w:val="007D45EF"/>
    <w:rsid w:val="007D5551"/>
    <w:rsid w:val="007D5CAE"/>
    <w:rsid w:val="007D604E"/>
    <w:rsid w:val="007D745B"/>
    <w:rsid w:val="007E10C4"/>
    <w:rsid w:val="007E13CA"/>
    <w:rsid w:val="007E182F"/>
    <w:rsid w:val="007E1D25"/>
    <w:rsid w:val="007E276E"/>
    <w:rsid w:val="007E395D"/>
    <w:rsid w:val="007E474E"/>
    <w:rsid w:val="007E5E9A"/>
    <w:rsid w:val="007E6A0D"/>
    <w:rsid w:val="007F017D"/>
    <w:rsid w:val="007F160B"/>
    <w:rsid w:val="007F1E8F"/>
    <w:rsid w:val="007F4136"/>
    <w:rsid w:val="007F4F91"/>
    <w:rsid w:val="007F50E5"/>
    <w:rsid w:val="007F525C"/>
    <w:rsid w:val="007F6677"/>
    <w:rsid w:val="007F6706"/>
    <w:rsid w:val="007F681A"/>
    <w:rsid w:val="00801F91"/>
    <w:rsid w:val="00804CB9"/>
    <w:rsid w:val="00805719"/>
    <w:rsid w:val="00805A82"/>
    <w:rsid w:val="00807D3E"/>
    <w:rsid w:val="0081186E"/>
    <w:rsid w:val="00814196"/>
    <w:rsid w:val="00814DA3"/>
    <w:rsid w:val="00815549"/>
    <w:rsid w:val="00815AF7"/>
    <w:rsid w:val="008161FE"/>
    <w:rsid w:val="00816C3F"/>
    <w:rsid w:val="008171ED"/>
    <w:rsid w:val="00817438"/>
    <w:rsid w:val="00820025"/>
    <w:rsid w:val="00820ECA"/>
    <w:rsid w:val="00820F9B"/>
    <w:rsid w:val="00821B78"/>
    <w:rsid w:val="00822C11"/>
    <w:rsid w:val="00822D10"/>
    <w:rsid w:val="00823931"/>
    <w:rsid w:val="00825495"/>
    <w:rsid w:val="00825A58"/>
    <w:rsid w:val="00825F84"/>
    <w:rsid w:val="0082670B"/>
    <w:rsid w:val="00826C7D"/>
    <w:rsid w:val="00826E1D"/>
    <w:rsid w:val="00827412"/>
    <w:rsid w:val="008275B7"/>
    <w:rsid w:val="00830339"/>
    <w:rsid w:val="008322F7"/>
    <w:rsid w:val="008332DD"/>
    <w:rsid w:val="0083392D"/>
    <w:rsid w:val="00833B68"/>
    <w:rsid w:val="00833EB5"/>
    <w:rsid w:val="00835E44"/>
    <w:rsid w:val="00836294"/>
    <w:rsid w:val="008372B3"/>
    <w:rsid w:val="00837A59"/>
    <w:rsid w:val="008400B9"/>
    <w:rsid w:val="0084085E"/>
    <w:rsid w:val="00842957"/>
    <w:rsid w:val="0084320B"/>
    <w:rsid w:val="008432FC"/>
    <w:rsid w:val="00843330"/>
    <w:rsid w:val="00843D2F"/>
    <w:rsid w:val="00844517"/>
    <w:rsid w:val="008446FE"/>
    <w:rsid w:val="00844C0C"/>
    <w:rsid w:val="008452BB"/>
    <w:rsid w:val="00850769"/>
    <w:rsid w:val="0085533A"/>
    <w:rsid w:val="00856509"/>
    <w:rsid w:val="008572D1"/>
    <w:rsid w:val="00857347"/>
    <w:rsid w:val="008600DF"/>
    <w:rsid w:val="00860D72"/>
    <w:rsid w:val="00860E25"/>
    <w:rsid w:val="00860E50"/>
    <w:rsid w:val="00862B92"/>
    <w:rsid w:val="00864323"/>
    <w:rsid w:val="008646F5"/>
    <w:rsid w:val="008651A8"/>
    <w:rsid w:val="00865AA1"/>
    <w:rsid w:val="008672D1"/>
    <w:rsid w:val="00870A39"/>
    <w:rsid w:val="00871E79"/>
    <w:rsid w:val="00872D6D"/>
    <w:rsid w:val="00875827"/>
    <w:rsid w:val="00875856"/>
    <w:rsid w:val="00876021"/>
    <w:rsid w:val="00882DAA"/>
    <w:rsid w:val="0088522E"/>
    <w:rsid w:val="00885634"/>
    <w:rsid w:val="00885D0C"/>
    <w:rsid w:val="00885D19"/>
    <w:rsid w:val="008868EE"/>
    <w:rsid w:val="0089029A"/>
    <w:rsid w:val="00890713"/>
    <w:rsid w:val="00890FE6"/>
    <w:rsid w:val="00892423"/>
    <w:rsid w:val="00892ADF"/>
    <w:rsid w:val="00893282"/>
    <w:rsid w:val="008937F7"/>
    <w:rsid w:val="00893939"/>
    <w:rsid w:val="00893AD2"/>
    <w:rsid w:val="00893BD5"/>
    <w:rsid w:val="00893EE3"/>
    <w:rsid w:val="00894137"/>
    <w:rsid w:val="00895278"/>
    <w:rsid w:val="00895DD8"/>
    <w:rsid w:val="008961EE"/>
    <w:rsid w:val="00896E1A"/>
    <w:rsid w:val="00897398"/>
    <w:rsid w:val="008977F0"/>
    <w:rsid w:val="0089789E"/>
    <w:rsid w:val="008A0F64"/>
    <w:rsid w:val="008A25ED"/>
    <w:rsid w:val="008A34AA"/>
    <w:rsid w:val="008A38AB"/>
    <w:rsid w:val="008A60F3"/>
    <w:rsid w:val="008A6526"/>
    <w:rsid w:val="008A74B0"/>
    <w:rsid w:val="008B0C8D"/>
    <w:rsid w:val="008B1D17"/>
    <w:rsid w:val="008B20AA"/>
    <w:rsid w:val="008B372B"/>
    <w:rsid w:val="008B39CE"/>
    <w:rsid w:val="008B6824"/>
    <w:rsid w:val="008B7181"/>
    <w:rsid w:val="008B7A03"/>
    <w:rsid w:val="008B7CB4"/>
    <w:rsid w:val="008C0DBE"/>
    <w:rsid w:val="008C17A3"/>
    <w:rsid w:val="008C17F4"/>
    <w:rsid w:val="008C1D9F"/>
    <w:rsid w:val="008C2C95"/>
    <w:rsid w:val="008C2D0B"/>
    <w:rsid w:val="008C2D77"/>
    <w:rsid w:val="008C4612"/>
    <w:rsid w:val="008C508A"/>
    <w:rsid w:val="008C6252"/>
    <w:rsid w:val="008C654F"/>
    <w:rsid w:val="008C6E09"/>
    <w:rsid w:val="008C6E50"/>
    <w:rsid w:val="008D1AF7"/>
    <w:rsid w:val="008D2012"/>
    <w:rsid w:val="008D245F"/>
    <w:rsid w:val="008D28DD"/>
    <w:rsid w:val="008D3976"/>
    <w:rsid w:val="008D3B37"/>
    <w:rsid w:val="008D4245"/>
    <w:rsid w:val="008E2216"/>
    <w:rsid w:val="008E22DD"/>
    <w:rsid w:val="008E252E"/>
    <w:rsid w:val="008E26AF"/>
    <w:rsid w:val="008E31C8"/>
    <w:rsid w:val="008E31DD"/>
    <w:rsid w:val="008E339A"/>
    <w:rsid w:val="008E36B6"/>
    <w:rsid w:val="008E4779"/>
    <w:rsid w:val="008E4B91"/>
    <w:rsid w:val="008E4DDE"/>
    <w:rsid w:val="008E63CB"/>
    <w:rsid w:val="008E7B64"/>
    <w:rsid w:val="008E7C39"/>
    <w:rsid w:val="008F1089"/>
    <w:rsid w:val="008F208D"/>
    <w:rsid w:val="008F4166"/>
    <w:rsid w:val="008F485A"/>
    <w:rsid w:val="008F617B"/>
    <w:rsid w:val="008F6889"/>
    <w:rsid w:val="008F7856"/>
    <w:rsid w:val="008F79EF"/>
    <w:rsid w:val="008F7A68"/>
    <w:rsid w:val="008F7C6E"/>
    <w:rsid w:val="00900612"/>
    <w:rsid w:val="00900BD4"/>
    <w:rsid w:val="009010CB"/>
    <w:rsid w:val="00901189"/>
    <w:rsid w:val="009014BB"/>
    <w:rsid w:val="00901532"/>
    <w:rsid w:val="00902C59"/>
    <w:rsid w:val="00903097"/>
    <w:rsid w:val="00905111"/>
    <w:rsid w:val="009057FA"/>
    <w:rsid w:val="00906149"/>
    <w:rsid w:val="00906F88"/>
    <w:rsid w:val="00910940"/>
    <w:rsid w:val="00912546"/>
    <w:rsid w:val="009125B5"/>
    <w:rsid w:val="0091330A"/>
    <w:rsid w:val="00913C7B"/>
    <w:rsid w:val="0091446C"/>
    <w:rsid w:val="00914DE2"/>
    <w:rsid w:val="009158BC"/>
    <w:rsid w:val="009163C4"/>
    <w:rsid w:val="009165ED"/>
    <w:rsid w:val="00916619"/>
    <w:rsid w:val="00917893"/>
    <w:rsid w:val="00921DCA"/>
    <w:rsid w:val="009224F5"/>
    <w:rsid w:val="00922C21"/>
    <w:rsid w:val="00923AE7"/>
    <w:rsid w:val="00923BA4"/>
    <w:rsid w:val="00924234"/>
    <w:rsid w:val="00924579"/>
    <w:rsid w:val="00924D1B"/>
    <w:rsid w:val="0092546B"/>
    <w:rsid w:val="00932513"/>
    <w:rsid w:val="00932EF7"/>
    <w:rsid w:val="00934BE6"/>
    <w:rsid w:val="00934EC4"/>
    <w:rsid w:val="00935355"/>
    <w:rsid w:val="0093560C"/>
    <w:rsid w:val="00936426"/>
    <w:rsid w:val="00936733"/>
    <w:rsid w:val="00937243"/>
    <w:rsid w:val="009373BE"/>
    <w:rsid w:val="00941649"/>
    <w:rsid w:val="00941B1A"/>
    <w:rsid w:val="00942B11"/>
    <w:rsid w:val="009434F6"/>
    <w:rsid w:val="009438A8"/>
    <w:rsid w:val="00943B62"/>
    <w:rsid w:val="00943DE4"/>
    <w:rsid w:val="0094482D"/>
    <w:rsid w:val="00944BB8"/>
    <w:rsid w:val="009451F4"/>
    <w:rsid w:val="009455CC"/>
    <w:rsid w:val="00946534"/>
    <w:rsid w:val="00947379"/>
    <w:rsid w:val="00947D91"/>
    <w:rsid w:val="00947DB1"/>
    <w:rsid w:val="00950DE0"/>
    <w:rsid w:val="00952B02"/>
    <w:rsid w:val="00953B15"/>
    <w:rsid w:val="00953CFA"/>
    <w:rsid w:val="00953ED7"/>
    <w:rsid w:val="009543EE"/>
    <w:rsid w:val="00954E8C"/>
    <w:rsid w:val="00961459"/>
    <w:rsid w:val="00961502"/>
    <w:rsid w:val="00961E25"/>
    <w:rsid w:val="009621BF"/>
    <w:rsid w:val="00963350"/>
    <w:rsid w:val="00963AB5"/>
    <w:rsid w:val="00963DD2"/>
    <w:rsid w:val="00964774"/>
    <w:rsid w:val="00964F65"/>
    <w:rsid w:val="00965891"/>
    <w:rsid w:val="00965C0E"/>
    <w:rsid w:val="00966E7C"/>
    <w:rsid w:val="00967F14"/>
    <w:rsid w:val="00970392"/>
    <w:rsid w:val="00970E4E"/>
    <w:rsid w:val="00971D26"/>
    <w:rsid w:val="009725C8"/>
    <w:rsid w:val="00973503"/>
    <w:rsid w:val="00973B85"/>
    <w:rsid w:val="0097445D"/>
    <w:rsid w:val="00974C42"/>
    <w:rsid w:val="0097517E"/>
    <w:rsid w:val="00976CAD"/>
    <w:rsid w:val="00977548"/>
    <w:rsid w:val="0097770C"/>
    <w:rsid w:val="009805A1"/>
    <w:rsid w:val="009816E4"/>
    <w:rsid w:val="00981C82"/>
    <w:rsid w:val="00982C96"/>
    <w:rsid w:val="00982D1E"/>
    <w:rsid w:val="00983748"/>
    <w:rsid w:val="00984330"/>
    <w:rsid w:val="00984BB2"/>
    <w:rsid w:val="00984EAA"/>
    <w:rsid w:val="00985758"/>
    <w:rsid w:val="00985C16"/>
    <w:rsid w:val="00985C5E"/>
    <w:rsid w:val="00987648"/>
    <w:rsid w:val="00990455"/>
    <w:rsid w:val="00990947"/>
    <w:rsid w:val="00991315"/>
    <w:rsid w:val="00991D31"/>
    <w:rsid w:val="00993C0B"/>
    <w:rsid w:val="00993CD6"/>
    <w:rsid w:val="009946C1"/>
    <w:rsid w:val="00995F40"/>
    <w:rsid w:val="00995FA5"/>
    <w:rsid w:val="00996D4F"/>
    <w:rsid w:val="00997A4D"/>
    <w:rsid w:val="009A0E6E"/>
    <w:rsid w:val="009A1819"/>
    <w:rsid w:val="009A1DF2"/>
    <w:rsid w:val="009A2915"/>
    <w:rsid w:val="009A2C7E"/>
    <w:rsid w:val="009A6149"/>
    <w:rsid w:val="009A67E1"/>
    <w:rsid w:val="009A6E22"/>
    <w:rsid w:val="009B0086"/>
    <w:rsid w:val="009B1351"/>
    <w:rsid w:val="009B23C3"/>
    <w:rsid w:val="009B2429"/>
    <w:rsid w:val="009B2569"/>
    <w:rsid w:val="009B30D7"/>
    <w:rsid w:val="009B3130"/>
    <w:rsid w:val="009B33E7"/>
    <w:rsid w:val="009B3EF3"/>
    <w:rsid w:val="009B3FDD"/>
    <w:rsid w:val="009B43D6"/>
    <w:rsid w:val="009B51E4"/>
    <w:rsid w:val="009B5AF5"/>
    <w:rsid w:val="009B6436"/>
    <w:rsid w:val="009B6C3A"/>
    <w:rsid w:val="009B726B"/>
    <w:rsid w:val="009C1700"/>
    <w:rsid w:val="009C1E63"/>
    <w:rsid w:val="009C1FC3"/>
    <w:rsid w:val="009C2076"/>
    <w:rsid w:val="009C24AD"/>
    <w:rsid w:val="009C3D1C"/>
    <w:rsid w:val="009C3F48"/>
    <w:rsid w:val="009C421C"/>
    <w:rsid w:val="009C5A53"/>
    <w:rsid w:val="009C5B58"/>
    <w:rsid w:val="009C6638"/>
    <w:rsid w:val="009D1323"/>
    <w:rsid w:val="009D1D95"/>
    <w:rsid w:val="009D24A5"/>
    <w:rsid w:val="009D2B42"/>
    <w:rsid w:val="009D30C5"/>
    <w:rsid w:val="009D3B55"/>
    <w:rsid w:val="009D42E8"/>
    <w:rsid w:val="009D529E"/>
    <w:rsid w:val="009D54DD"/>
    <w:rsid w:val="009D5C29"/>
    <w:rsid w:val="009D7D1D"/>
    <w:rsid w:val="009E001E"/>
    <w:rsid w:val="009E02BB"/>
    <w:rsid w:val="009E04AB"/>
    <w:rsid w:val="009E112B"/>
    <w:rsid w:val="009E20E6"/>
    <w:rsid w:val="009E2440"/>
    <w:rsid w:val="009E2A57"/>
    <w:rsid w:val="009E4B4A"/>
    <w:rsid w:val="009E5BB8"/>
    <w:rsid w:val="009F0111"/>
    <w:rsid w:val="009F10CC"/>
    <w:rsid w:val="009F1D45"/>
    <w:rsid w:val="009F3AF4"/>
    <w:rsid w:val="009F44C0"/>
    <w:rsid w:val="009F452E"/>
    <w:rsid w:val="009F4848"/>
    <w:rsid w:val="009F48FB"/>
    <w:rsid w:val="009F6003"/>
    <w:rsid w:val="009F67E4"/>
    <w:rsid w:val="009F7166"/>
    <w:rsid w:val="00A005E9"/>
    <w:rsid w:val="00A007F2"/>
    <w:rsid w:val="00A0089E"/>
    <w:rsid w:val="00A0243A"/>
    <w:rsid w:val="00A04956"/>
    <w:rsid w:val="00A05AB1"/>
    <w:rsid w:val="00A05DEF"/>
    <w:rsid w:val="00A06C55"/>
    <w:rsid w:val="00A0768E"/>
    <w:rsid w:val="00A104AB"/>
    <w:rsid w:val="00A11474"/>
    <w:rsid w:val="00A12407"/>
    <w:rsid w:val="00A127F7"/>
    <w:rsid w:val="00A13371"/>
    <w:rsid w:val="00A13D92"/>
    <w:rsid w:val="00A1421E"/>
    <w:rsid w:val="00A15634"/>
    <w:rsid w:val="00A158E0"/>
    <w:rsid w:val="00A15C76"/>
    <w:rsid w:val="00A16730"/>
    <w:rsid w:val="00A17231"/>
    <w:rsid w:val="00A17B41"/>
    <w:rsid w:val="00A208D0"/>
    <w:rsid w:val="00A21872"/>
    <w:rsid w:val="00A22568"/>
    <w:rsid w:val="00A228AE"/>
    <w:rsid w:val="00A23750"/>
    <w:rsid w:val="00A23BDD"/>
    <w:rsid w:val="00A24179"/>
    <w:rsid w:val="00A2418D"/>
    <w:rsid w:val="00A24957"/>
    <w:rsid w:val="00A25F93"/>
    <w:rsid w:val="00A26C29"/>
    <w:rsid w:val="00A27CA3"/>
    <w:rsid w:val="00A3014D"/>
    <w:rsid w:val="00A302B8"/>
    <w:rsid w:val="00A30CBA"/>
    <w:rsid w:val="00A31CEE"/>
    <w:rsid w:val="00A332BF"/>
    <w:rsid w:val="00A3472C"/>
    <w:rsid w:val="00A35FDD"/>
    <w:rsid w:val="00A36846"/>
    <w:rsid w:val="00A4176C"/>
    <w:rsid w:val="00A42300"/>
    <w:rsid w:val="00A42568"/>
    <w:rsid w:val="00A42E31"/>
    <w:rsid w:val="00A43507"/>
    <w:rsid w:val="00A440D7"/>
    <w:rsid w:val="00A44366"/>
    <w:rsid w:val="00A4540A"/>
    <w:rsid w:val="00A47817"/>
    <w:rsid w:val="00A47F65"/>
    <w:rsid w:val="00A50B48"/>
    <w:rsid w:val="00A50F18"/>
    <w:rsid w:val="00A51CCD"/>
    <w:rsid w:val="00A52949"/>
    <w:rsid w:val="00A52995"/>
    <w:rsid w:val="00A5424F"/>
    <w:rsid w:val="00A54A86"/>
    <w:rsid w:val="00A551E2"/>
    <w:rsid w:val="00A56A82"/>
    <w:rsid w:val="00A56BE6"/>
    <w:rsid w:val="00A56C6E"/>
    <w:rsid w:val="00A60D5C"/>
    <w:rsid w:val="00A61240"/>
    <w:rsid w:val="00A61A84"/>
    <w:rsid w:val="00A646B7"/>
    <w:rsid w:val="00A646C6"/>
    <w:rsid w:val="00A648F9"/>
    <w:rsid w:val="00A65332"/>
    <w:rsid w:val="00A656AC"/>
    <w:rsid w:val="00A66174"/>
    <w:rsid w:val="00A662DE"/>
    <w:rsid w:val="00A66375"/>
    <w:rsid w:val="00A67A86"/>
    <w:rsid w:val="00A67D34"/>
    <w:rsid w:val="00A71944"/>
    <w:rsid w:val="00A71B18"/>
    <w:rsid w:val="00A722FD"/>
    <w:rsid w:val="00A7254E"/>
    <w:rsid w:val="00A72660"/>
    <w:rsid w:val="00A72F32"/>
    <w:rsid w:val="00A73342"/>
    <w:rsid w:val="00A737F4"/>
    <w:rsid w:val="00A73A04"/>
    <w:rsid w:val="00A73F6B"/>
    <w:rsid w:val="00A7561D"/>
    <w:rsid w:val="00A759A9"/>
    <w:rsid w:val="00A75A46"/>
    <w:rsid w:val="00A76C85"/>
    <w:rsid w:val="00A81D43"/>
    <w:rsid w:val="00A82A89"/>
    <w:rsid w:val="00A84CEC"/>
    <w:rsid w:val="00A84F85"/>
    <w:rsid w:val="00A85028"/>
    <w:rsid w:val="00A8559D"/>
    <w:rsid w:val="00A86049"/>
    <w:rsid w:val="00A868E2"/>
    <w:rsid w:val="00A86A49"/>
    <w:rsid w:val="00A8700C"/>
    <w:rsid w:val="00A9082F"/>
    <w:rsid w:val="00A916A4"/>
    <w:rsid w:val="00A92ABA"/>
    <w:rsid w:val="00A934B5"/>
    <w:rsid w:val="00A94370"/>
    <w:rsid w:val="00A946B4"/>
    <w:rsid w:val="00A94A4A"/>
    <w:rsid w:val="00A94E7C"/>
    <w:rsid w:val="00A95141"/>
    <w:rsid w:val="00A9533A"/>
    <w:rsid w:val="00A95966"/>
    <w:rsid w:val="00A9596F"/>
    <w:rsid w:val="00A95AFE"/>
    <w:rsid w:val="00A96248"/>
    <w:rsid w:val="00AA07CE"/>
    <w:rsid w:val="00AA1D15"/>
    <w:rsid w:val="00AA2CBB"/>
    <w:rsid w:val="00AA4C29"/>
    <w:rsid w:val="00AA6805"/>
    <w:rsid w:val="00AA6C92"/>
    <w:rsid w:val="00AA6FC4"/>
    <w:rsid w:val="00AA733B"/>
    <w:rsid w:val="00AA7B19"/>
    <w:rsid w:val="00AB039C"/>
    <w:rsid w:val="00AB1830"/>
    <w:rsid w:val="00AB202E"/>
    <w:rsid w:val="00AB257C"/>
    <w:rsid w:val="00AB2AEB"/>
    <w:rsid w:val="00AB3495"/>
    <w:rsid w:val="00AB5986"/>
    <w:rsid w:val="00AB5C72"/>
    <w:rsid w:val="00AB621E"/>
    <w:rsid w:val="00AB62F2"/>
    <w:rsid w:val="00AB7FFD"/>
    <w:rsid w:val="00AC042A"/>
    <w:rsid w:val="00AC1F06"/>
    <w:rsid w:val="00AC35DA"/>
    <w:rsid w:val="00AC3E0F"/>
    <w:rsid w:val="00AC3E17"/>
    <w:rsid w:val="00AC5A27"/>
    <w:rsid w:val="00AC5B9F"/>
    <w:rsid w:val="00AC6111"/>
    <w:rsid w:val="00AC6123"/>
    <w:rsid w:val="00AC6BE7"/>
    <w:rsid w:val="00AC7AD3"/>
    <w:rsid w:val="00AD05B2"/>
    <w:rsid w:val="00AD16EF"/>
    <w:rsid w:val="00AD17F9"/>
    <w:rsid w:val="00AD1A46"/>
    <w:rsid w:val="00AD261F"/>
    <w:rsid w:val="00AD31C3"/>
    <w:rsid w:val="00AD323C"/>
    <w:rsid w:val="00AD3B9A"/>
    <w:rsid w:val="00AD488E"/>
    <w:rsid w:val="00AD6937"/>
    <w:rsid w:val="00AD6CCB"/>
    <w:rsid w:val="00AE0655"/>
    <w:rsid w:val="00AE07AD"/>
    <w:rsid w:val="00AE1B12"/>
    <w:rsid w:val="00AE3819"/>
    <w:rsid w:val="00AE3964"/>
    <w:rsid w:val="00AE4BF0"/>
    <w:rsid w:val="00AF0A2F"/>
    <w:rsid w:val="00AF2D7A"/>
    <w:rsid w:val="00AF34E9"/>
    <w:rsid w:val="00AF418F"/>
    <w:rsid w:val="00AF501D"/>
    <w:rsid w:val="00AF5731"/>
    <w:rsid w:val="00AF60F6"/>
    <w:rsid w:val="00B00710"/>
    <w:rsid w:val="00B00FA6"/>
    <w:rsid w:val="00B01D63"/>
    <w:rsid w:val="00B0213C"/>
    <w:rsid w:val="00B03004"/>
    <w:rsid w:val="00B035ED"/>
    <w:rsid w:val="00B062D4"/>
    <w:rsid w:val="00B06E71"/>
    <w:rsid w:val="00B075E0"/>
    <w:rsid w:val="00B10E4B"/>
    <w:rsid w:val="00B112C4"/>
    <w:rsid w:val="00B11CD9"/>
    <w:rsid w:val="00B127FB"/>
    <w:rsid w:val="00B129AD"/>
    <w:rsid w:val="00B14A7B"/>
    <w:rsid w:val="00B14F53"/>
    <w:rsid w:val="00B15E16"/>
    <w:rsid w:val="00B161B7"/>
    <w:rsid w:val="00B169C6"/>
    <w:rsid w:val="00B16F1E"/>
    <w:rsid w:val="00B1799D"/>
    <w:rsid w:val="00B17D31"/>
    <w:rsid w:val="00B17F4D"/>
    <w:rsid w:val="00B20A56"/>
    <w:rsid w:val="00B20E32"/>
    <w:rsid w:val="00B22372"/>
    <w:rsid w:val="00B22E31"/>
    <w:rsid w:val="00B23288"/>
    <w:rsid w:val="00B25C94"/>
    <w:rsid w:val="00B26066"/>
    <w:rsid w:val="00B260EF"/>
    <w:rsid w:val="00B26538"/>
    <w:rsid w:val="00B26564"/>
    <w:rsid w:val="00B27614"/>
    <w:rsid w:val="00B30D06"/>
    <w:rsid w:val="00B32405"/>
    <w:rsid w:val="00B33409"/>
    <w:rsid w:val="00B35D10"/>
    <w:rsid w:val="00B3606E"/>
    <w:rsid w:val="00B377EE"/>
    <w:rsid w:val="00B37C34"/>
    <w:rsid w:val="00B405FC"/>
    <w:rsid w:val="00B40BC0"/>
    <w:rsid w:val="00B41676"/>
    <w:rsid w:val="00B41700"/>
    <w:rsid w:val="00B503A1"/>
    <w:rsid w:val="00B54539"/>
    <w:rsid w:val="00B546A7"/>
    <w:rsid w:val="00B62DE8"/>
    <w:rsid w:val="00B62F2D"/>
    <w:rsid w:val="00B63DCD"/>
    <w:rsid w:val="00B64754"/>
    <w:rsid w:val="00B64FED"/>
    <w:rsid w:val="00B658E1"/>
    <w:rsid w:val="00B65CB1"/>
    <w:rsid w:val="00B65E49"/>
    <w:rsid w:val="00B66C47"/>
    <w:rsid w:val="00B678AE"/>
    <w:rsid w:val="00B72428"/>
    <w:rsid w:val="00B734A4"/>
    <w:rsid w:val="00B7373D"/>
    <w:rsid w:val="00B73B5E"/>
    <w:rsid w:val="00B7481B"/>
    <w:rsid w:val="00B7575B"/>
    <w:rsid w:val="00B75E88"/>
    <w:rsid w:val="00B76583"/>
    <w:rsid w:val="00B7686B"/>
    <w:rsid w:val="00B76B6D"/>
    <w:rsid w:val="00B81723"/>
    <w:rsid w:val="00B818D8"/>
    <w:rsid w:val="00B82283"/>
    <w:rsid w:val="00B8309A"/>
    <w:rsid w:val="00B83A12"/>
    <w:rsid w:val="00B8531E"/>
    <w:rsid w:val="00B85CE5"/>
    <w:rsid w:val="00B86123"/>
    <w:rsid w:val="00B877AE"/>
    <w:rsid w:val="00B90BA8"/>
    <w:rsid w:val="00B91688"/>
    <w:rsid w:val="00B9260B"/>
    <w:rsid w:val="00B92E98"/>
    <w:rsid w:val="00B93AE7"/>
    <w:rsid w:val="00B94D20"/>
    <w:rsid w:val="00B951F4"/>
    <w:rsid w:val="00B95352"/>
    <w:rsid w:val="00B95B43"/>
    <w:rsid w:val="00B95B92"/>
    <w:rsid w:val="00B96EF2"/>
    <w:rsid w:val="00B97008"/>
    <w:rsid w:val="00BA025C"/>
    <w:rsid w:val="00BA05C3"/>
    <w:rsid w:val="00BA1AB3"/>
    <w:rsid w:val="00BA2BCB"/>
    <w:rsid w:val="00BA2D15"/>
    <w:rsid w:val="00BA3190"/>
    <w:rsid w:val="00BA5A88"/>
    <w:rsid w:val="00BA5D5F"/>
    <w:rsid w:val="00BA5D76"/>
    <w:rsid w:val="00BA6EE8"/>
    <w:rsid w:val="00BA78AE"/>
    <w:rsid w:val="00BA7AE8"/>
    <w:rsid w:val="00BB0F72"/>
    <w:rsid w:val="00BB1611"/>
    <w:rsid w:val="00BB1893"/>
    <w:rsid w:val="00BB694B"/>
    <w:rsid w:val="00BB6BD3"/>
    <w:rsid w:val="00BB6E0A"/>
    <w:rsid w:val="00BB7B65"/>
    <w:rsid w:val="00BB7F10"/>
    <w:rsid w:val="00BC30A4"/>
    <w:rsid w:val="00BC42F2"/>
    <w:rsid w:val="00BC6253"/>
    <w:rsid w:val="00BC6E42"/>
    <w:rsid w:val="00BC74C9"/>
    <w:rsid w:val="00BC7D90"/>
    <w:rsid w:val="00BD003A"/>
    <w:rsid w:val="00BD0A78"/>
    <w:rsid w:val="00BD2DA9"/>
    <w:rsid w:val="00BD2F15"/>
    <w:rsid w:val="00BD317C"/>
    <w:rsid w:val="00BD4012"/>
    <w:rsid w:val="00BD4C7C"/>
    <w:rsid w:val="00BD56EA"/>
    <w:rsid w:val="00BD571A"/>
    <w:rsid w:val="00BD5CBD"/>
    <w:rsid w:val="00BD63F8"/>
    <w:rsid w:val="00BD6CAF"/>
    <w:rsid w:val="00BD7644"/>
    <w:rsid w:val="00BD7E31"/>
    <w:rsid w:val="00BE0C6B"/>
    <w:rsid w:val="00BE153E"/>
    <w:rsid w:val="00BE15F2"/>
    <w:rsid w:val="00BE261A"/>
    <w:rsid w:val="00BE284B"/>
    <w:rsid w:val="00BE287B"/>
    <w:rsid w:val="00BE505A"/>
    <w:rsid w:val="00BE7807"/>
    <w:rsid w:val="00BF13CF"/>
    <w:rsid w:val="00BF1AF8"/>
    <w:rsid w:val="00BF1B17"/>
    <w:rsid w:val="00BF236B"/>
    <w:rsid w:val="00BF25F9"/>
    <w:rsid w:val="00BF2EC3"/>
    <w:rsid w:val="00BF34E0"/>
    <w:rsid w:val="00BF394C"/>
    <w:rsid w:val="00BF3950"/>
    <w:rsid w:val="00BF446B"/>
    <w:rsid w:val="00BF4FCC"/>
    <w:rsid w:val="00BF79CD"/>
    <w:rsid w:val="00C00466"/>
    <w:rsid w:val="00C01643"/>
    <w:rsid w:val="00C0345E"/>
    <w:rsid w:val="00C038A5"/>
    <w:rsid w:val="00C04333"/>
    <w:rsid w:val="00C04505"/>
    <w:rsid w:val="00C05496"/>
    <w:rsid w:val="00C059B6"/>
    <w:rsid w:val="00C05A89"/>
    <w:rsid w:val="00C13311"/>
    <w:rsid w:val="00C136E6"/>
    <w:rsid w:val="00C13D8D"/>
    <w:rsid w:val="00C144C8"/>
    <w:rsid w:val="00C15A9A"/>
    <w:rsid w:val="00C15AAA"/>
    <w:rsid w:val="00C168DB"/>
    <w:rsid w:val="00C16CFB"/>
    <w:rsid w:val="00C22309"/>
    <w:rsid w:val="00C2241D"/>
    <w:rsid w:val="00C229E0"/>
    <w:rsid w:val="00C23BB2"/>
    <w:rsid w:val="00C2696C"/>
    <w:rsid w:val="00C27D3C"/>
    <w:rsid w:val="00C33A1C"/>
    <w:rsid w:val="00C34369"/>
    <w:rsid w:val="00C37220"/>
    <w:rsid w:val="00C378F1"/>
    <w:rsid w:val="00C37A2B"/>
    <w:rsid w:val="00C37AB3"/>
    <w:rsid w:val="00C41960"/>
    <w:rsid w:val="00C41AF2"/>
    <w:rsid w:val="00C41CA4"/>
    <w:rsid w:val="00C42CC2"/>
    <w:rsid w:val="00C43269"/>
    <w:rsid w:val="00C43A7F"/>
    <w:rsid w:val="00C43F2E"/>
    <w:rsid w:val="00C45538"/>
    <w:rsid w:val="00C45AC0"/>
    <w:rsid w:val="00C45FC0"/>
    <w:rsid w:val="00C462AC"/>
    <w:rsid w:val="00C466DC"/>
    <w:rsid w:val="00C51B5D"/>
    <w:rsid w:val="00C51DE5"/>
    <w:rsid w:val="00C523A6"/>
    <w:rsid w:val="00C53119"/>
    <w:rsid w:val="00C53DC6"/>
    <w:rsid w:val="00C54FB9"/>
    <w:rsid w:val="00C55542"/>
    <w:rsid w:val="00C57553"/>
    <w:rsid w:val="00C602D7"/>
    <w:rsid w:val="00C61305"/>
    <w:rsid w:val="00C614D4"/>
    <w:rsid w:val="00C62404"/>
    <w:rsid w:val="00C626EC"/>
    <w:rsid w:val="00C64881"/>
    <w:rsid w:val="00C656AE"/>
    <w:rsid w:val="00C65C7B"/>
    <w:rsid w:val="00C66780"/>
    <w:rsid w:val="00C6711A"/>
    <w:rsid w:val="00C674EC"/>
    <w:rsid w:val="00C711EC"/>
    <w:rsid w:val="00C7136A"/>
    <w:rsid w:val="00C714FA"/>
    <w:rsid w:val="00C71602"/>
    <w:rsid w:val="00C71A7C"/>
    <w:rsid w:val="00C72130"/>
    <w:rsid w:val="00C7226D"/>
    <w:rsid w:val="00C73E6D"/>
    <w:rsid w:val="00C74078"/>
    <w:rsid w:val="00C758B5"/>
    <w:rsid w:val="00C75E2D"/>
    <w:rsid w:val="00C7614F"/>
    <w:rsid w:val="00C76273"/>
    <w:rsid w:val="00C76560"/>
    <w:rsid w:val="00C7673C"/>
    <w:rsid w:val="00C7686A"/>
    <w:rsid w:val="00C76DE9"/>
    <w:rsid w:val="00C76E90"/>
    <w:rsid w:val="00C7749D"/>
    <w:rsid w:val="00C777D3"/>
    <w:rsid w:val="00C81973"/>
    <w:rsid w:val="00C82CE3"/>
    <w:rsid w:val="00C83021"/>
    <w:rsid w:val="00C855E6"/>
    <w:rsid w:val="00C86DB6"/>
    <w:rsid w:val="00C86E29"/>
    <w:rsid w:val="00C87E34"/>
    <w:rsid w:val="00C9025C"/>
    <w:rsid w:val="00C91E59"/>
    <w:rsid w:val="00C92E01"/>
    <w:rsid w:val="00C92E93"/>
    <w:rsid w:val="00C94AB2"/>
    <w:rsid w:val="00C94C99"/>
    <w:rsid w:val="00C9606B"/>
    <w:rsid w:val="00C97E2D"/>
    <w:rsid w:val="00CA1407"/>
    <w:rsid w:val="00CA18D6"/>
    <w:rsid w:val="00CA2952"/>
    <w:rsid w:val="00CA325A"/>
    <w:rsid w:val="00CA34CA"/>
    <w:rsid w:val="00CA5759"/>
    <w:rsid w:val="00CA5BB7"/>
    <w:rsid w:val="00CA67D4"/>
    <w:rsid w:val="00CA6A16"/>
    <w:rsid w:val="00CA6DDE"/>
    <w:rsid w:val="00CA779F"/>
    <w:rsid w:val="00CA77DF"/>
    <w:rsid w:val="00CA7888"/>
    <w:rsid w:val="00CB0244"/>
    <w:rsid w:val="00CB0283"/>
    <w:rsid w:val="00CB0B83"/>
    <w:rsid w:val="00CB102C"/>
    <w:rsid w:val="00CB1C91"/>
    <w:rsid w:val="00CB3A7D"/>
    <w:rsid w:val="00CB3B5A"/>
    <w:rsid w:val="00CB4CD5"/>
    <w:rsid w:val="00CB6117"/>
    <w:rsid w:val="00CB630B"/>
    <w:rsid w:val="00CB6878"/>
    <w:rsid w:val="00CC07BE"/>
    <w:rsid w:val="00CC0AA9"/>
    <w:rsid w:val="00CC26C6"/>
    <w:rsid w:val="00CC28F3"/>
    <w:rsid w:val="00CC2D1A"/>
    <w:rsid w:val="00CC41EB"/>
    <w:rsid w:val="00CC6F25"/>
    <w:rsid w:val="00CC706E"/>
    <w:rsid w:val="00CD11E2"/>
    <w:rsid w:val="00CD18F1"/>
    <w:rsid w:val="00CD2AE6"/>
    <w:rsid w:val="00CD3011"/>
    <w:rsid w:val="00CD3014"/>
    <w:rsid w:val="00CD3056"/>
    <w:rsid w:val="00CD4B69"/>
    <w:rsid w:val="00CD5C49"/>
    <w:rsid w:val="00CD7FBD"/>
    <w:rsid w:val="00CE0AB0"/>
    <w:rsid w:val="00CE14FE"/>
    <w:rsid w:val="00CE2137"/>
    <w:rsid w:val="00CE24B5"/>
    <w:rsid w:val="00CE36AA"/>
    <w:rsid w:val="00CE382D"/>
    <w:rsid w:val="00CE3AF5"/>
    <w:rsid w:val="00CE4C78"/>
    <w:rsid w:val="00CE4EFC"/>
    <w:rsid w:val="00CF058B"/>
    <w:rsid w:val="00CF0733"/>
    <w:rsid w:val="00CF0D49"/>
    <w:rsid w:val="00CF282B"/>
    <w:rsid w:val="00CF5055"/>
    <w:rsid w:val="00CF715C"/>
    <w:rsid w:val="00CF7322"/>
    <w:rsid w:val="00D0010E"/>
    <w:rsid w:val="00D00687"/>
    <w:rsid w:val="00D00F45"/>
    <w:rsid w:val="00D00FC4"/>
    <w:rsid w:val="00D01AC5"/>
    <w:rsid w:val="00D02DFE"/>
    <w:rsid w:val="00D031AD"/>
    <w:rsid w:val="00D03C8E"/>
    <w:rsid w:val="00D04A8E"/>
    <w:rsid w:val="00D063F6"/>
    <w:rsid w:val="00D06B79"/>
    <w:rsid w:val="00D06D5A"/>
    <w:rsid w:val="00D0799D"/>
    <w:rsid w:val="00D1089B"/>
    <w:rsid w:val="00D10B1E"/>
    <w:rsid w:val="00D126AA"/>
    <w:rsid w:val="00D13D16"/>
    <w:rsid w:val="00D14056"/>
    <w:rsid w:val="00D155BA"/>
    <w:rsid w:val="00D15819"/>
    <w:rsid w:val="00D15B3C"/>
    <w:rsid w:val="00D16600"/>
    <w:rsid w:val="00D177CB"/>
    <w:rsid w:val="00D2021F"/>
    <w:rsid w:val="00D23AAF"/>
    <w:rsid w:val="00D245EB"/>
    <w:rsid w:val="00D249F2"/>
    <w:rsid w:val="00D26305"/>
    <w:rsid w:val="00D26E74"/>
    <w:rsid w:val="00D312D4"/>
    <w:rsid w:val="00D329A9"/>
    <w:rsid w:val="00D32E5E"/>
    <w:rsid w:val="00D33A36"/>
    <w:rsid w:val="00D34DC0"/>
    <w:rsid w:val="00D400AA"/>
    <w:rsid w:val="00D402FC"/>
    <w:rsid w:val="00D406B0"/>
    <w:rsid w:val="00D4227C"/>
    <w:rsid w:val="00D42BF0"/>
    <w:rsid w:val="00D42C68"/>
    <w:rsid w:val="00D434D2"/>
    <w:rsid w:val="00D43E2F"/>
    <w:rsid w:val="00D45A12"/>
    <w:rsid w:val="00D470A3"/>
    <w:rsid w:val="00D50A3D"/>
    <w:rsid w:val="00D50D1D"/>
    <w:rsid w:val="00D513DF"/>
    <w:rsid w:val="00D5298B"/>
    <w:rsid w:val="00D535DB"/>
    <w:rsid w:val="00D5377E"/>
    <w:rsid w:val="00D54129"/>
    <w:rsid w:val="00D544E8"/>
    <w:rsid w:val="00D55853"/>
    <w:rsid w:val="00D559B4"/>
    <w:rsid w:val="00D56E97"/>
    <w:rsid w:val="00D570F9"/>
    <w:rsid w:val="00D5795D"/>
    <w:rsid w:val="00D60A77"/>
    <w:rsid w:val="00D613C8"/>
    <w:rsid w:val="00D61686"/>
    <w:rsid w:val="00D63119"/>
    <w:rsid w:val="00D63675"/>
    <w:rsid w:val="00D63D92"/>
    <w:rsid w:val="00D641EA"/>
    <w:rsid w:val="00D64C93"/>
    <w:rsid w:val="00D65B9A"/>
    <w:rsid w:val="00D66E64"/>
    <w:rsid w:val="00D6701C"/>
    <w:rsid w:val="00D672A2"/>
    <w:rsid w:val="00D67447"/>
    <w:rsid w:val="00D674E0"/>
    <w:rsid w:val="00D67D51"/>
    <w:rsid w:val="00D70B42"/>
    <w:rsid w:val="00D721C0"/>
    <w:rsid w:val="00D7243C"/>
    <w:rsid w:val="00D766AB"/>
    <w:rsid w:val="00D7792C"/>
    <w:rsid w:val="00D80341"/>
    <w:rsid w:val="00D8088A"/>
    <w:rsid w:val="00D829B5"/>
    <w:rsid w:val="00D82FAF"/>
    <w:rsid w:val="00D830C4"/>
    <w:rsid w:val="00D837A8"/>
    <w:rsid w:val="00D8455F"/>
    <w:rsid w:val="00D84C4A"/>
    <w:rsid w:val="00D850C9"/>
    <w:rsid w:val="00D872D9"/>
    <w:rsid w:val="00D9000A"/>
    <w:rsid w:val="00D91A6A"/>
    <w:rsid w:val="00D93383"/>
    <w:rsid w:val="00D9393A"/>
    <w:rsid w:val="00D968CA"/>
    <w:rsid w:val="00D96D85"/>
    <w:rsid w:val="00D9715E"/>
    <w:rsid w:val="00D979B7"/>
    <w:rsid w:val="00D97A66"/>
    <w:rsid w:val="00DA0A02"/>
    <w:rsid w:val="00DA0AD7"/>
    <w:rsid w:val="00DA1DAD"/>
    <w:rsid w:val="00DA282E"/>
    <w:rsid w:val="00DA32F2"/>
    <w:rsid w:val="00DA4490"/>
    <w:rsid w:val="00DA46BF"/>
    <w:rsid w:val="00DA4775"/>
    <w:rsid w:val="00DA6C75"/>
    <w:rsid w:val="00DA726A"/>
    <w:rsid w:val="00DA764E"/>
    <w:rsid w:val="00DB00CB"/>
    <w:rsid w:val="00DB0471"/>
    <w:rsid w:val="00DB0807"/>
    <w:rsid w:val="00DB0A5B"/>
    <w:rsid w:val="00DB1E70"/>
    <w:rsid w:val="00DB3357"/>
    <w:rsid w:val="00DB4284"/>
    <w:rsid w:val="00DB625F"/>
    <w:rsid w:val="00DB7229"/>
    <w:rsid w:val="00DC014C"/>
    <w:rsid w:val="00DC0405"/>
    <w:rsid w:val="00DC091F"/>
    <w:rsid w:val="00DC1D93"/>
    <w:rsid w:val="00DC2094"/>
    <w:rsid w:val="00DC3ED6"/>
    <w:rsid w:val="00DC5260"/>
    <w:rsid w:val="00DC549D"/>
    <w:rsid w:val="00DC56E7"/>
    <w:rsid w:val="00DC6D98"/>
    <w:rsid w:val="00DC717C"/>
    <w:rsid w:val="00DC77CA"/>
    <w:rsid w:val="00DC7D8A"/>
    <w:rsid w:val="00DD0735"/>
    <w:rsid w:val="00DD0C3E"/>
    <w:rsid w:val="00DD14DC"/>
    <w:rsid w:val="00DD2B14"/>
    <w:rsid w:val="00DD2EEC"/>
    <w:rsid w:val="00DD473D"/>
    <w:rsid w:val="00DD531F"/>
    <w:rsid w:val="00DD544B"/>
    <w:rsid w:val="00DD653A"/>
    <w:rsid w:val="00DD6811"/>
    <w:rsid w:val="00DD7BD2"/>
    <w:rsid w:val="00DD7BEF"/>
    <w:rsid w:val="00DE107D"/>
    <w:rsid w:val="00DE24A1"/>
    <w:rsid w:val="00DE3816"/>
    <w:rsid w:val="00DE4389"/>
    <w:rsid w:val="00DE4FB6"/>
    <w:rsid w:val="00DE7E48"/>
    <w:rsid w:val="00DF296A"/>
    <w:rsid w:val="00DF2ADB"/>
    <w:rsid w:val="00DF327C"/>
    <w:rsid w:val="00DF3B71"/>
    <w:rsid w:val="00DF47BE"/>
    <w:rsid w:val="00DF47D7"/>
    <w:rsid w:val="00DF4B59"/>
    <w:rsid w:val="00DF5714"/>
    <w:rsid w:val="00DF5EB2"/>
    <w:rsid w:val="00DF681E"/>
    <w:rsid w:val="00DF6836"/>
    <w:rsid w:val="00DF78CB"/>
    <w:rsid w:val="00E00A15"/>
    <w:rsid w:val="00E00A2B"/>
    <w:rsid w:val="00E00D87"/>
    <w:rsid w:val="00E013F1"/>
    <w:rsid w:val="00E027F3"/>
    <w:rsid w:val="00E0294F"/>
    <w:rsid w:val="00E032DD"/>
    <w:rsid w:val="00E03533"/>
    <w:rsid w:val="00E0362D"/>
    <w:rsid w:val="00E036AA"/>
    <w:rsid w:val="00E03A33"/>
    <w:rsid w:val="00E052C9"/>
    <w:rsid w:val="00E05674"/>
    <w:rsid w:val="00E06811"/>
    <w:rsid w:val="00E075E7"/>
    <w:rsid w:val="00E07CB8"/>
    <w:rsid w:val="00E07F02"/>
    <w:rsid w:val="00E10712"/>
    <w:rsid w:val="00E13763"/>
    <w:rsid w:val="00E17EC8"/>
    <w:rsid w:val="00E21102"/>
    <w:rsid w:val="00E211D9"/>
    <w:rsid w:val="00E214B8"/>
    <w:rsid w:val="00E236D4"/>
    <w:rsid w:val="00E23E58"/>
    <w:rsid w:val="00E24026"/>
    <w:rsid w:val="00E24C8A"/>
    <w:rsid w:val="00E264F9"/>
    <w:rsid w:val="00E26F04"/>
    <w:rsid w:val="00E27548"/>
    <w:rsid w:val="00E27C39"/>
    <w:rsid w:val="00E27C5B"/>
    <w:rsid w:val="00E33043"/>
    <w:rsid w:val="00E36B04"/>
    <w:rsid w:val="00E37886"/>
    <w:rsid w:val="00E37BD2"/>
    <w:rsid w:val="00E40F74"/>
    <w:rsid w:val="00E47905"/>
    <w:rsid w:val="00E4792B"/>
    <w:rsid w:val="00E511F2"/>
    <w:rsid w:val="00E51C41"/>
    <w:rsid w:val="00E52CFE"/>
    <w:rsid w:val="00E52E9E"/>
    <w:rsid w:val="00E5304A"/>
    <w:rsid w:val="00E53644"/>
    <w:rsid w:val="00E53AA7"/>
    <w:rsid w:val="00E544A1"/>
    <w:rsid w:val="00E5462B"/>
    <w:rsid w:val="00E55200"/>
    <w:rsid w:val="00E55275"/>
    <w:rsid w:val="00E5542F"/>
    <w:rsid w:val="00E567CB"/>
    <w:rsid w:val="00E57110"/>
    <w:rsid w:val="00E577D3"/>
    <w:rsid w:val="00E57928"/>
    <w:rsid w:val="00E60FC8"/>
    <w:rsid w:val="00E63BBC"/>
    <w:rsid w:val="00E6437E"/>
    <w:rsid w:val="00E643C6"/>
    <w:rsid w:val="00E65102"/>
    <w:rsid w:val="00E651A3"/>
    <w:rsid w:val="00E651DE"/>
    <w:rsid w:val="00E666C1"/>
    <w:rsid w:val="00E66C6F"/>
    <w:rsid w:val="00E702BA"/>
    <w:rsid w:val="00E70A5E"/>
    <w:rsid w:val="00E72307"/>
    <w:rsid w:val="00E72EB0"/>
    <w:rsid w:val="00E73397"/>
    <w:rsid w:val="00E73D9F"/>
    <w:rsid w:val="00E74B0A"/>
    <w:rsid w:val="00E75BCB"/>
    <w:rsid w:val="00E75CCF"/>
    <w:rsid w:val="00E76174"/>
    <w:rsid w:val="00E7627C"/>
    <w:rsid w:val="00E764C2"/>
    <w:rsid w:val="00E80144"/>
    <w:rsid w:val="00E80584"/>
    <w:rsid w:val="00E810FC"/>
    <w:rsid w:val="00E817A2"/>
    <w:rsid w:val="00E821D8"/>
    <w:rsid w:val="00E82487"/>
    <w:rsid w:val="00E82B03"/>
    <w:rsid w:val="00E83548"/>
    <w:rsid w:val="00E83CC8"/>
    <w:rsid w:val="00E84383"/>
    <w:rsid w:val="00E84728"/>
    <w:rsid w:val="00E84CB8"/>
    <w:rsid w:val="00E84EE0"/>
    <w:rsid w:val="00E8549C"/>
    <w:rsid w:val="00E8610D"/>
    <w:rsid w:val="00E8680C"/>
    <w:rsid w:val="00E8692E"/>
    <w:rsid w:val="00E90C78"/>
    <w:rsid w:val="00E9147A"/>
    <w:rsid w:val="00E91C99"/>
    <w:rsid w:val="00E91E27"/>
    <w:rsid w:val="00E92020"/>
    <w:rsid w:val="00E9281F"/>
    <w:rsid w:val="00E9440E"/>
    <w:rsid w:val="00E94945"/>
    <w:rsid w:val="00E94A60"/>
    <w:rsid w:val="00E95868"/>
    <w:rsid w:val="00E96583"/>
    <w:rsid w:val="00E97382"/>
    <w:rsid w:val="00E974A7"/>
    <w:rsid w:val="00E97567"/>
    <w:rsid w:val="00EA22D5"/>
    <w:rsid w:val="00EA33CB"/>
    <w:rsid w:val="00EA5D05"/>
    <w:rsid w:val="00EA5EA9"/>
    <w:rsid w:val="00EA6751"/>
    <w:rsid w:val="00EB083A"/>
    <w:rsid w:val="00EB084D"/>
    <w:rsid w:val="00EB408D"/>
    <w:rsid w:val="00EB42D1"/>
    <w:rsid w:val="00EB4482"/>
    <w:rsid w:val="00EB49A5"/>
    <w:rsid w:val="00EB5496"/>
    <w:rsid w:val="00EB5C55"/>
    <w:rsid w:val="00EB5D16"/>
    <w:rsid w:val="00EB5E9B"/>
    <w:rsid w:val="00EB6181"/>
    <w:rsid w:val="00EB7160"/>
    <w:rsid w:val="00EB7CE3"/>
    <w:rsid w:val="00EC248D"/>
    <w:rsid w:val="00EC309A"/>
    <w:rsid w:val="00EC4125"/>
    <w:rsid w:val="00EC4648"/>
    <w:rsid w:val="00EC4B3B"/>
    <w:rsid w:val="00EC7A05"/>
    <w:rsid w:val="00ED17DF"/>
    <w:rsid w:val="00ED2B78"/>
    <w:rsid w:val="00ED335E"/>
    <w:rsid w:val="00ED5E0D"/>
    <w:rsid w:val="00ED61D8"/>
    <w:rsid w:val="00ED645C"/>
    <w:rsid w:val="00ED64F0"/>
    <w:rsid w:val="00ED678E"/>
    <w:rsid w:val="00ED6916"/>
    <w:rsid w:val="00ED72CE"/>
    <w:rsid w:val="00ED7A5F"/>
    <w:rsid w:val="00ED7E34"/>
    <w:rsid w:val="00EE0228"/>
    <w:rsid w:val="00EE1CD9"/>
    <w:rsid w:val="00EE22FB"/>
    <w:rsid w:val="00EE435F"/>
    <w:rsid w:val="00EE4CC2"/>
    <w:rsid w:val="00EE5683"/>
    <w:rsid w:val="00EE66E0"/>
    <w:rsid w:val="00EE777A"/>
    <w:rsid w:val="00EE7B54"/>
    <w:rsid w:val="00EF1239"/>
    <w:rsid w:val="00EF12B8"/>
    <w:rsid w:val="00EF1FB2"/>
    <w:rsid w:val="00EF3558"/>
    <w:rsid w:val="00EF5035"/>
    <w:rsid w:val="00F00700"/>
    <w:rsid w:val="00F0204D"/>
    <w:rsid w:val="00F03E8D"/>
    <w:rsid w:val="00F049A0"/>
    <w:rsid w:val="00F0528A"/>
    <w:rsid w:val="00F062AF"/>
    <w:rsid w:val="00F06960"/>
    <w:rsid w:val="00F06D09"/>
    <w:rsid w:val="00F0713D"/>
    <w:rsid w:val="00F077E2"/>
    <w:rsid w:val="00F101F2"/>
    <w:rsid w:val="00F104FE"/>
    <w:rsid w:val="00F10B30"/>
    <w:rsid w:val="00F11144"/>
    <w:rsid w:val="00F11EEB"/>
    <w:rsid w:val="00F11F41"/>
    <w:rsid w:val="00F12CB3"/>
    <w:rsid w:val="00F12FF6"/>
    <w:rsid w:val="00F14C9B"/>
    <w:rsid w:val="00F2299B"/>
    <w:rsid w:val="00F25C9C"/>
    <w:rsid w:val="00F30031"/>
    <w:rsid w:val="00F312EE"/>
    <w:rsid w:val="00F31615"/>
    <w:rsid w:val="00F34312"/>
    <w:rsid w:val="00F34491"/>
    <w:rsid w:val="00F3464A"/>
    <w:rsid w:val="00F34EF0"/>
    <w:rsid w:val="00F37B3A"/>
    <w:rsid w:val="00F43211"/>
    <w:rsid w:val="00F4336F"/>
    <w:rsid w:val="00F437F0"/>
    <w:rsid w:val="00F44D42"/>
    <w:rsid w:val="00F46EC6"/>
    <w:rsid w:val="00F472CC"/>
    <w:rsid w:val="00F5015C"/>
    <w:rsid w:val="00F523F3"/>
    <w:rsid w:val="00F5252A"/>
    <w:rsid w:val="00F545F3"/>
    <w:rsid w:val="00F54728"/>
    <w:rsid w:val="00F55025"/>
    <w:rsid w:val="00F55229"/>
    <w:rsid w:val="00F556B7"/>
    <w:rsid w:val="00F5651F"/>
    <w:rsid w:val="00F56F34"/>
    <w:rsid w:val="00F57028"/>
    <w:rsid w:val="00F5769D"/>
    <w:rsid w:val="00F61806"/>
    <w:rsid w:val="00F632BB"/>
    <w:rsid w:val="00F6503B"/>
    <w:rsid w:val="00F65107"/>
    <w:rsid w:val="00F651A0"/>
    <w:rsid w:val="00F6557A"/>
    <w:rsid w:val="00F6592D"/>
    <w:rsid w:val="00F665D4"/>
    <w:rsid w:val="00F67437"/>
    <w:rsid w:val="00F72547"/>
    <w:rsid w:val="00F742C9"/>
    <w:rsid w:val="00F75BFF"/>
    <w:rsid w:val="00F8193B"/>
    <w:rsid w:val="00F83188"/>
    <w:rsid w:val="00F837BB"/>
    <w:rsid w:val="00F83BE5"/>
    <w:rsid w:val="00F83E3C"/>
    <w:rsid w:val="00F853BF"/>
    <w:rsid w:val="00F8597D"/>
    <w:rsid w:val="00F85C3F"/>
    <w:rsid w:val="00F86020"/>
    <w:rsid w:val="00F871A3"/>
    <w:rsid w:val="00F911CF"/>
    <w:rsid w:val="00F92104"/>
    <w:rsid w:val="00F93DEC"/>
    <w:rsid w:val="00F940F4"/>
    <w:rsid w:val="00F97DA6"/>
    <w:rsid w:val="00FA01C6"/>
    <w:rsid w:val="00FA1735"/>
    <w:rsid w:val="00FA23E0"/>
    <w:rsid w:val="00FA449A"/>
    <w:rsid w:val="00FA6BA4"/>
    <w:rsid w:val="00FA7063"/>
    <w:rsid w:val="00FA7135"/>
    <w:rsid w:val="00FA79B3"/>
    <w:rsid w:val="00FB0FBD"/>
    <w:rsid w:val="00FB2710"/>
    <w:rsid w:val="00FB4B87"/>
    <w:rsid w:val="00FB4BFA"/>
    <w:rsid w:val="00FB544A"/>
    <w:rsid w:val="00FB5B93"/>
    <w:rsid w:val="00FB7DAD"/>
    <w:rsid w:val="00FC0700"/>
    <w:rsid w:val="00FC0B9A"/>
    <w:rsid w:val="00FC0BB1"/>
    <w:rsid w:val="00FC2784"/>
    <w:rsid w:val="00FC27DF"/>
    <w:rsid w:val="00FC2F6E"/>
    <w:rsid w:val="00FC2FA5"/>
    <w:rsid w:val="00FC36DC"/>
    <w:rsid w:val="00FC3C8B"/>
    <w:rsid w:val="00FC4DB4"/>
    <w:rsid w:val="00FC611D"/>
    <w:rsid w:val="00FC6565"/>
    <w:rsid w:val="00FC7134"/>
    <w:rsid w:val="00FC7EAB"/>
    <w:rsid w:val="00FD02FB"/>
    <w:rsid w:val="00FD213A"/>
    <w:rsid w:val="00FD30C8"/>
    <w:rsid w:val="00FD37B4"/>
    <w:rsid w:val="00FD3AB3"/>
    <w:rsid w:val="00FD3BC9"/>
    <w:rsid w:val="00FD47F7"/>
    <w:rsid w:val="00FD5861"/>
    <w:rsid w:val="00FD5A33"/>
    <w:rsid w:val="00FD5F80"/>
    <w:rsid w:val="00FD6745"/>
    <w:rsid w:val="00FD6CC6"/>
    <w:rsid w:val="00FE0BEA"/>
    <w:rsid w:val="00FE0DA3"/>
    <w:rsid w:val="00FE1C93"/>
    <w:rsid w:val="00FE1D1E"/>
    <w:rsid w:val="00FE2171"/>
    <w:rsid w:val="00FF03AD"/>
    <w:rsid w:val="00FF2D7D"/>
    <w:rsid w:val="00FF3905"/>
    <w:rsid w:val="00FF417B"/>
    <w:rsid w:val="00FF4C60"/>
    <w:rsid w:val="00FF5608"/>
    <w:rsid w:val="00FF5CBB"/>
    <w:rsid w:val="00FF6082"/>
    <w:rsid w:val="00FF72E0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55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559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559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3D1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3D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3D1C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19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079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2063"/>
    <w:rPr>
      <w:lang w:val="tr-TR" w:eastAsia="tr-TR"/>
    </w:rPr>
  </w:style>
  <w:style w:type="character" w:styleId="FootnoteReference">
    <w:name w:val="footnote reference"/>
    <w:uiPriority w:val="99"/>
    <w:semiHidden/>
    <w:rsid w:val="00D0799D"/>
    <w:rPr>
      <w:vertAlign w:val="superscript"/>
    </w:rPr>
  </w:style>
  <w:style w:type="character" w:styleId="Hyperlink">
    <w:name w:val="Hyperlink"/>
    <w:uiPriority w:val="99"/>
    <w:rsid w:val="007522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9C3D1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B51E3"/>
  </w:style>
  <w:style w:type="paragraph" w:styleId="Header">
    <w:name w:val="header"/>
    <w:basedOn w:val="Normal"/>
    <w:link w:val="Head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9C3D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CC9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9C3D1C"/>
    <w:rPr>
      <w:sz w:val="2"/>
      <w:szCs w:val="2"/>
    </w:rPr>
  </w:style>
  <w:style w:type="character" w:styleId="LineNumber">
    <w:name w:val="line number"/>
    <w:basedOn w:val="DefaultParagraphFont"/>
    <w:uiPriority w:val="99"/>
    <w:semiHidden/>
    <w:rsid w:val="000F0C2B"/>
  </w:style>
  <w:style w:type="paragraph" w:styleId="ListParagraph">
    <w:name w:val="List Paragraph"/>
    <w:basedOn w:val="Normal"/>
    <w:uiPriority w:val="99"/>
    <w:qFormat/>
    <w:rsid w:val="000B61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55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559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559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3D1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3D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3D1C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19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079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2063"/>
    <w:rPr>
      <w:lang w:val="tr-TR" w:eastAsia="tr-TR"/>
    </w:rPr>
  </w:style>
  <w:style w:type="character" w:styleId="FootnoteReference">
    <w:name w:val="footnote reference"/>
    <w:uiPriority w:val="99"/>
    <w:semiHidden/>
    <w:rsid w:val="00D0799D"/>
    <w:rPr>
      <w:vertAlign w:val="superscript"/>
    </w:rPr>
  </w:style>
  <w:style w:type="character" w:styleId="Hyperlink">
    <w:name w:val="Hyperlink"/>
    <w:uiPriority w:val="99"/>
    <w:rsid w:val="007522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9C3D1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B51E3"/>
  </w:style>
  <w:style w:type="paragraph" w:styleId="Header">
    <w:name w:val="header"/>
    <w:basedOn w:val="Normal"/>
    <w:link w:val="Head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9C3D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CC9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9C3D1C"/>
    <w:rPr>
      <w:sz w:val="2"/>
      <w:szCs w:val="2"/>
    </w:rPr>
  </w:style>
  <w:style w:type="character" w:styleId="LineNumber">
    <w:name w:val="line number"/>
    <w:basedOn w:val="DefaultParagraphFont"/>
    <w:uiPriority w:val="99"/>
    <w:semiHidden/>
    <w:rsid w:val="000F0C2B"/>
  </w:style>
  <w:style w:type="paragraph" w:styleId="ListParagraph">
    <w:name w:val="List Paragraph"/>
    <w:basedOn w:val="Normal"/>
    <w:uiPriority w:val="99"/>
    <w:qFormat/>
    <w:rsid w:val="000B61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ine.durmaz\Desktop\melike.kokk&#305;z&#305;l@eas.bahcsehir.edu.tr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ris.soybilgen@bahcesehir.edu.tr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mrut.imamoglu@bahcesehir.edu.t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91832-9F80-4E3C-8DB9-AD9A02EB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oş</vt:lpstr>
      <vt:lpstr>oş</vt:lpstr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oş</dc:title>
  <dc:creator>baris.soybilgen</dc:creator>
  <cp:lastModifiedBy>merve.akgul</cp:lastModifiedBy>
  <cp:revision>2</cp:revision>
  <cp:lastPrinted>2015-12-04T12:44:00Z</cp:lastPrinted>
  <dcterms:created xsi:type="dcterms:W3CDTF">2015-12-08T08:11:00Z</dcterms:created>
  <dcterms:modified xsi:type="dcterms:W3CDTF">2015-12-08T08:11:00Z</dcterms:modified>
</cp:coreProperties>
</file>