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CC5778" w:rsidRDefault="00FB39F4" w:rsidP="001E4BF5">
      <w:pPr>
        <w:spacing w:line="360" w:lineRule="auto"/>
        <w:ind w:right="-319"/>
        <w:jc w:val="center"/>
        <w:outlineLvl w:val="0"/>
        <w:rPr>
          <w:rFonts w:ascii="Arial" w:hAnsi="Arial" w:cs="Arial"/>
          <w:b/>
          <w:bCs/>
          <w:color w:val="FF0000"/>
          <w:sz w:val="32"/>
          <w:szCs w:val="32"/>
          <w:lang w:val="en-US"/>
        </w:rPr>
      </w:pPr>
      <w:r>
        <w:rPr>
          <w:noProof/>
          <w:color w:val="FF0000"/>
        </w:rPr>
        <mc:AlternateContent>
          <mc:Choice Requires="wps">
            <w:drawing>
              <wp:anchor distT="0" distB="0" distL="114935" distR="114935" simplePos="0" relativeHeight="251664384" behindDoc="0" locked="0" layoutInCell="1" allowOverlap="1">
                <wp:simplePos x="0" y="0"/>
                <wp:positionH relativeFrom="column">
                  <wp:posOffset>4710430</wp:posOffset>
                </wp:positionH>
                <wp:positionV relativeFrom="paragraph">
                  <wp:posOffset>189865</wp:posOffset>
                </wp:positionV>
                <wp:extent cx="2187575" cy="3486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EC64F8" w:rsidRDefault="00193F73" w:rsidP="00E57928">
                            <w:pPr>
                              <w:pStyle w:val="Heading3"/>
                              <w:rPr>
                                <w:color w:val="FFFFFF"/>
                                <w:sz w:val="22"/>
                                <w:szCs w:val="22"/>
                                <w:lang w:val="en-US"/>
                              </w:rPr>
                            </w:pPr>
                            <w:r w:rsidRPr="00EC64F8">
                              <w:rPr>
                                <w:color w:val="FFFFFF"/>
                                <w:sz w:val="22"/>
                                <w:szCs w:val="22"/>
                                <w:lang w:val="en-US"/>
                              </w:rPr>
                              <w:t xml:space="preserve">   1</w:t>
                            </w:r>
                            <w:r w:rsidR="00BF25F9" w:rsidRPr="00EC64F8">
                              <w:rPr>
                                <w:color w:val="FFFFFF"/>
                                <w:sz w:val="22"/>
                                <w:szCs w:val="22"/>
                                <w:lang w:val="en-US"/>
                              </w:rPr>
                              <w:t xml:space="preserve">7 </w:t>
                            </w:r>
                            <w:r w:rsidR="00F34D05" w:rsidRPr="00EC64F8">
                              <w:rPr>
                                <w:color w:val="FFFFFF"/>
                                <w:sz w:val="22"/>
                                <w:szCs w:val="22"/>
                                <w:lang w:val="en-US"/>
                              </w:rPr>
                              <w:t>September</w:t>
                            </w:r>
                            <w:r w:rsidRPr="00EC64F8">
                              <w:rPr>
                                <w:color w:val="FFFFFF"/>
                                <w:sz w:val="22"/>
                                <w:szCs w:val="22"/>
                                <w:lang w:val="en-US"/>
                              </w:rPr>
                              <w:t xml:space="preserve"> </w:t>
                            </w:r>
                            <w:r w:rsidR="00C76E90" w:rsidRPr="00EC64F8">
                              <w:rPr>
                                <w:color w:val="FFFFFF"/>
                                <w:sz w:val="22"/>
                                <w:szCs w:val="22"/>
                                <w:lang w:val="en-US"/>
                              </w:rPr>
                              <w:t>2015</w:t>
                            </w:r>
                          </w:p>
                          <w:p w:rsidR="00C76E90" w:rsidRPr="00EC64F8" w:rsidRDefault="00C76E90" w:rsidP="00E57928">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0.9pt;margin-top:14.95pt;width:172.25pt;height:27.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sfjQ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0o99nptS3B6UGDmxtgGaocIrX6XtFvFkl12xK5Y9fGqL5lpAZ2mT+ZvDoacawH&#10;2fYfVQ3XkL1TAWhoTOdTB8lAgA5VejpVxlOhsDjNlovZYoYRhb3LfDnPZuEKUo6ntbHuPVMd8kaF&#10;DVQ+oJPDvXWeDSlHF3+ZVYLXGy5EmJjd9lYYdCCgkk344lmhWxJXg1IAw0bXgHeGIaRHkspjxuvi&#10;CkQABPyejyVI4rnIpnl6My0mm/lyMck3+WxSLNLlJM2Km2Ke5kV+t/npGWR52fK6ZvKeSzbKM8v/&#10;rvzHRonCCgJFfYWL2XQWgjtjfwzrGGvqv2N+z9w67qBbBe8qvDw5kdJX/Z2sIWxSOsJFtJNz+iFl&#10;kIPxH7ISNOJlEQXihu0AKF44W1U/gVqMgmKCJOCJAaNV5gdGPbRrhe33PTEMI/FBguJ8b4+GGY3t&#10;aBBJ4WiFHUbRvHXxDdhrw3ctIEdNS3UNqmx4EMwLC6DsJ9CCgfzxufA9/noevF4etfUvAAAA//8D&#10;AFBLAwQUAAYACAAAACEA9ZnrnN4AAAAKAQAADwAAAGRycy9kb3ducmV2LnhtbEyPwW7CMBBE75X4&#10;B2uReisOAYGTxkEtVXutmlbiauIljhKvo9hA+vc1p3IczWjmTbGbbM8uOPrWkYTlIgGGVDvdUiPh&#10;5/v9SQDzQZFWvSOU8IseduXsoVC5dlf6wksVGhZLyOdKgglhyDn3tUGr/MINSNE7udGqEOXYcD2q&#10;ayy3PU+TZMOtaikuGDXg3mDdVWcrYfWZbg/+o3rbDwfMOuFfuxMZKR/n08szsIBT+A/DDT+iQxmZ&#10;ju5M2rNewna9jOhBQpplwG6BRGxWwI4SxFoALwt+f6H8AwAA//8DAFBLAQItABQABgAIAAAAIQC2&#10;gziS/gAAAOEBAAATAAAAAAAAAAAAAAAAAAAAAABbQ29udGVudF9UeXBlc10ueG1sUEsBAi0AFAAG&#10;AAgAAAAhADj9If/WAAAAlAEAAAsAAAAAAAAAAAAAAAAALwEAAF9yZWxzLy5yZWxzUEsBAi0AFAAG&#10;AAgAAAAhAGvgSx+NAgAAHAUAAA4AAAAAAAAAAAAAAAAALgIAAGRycy9lMm9Eb2MueG1sUEsBAi0A&#10;FAAGAAgAAAAhAPWZ65zeAAAACgEAAA8AAAAAAAAAAAAAAAAA5wQAAGRycy9kb3ducmV2LnhtbFBL&#10;BQYAAAAABAAEAPMAAADyBQAAAAA=&#10;" stroked="f">
                <v:fill opacity="0"/>
                <v:textbox inset="0,0,0,0">
                  <w:txbxContent>
                    <w:p w:rsidR="00C76E90" w:rsidRPr="00EC64F8" w:rsidRDefault="00193F73" w:rsidP="00E57928">
                      <w:pPr>
                        <w:pStyle w:val="Heading3"/>
                        <w:rPr>
                          <w:color w:val="FFFFFF"/>
                          <w:sz w:val="22"/>
                          <w:szCs w:val="22"/>
                          <w:lang w:val="en-US"/>
                        </w:rPr>
                      </w:pPr>
                      <w:r w:rsidRPr="00EC64F8">
                        <w:rPr>
                          <w:color w:val="FFFFFF"/>
                          <w:sz w:val="22"/>
                          <w:szCs w:val="22"/>
                          <w:lang w:val="en-US"/>
                        </w:rPr>
                        <w:t xml:space="preserve">   1</w:t>
                      </w:r>
                      <w:r w:rsidR="00BF25F9" w:rsidRPr="00EC64F8">
                        <w:rPr>
                          <w:color w:val="FFFFFF"/>
                          <w:sz w:val="22"/>
                          <w:szCs w:val="22"/>
                          <w:lang w:val="en-US"/>
                        </w:rPr>
                        <w:t xml:space="preserve">7 </w:t>
                      </w:r>
                      <w:r w:rsidR="00F34D05" w:rsidRPr="00EC64F8">
                        <w:rPr>
                          <w:color w:val="FFFFFF"/>
                          <w:sz w:val="22"/>
                          <w:szCs w:val="22"/>
                          <w:lang w:val="en-US"/>
                        </w:rPr>
                        <w:t>September</w:t>
                      </w:r>
                      <w:r w:rsidRPr="00EC64F8">
                        <w:rPr>
                          <w:color w:val="FFFFFF"/>
                          <w:sz w:val="22"/>
                          <w:szCs w:val="22"/>
                          <w:lang w:val="en-US"/>
                        </w:rPr>
                        <w:t xml:space="preserve"> </w:t>
                      </w:r>
                      <w:r w:rsidR="00C76E90" w:rsidRPr="00EC64F8">
                        <w:rPr>
                          <w:color w:val="FFFFFF"/>
                          <w:sz w:val="22"/>
                          <w:szCs w:val="22"/>
                          <w:lang w:val="en-US"/>
                        </w:rPr>
                        <w:t>2015</w:t>
                      </w:r>
                    </w:p>
                    <w:p w:rsidR="00C76E90" w:rsidRPr="00EC64F8" w:rsidRDefault="00C76E90" w:rsidP="00E57928">
                      <w:pPr>
                        <w:rPr>
                          <w:lang w:val="en-US"/>
                        </w:rPr>
                      </w:pPr>
                    </w:p>
                  </w:txbxContent>
                </v:textbox>
              </v:shape>
            </w:pict>
          </mc:Fallback>
        </mc:AlternateContent>
      </w:r>
      <w:r>
        <w:rPr>
          <w:noProof/>
          <w:color w:val="FF0000"/>
        </w:rPr>
        <mc:AlternateContent>
          <mc:Choice Requires="wps">
            <w:drawing>
              <wp:anchor distT="0" distB="0" distL="114935" distR="114935" simplePos="0" relativeHeight="251663360" behindDoc="0" locked="0" layoutInCell="1" allowOverlap="1">
                <wp:simplePos x="0" y="0"/>
                <wp:positionH relativeFrom="column">
                  <wp:posOffset>1487805</wp:posOffset>
                </wp:positionH>
                <wp:positionV relativeFrom="paragraph">
                  <wp:posOffset>-575945</wp:posOffset>
                </wp:positionV>
                <wp:extent cx="4396740" cy="568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F34D05" w:rsidRDefault="00F34D05" w:rsidP="00347B6F">
                            <w:pPr>
                              <w:pStyle w:val="Heading1"/>
                              <w:jc w:val="left"/>
                              <w:rPr>
                                <w:rFonts w:ascii="Times New Roman" w:hAnsi="Times New Roman"/>
                                <w:sz w:val="40"/>
                                <w:szCs w:val="40"/>
                                <w:lang w:val="en-US"/>
                              </w:rPr>
                            </w:pPr>
                            <w:r w:rsidRPr="00F34D05">
                              <w:rPr>
                                <w:rFonts w:ascii="Times New Roman" w:hAnsi="Times New Roman"/>
                                <w:sz w:val="40"/>
                                <w:szCs w:val="40"/>
                                <w:lang w:val="en-US"/>
                              </w:rPr>
                              <w:t>Ec</w:t>
                            </w:r>
                            <w:r w:rsidR="00C76E90" w:rsidRPr="00F34D05">
                              <w:rPr>
                                <w:rFonts w:ascii="Times New Roman" w:hAnsi="Times New Roman"/>
                                <w:sz w:val="40"/>
                                <w:szCs w:val="40"/>
                                <w:lang w:val="en-US"/>
                              </w:rPr>
                              <w:t>onomi</w:t>
                            </w:r>
                            <w:r w:rsidRPr="00F34D05">
                              <w:rPr>
                                <w:rFonts w:ascii="Times New Roman" w:hAnsi="Times New Roman"/>
                                <w:sz w:val="40"/>
                                <w:szCs w:val="40"/>
                                <w:lang w:val="en-US"/>
                              </w:rPr>
                              <w:t>c Outlook and Forecasts</w:t>
                            </w:r>
                            <w:r w:rsidR="00C76E90" w:rsidRPr="00F34D05">
                              <w:rPr>
                                <w:rFonts w:ascii="Times New Roman" w:hAnsi="Times New Roman"/>
                                <w:sz w:val="40"/>
                                <w:szCs w:val="40"/>
                                <w:lang w:val="en-US"/>
                              </w:rPr>
                              <w:t xml:space="preserve">: </w:t>
                            </w:r>
                            <w:r w:rsidR="00C76E90" w:rsidRPr="00F34D05">
                              <w:rPr>
                                <w:rFonts w:ascii="Times New Roman" w:hAnsi="Times New Roman"/>
                                <w:sz w:val="40"/>
                                <w:szCs w:val="40"/>
                                <w:lang w:val="en-US"/>
                              </w:rPr>
                              <w:tab/>
                            </w:r>
                            <w:r w:rsidR="00C76E90" w:rsidRPr="00F34D05">
                              <w:rPr>
                                <w:rFonts w:ascii="Times New Roman" w:hAnsi="Times New Roman"/>
                                <w:sz w:val="40"/>
                                <w:szCs w:val="40"/>
                                <w:lang w:val="en-US"/>
                              </w:rPr>
                              <w:tab/>
                            </w:r>
                            <w:r w:rsidR="00C76E90" w:rsidRPr="00F34D05">
                              <w:rPr>
                                <w:rFonts w:ascii="Times New Roman" w:hAnsi="Times New Roman"/>
                                <w:sz w:val="40"/>
                                <w:szCs w:val="40"/>
                                <w:lang w:val="en-US"/>
                              </w:rPr>
                              <w:tab/>
                            </w:r>
                            <w:r w:rsidR="00C76E90" w:rsidRPr="00F34D05">
                              <w:rPr>
                                <w:rFonts w:ascii="Times New Roman" w:hAnsi="Times New Roman"/>
                                <w:sz w:val="40"/>
                                <w:szCs w:val="40"/>
                                <w:lang w:val="en-US"/>
                              </w:rPr>
                              <w:tab/>
                            </w:r>
                            <w:r w:rsidRPr="00F34D05">
                              <w:rPr>
                                <w:rFonts w:ascii="Times New Roman" w:hAnsi="Times New Roman"/>
                                <w:sz w:val="40"/>
                                <w:szCs w:val="40"/>
                                <w:lang w:val="en-US"/>
                              </w:rPr>
                              <w:t>September</w:t>
                            </w:r>
                            <w:r w:rsidR="00193F73" w:rsidRPr="00F34D05">
                              <w:rPr>
                                <w:rFonts w:ascii="Times New Roman" w:hAnsi="Times New Roman"/>
                                <w:sz w:val="40"/>
                                <w:szCs w:val="40"/>
                                <w:lang w:val="en-US"/>
                              </w:rPr>
                              <w:t xml:space="preserve"> </w:t>
                            </w:r>
                            <w:r w:rsidR="00C76E90" w:rsidRPr="00F34D05">
                              <w:rPr>
                                <w:rFonts w:ascii="Times New Roman" w:hAnsi="Times New Roman"/>
                                <w:sz w:val="40"/>
                                <w:szCs w:val="40"/>
                                <w:lang w:val="en-US"/>
                              </w:rPr>
                              <w:t>2015</w:t>
                            </w:r>
                          </w:p>
                          <w:p w:rsidR="00C76E90" w:rsidRPr="00F34D05" w:rsidRDefault="00C76E90" w:rsidP="00E57928">
                            <w:pPr>
                              <w:pStyle w:val="Heading2"/>
                              <w:rPr>
                                <w:b w:val="0"/>
                                <w:bCs w:val="0"/>
                                <w:i w:val="0"/>
                                <w:iCs w:val="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15pt;margin-top:-45.3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XBjQIAACM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pP&#10;MZKkgxI9ssGhOzWgS5+dXtsSnB40uLkBlqHKganV94p+s0iqVUvkjt0ao/qWkRqiy/zJ5MXRiGM9&#10;yLb/qGq4huydCkBDYzqfOkgGAnSo0tOpMj4UCov5ZTG/ymGLwt5svijmoXQJKcfT2lj3nqkOeaPC&#10;Biof0Mnh3jofDSlHF3+ZVYLXGy5EmJjddiUMOhBQySZ88azQLYmr43U2uga8MwwhPZJUHjNeF1eA&#10;AQTg9zyXIImfRTbN07tpMdnMF1eTfJPPJsVVupikWXEHzPIiX29++QiyvGx5XTN5zyUb5Znlf1f+&#10;Y6NEYQWBor7CxWw6C+TOoj/SOnJN/RdK+CpRHXfQrYJ3FV6cnEjpq/5O1kCblI5wEe3kPPyQMsjB&#10;+A9ZCRrxsogCccN2CGIMAvL62ar6CURjFNQUyg8vDRitMj8w6qFrK2y/74lhGIkPEoTnW3w0zGhs&#10;R4NICkcr7DCK5srFp2CvDd+1gBylLdUtiLPhQTfPUUDkfgKdGDgcXw3f6i/nwev5bVv+BgAA//8D&#10;AFBLAwQUAAYACAAAACEADfRx5N4AAAAKAQAADwAAAGRycy9kb3ducmV2LnhtbEyPy07DMBBF90j8&#10;gzVI7FrngdomxKmgiG4RAalbN5nGUeJxFLtt+PsOK9jN4+jOmWI720FccPKdIwXxMgKBVLumo1bB&#10;99f7YgPCB02NHhyhgh/0sC3v7wqdN+5Kn3ipQis4hHyuFZgQxlxKXxu02i/diMS7k5usDtxOrWwm&#10;feVwO8gkilbS6o74gtEj7gzWfXW2CtKPZH3w++ptNx4w6zf+tT+RUerxYX55BhFwDn8w/OqzOpTs&#10;dHRnarwYFCTpU8qogkUWrUEwkSUrLo48iWOQZSH/v1DeAAAA//8DAFBLAQItABQABgAIAAAAIQC2&#10;gziS/gAAAOEBAAATAAAAAAAAAAAAAAAAAAAAAABbQ29udGVudF9UeXBlc10ueG1sUEsBAi0AFAAG&#10;AAgAAAAhADj9If/WAAAAlAEAAAsAAAAAAAAAAAAAAAAALwEAAF9yZWxzLy5yZWxzUEsBAi0AFAAG&#10;AAgAAAAhAPg1VcGNAgAAIwUAAA4AAAAAAAAAAAAAAAAALgIAAGRycy9lMm9Eb2MueG1sUEsBAi0A&#10;FAAGAAgAAAAhAA30ceTeAAAACgEAAA8AAAAAAAAAAAAAAAAA5wQAAGRycy9kb3ducmV2LnhtbFBL&#10;BQYAAAAABAAEAPMAAADyBQAAAAA=&#10;" stroked="f">
                <v:fill opacity="0"/>
                <v:textbox inset="0,0,0,0">
                  <w:txbxContent>
                    <w:p w:rsidR="00C76E90" w:rsidRPr="00F34D05" w:rsidRDefault="00F34D05" w:rsidP="00347B6F">
                      <w:pPr>
                        <w:pStyle w:val="Heading1"/>
                        <w:jc w:val="left"/>
                        <w:rPr>
                          <w:rFonts w:ascii="Times New Roman" w:hAnsi="Times New Roman"/>
                          <w:sz w:val="40"/>
                          <w:szCs w:val="40"/>
                          <w:lang w:val="en-US"/>
                        </w:rPr>
                      </w:pPr>
                      <w:r w:rsidRPr="00F34D05">
                        <w:rPr>
                          <w:rFonts w:ascii="Times New Roman" w:hAnsi="Times New Roman"/>
                          <w:sz w:val="40"/>
                          <w:szCs w:val="40"/>
                          <w:lang w:val="en-US"/>
                        </w:rPr>
                        <w:t>Ec</w:t>
                      </w:r>
                      <w:r w:rsidR="00C76E90" w:rsidRPr="00F34D05">
                        <w:rPr>
                          <w:rFonts w:ascii="Times New Roman" w:hAnsi="Times New Roman"/>
                          <w:sz w:val="40"/>
                          <w:szCs w:val="40"/>
                          <w:lang w:val="en-US"/>
                        </w:rPr>
                        <w:t>onomi</w:t>
                      </w:r>
                      <w:r w:rsidRPr="00F34D05">
                        <w:rPr>
                          <w:rFonts w:ascii="Times New Roman" w:hAnsi="Times New Roman"/>
                          <w:sz w:val="40"/>
                          <w:szCs w:val="40"/>
                          <w:lang w:val="en-US"/>
                        </w:rPr>
                        <w:t>c Outlook and Forecasts</w:t>
                      </w:r>
                      <w:r w:rsidR="00C76E90" w:rsidRPr="00F34D05">
                        <w:rPr>
                          <w:rFonts w:ascii="Times New Roman" w:hAnsi="Times New Roman"/>
                          <w:sz w:val="40"/>
                          <w:szCs w:val="40"/>
                          <w:lang w:val="en-US"/>
                        </w:rPr>
                        <w:t xml:space="preserve">: </w:t>
                      </w:r>
                      <w:r w:rsidR="00C76E90" w:rsidRPr="00F34D05">
                        <w:rPr>
                          <w:rFonts w:ascii="Times New Roman" w:hAnsi="Times New Roman"/>
                          <w:sz w:val="40"/>
                          <w:szCs w:val="40"/>
                          <w:lang w:val="en-US"/>
                        </w:rPr>
                        <w:tab/>
                      </w:r>
                      <w:r w:rsidR="00C76E90" w:rsidRPr="00F34D05">
                        <w:rPr>
                          <w:rFonts w:ascii="Times New Roman" w:hAnsi="Times New Roman"/>
                          <w:sz w:val="40"/>
                          <w:szCs w:val="40"/>
                          <w:lang w:val="en-US"/>
                        </w:rPr>
                        <w:tab/>
                      </w:r>
                      <w:r w:rsidR="00C76E90" w:rsidRPr="00F34D05">
                        <w:rPr>
                          <w:rFonts w:ascii="Times New Roman" w:hAnsi="Times New Roman"/>
                          <w:sz w:val="40"/>
                          <w:szCs w:val="40"/>
                          <w:lang w:val="en-US"/>
                        </w:rPr>
                        <w:tab/>
                      </w:r>
                      <w:r w:rsidR="00C76E90" w:rsidRPr="00F34D05">
                        <w:rPr>
                          <w:rFonts w:ascii="Times New Roman" w:hAnsi="Times New Roman"/>
                          <w:sz w:val="40"/>
                          <w:szCs w:val="40"/>
                          <w:lang w:val="en-US"/>
                        </w:rPr>
                        <w:tab/>
                      </w:r>
                      <w:r w:rsidRPr="00F34D05">
                        <w:rPr>
                          <w:rFonts w:ascii="Times New Roman" w:hAnsi="Times New Roman"/>
                          <w:sz w:val="40"/>
                          <w:szCs w:val="40"/>
                          <w:lang w:val="en-US"/>
                        </w:rPr>
                        <w:t>September</w:t>
                      </w:r>
                      <w:r w:rsidR="00193F73" w:rsidRPr="00F34D05">
                        <w:rPr>
                          <w:rFonts w:ascii="Times New Roman" w:hAnsi="Times New Roman"/>
                          <w:sz w:val="40"/>
                          <w:szCs w:val="40"/>
                          <w:lang w:val="en-US"/>
                        </w:rPr>
                        <w:t xml:space="preserve"> </w:t>
                      </w:r>
                      <w:r w:rsidR="00C76E90" w:rsidRPr="00F34D05">
                        <w:rPr>
                          <w:rFonts w:ascii="Times New Roman" w:hAnsi="Times New Roman"/>
                          <w:sz w:val="40"/>
                          <w:szCs w:val="40"/>
                          <w:lang w:val="en-US"/>
                        </w:rPr>
                        <w:t>2015</w:t>
                      </w:r>
                    </w:p>
                    <w:p w:rsidR="00C76E90" w:rsidRPr="00F34D05" w:rsidRDefault="00C76E90" w:rsidP="00E57928">
                      <w:pPr>
                        <w:pStyle w:val="Heading2"/>
                        <w:rPr>
                          <w:b w:val="0"/>
                          <w:bCs w:val="0"/>
                          <w:i w:val="0"/>
                          <w:iCs w:val="0"/>
                          <w:lang w:val="en-US"/>
                        </w:rPr>
                      </w:pPr>
                    </w:p>
                  </w:txbxContent>
                </v:textbox>
              </v:shape>
            </w:pict>
          </mc:Fallback>
        </mc:AlternateContent>
      </w:r>
      <w:r w:rsidR="00E57928" w:rsidRPr="00CC5778">
        <w:rPr>
          <w:rFonts w:ascii="Arial" w:hAnsi="Arial" w:cs="Arial"/>
          <w:b/>
          <w:bCs/>
          <w:noProof/>
          <w:color w:val="FF0000"/>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Pr="00CC5778" w:rsidRDefault="00054BD3" w:rsidP="001E4BF5">
      <w:pPr>
        <w:spacing w:line="360" w:lineRule="auto"/>
        <w:ind w:right="-319"/>
        <w:jc w:val="center"/>
        <w:outlineLvl w:val="0"/>
        <w:rPr>
          <w:rFonts w:ascii="Arial" w:hAnsi="Arial" w:cs="Arial"/>
          <w:b/>
          <w:bCs/>
          <w:color w:val="FF0000"/>
          <w:sz w:val="32"/>
          <w:szCs w:val="32"/>
          <w:lang w:val="en-US"/>
        </w:rPr>
      </w:pPr>
    </w:p>
    <w:p w:rsidR="000F0372" w:rsidRPr="00CC5778" w:rsidRDefault="00990153" w:rsidP="000F0372">
      <w:pPr>
        <w:ind w:right="-317"/>
        <w:jc w:val="center"/>
        <w:outlineLvl w:val="0"/>
        <w:rPr>
          <w:rFonts w:ascii="Arial" w:hAnsi="Arial" w:cs="Arial"/>
          <w:b/>
          <w:bCs/>
          <w:caps/>
          <w:sz w:val="28"/>
          <w:szCs w:val="28"/>
          <w:lang w:val="en-US"/>
        </w:rPr>
      </w:pPr>
      <w:r w:rsidRPr="00CC5778">
        <w:rPr>
          <w:rFonts w:ascii="Arial" w:hAnsi="Arial" w:cs="Arial"/>
          <w:b/>
          <w:bCs/>
          <w:caps/>
          <w:sz w:val="28"/>
          <w:szCs w:val="28"/>
          <w:lang w:val="en-US"/>
        </w:rPr>
        <w:t xml:space="preserve">sHARP </w:t>
      </w:r>
      <w:r w:rsidR="00EC64F8" w:rsidRPr="00CC5778">
        <w:rPr>
          <w:rFonts w:ascii="Arial" w:hAnsi="Arial" w:cs="Arial"/>
          <w:b/>
          <w:bCs/>
          <w:caps/>
          <w:sz w:val="28"/>
          <w:szCs w:val="28"/>
          <w:lang w:val="en-US"/>
        </w:rPr>
        <w:t>SLOWDOWN IN THE THIRD QUARTER</w:t>
      </w:r>
    </w:p>
    <w:p w:rsidR="00EB408D" w:rsidRPr="00CC5778" w:rsidRDefault="00EB408D" w:rsidP="00EB408D">
      <w:pPr>
        <w:ind w:right="-317"/>
        <w:jc w:val="center"/>
        <w:outlineLvl w:val="0"/>
        <w:rPr>
          <w:rFonts w:ascii="Arial" w:hAnsi="Arial" w:cs="Arial"/>
          <w:b/>
          <w:bCs/>
          <w:caps/>
          <w:color w:val="FF0000"/>
          <w:sz w:val="28"/>
          <w:szCs w:val="28"/>
          <w:lang w:val="en-US"/>
        </w:rPr>
      </w:pPr>
    </w:p>
    <w:p w:rsidR="00EB408D" w:rsidRPr="00CC5778" w:rsidRDefault="000F0372" w:rsidP="00EB408D">
      <w:pPr>
        <w:ind w:right="-317"/>
        <w:jc w:val="center"/>
        <w:outlineLvl w:val="0"/>
        <w:rPr>
          <w:rFonts w:ascii="Arial" w:hAnsi="Arial" w:cs="Arial"/>
          <w:b/>
          <w:bCs/>
          <w:sz w:val="21"/>
          <w:szCs w:val="21"/>
          <w:vertAlign w:val="superscript"/>
          <w:lang w:val="en-US"/>
        </w:rPr>
      </w:pPr>
      <w:r w:rsidRPr="00CC5778">
        <w:rPr>
          <w:rFonts w:ascii="Arial" w:hAnsi="Arial" w:cs="Arial"/>
          <w:b/>
          <w:bCs/>
          <w:sz w:val="21"/>
          <w:szCs w:val="21"/>
          <w:lang w:val="en-US"/>
        </w:rPr>
        <w:t xml:space="preserve">Seyfettin </w:t>
      </w:r>
      <w:proofErr w:type="spellStart"/>
      <w:r w:rsidRPr="00CC5778">
        <w:rPr>
          <w:rFonts w:ascii="Arial" w:hAnsi="Arial" w:cs="Arial"/>
          <w:b/>
          <w:bCs/>
          <w:sz w:val="21"/>
          <w:szCs w:val="21"/>
          <w:lang w:val="en-US"/>
        </w:rPr>
        <w:t>Gürsel</w:t>
      </w:r>
      <w:proofErr w:type="spellEnd"/>
      <w:r w:rsidRPr="00CC5778">
        <w:rPr>
          <w:rFonts w:ascii="Arial" w:hAnsi="Arial" w:cs="Arial"/>
          <w:b/>
          <w:bCs/>
          <w:sz w:val="21"/>
          <w:szCs w:val="21"/>
          <w:lang w:val="en-US"/>
        </w:rPr>
        <w:t>*,</w:t>
      </w:r>
      <w:r w:rsidR="00EB408D" w:rsidRPr="00CC5778">
        <w:rPr>
          <w:rFonts w:ascii="Arial" w:hAnsi="Arial" w:cs="Arial"/>
          <w:b/>
          <w:bCs/>
          <w:sz w:val="21"/>
          <w:szCs w:val="21"/>
          <w:lang w:val="en-US"/>
        </w:rPr>
        <w:t xml:space="preserve"> </w:t>
      </w:r>
      <w:r w:rsidRPr="00CC5778">
        <w:rPr>
          <w:rFonts w:ascii="Arial" w:hAnsi="Arial" w:cs="Arial"/>
          <w:b/>
          <w:bCs/>
          <w:sz w:val="21"/>
          <w:szCs w:val="21"/>
          <w:lang w:val="en-US"/>
        </w:rPr>
        <w:t>Mine Durmaz</w:t>
      </w:r>
      <w:r w:rsidRPr="00CC5778">
        <w:rPr>
          <w:rFonts w:ascii="Arial" w:hAnsi="Arial" w:cs="Arial"/>
          <w:b/>
          <w:bCs/>
          <w:sz w:val="21"/>
          <w:szCs w:val="21"/>
          <w:vertAlign w:val="superscript"/>
          <w:lang w:val="en-US"/>
        </w:rPr>
        <w:t>**</w:t>
      </w:r>
      <w:r w:rsidRPr="00CC5778">
        <w:rPr>
          <w:rFonts w:ascii="Arial" w:hAnsi="Arial" w:cs="Arial"/>
          <w:b/>
          <w:bCs/>
          <w:sz w:val="21"/>
          <w:szCs w:val="21"/>
          <w:lang w:val="en-US"/>
        </w:rPr>
        <w:t>, Melike Kökkızıl***</w:t>
      </w:r>
    </w:p>
    <w:p w:rsidR="00EB408D" w:rsidRPr="00CC5778" w:rsidRDefault="00EB408D" w:rsidP="00EB408D">
      <w:pPr>
        <w:ind w:right="-317"/>
        <w:jc w:val="center"/>
        <w:outlineLvl w:val="0"/>
        <w:rPr>
          <w:rFonts w:ascii="Arial" w:hAnsi="Arial" w:cs="Arial"/>
          <w:b/>
          <w:bCs/>
          <w:color w:val="FF0000"/>
          <w:sz w:val="21"/>
          <w:szCs w:val="21"/>
          <w:vertAlign w:val="superscript"/>
          <w:lang w:val="en-US"/>
        </w:rPr>
      </w:pPr>
    </w:p>
    <w:p w:rsidR="00EB408D" w:rsidRPr="00CC5778" w:rsidRDefault="00EB408D" w:rsidP="00EB408D">
      <w:pPr>
        <w:spacing w:line="360" w:lineRule="auto"/>
        <w:ind w:right="-319"/>
        <w:jc w:val="center"/>
        <w:outlineLvl w:val="0"/>
        <w:rPr>
          <w:rFonts w:ascii="Arial" w:hAnsi="Arial" w:cs="Arial"/>
          <w:color w:val="FF0000"/>
          <w:sz w:val="22"/>
          <w:szCs w:val="22"/>
          <w:vertAlign w:val="superscript"/>
          <w:lang w:val="en-US"/>
        </w:rPr>
      </w:pPr>
    </w:p>
    <w:p w:rsidR="00EB408D" w:rsidRPr="00CC5778" w:rsidRDefault="00EB408D" w:rsidP="00EB408D">
      <w:pPr>
        <w:spacing w:line="360" w:lineRule="auto"/>
        <w:ind w:right="-319"/>
        <w:jc w:val="center"/>
        <w:outlineLvl w:val="0"/>
        <w:rPr>
          <w:rFonts w:ascii="Arial" w:hAnsi="Arial" w:cs="Arial"/>
          <w:color w:val="FF0000"/>
          <w:sz w:val="22"/>
          <w:szCs w:val="22"/>
          <w:vertAlign w:val="superscript"/>
          <w:lang w:val="en-US"/>
        </w:rPr>
        <w:sectPr w:rsidR="00EB408D" w:rsidRPr="00CC5778" w:rsidSect="008651A8">
          <w:footerReference w:type="default" r:id="rId10"/>
          <w:type w:val="continuous"/>
          <w:pgSz w:w="11906" w:h="16838"/>
          <w:pgMar w:top="1417" w:right="1417" w:bottom="1417" w:left="1417" w:header="708" w:footer="708" w:gutter="0"/>
          <w:cols w:space="708"/>
          <w:docGrid w:linePitch="360"/>
        </w:sectPr>
      </w:pPr>
    </w:p>
    <w:p w:rsidR="00EB408D" w:rsidRPr="00CC5778" w:rsidRDefault="00F34D05" w:rsidP="00EB408D">
      <w:pPr>
        <w:spacing w:line="360" w:lineRule="auto"/>
        <w:ind w:left="-360" w:right="42" w:firstLine="360"/>
        <w:jc w:val="center"/>
        <w:rPr>
          <w:b/>
          <w:bCs/>
          <w:sz w:val="22"/>
          <w:szCs w:val="22"/>
          <w:lang w:val="en-US"/>
        </w:rPr>
      </w:pPr>
      <w:r w:rsidRPr="00CC5778">
        <w:rPr>
          <w:b/>
          <w:bCs/>
          <w:sz w:val="22"/>
          <w:szCs w:val="22"/>
          <w:lang w:val="en-US"/>
        </w:rPr>
        <w:lastRenderedPageBreak/>
        <w:t>Executive Summary</w:t>
      </w:r>
    </w:p>
    <w:p w:rsidR="00EB408D" w:rsidRPr="00CC5778" w:rsidRDefault="00EB408D" w:rsidP="00EB408D">
      <w:pPr>
        <w:spacing w:line="360" w:lineRule="auto"/>
        <w:ind w:left="-360" w:right="42" w:firstLine="360"/>
        <w:jc w:val="center"/>
        <w:rPr>
          <w:b/>
          <w:bCs/>
          <w:color w:val="FF0000"/>
          <w:sz w:val="16"/>
          <w:szCs w:val="16"/>
          <w:lang w:val="en-US"/>
        </w:rPr>
      </w:pPr>
    </w:p>
    <w:p w:rsidR="00C0432F" w:rsidRPr="00CC5778" w:rsidRDefault="00397A34" w:rsidP="009E3C31">
      <w:pPr>
        <w:spacing w:line="360" w:lineRule="auto"/>
        <w:ind w:left="-360" w:right="40"/>
        <w:jc w:val="both"/>
        <w:rPr>
          <w:sz w:val="22"/>
          <w:szCs w:val="22"/>
          <w:lang w:val="en-US"/>
        </w:rPr>
      </w:pPr>
      <w:r>
        <w:rPr>
          <w:sz w:val="22"/>
          <w:szCs w:val="22"/>
          <w:lang w:val="en-US"/>
        </w:rPr>
        <w:t xml:space="preserve">According to </w:t>
      </w:r>
      <w:proofErr w:type="spellStart"/>
      <w:r w:rsidR="000B0E6E" w:rsidRPr="00CC5778">
        <w:rPr>
          <w:sz w:val="22"/>
          <w:szCs w:val="22"/>
          <w:lang w:val="en-US"/>
        </w:rPr>
        <w:t>Turkstat</w:t>
      </w:r>
      <w:proofErr w:type="spellEnd"/>
      <w:r w:rsidR="000B0E6E" w:rsidRPr="00CC5778">
        <w:rPr>
          <w:sz w:val="22"/>
          <w:szCs w:val="22"/>
          <w:lang w:val="en-US"/>
        </w:rPr>
        <w:t xml:space="preserve"> </w:t>
      </w:r>
      <w:r w:rsidR="009B7257" w:rsidRPr="00CC5778">
        <w:rPr>
          <w:sz w:val="22"/>
          <w:szCs w:val="22"/>
          <w:lang w:val="en-US"/>
        </w:rPr>
        <w:t>seasonally and calendar adjusted gross domestic pr</w:t>
      </w:r>
      <w:r w:rsidR="004007B1" w:rsidRPr="00CC5778">
        <w:rPr>
          <w:sz w:val="22"/>
          <w:szCs w:val="22"/>
          <w:lang w:val="en-US"/>
        </w:rPr>
        <w:t xml:space="preserve">oduct increased by 1.3 percent </w:t>
      </w:r>
      <w:r w:rsidR="009E3C31">
        <w:rPr>
          <w:sz w:val="22"/>
          <w:szCs w:val="22"/>
          <w:lang w:val="en-US"/>
        </w:rPr>
        <w:t>in the second quarter</w:t>
      </w:r>
      <w:r w:rsidR="009B7257" w:rsidRPr="00CC5778">
        <w:rPr>
          <w:sz w:val="22"/>
          <w:szCs w:val="22"/>
          <w:lang w:val="en-US"/>
        </w:rPr>
        <w:t xml:space="preserve"> of 2015. </w:t>
      </w:r>
      <w:r w:rsidR="009E3C31">
        <w:rPr>
          <w:sz w:val="22"/>
          <w:szCs w:val="22"/>
          <w:lang w:val="en-US"/>
        </w:rPr>
        <w:t xml:space="preserve">Considering mostly unfavorable </w:t>
      </w:r>
      <w:r w:rsidR="009B7257" w:rsidRPr="00CC5778">
        <w:rPr>
          <w:sz w:val="22"/>
          <w:szCs w:val="22"/>
          <w:lang w:val="en-US"/>
        </w:rPr>
        <w:t xml:space="preserve">leading indicators </w:t>
      </w:r>
      <w:r w:rsidR="00AF6C05" w:rsidRPr="00CC5778">
        <w:rPr>
          <w:sz w:val="22"/>
          <w:szCs w:val="22"/>
          <w:lang w:val="en-US"/>
        </w:rPr>
        <w:t>of July</w:t>
      </w:r>
      <w:r w:rsidR="009477FB" w:rsidRPr="00CC5778">
        <w:rPr>
          <w:sz w:val="22"/>
          <w:szCs w:val="22"/>
          <w:lang w:val="en-US"/>
        </w:rPr>
        <w:t xml:space="preserve">, we </w:t>
      </w:r>
      <w:r w:rsidR="00F544A9" w:rsidRPr="00CC5778">
        <w:rPr>
          <w:sz w:val="22"/>
          <w:szCs w:val="22"/>
          <w:lang w:val="en-US"/>
        </w:rPr>
        <w:t>forecast</w:t>
      </w:r>
      <w:r w:rsidR="009477FB" w:rsidRPr="00CC5778">
        <w:rPr>
          <w:sz w:val="22"/>
          <w:szCs w:val="22"/>
          <w:lang w:val="en-US"/>
        </w:rPr>
        <w:t xml:space="preserve"> 0.1 percent</w:t>
      </w:r>
      <w:r w:rsidR="009E3C31">
        <w:rPr>
          <w:sz w:val="22"/>
          <w:szCs w:val="22"/>
          <w:lang w:val="en-US"/>
        </w:rPr>
        <w:t xml:space="preserve"> economic growth in the third quarter comparing to second quarter</w:t>
      </w:r>
      <w:r w:rsidR="009477FB" w:rsidRPr="00CC5778">
        <w:rPr>
          <w:sz w:val="22"/>
          <w:szCs w:val="22"/>
          <w:lang w:val="en-US"/>
        </w:rPr>
        <w:t>.</w:t>
      </w:r>
      <w:r w:rsidR="00BA5751" w:rsidRPr="00CC5778">
        <w:rPr>
          <w:sz w:val="22"/>
          <w:szCs w:val="22"/>
          <w:lang w:val="en-US"/>
        </w:rPr>
        <w:t xml:space="preserve"> </w:t>
      </w:r>
      <w:r w:rsidR="00AF6C05" w:rsidRPr="00CC5778">
        <w:rPr>
          <w:sz w:val="22"/>
          <w:szCs w:val="22"/>
          <w:lang w:val="en-US"/>
        </w:rPr>
        <w:t>Industrial Production Index (IPI) declined by 1.</w:t>
      </w:r>
      <w:r w:rsidR="00BA5751" w:rsidRPr="00CC5778">
        <w:rPr>
          <w:sz w:val="22"/>
          <w:szCs w:val="22"/>
          <w:lang w:val="en-US"/>
        </w:rPr>
        <w:t>5</w:t>
      </w:r>
      <w:r w:rsidR="00AF6C05" w:rsidRPr="00CC5778">
        <w:rPr>
          <w:sz w:val="22"/>
          <w:szCs w:val="22"/>
          <w:lang w:val="en-US"/>
        </w:rPr>
        <w:t xml:space="preserve"> percent from the previous month.</w:t>
      </w:r>
      <w:r w:rsidR="009E3C31">
        <w:rPr>
          <w:sz w:val="22"/>
          <w:szCs w:val="22"/>
          <w:lang w:val="en-US"/>
        </w:rPr>
        <w:t xml:space="preserve"> </w:t>
      </w:r>
      <w:r w:rsidR="00BA5751" w:rsidRPr="00CC5778">
        <w:rPr>
          <w:sz w:val="22"/>
          <w:szCs w:val="22"/>
          <w:lang w:val="en-US"/>
        </w:rPr>
        <w:t>Export volume index decreased by 0.3 percent, and the import volume index increased by 2.2 percent.</w:t>
      </w:r>
      <w:r w:rsidR="00C0432F" w:rsidRPr="00CC5778">
        <w:rPr>
          <w:sz w:val="22"/>
          <w:szCs w:val="22"/>
          <w:lang w:val="en-US"/>
        </w:rPr>
        <w:t xml:space="preserve"> We calculate the corresponding year on year growth as 3.9 percent </w:t>
      </w:r>
      <w:r w:rsidR="009E10EA">
        <w:rPr>
          <w:sz w:val="22"/>
          <w:szCs w:val="22"/>
          <w:lang w:val="en-US"/>
        </w:rPr>
        <w:t xml:space="preserve">given cumulative high </w:t>
      </w:r>
      <w:r w:rsidR="00C0432F" w:rsidRPr="00CC5778">
        <w:rPr>
          <w:sz w:val="22"/>
          <w:szCs w:val="22"/>
          <w:lang w:val="en-US"/>
        </w:rPr>
        <w:t>growth</w:t>
      </w:r>
      <w:r w:rsidR="009E10EA">
        <w:rPr>
          <w:sz w:val="22"/>
          <w:szCs w:val="22"/>
          <w:lang w:val="en-US"/>
        </w:rPr>
        <w:t xml:space="preserve"> </w:t>
      </w:r>
      <w:r w:rsidR="00230401">
        <w:rPr>
          <w:sz w:val="22"/>
          <w:szCs w:val="22"/>
          <w:lang w:val="en-US"/>
        </w:rPr>
        <w:t xml:space="preserve">rates </w:t>
      </w:r>
      <w:r w:rsidR="00230401" w:rsidRPr="00CC5778">
        <w:rPr>
          <w:sz w:val="22"/>
          <w:szCs w:val="22"/>
          <w:lang w:val="en-US"/>
        </w:rPr>
        <w:t>during</w:t>
      </w:r>
      <w:r w:rsidR="009E10EA">
        <w:rPr>
          <w:sz w:val="22"/>
          <w:szCs w:val="22"/>
          <w:lang w:val="en-US"/>
        </w:rPr>
        <w:t xml:space="preserve"> </w:t>
      </w:r>
      <w:r w:rsidR="00C0432F" w:rsidRPr="00CC5778">
        <w:rPr>
          <w:sz w:val="22"/>
          <w:szCs w:val="22"/>
          <w:lang w:val="en-US"/>
        </w:rPr>
        <w:t xml:space="preserve">the last three </w:t>
      </w:r>
      <w:r w:rsidR="003E0591" w:rsidRPr="00CC5778">
        <w:rPr>
          <w:sz w:val="22"/>
          <w:szCs w:val="22"/>
          <w:lang w:val="en-US"/>
        </w:rPr>
        <w:t>quarter</w:t>
      </w:r>
      <w:r w:rsidR="009E10EA">
        <w:rPr>
          <w:sz w:val="22"/>
          <w:szCs w:val="22"/>
          <w:lang w:val="en-US"/>
        </w:rPr>
        <w:t>s</w:t>
      </w:r>
      <w:r w:rsidR="00C0432F" w:rsidRPr="00CC5778">
        <w:rPr>
          <w:sz w:val="22"/>
          <w:szCs w:val="22"/>
          <w:lang w:val="en-US"/>
        </w:rPr>
        <w:t>.</w:t>
      </w:r>
    </w:p>
    <w:p w:rsidR="00F43211" w:rsidRPr="00CC5778" w:rsidRDefault="00F43211" w:rsidP="00F43211">
      <w:pPr>
        <w:spacing w:line="360" w:lineRule="auto"/>
        <w:ind w:left="-360" w:right="40"/>
        <w:jc w:val="both"/>
        <w:rPr>
          <w:sz w:val="22"/>
          <w:szCs w:val="22"/>
          <w:lang w:val="en-US"/>
        </w:rPr>
      </w:pPr>
    </w:p>
    <w:p w:rsidR="006F0161" w:rsidRPr="00CC5778" w:rsidRDefault="006F0161" w:rsidP="00F43211">
      <w:pPr>
        <w:spacing w:line="360" w:lineRule="auto"/>
        <w:ind w:left="-360" w:right="40"/>
        <w:jc w:val="both"/>
        <w:rPr>
          <w:sz w:val="22"/>
          <w:szCs w:val="22"/>
          <w:lang w:val="en-US"/>
        </w:rPr>
      </w:pPr>
      <w:r w:rsidRPr="00CC5778">
        <w:rPr>
          <w:sz w:val="22"/>
          <w:szCs w:val="22"/>
          <w:lang w:val="en-US"/>
        </w:rPr>
        <w:t>The current account deficit in July was $3.2 billion. 12-month rolling current account deficit increased from 44.2 billion to $45.0 billion.</w:t>
      </w:r>
    </w:p>
    <w:p w:rsidR="00F43211" w:rsidRPr="00CC5778" w:rsidRDefault="007641C8" w:rsidP="007641C8">
      <w:pPr>
        <w:spacing w:line="360" w:lineRule="auto"/>
        <w:ind w:left="-360" w:right="40"/>
        <w:jc w:val="both"/>
        <w:rPr>
          <w:sz w:val="22"/>
          <w:szCs w:val="22"/>
          <w:lang w:val="en-US"/>
        </w:rPr>
      </w:pPr>
      <w:r w:rsidRPr="00CC5778">
        <w:rPr>
          <w:sz w:val="22"/>
          <w:szCs w:val="22"/>
          <w:lang w:val="en-US"/>
        </w:rPr>
        <w:t>We expect the current account deficit to GDP ratio to rise from 5.7 percent in the second quarter to 6.1 percent in the third quarter, and the gold-excluded current account deficit to be 6.1 percent.</w:t>
      </w:r>
    </w:p>
    <w:p w:rsidR="00F43211" w:rsidRPr="00CC5778" w:rsidRDefault="00F43211" w:rsidP="00F43211">
      <w:pPr>
        <w:spacing w:line="360" w:lineRule="auto"/>
        <w:ind w:left="-360" w:right="42"/>
        <w:jc w:val="both"/>
        <w:rPr>
          <w:b/>
          <w:sz w:val="22"/>
          <w:szCs w:val="22"/>
          <w:lang w:val="en-US"/>
        </w:rPr>
      </w:pPr>
    </w:p>
    <w:p w:rsidR="00EB408D" w:rsidRPr="00CC5778" w:rsidRDefault="00FB39F4" w:rsidP="00EB408D">
      <w:pPr>
        <w:spacing w:line="288" w:lineRule="auto"/>
        <w:ind w:right="-318"/>
        <w:jc w:val="both"/>
        <w:rPr>
          <w:rFonts w:ascii="Arial" w:hAnsi="Arial" w:cs="Arial"/>
          <w:color w:val="FF0000"/>
          <w:sz w:val="16"/>
          <w:szCs w:val="16"/>
          <w:lang w:val="en-US"/>
        </w:rPr>
      </w:pP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5FQIAACs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B1GirQg&#10;0U4ojrIstKYzrgCPtdrbUBy9qBez0/SrQ0qvG6KOPFJ8vRqIixHJQ0jYOAMJDt1HzcCHnLyOfbrU&#10;tg2Q0AF0iXJc73Lwi0cUDifTLJ+loBqFu9nTNDBKSHELNdb5D1y3KBgllkA7QpPzzvne9eYSMim9&#10;FVJGvaVCXYkX08k0BjgtBQuXwc3Z42EtLTqTMDHxG/I+uFl9UiyCNZywzWB7ImRvA0+pAh4UA3QG&#10;qx+Jb4t0sZlv5vkon8w2ozytqtH77TofzbbZu2n1VK3XVfY9UMvyohGMcRXY3cYzy/9O/uGh9IN1&#10;H9B7G5JH9NhaIHv7R9JRzSBgPwoHza57G1obhIWJjM7D6wkj/+s+ev1846sfAA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fk6D+RUCAAArBAAADgAAAAAAAAAAAAAAAAAuAgAAZHJzL2Uyb0RvYy54bWxQSwECLQAUAAYACAAA&#10;ACEA+QGAlN0AAAAJAQAADwAAAAAAAAAAAAAAAABvBAAAZHJzL2Rvd25yZXYueG1sUEsFBgAAAAAE&#10;AAQA8wAAAHkFAAAAAA==&#10;"/>
            </w:pict>
          </mc:Fallback>
        </mc:AlternateContent>
      </w:r>
      <w:r>
        <w:rPr>
          <w:rFonts w:ascii="Arial" w:hAnsi="Arial" w:cs="Arial"/>
          <w:noProof/>
          <w:color w:val="FF0000"/>
          <w:sz w:val="16"/>
          <w:szCs w:val="16"/>
        </w:rPr>
        <mc:AlternateContent>
          <mc:Choice Requires="wpc">
            <w:drawing>
              <wp:inline distT="0" distB="0" distL="0" distR="0">
                <wp:extent cx="2514600" cy="45720"/>
                <wp:effectExtent l="0" t="0" r="0" b="0"/>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B408D" w:rsidRPr="00CC5778" w:rsidRDefault="00EB408D" w:rsidP="00EB408D">
      <w:pPr>
        <w:spacing w:line="288" w:lineRule="auto"/>
        <w:ind w:left="-360" w:right="-318"/>
        <w:jc w:val="both"/>
        <w:rPr>
          <w:sz w:val="16"/>
          <w:szCs w:val="16"/>
          <w:lang w:val="en-US"/>
        </w:rPr>
      </w:pPr>
      <w:r w:rsidRPr="00CC5778">
        <w:rPr>
          <w:sz w:val="16"/>
          <w:szCs w:val="16"/>
          <w:lang w:val="en-US"/>
        </w:rPr>
        <w:t xml:space="preserve">* </w:t>
      </w:r>
      <w:r w:rsidR="000F0372" w:rsidRPr="00CC5778">
        <w:rPr>
          <w:sz w:val="16"/>
          <w:szCs w:val="16"/>
          <w:lang w:val="en-US"/>
        </w:rPr>
        <w:t xml:space="preserve">Prof. Dr. Seyfettin </w:t>
      </w:r>
      <w:proofErr w:type="spellStart"/>
      <w:r w:rsidR="000F0372" w:rsidRPr="00CC5778">
        <w:rPr>
          <w:sz w:val="16"/>
          <w:szCs w:val="16"/>
          <w:lang w:val="en-US"/>
        </w:rPr>
        <w:t>Gürsel</w:t>
      </w:r>
      <w:proofErr w:type="spellEnd"/>
      <w:r w:rsidR="000F0372" w:rsidRPr="00CC5778">
        <w:rPr>
          <w:sz w:val="16"/>
          <w:szCs w:val="16"/>
          <w:lang w:val="en-US"/>
        </w:rPr>
        <w:t>, Betam,</w:t>
      </w:r>
      <w:r w:rsidR="00434DBF" w:rsidRPr="00CC5778">
        <w:rPr>
          <w:sz w:val="16"/>
          <w:szCs w:val="16"/>
          <w:lang w:val="en-US"/>
        </w:rPr>
        <w:t xml:space="preserve"> Director</w:t>
      </w:r>
      <w:r w:rsidR="000F0372" w:rsidRPr="00CC5778">
        <w:rPr>
          <w:sz w:val="16"/>
          <w:szCs w:val="16"/>
          <w:lang w:val="en-US"/>
        </w:rPr>
        <w:t xml:space="preserve"> </w:t>
      </w:r>
    </w:p>
    <w:p w:rsidR="00EB408D" w:rsidRPr="00CC5778" w:rsidRDefault="00460BB5" w:rsidP="00EB408D">
      <w:pPr>
        <w:spacing w:line="288" w:lineRule="auto"/>
        <w:ind w:left="-360" w:right="-318"/>
        <w:jc w:val="both"/>
        <w:rPr>
          <w:rStyle w:val="Hyperlink"/>
          <w:lang w:val="en-US"/>
        </w:rPr>
      </w:pPr>
      <w:hyperlink r:id="rId11" w:history="1">
        <w:r w:rsidR="000F0372" w:rsidRPr="00CC5778">
          <w:rPr>
            <w:rStyle w:val="Hyperlink"/>
            <w:sz w:val="16"/>
            <w:szCs w:val="16"/>
            <w:lang w:val="en-US"/>
          </w:rPr>
          <w:t>seyfettin.gursel</w:t>
        </w:r>
        <w:r w:rsidR="00EB408D" w:rsidRPr="00CC5778">
          <w:rPr>
            <w:rStyle w:val="Hyperlink"/>
            <w:sz w:val="16"/>
            <w:szCs w:val="16"/>
            <w:lang w:val="en-US"/>
          </w:rPr>
          <w:t>@eas.bahcesehir.edu.tr</w:t>
        </w:r>
      </w:hyperlink>
    </w:p>
    <w:p w:rsidR="00EB408D" w:rsidRPr="00CC5778" w:rsidRDefault="00EB408D" w:rsidP="00EB408D">
      <w:pPr>
        <w:spacing w:line="288" w:lineRule="auto"/>
        <w:ind w:left="-360" w:right="-318"/>
        <w:jc w:val="both"/>
        <w:rPr>
          <w:sz w:val="16"/>
          <w:szCs w:val="16"/>
          <w:lang w:val="en-US"/>
        </w:rPr>
      </w:pPr>
      <w:r w:rsidRPr="00CC5778">
        <w:rPr>
          <w:sz w:val="16"/>
          <w:szCs w:val="16"/>
          <w:lang w:val="en-US"/>
        </w:rPr>
        <w:t xml:space="preserve">** </w:t>
      </w:r>
      <w:r w:rsidR="000F0372" w:rsidRPr="00CC5778">
        <w:rPr>
          <w:sz w:val="16"/>
          <w:szCs w:val="16"/>
          <w:lang w:val="en-US"/>
        </w:rPr>
        <w:t>Mine Durmaz</w:t>
      </w:r>
      <w:r w:rsidRPr="00CC5778">
        <w:rPr>
          <w:sz w:val="16"/>
          <w:szCs w:val="16"/>
          <w:lang w:val="en-US"/>
        </w:rPr>
        <w:t xml:space="preserve">, Betam, </w:t>
      </w:r>
      <w:r w:rsidR="00434DBF" w:rsidRPr="00CC5778">
        <w:rPr>
          <w:sz w:val="16"/>
          <w:szCs w:val="16"/>
          <w:lang w:val="en-US"/>
        </w:rPr>
        <w:t>Research Assistant</w:t>
      </w:r>
    </w:p>
    <w:p w:rsidR="00EB408D" w:rsidRPr="00CC5778" w:rsidRDefault="00460BB5" w:rsidP="00EB408D">
      <w:pPr>
        <w:ind w:left="-360"/>
        <w:rPr>
          <w:lang w:val="en-US"/>
        </w:rPr>
      </w:pPr>
      <w:hyperlink r:id="rId12" w:history="1">
        <w:r w:rsidR="000F0372" w:rsidRPr="00CC5778">
          <w:rPr>
            <w:rStyle w:val="Hyperlink"/>
            <w:sz w:val="16"/>
            <w:szCs w:val="16"/>
            <w:lang w:val="en-US"/>
          </w:rPr>
          <w:t>mine.durmaz</w:t>
        </w:r>
        <w:r w:rsidR="00EB408D" w:rsidRPr="00CC5778">
          <w:rPr>
            <w:rStyle w:val="Hyperlink"/>
            <w:sz w:val="16"/>
            <w:szCs w:val="16"/>
            <w:lang w:val="en-US"/>
          </w:rPr>
          <w:t>@eas.bahcesehir.edu.tr</w:t>
        </w:r>
      </w:hyperlink>
    </w:p>
    <w:p w:rsidR="00F43211" w:rsidRPr="00CC5778" w:rsidRDefault="00F43211" w:rsidP="00EB408D">
      <w:pPr>
        <w:ind w:left="-360"/>
        <w:rPr>
          <w:sz w:val="16"/>
          <w:szCs w:val="16"/>
          <w:lang w:val="en-US"/>
        </w:rPr>
      </w:pPr>
      <w:r w:rsidRPr="00CC5778">
        <w:rPr>
          <w:sz w:val="16"/>
          <w:szCs w:val="16"/>
          <w:lang w:val="en-US"/>
        </w:rPr>
        <w:t xml:space="preserve">***Melike </w:t>
      </w:r>
      <w:proofErr w:type="spellStart"/>
      <w:r w:rsidRPr="00CC5778">
        <w:rPr>
          <w:sz w:val="16"/>
          <w:szCs w:val="16"/>
          <w:lang w:val="en-US"/>
        </w:rPr>
        <w:t>Kökkızıl</w:t>
      </w:r>
      <w:proofErr w:type="spellEnd"/>
      <w:r w:rsidRPr="00CC5778">
        <w:rPr>
          <w:sz w:val="16"/>
          <w:szCs w:val="16"/>
          <w:lang w:val="en-US"/>
        </w:rPr>
        <w:t xml:space="preserve">, Betam, </w:t>
      </w:r>
      <w:r w:rsidR="00434DBF" w:rsidRPr="00CC5778">
        <w:rPr>
          <w:sz w:val="16"/>
          <w:szCs w:val="16"/>
          <w:lang w:val="en-US"/>
        </w:rPr>
        <w:t>Research Assistant</w:t>
      </w:r>
    </w:p>
    <w:p w:rsidR="00F43211" w:rsidRPr="00CC5778" w:rsidRDefault="00460BB5" w:rsidP="00EB408D">
      <w:pPr>
        <w:ind w:left="-360"/>
        <w:rPr>
          <w:color w:val="FF0000"/>
          <w:sz w:val="16"/>
          <w:szCs w:val="16"/>
          <w:lang w:val="en-US"/>
        </w:rPr>
      </w:pPr>
      <w:hyperlink r:id="rId13" w:history="1">
        <w:r w:rsidR="00F43211" w:rsidRPr="00CC5778">
          <w:rPr>
            <w:rStyle w:val="Hyperlink"/>
            <w:sz w:val="16"/>
            <w:szCs w:val="16"/>
            <w:lang w:val="en-US"/>
          </w:rPr>
          <w:t>melike.kokkızıl@eas.bahcsehir.edu.tr</w:t>
        </w:r>
      </w:hyperlink>
    </w:p>
    <w:p w:rsidR="00EB408D" w:rsidRPr="00CC5778" w:rsidRDefault="00EB408D" w:rsidP="00EB408D">
      <w:pPr>
        <w:outlineLvl w:val="0"/>
        <w:rPr>
          <w:b/>
          <w:bCs/>
          <w:color w:val="FF0000"/>
          <w:sz w:val="22"/>
          <w:szCs w:val="22"/>
          <w:lang w:val="en-US"/>
        </w:rPr>
      </w:pPr>
    </w:p>
    <w:p w:rsidR="00EB408D" w:rsidRPr="00CC5778" w:rsidRDefault="00EB408D" w:rsidP="00EB408D">
      <w:pPr>
        <w:outlineLvl w:val="0"/>
        <w:rPr>
          <w:b/>
          <w:bCs/>
          <w:color w:val="FF0000"/>
          <w:sz w:val="22"/>
          <w:szCs w:val="22"/>
          <w:lang w:val="en-US"/>
        </w:rPr>
      </w:pPr>
    </w:p>
    <w:p w:rsidR="00EB408D" w:rsidRPr="00CC5778" w:rsidRDefault="00EB408D" w:rsidP="00B7095B">
      <w:pPr>
        <w:ind w:left="-284" w:right="-71"/>
        <w:outlineLvl w:val="0"/>
        <w:rPr>
          <w:b/>
          <w:bCs/>
          <w:sz w:val="22"/>
          <w:szCs w:val="22"/>
          <w:lang w:val="en-US"/>
        </w:rPr>
      </w:pPr>
      <w:proofErr w:type="gramStart"/>
      <w:r w:rsidRPr="00CC5778">
        <w:rPr>
          <w:b/>
          <w:bCs/>
          <w:sz w:val="22"/>
          <w:szCs w:val="22"/>
          <w:lang w:val="en-US"/>
        </w:rPr>
        <w:lastRenderedPageBreak/>
        <w:t>Tabl</w:t>
      </w:r>
      <w:r w:rsidR="00B7095B" w:rsidRPr="00CC5778">
        <w:rPr>
          <w:b/>
          <w:bCs/>
          <w:sz w:val="22"/>
          <w:szCs w:val="22"/>
          <w:lang w:val="en-US"/>
        </w:rPr>
        <w:t>e</w:t>
      </w:r>
      <w:r w:rsidR="009E3C31">
        <w:rPr>
          <w:b/>
          <w:bCs/>
          <w:sz w:val="22"/>
          <w:szCs w:val="22"/>
          <w:lang w:val="en-US"/>
        </w:rPr>
        <w:t xml:space="preserve"> 1</w:t>
      </w:r>
      <w:r w:rsidRPr="00CC5778">
        <w:rPr>
          <w:b/>
          <w:bCs/>
          <w:sz w:val="22"/>
          <w:szCs w:val="22"/>
          <w:lang w:val="en-US"/>
        </w:rPr>
        <w:t>.</w:t>
      </w:r>
      <w:proofErr w:type="gramEnd"/>
      <w:r w:rsidRPr="00CC5778">
        <w:rPr>
          <w:b/>
          <w:bCs/>
          <w:sz w:val="22"/>
          <w:szCs w:val="22"/>
          <w:lang w:val="en-US"/>
        </w:rPr>
        <w:t xml:space="preserve"> </w:t>
      </w:r>
      <w:proofErr w:type="spellStart"/>
      <w:r w:rsidR="00B7095B" w:rsidRPr="00CC5778">
        <w:rPr>
          <w:b/>
          <w:bCs/>
          <w:sz w:val="22"/>
          <w:szCs w:val="22"/>
          <w:lang w:val="en-US"/>
        </w:rPr>
        <w:t>Betam's</w:t>
      </w:r>
      <w:proofErr w:type="spellEnd"/>
      <w:r w:rsidR="00B7095B" w:rsidRPr="00CC5778">
        <w:rPr>
          <w:b/>
          <w:bCs/>
          <w:sz w:val="22"/>
          <w:szCs w:val="22"/>
          <w:lang w:val="en-US"/>
        </w:rPr>
        <w:t xml:space="preserve"> quarterly and annual growth rate forecasts</w:t>
      </w:r>
    </w:p>
    <w:tbl>
      <w:tblPr>
        <w:tblpPr w:leftFromText="141" w:rightFromText="141" w:vertAnchor="text" w:horzAnchor="margin" w:tblpXSpec="right" w:tblpY="129"/>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4"/>
        <w:gridCol w:w="1362"/>
      </w:tblGrid>
      <w:tr w:rsidR="003B33D9" w:rsidRPr="00CC5778" w:rsidTr="003B33D9">
        <w:trPr>
          <w:trHeight w:val="986"/>
        </w:trPr>
        <w:tc>
          <w:tcPr>
            <w:tcW w:w="3244" w:type="dxa"/>
            <w:tcMar>
              <w:left w:w="28" w:type="dxa"/>
              <w:right w:w="28" w:type="dxa"/>
            </w:tcMar>
            <w:vAlign w:val="center"/>
          </w:tcPr>
          <w:p w:rsidR="003B33D9" w:rsidRPr="00CC5778" w:rsidRDefault="003B33D9" w:rsidP="001763E1">
            <w:pPr>
              <w:ind w:right="42"/>
              <w:jc w:val="center"/>
              <w:rPr>
                <w:color w:val="FF0000"/>
                <w:sz w:val="20"/>
                <w:szCs w:val="20"/>
                <w:lang w:val="en-US"/>
              </w:rPr>
            </w:pPr>
          </w:p>
        </w:tc>
        <w:tc>
          <w:tcPr>
            <w:tcW w:w="1362" w:type="dxa"/>
            <w:vAlign w:val="center"/>
          </w:tcPr>
          <w:p w:rsidR="003B33D9" w:rsidRPr="00CC5778" w:rsidRDefault="003B33D9" w:rsidP="001763E1">
            <w:pPr>
              <w:ind w:right="40"/>
              <w:jc w:val="center"/>
              <w:rPr>
                <w:b/>
                <w:bCs/>
                <w:sz w:val="20"/>
                <w:szCs w:val="20"/>
                <w:lang w:val="en-US"/>
              </w:rPr>
            </w:pPr>
            <w:r w:rsidRPr="00CC5778">
              <w:rPr>
                <w:b/>
                <w:bCs/>
                <w:sz w:val="20"/>
                <w:szCs w:val="20"/>
                <w:lang w:val="en-US"/>
              </w:rPr>
              <w:t>2015</w:t>
            </w:r>
          </w:p>
          <w:p w:rsidR="003B33D9" w:rsidRPr="00CC5778" w:rsidRDefault="002F6BD8" w:rsidP="00B7095B">
            <w:pPr>
              <w:ind w:right="40"/>
              <w:jc w:val="center"/>
              <w:rPr>
                <w:b/>
                <w:bCs/>
                <w:sz w:val="20"/>
                <w:szCs w:val="20"/>
                <w:lang w:val="en-US"/>
              </w:rPr>
            </w:pPr>
            <w:r w:rsidRPr="00CC5778">
              <w:rPr>
                <w:b/>
                <w:bCs/>
                <w:sz w:val="20"/>
                <w:szCs w:val="20"/>
                <w:lang w:val="en-US"/>
              </w:rPr>
              <w:t>3</w:t>
            </w:r>
            <w:r w:rsidR="003B33D9" w:rsidRPr="00CC5778">
              <w:rPr>
                <w:b/>
                <w:bCs/>
                <w:sz w:val="20"/>
                <w:szCs w:val="20"/>
                <w:lang w:val="en-US"/>
              </w:rPr>
              <w:t xml:space="preserve">. </w:t>
            </w:r>
            <w:r w:rsidR="00B7095B" w:rsidRPr="00CC5778">
              <w:rPr>
                <w:b/>
                <w:bCs/>
                <w:sz w:val="20"/>
                <w:szCs w:val="20"/>
                <w:lang w:val="en-US"/>
              </w:rPr>
              <w:t>Quarter Forecast</w:t>
            </w:r>
          </w:p>
          <w:p w:rsidR="003B33D9" w:rsidRPr="00CC5778" w:rsidRDefault="003B33D9" w:rsidP="001763E1">
            <w:pPr>
              <w:ind w:right="40"/>
              <w:jc w:val="center"/>
              <w:rPr>
                <w:b/>
                <w:bCs/>
                <w:color w:val="FF0000"/>
                <w:sz w:val="20"/>
                <w:szCs w:val="20"/>
                <w:lang w:val="en-US"/>
              </w:rPr>
            </w:pPr>
            <w:r w:rsidRPr="00CC5778">
              <w:rPr>
                <w:b/>
                <w:bCs/>
                <w:sz w:val="20"/>
                <w:szCs w:val="20"/>
                <w:lang w:val="en-US"/>
              </w:rPr>
              <w:t>(%)</w:t>
            </w:r>
          </w:p>
        </w:tc>
      </w:tr>
      <w:tr w:rsidR="003B33D9" w:rsidRPr="00CC5778" w:rsidTr="003B33D9">
        <w:trPr>
          <w:trHeight w:val="771"/>
        </w:trPr>
        <w:tc>
          <w:tcPr>
            <w:tcW w:w="3244" w:type="dxa"/>
            <w:tcMar>
              <w:left w:w="28" w:type="dxa"/>
              <w:right w:w="28" w:type="dxa"/>
            </w:tcMar>
            <w:vAlign w:val="center"/>
          </w:tcPr>
          <w:p w:rsidR="00B95EB9" w:rsidRPr="00CC5778" w:rsidRDefault="00B95EB9" w:rsidP="00B95EB9">
            <w:pPr>
              <w:spacing w:line="360" w:lineRule="auto"/>
              <w:ind w:right="42"/>
              <w:rPr>
                <w:b/>
                <w:sz w:val="20"/>
                <w:szCs w:val="20"/>
                <w:lang w:val="en-US"/>
              </w:rPr>
            </w:pPr>
            <w:r w:rsidRPr="00CC5778">
              <w:rPr>
                <w:b/>
                <w:sz w:val="20"/>
                <w:szCs w:val="20"/>
                <w:lang w:val="en-US"/>
              </w:rPr>
              <w:t xml:space="preserve">Real GDP growth, % </w:t>
            </w:r>
          </w:p>
          <w:p w:rsidR="003B33D9" w:rsidRPr="00CC5778" w:rsidRDefault="00B95EB9" w:rsidP="00B95EB9">
            <w:pPr>
              <w:ind w:right="42"/>
              <w:rPr>
                <w:sz w:val="20"/>
                <w:szCs w:val="20"/>
                <w:lang w:val="en-US"/>
              </w:rPr>
            </w:pPr>
            <w:r w:rsidRPr="00CC5778">
              <w:rPr>
                <w:sz w:val="20"/>
                <w:szCs w:val="20"/>
                <w:lang w:val="en-US"/>
              </w:rPr>
              <w:t xml:space="preserve">(quarter on quarter, </w:t>
            </w:r>
            <w:proofErr w:type="spellStart"/>
            <w:r w:rsidRPr="00CC5778">
              <w:rPr>
                <w:sz w:val="20"/>
                <w:szCs w:val="20"/>
                <w:lang w:val="en-US"/>
              </w:rPr>
              <w:t>sa</w:t>
            </w:r>
            <w:proofErr w:type="spellEnd"/>
            <w:r w:rsidRPr="00CC5778">
              <w:rPr>
                <w:sz w:val="20"/>
                <w:szCs w:val="20"/>
                <w:lang w:val="en-US"/>
              </w:rPr>
              <w:t>*)</w:t>
            </w:r>
          </w:p>
        </w:tc>
        <w:tc>
          <w:tcPr>
            <w:tcW w:w="1362" w:type="dxa"/>
            <w:vAlign w:val="center"/>
          </w:tcPr>
          <w:p w:rsidR="003B33D9" w:rsidRPr="00CC5778" w:rsidRDefault="00283666" w:rsidP="00B7095B">
            <w:pPr>
              <w:ind w:right="42"/>
              <w:jc w:val="center"/>
              <w:rPr>
                <w:sz w:val="20"/>
                <w:szCs w:val="20"/>
                <w:lang w:val="en-US"/>
              </w:rPr>
            </w:pPr>
            <w:r w:rsidRPr="00CC5778">
              <w:rPr>
                <w:sz w:val="20"/>
                <w:szCs w:val="20"/>
                <w:lang w:val="en-US"/>
              </w:rPr>
              <w:t>0</w:t>
            </w:r>
            <w:r w:rsidR="00B7095B" w:rsidRPr="00CC5778">
              <w:rPr>
                <w:sz w:val="20"/>
                <w:szCs w:val="20"/>
                <w:lang w:val="en-US"/>
              </w:rPr>
              <w:t>.</w:t>
            </w:r>
            <w:r w:rsidRPr="00CC5778">
              <w:rPr>
                <w:sz w:val="20"/>
                <w:szCs w:val="20"/>
                <w:lang w:val="en-US"/>
              </w:rPr>
              <w:t>1</w:t>
            </w:r>
          </w:p>
        </w:tc>
      </w:tr>
      <w:tr w:rsidR="003B33D9" w:rsidRPr="00CC5778" w:rsidTr="003B33D9">
        <w:trPr>
          <w:trHeight w:val="756"/>
        </w:trPr>
        <w:tc>
          <w:tcPr>
            <w:tcW w:w="3244" w:type="dxa"/>
            <w:tcMar>
              <w:left w:w="28" w:type="dxa"/>
              <w:right w:w="28" w:type="dxa"/>
            </w:tcMar>
            <w:vAlign w:val="center"/>
          </w:tcPr>
          <w:p w:rsidR="00B95EB9" w:rsidRPr="00CC5778" w:rsidRDefault="00B95EB9" w:rsidP="00B95EB9">
            <w:pPr>
              <w:spacing w:line="360" w:lineRule="auto"/>
              <w:ind w:right="42"/>
              <w:rPr>
                <w:sz w:val="20"/>
                <w:szCs w:val="20"/>
                <w:lang w:val="en-US"/>
              </w:rPr>
            </w:pPr>
            <w:r w:rsidRPr="00CC5778">
              <w:rPr>
                <w:b/>
                <w:sz w:val="20"/>
                <w:szCs w:val="20"/>
                <w:lang w:val="en-US"/>
              </w:rPr>
              <w:t>Real GDP growth, %</w:t>
            </w:r>
          </w:p>
          <w:p w:rsidR="003B33D9" w:rsidRPr="00CC5778" w:rsidRDefault="00B95EB9" w:rsidP="00B95EB9">
            <w:pPr>
              <w:ind w:right="42"/>
              <w:rPr>
                <w:sz w:val="20"/>
                <w:szCs w:val="20"/>
                <w:lang w:val="en-US"/>
              </w:rPr>
            </w:pPr>
            <w:r w:rsidRPr="00CC5778">
              <w:rPr>
                <w:sz w:val="20"/>
                <w:szCs w:val="20"/>
                <w:lang w:val="en-US"/>
              </w:rPr>
              <w:t xml:space="preserve">(year on year, </w:t>
            </w:r>
            <w:proofErr w:type="spellStart"/>
            <w:r w:rsidRPr="00CC5778">
              <w:rPr>
                <w:sz w:val="20"/>
                <w:szCs w:val="20"/>
                <w:lang w:val="en-US"/>
              </w:rPr>
              <w:t>sa</w:t>
            </w:r>
            <w:proofErr w:type="spellEnd"/>
            <w:r w:rsidRPr="00CC5778">
              <w:rPr>
                <w:sz w:val="20"/>
                <w:szCs w:val="20"/>
                <w:lang w:val="en-US"/>
              </w:rPr>
              <w:t>**)</w:t>
            </w:r>
          </w:p>
        </w:tc>
        <w:tc>
          <w:tcPr>
            <w:tcW w:w="1362" w:type="dxa"/>
            <w:vAlign w:val="center"/>
          </w:tcPr>
          <w:p w:rsidR="003B33D9" w:rsidRPr="00CC5778" w:rsidRDefault="003B33D9" w:rsidP="001763E1">
            <w:pPr>
              <w:ind w:right="42"/>
              <w:jc w:val="center"/>
              <w:rPr>
                <w:sz w:val="20"/>
                <w:szCs w:val="20"/>
                <w:lang w:val="en-US"/>
              </w:rPr>
            </w:pPr>
          </w:p>
          <w:p w:rsidR="003B33D9" w:rsidRPr="00CC5778" w:rsidRDefault="00B7095B" w:rsidP="001763E1">
            <w:pPr>
              <w:ind w:right="42"/>
              <w:jc w:val="center"/>
              <w:rPr>
                <w:sz w:val="20"/>
                <w:szCs w:val="20"/>
                <w:lang w:val="en-US"/>
              </w:rPr>
            </w:pPr>
            <w:r w:rsidRPr="00CC5778">
              <w:rPr>
                <w:sz w:val="20"/>
                <w:szCs w:val="20"/>
                <w:lang w:val="en-US"/>
              </w:rPr>
              <w:t>3.</w:t>
            </w:r>
            <w:r w:rsidR="00283666" w:rsidRPr="00CC5778">
              <w:rPr>
                <w:sz w:val="20"/>
                <w:szCs w:val="20"/>
                <w:lang w:val="en-US"/>
              </w:rPr>
              <w:t>9</w:t>
            </w:r>
          </w:p>
          <w:p w:rsidR="003B33D9" w:rsidRPr="00CC5778" w:rsidRDefault="003B33D9" w:rsidP="001763E1">
            <w:pPr>
              <w:ind w:right="42"/>
              <w:jc w:val="center"/>
              <w:rPr>
                <w:sz w:val="20"/>
                <w:szCs w:val="20"/>
                <w:lang w:val="en-US"/>
              </w:rPr>
            </w:pPr>
          </w:p>
        </w:tc>
      </w:tr>
      <w:tr w:rsidR="003B33D9" w:rsidRPr="00CC5778" w:rsidTr="003B33D9">
        <w:trPr>
          <w:trHeight w:val="756"/>
        </w:trPr>
        <w:tc>
          <w:tcPr>
            <w:tcW w:w="3244" w:type="dxa"/>
            <w:tcMar>
              <w:left w:w="28" w:type="dxa"/>
              <w:right w:w="28" w:type="dxa"/>
            </w:tcMar>
            <w:vAlign w:val="center"/>
          </w:tcPr>
          <w:p w:rsidR="00B95EB9" w:rsidRPr="00CC5778" w:rsidRDefault="00B95EB9" w:rsidP="00B95EB9">
            <w:pPr>
              <w:spacing w:line="360" w:lineRule="auto"/>
              <w:ind w:right="42"/>
              <w:rPr>
                <w:sz w:val="20"/>
                <w:szCs w:val="20"/>
                <w:lang w:val="en-US"/>
              </w:rPr>
            </w:pPr>
            <w:r w:rsidRPr="00CC5778">
              <w:rPr>
                <w:b/>
                <w:sz w:val="20"/>
                <w:szCs w:val="20"/>
                <w:lang w:val="en-US"/>
              </w:rPr>
              <w:t>Current account deficit</w:t>
            </w:r>
          </w:p>
          <w:p w:rsidR="003B33D9" w:rsidRPr="00CC5778" w:rsidRDefault="00B95EB9" w:rsidP="00B95EB9">
            <w:pPr>
              <w:ind w:right="40"/>
              <w:rPr>
                <w:sz w:val="20"/>
                <w:szCs w:val="20"/>
                <w:lang w:val="en-US"/>
              </w:rPr>
            </w:pPr>
            <w:r w:rsidRPr="00CC5778">
              <w:rPr>
                <w:sz w:val="20"/>
                <w:szCs w:val="20"/>
                <w:lang w:val="en-US"/>
              </w:rPr>
              <w:t>(% of GDP, annual)</w:t>
            </w:r>
          </w:p>
        </w:tc>
        <w:tc>
          <w:tcPr>
            <w:tcW w:w="1362" w:type="dxa"/>
            <w:vAlign w:val="center"/>
          </w:tcPr>
          <w:p w:rsidR="003B33D9" w:rsidRPr="00CC5778" w:rsidRDefault="00B7095B" w:rsidP="001763E1">
            <w:pPr>
              <w:ind w:right="40"/>
              <w:jc w:val="center"/>
              <w:rPr>
                <w:sz w:val="20"/>
                <w:szCs w:val="20"/>
                <w:lang w:val="en-US"/>
              </w:rPr>
            </w:pPr>
            <w:r w:rsidRPr="00CC5778">
              <w:rPr>
                <w:sz w:val="20"/>
                <w:szCs w:val="20"/>
                <w:lang w:val="en-US"/>
              </w:rPr>
              <w:t>6.</w:t>
            </w:r>
            <w:r w:rsidR="00283666" w:rsidRPr="00CC5778">
              <w:rPr>
                <w:sz w:val="20"/>
                <w:szCs w:val="20"/>
                <w:lang w:val="en-US"/>
              </w:rPr>
              <w:t>1</w:t>
            </w:r>
          </w:p>
        </w:tc>
      </w:tr>
      <w:tr w:rsidR="003B33D9" w:rsidRPr="00CC5778" w:rsidTr="003B33D9">
        <w:trPr>
          <w:trHeight w:val="583"/>
        </w:trPr>
        <w:tc>
          <w:tcPr>
            <w:tcW w:w="3244" w:type="dxa"/>
            <w:tcMar>
              <w:left w:w="28" w:type="dxa"/>
              <w:right w:w="28" w:type="dxa"/>
            </w:tcMar>
            <w:vAlign w:val="center"/>
          </w:tcPr>
          <w:p w:rsidR="00B95EB9" w:rsidRPr="00CC5778" w:rsidRDefault="00B95EB9" w:rsidP="00B95EB9">
            <w:pPr>
              <w:spacing w:line="360" w:lineRule="auto"/>
              <w:ind w:right="42"/>
              <w:rPr>
                <w:b/>
                <w:sz w:val="20"/>
                <w:szCs w:val="20"/>
                <w:lang w:val="en-US"/>
              </w:rPr>
            </w:pPr>
            <w:r w:rsidRPr="00CC5778">
              <w:rPr>
                <w:b/>
                <w:sz w:val="20"/>
                <w:szCs w:val="20"/>
                <w:lang w:val="en-US"/>
              </w:rPr>
              <w:t xml:space="preserve">Gold Excluded current account deficit </w:t>
            </w:r>
          </w:p>
          <w:p w:rsidR="003B33D9" w:rsidRPr="00CC5778" w:rsidRDefault="00B95EB9" w:rsidP="00B95EB9">
            <w:pPr>
              <w:spacing w:line="360" w:lineRule="auto"/>
              <w:ind w:right="42"/>
              <w:rPr>
                <w:sz w:val="20"/>
                <w:szCs w:val="20"/>
                <w:lang w:val="en-US"/>
              </w:rPr>
            </w:pPr>
            <w:r w:rsidRPr="00CC5778">
              <w:rPr>
                <w:sz w:val="20"/>
                <w:szCs w:val="20"/>
                <w:lang w:val="en-US"/>
              </w:rPr>
              <w:t>(% of GDP, annual)</w:t>
            </w:r>
          </w:p>
        </w:tc>
        <w:tc>
          <w:tcPr>
            <w:tcW w:w="1362" w:type="dxa"/>
            <w:vAlign w:val="center"/>
          </w:tcPr>
          <w:p w:rsidR="003B33D9" w:rsidRPr="00CC5778" w:rsidRDefault="00B7095B" w:rsidP="00283666">
            <w:pPr>
              <w:ind w:right="40"/>
              <w:jc w:val="center"/>
              <w:rPr>
                <w:sz w:val="20"/>
                <w:szCs w:val="20"/>
                <w:lang w:val="en-US"/>
              </w:rPr>
            </w:pPr>
            <w:r w:rsidRPr="00CC5778">
              <w:rPr>
                <w:sz w:val="20"/>
                <w:szCs w:val="20"/>
                <w:lang w:val="en-US"/>
              </w:rPr>
              <w:t>6.</w:t>
            </w:r>
            <w:r w:rsidR="00283666" w:rsidRPr="00CC5778">
              <w:rPr>
                <w:sz w:val="20"/>
                <w:szCs w:val="20"/>
                <w:lang w:val="en-US"/>
              </w:rPr>
              <w:t>1</w:t>
            </w:r>
          </w:p>
        </w:tc>
      </w:tr>
    </w:tbl>
    <w:p w:rsidR="00EB408D" w:rsidRPr="00CC5778" w:rsidRDefault="00EB408D" w:rsidP="00EB408D">
      <w:pPr>
        <w:ind w:left="-360" w:right="40"/>
        <w:rPr>
          <w:color w:val="FF0000"/>
          <w:sz w:val="4"/>
          <w:szCs w:val="4"/>
          <w:lang w:val="en-US"/>
        </w:rPr>
      </w:pPr>
    </w:p>
    <w:p w:rsidR="00B95EB9" w:rsidRPr="00CC5778" w:rsidRDefault="00B95EB9" w:rsidP="00B95EB9">
      <w:pPr>
        <w:ind w:left="-360" w:right="40"/>
        <w:jc w:val="both"/>
        <w:rPr>
          <w:sz w:val="16"/>
          <w:szCs w:val="16"/>
          <w:lang w:val="en-US"/>
        </w:rPr>
      </w:pPr>
      <w:r w:rsidRPr="00CC5778">
        <w:rPr>
          <w:sz w:val="16"/>
          <w:szCs w:val="16"/>
          <w:lang w:val="en-US"/>
        </w:rPr>
        <w:t>Source: Betam.*</w:t>
      </w:r>
      <w:proofErr w:type="gramStart"/>
      <w:r w:rsidRPr="00CC5778">
        <w:rPr>
          <w:sz w:val="16"/>
          <w:szCs w:val="16"/>
          <w:lang w:val="en-US"/>
        </w:rPr>
        <w:t>sa</w:t>
      </w:r>
      <w:proofErr w:type="gramEnd"/>
      <w:r w:rsidRPr="00CC5778">
        <w:rPr>
          <w:sz w:val="16"/>
          <w:szCs w:val="16"/>
          <w:lang w:val="en-US"/>
        </w:rPr>
        <w:t>: seasonally and calendar day adjusted</w:t>
      </w:r>
    </w:p>
    <w:p w:rsidR="00F43211" w:rsidRPr="00CC5778" w:rsidRDefault="00F43211" w:rsidP="00EB408D">
      <w:pPr>
        <w:spacing w:line="360" w:lineRule="auto"/>
        <w:ind w:left="-360" w:right="42"/>
        <w:jc w:val="center"/>
        <w:rPr>
          <w:b/>
          <w:color w:val="FF0000"/>
          <w:sz w:val="22"/>
          <w:szCs w:val="22"/>
          <w:lang w:val="en-US"/>
        </w:rPr>
      </w:pPr>
    </w:p>
    <w:p w:rsidR="00537CB0" w:rsidRPr="00CC5778" w:rsidRDefault="00537CB0" w:rsidP="00F43211">
      <w:pPr>
        <w:spacing w:line="360" w:lineRule="auto"/>
        <w:ind w:left="-360" w:right="42"/>
        <w:jc w:val="center"/>
        <w:rPr>
          <w:b/>
          <w:sz w:val="22"/>
          <w:szCs w:val="22"/>
          <w:lang w:val="en-US"/>
        </w:rPr>
      </w:pPr>
      <w:r w:rsidRPr="00CC5778">
        <w:rPr>
          <w:b/>
          <w:sz w:val="22"/>
          <w:szCs w:val="22"/>
          <w:lang w:val="en-US"/>
        </w:rPr>
        <w:t>Decline in industrial production</w:t>
      </w:r>
    </w:p>
    <w:p w:rsidR="00F43211" w:rsidRPr="00CC5778" w:rsidRDefault="0095494D" w:rsidP="00F43211">
      <w:pPr>
        <w:spacing w:line="360" w:lineRule="auto"/>
        <w:ind w:left="-360" w:right="42"/>
        <w:jc w:val="both"/>
        <w:rPr>
          <w:sz w:val="22"/>
          <w:szCs w:val="22"/>
          <w:lang w:val="en-US"/>
        </w:rPr>
      </w:pPr>
      <w:r>
        <w:rPr>
          <w:sz w:val="22"/>
          <w:szCs w:val="22"/>
          <w:lang w:val="en-US"/>
        </w:rPr>
        <w:t>I</w:t>
      </w:r>
      <w:r w:rsidR="006B7849" w:rsidRPr="00CC5778">
        <w:rPr>
          <w:sz w:val="22"/>
          <w:szCs w:val="22"/>
          <w:lang w:val="en-US"/>
        </w:rPr>
        <w:t xml:space="preserve">ndustrial production had increased by 1.3 percent in the second quarter. </w:t>
      </w:r>
      <w:r>
        <w:rPr>
          <w:sz w:val="22"/>
          <w:szCs w:val="22"/>
          <w:lang w:val="en-US"/>
        </w:rPr>
        <w:t>H</w:t>
      </w:r>
      <w:r w:rsidR="00D371BF" w:rsidRPr="00CC5778">
        <w:rPr>
          <w:sz w:val="22"/>
          <w:szCs w:val="22"/>
          <w:lang w:val="en-US"/>
        </w:rPr>
        <w:t xml:space="preserve">owever, </w:t>
      </w:r>
      <w:r>
        <w:rPr>
          <w:sz w:val="22"/>
          <w:szCs w:val="22"/>
          <w:lang w:val="en-US"/>
        </w:rPr>
        <w:t xml:space="preserve">it </w:t>
      </w:r>
      <w:r w:rsidR="00D371BF" w:rsidRPr="00CC5778">
        <w:rPr>
          <w:sz w:val="22"/>
          <w:szCs w:val="22"/>
          <w:lang w:val="en-US"/>
        </w:rPr>
        <w:t>decreased sharply by 1.5 percent</w:t>
      </w:r>
      <w:r>
        <w:rPr>
          <w:sz w:val="22"/>
          <w:szCs w:val="22"/>
          <w:lang w:val="en-US"/>
        </w:rPr>
        <w:t xml:space="preserve"> from June to July</w:t>
      </w:r>
      <w:r w:rsidR="00D371BF" w:rsidRPr="00CC5778">
        <w:rPr>
          <w:sz w:val="22"/>
          <w:szCs w:val="22"/>
          <w:lang w:val="en-US"/>
        </w:rPr>
        <w:t>.</w:t>
      </w:r>
      <w:r w:rsidR="00FB73E0" w:rsidRPr="00CC5778">
        <w:rPr>
          <w:sz w:val="22"/>
          <w:szCs w:val="22"/>
          <w:lang w:val="en-US"/>
        </w:rPr>
        <w:t xml:space="preserve"> All the main components of industrial production declined but the highest fall realized in the sector of durable goods production</w:t>
      </w:r>
      <w:r w:rsidR="005516B7">
        <w:rPr>
          <w:sz w:val="22"/>
          <w:szCs w:val="22"/>
          <w:lang w:val="en-US"/>
        </w:rPr>
        <w:t xml:space="preserve"> by 11.3 percent</w:t>
      </w:r>
      <w:r w:rsidR="00FB73E0" w:rsidRPr="00CC5778">
        <w:rPr>
          <w:sz w:val="22"/>
          <w:szCs w:val="22"/>
          <w:lang w:val="en-US"/>
        </w:rPr>
        <w:t>.</w:t>
      </w:r>
      <w:r w:rsidR="005516B7" w:rsidRPr="00CC5778">
        <w:rPr>
          <w:sz w:val="22"/>
          <w:szCs w:val="22"/>
          <w:lang w:val="en-US"/>
        </w:rPr>
        <w:t xml:space="preserve"> </w:t>
      </w:r>
      <w:r w:rsidR="00FB73E0" w:rsidRPr="00CC5778">
        <w:rPr>
          <w:sz w:val="22"/>
          <w:szCs w:val="22"/>
          <w:lang w:val="en-US"/>
        </w:rPr>
        <w:t>The decline in non-durable goods production is 2.5 percent.</w:t>
      </w:r>
    </w:p>
    <w:p w:rsidR="00F43211" w:rsidRPr="00CC5778" w:rsidRDefault="005516B7" w:rsidP="001F5A91">
      <w:pPr>
        <w:spacing w:line="360" w:lineRule="auto"/>
        <w:ind w:left="-360" w:right="42"/>
        <w:jc w:val="both"/>
        <w:rPr>
          <w:sz w:val="22"/>
          <w:szCs w:val="22"/>
          <w:lang w:val="en-US"/>
        </w:rPr>
      </w:pPr>
      <w:r>
        <w:rPr>
          <w:sz w:val="22"/>
          <w:szCs w:val="22"/>
          <w:lang w:val="en-US"/>
        </w:rPr>
        <w:t>E</w:t>
      </w:r>
      <w:r w:rsidR="00820901" w:rsidRPr="00CC5778">
        <w:rPr>
          <w:sz w:val="22"/>
          <w:szCs w:val="22"/>
          <w:lang w:val="en-US"/>
        </w:rPr>
        <w:t xml:space="preserve">xport volume index has </w:t>
      </w:r>
      <w:r w:rsidR="002C26B9" w:rsidRPr="00CC5778">
        <w:rPr>
          <w:sz w:val="22"/>
          <w:szCs w:val="22"/>
          <w:lang w:val="en-US"/>
        </w:rPr>
        <w:t>a slight decline by 0.3 percent</w:t>
      </w:r>
      <w:r>
        <w:rPr>
          <w:sz w:val="22"/>
          <w:szCs w:val="22"/>
          <w:lang w:val="en-US"/>
        </w:rPr>
        <w:t xml:space="preserve"> in July</w:t>
      </w:r>
      <w:r w:rsidR="002C26B9" w:rsidRPr="00CC5778">
        <w:rPr>
          <w:sz w:val="22"/>
          <w:szCs w:val="22"/>
          <w:lang w:val="en-US"/>
        </w:rPr>
        <w:t>. On the other hand</w:t>
      </w:r>
      <w:proofErr w:type="gramStart"/>
      <w:r w:rsidR="002C26B9" w:rsidRPr="00CC5778">
        <w:rPr>
          <w:sz w:val="22"/>
          <w:szCs w:val="22"/>
          <w:lang w:val="en-US"/>
        </w:rPr>
        <w:t xml:space="preserve">, </w:t>
      </w:r>
      <w:r>
        <w:rPr>
          <w:sz w:val="22"/>
          <w:szCs w:val="22"/>
          <w:lang w:val="en-US"/>
        </w:rPr>
        <w:t xml:space="preserve"> </w:t>
      </w:r>
      <w:r w:rsidR="00D43D96" w:rsidRPr="00CC5778">
        <w:rPr>
          <w:sz w:val="22"/>
          <w:szCs w:val="22"/>
          <w:lang w:val="en-US"/>
        </w:rPr>
        <w:t>import</w:t>
      </w:r>
      <w:proofErr w:type="gramEnd"/>
      <w:r w:rsidR="00D43D96" w:rsidRPr="00CC5778">
        <w:rPr>
          <w:sz w:val="22"/>
          <w:szCs w:val="22"/>
          <w:lang w:val="en-US"/>
        </w:rPr>
        <w:t xml:space="preserve"> volume index </w:t>
      </w:r>
      <w:r w:rsidR="00C879D5">
        <w:rPr>
          <w:sz w:val="22"/>
          <w:szCs w:val="22"/>
          <w:lang w:val="en-US"/>
        </w:rPr>
        <w:t>rose rather strongly</w:t>
      </w:r>
      <w:r>
        <w:rPr>
          <w:sz w:val="22"/>
          <w:szCs w:val="22"/>
          <w:lang w:val="en-US"/>
        </w:rPr>
        <w:t xml:space="preserve"> by </w:t>
      </w:r>
      <w:r w:rsidR="00C77213" w:rsidRPr="00CC5778">
        <w:rPr>
          <w:sz w:val="22"/>
          <w:szCs w:val="22"/>
          <w:lang w:val="en-US"/>
        </w:rPr>
        <w:t xml:space="preserve">2.0 percent. The </w:t>
      </w:r>
      <w:r w:rsidR="00C879D5">
        <w:rPr>
          <w:sz w:val="22"/>
          <w:szCs w:val="22"/>
          <w:lang w:val="en-US"/>
        </w:rPr>
        <w:t>highest increase (8.3 percent) in imports has been realized in investment goods</w:t>
      </w:r>
      <w:r w:rsidR="001F5A91" w:rsidRPr="00CC5778">
        <w:rPr>
          <w:sz w:val="22"/>
          <w:szCs w:val="22"/>
          <w:lang w:val="en-US"/>
        </w:rPr>
        <w:t xml:space="preserve">. Consumer goods import has a slight increase by 0.2 percent. </w:t>
      </w:r>
      <w:r w:rsidR="00FE2B4A" w:rsidRPr="00CC5778">
        <w:rPr>
          <w:sz w:val="22"/>
          <w:szCs w:val="22"/>
          <w:lang w:val="en-US"/>
        </w:rPr>
        <w:t xml:space="preserve">The early indicators of the third quarter point out the </w:t>
      </w:r>
      <w:r w:rsidR="00FE2B4A" w:rsidRPr="00CC5778">
        <w:rPr>
          <w:sz w:val="22"/>
          <w:szCs w:val="22"/>
          <w:lang w:val="en-US"/>
        </w:rPr>
        <w:lastRenderedPageBreak/>
        <w:t>contribution of net export</w:t>
      </w:r>
      <w:r w:rsidR="00397A34">
        <w:rPr>
          <w:sz w:val="22"/>
          <w:szCs w:val="22"/>
          <w:lang w:val="en-US"/>
        </w:rPr>
        <w:t>s</w:t>
      </w:r>
      <w:r w:rsidR="00FE2B4A" w:rsidRPr="00CC5778">
        <w:rPr>
          <w:sz w:val="22"/>
          <w:szCs w:val="22"/>
          <w:lang w:val="en-US"/>
        </w:rPr>
        <w:t xml:space="preserve"> to growth will be negative.</w:t>
      </w:r>
    </w:p>
    <w:p w:rsidR="00F43211" w:rsidRPr="00CC5778" w:rsidRDefault="00F43211" w:rsidP="00F43211">
      <w:pPr>
        <w:spacing w:line="360" w:lineRule="auto"/>
        <w:ind w:left="-360" w:right="42"/>
        <w:jc w:val="both"/>
        <w:rPr>
          <w:sz w:val="22"/>
          <w:szCs w:val="22"/>
          <w:lang w:val="en-US"/>
        </w:rPr>
      </w:pPr>
    </w:p>
    <w:p w:rsidR="00EE60B7" w:rsidRPr="00477BE0" w:rsidRDefault="005516B7" w:rsidP="00EE60B7">
      <w:pPr>
        <w:spacing w:line="360" w:lineRule="auto"/>
        <w:ind w:left="-360" w:right="42"/>
        <w:jc w:val="both"/>
        <w:rPr>
          <w:sz w:val="22"/>
          <w:szCs w:val="22"/>
          <w:lang w:val="en-US"/>
        </w:rPr>
      </w:pPr>
      <w:r>
        <w:rPr>
          <w:sz w:val="22"/>
          <w:szCs w:val="22"/>
          <w:lang w:val="en-US"/>
        </w:rPr>
        <w:t>Large</w:t>
      </w:r>
      <w:r w:rsidR="00FB7C4F" w:rsidRPr="00CC5778">
        <w:rPr>
          <w:sz w:val="22"/>
          <w:szCs w:val="22"/>
          <w:lang w:val="en-US"/>
        </w:rPr>
        <w:t xml:space="preserve"> </w:t>
      </w:r>
      <w:r>
        <w:rPr>
          <w:sz w:val="22"/>
          <w:szCs w:val="22"/>
          <w:lang w:val="en-US"/>
        </w:rPr>
        <w:t xml:space="preserve">declines in the </w:t>
      </w:r>
      <w:r w:rsidR="00F47F10" w:rsidRPr="00CC5778">
        <w:rPr>
          <w:sz w:val="22"/>
          <w:szCs w:val="22"/>
          <w:lang w:val="en-US"/>
        </w:rPr>
        <w:t xml:space="preserve">indicators </w:t>
      </w:r>
      <w:r>
        <w:rPr>
          <w:sz w:val="22"/>
          <w:szCs w:val="22"/>
          <w:lang w:val="en-US"/>
        </w:rPr>
        <w:t xml:space="preserve">of consumption </w:t>
      </w:r>
      <w:r w:rsidR="00F47F10" w:rsidRPr="00CC5778">
        <w:rPr>
          <w:sz w:val="22"/>
          <w:szCs w:val="22"/>
          <w:lang w:val="en-US"/>
        </w:rPr>
        <w:t xml:space="preserve">and consumer confidence </w:t>
      </w:r>
      <w:r w:rsidR="00FB7C4F" w:rsidRPr="00CC5778">
        <w:rPr>
          <w:sz w:val="22"/>
          <w:szCs w:val="22"/>
          <w:lang w:val="en-US"/>
        </w:rPr>
        <w:t xml:space="preserve">indicate </w:t>
      </w:r>
      <w:r w:rsidR="002405DD">
        <w:rPr>
          <w:sz w:val="22"/>
          <w:szCs w:val="22"/>
          <w:lang w:val="en-US"/>
        </w:rPr>
        <w:t xml:space="preserve">vulnerability for </w:t>
      </w:r>
      <w:r w:rsidR="00DC6F95">
        <w:rPr>
          <w:sz w:val="22"/>
          <w:szCs w:val="22"/>
          <w:lang w:val="en-US"/>
        </w:rPr>
        <w:t>consumption</w:t>
      </w:r>
      <w:r w:rsidR="00FB7C4F" w:rsidRPr="00CC5778">
        <w:rPr>
          <w:sz w:val="22"/>
          <w:szCs w:val="22"/>
          <w:lang w:val="en-US"/>
        </w:rPr>
        <w:t xml:space="preserve"> </w:t>
      </w:r>
      <w:r w:rsidR="00DC6F95">
        <w:rPr>
          <w:sz w:val="22"/>
          <w:szCs w:val="22"/>
          <w:lang w:val="en-US"/>
        </w:rPr>
        <w:t>in</w:t>
      </w:r>
      <w:r w:rsidR="00FB7C4F" w:rsidRPr="00CC5778">
        <w:rPr>
          <w:sz w:val="22"/>
          <w:szCs w:val="22"/>
          <w:lang w:val="en-US"/>
        </w:rPr>
        <w:t xml:space="preserve"> the third quarter. </w:t>
      </w:r>
      <w:r w:rsidR="00DE63C1" w:rsidRPr="00CC5778">
        <w:rPr>
          <w:sz w:val="22"/>
          <w:szCs w:val="22"/>
          <w:lang w:val="en-US"/>
        </w:rPr>
        <w:t>In this context, it is noteworthy that passenger car production declined by 9.</w:t>
      </w:r>
      <w:r w:rsidR="00CB34AC" w:rsidRPr="00CC5778">
        <w:rPr>
          <w:sz w:val="22"/>
          <w:szCs w:val="22"/>
          <w:lang w:val="en-US"/>
        </w:rPr>
        <w:t xml:space="preserve">2 percent in July. </w:t>
      </w:r>
      <w:r w:rsidR="00B64BB1" w:rsidRPr="00B64BB1">
        <w:rPr>
          <w:sz w:val="22"/>
          <w:szCs w:val="22"/>
          <w:lang w:val="en-US"/>
        </w:rPr>
        <w:t>H</w:t>
      </w:r>
      <w:r w:rsidR="00CB34AC" w:rsidRPr="00B64BB1">
        <w:rPr>
          <w:sz w:val="22"/>
          <w:szCs w:val="22"/>
          <w:lang w:val="en-US"/>
        </w:rPr>
        <w:t>owever,</w:t>
      </w:r>
      <w:r w:rsidR="00DE63C1" w:rsidRPr="00B64BB1">
        <w:rPr>
          <w:sz w:val="22"/>
          <w:szCs w:val="22"/>
          <w:lang w:val="en-US"/>
        </w:rPr>
        <w:t xml:space="preserve"> </w:t>
      </w:r>
      <w:r w:rsidR="001B462E" w:rsidRPr="00B64BB1">
        <w:rPr>
          <w:sz w:val="22"/>
          <w:szCs w:val="22"/>
          <w:lang w:val="en-US"/>
        </w:rPr>
        <w:t>raise</w:t>
      </w:r>
      <w:r w:rsidR="00DE63C1" w:rsidRPr="00B64BB1">
        <w:rPr>
          <w:sz w:val="22"/>
          <w:szCs w:val="22"/>
          <w:lang w:val="en-US"/>
        </w:rPr>
        <w:t xml:space="preserve"> in the investment goods </w:t>
      </w:r>
      <w:r w:rsidR="00DE63C1" w:rsidRPr="00477BE0">
        <w:rPr>
          <w:sz w:val="22"/>
          <w:szCs w:val="22"/>
          <w:lang w:val="en-US"/>
        </w:rPr>
        <w:t xml:space="preserve">import and slight fall in production of the investment goods (-0.1 percent) </w:t>
      </w:r>
      <w:r w:rsidR="00002CE0" w:rsidRPr="00477BE0">
        <w:rPr>
          <w:sz w:val="22"/>
          <w:szCs w:val="22"/>
          <w:lang w:val="en-US"/>
        </w:rPr>
        <w:t xml:space="preserve">indicate that </w:t>
      </w:r>
      <w:r w:rsidR="00673231" w:rsidRPr="00477BE0">
        <w:rPr>
          <w:sz w:val="22"/>
          <w:szCs w:val="22"/>
          <w:lang w:val="en-US"/>
        </w:rPr>
        <w:t xml:space="preserve">private investment </w:t>
      </w:r>
      <w:r w:rsidR="00C776A8" w:rsidRPr="00477BE0">
        <w:rPr>
          <w:sz w:val="22"/>
          <w:szCs w:val="22"/>
          <w:lang w:val="en-US"/>
        </w:rPr>
        <w:t>will boost the economic</w:t>
      </w:r>
      <w:r w:rsidR="00673231" w:rsidRPr="00477BE0">
        <w:rPr>
          <w:sz w:val="22"/>
          <w:szCs w:val="22"/>
          <w:lang w:val="en-US"/>
        </w:rPr>
        <w:t xml:space="preserve"> growth. </w:t>
      </w:r>
      <w:r w:rsidR="00793C34" w:rsidRPr="00477BE0">
        <w:rPr>
          <w:sz w:val="22"/>
          <w:szCs w:val="22"/>
          <w:lang w:val="en-US"/>
        </w:rPr>
        <w:t>3.6</w:t>
      </w:r>
      <w:r w:rsidR="00E011B8" w:rsidRPr="00477BE0">
        <w:rPr>
          <w:sz w:val="22"/>
          <w:szCs w:val="22"/>
          <w:lang w:val="en-US"/>
        </w:rPr>
        <w:t xml:space="preserve"> </w:t>
      </w:r>
      <w:r w:rsidR="00793C34" w:rsidRPr="00477BE0">
        <w:rPr>
          <w:sz w:val="22"/>
          <w:szCs w:val="22"/>
          <w:lang w:val="en-US"/>
        </w:rPr>
        <w:t xml:space="preserve">percent increase </w:t>
      </w:r>
      <w:r w:rsidR="000712FC" w:rsidRPr="00477BE0">
        <w:rPr>
          <w:sz w:val="22"/>
          <w:szCs w:val="22"/>
          <w:lang w:val="en-US"/>
        </w:rPr>
        <w:t>for</w:t>
      </w:r>
      <w:r w:rsidR="00793C34" w:rsidRPr="00477BE0">
        <w:rPr>
          <w:sz w:val="22"/>
          <w:szCs w:val="22"/>
          <w:lang w:val="en-US"/>
        </w:rPr>
        <w:t xml:space="preserve"> July in the production of commercial vehicle, which </w:t>
      </w:r>
      <w:r w:rsidR="000712FC" w:rsidRPr="00477BE0">
        <w:rPr>
          <w:sz w:val="22"/>
          <w:szCs w:val="22"/>
          <w:lang w:val="en-US"/>
        </w:rPr>
        <w:t>is</w:t>
      </w:r>
      <w:r w:rsidR="00793C34" w:rsidRPr="00477BE0">
        <w:rPr>
          <w:sz w:val="22"/>
          <w:szCs w:val="22"/>
          <w:lang w:val="en-US"/>
        </w:rPr>
        <w:t xml:space="preserve"> </w:t>
      </w:r>
      <w:r w:rsidR="00BA6C25">
        <w:rPr>
          <w:sz w:val="22"/>
          <w:szCs w:val="22"/>
          <w:lang w:val="en-US"/>
        </w:rPr>
        <w:t>co</w:t>
      </w:r>
      <w:r w:rsidR="00397A34">
        <w:rPr>
          <w:sz w:val="22"/>
          <w:szCs w:val="22"/>
          <w:lang w:val="en-US"/>
        </w:rPr>
        <w:t>nsidered</w:t>
      </w:r>
      <w:r w:rsidR="00793C34" w:rsidRPr="00477BE0">
        <w:rPr>
          <w:sz w:val="22"/>
          <w:szCs w:val="22"/>
          <w:lang w:val="en-US"/>
        </w:rPr>
        <w:t xml:space="preserve"> as investment goods, </w:t>
      </w:r>
      <w:r w:rsidR="00E011B8" w:rsidRPr="00477BE0">
        <w:rPr>
          <w:sz w:val="22"/>
          <w:szCs w:val="22"/>
          <w:lang w:val="en-US"/>
        </w:rPr>
        <w:t>confirms the positive contribut</w:t>
      </w:r>
      <w:bookmarkStart w:id="0" w:name="_GoBack"/>
      <w:bookmarkEnd w:id="0"/>
      <w:r w:rsidR="00E011B8" w:rsidRPr="00477BE0">
        <w:rPr>
          <w:sz w:val="22"/>
          <w:szCs w:val="22"/>
          <w:lang w:val="en-US"/>
        </w:rPr>
        <w:t xml:space="preserve">ion of investment. </w:t>
      </w:r>
      <w:r w:rsidR="00EE60B7" w:rsidRPr="00477BE0">
        <w:rPr>
          <w:sz w:val="22"/>
          <w:szCs w:val="22"/>
          <w:lang w:val="en-US"/>
        </w:rPr>
        <w:t xml:space="preserve">Contrary to the increase in government spending in July, there was a sharp stop in August. Therefore, we expect the government spending to have a negative contribution in the third quarter.  </w:t>
      </w:r>
    </w:p>
    <w:p w:rsidR="0003523C" w:rsidRPr="00477BE0" w:rsidRDefault="0003523C" w:rsidP="00DE63C1">
      <w:pPr>
        <w:spacing w:line="360" w:lineRule="auto"/>
        <w:ind w:left="-360" w:right="42"/>
        <w:jc w:val="both"/>
        <w:rPr>
          <w:sz w:val="22"/>
          <w:szCs w:val="22"/>
          <w:lang w:val="en-US"/>
        </w:rPr>
      </w:pPr>
      <w:r w:rsidRPr="00477BE0">
        <w:rPr>
          <w:sz w:val="22"/>
          <w:szCs w:val="22"/>
          <w:lang w:val="en-US"/>
        </w:rPr>
        <w:t xml:space="preserve">In the lights of opposite indicators, our first </w:t>
      </w:r>
      <w:r w:rsidR="001B462E" w:rsidRPr="00477BE0">
        <w:rPr>
          <w:sz w:val="22"/>
          <w:szCs w:val="22"/>
          <w:lang w:val="en-US"/>
        </w:rPr>
        <w:t>forecast of GDP</w:t>
      </w:r>
      <w:r w:rsidR="001B462E">
        <w:rPr>
          <w:sz w:val="22"/>
          <w:szCs w:val="22"/>
          <w:lang w:val="en-US"/>
        </w:rPr>
        <w:t xml:space="preserve"> growth</w:t>
      </w:r>
      <w:r w:rsidRPr="00477BE0">
        <w:rPr>
          <w:sz w:val="22"/>
          <w:szCs w:val="22"/>
          <w:lang w:val="en-US"/>
        </w:rPr>
        <w:t xml:space="preserve"> for the third </w:t>
      </w:r>
      <w:r w:rsidR="001B462E">
        <w:rPr>
          <w:sz w:val="22"/>
          <w:szCs w:val="22"/>
          <w:lang w:val="en-US"/>
        </w:rPr>
        <w:t>quarter</w:t>
      </w:r>
      <w:r w:rsidRPr="00477BE0">
        <w:rPr>
          <w:sz w:val="22"/>
          <w:szCs w:val="22"/>
          <w:lang w:val="en-US"/>
        </w:rPr>
        <w:t xml:space="preserve"> is 0.1 percen</w:t>
      </w:r>
      <w:r w:rsidR="00455A56" w:rsidRPr="00477BE0">
        <w:rPr>
          <w:sz w:val="22"/>
          <w:szCs w:val="22"/>
          <w:lang w:val="en-US"/>
        </w:rPr>
        <w:t>t. Therefore, we calculate that the corresponding year on year growth forecast as 3.9 percent.</w:t>
      </w:r>
    </w:p>
    <w:p w:rsidR="00F43211" w:rsidRPr="00477BE0" w:rsidRDefault="00F43211" w:rsidP="00F43211">
      <w:pPr>
        <w:spacing w:line="360" w:lineRule="auto"/>
        <w:ind w:right="42"/>
        <w:jc w:val="both"/>
        <w:rPr>
          <w:sz w:val="22"/>
          <w:szCs w:val="22"/>
          <w:lang w:val="en-US"/>
        </w:rPr>
      </w:pPr>
    </w:p>
    <w:p w:rsidR="00F43211" w:rsidRPr="00477BE0" w:rsidRDefault="00C776A8" w:rsidP="001D55B0">
      <w:pPr>
        <w:spacing w:line="360" w:lineRule="auto"/>
        <w:ind w:left="-360" w:right="42"/>
        <w:jc w:val="center"/>
        <w:rPr>
          <w:b/>
          <w:sz w:val="22"/>
          <w:szCs w:val="22"/>
          <w:lang w:val="en-US"/>
        </w:rPr>
      </w:pPr>
      <w:r w:rsidRPr="00477BE0">
        <w:rPr>
          <w:b/>
          <w:sz w:val="22"/>
          <w:szCs w:val="22"/>
          <w:lang w:val="en-US"/>
        </w:rPr>
        <w:t xml:space="preserve">Macroeconomic instability and global </w:t>
      </w:r>
      <w:r w:rsidR="001D55B0" w:rsidRPr="00477BE0">
        <w:rPr>
          <w:b/>
          <w:sz w:val="22"/>
          <w:szCs w:val="22"/>
          <w:lang w:val="en-US"/>
        </w:rPr>
        <w:t xml:space="preserve">developments will repress growth. </w:t>
      </w:r>
    </w:p>
    <w:p w:rsidR="00204198" w:rsidRPr="00477BE0" w:rsidRDefault="00204198" w:rsidP="00F43211">
      <w:pPr>
        <w:spacing w:line="360" w:lineRule="auto"/>
        <w:ind w:left="-360" w:right="42"/>
        <w:jc w:val="both"/>
        <w:rPr>
          <w:sz w:val="22"/>
          <w:szCs w:val="22"/>
          <w:lang w:val="en-US"/>
        </w:rPr>
      </w:pPr>
    </w:p>
    <w:p w:rsidR="00F02694" w:rsidRPr="00477BE0" w:rsidRDefault="00264F0C" w:rsidP="00F43211">
      <w:pPr>
        <w:spacing w:line="360" w:lineRule="auto"/>
        <w:ind w:left="-360" w:right="42"/>
        <w:jc w:val="both"/>
        <w:rPr>
          <w:sz w:val="22"/>
          <w:szCs w:val="22"/>
          <w:lang w:val="en-US"/>
        </w:rPr>
      </w:pPr>
      <w:r w:rsidRPr="00477BE0">
        <w:rPr>
          <w:sz w:val="22"/>
          <w:szCs w:val="22"/>
          <w:lang w:val="en-US"/>
        </w:rPr>
        <w:t>High rises in the exchange rates and market rate of interest</w:t>
      </w:r>
      <w:r w:rsidR="002152AF" w:rsidRPr="00477BE0">
        <w:rPr>
          <w:sz w:val="22"/>
          <w:szCs w:val="22"/>
          <w:lang w:val="en-US"/>
        </w:rPr>
        <w:t xml:space="preserve"> during the last two months</w:t>
      </w:r>
      <w:r w:rsidRPr="00477BE0">
        <w:rPr>
          <w:sz w:val="22"/>
          <w:szCs w:val="22"/>
          <w:lang w:val="en-US"/>
        </w:rPr>
        <w:t xml:space="preserve">, </w:t>
      </w:r>
      <w:r w:rsidR="001B6E89" w:rsidRPr="00477BE0">
        <w:rPr>
          <w:sz w:val="22"/>
          <w:szCs w:val="22"/>
          <w:lang w:val="en-US"/>
        </w:rPr>
        <w:t xml:space="preserve">the </w:t>
      </w:r>
      <w:r w:rsidRPr="00477BE0">
        <w:rPr>
          <w:sz w:val="22"/>
          <w:szCs w:val="22"/>
          <w:lang w:val="en-US"/>
        </w:rPr>
        <w:t xml:space="preserve">evidences on high rises in the inflation, </w:t>
      </w:r>
      <w:r w:rsidR="001B6E89" w:rsidRPr="00D2068C">
        <w:rPr>
          <w:sz w:val="22"/>
          <w:szCs w:val="22"/>
          <w:lang w:val="en-US"/>
        </w:rPr>
        <w:t xml:space="preserve">deepening </w:t>
      </w:r>
      <w:r w:rsidR="00911F9E">
        <w:rPr>
          <w:sz w:val="22"/>
          <w:szCs w:val="22"/>
          <w:lang w:val="en-US"/>
        </w:rPr>
        <w:t xml:space="preserve">political </w:t>
      </w:r>
      <w:r w:rsidR="001B6E89" w:rsidRPr="00D2068C">
        <w:rPr>
          <w:sz w:val="22"/>
          <w:szCs w:val="22"/>
          <w:lang w:val="en-US"/>
        </w:rPr>
        <w:t xml:space="preserve">violence </w:t>
      </w:r>
      <w:r w:rsidR="00AD396C" w:rsidRPr="00477BE0">
        <w:rPr>
          <w:sz w:val="22"/>
          <w:szCs w:val="22"/>
          <w:lang w:val="en-US"/>
        </w:rPr>
        <w:t>and</w:t>
      </w:r>
      <w:r w:rsidR="00CB34AC" w:rsidRPr="00477BE0">
        <w:rPr>
          <w:sz w:val="22"/>
          <w:szCs w:val="22"/>
          <w:lang w:val="en-US"/>
        </w:rPr>
        <w:t xml:space="preserve"> the rising </w:t>
      </w:r>
      <w:r w:rsidR="00911F9E">
        <w:rPr>
          <w:sz w:val="22"/>
          <w:szCs w:val="22"/>
          <w:lang w:val="en-US"/>
        </w:rPr>
        <w:t>worries</w:t>
      </w:r>
      <w:r w:rsidR="00CB34AC" w:rsidRPr="00477BE0">
        <w:rPr>
          <w:sz w:val="22"/>
          <w:szCs w:val="22"/>
          <w:lang w:val="en-US"/>
        </w:rPr>
        <w:t xml:space="preserve"> on econom</w:t>
      </w:r>
      <w:r w:rsidR="00911F9E">
        <w:rPr>
          <w:sz w:val="22"/>
          <w:szCs w:val="22"/>
          <w:lang w:val="en-US"/>
        </w:rPr>
        <w:t>ic</w:t>
      </w:r>
      <w:r w:rsidR="00CB34AC" w:rsidRPr="00477BE0">
        <w:rPr>
          <w:sz w:val="22"/>
          <w:szCs w:val="22"/>
          <w:lang w:val="en-US"/>
        </w:rPr>
        <w:t xml:space="preserve"> </w:t>
      </w:r>
      <w:r w:rsidR="00911F9E">
        <w:rPr>
          <w:sz w:val="22"/>
          <w:szCs w:val="22"/>
          <w:lang w:val="en-US"/>
        </w:rPr>
        <w:t>management</w:t>
      </w:r>
      <w:r w:rsidR="00F134C4" w:rsidRPr="00477BE0">
        <w:rPr>
          <w:sz w:val="22"/>
          <w:szCs w:val="22"/>
          <w:lang w:val="en-US"/>
        </w:rPr>
        <w:t xml:space="preserve"> are</w:t>
      </w:r>
      <w:r w:rsidR="00F02694" w:rsidRPr="00477BE0">
        <w:rPr>
          <w:sz w:val="22"/>
          <w:szCs w:val="22"/>
          <w:lang w:val="en-US"/>
        </w:rPr>
        <w:t xml:space="preserve"> repressing the economic growth downwards. </w:t>
      </w:r>
    </w:p>
    <w:p w:rsidR="00EC299A" w:rsidRPr="00477BE0" w:rsidRDefault="00F02694" w:rsidP="00823897">
      <w:pPr>
        <w:spacing w:line="360" w:lineRule="auto"/>
        <w:ind w:left="-360" w:right="42"/>
        <w:jc w:val="both"/>
        <w:rPr>
          <w:sz w:val="22"/>
          <w:szCs w:val="22"/>
          <w:lang w:val="en-US"/>
        </w:rPr>
      </w:pPr>
      <w:r w:rsidRPr="00477BE0">
        <w:rPr>
          <w:sz w:val="22"/>
          <w:szCs w:val="22"/>
          <w:lang w:val="en-US"/>
        </w:rPr>
        <w:t xml:space="preserve">On the other hand, global demand </w:t>
      </w:r>
      <w:r w:rsidR="00397A34">
        <w:rPr>
          <w:sz w:val="22"/>
          <w:szCs w:val="22"/>
          <w:lang w:val="en-US"/>
        </w:rPr>
        <w:t xml:space="preserve">continues </w:t>
      </w:r>
      <w:r w:rsidR="003D28E3" w:rsidRPr="00477BE0">
        <w:rPr>
          <w:sz w:val="22"/>
          <w:szCs w:val="22"/>
          <w:lang w:val="en-US"/>
        </w:rPr>
        <w:t xml:space="preserve">to be weak. </w:t>
      </w:r>
      <w:r w:rsidR="00E232AB" w:rsidRPr="00477BE0">
        <w:rPr>
          <w:sz w:val="22"/>
          <w:szCs w:val="22"/>
          <w:lang w:val="en-US"/>
        </w:rPr>
        <w:t>Risk on s</w:t>
      </w:r>
      <w:r w:rsidR="003D28E3" w:rsidRPr="00477BE0">
        <w:rPr>
          <w:sz w:val="22"/>
          <w:szCs w:val="22"/>
          <w:lang w:val="en-US"/>
        </w:rPr>
        <w:t xml:space="preserve">trong </w:t>
      </w:r>
      <w:r w:rsidR="00E762C2" w:rsidRPr="00477BE0">
        <w:rPr>
          <w:sz w:val="22"/>
          <w:szCs w:val="22"/>
          <w:lang w:val="en-US"/>
        </w:rPr>
        <w:t>shrinkage</w:t>
      </w:r>
      <w:r w:rsidR="00E232AB" w:rsidRPr="00477BE0">
        <w:rPr>
          <w:sz w:val="22"/>
          <w:szCs w:val="22"/>
          <w:lang w:val="en-US"/>
        </w:rPr>
        <w:t>s</w:t>
      </w:r>
      <w:r w:rsidR="00E762C2" w:rsidRPr="00477BE0">
        <w:rPr>
          <w:sz w:val="22"/>
          <w:szCs w:val="22"/>
          <w:lang w:val="en-US"/>
        </w:rPr>
        <w:t xml:space="preserve"> in C</w:t>
      </w:r>
      <w:r w:rsidR="00E93E16" w:rsidRPr="00477BE0">
        <w:rPr>
          <w:sz w:val="22"/>
          <w:szCs w:val="22"/>
          <w:lang w:val="en-US"/>
        </w:rPr>
        <w:t>hinese economy</w:t>
      </w:r>
      <w:r w:rsidR="00E762C2" w:rsidRPr="00477BE0">
        <w:rPr>
          <w:sz w:val="22"/>
          <w:szCs w:val="22"/>
          <w:lang w:val="en-US"/>
        </w:rPr>
        <w:t xml:space="preserve"> </w:t>
      </w:r>
      <w:r w:rsidR="00195AAD" w:rsidRPr="00477BE0">
        <w:rPr>
          <w:sz w:val="22"/>
          <w:szCs w:val="22"/>
          <w:lang w:val="en-US"/>
        </w:rPr>
        <w:t xml:space="preserve">is keeping on. </w:t>
      </w:r>
      <w:r w:rsidR="005478BD" w:rsidRPr="00477BE0">
        <w:rPr>
          <w:sz w:val="22"/>
          <w:szCs w:val="22"/>
          <w:lang w:val="en-US"/>
        </w:rPr>
        <w:t xml:space="preserve"> Although F</w:t>
      </w:r>
      <w:r w:rsidR="00397A34">
        <w:rPr>
          <w:sz w:val="22"/>
          <w:szCs w:val="22"/>
          <w:lang w:val="en-US"/>
        </w:rPr>
        <w:t>ED</w:t>
      </w:r>
      <w:r w:rsidR="005478BD" w:rsidRPr="00477BE0">
        <w:rPr>
          <w:sz w:val="22"/>
          <w:szCs w:val="22"/>
          <w:lang w:val="en-US"/>
        </w:rPr>
        <w:t xml:space="preserve"> postponed </w:t>
      </w:r>
      <w:r w:rsidR="00397A34" w:rsidRPr="00477BE0">
        <w:rPr>
          <w:sz w:val="22"/>
          <w:szCs w:val="22"/>
          <w:lang w:val="en-US"/>
        </w:rPr>
        <w:lastRenderedPageBreak/>
        <w:t>raising</w:t>
      </w:r>
      <w:r w:rsidR="00C9793C" w:rsidRPr="00477BE0">
        <w:rPr>
          <w:sz w:val="22"/>
          <w:szCs w:val="22"/>
          <w:lang w:val="en-US"/>
        </w:rPr>
        <w:t xml:space="preserve"> the interest rates, </w:t>
      </w:r>
      <w:r w:rsidR="00397A34">
        <w:rPr>
          <w:sz w:val="22"/>
          <w:szCs w:val="22"/>
          <w:lang w:val="en-US"/>
        </w:rPr>
        <w:t xml:space="preserve">this move </w:t>
      </w:r>
      <w:r w:rsidR="00EC299A" w:rsidRPr="00477BE0">
        <w:rPr>
          <w:sz w:val="22"/>
          <w:szCs w:val="22"/>
          <w:lang w:val="en-US"/>
        </w:rPr>
        <w:t>remain</w:t>
      </w:r>
      <w:r w:rsidR="00397A34">
        <w:rPr>
          <w:sz w:val="22"/>
          <w:szCs w:val="22"/>
          <w:lang w:val="en-US"/>
        </w:rPr>
        <w:t>s</w:t>
      </w:r>
      <w:r w:rsidR="005478BD" w:rsidRPr="00477BE0">
        <w:rPr>
          <w:sz w:val="22"/>
          <w:szCs w:val="22"/>
          <w:lang w:val="en-US"/>
        </w:rPr>
        <w:t xml:space="preserve"> </w:t>
      </w:r>
      <w:r w:rsidR="00EC299A" w:rsidRPr="00477BE0">
        <w:rPr>
          <w:sz w:val="22"/>
          <w:szCs w:val="22"/>
          <w:lang w:val="en-US"/>
        </w:rPr>
        <w:t>on</w:t>
      </w:r>
      <w:r w:rsidR="005478BD" w:rsidRPr="00477BE0">
        <w:rPr>
          <w:sz w:val="22"/>
          <w:szCs w:val="22"/>
          <w:lang w:val="en-US"/>
        </w:rPr>
        <w:t xml:space="preserve"> their agenda</w:t>
      </w:r>
      <w:r w:rsidR="00EC299A" w:rsidRPr="00477BE0">
        <w:rPr>
          <w:sz w:val="22"/>
          <w:szCs w:val="22"/>
          <w:lang w:val="en-US"/>
        </w:rPr>
        <w:t>. The</w:t>
      </w:r>
      <w:r w:rsidR="00397A34">
        <w:rPr>
          <w:sz w:val="22"/>
          <w:szCs w:val="22"/>
          <w:lang w:val="en-US"/>
        </w:rPr>
        <w:t xml:space="preserve"> possible change of FED’s monetary policy keeps still </w:t>
      </w:r>
      <w:r w:rsidR="00BA7119" w:rsidRPr="00477BE0">
        <w:rPr>
          <w:sz w:val="22"/>
          <w:szCs w:val="22"/>
          <w:lang w:val="en-US"/>
        </w:rPr>
        <w:t>emerg</w:t>
      </w:r>
      <w:r w:rsidR="00954751" w:rsidRPr="00477BE0">
        <w:rPr>
          <w:sz w:val="22"/>
          <w:szCs w:val="22"/>
          <w:lang w:val="en-US"/>
        </w:rPr>
        <w:t>ing economies as well as Turkey</w:t>
      </w:r>
      <w:r w:rsidR="00EC299A" w:rsidRPr="00477BE0">
        <w:rPr>
          <w:sz w:val="22"/>
          <w:szCs w:val="22"/>
          <w:lang w:val="en-US"/>
        </w:rPr>
        <w:t xml:space="preserve"> </w:t>
      </w:r>
      <w:r w:rsidR="00397A34">
        <w:rPr>
          <w:sz w:val="22"/>
          <w:szCs w:val="22"/>
          <w:lang w:val="en-US"/>
        </w:rPr>
        <w:t xml:space="preserve">under pressure regarding capital movements and cause </w:t>
      </w:r>
      <w:r w:rsidR="00954751" w:rsidRPr="00477BE0">
        <w:rPr>
          <w:sz w:val="22"/>
          <w:szCs w:val="22"/>
          <w:lang w:val="en-US"/>
        </w:rPr>
        <w:t>difficult</w:t>
      </w:r>
      <w:r w:rsidR="00397A34">
        <w:rPr>
          <w:sz w:val="22"/>
          <w:szCs w:val="22"/>
          <w:lang w:val="en-US"/>
        </w:rPr>
        <w:t xml:space="preserve">ies in </w:t>
      </w:r>
      <w:r w:rsidR="00954751" w:rsidRPr="00477BE0">
        <w:rPr>
          <w:sz w:val="22"/>
          <w:szCs w:val="22"/>
          <w:lang w:val="en-US"/>
        </w:rPr>
        <w:t>financ</w:t>
      </w:r>
      <w:r w:rsidR="00397A34">
        <w:rPr>
          <w:sz w:val="22"/>
          <w:szCs w:val="22"/>
          <w:lang w:val="en-US"/>
        </w:rPr>
        <w:t>ing</w:t>
      </w:r>
      <w:r w:rsidR="00954751" w:rsidRPr="00477BE0">
        <w:rPr>
          <w:sz w:val="22"/>
          <w:szCs w:val="22"/>
          <w:lang w:val="en-US"/>
        </w:rPr>
        <w:t xml:space="preserve"> the current account deficit</w:t>
      </w:r>
      <w:r w:rsidR="00397A34">
        <w:rPr>
          <w:sz w:val="22"/>
          <w:szCs w:val="22"/>
          <w:lang w:val="en-US"/>
        </w:rPr>
        <w:t>s</w:t>
      </w:r>
      <w:r w:rsidR="00954751" w:rsidRPr="00477BE0">
        <w:rPr>
          <w:sz w:val="22"/>
          <w:szCs w:val="22"/>
          <w:lang w:val="en-US"/>
        </w:rPr>
        <w:t xml:space="preserve">. </w:t>
      </w:r>
    </w:p>
    <w:p w:rsidR="00EE60B7" w:rsidRPr="00477BE0" w:rsidRDefault="00EE60B7" w:rsidP="00EE60B7">
      <w:pPr>
        <w:spacing w:line="360" w:lineRule="auto"/>
        <w:ind w:left="-360" w:right="42"/>
        <w:jc w:val="both"/>
        <w:rPr>
          <w:sz w:val="22"/>
          <w:szCs w:val="22"/>
          <w:lang w:val="en-US"/>
        </w:rPr>
      </w:pPr>
      <w:r w:rsidRPr="00477BE0">
        <w:rPr>
          <w:sz w:val="22"/>
          <w:szCs w:val="22"/>
          <w:lang w:val="en-US"/>
        </w:rPr>
        <w:t xml:space="preserve">Our estimates indicate that the ratio of current account deficit to GDP has increased from 5.7 percent in the third quarter to 6.1 percent despite the decrease in energy prices. This estimate underlines the vulnerability of the Turkish economy, even though the fiscal discipline seems to be anchored. </w:t>
      </w:r>
    </w:p>
    <w:p w:rsidR="00F43211" w:rsidRPr="00477BE0" w:rsidRDefault="00A47D52" w:rsidP="00A47D52">
      <w:pPr>
        <w:spacing w:line="360" w:lineRule="auto"/>
        <w:ind w:left="-360" w:right="42"/>
        <w:jc w:val="both"/>
        <w:rPr>
          <w:sz w:val="22"/>
          <w:szCs w:val="22"/>
          <w:lang w:val="en-US"/>
        </w:rPr>
      </w:pPr>
      <w:r w:rsidRPr="00477BE0">
        <w:rPr>
          <w:sz w:val="22"/>
          <w:szCs w:val="22"/>
          <w:lang w:val="en-US"/>
        </w:rPr>
        <w:t>In these</w:t>
      </w:r>
      <w:r w:rsidR="00823897" w:rsidRPr="00477BE0">
        <w:rPr>
          <w:sz w:val="22"/>
          <w:szCs w:val="22"/>
          <w:lang w:val="en-US"/>
        </w:rPr>
        <w:t xml:space="preserve"> circumstances, we would like to take notice on </w:t>
      </w:r>
      <w:r w:rsidR="0074147A" w:rsidRPr="00477BE0">
        <w:rPr>
          <w:sz w:val="22"/>
          <w:szCs w:val="22"/>
          <w:lang w:val="en-US"/>
        </w:rPr>
        <w:t xml:space="preserve">the probability of </w:t>
      </w:r>
      <w:r w:rsidR="00823897" w:rsidRPr="00477BE0">
        <w:rPr>
          <w:sz w:val="22"/>
          <w:szCs w:val="22"/>
          <w:lang w:val="en-US"/>
        </w:rPr>
        <w:t xml:space="preserve">significant </w:t>
      </w:r>
      <w:r w:rsidR="0074147A" w:rsidRPr="00477BE0">
        <w:rPr>
          <w:sz w:val="22"/>
          <w:szCs w:val="22"/>
          <w:lang w:val="en-US"/>
        </w:rPr>
        <w:t>slowdowns</w:t>
      </w:r>
      <w:r w:rsidRPr="00477BE0">
        <w:rPr>
          <w:sz w:val="22"/>
          <w:szCs w:val="22"/>
          <w:lang w:val="en-US"/>
        </w:rPr>
        <w:t xml:space="preserve"> in the economic growth for the second half of the year.</w:t>
      </w:r>
    </w:p>
    <w:p w:rsidR="00D06B79" w:rsidRPr="00477BE0" w:rsidRDefault="006E3B24" w:rsidP="00CE382D">
      <w:pPr>
        <w:spacing w:line="360" w:lineRule="auto"/>
        <w:ind w:left="-360" w:right="42"/>
        <w:jc w:val="both"/>
        <w:rPr>
          <w:color w:val="FF0000"/>
          <w:sz w:val="22"/>
          <w:szCs w:val="22"/>
          <w:lang w:val="en-US"/>
        </w:rPr>
      </w:pPr>
      <w:r w:rsidRPr="00477BE0">
        <w:rPr>
          <w:color w:val="FF0000"/>
          <w:sz w:val="22"/>
          <w:szCs w:val="22"/>
          <w:lang w:val="en-US"/>
        </w:rPr>
        <w:t xml:space="preserve"> </w:t>
      </w:r>
    </w:p>
    <w:p w:rsidR="00197085" w:rsidRPr="00477BE0" w:rsidRDefault="00511ADA" w:rsidP="00197085">
      <w:pPr>
        <w:spacing w:line="360" w:lineRule="auto"/>
        <w:ind w:left="-360" w:right="42"/>
        <w:jc w:val="center"/>
        <w:rPr>
          <w:b/>
          <w:bCs/>
          <w:sz w:val="22"/>
          <w:szCs w:val="22"/>
          <w:lang w:val="en-US"/>
        </w:rPr>
      </w:pPr>
      <w:r w:rsidRPr="00477BE0">
        <w:rPr>
          <w:b/>
          <w:bCs/>
          <w:sz w:val="22"/>
          <w:szCs w:val="22"/>
          <w:lang w:val="en-US"/>
        </w:rPr>
        <w:t xml:space="preserve">Slight increase in private consumption </w:t>
      </w:r>
    </w:p>
    <w:p w:rsidR="00511ADA" w:rsidRPr="00477BE0" w:rsidRDefault="00511ADA" w:rsidP="00197085">
      <w:pPr>
        <w:spacing w:line="360" w:lineRule="auto"/>
        <w:ind w:left="-360" w:right="42"/>
        <w:jc w:val="center"/>
        <w:rPr>
          <w:b/>
          <w:bCs/>
          <w:sz w:val="22"/>
          <w:szCs w:val="22"/>
          <w:lang w:val="en-US"/>
        </w:rPr>
      </w:pPr>
    </w:p>
    <w:p w:rsidR="00511ADA" w:rsidRPr="00CC5778" w:rsidRDefault="00AD3270" w:rsidP="00197085">
      <w:pPr>
        <w:spacing w:line="360" w:lineRule="auto"/>
        <w:ind w:left="-360" w:right="42"/>
        <w:jc w:val="both"/>
        <w:rPr>
          <w:sz w:val="22"/>
          <w:szCs w:val="22"/>
          <w:lang w:val="en-US"/>
        </w:rPr>
      </w:pPr>
      <w:r w:rsidRPr="00477BE0">
        <w:rPr>
          <w:sz w:val="22"/>
          <w:szCs w:val="22"/>
          <w:lang w:val="en-US"/>
        </w:rPr>
        <w:t>In July</w:t>
      </w:r>
      <w:r w:rsidR="00511ADA" w:rsidRPr="00477BE0">
        <w:rPr>
          <w:sz w:val="22"/>
          <w:szCs w:val="22"/>
          <w:lang w:val="en-US"/>
        </w:rPr>
        <w:t xml:space="preserve">, consumption goods </w:t>
      </w:r>
      <w:proofErr w:type="gramStart"/>
      <w:r w:rsidR="00511ADA" w:rsidRPr="00477BE0">
        <w:rPr>
          <w:sz w:val="22"/>
          <w:szCs w:val="22"/>
          <w:lang w:val="en-US"/>
        </w:rPr>
        <w:t>imports  increased</w:t>
      </w:r>
      <w:proofErr w:type="gramEnd"/>
      <w:r w:rsidR="00511ADA" w:rsidRPr="00477BE0">
        <w:rPr>
          <w:sz w:val="22"/>
          <w:szCs w:val="22"/>
          <w:lang w:val="en-US"/>
        </w:rPr>
        <w:t xml:space="preserve"> by 0.2 percent </w:t>
      </w:r>
      <w:r w:rsidR="009516B6">
        <w:rPr>
          <w:sz w:val="22"/>
          <w:szCs w:val="22"/>
          <w:lang w:val="en-US"/>
        </w:rPr>
        <w:t>while</w:t>
      </w:r>
      <w:r w:rsidR="00511ADA" w:rsidRPr="00477BE0">
        <w:rPr>
          <w:sz w:val="22"/>
          <w:szCs w:val="22"/>
          <w:lang w:val="en-US"/>
        </w:rPr>
        <w:t xml:space="preserve"> durable goods and non-durable goods production decreased by 11.3 percent and 2.5 percent, respectively</w:t>
      </w:r>
      <w:r w:rsidR="00511ADA" w:rsidRPr="00CC5778">
        <w:rPr>
          <w:sz w:val="22"/>
          <w:szCs w:val="22"/>
          <w:lang w:val="en-US"/>
        </w:rPr>
        <w:t>. Consumer confidence index has a d</w:t>
      </w:r>
      <w:r w:rsidR="008A4B60" w:rsidRPr="00CC5778">
        <w:rPr>
          <w:sz w:val="22"/>
          <w:szCs w:val="22"/>
          <w:lang w:val="en-US"/>
        </w:rPr>
        <w:t xml:space="preserve">ownward trend. </w:t>
      </w:r>
      <w:r w:rsidR="008A4B60" w:rsidRPr="00AD3270">
        <w:rPr>
          <w:sz w:val="22"/>
          <w:szCs w:val="22"/>
          <w:lang w:val="en-US"/>
        </w:rPr>
        <w:t>The l</w:t>
      </w:r>
      <w:r w:rsidRPr="00AD3270">
        <w:rPr>
          <w:sz w:val="22"/>
          <w:szCs w:val="22"/>
          <w:lang w:val="en-US"/>
        </w:rPr>
        <w:t xml:space="preserve">ast data </w:t>
      </w:r>
      <w:r w:rsidR="008A4B60" w:rsidRPr="00AD3270">
        <w:rPr>
          <w:sz w:val="22"/>
          <w:szCs w:val="22"/>
          <w:lang w:val="en-US"/>
        </w:rPr>
        <w:t>indicates that it decreased by 2.1 percent in August.</w:t>
      </w:r>
      <w:r w:rsidR="008A4B60" w:rsidRPr="00CC5778">
        <w:rPr>
          <w:sz w:val="22"/>
          <w:szCs w:val="22"/>
          <w:lang w:val="en-US"/>
        </w:rPr>
        <w:t xml:space="preserve"> Taxes on special private consumption (SCT) </w:t>
      </w:r>
      <w:r>
        <w:rPr>
          <w:sz w:val="22"/>
          <w:szCs w:val="22"/>
          <w:lang w:val="en-US"/>
        </w:rPr>
        <w:t>increased</w:t>
      </w:r>
      <w:r w:rsidR="008A4B60" w:rsidRPr="00CC5778">
        <w:rPr>
          <w:sz w:val="22"/>
          <w:szCs w:val="22"/>
          <w:lang w:val="en-US"/>
        </w:rPr>
        <w:t xml:space="preserve"> by 7.3 percent in Augu</w:t>
      </w:r>
      <w:r w:rsidR="008A4B60" w:rsidRPr="00394C8A">
        <w:rPr>
          <w:sz w:val="22"/>
          <w:szCs w:val="22"/>
          <w:lang w:val="en-US"/>
        </w:rPr>
        <w:t>st.</w:t>
      </w:r>
      <w:r w:rsidR="006918A3" w:rsidRPr="00394C8A">
        <w:rPr>
          <w:sz w:val="22"/>
          <w:szCs w:val="22"/>
          <w:lang w:val="en-US"/>
        </w:rPr>
        <w:t xml:space="preserve"> </w:t>
      </w:r>
      <w:r w:rsidR="00394C8A" w:rsidRPr="00394C8A">
        <w:rPr>
          <w:sz w:val="22"/>
          <w:szCs w:val="22"/>
          <w:lang w:val="en-US"/>
        </w:rPr>
        <w:t>W</w:t>
      </w:r>
      <w:r w:rsidR="006918A3" w:rsidRPr="00394C8A">
        <w:rPr>
          <w:sz w:val="22"/>
          <w:szCs w:val="22"/>
          <w:lang w:val="en-US"/>
        </w:rPr>
        <w:t>e expect that contr</w:t>
      </w:r>
      <w:r w:rsidR="00394C8A" w:rsidRPr="00394C8A">
        <w:rPr>
          <w:sz w:val="22"/>
          <w:szCs w:val="22"/>
          <w:lang w:val="en-US"/>
        </w:rPr>
        <w:t>ibution of private consumption</w:t>
      </w:r>
      <w:r w:rsidR="0074147A" w:rsidRPr="00394C8A">
        <w:rPr>
          <w:sz w:val="22"/>
          <w:szCs w:val="22"/>
          <w:lang w:val="en-US"/>
        </w:rPr>
        <w:t xml:space="preserve"> </w:t>
      </w:r>
      <w:r w:rsidR="006918A3" w:rsidRPr="00394C8A">
        <w:rPr>
          <w:sz w:val="22"/>
          <w:szCs w:val="22"/>
          <w:lang w:val="en-US"/>
        </w:rPr>
        <w:t>to growth w</w:t>
      </w:r>
      <w:r w:rsidR="00394C8A" w:rsidRPr="00394C8A">
        <w:rPr>
          <w:sz w:val="22"/>
          <w:szCs w:val="22"/>
          <w:lang w:val="en-US"/>
        </w:rPr>
        <w:t>ill be</w:t>
      </w:r>
      <w:r w:rsidR="006918A3" w:rsidRPr="00394C8A">
        <w:rPr>
          <w:sz w:val="22"/>
          <w:szCs w:val="22"/>
          <w:lang w:val="en-US"/>
        </w:rPr>
        <w:t xml:space="preserve"> slightly positive</w:t>
      </w:r>
      <w:r w:rsidR="00394C8A" w:rsidRPr="00394C8A">
        <w:rPr>
          <w:sz w:val="22"/>
          <w:szCs w:val="22"/>
          <w:lang w:val="en-US"/>
        </w:rPr>
        <w:t xml:space="preserve"> given the rise in consumption good imports</w:t>
      </w:r>
      <w:r w:rsidR="006918A3" w:rsidRPr="00394C8A">
        <w:rPr>
          <w:sz w:val="22"/>
          <w:szCs w:val="22"/>
          <w:lang w:val="en-US"/>
        </w:rPr>
        <w:t>.</w:t>
      </w:r>
    </w:p>
    <w:p w:rsidR="0006725C" w:rsidRPr="00CC5778" w:rsidRDefault="0006725C" w:rsidP="00197085">
      <w:pPr>
        <w:spacing w:line="360" w:lineRule="auto"/>
        <w:ind w:left="-360" w:right="42"/>
        <w:jc w:val="center"/>
        <w:rPr>
          <w:b/>
          <w:bCs/>
          <w:sz w:val="22"/>
          <w:szCs w:val="22"/>
          <w:lang w:val="en-US"/>
        </w:rPr>
      </w:pPr>
    </w:p>
    <w:p w:rsidR="006E2396" w:rsidRPr="00CC5778" w:rsidRDefault="006E2396" w:rsidP="00197085">
      <w:pPr>
        <w:spacing w:line="360" w:lineRule="auto"/>
        <w:ind w:left="-360" w:right="42"/>
        <w:jc w:val="center"/>
        <w:rPr>
          <w:b/>
          <w:bCs/>
          <w:sz w:val="22"/>
          <w:szCs w:val="22"/>
          <w:lang w:val="en-US"/>
        </w:rPr>
      </w:pPr>
    </w:p>
    <w:p w:rsidR="00197085" w:rsidRPr="00CC5778" w:rsidRDefault="00632851" w:rsidP="00197085">
      <w:pPr>
        <w:spacing w:line="360" w:lineRule="auto"/>
        <w:ind w:left="-360" w:right="42"/>
        <w:jc w:val="center"/>
        <w:rPr>
          <w:b/>
          <w:bCs/>
          <w:sz w:val="22"/>
          <w:szCs w:val="22"/>
          <w:lang w:val="en-US"/>
        </w:rPr>
      </w:pPr>
      <w:r w:rsidRPr="00CC5778">
        <w:rPr>
          <w:b/>
          <w:bCs/>
          <w:sz w:val="22"/>
          <w:szCs w:val="22"/>
          <w:lang w:val="en-US"/>
        </w:rPr>
        <w:t xml:space="preserve">Deceleration in private investment </w:t>
      </w:r>
    </w:p>
    <w:p w:rsidR="00197085" w:rsidRPr="00CC5778" w:rsidRDefault="00197085" w:rsidP="00197085">
      <w:pPr>
        <w:spacing w:line="360" w:lineRule="auto"/>
        <w:ind w:left="-360" w:right="42"/>
        <w:jc w:val="center"/>
        <w:rPr>
          <w:b/>
          <w:bCs/>
          <w:color w:val="FF0000"/>
          <w:sz w:val="22"/>
          <w:szCs w:val="22"/>
          <w:lang w:val="en-US"/>
        </w:rPr>
      </w:pPr>
    </w:p>
    <w:p w:rsidR="00DC6D98" w:rsidRPr="00CC5778" w:rsidRDefault="00632851" w:rsidP="00A54607">
      <w:pPr>
        <w:spacing w:line="360" w:lineRule="auto"/>
        <w:ind w:left="-360" w:right="42"/>
        <w:jc w:val="both"/>
        <w:rPr>
          <w:bCs/>
          <w:sz w:val="22"/>
          <w:szCs w:val="22"/>
          <w:lang w:val="en-US"/>
        </w:rPr>
      </w:pPr>
      <w:r w:rsidRPr="00CC5778">
        <w:rPr>
          <w:sz w:val="22"/>
          <w:szCs w:val="22"/>
          <w:lang w:val="en-US"/>
        </w:rPr>
        <w:t xml:space="preserve">In July, from the previous month, investment goods imports and industrial production index </w:t>
      </w:r>
      <w:r w:rsidRPr="00CC5778">
        <w:rPr>
          <w:sz w:val="22"/>
          <w:szCs w:val="22"/>
          <w:lang w:val="en-US"/>
        </w:rPr>
        <w:lastRenderedPageBreak/>
        <w:t>(IPI) declined by 0.1 percent and 1.5 percent, resp</w:t>
      </w:r>
      <w:r w:rsidR="00B66829">
        <w:rPr>
          <w:sz w:val="22"/>
          <w:szCs w:val="22"/>
          <w:lang w:val="en-US"/>
        </w:rPr>
        <w:t xml:space="preserve">ectively and </w:t>
      </w:r>
      <w:r w:rsidR="00EF6369">
        <w:rPr>
          <w:sz w:val="22"/>
          <w:szCs w:val="22"/>
          <w:lang w:val="en-US"/>
        </w:rPr>
        <w:t xml:space="preserve">but </w:t>
      </w:r>
      <w:r w:rsidR="00264F0C" w:rsidRPr="00CC5778">
        <w:rPr>
          <w:sz w:val="22"/>
          <w:szCs w:val="22"/>
          <w:lang w:val="en-US"/>
        </w:rPr>
        <w:t>investment goods p</w:t>
      </w:r>
      <w:r w:rsidR="00CE2235" w:rsidRPr="00CC5778">
        <w:rPr>
          <w:sz w:val="22"/>
          <w:szCs w:val="22"/>
          <w:lang w:val="en-US"/>
        </w:rPr>
        <w:t xml:space="preserve">roduction </w:t>
      </w:r>
      <w:r w:rsidR="00B66829">
        <w:rPr>
          <w:sz w:val="22"/>
          <w:szCs w:val="22"/>
          <w:lang w:val="en-US"/>
        </w:rPr>
        <w:t>increased</w:t>
      </w:r>
      <w:r w:rsidR="00CE2235" w:rsidRPr="00CC5778">
        <w:rPr>
          <w:sz w:val="22"/>
          <w:szCs w:val="22"/>
          <w:lang w:val="en-US"/>
        </w:rPr>
        <w:t xml:space="preserve"> </w:t>
      </w:r>
      <w:r w:rsidRPr="00EF6369">
        <w:rPr>
          <w:sz w:val="22"/>
          <w:szCs w:val="22"/>
          <w:lang w:val="en-US"/>
        </w:rPr>
        <w:t xml:space="preserve">by </w:t>
      </w:r>
      <w:r w:rsidR="00CE2235" w:rsidRPr="00EF6369">
        <w:rPr>
          <w:sz w:val="22"/>
          <w:szCs w:val="22"/>
          <w:lang w:val="en-US"/>
        </w:rPr>
        <w:t>8.3</w:t>
      </w:r>
      <w:r w:rsidR="00B66829" w:rsidRPr="00EF6369">
        <w:rPr>
          <w:sz w:val="22"/>
          <w:szCs w:val="22"/>
          <w:lang w:val="en-US"/>
        </w:rPr>
        <w:t xml:space="preserve"> percent</w:t>
      </w:r>
      <w:r w:rsidR="00B66829">
        <w:rPr>
          <w:sz w:val="22"/>
          <w:szCs w:val="22"/>
          <w:lang w:val="en-US"/>
        </w:rPr>
        <w:t xml:space="preserve">. </w:t>
      </w:r>
      <w:r w:rsidR="00CE2235" w:rsidRPr="00CC5778">
        <w:rPr>
          <w:sz w:val="22"/>
          <w:szCs w:val="22"/>
          <w:lang w:val="en-US"/>
        </w:rPr>
        <w:t xml:space="preserve">For August, real sector confidence index decreased by 0.1 percent. </w:t>
      </w:r>
      <w:r w:rsidR="00D4568D" w:rsidRPr="00CC5778">
        <w:rPr>
          <w:sz w:val="22"/>
          <w:szCs w:val="22"/>
          <w:lang w:val="en-US"/>
        </w:rPr>
        <w:t xml:space="preserve">All in all, we expect that </w:t>
      </w:r>
      <w:r w:rsidR="00A54607" w:rsidRPr="00CC5778">
        <w:rPr>
          <w:sz w:val="22"/>
          <w:szCs w:val="22"/>
          <w:lang w:val="en-US"/>
        </w:rPr>
        <w:t>the contribu</w:t>
      </w:r>
      <w:r w:rsidR="00B66829">
        <w:rPr>
          <w:sz w:val="22"/>
          <w:szCs w:val="22"/>
          <w:lang w:val="en-US"/>
        </w:rPr>
        <w:t>tion of investment to growth will be</w:t>
      </w:r>
      <w:r w:rsidR="00A54607" w:rsidRPr="00CC5778">
        <w:rPr>
          <w:sz w:val="22"/>
          <w:szCs w:val="22"/>
          <w:lang w:val="en-US"/>
        </w:rPr>
        <w:t xml:space="preserve"> weak in the third quarter of 2015. </w:t>
      </w:r>
    </w:p>
    <w:p w:rsidR="00DC6D98" w:rsidRPr="00CC5778" w:rsidRDefault="00DC6D98" w:rsidP="00DC6D98">
      <w:pPr>
        <w:spacing w:line="360" w:lineRule="auto"/>
        <w:ind w:left="-360" w:right="42"/>
        <w:jc w:val="both"/>
        <w:rPr>
          <w:bCs/>
          <w:sz w:val="22"/>
          <w:szCs w:val="22"/>
          <w:lang w:val="en-US"/>
        </w:rPr>
      </w:pPr>
    </w:p>
    <w:p w:rsidR="00197085" w:rsidRPr="00CC5778" w:rsidRDefault="00B66829" w:rsidP="00197085">
      <w:pPr>
        <w:spacing w:line="360" w:lineRule="auto"/>
        <w:ind w:left="-360" w:right="43"/>
        <w:jc w:val="center"/>
        <w:rPr>
          <w:b/>
          <w:bCs/>
          <w:color w:val="FF0000"/>
          <w:sz w:val="22"/>
          <w:szCs w:val="22"/>
          <w:lang w:val="en-US"/>
        </w:rPr>
      </w:pPr>
      <w:r>
        <w:rPr>
          <w:b/>
          <w:bCs/>
          <w:sz w:val="22"/>
          <w:szCs w:val="22"/>
          <w:lang w:val="en-US"/>
        </w:rPr>
        <w:t>Negative contribution of n</w:t>
      </w:r>
      <w:r w:rsidR="00080E45" w:rsidRPr="00CC5778">
        <w:rPr>
          <w:b/>
          <w:bCs/>
          <w:sz w:val="22"/>
          <w:szCs w:val="22"/>
          <w:lang w:val="en-US"/>
        </w:rPr>
        <w:t>et export in the third quarter</w:t>
      </w:r>
    </w:p>
    <w:p w:rsidR="00FD47F7" w:rsidRPr="00CC5778" w:rsidRDefault="00116C43" w:rsidP="00116C43">
      <w:pPr>
        <w:spacing w:line="360" w:lineRule="auto"/>
        <w:ind w:left="-360" w:right="43"/>
        <w:jc w:val="both"/>
        <w:rPr>
          <w:sz w:val="22"/>
          <w:szCs w:val="22"/>
          <w:lang w:val="en-US"/>
        </w:rPr>
      </w:pPr>
      <w:r w:rsidRPr="00CC5778">
        <w:rPr>
          <w:sz w:val="22"/>
          <w:szCs w:val="22"/>
          <w:lang w:val="en-US"/>
        </w:rPr>
        <w:t>Figure 2 shows monthly changes of seasonally adjusted import and export volume indices. In July from the previous month, export volume index decreased by 0.3 percent and import volume index increased by 2.2 percent. In the same period, gold-excluded real exports</w:t>
      </w:r>
      <w:r w:rsidRPr="00CC5778">
        <w:rPr>
          <w:rStyle w:val="FootnoteReference"/>
          <w:sz w:val="22"/>
          <w:szCs w:val="22"/>
          <w:lang w:val="en-US"/>
        </w:rPr>
        <w:footnoteReference w:id="1"/>
      </w:r>
      <w:r w:rsidR="0074147A" w:rsidRPr="00CC5778">
        <w:rPr>
          <w:sz w:val="22"/>
          <w:szCs w:val="22"/>
          <w:lang w:val="en-US"/>
        </w:rPr>
        <w:t xml:space="preserve">and imports decreased by 1.4 </w:t>
      </w:r>
      <w:r w:rsidR="00B66829">
        <w:rPr>
          <w:sz w:val="22"/>
          <w:szCs w:val="22"/>
          <w:lang w:val="en-US"/>
        </w:rPr>
        <w:t xml:space="preserve">and 0.1 percent. </w:t>
      </w:r>
      <w:r w:rsidRPr="00CC5778">
        <w:rPr>
          <w:sz w:val="22"/>
          <w:szCs w:val="22"/>
          <w:lang w:val="en-US"/>
        </w:rPr>
        <w:t>We expect the contribution of net exports in the third quarter to be negative.</w:t>
      </w:r>
    </w:p>
    <w:p w:rsidR="007F160B" w:rsidRPr="00CC5778" w:rsidRDefault="007F160B" w:rsidP="00B66829">
      <w:pPr>
        <w:spacing w:line="360" w:lineRule="auto"/>
        <w:ind w:right="43"/>
        <w:jc w:val="both"/>
        <w:rPr>
          <w:color w:val="FF0000"/>
          <w:sz w:val="22"/>
          <w:szCs w:val="22"/>
          <w:lang w:val="en-US"/>
        </w:rPr>
      </w:pPr>
    </w:p>
    <w:p w:rsidR="007F160B" w:rsidRPr="00CC5778" w:rsidRDefault="007F160B" w:rsidP="00603888">
      <w:pPr>
        <w:spacing w:line="360" w:lineRule="auto"/>
        <w:ind w:left="-360" w:right="43"/>
        <w:jc w:val="both"/>
        <w:rPr>
          <w:color w:val="FF0000"/>
          <w:sz w:val="22"/>
          <w:szCs w:val="22"/>
          <w:lang w:val="en-US"/>
        </w:rPr>
      </w:pPr>
    </w:p>
    <w:p w:rsidR="00C76E90" w:rsidRPr="00CC5778" w:rsidRDefault="00C76E90" w:rsidP="00603888">
      <w:pPr>
        <w:spacing w:line="360" w:lineRule="auto"/>
        <w:ind w:left="-360" w:right="43"/>
        <w:jc w:val="both"/>
        <w:rPr>
          <w:color w:val="FF0000"/>
          <w:sz w:val="22"/>
          <w:szCs w:val="22"/>
          <w:lang w:val="en-US"/>
        </w:rPr>
      </w:pPr>
    </w:p>
    <w:p w:rsidR="00775D69" w:rsidRPr="00CC5778" w:rsidRDefault="00775D69" w:rsidP="00603888">
      <w:pPr>
        <w:spacing w:line="360" w:lineRule="auto"/>
        <w:ind w:left="-360" w:right="43"/>
        <w:jc w:val="both"/>
        <w:rPr>
          <w:color w:val="FF0000"/>
          <w:sz w:val="22"/>
          <w:szCs w:val="22"/>
          <w:lang w:val="en-US"/>
        </w:rPr>
        <w:sectPr w:rsidR="00775D69" w:rsidRPr="00CC5778" w:rsidSect="00EF12B8">
          <w:footerReference w:type="default" r:id="rId14"/>
          <w:type w:val="continuous"/>
          <w:pgSz w:w="11906" w:h="16838"/>
          <w:pgMar w:top="1417" w:right="1417" w:bottom="1417" w:left="1417" w:header="708" w:footer="708" w:gutter="0"/>
          <w:cols w:num="2" w:space="708"/>
          <w:docGrid w:linePitch="360"/>
        </w:sectPr>
      </w:pPr>
    </w:p>
    <w:p w:rsidR="00197085" w:rsidRPr="00CC5778" w:rsidRDefault="00197085" w:rsidP="00197085">
      <w:pPr>
        <w:spacing w:line="360" w:lineRule="auto"/>
        <w:ind w:right="42"/>
        <w:jc w:val="both"/>
        <w:rPr>
          <w:sz w:val="22"/>
          <w:szCs w:val="22"/>
          <w:lang w:val="en-US"/>
        </w:rPr>
      </w:pPr>
      <w:proofErr w:type="gramStart"/>
      <w:r w:rsidRPr="00CC5778">
        <w:rPr>
          <w:b/>
          <w:bCs/>
          <w:sz w:val="22"/>
          <w:szCs w:val="22"/>
          <w:lang w:val="en-US"/>
        </w:rPr>
        <w:lastRenderedPageBreak/>
        <w:t>Tabl</w:t>
      </w:r>
      <w:r w:rsidR="001253B7" w:rsidRPr="00CC5778">
        <w:rPr>
          <w:b/>
          <w:bCs/>
          <w:sz w:val="22"/>
          <w:szCs w:val="22"/>
          <w:lang w:val="en-US"/>
        </w:rPr>
        <w:t>e</w:t>
      </w:r>
      <w:r w:rsidRPr="00CC5778">
        <w:rPr>
          <w:b/>
          <w:bCs/>
          <w:sz w:val="22"/>
          <w:szCs w:val="22"/>
          <w:lang w:val="en-US"/>
        </w:rPr>
        <w:t xml:space="preserve"> 2.</w:t>
      </w:r>
      <w:proofErr w:type="gramEnd"/>
      <w:r w:rsidRPr="00CC5778">
        <w:rPr>
          <w:b/>
          <w:bCs/>
          <w:sz w:val="22"/>
          <w:szCs w:val="22"/>
          <w:lang w:val="en-US"/>
        </w:rPr>
        <w:t xml:space="preserve"> </w:t>
      </w:r>
      <w:r w:rsidR="001253B7" w:rsidRPr="00CC5778">
        <w:rPr>
          <w:b/>
          <w:bCs/>
          <w:sz w:val="22"/>
          <w:szCs w:val="22"/>
          <w:lang w:val="en-US"/>
        </w:rPr>
        <w:t xml:space="preserve">Monthly and quarterly changes of </w:t>
      </w:r>
      <w:proofErr w:type="spellStart"/>
      <w:r w:rsidR="001253B7" w:rsidRPr="00CC5778">
        <w:rPr>
          <w:b/>
          <w:bCs/>
          <w:sz w:val="22"/>
          <w:szCs w:val="22"/>
          <w:lang w:val="en-US"/>
        </w:rPr>
        <w:t>Betam’s</w:t>
      </w:r>
      <w:proofErr w:type="spellEnd"/>
      <w:r w:rsidR="001253B7" w:rsidRPr="00CC5778">
        <w:rPr>
          <w:b/>
          <w:bCs/>
          <w:sz w:val="22"/>
          <w:szCs w:val="22"/>
          <w:lang w:val="en-US"/>
        </w:rPr>
        <w:t xml:space="preserve"> selected indicators (real and </w:t>
      </w:r>
      <w:proofErr w:type="spellStart"/>
      <w:proofErr w:type="gramStart"/>
      <w:r w:rsidR="001253B7" w:rsidRPr="00CC5778">
        <w:rPr>
          <w:b/>
          <w:bCs/>
          <w:sz w:val="22"/>
          <w:szCs w:val="22"/>
          <w:lang w:val="en-US"/>
        </w:rPr>
        <w:t>sa</w:t>
      </w:r>
      <w:proofErr w:type="spellEnd"/>
      <w:proofErr w:type="gramEnd"/>
      <w:r w:rsidR="001253B7" w:rsidRPr="00CC5778">
        <w:rPr>
          <w:b/>
          <w:bCs/>
          <w:sz w:val="22"/>
          <w:szCs w:val="22"/>
          <w:lang w:val="en-US"/>
        </w:rPr>
        <w:t>)</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1144"/>
        <w:gridCol w:w="1070"/>
        <w:gridCol w:w="1121"/>
        <w:gridCol w:w="1072"/>
        <w:gridCol w:w="1028"/>
        <w:gridCol w:w="1028"/>
      </w:tblGrid>
      <w:tr w:rsidR="00243355" w:rsidRPr="00CC5778" w:rsidTr="00D01AC5">
        <w:trPr>
          <w:trHeight w:val="607"/>
        </w:trPr>
        <w:tc>
          <w:tcPr>
            <w:tcW w:w="3134" w:type="dxa"/>
            <w:vAlign w:val="center"/>
          </w:tcPr>
          <w:p w:rsidR="00243355" w:rsidRPr="00CC5778" w:rsidRDefault="001253B7" w:rsidP="00E24F81">
            <w:pPr>
              <w:ind w:right="42"/>
              <w:jc w:val="center"/>
              <w:rPr>
                <w:b/>
                <w:bCs/>
                <w:lang w:val="en-US"/>
              </w:rPr>
            </w:pPr>
            <w:r w:rsidRPr="00CC5778">
              <w:rPr>
                <w:b/>
                <w:bCs/>
                <w:sz w:val="22"/>
                <w:szCs w:val="22"/>
                <w:lang w:val="en-US"/>
              </w:rPr>
              <w:t>Indicators</w:t>
            </w:r>
          </w:p>
        </w:tc>
        <w:tc>
          <w:tcPr>
            <w:tcW w:w="1165" w:type="dxa"/>
            <w:vAlign w:val="center"/>
          </w:tcPr>
          <w:p w:rsidR="00243355" w:rsidRPr="00CC5778" w:rsidRDefault="00243355" w:rsidP="001253B7">
            <w:pPr>
              <w:jc w:val="center"/>
              <w:rPr>
                <w:rFonts w:ascii="Segoe UI" w:hAnsi="Segoe UI" w:cs="Segoe UI"/>
                <w:sz w:val="23"/>
                <w:szCs w:val="23"/>
                <w:lang w:val="en-US"/>
              </w:rPr>
            </w:pPr>
            <w:r w:rsidRPr="00CC5778">
              <w:rPr>
                <w:b/>
                <w:bCs/>
                <w:lang w:val="en-US"/>
              </w:rPr>
              <w:t>May</w:t>
            </w:r>
          </w:p>
        </w:tc>
        <w:tc>
          <w:tcPr>
            <w:tcW w:w="1086" w:type="dxa"/>
            <w:vAlign w:val="center"/>
          </w:tcPr>
          <w:p w:rsidR="00243355" w:rsidRPr="00CC5778" w:rsidRDefault="001253B7" w:rsidP="00275675">
            <w:pPr>
              <w:jc w:val="center"/>
              <w:rPr>
                <w:rFonts w:ascii="Segoe UI" w:hAnsi="Segoe UI" w:cs="Segoe UI"/>
                <w:sz w:val="23"/>
                <w:szCs w:val="23"/>
                <w:lang w:val="en-US"/>
              </w:rPr>
            </w:pPr>
            <w:r w:rsidRPr="00CC5778">
              <w:rPr>
                <w:b/>
                <w:bCs/>
                <w:lang w:val="en-US"/>
              </w:rPr>
              <w:t>June</w:t>
            </w:r>
          </w:p>
        </w:tc>
        <w:tc>
          <w:tcPr>
            <w:tcW w:w="1142" w:type="dxa"/>
            <w:vAlign w:val="center"/>
          </w:tcPr>
          <w:p w:rsidR="00243355" w:rsidRPr="00CC5778" w:rsidRDefault="001253B7" w:rsidP="00275675">
            <w:pPr>
              <w:jc w:val="center"/>
              <w:rPr>
                <w:b/>
                <w:bCs/>
                <w:lang w:val="en-US"/>
              </w:rPr>
            </w:pPr>
            <w:r w:rsidRPr="00CC5778">
              <w:rPr>
                <w:b/>
                <w:bCs/>
                <w:lang w:val="en-US"/>
              </w:rPr>
              <w:t>July</w:t>
            </w:r>
          </w:p>
        </w:tc>
        <w:tc>
          <w:tcPr>
            <w:tcW w:w="1077" w:type="dxa"/>
            <w:tcBorders>
              <w:right w:val="double" w:sz="4" w:space="0" w:color="auto"/>
            </w:tcBorders>
            <w:vAlign w:val="center"/>
          </w:tcPr>
          <w:p w:rsidR="00243355" w:rsidRPr="00CC5778" w:rsidRDefault="001253B7" w:rsidP="00275675">
            <w:pPr>
              <w:jc w:val="center"/>
              <w:rPr>
                <w:b/>
                <w:bCs/>
                <w:lang w:val="en-US"/>
              </w:rPr>
            </w:pPr>
            <w:r w:rsidRPr="00CC5778">
              <w:rPr>
                <w:b/>
                <w:bCs/>
                <w:lang w:val="en-US"/>
              </w:rPr>
              <w:t>August</w:t>
            </w:r>
          </w:p>
        </w:tc>
        <w:tc>
          <w:tcPr>
            <w:tcW w:w="959" w:type="dxa"/>
            <w:tcBorders>
              <w:left w:val="double" w:sz="4" w:space="0" w:color="auto"/>
            </w:tcBorders>
            <w:vAlign w:val="center"/>
          </w:tcPr>
          <w:p w:rsidR="00243355" w:rsidRPr="00CC5778" w:rsidRDefault="003009F0" w:rsidP="001253B7">
            <w:pPr>
              <w:ind w:right="42"/>
              <w:jc w:val="center"/>
              <w:rPr>
                <w:b/>
                <w:bCs/>
                <w:lang w:val="en-US"/>
              </w:rPr>
            </w:pPr>
            <w:r w:rsidRPr="00CC5778">
              <w:rPr>
                <w:b/>
                <w:bCs/>
                <w:sz w:val="22"/>
                <w:szCs w:val="22"/>
                <w:lang w:val="en-US"/>
              </w:rPr>
              <w:t>2015 2</w:t>
            </w:r>
            <w:r w:rsidR="00243355" w:rsidRPr="00CC5778">
              <w:rPr>
                <w:b/>
                <w:bCs/>
                <w:sz w:val="22"/>
                <w:szCs w:val="22"/>
                <w:lang w:val="en-US"/>
              </w:rPr>
              <w:t xml:space="preserve">. </w:t>
            </w:r>
            <w:r w:rsidR="001253B7" w:rsidRPr="00CC5778">
              <w:rPr>
                <w:b/>
                <w:bCs/>
                <w:sz w:val="22"/>
                <w:szCs w:val="22"/>
                <w:lang w:val="en-US"/>
              </w:rPr>
              <w:t>Quarter</w:t>
            </w:r>
          </w:p>
        </w:tc>
        <w:tc>
          <w:tcPr>
            <w:tcW w:w="959" w:type="dxa"/>
            <w:vAlign w:val="center"/>
          </w:tcPr>
          <w:p w:rsidR="00243355" w:rsidRPr="00CC5778" w:rsidRDefault="003009F0" w:rsidP="001253B7">
            <w:pPr>
              <w:ind w:right="42"/>
              <w:jc w:val="center"/>
              <w:rPr>
                <w:b/>
                <w:bCs/>
                <w:lang w:val="en-US"/>
              </w:rPr>
            </w:pPr>
            <w:r w:rsidRPr="00CC5778">
              <w:rPr>
                <w:b/>
                <w:bCs/>
                <w:sz w:val="22"/>
                <w:szCs w:val="22"/>
                <w:lang w:val="en-US"/>
              </w:rPr>
              <w:t>2015 3</w:t>
            </w:r>
            <w:r w:rsidR="00243355" w:rsidRPr="00CC5778">
              <w:rPr>
                <w:b/>
                <w:bCs/>
                <w:sz w:val="22"/>
                <w:szCs w:val="22"/>
                <w:lang w:val="en-US"/>
              </w:rPr>
              <w:t xml:space="preserve">. </w:t>
            </w:r>
            <w:r w:rsidR="001253B7" w:rsidRPr="00CC5778">
              <w:rPr>
                <w:b/>
                <w:bCs/>
                <w:sz w:val="22"/>
                <w:szCs w:val="22"/>
                <w:lang w:val="en-US"/>
              </w:rPr>
              <w:t>Quarter</w:t>
            </w:r>
          </w:p>
        </w:tc>
      </w:tr>
      <w:tr w:rsidR="00783619" w:rsidRPr="00CC5778" w:rsidTr="00D01AC5">
        <w:trPr>
          <w:trHeight w:val="370"/>
        </w:trPr>
        <w:tc>
          <w:tcPr>
            <w:tcW w:w="3134" w:type="dxa"/>
            <w:vAlign w:val="center"/>
          </w:tcPr>
          <w:p w:rsidR="00783619" w:rsidRPr="00CC5778" w:rsidRDefault="00E413E1" w:rsidP="00E24F81">
            <w:pPr>
              <w:ind w:right="42"/>
              <w:jc w:val="center"/>
              <w:rPr>
                <w:b/>
                <w:bCs/>
                <w:lang w:val="en-US"/>
              </w:rPr>
            </w:pPr>
            <w:r w:rsidRPr="00CC5778">
              <w:rPr>
                <w:b/>
                <w:bCs/>
                <w:sz w:val="22"/>
                <w:szCs w:val="22"/>
                <w:lang w:val="en-US"/>
              </w:rPr>
              <w:t>Export</w:t>
            </w:r>
            <w:r w:rsidR="0095559C" w:rsidRPr="00CC5778">
              <w:rPr>
                <w:b/>
                <w:bCs/>
                <w:sz w:val="22"/>
                <w:szCs w:val="22"/>
                <w:lang w:val="en-US"/>
              </w:rPr>
              <w:t>s</w:t>
            </w:r>
            <w:r w:rsidR="00783619" w:rsidRPr="00CC5778">
              <w:rPr>
                <w:b/>
                <w:bCs/>
                <w:sz w:val="22"/>
                <w:szCs w:val="22"/>
                <w:lang w:val="en-US"/>
              </w:rPr>
              <w:t>*</w:t>
            </w:r>
          </w:p>
        </w:tc>
        <w:tc>
          <w:tcPr>
            <w:tcW w:w="1165" w:type="dxa"/>
            <w:vAlign w:val="center"/>
          </w:tcPr>
          <w:p w:rsidR="00783619" w:rsidRPr="00CC5778" w:rsidRDefault="00FC3C8B" w:rsidP="00194572">
            <w:pPr>
              <w:jc w:val="center"/>
              <w:rPr>
                <w:lang w:val="en-US"/>
              </w:rPr>
            </w:pPr>
            <w:r w:rsidRPr="00CC5778">
              <w:rPr>
                <w:lang w:val="en-US"/>
              </w:rPr>
              <w:t>-14,7</w:t>
            </w:r>
          </w:p>
        </w:tc>
        <w:tc>
          <w:tcPr>
            <w:tcW w:w="1086" w:type="dxa"/>
            <w:vAlign w:val="center"/>
          </w:tcPr>
          <w:p w:rsidR="00783619" w:rsidRPr="00CC5778" w:rsidRDefault="00FC3C8B" w:rsidP="00194572">
            <w:pPr>
              <w:jc w:val="center"/>
              <w:rPr>
                <w:lang w:val="en-US"/>
              </w:rPr>
            </w:pPr>
            <w:r w:rsidRPr="00CC5778">
              <w:rPr>
                <w:lang w:val="en-US"/>
              </w:rPr>
              <w:t>6,1</w:t>
            </w:r>
          </w:p>
        </w:tc>
        <w:tc>
          <w:tcPr>
            <w:tcW w:w="1142" w:type="dxa"/>
            <w:vAlign w:val="center"/>
          </w:tcPr>
          <w:p w:rsidR="00783619" w:rsidRPr="00CC5778" w:rsidRDefault="00FC3C8B" w:rsidP="00194572">
            <w:pPr>
              <w:jc w:val="center"/>
              <w:rPr>
                <w:lang w:val="en-US"/>
              </w:rPr>
            </w:pPr>
            <w:r w:rsidRPr="00CC5778">
              <w:rPr>
                <w:lang w:val="en-US"/>
              </w:rPr>
              <w:t>-0,3</w:t>
            </w:r>
          </w:p>
        </w:tc>
        <w:tc>
          <w:tcPr>
            <w:tcW w:w="1077" w:type="dxa"/>
            <w:tcBorders>
              <w:right w:val="double" w:sz="4" w:space="0" w:color="auto"/>
            </w:tcBorders>
            <w:vAlign w:val="center"/>
          </w:tcPr>
          <w:p w:rsidR="00783619" w:rsidRPr="00CC5778" w:rsidRDefault="00783619" w:rsidP="00194572">
            <w:pPr>
              <w:jc w:val="center"/>
              <w:rPr>
                <w:lang w:val="en-US"/>
              </w:rPr>
            </w:pPr>
            <w:r w:rsidRPr="00CC5778">
              <w:rPr>
                <w:lang w:val="en-US"/>
              </w:rPr>
              <w:t>**</w:t>
            </w:r>
          </w:p>
        </w:tc>
        <w:tc>
          <w:tcPr>
            <w:tcW w:w="959" w:type="dxa"/>
            <w:tcBorders>
              <w:left w:val="double" w:sz="4" w:space="0" w:color="auto"/>
            </w:tcBorders>
            <w:vAlign w:val="center"/>
          </w:tcPr>
          <w:p w:rsidR="00783619" w:rsidRPr="00CC5778" w:rsidRDefault="003009F0" w:rsidP="00194572">
            <w:pPr>
              <w:jc w:val="center"/>
              <w:rPr>
                <w:lang w:val="en-US"/>
              </w:rPr>
            </w:pPr>
            <w:r w:rsidRPr="00CC5778">
              <w:rPr>
                <w:lang w:val="en-US"/>
              </w:rPr>
              <w:t>-5,1</w:t>
            </w:r>
          </w:p>
        </w:tc>
        <w:tc>
          <w:tcPr>
            <w:tcW w:w="959" w:type="dxa"/>
            <w:vAlign w:val="center"/>
          </w:tcPr>
          <w:p w:rsidR="00783619" w:rsidRPr="00CC5778" w:rsidRDefault="003009F0" w:rsidP="00194572">
            <w:pPr>
              <w:jc w:val="center"/>
              <w:rPr>
                <w:lang w:val="en-US"/>
              </w:rPr>
            </w:pPr>
            <w:r w:rsidRPr="00CC5778">
              <w:rPr>
                <w:lang w:val="en-US"/>
              </w:rPr>
              <w:t>-1,8</w:t>
            </w:r>
          </w:p>
        </w:tc>
      </w:tr>
      <w:tr w:rsidR="00783619" w:rsidRPr="00CC5778" w:rsidTr="00D01AC5">
        <w:trPr>
          <w:trHeight w:val="370"/>
        </w:trPr>
        <w:tc>
          <w:tcPr>
            <w:tcW w:w="3134" w:type="dxa"/>
            <w:tcBorders>
              <w:bottom w:val="nil"/>
            </w:tcBorders>
            <w:vAlign w:val="center"/>
          </w:tcPr>
          <w:p w:rsidR="00783619" w:rsidRPr="00CC5778" w:rsidRDefault="00E413E1" w:rsidP="00E24F81">
            <w:pPr>
              <w:ind w:right="42"/>
              <w:jc w:val="center"/>
              <w:rPr>
                <w:b/>
                <w:bCs/>
                <w:lang w:val="en-US"/>
              </w:rPr>
            </w:pPr>
            <w:r w:rsidRPr="00CC5778">
              <w:rPr>
                <w:b/>
                <w:bCs/>
                <w:sz w:val="22"/>
                <w:szCs w:val="22"/>
                <w:lang w:val="en-US"/>
              </w:rPr>
              <w:t>Import</w:t>
            </w:r>
            <w:r w:rsidR="0095559C" w:rsidRPr="00CC5778">
              <w:rPr>
                <w:b/>
                <w:bCs/>
                <w:sz w:val="22"/>
                <w:szCs w:val="22"/>
                <w:lang w:val="en-US"/>
              </w:rPr>
              <w:t>s</w:t>
            </w:r>
            <w:r w:rsidR="00783619" w:rsidRPr="00CC5778">
              <w:rPr>
                <w:b/>
                <w:bCs/>
                <w:sz w:val="22"/>
                <w:szCs w:val="22"/>
                <w:lang w:val="en-US"/>
              </w:rPr>
              <w:t>*</w:t>
            </w:r>
          </w:p>
        </w:tc>
        <w:tc>
          <w:tcPr>
            <w:tcW w:w="1165" w:type="dxa"/>
            <w:tcBorders>
              <w:bottom w:val="nil"/>
            </w:tcBorders>
            <w:vAlign w:val="center"/>
          </w:tcPr>
          <w:p w:rsidR="00783619" w:rsidRPr="00CC5778" w:rsidRDefault="00FC3C8B" w:rsidP="00194572">
            <w:pPr>
              <w:jc w:val="center"/>
              <w:rPr>
                <w:lang w:val="en-US"/>
              </w:rPr>
            </w:pPr>
            <w:r w:rsidRPr="00CC5778">
              <w:rPr>
                <w:lang w:val="en-US"/>
              </w:rPr>
              <w:t>-1,9</w:t>
            </w:r>
          </w:p>
        </w:tc>
        <w:tc>
          <w:tcPr>
            <w:tcW w:w="1086" w:type="dxa"/>
            <w:tcBorders>
              <w:bottom w:val="nil"/>
            </w:tcBorders>
            <w:vAlign w:val="center"/>
          </w:tcPr>
          <w:p w:rsidR="00783619" w:rsidRPr="00CC5778" w:rsidRDefault="00FC3C8B" w:rsidP="00194572">
            <w:pPr>
              <w:jc w:val="center"/>
              <w:rPr>
                <w:lang w:val="en-US"/>
              </w:rPr>
            </w:pPr>
            <w:r w:rsidRPr="00CC5778">
              <w:rPr>
                <w:lang w:val="en-US"/>
              </w:rPr>
              <w:t>-0,7</w:t>
            </w:r>
          </w:p>
        </w:tc>
        <w:tc>
          <w:tcPr>
            <w:tcW w:w="1142" w:type="dxa"/>
            <w:tcBorders>
              <w:bottom w:val="nil"/>
            </w:tcBorders>
            <w:vAlign w:val="center"/>
          </w:tcPr>
          <w:p w:rsidR="00783619" w:rsidRPr="00CC5778" w:rsidRDefault="00FC3C8B" w:rsidP="00194572">
            <w:pPr>
              <w:jc w:val="center"/>
              <w:rPr>
                <w:lang w:val="en-US"/>
              </w:rPr>
            </w:pPr>
            <w:r w:rsidRPr="00CC5778">
              <w:rPr>
                <w:lang w:val="en-US"/>
              </w:rPr>
              <w:t>2,2</w:t>
            </w:r>
          </w:p>
        </w:tc>
        <w:tc>
          <w:tcPr>
            <w:tcW w:w="1077" w:type="dxa"/>
            <w:tcBorders>
              <w:bottom w:val="nil"/>
              <w:right w:val="double" w:sz="4" w:space="0" w:color="auto"/>
            </w:tcBorders>
            <w:vAlign w:val="center"/>
          </w:tcPr>
          <w:p w:rsidR="00783619" w:rsidRPr="00CC5778" w:rsidRDefault="00783619" w:rsidP="00194572">
            <w:pPr>
              <w:jc w:val="center"/>
              <w:rPr>
                <w:lang w:val="en-US"/>
              </w:rPr>
            </w:pPr>
            <w:r w:rsidRPr="00CC5778">
              <w:rPr>
                <w:lang w:val="en-US"/>
              </w:rPr>
              <w:t>**</w:t>
            </w:r>
          </w:p>
        </w:tc>
        <w:tc>
          <w:tcPr>
            <w:tcW w:w="959" w:type="dxa"/>
            <w:tcBorders>
              <w:left w:val="double" w:sz="4" w:space="0" w:color="auto"/>
              <w:bottom w:val="nil"/>
            </w:tcBorders>
            <w:vAlign w:val="center"/>
          </w:tcPr>
          <w:p w:rsidR="00783619" w:rsidRPr="00CC5778" w:rsidRDefault="003009F0" w:rsidP="00194572">
            <w:pPr>
              <w:jc w:val="center"/>
              <w:rPr>
                <w:lang w:val="en-US"/>
              </w:rPr>
            </w:pPr>
            <w:r w:rsidRPr="00CC5778">
              <w:rPr>
                <w:lang w:val="en-US"/>
              </w:rPr>
              <w:t>-1,3</w:t>
            </w:r>
          </w:p>
        </w:tc>
        <w:tc>
          <w:tcPr>
            <w:tcW w:w="959" w:type="dxa"/>
            <w:tcBorders>
              <w:bottom w:val="nil"/>
            </w:tcBorders>
            <w:vAlign w:val="center"/>
          </w:tcPr>
          <w:p w:rsidR="00783619" w:rsidRPr="00CC5778" w:rsidRDefault="003009F0" w:rsidP="00194572">
            <w:pPr>
              <w:jc w:val="center"/>
              <w:rPr>
                <w:lang w:val="en-US"/>
              </w:rPr>
            </w:pPr>
            <w:r w:rsidRPr="00CC5778">
              <w:rPr>
                <w:lang w:val="en-US"/>
              </w:rPr>
              <w:t>1,1</w:t>
            </w:r>
          </w:p>
        </w:tc>
      </w:tr>
      <w:tr w:rsidR="00783619" w:rsidRPr="00CC5778" w:rsidTr="00D01AC5">
        <w:trPr>
          <w:trHeight w:val="370"/>
        </w:trPr>
        <w:tc>
          <w:tcPr>
            <w:tcW w:w="3134" w:type="dxa"/>
            <w:tcBorders>
              <w:top w:val="nil"/>
              <w:bottom w:val="nil"/>
            </w:tcBorders>
            <w:vAlign w:val="center"/>
          </w:tcPr>
          <w:p w:rsidR="00783619" w:rsidRPr="00CC5778" w:rsidRDefault="00B252B7" w:rsidP="00E24F81">
            <w:pPr>
              <w:ind w:right="42"/>
              <w:jc w:val="center"/>
              <w:rPr>
                <w:lang w:val="en-US"/>
              </w:rPr>
            </w:pPr>
            <w:r w:rsidRPr="00CC5778">
              <w:rPr>
                <w:sz w:val="22"/>
                <w:szCs w:val="22"/>
                <w:lang w:val="en-US"/>
              </w:rPr>
              <w:t xml:space="preserve">Intermediate goods import </w:t>
            </w:r>
            <w:r w:rsidR="00783619" w:rsidRPr="00CC5778">
              <w:rPr>
                <w:sz w:val="22"/>
                <w:szCs w:val="22"/>
                <w:lang w:val="en-US"/>
              </w:rPr>
              <w:t>*</w:t>
            </w:r>
          </w:p>
        </w:tc>
        <w:tc>
          <w:tcPr>
            <w:tcW w:w="1165" w:type="dxa"/>
            <w:tcBorders>
              <w:top w:val="nil"/>
              <w:bottom w:val="nil"/>
            </w:tcBorders>
            <w:vAlign w:val="center"/>
          </w:tcPr>
          <w:p w:rsidR="00783619" w:rsidRPr="00CC5778" w:rsidRDefault="003009F0" w:rsidP="003009F0">
            <w:pPr>
              <w:jc w:val="center"/>
              <w:rPr>
                <w:lang w:val="en-US"/>
              </w:rPr>
            </w:pPr>
            <w:r w:rsidRPr="00CC5778">
              <w:rPr>
                <w:lang w:val="en-US"/>
              </w:rPr>
              <w:t>0,2</w:t>
            </w:r>
          </w:p>
        </w:tc>
        <w:tc>
          <w:tcPr>
            <w:tcW w:w="1086" w:type="dxa"/>
            <w:tcBorders>
              <w:top w:val="nil"/>
              <w:bottom w:val="nil"/>
            </w:tcBorders>
            <w:vAlign w:val="center"/>
          </w:tcPr>
          <w:p w:rsidR="00783619" w:rsidRPr="00CC5778" w:rsidRDefault="003009F0" w:rsidP="00194572">
            <w:pPr>
              <w:jc w:val="center"/>
              <w:rPr>
                <w:lang w:val="en-US"/>
              </w:rPr>
            </w:pPr>
            <w:r w:rsidRPr="00CC5778">
              <w:rPr>
                <w:lang w:val="en-US"/>
              </w:rPr>
              <w:t>-2,1</w:t>
            </w:r>
          </w:p>
        </w:tc>
        <w:tc>
          <w:tcPr>
            <w:tcW w:w="1142" w:type="dxa"/>
            <w:tcBorders>
              <w:top w:val="nil"/>
              <w:bottom w:val="nil"/>
            </w:tcBorders>
            <w:vAlign w:val="center"/>
          </w:tcPr>
          <w:p w:rsidR="00783619" w:rsidRPr="00CC5778" w:rsidRDefault="003009F0" w:rsidP="00194572">
            <w:pPr>
              <w:jc w:val="center"/>
              <w:rPr>
                <w:lang w:val="en-US"/>
              </w:rPr>
            </w:pPr>
            <w:r w:rsidRPr="00CC5778">
              <w:rPr>
                <w:lang w:val="en-US"/>
              </w:rPr>
              <w:t>1,5</w:t>
            </w:r>
          </w:p>
        </w:tc>
        <w:tc>
          <w:tcPr>
            <w:tcW w:w="1077" w:type="dxa"/>
            <w:tcBorders>
              <w:top w:val="nil"/>
              <w:bottom w:val="nil"/>
              <w:right w:val="double" w:sz="4" w:space="0" w:color="auto"/>
            </w:tcBorders>
            <w:vAlign w:val="center"/>
          </w:tcPr>
          <w:p w:rsidR="00783619" w:rsidRPr="00CC5778" w:rsidRDefault="00783619" w:rsidP="00194572">
            <w:pPr>
              <w:jc w:val="center"/>
              <w:rPr>
                <w:lang w:val="en-US"/>
              </w:rPr>
            </w:pPr>
            <w:r w:rsidRPr="00CC5778">
              <w:rPr>
                <w:lang w:val="en-US"/>
              </w:rPr>
              <w:t>**</w:t>
            </w:r>
          </w:p>
        </w:tc>
        <w:tc>
          <w:tcPr>
            <w:tcW w:w="959" w:type="dxa"/>
            <w:tcBorders>
              <w:top w:val="nil"/>
              <w:left w:val="double" w:sz="4" w:space="0" w:color="auto"/>
              <w:bottom w:val="nil"/>
            </w:tcBorders>
            <w:vAlign w:val="center"/>
          </w:tcPr>
          <w:p w:rsidR="00783619" w:rsidRPr="00CC5778" w:rsidRDefault="003009F0" w:rsidP="00194572">
            <w:pPr>
              <w:jc w:val="center"/>
              <w:rPr>
                <w:lang w:val="en-US"/>
              </w:rPr>
            </w:pPr>
            <w:r w:rsidRPr="00CC5778">
              <w:rPr>
                <w:lang w:val="en-US"/>
              </w:rPr>
              <w:t>-2,4</w:t>
            </w:r>
          </w:p>
        </w:tc>
        <w:tc>
          <w:tcPr>
            <w:tcW w:w="959" w:type="dxa"/>
            <w:tcBorders>
              <w:top w:val="nil"/>
              <w:bottom w:val="nil"/>
            </w:tcBorders>
            <w:vAlign w:val="center"/>
          </w:tcPr>
          <w:p w:rsidR="00783619" w:rsidRPr="00CC5778" w:rsidRDefault="003009F0" w:rsidP="00194572">
            <w:pPr>
              <w:jc w:val="center"/>
              <w:rPr>
                <w:lang w:val="en-US"/>
              </w:rPr>
            </w:pPr>
            <w:r w:rsidRPr="00CC5778">
              <w:rPr>
                <w:lang w:val="en-US"/>
              </w:rPr>
              <w:t>-0,2</w:t>
            </w:r>
          </w:p>
        </w:tc>
      </w:tr>
      <w:tr w:rsidR="003009F0" w:rsidRPr="00CC5778" w:rsidTr="00D01AC5">
        <w:trPr>
          <w:trHeight w:val="370"/>
        </w:trPr>
        <w:tc>
          <w:tcPr>
            <w:tcW w:w="3134" w:type="dxa"/>
            <w:tcBorders>
              <w:top w:val="nil"/>
              <w:bottom w:val="nil"/>
            </w:tcBorders>
            <w:vAlign w:val="center"/>
          </w:tcPr>
          <w:p w:rsidR="003009F0" w:rsidRPr="00CC5778" w:rsidRDefault="00B252B7" w:rsidP="00E24F81">
            <w:pPr>
              <w:ind w:right="42"/>
              <w:jc w:val="center"/>
              <w:rPr>
                <w:lang w:val="en-US"/>
              </w:rPr>
            </w:pPr>
            <w:r w:rsidRPr="00CC5778">
              <w:rPr>
                <w:sz w:val="22"/>
                <w:szCs w:val="22"/>
                <w:lang w:val="en-US"/>
              </w:rPr>
              <w:t>Consumer goods import</w:t>
            </w:r>
            <w:r w:rsidR="003009F0" w:rsidRPr="00CC5778">
              <w:rPr>
                <w:sz w:val="22"/>
                <w:szCs w:val="22"/>
                <w:lang w:val="en-US"/>
              </w:rPr>
              <w:t>*</w:t>
            </w:r>
          </w:p>
        </w:tc>
        <w:tc>
          <w:tcPr>
            <w:tcW w:w="1165" w:type="dxa"/>
            <w:tcBorders>
              <w:top w:val="nil"/>
              <w:bottom w:val="nil"/>
            </w:tcBorders>
            <w:vAlign w:val="center"/>
          </w:tcPr>
          <w:p w:rsidR="003009F0" w:rsidRPr="00CC5778" w:rsidRDefault="003009F0" w:rsidP="00194572">
            <w:pPr>
              <w:jc w:val="center"/>
              <w:rPr>
                <w:lang w:val="en-US"/>
              </w:rPr>
            </w:pPr>
            <w:r w:rsidRPr="00CC5778">
              <w:rPr>
                <w:lang w:val="en-US"/>
              </w:rPr>
              <w:t>-6,2</w:t>
            </w:r>
          </w:p>
        </w:tc>
        <w:tc>
          <w:tcPr>
            <w:tcW w:w="1086" w:type="dxa"/>
            <w:tcBorders>
              <w:top w:val="nil"/>
              <w:bottom w:val="nil"/>
            </w:tcBorders>
            <w:vAlign w:val="center"/>
          </w:tcPr>
          <w:p w:rsidR="003009F0" w:rsidRPr="00CC5778" w:rsidRDefault="003009F0" w:rsidP="00194572">
            <w:pPr>
              <w:jc w:val="center"/>
              <w:rPr>
                <w:lang w:val="en-US"/>
              </w:rPr>
            </w:pPr>
            <w:r w:rsidRPr="00CC5778">
              <w:rPr>
                <w:lang w:val="en-US"/>
              </w:rPr>
              <w:t>9,9</w:t>
            </w:r>
          </w:p>
        </w:tc>
        <w:tc>
          <w:tcPr>
            <w:tcW w:w="1142" w:type="dxa"/>
            <w:tcBorders>
              <w:top w:val="nil"/>
              <w:bottom w:val="nil"/>
            </w:tcBorders>
            <w:vAlign w:val="center"/>
          </w:tcPr>
          <w:p w:rsidR="003009F0" w:rsidRPr="00CC5778" w:rsidRDefault="003009F0" w:rsidP="00194572">
            <w:pPr>
              <w:jc w:val="center"/>
              <w:rPr>
                <w:lang w:val="en-US"/>
              </w:rPr>
            </w:pPr>
            <w:r w:rsidRPr="00CC5778">
              <w:rPr>
                <w:lang w:val="en-US"/>
              </w:rPr>
              <w:t>0,2</w:t>
            </w:r>
          </w:p>
        </w:tc>
        <w:tc>
          <w:tcPr>
            <w:tcW w:w="1077" w:type="dxa"/>
            <w:tcBorders>
              <w:top w:val="nil"/>
              <w:bottom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top w:val="nil"/>
              <w:left w:val="double" w:sz="4" w:space="0" w:color="auto"/>
              <w:bottom w:val="nil"/>
            </w:tcBorders>
            <w:vAlign w:val="center"/>
          </w:tcPr>
          <w:p w:rsidR="003009F0" w:rsidRPr="00CC5778" w:rsidRDefault="003009F0" w:rsidP="00194572">
            <w:pPr>
              <w:jc w:val="center"/>
              <w:rPr>
                <w:lang w:val="en-US"/>
              </w:rPr>
            </w:pPr>
            <w:r w:rsidRPr="00CC5778">
              <w:rPr>
                <w:lang w:val="en-US"/>
              </w:rPr>
              <w:t>2,0</w:t>
            </w:r>
          </w:p>
        </w:tc>
        <w:tc>
          <w:tcPr>
            <w:tcW w:w="959" w:type="dxa"/>
            <w:tcBorders>
              <w:top w:val="nil"/>
              <w:bottom w:val="nil"/>
            </w:tcBorders>
            <w:vAlign w:val="center"/>
          </w:tcPr>
          <w:p w:rsidR="003009F0" w:rsidRPr="00CC5778" w:rsidRDefault="003009F0" w:rsidP="00194572">
            <w:pPr>
              <w:jc w:val="center"/>
              <w:rPr>
                <w:lang w:val="en-US"/>
              </w:rPr>
            </w:pPr>
            <w:r w:rsidRPr="00CC5778">
              <w:rPr>
                <w:lang w:val="en-US"/>
              </w:rPr>
              <w:t>4,3</w:t>
            </w:r>
          </w:p>
        </w:tc>
      </w:tr>
      <w:tr w:rsidR="003009F0" w:rsidRPr="00CC5778" w:rsidTr="00D01AC5">
        <w:trPr>
          <w:trHeight w:val="370"/>
        </w:trPr>
        <w:tc>
          <w:tcPr>
            <w:tcW w:w="3134" w:type="dxa"/>
            <w:tcBorders>
              <w:top w:val="nil"/>
            </w:tcBorders>
            <w:vAlign w:val="center"/>
          </w:tcPr>
          <w:p w:rsidR="003009F0" w:rsidRPr="00CC5778" w:rsidRDefault="00B252B7" w:rsidP="00E24F81">
            <w:pPr>
              <w:ind w:right="42"/>
              <w:jc w:val="center"/>
              <w:rPr>
                <w:lang w:val="en-US"/>
              </w:rPr>
            </w:pPr>
            <w:r w:rsidRPr="00CC5778">
              <w:rPr>
                <w:sz w:val="22"/>
                <w:szCs w:val="22"/>
                <w:lang w:val="en-US"/>
              </w:rPr>
              <w:t>Investment goods import</w:t>
            </w:r>
            <w:r w:rsidR="003009F0" w:rsidRPr="00CC5778">
              <w:rPr>
                <w:sz w:val="22"/>
                <w:szCs w:val="22"/>
                <w:lang w:val="en-US"/>
              </w:rPr>
              <w:t>*</w:t>
            </w:r>
          </w:p>
        </w:tc>
        <w:tc>
          <w:tcPr>
            <w:tcW w:w="1165" w:type="dxa"/>
            <w:tcBorders>
              <w:top w:val="nil"/>
            </w:tcBorders>
            <w:vAlign w:val="center"/>
          </w:tcPr>
          <w:p w:rsidR="003009F0" w:rsidRPr="00CC5778" w:rsidRDefault="003009F0" w:rsidP="00194572">
            <w:pPr>
              <w:jc w:val="center"/>
              <w:rPr>
                <w:lang w:val="en-US"/>
              </w:rPr>
            </w:pPr>
            <w:r w:rsidRPr="00CC5778">
              <w:rPr>
                <w:lang w:val="en-US"/>
              </w:rPr>
              <w:t>-6,6</w:t>
            </w:r>
          </w:p>
        </w:tc>
        <w:tc>
          <w:tcPr>
            <w:tcW w:w="1086" w:type="dxa"/>
            <w:tcBorders>
              <w:top w:val="nil"/>
            </w:tcBorders>
            <w:vAlign w:val="center"/>
          </w:tcPr>
          <w:p w:rsidR="003009F0" w:rsidRPr="00CC5778" w:rsidRDefault="003009F0" w:rsidP="00194572">
            <w:pPr>
              <w:jc w:val="center"/>
              <w:rPr>
                <w:lang w:val="en-US"/>
              </w:rPr>
            </w:pPr>
            <w:r w:rsidRPr="00CC5778">
              <w:rPr>
                <w:lang w:val="en-US"/>
              </w:rPr>
              <w:t>-9,0</w:t>
            </w:r>
          </w:p>
        </w:tc>
        <w:tc>
          <w:tcPr>
            <w:tcW w:w="1142" w:type="dxa"/>
            <w:tcBorders>
              <w:top w:val="nil"/>
            </w:tcBorders>
            <w:vAlign w:val="center"/>
          </w:tcPr>
          <w:p w:rsidR="003009F0" w:rsidRPr="00CC5778" w:rsidRDefault="003009F0" w:rsidP="00194572">
            <w:pPr>
              <w:jc w:val="center"/>
              <w:rPr>
                <w:lang w:val="en-US"/>
              </w:rPr>
            </w:pPr>
            <w:r w:rsidRPr="00CC5778">
              <w:rPr>
                <w:lang w:val="en-US"/>
              </w:rPr>
              <w:t>8,3</w:t>
            </w:r>
          </w:p>
        </w:tc>
        <w:tc>
          <w:tcPr>
            <w:tcW w:w="1077" w:type="dxa"/>
            <w:tcBorders>
              <w:top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top w:val="nil"/>
              <w:left w:val="double" w:sz="4" w:space="0" w:color="auto"/>
            </w:tcBorders>
            <w:vAlign w:val="center"/>
          </w:tcPr>
          <w:p w:rsidR="003009F0" w:rsidRPr="00CC5778" w:rsidRDefault="003009F0" w:rsidP="00194572">
            <w:pPr>
              <w:jc w:val="center"/>
              <w:rPr>
                <w:lang w:val="en-US"/>
              </w:rPr>
            </w:pPr>
            <w:r w:rsidRPr="00CC5778">
              <w:rPr>
                <w:lang w:val="en-US"/>
              </w:rPr>
              <w:t>7,2</w:t>
            </w:r>
          </w:p>
        </w:tc>
        <w:tc>
          <w:tcPr>
            <w:tcW w:w="959" w:type="dxa"/>
            <w:tcBorders>
              <w:top w:val="nil"/>
            </w:tcBorders>
            <w:vAlign w:val="center"/>
          </w:tcPr>
          <w:p w:rsidR="003009F0" w:rsidRPr="00CC5778" w:rsidRDefault="003009F0" w:rsidP="00194572">
            <w:pPr>
              <w:jc w:val="center"/>
              <w:rPr>
                <w:lang w:val="en-US"/>
              </w:rPr>
            </w:pPr>
            <w:r w:rsidRPr="00CC5778">
              <w:rPr>
                <w:lang w:val="en-US"/>
              </w:rPr>
              <w:t>-2,7</w:t>
            </w:r>
          </w:p>
        </w:tc>
      </w:tr>
      <w:tr w:rsidR="003009F0" w:rsidRPr="00CC5778" w:rsidTr="00D01AC5">
        <w:trPr>
          <w:trHeight w:val="370"/>
        </w:trPr>
        <w:tc>
          <w:tcPr>
            <w:tcW w:w="3134" w:type="dxa"/>
            <w:vAlign w:val="center"/>
          </w:tcPr>
          <w:p w:rsidR="003009F0" w:rsidRPr="00CC5778" w:rsidRDefault="00D73C1B" w:rsidP="00E24F81">
            <w:pPr>
              <w:ind w:right="42"/>
              <w:jc w:val="center"/>
              <w:rPr>
                <w:b/>
                <w:bCs/>
                <w:lang w:val="en-US"/>
              </w:rPr>
            </w:pPr>
            <w:r w:rsidRPr="00CC5778">
              <w:rPr>
                <w:b/>
                <w:bCs/>
                <w:sz w:val="22"/>
                <w:szCs w:val="22"/>
                <w:lang w:val="en-US"/>
              </w:rPr>
              <w:t>Gold-excluded export</w:t>
            </w:r>
            <w:r w:rsidR="0095559C" w:rsidRPr="00CC5778">
              <w:rPr>
                <w:b/>
                <w:bCs/>
                <w:sz w:val="22"/>
                <w:szCs w:val="22"/>
                <w:lang w:val="en-US"/>
              </w:rPr>
              <w:t>s</w:t>
            </w:r>
            <w:r w:rsidR="003009F0" w:rsidRPr="00CC5778">
              <w:rPr>
                <w:b/>
                <w:bCs/>
                <w:sz w:val="22"/>
                <w:szCs w:val="22"/>
                <w:lang w:val="en-US"/>
              </w:rPr>
              <w:t>***</w:t>
            </w:r>
          </w:p>
        </w:tc>
        <w:tc>
          <w:tcPr>
            <w:tcW w:w="1165" w:type="dxa"/>
            <w:vAlign w:val="center"/>
          </w:tcPr>
          <w:p w:rsidR="003009F0" w:rsidRPr="00CC5778" w:rsidRDefault="00BF25F9" w:rsidP="00194572">
            <w:pPr>
              <w:jc w:val="center"/>
              <w:rPr>
                <w:lang w:val="en-US"/>
              </w:rPr>
            </w:pPr>
            <w:r w:rsidRPr="00CC5778">
              <w:rPr>
                <w:lang w:val="en-US"/>
              </w:rPr>
              <w:t>-5,9</w:t>
            </w:r>
          </w:p>
        </w:tc>
        <w:tc>
          <w:tcPr>
            <w:tcW w:w="1086" w:type="dxa"/>
            <w:vAlign w:val="center"/>
          </w:tcPr>
          <w:p w:rsidR="003009F0" w:rsidRPr="00CC5778" w:rsidRDefault="00BF25F9" w:rsidP="00194572">
            <w:pPr>
              <w:jc w:val="center"/>
              <w:rPr>
                <w:lang w:val="en-US"/>
              </w:rPr>
            </w:pPr>
            <w:r w:rsidRPr="00CC5778">
              <w:rPr>
                <w:lang w:val="en-US"/>
              </w:rPr>
              <w:t>7,2</w:t>
            </w:r>
          </w:p>
        </w:tc>
        <w:tc>
          <w:tcPr>
            <w:tcW w:w="1142" w:type="dxa"/>
            <w:vAlign w:val="center"/>
          </w:tcPr>
          <w:p w:rsidR="003009F0" w:rsidRPr="00CC5778" w:rsidRDefault="00BF25F9" w:rsidP="00194572">
            <w:pPr>
              <w:jc w:val="center"/>
              <w:rPr>
                <w:lang w:val="en-US"/>
              </w:rPr>
            </w:pPr>
            <w:r w:rsidRPr="00CC5778">
              <w:rPr>
                <w:lang w:val="en-US"/>
              </w:rPr>
              <w:t>-1,4</w:t>
            </w:r>
          </w:p>
        </w:tc>
        <w:tc>
          <w:tcPr>
            <w:tcW w:w="1077" w:type="dxa"/>
            <w:tcBorders>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left w:val="double" w:sz="4" w:space="0" w:color="auto"/>
            </w:tcBorders>
            <w:vAlign w:val="center"/>
          </w:tcPr>
          <w:p w:rsidR="003009F0" w:rsidRPr="00CC5778" w:rsidRDefault="00BF25F9" w:rsidP="00194572">
            <w:pPr>
              <w:jc w:val="center"/>
              <w:rPr>
                <w:lang w:val="en-US"/>
              </w:rPr>
            </w:pPr>
            <w:r w:rsidRPr="00CC5778">
              <w:rPr>
                <w:lang w:val="en-US"/>
              </w:rPr>
              <w:t>0,7</w:t>
            </w:r>
          </w:p>
        </w:tc>
        <w:tc>
          <w:tcPr>
            <w:tcW w:w="959" w:type="dxa"/>
            <w:vAlign w:val="center"/>
          </w:tcPr>
          <w:p w:rsidR="003009F0" w:rsidRPr="00CC5778" w:rsidRDefault="00BF25F9" w:rsidP="00194572">
            <w:pPr>
              <w:jc w:val="center"/>
              <w:rPr>
                <w:lang w:val="en-US"/>
              </w:rPr>
            </w:pPr>
            <w:r w:rsidRPr="00CC5778">
              <w:rPr>
                <w:lang w:val="en-US"/>
              </w:rPr>
              <w:t>1,2</w:t>
            </w:r>
          </w:p>
        </w:tc>
      </w:tr>
      <w:tr w:rsidR="003009F0" w:rsidRPr="00CC5778" w:rsidTr="00D01AC5">
        <w:trPr>
          <w:trHeight w:val="370"/>
        </w:trPr>
        <w:tc>
          <w:tcPr>
            <w:tcW w:w="3134" w:type="dxa"/>
            <w:vAlign w:val="center"/>
          </w:tcPr>
          <w:p w:rsidR="003009F0" w:rsidRPr="00CC5778" w:rsidRDefault="00D73C1B" w:rsidP="00E24F81">
            <w:pPr>
              <w:ind w:right="42"/>
              <w:jc w:val="center"/>
              <w:rPr>
                <w:b/>
                <w:bCs/>
                <w:lang w:val="en-US"/>
              </w:rPr>
            </w:pPr>
            <w:r w:rsidRPr="00CC5778">
              <w:rPr>
                <w:b/>
                <w:bCs/>
                <w:sz w:val="22"/>
                <w:szCs w:val="22"/>
                <w:lang w:val="en-US"/>
              </w:rPr>
              <w:t>Gold-excluded import</w:t>
            </w:r>
            <w:r w:rsidR="0095559C" w:rsidRPr="00CC5778">
              <w:rPr>
                <w:b/>
                <w:bCs/>
                <w:sz w:val="22"/>
                <w:szCs w:val="22"/>
                <w:lang w:val="en-US"/>
              </w:rPr>
              <w:t>s</w:t>
            </w:r>
            <w:r w:rsidR="003009F0" w:rsidRPr="00CC5778">
              <w:rPr>
                <w:b/>
                <w:bCs/>
                <w:sz w:val="22"/>
                <w:szCs w:val="22"/>
                <w:lang w:val="en-US"/>
              </w:rPr>
              <w:t>***</w:t>
            </w:r>
          </w:p>
        </w:tc>
        <w:tc>
          <w:tcPr>
            <w:tcW w:w="1165" w:type="dxa"/>
            <w:vAlign w:val="center"/>
          </w:tcPr>
          <w:p w:rsidR="003009F0" w:rsidRPr="00CC5778" w:rsidRDefault="00BF25F9" w:rsidP="00194572">
            <w:pPr>
              <w:jc w:val="center"/>
              <w:rPr>
                <w:lang w:val="en-US"/>
              </w:rPr>
            </w:pPr>
            <w:r w:rsidRPr="00CC5778">
              <w:rPr>
                <w:lang w:val="en-US"/>
              </w:rPr>
              <w:t>-6,0</w:t>
            </w:r>
          </w:p>
        </w:tc>
        <w:tc>
          <w:tcPr>
            <w:tcW w:w="1086" w:type="dxa"/>
            <w:vAlign w:val="center"/>
          </w:tcPr>
          <w:p w:rsidR="003009F0" w:rsidRPr="00CC5778" w:rsidRDefault="00BF25F9" w:rsidP="00194572">
            <w:pPr>
              <w:jc w:val="center"/>
              <w:rPr>
                <w:lang w:val="en-US"/>
              </w:rPr>
            </w:pPr>
            <w:r w:rsidRPr="00CC5778">
              <w:rPr>
                <w:lang w:val="en-US"/>
              </w:rPr>
              <w:t>3,8</w:t>
            </w:r>
          </w:p>
        </w:tc>
        <w:tc>
          <w:tcPr>
            <w:tcW w:w="1142" w:type="dxa"/>
            <w:vAlign w:val="center"/>
          </w:tcPr>
          <w:p w:rsidR="003009F0" w:rsidRPr="00CC5778" w:rsidRDefault="00BF25F9" w:rsidP="00194572">
            <w:pPr>
              <w:jc w:val="center"/>
              <w:rPr>
                <w:lang w:val="en-US"/>
              </w:rPr>
            </w:pPr>
            <w:r w:rsidRPr="00CC5778">
              <w:rPr>
                <w:lang w:val="en-US"/>
              </w:rPr>
              <w:t>-0,1</w:t>
            </w:r>
          </w:p>
        </w:tc>
        <w:tc>
          <w:tcPr>
            <w:tcW w:w="1077" w:type="dxa"/>
            <w:tcBorders>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left w:val="double" w:sz="4" w:space="0" w:color="auto"/>
            </w:tcBorders>
            <w:vAlign w:val="center"/>
          </w:tcPr>
          <w:p w:rsidR="003009F0" w:rsidRPr="00CC5778" w:rsidRDefault="00BF25F9" w:rsidP="00194572">
            <w:pPr>
              <w:jc w:val="center"/>
              <w:rPr>
                <w:lang w:val="en-US"/>
              </w:rPr>
            </w:pPr>
            <w:r w:rsidRPr="00CC5778">
              <w:rPr>
                <w:lang w:val="en-US"/>
              </w:rPr>
              <w:t>1,3</w:t>
            </w:r>
          </w:p>
        </w:tc>
        <w:tc>
          <w:tcPr>
            <w:tcW w:w="959" w:type="dxa"/>
            <w:vAlign w:val="center"/>
          </w:tcPr>
          <w:p w:rsidR="003009F0" w:rsidRPr="00CC5778" w:rsidRDefault="00BF25F9" w:rsidP="00194572">
            <w:pPr>
              <w:jc w:val="center"/>
              <w:rPr>
                <w:lang w:val="en-US"/>
              </w:rPr>
            </w:pPr>
            <w:r w:rsidRPr="00CC5778">
              <w:rPr>
                <w:lang w:val="en-US"/>
              </w:rPr>
              <w:t>0,3</w:t>
            </w:r>
          </w:p>
        </w:tc>
      </w:tr>
      <w:tr w:rsidR="003009F0" w:rsidRPr="00CC5778" w:rsidTr="00D01AC5">
        <w:trPr>
          <w:trHeight w:val="370"/>
        </w:trPr>
        <w:tc>
          <w:tcPr>
            <w:tcW w:w="3134" w:type="dxa"/>
            <w:tcBorders>
              <w:bottom w:val="nil"/>
            </w:tcBorders>
            <w:vAlign w:val="center"/>
          </w:tcPr>
          <w:p w:rsidR="003009F0" w:rsidRPr="00CC5778" w:rsidRDefault="00DA0A13" w:rsidP="00DA0A13">
            <w:pPr>
              <w:ind w:right="42"/>
              <w:jc w:val="center"/>
              <w:rPr>
                <w:b/>
                <w:bCs/>
                <w:lang w:val="en-US"/>
              </w:rPr>
            </w:pPr>
            <w:r w:rsidRPr="00CC5778">
              <w:rPr>
                <w:b/>
                <w:bCs/>
                <w:sz w:val="22"/>
                <w:szCs w:val="22"/>
                <w:lang w:val="en-US"/>
              </w:rPr>
              <w:t>Industrial Production Index (IPI)</w:t>
            </w:r>
            <w:r w:rsidR="003009F0" w:rsidRPr="00CC5778">
              <w:rPr>
                <w:b/>
                <w:bCs/>
                <w:sz w:val="22"/>
                <w:szCs w:val="22"/>
                <w:lang w:val="en-US"/>
              </w:rPr>
              <w:t>*</w:t>
            </w:r>
          </w:p>
        </w:tc>
        <w:tc>
          <w:tcPr>
            <w:tcW w:w="1165" w:type="dxa"/>
            <w:tcBorders>
              <w:bottom w:val="nil"/>
            </w:tcBorders>
            <w:vAlign w:val="center"/>
          </w:tcPr>
          <w:p w:rsidR="003009F0" w:rsidRPr="00CC5778" w:rsidRDefault="003009F0" w:rsidP="00194572">
            <w:pPr>
              <w:jc w:val="center"/>
              <w:rPr>
                <w:lang w:val="en-US"/>
              </w:rPr>
            </w:pPr>
            <w:r w:rsidRPr="00CC5778">
              <w:rPr>
                <w:lang w:val="en-US"/>
              </w:rPr>
              <w:t>-1,9</w:t>
            </w:r>
          </w:p>
        </w:tc>
        <w:tc>
          <w:tcPr>
            <w:tcW w:w="1086" w:type="dxa"/>
            <w:tcBorders>
              <w:bottom w:val="nil"/>
            </w:tcBorders>
            <w:vAlign w:val="center"/>
          </w:tcPr>
          <w:p w:rsidR="003009F0" w:rsidRPr="00CC5778" w:rsidRDefault="003009F0" w:rsidP="00194572">
            <w:pPr>
              <w:jc w:val="center"/>
              <w:rPr>
                <w:lang w:val="en-US"/>
              </w:rPr>
            </w:pPr>
            <w:r w:rsidRPr="00CC5778">
              <w:rPr>
                <w:lang w:val="en-US"/>
              </w:rPr>
              <w:t>2,0</w:t>
            </w:r>
          </w:p>
        </w:tc>
        <w:tc>
          <w:tcPr>
            <w:tcW w:w="1142" w:type="dxa"/>
            <w:tcBorders>
              <w:bottom w:val="nil"/>
            </w:tcBorders>
            <w:vAlign w:val="center"/>
          </w:tcPr>
          <w:p w:rsidR="003009F0" w:rsidRPr="00CC5778" w:rsidRDefault="003009F0" w:rsidP="00194572">
            <w:pPr>
              <w:jc w:val="center"/>
              <w:rPr>
                <w:lang w:val="en-US"/>
              </w:rPr>
            </w:pPr>
            <w:r w:rsidRPr="00CC5778">
              <w:rPr>
                <w:lang w:val="en-US"/>
              </w:rPr>
              <w:t>-1,5</w:t>
            </w:r>
          </w:p>
        </w:tc>
        <w:tc>
          <w:tcPr>
            <w:tcW w:w="1077" w:type="dxa"/>
            <w:tcBorders>
              <w:bottom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left w:val="double" w:sz="4" w:space="0" w:color="auto"/>
              <w:bottom w:val="nil"/>
            </w:tcBorders>
            <w:vAlign w:val="center"/>
          </w:tcPr>
          <w:p w:rsidR="003009F0" w:rsidRPr="00CC5778" w:rsidRDefault="00897398" w:rsidP="00194572">
            <w:pPr>
              <w:jc w:val="center"/>
              <w:rPr>
                <w:lang w:val="en-US"/>
              </w:rPr>
            </w:pPr>
            <w:r w:rsidRPr="00CC5778">
              <w:rPr>
                <w:lang w:val="en-US"/>
              </w:rPr>
              <w:t>1,3</w:t>
            </w:r>
          </w:p>
        </w:tc>
        <w:tc>
          <w:tcPr>
            <w:tcW w:w="959" w:type="dxa"/>
            <w:tcBorders>
              <w:bottom w:val="nil"/>
            </w:tcBorders>
            <w:vAlign w:val="center"/>
          </w:tcPr>
          <w:p w:rsidR="003009F0" w:rsidRPr="00CC5778" w:rsidRDefault="00897398" w:rsidP="00194572">
            <w:pPr>
              <w:jc w:val="center"/>
              <w:rPr>
                <w:lang w:val="en-US"/>
              </w:rPr>
            </w:pPr>
            <w:r w:rsidRPr="00CC5778">
              <w:rPr>
                <w:lang w:val="en-US"/>
              </w:rPr>
              <w:t>-0,9</w:t>
            </w:r>
          </w:p>
        </w:tc>
      </w:tr>
      <w:tr w:rsidR="003009F0" w:rsidRPr="00CC5778" w:rsidTr="00D01AC5">
        <w:trPr>
          <w:trHeight w:val="370"/>
        </w:trPr>
        <w:tc>
          <w:tcPr>
            <w:tcW w:w="3134" w:type="dxa"/>
            <w:tcBorders>
              <w:top w:val="nil"/>
              <w:bottom w:val="nil"/>
            </w:tcBorders>
            <w:vAlign w:val="center"/>
          </w:tcPr>
          <w:p w:rsidR="003009F0" w:rsidRPr="00CC5778" w:rsidRDefault="00DA0A13" w:rsidP="00E24F81">
            <w:pPr>
              <w:ind w:right="42"/>
              <w:jc w:val="center"/>
              <w:rPr>
                <w:lang w:val="en-US"/>
              </w:rPr>
            </w:pPr>
            <w:r w:rsidRPr="00CC5778">
              <w:rPr>
                <w:sz w:val="22"/>
                <w:szCs w:val="22"/>
                <w:lang w:val="en-US"/>
              </w:rPr>
              <w:t>Nondurable consumer goods</w:t>
            </w:r>
            <w:r w:rsidR="003009F0" w:rsidRPr="00CC5778">
              <w:rPr>
                <w:sz w:val="22"/>
                <w:szCs w:val="22"/>
                <w:lang w:val="en-US"/>
              </w:rPr>
              <w:t>*</w:t>
            </w:r>
          </w:p>
        </w:tc>
        <w:tc>
          <w:tcPr>
            <w:tcW w:w="1165" w:type="dxa"/>
            <w:tcBorders>
              <w:top w:val="nil"/>
              <w:bottom w:val="nil"/>
            </w:tcBorders>
            <w:vAlign w:val="center"/>
          </w:tcPr>
          <w:p w:rsidR="003009F0" w:rsidRPr="00CC5778" w:rsidRDefault="00897398" w:rsidP="00194572">
            <w:pPr>
              <w:jc w:val="center"/>
              <w:rPr>
                <w:lang w:val="en-US"/>
              </w:rPr>
            </w:pPr>
            <w:r w:rsidRPr="00CC5778">
              <w:rPr>
                <w:lang w:val="en-US"/>
              </w:rPr>
              <w:t>-0,9</w:t>
            </w:r>
          </w:p>
        </w:tc>
        <w:tc>
          <w:tcPr>
            <w:tcW w:w="1086" w:type="dxa"/>
            <w:tcBorders>
              <w:top w:val="nil"/>
              <w:bottom w:val="nil"/>
            </w:tcBorders>
            <w:vAlign w:val="center"/>
          </w:tcPr>
          <w:p w:rsidR="003009F0" w:rsidRPr="00CC5778" w:rsidRDefault="00897398" w:rsidP="00194572">
            <w:pPr>
              <w:jc w:val="center"/>
              <w:rPr>
                <w:lang w:val="en-US"/>
              </w:rPr>
            </w:pPr>
            <w:r w:rsidRPr="00CC5778">
              <w:rPr>
                <w:lang w:val="en-US"/>
              </w:rPr>
              <w:t>0,9</w:t>
            </w:r>
          </w:p>
        </w:tc>
        <w:tc>
          <w:tcPr>
            <w:tcW w:w="1142" w:type="dxa"/>
            <w:tcBorders>
              <w:top w:val="nil"/>
              <w:bottom w:val="nil"/>
            </w:tcBorders>
            <w:vAlign w:val="center"/>
          </w:tcPr>
          <w:p w:rsidR="003009F0" w:rsidRPr="00CC5778" w:rsidRDefault="00897398" w:rsidP="00194572">
            <w:pPr>
              <w:jc w:val="center"/>
              <w:rPr>
                <w:lang w:val="en-US"/>
              </w:rPr>
            </w:pPr>
            <w:r w:rsidRPr="00CC5778">
              <w:rPr>
                <w:lang w:val="en-US"/>
              </w:rPr>
              <w:t>-2,5</w:t>
            </w:r>
          </w:p>
        </w:tc>
        <w:tc>
          <w:tcPr>
            <w:tcW w:w="1077" w:type="dxa"/>
            <w:tcBorders>
              <w:top w:val="nil"/>
              <w:bottom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top w:val="nil"/>
              <w:left w:val="double" w:sz="4" w:space="0" w:color="auto"/>
              <w:bottom w:val="nil"/>
            </w:tcBorders>
            <w:vAlign w:val="center"/>
          </w:tcPr>
          <w:p w:rsidR="003009F0" w:rsidRPr="00CC5778" w:rsidRDefault="00897398" w:rsidP="00194572">
            <w:pPr>
              <w:jc w:val="center"/>
              <w:rPr>
                <w:lang w:val="en-US"/>
              </w:rPr>
            </w:pPr>
            <w:r w:rsidRPr="00CC5778">
              <w:rPr>
                <w:lang w:val="en-US"/>
              </w:rPr>
              <w:t>2,4</w:t>
            </w:r>
          </w:p>
        </w:tc>
        <w:tc>
          <w:tcPr>
            <w:tcW w:w="959" w:type="dxa"/>
            <w:tcBorders>
              <w:top w:val="nil"/>
              <w:bottom w:val="nil"/>
            </w:tcBorders>
            <w:vAlign w:val="center"/>
          </w:tcPr>
          <w:p w:rsidR="003009F0" w:rsidRPr="00CC5778" w:rsidRDefault="00897398" w:rsidP="00194572">
            <w:pPr>
              <w:jc w:val="center"/>
              <w:rPr>
                <w:lang w:val="en-US"/>
              </w:rPr>
            </w:pPr>
            <w:r w:rsidRPr="00CC5778">
              <w:rPr>
                <w:lang w:val="en-US"/>
              </w:rPr>
              <w:t>-2,2</w:t>
            </w:r>
          </w:p>
        </w:tc>
      </w:tr>
      <w:tr w:rsidR="003009F0" w:rsidRPr="00CC5778" w:rsidTr="00D01AC5">
        <w:trPr>
          <w:trHeight w:val="370"/>
        </w:trPr>
        <w:tc>
          <w:tcPr>
            <w:tcW w:w="3134" w:type="dxa"/>
            <w:tcBorders>
              <w:top w:val="nil"/>
              <w:bottom w:val="nil"/>
            </w:tcBorders>
            <w:vAlign w:val="center"/>
          </w:tcPr>
          <w:p w:rsidR="003009F0" w:rsidRPr="00CC5778" w:rsidRDefault="003009F0" w:rsidP="00DA0A13">
            <w:pPr>
              <w:ind w:right="42"/>
              <w:jc w:val="center"/>
              <w:rPr>
                <w:b/>
                <w:bCs/>
                <w:lang w:val="en-US"/>
              </w:rPr>
            </w:pPr>
            <w:r w:rsidRPr="00CC5778">
              <w:rPr>
                <w:sz w:val="22"/>
                <w:szCs w:val="22"/>
                <w:lang w:val="en-US"/>
              </w:rPr>
              <w:t>D</w:t>
            </w:r>
            <w:r w:rsidR="00DA0A13" w:rsidRPr="00CC5778">
              <w:rPr>
                <w:sz w:val="22"/>
                <w:szCs w:val="22"/>
                <w:lang w:val="en-US"/>
              </w:rPr>
              <w:t>urable consumer goods</w:t>
            </w:r>
            <w:r w:rsidRPr="00CC5778">
              <w:rPr>
                <w:sz w:val="22"/>
                <w:szCs w:val="22"/>
                <w:lang w:val="en-US"/>
              </w:rPr>
              <w:t>*</w:t>
            </w:r>
          </w:p>
        </w:tc>
        <w:tc>
          <w:tcPr>
            <w:tcW w:w="1165" w:type="dxa"/>
            <w:tcBorders>
              <w:top w:val="nil"/>
              <w:bottom w:val="nil"/>
            </w:tcBorders>
            <w:vAlign w:val="center"/>
          </w:tcPr>
          <w:p w:rsidR="003009F0" w:rsidRPr="00CC5778" w:rsidRDefault="003009F0" w:rsidP="00194572">
            <w:pPr>
              <w:jc w:val="center"/>
              <w:rPr>
                <w:lang w:val="en-US"/>
              </w:rPr>
            </w:pPr>
            <w:r w:rsidRPr="00CC5778">
              <w:rPr>
                <w:lang w:val="en-US"/>
              </w:rPr>
              <w:t>-4,9</w:t>
            </w:r>
          </w:p>
        </w:tc>
        <w:tc>
          <w:tcPr>
            <w:tcW w:w="1086" w:type="dxa"/>
            <w:tcBorders>
              <w:top w:val="nil"/>
              <w:bottom w:val="nil"/>
            </w:tcBorders>
            <w:vAlign w:val="center"/>
          </w:tcPr>
          <w:p w:rsidR="003009F0" w:rsidRPr="00CC5778" w:rsidRDefault="003009F0" w:rsidP="00194572">
            <w:pPr>
              <w:jc w:val="center"/>
              <w:rPr>
                <w:lang w:val="en-US"/>
              </w:rPr>
            </w:pPr>
            <w:r w:rsidRPr="00CC5778">
              <w:rPr>
                <w:lang w:val="en-US"/>
              </w:rPr>
              <w:t>12,3</w:t>
            </w:r>
          </w:p>
        </w:tc>
        <w:tc>
          <w:tcPr>
            <w:tcW w:w="1142" w:type="dxa"/>
            <w:tcBorders>
              <w:top w:val="nil"/>
              <w:bottom w:val="nil"/>
            </w:tcBorders>
            <w:vAlign w:val="center"/>
          </w:tcPr>
          <w:p w:rsidR="003009F0" w:rsidRPr="00CC5778" w:rsidRDefault="003009F0" w:rsidP="00194572">
            <w:pPr>
              <w:jc w:val="center"/>
              <w:rPr>
                <w:lang w:val="en-US"/>
              </w:rPr>
            </w:pPr>
            <w:r w:rsidRPr="00CC5778">
              <w:rPr>
                <w:lang w:val="en-US"/>
              </w:rPr>
              <w:t>-11,3</w:t>
            </w:r>
          </w:p>
        </w:tc>
        <w:tc>
          <w:tcPr>
            <w:tcW w:w="1077" w:type="dxa"/>
            <w:tcBorders>
              <w:top w:val="nil"/>
              <w:bottom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top w:val="nil"/>
              <w:left w:val="double" w:sz="4" w:space="0" w:color="auto"/>
              <w:bottom w:val="nil"/>
            </w:tcBorders>
            <w:vAlign w:val="center"/>
          </w:tcPr>
          <w:p w:rsidR="003009F0" w:rsidRPr="00CC5778" w:rsidRDefault="00897398" w:rsidP="00194572">
            <w:pPr>
              <w:jc w:val="center"/>
              <w:rPr>
                <w:lang w:val="en-US"/>
              </w:rPr>
            </w:pPr>
            <w:r w:rsidRPr="00CC5778">
              <w:rPr>
                <w:lang w:val="en-US"/>
              </w:rPr>
              <w:t>6,2</w:t>
            </w:r>
          </w:p>
        </w:tc>
        <w:tc>
          <w:tcPr>
            <w:tcW w:w="959" w:type="dxa"/>
            <w:tcBorders>
              <w:top w:val="nil"/>
              <w:bottom w:val="nil"/>
            </w:tcBorders>
            <w:vAlign w:val="center"/>
          </w:tcPr>
          <w:p w:rsidR="003009F0" w:rsidRPr="00CC5778" w:rsidRDefault="00897398" w:rsidP="00194572">
            <w:pPr>
              <w:jc w:val="center"/>
              <w:rPr>
                <w:lang w:val="en-US"/>
              </w:rPr>
            </w:pPr>
            <w:r w:rsidRPr="00CC5778">
              <w:rPr>
                <w:lang w:val="en-US"/>
              </w:rPr>
              <w:t>-5,9</w:t>
            </w:r>
          </w:p>
        </w:tc>
      </w:tr>
      <w:tr w:rsidR="003009F0" w:rsidRPr="00CC5778" w:rsidTr="00D01AC5">
        <w:trPr>
          <w:trHeight w:val="370"/>
        </w:trPr>
        <w:tc>
          <w:tcPr>
            <w:tcW w:w="3134" w:type="dxa"/>
            <w:tcBorders>
              <w:top w:val="nil"/>
              <w:bottom w:val="nil"/>
            </w:tcBorders>
            <w:vAlign w:val="center"/>
          </w:tcPr>
          <w:p w:rsidR="003009F0" w:rsidRPr="00CC5778" w:rsidRDefault="00DA0A13" w:rsidP="00E24F81">
            <w:pPr>
              <w:ind w:right="42"/>
              <w:jc w:val="center"/>
              <w:rPr>
                <w:lang w:val="en-US"/>
              </w:rPr>
            </w:pPr>
            <w:r w:rsidRPr="00CC5778">
              <w:rPr>
                <w:sz w:val="22"/>
                <w:szCs w:val="22"/>
                <w:lang w:val="en-US"/>
              </w:rPr>
              <w:t>Intermediate goods</w:t>
            </w:r>
            <w:r w:rsidR="003009F0" w:rsidRPr="00CC5778">
              <w:rPr>
                <w:sz w:val="22"/>
                <w:szCs w:val="22"/>
                <w:lang w:val="en-US"/>
              </w:rPr>
              <w:t>*</w:t>
            </w:r>
          </w:p>
        </w:tc>
        <w:tc>
          <w:tcPr>
            <w:tcW w:w="1165" w:type="dxa"/>
            <w:tcBorders>
              <w:top w:val="nil"/>
              <w:bottom w:val="nil"/>
            </w:tcBorders>
            <w:vAlign w:val="center"/>
          </w:tcPr>
          <w:p w:rsidR="003009F0" w:rsidRPr="00CC5778" w:rsidRDefault="00897398" w:rsidP="00194572">
            <w:pPr>
              <w:jc w:val="center"/>
              <w:rPr>
                <w:lang w:val="en-US"/>
              </w:rPr>
            </w:pPr>
            <w:r w:rsidRPr="00CC5778">
              <w:rPr>
                <w:lang w:val="en-US"/>
              </w:rPr>
              <w:t>-0,8</w:t>
            </w:r>
          </w:p>
        </w:tc>
        <w:tc>
          <w:tcPr>
            <w:tcW w:w="1086" w:type="dxa"/>
            <w:tcBorders>
              <w:top w:val="nil"/>
              <w:bottom w:val="nil"/>
            </w:tcBorders>
            <w:vAlign w:val="center"/>
          </w:tcPr>
          <w:p w:rsidR="003009F0" w:rsidRPr="00CC5778" w:rsidRDefault="00897398" w:rsidP="00194572">
            <w:pPr>
              <w:jc w:val="center"/>
              <w:rPr>
                <w:lang w:val="en-US"/>
              </w:rPr>
            </w:pPr>
            <w:r w:rsidRPr="00CC5778">
              <w:rPr>
                <w:lang w:val="en-US"/>
              </w:rPr>
              <w:t>2,1</w:t>
            </w:r>
          </w:p>
        </w:tc>
        <w:tc>
          <w:tcPr>
            <w:tcW w:w="1142" w:type="dxa"/>
            <w:tcBorders>
              <w:top w:val="nil"/>
              <w:bottom w:val="nil"/>
            </w:tcBorders>
            <w:vAlign w:val="center"/>
          </w:tcPr>
          <w:p w:rsidR="003009F0" w:rsidRPr="00CC5778" w:rsidRDefault="00897398" w:rsidP="00194572">
            <w:pPr>
              <w:jc w:val="center"/>
              <w:rPr>
                <w:lang w:val="en-US"/>
              </w:rPr>
            </w:pPr>
            <w:r w:rsidRPr="00CC5778">
              <w:rPr>
                <w:lang w:val="en-US"/>
              </w:rPr>
              <w:t>-1,7</w:t>
            </w:r>
          </w:p>
        </w:tc>
        <w:tc>
          <w:tcPr>
            <w:tcW w:w="1077" w:type="dxa"/>
            <w:tcBorders>
              <w:top w:val="nil"/>
              <w:bottom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top w:val="nil"/>
              <w:left w:val="double" w:sz="4" w:space="0" w:color="auto"/>
              <w:bottom w:val="nil"/>
            </w:tcBorders>
            <w:vAlign w:val="center"/>
          </w:tcPr>
          <w:p w:rsidR="003009F0" w:rsidRPr="00CC5778" w:rsidRDefault="00897398" w:rsidP="00194572">
            <w:pPr>
              <w:jc w:val="center"/>
              <w:rPr>
                <w:lang w:val="en-US"/>
              </w:rPr>
            </w:pPr>
            <w:r w:rsidRPr="00CC5778">
              <w:rPr>
                <w:lang w:val="en-US"/>
              </w:rPr>
              <w:t>1,4</w:t>
            </w:r>
          </w:p>
        </w:tc>
        <w:tc>
          <w:tcPr>
            <w:tcW w:w="959" w:type="dxa"/>
            <w:tcBorders>
              <w:top w:val="nil"/>
              <w:bottom w:val="nil"/>
            </w:tcBorders>
            <w:vAlign w:val="center"/>
          </w:tcPr>
          <w:p w:rsidR="003009F0" w:rsidRPr="00CC5778" w:rsidRDefault="00897398" w:rsidP="00194572">
            <w:pPr>
              <w:jc w:val="center"/>
              <w:rPr>
                <w:lang w:val="en-US"/>
              </w:rPr>
            </w:pPr>
            <w:r w:rsidRPr="00CC5778">
              <w:rPr>
                <w:lang w:val="en-US"/>
              </w:rPr>
              <w:t>-0,7</w:t>
            </w:r>
          </w:p>
        </w:tc>
      </w:tr>
      <w:tr w:rsidR="003009F0" w:rsidRPr="00CC5778" w:rsidTr="00D01AC5">
        <w:trPr>
          <w:trHeight w:val="370"/>
        </w:trPr>
        <w:tc>
          <w:tcPr>
            <w:tcW w:w="3134" w:type="dxa"/>
            <w:tcBorders>
              <w:top w:val="nil"/>
            </w:tcBorders>
            <w:vAlign w:val="center"/>
          </w:tcPr>
          <w:p w:rsidR="003009F0" w:rsidRPr="00CC5778" w:rsidRDefault="00DA0A13" w:rsidP="00E24F81">
            <w:pPr>
              <w:ind w:right="42"/>
              <w:jc w:val="center"/>
              <w:rPr>
                <w:lang w:val="en-US"/>
              </w:rPr>
            </w:pPr>
            <w:r w:rsidRPr="00CC5778">
              <w:rPr>
                <w:sz w:val="22"/>
                <w:szCs w:val="22"/>
                <w:lang w:val="en-US"/>
              </w:rPr>
              <w:t>Investment goods</w:t>
            </w:r>
            <w:r w:rsidR="003009F0" w:rsidRPr="00CC5778">
              <w:rPr>
                <w:sz w:val="22"/>
                <w:szCs w:val="22"/>
                <w:lang w:val="en-US"/>
              </w:rPr>
              <w:t>*</w:t>
            </w:r>
          </w:p>
        </w:tc>
        <w:tc>
          <w:tcPr>
            <w:tcW w:w="1165" w:type="dxa"/>
            <w:tcBorders>
              <w:top w:val="nil"/>
            </w:tcBorders>
            <w:vAlign w:val="center"/>
          </w:tcPr>
          <w:p w:rsidR="003009F0" w:rsidRPr="00CC5778" w:rsidRDefault="00897398" w:rsidP="00194572">
            <w:pPr>
              <w:jc w:val="center"/>
              <w:rPr>
                <w:lang w:val="en-US"/>
              </w:rPr>
            </w:pPr>
            <w:r w:rsidRPr="00CC5778">
              <w:rPr>
                <w:lang w:val="en-US"/>
              </w:rPr>
              <w:t>-7,3</w:t>
            </w:r>
          </w:p>
        </w:tc>
        <w:tc>
          <w:tcPr>
            <w:tcW w:w="1086" w:type="dxa"/>
            <w:tcBorders>
              <w:top w:val="nil"/>
            </w:tcBorders>
            <w:vAlign w:val="center"/>
          </w:tcPr>
          <w:p w:rsidR="003009F0" w:rsidRPr="00CC5778" w:rsidRDefault="00897398" w:rsidP="00194572">
            <w:pPr>
              <w:jc w:val="center"/>
              <w:rPr>
                <w:lang w:val="en-US"/>
              </w:rPr>
            </w:pPr>
            <w:r w:rsidRPr="00CC5778">
              <w:rPr>
                <w:lang w:val="en-US"/>
              </w:rPr>
              <w:t>4,2</w:t>
            </w:r>
          </w:p>
        </w:tc>
        <w:tc>
          <w:tcPr>
            <w:tcW w:w="1142" w:type="dxa"/>
            <w:tcBorders>
              <w:top w:val="nil"/>
            </w:tcBorders>
            <w:vAlign w:val="center"/>
          </w:tcPr>
          <w:p w:rsidR="003009F0" w:rsidRPr="00CC5778" w:rsidRDefault="00897398" w:rsidP="00194572">
            <w:pPr>
              <w:jc w:val="center"/>
              <w:rPr>
                <w:lang w:val="en-US"/>
              </w:rPr>
            </w:pPr>
            <w:r w:rsidRPr="00CC5778">
              <w:rPr>
                <w:lang w:val="en-US"/>
              </w:rPr>
              <w:t>-0,1</w:t>
            </w:r>
          </w:p>
        </w:tc>
        <w:tc>
          <w:tcPr>
            <w:tcW w:w="1077" w:type="dxa"/>
            <w:tcBorders>
              <w:top w:val="nil"/>
              <w:right w:val="double" w:sz="4" w:space="0" w:color="auto"/>
            </w:tcBorders>
            <w:vAlign w:val="center"/>
          </w:tcPr>
          <w:p w:rsidR="003009F0" w:rsidRPr="00CC5778" w:rsidRDefault="003009F0" w:rsidP="00194572">
            <w:pPr>
              <w:jc w:val="center"/>
              <w:rPr>
                <w:lang w:val="en-US"/>
              </w:rPr>
            </w:pPr>
            <w:r w:rsidRPr="00CC5778">
              <w:rPr>
                <w:lang w:val="en-US"/>
              </w:rPr>
              <w:t>**</w:t>
            </w:r>
          </w:p>
        </w:tc>
        <w:tc>
          <w:tcPr>
            <w:tcW w:w="959" w:type="dxa"/>
            <w:tcBorders>
              <w:top w:val="nil"/>
              <w:left w:val="double" w:sz="4" w:space="0" w:color="auto"/>
            </w:tcBorders>
            <w:vAlign w:val="center"/>
          </w:tcPr>
          <w:p w:rsidR="003009F0" w:rsidRPr="00CC5778" w:rsidRDefault="00897398" w:rsidP="00194572">
            <w:pPr>
              <w:jc w:val="center"/>
              <w:rPr>
                <w:lang w:val="en-US"/>
              </w:rPr>
            </w:pPr>
            <w:r w:rsidRPr="00CC5778">
              <w:rPr>
                <w:lang w:val="en-US"/>
              </w:rPr>
              <w:t>-1,9</w:t>
            </w:r>
          </w:p>
        </w:tc>
        <w:tc>
          <w:tcPr>
            <w:tcW w:w="959" w:type="dxa"/>
            <w:tcBorders>
              <w:top w:val="nil"/>
            </w:tcBorders>
            <w:vAlign w:val="center"/>
          </w:tcPr>
          <w:p w:rsidR="003009F0" w:rsidRPr="00CC5778" w:rsidRDefault="00897398" w:rsidP="00194572">
            <w:pPr>
              <w:jc w:val="center"/>
              <w:rPr>
                <w:lang w:val="en-US"/>
              </w:rPr>
            </w:pPr>
            <w:r w:rsidRPr="00CC5778">
              <w:rPr>
                <w:lang w:val="en-US"/>
              </w:rPr>
              <w:t>0,1</w:t>
            </w:r>
          </w:p>
        </w:tc>
      </w:tr>
      <w:tr w:rsidR="003009F0" w:rsidRPr="00CC5778" w:rsidTr="00D01AC5">
        <w:trPr>
          <w:trHeight w:val="370"/>
        </w:trPr>
        <w:tc>
          <w:tcPr>
            <w:tcW w:w="3134" w:type="dxa"/>
            <w:tcBorders>
              <w:bottom w:val="nil"/>
            </w:tcBorders>
            <w:vAlign w:val="center"/>
          </w:tcPr>
          <w:p w:rsidR="003009F0" w:rsidRPr="00CC5778" w:rsidRDefault="007C12AB" w:rsidP="00621A23">
            <w:pPr>
              <w:ind w:right="42"/>
              <w:jc w:val="center"/>
              <w:rPr>
                <w:b/>
                <w:bCs/>
                <w:lang w:val="en-US"/>
              </w:rPr>
            </w:pPr>
            <w:r w:rsidRPr="00CC5778">
              <w:rPr>
                <w:b/>
                <w:bCs/>
                <w:sz w:val="22"/>
                <w:szCs w:val="22"/>
                <w:lang w:val="en-US"/>
              </w:rPr>
              <w:t>Capacity Utilization Rate (CUR)</w:t>
            </w:r>
            <w:r w:rsidR="003009F0" w:rsidRPr="00CC5778">
              <w:rPr>
                <w:b/>
                <w:bCs/>
                <w:sz w:val="22"/>
                <w:szCs w:val="22"/>
                <w:vertAlign w:val="superscript"/>
                <w:lang w:val="en-US"/>
              </w:rPr>
              <w:t xml:space="preserve"> ‡</w:t>
            </w:r>
          </w:p>
        </w:tc>
        <w:tc>
          <w:tcPr>
            <w:tcW w:w="1165" w:type="dxa"/>
            <w:tcBorders>
              <w:bottom w:val="nil"/>
            </w:tcBorders>
            <w:vAlign w:val="center"/>
          </w:tcPr>
          <w:p w:rsidR="003009F0" w:rsidRPr="00CC5778" w:rsidRDefault="00897398" w:rsidP="00194572">
            <w:pPr>
              <w:jc w:val="center"/>
              <w:rPr>
                <w:lang w:val="en-US"/>
              </w:rPr>
            </w:pPr>
            <w:r w:rsidRPr="00CC5778">
              <w:rPr>
                <w:lang w:val="en-US"/>
              </w:rPr>
              <w:t>0,1</w:t>
            </w:r>
          </w:p>
        </w:tc>
        <w:tc>
          <w:tcPr>
            <w:tcW w:w="1086" w:type="dxa"/>
            <w:tcBorders>
              <w:bottom w:val="nil"/>
            </w:tcBorders>
            <w:vAlign w:val="center"/>
          </w:tcPr>
          <w:p w:rsidR="003009F0" w:rsidRPr="00CC5778" w:rsidRDefault="00897398" w:rsidP="00194572">
            <w:pPr>
              <w:jc w:val="center"/>
              <w:rPr>
                <w:lang w:val="en-US"/>
              </w:rPr>
            </w:pPr>
            <w:r w:rsidRPr="00CC5778">
              <w:rPr>
                <w:lang w:val="en-US"/>
              </w:rPr>
              <w:t>-0,1</w:t>
            </w:r>
          </w:p>
        </w:tc>
        <w:tc>
          <w:tcPr>
            <w:tcW w:w="1142" w:type="dxa"/>
            <w:tcBorders>
              <w:bottom w:val="nil"/>
            </w:tcBorders>
            <w:vAlign w:val="center"/>
          </w:tcPr>
          <w:p w:rsidR="003009F0" w:rsidRPr="00CC5778" w:rsidRDefault="00897398" w:rsidP="00194572">
            <w:pPr>
              <w:jc w:val="center"/>
              <w:rPr>
                <w:lang w:val="en-US"/>
              </w:rPr>
            </w:pPr>
            <w:r w:rsidRPr="00CC5778">
              <w:rPr>
                <w:lang w:val="en-US"/>
              </w:rPr>
              <w:t>0,4</w:t>
            </w:r>
          </w:p>
        </w:tc>
        <w:tc>
          <w:tcPr>
            <w:tcW w:w="1077" w:type="dxa"/>
            <w:tcBorders>
              <w:bottom w:val="nil"/>
              <w:right w:val="double" w:sz="4" w:space="0" w:color="auto"/>
            </w:tcBorders>
            <w:vAlign w:val="center"/>
          </w:tcPr>
          <w:p w:rsidR="003009F0" w:rsidRPr="00CC5778" w:rsidRDefault="00897398" w:rsidP="00194572">
            <w:pPr>
              <w:jc w:val="center"/>
              <w:rPr>
                <w:lang w:val="en-US"/>
              </w:rPr>
            </w:pPr>
            <w:r w:rsidRPr="00CC5778">
              <w:rPr>
                <w:lang w:val="en-US"/>
              </w:rPr>
              <w:t>-0,8</w:t>
            </w:r>
          </w:p>
        </w:tc>
        <w:tc>
          <w:tcPr>
            <w:tcW w:w="959" w:type="dxa"/>
            <w:tcBorders>
              <w:left w:val="double" w:sz="4" w:space="0" w:color="auto"/>
              <w:bottom w:val="nil"/>
            </w:tcBorders>
            <w:vAlign w:val="center"/>
          </w:tcPr>
          <w:p w:rsidR="003009F0" w:rsidRPr="00CC5778" w:rsidRDefault="00897398" w:rsidP="00194572">
            <w:pPr>
              <w:jc w:val="center"/>
              <w:rPr>
                <w:lang w:val="en-US"/>
              </w:rPr>
            </w:pPr>
            <w:r w:rsidRPr="00CC5778">
              <w:rPr>
                <w:lang w:val="en-US"/>
              </w:rPr>
              <w:t>0,4</w:t>
            </w:r>
          </w:p>
        </w:tc>
        <w:tc>
          <w:tcPr>
            <w:tcW w:w="959" w:type="dxa"/>
            <w:tcBorders>
              <w:bottom w:val="nil"/>
            </w:tcBorders>
            <w:vAlign w:val="center"/>
          </w:tcPr>
          <w:p w:rsidR="003009F0" w:rsidRPr="00CC5778" w:rsidRDefault="00897398" w:rsidP="00194572">
            <w:pPr>
              <w:jc w:val="center"/>
              <w:rPr>
                <w:lang w:val="en-US"/>
              </w:rPr>
            </w:pPr>
            <w:r w:rsidRPr="00CC5778">
              <w:rPr>
                <w:lang w:val="en-US"/>
              </w:rPr>
              <w:t>0,0</w:t>
            </w:r>
          </w:p>
        </w:tc>
      </w:tr>
      <w:tr w:rsidR="003009F0" w:rsidRPr="00CC5778" w:rsidTr="00D01AC5">
        <w:trPr>
          <w:trHeight w:val="370"/>
        </w:trPr>
        <w:tc>
          <w:tcPr>
            <w:tcW w:w="3134" w:type="dxa"/>
            <w:tcBorders>
              <w:top w:val="nil"/>
              <w:bottom w:val="nil"/>
            </w:tcBorders>
            <w:vAlign w:val="center"/>
          </w:tcPr>
          <w:p w:rsidR="003009F0" w:rsidRPr="00CC5778" w:rsidRDefault="00DA0A13" w:rsidP="00E24F81">
            <w:pPr>
              <w:ind w:right="42"/>
              <w:jc w:val="center"/>
              <w:rPr>
                <w:lang w:val="en-US"/>
              </w:rPr>
            </w:pPr>
            <w:r w:rsidRPr="00CC5778">
              <w:rPr>
                <w:sz w:val="22"/>
                <w:szCs w:val="22"/>
                <w:lang w:val="en-US"/>
              </w:rPr>
              <w:t>Nondurable consumer goods</w:t>
            </w:r>
            <w:r w:rsidR="003009F0" w:rsidRPr="00CC5778">
              <w:rPr>
                <w:b/>
                <w:bCs/>
                <w:sz w:val="22"/>
                <w:szCs w:val="22"/>
                <w:vertAlign w:val="superscript"/>
                <w:lang w:val="en-US"/>
              </w:rPr>
              <w:t>‡</w:t>
            </w:r>
          </w:p>
        </w:tc>
        <w:tc>
          <w:tcPr>
            <w:tcW w:w="1165" w:type="dxa"/>
            <w:tcBorders>
              <w:top w:val="nil"/>
              <w:bottom w:val="nil"/>
            </w:tcBorders>
            <w:vAlign w:val="center"/>
          </w:tcPr>
          <w:p w:rsidR="003009F0" w:rsidRPr="00CC5778" w:rsidRDefault="00897398" w:rsidP="00194572">
            <w:pPr>
              <w:jc w:val="center"/>
              <w:rPr>
                <w:lang w:val="en-US"/>
              </w:rPr>
            </w:pPr>
            <w:r w:rsidRPr="00CC5778">
              <w:rPr>
                <w:lang w:val="en-US"/>
              </w:rPr>
              <w:t>-0,2</w:t>
            </w:r>
          </w:p>
        </w:tc>
        <w:tc>
          <w:tcPr>
            <w:tcW w:w="1086" w:type="dxa"/>
            <w:tcBorders>
              <w:top w:val="nil"/>
              <w:bottom w:val="nil"/>
            </w:tcBorders>
            <w:vAlign w:val="center"/>
          </w:tcPr>
          <w:p w:rsidR="003009F0" w:rsidRPr="00CC5778" w:rsidRDefault="00897398" w:rsidP="00194572">
            <w:pPr>
              <w:jc w:val="center"/>
              <w:rPr>
                <w:lang w:val="en-US"/>
              </w:rPr>
            </w:pPr>
            <w:r w:rsidRPr="00CC5778">
              <w:rPr>
                <w:lang w:val="en-US"/>
              </w:rPr>
              <w:t>0,0</w:t>
            </w:r>
          </w:p>
        </w:tc>
        <w:tc>
          <w:tcPr>
            <w:tcW w:w="1142" w:type="dxa"/>
            <w:tcBorders>
              <w:top w:val="nil"/>
              <w:bottom w:val="nil"/>
            </w:tcBorders>
            <w:vAlign w:val="center"/>
          </w:tcPr>
          <w:p w:rsidR="003009F0" w:rsidRPr="00CC5778" w:rsidRDefault="00897398" w:rsidP="00194572">
            <w:pPr>
              <w:jc w:val="center"/>
              <w:rPr>
                <w:lang w:val="en-US"/>
              </w:rPr>
            </w:pPr>
            <w:r w:rsidRPr="00CC5778">
              <w:rPr>
                <w:lang w:val="en-US"/>
              </w:rPr>
              <w:t>0,1</w:t>
            </w:r>
          </w:p>
        </w:tc>
        <w:tc>
          <w:tcPr>
            <w:tcW w:w="1077" w:type="dxa"/>
            <w:tcBorders>
              <w:top w:val="nil"/>
              <w:bottom w:val="nil"/>
              <w:right w:val="double" w:sz="4" w:space="0" w:color="auto"/>
            </w:tcBorders>
            <w:vAlign w:val="center"/>
          </w:tcPr>
          <w:p w:rsidR="003009F0" w:rsidRPr="00CC5778" w:rsidRDefault="00897398" w:rsidP="00194572">
            <w:pPr>
              <w:jc w:val="center"/>
              <w:rPr>
                <w:lang w:val="en-US"/>
              </w:rPr>
            </w:pPr>
            <w:r w:rsidRPr="00CC5778">
              <w:rPr>
                <w:lang w:val="en-US"/>
              </w:rPr>
              <w:t>0,1</w:t>
            </w:r>
          </w:p>
        </w:tc>
        <w:tc>
          <w:tcPr>
            <w:tcW w:w="959" w:type="dxa"/>
            <w:tcBorders>
              <w:top w:val="nil"/>
              <w:left w:val="double" w:sz="4" w:space="0" w:color="auto"/>
              <w:bottom w:val="nil"/>
            </w:tcBorders>
            <w:vAlign w:val="center"/>
          </w:tcPr>
          <w:p w:rsidR="003009F0" w:rsidRPr="00CC5778" w:rsidRDefault="00897398" w:rsidP="00194572">
            <w:pPr>
              <w:jc w:val="center"/>
              <w:rPr>
                <w:lang w:val="en-US"/>
              </w:rPr>
            </w:pPr>
            <w:r w:rsidRPr="00CC5778">
              <w:rPr>
                <w:lang w:val="en-US"/>
              </w:rPr>
              <w:t>-0,3</w:t>
            </w:r>
          </w:p>
        </w:tc>
        <w:tc>
          <w:tcPr>
            <w:tcW w:w="959" w:type="dxa"/>
            <w:tcBorders>
              <w:top w:val="nil"/>
              <w:bottom w:val="nil"/>
            </w:tcBorders>
            <w:vAlign w:val="center"/>
          </w:tcPr>
          <w:p w:rsidR="003009F0" w:rsidRPr="00CC5778" w:rsidRDefault="00897398" w:rsidP="00194572">
            <w:pPr>
              <w:jc w:val="center"/>
              <w:rPr>
                <w:lang w:val="en-US"/>
              </w:rPr>
            </w:pPr>
            <w:r w:rsidRPr="00CC5778">
              <w:rPr>
                <w:lang w:val="en-US"/>
              </w:rPr>
              <w:t>0,1</w:t>
            </w:r>
          </w:p>
        </w:tc>
      </w:tr>
      <w:tr w:rsidR="003009F0" w:rsidRPr="00CC5778" w:rsidTr="00D01AC5">
        <w:trPr>
          <w:trHeight w:val="370"/>
        </w:trPr>
        <w:tc>
          <w:tcPr>
            <w:tcW w:w="3134" w:type="dxa"/>
            <w:tcBorders>
              <w:top w:val="nil"/>
              <w:bottom w:val="nil"/>
            </w:tcBorders>
            <w:vAlign w:val="center"/>
          </w:tcPr>
          <w:p w:rsidR="003009F0" w:rsidRPr="00CC5778" w:rsidRDefault="00DA0A13" w:rsidP="00E24F81">
            <w:pPr>
              <w:ind w:right="42"/>
              <w:jc w:val="center"/>
              <w:rPr>
                <w:b/>
                <w:bCs/>
                <w:lang w:val="en-US"/>
              </w:rPr>
            </w:pPr>
            <w:r w:rsidRPr="00CC5778">
              <w:rPr>
                <w:sz w:val="22"/>
                <w:szCs w:val="22"/>
                <w:lang w:val="en-US"/>
              </w:rPr>
              <w:t>Durable consumer goods</w:t>
            </w:r>
            <w:r w:rsidRPr="00CC5778">
              <w:rPr>
                <w:b/>
                <w:bCs/>
                <w:sz w:val="22"/>
                <w:szCs w:val="22"/>
                <w:vertAlign w:val="superscript"/>
                <w:lang w:val="en-US"/>
              </w:rPr>
              <w:t xml:space="preserve"> </w:t>
            </w:r>
            <w:r w:rsidR="003009F0" w:rsidRPr="00CC5778">
              <w:rPr>
                <w:b/>
                <w:bCs/>
                <w:sz w:val="22"/>
                <w:szCs w:val="22"/>
                <w:vertAlign w:val="superscript"/>
                <w:lang w:val="en-US"/>
              </w:rPr>
              <w:t>‡</w:t>
            </w:r>
          </w:p>
        </w:tc>
        <w:tc>
          <w:tcPr>
            <w:tcW w:w="1165" w:type="dxa"/>
            <w:tcBorders>
              <w:top w:val="nil"/>
              <w:bottom w:val="nil"/>
            </w:tcBorders>
            <w:vAlign w:val="center"/>
          </w:tcPr>
          <w:p w:rsidR="003009F0" w:rsidRPr="00CC5778" w:rsidRDefault="00897398" w:rsidP="00194572">
            <w:pPr>
              <w:jc w:val="center"/>
              <w:rPr>
                <w:lang w:val="en-US"/>
              </w:rPr>
            </w:pPr>
            <w:r w:rsidRPr="00CC5778">
              <w:rPr>
                <w:lang w:val="en-US"/>
              </w:rPr>
              <w:t>0,1</w:t>
            </w:r>
          </w:p>
        </w:tc>
        <w:tc>
          <w:tcPr>
            <w:tcW w:w="1086" w:type="dxa"/>
            <w:tcBorders>
              <w:top w:val="nil"/>
              <w:bottom w:val="nil"/>
            </w:tcBorders>
            <w:vAlign w:val="center"/>
          </w:tcPr>
          <w:p w:rsidR="003009F0" w:rsidRPr="00CC5778" w:rsidRDefault="00897398" w:rsidP="00194572">
            <w:pPr>
              <w:jc w:val="center"/>
              <w:rPr>
                <w:lang w:val="en-US"/>
              </w:rPr>
            </w:pPr>
            <w:r w:rsidRPr="00CC5778">
              <w:rPr>
                <w:lang w:val="en-US"/>
              </w:rPr>
              <w:t>0,4</w:t>
            </w:r>
          </w:p>
        </w:tc>
        <w:tc>
          <w:tcPr>
            <w:tcW w:w="1142" w:type="dxa"/>
            <w:tcBorders>
              <w:top w:val="nil"/>
              <w:bottom w:val="nil"/>
            </w:tcBorders>
            <w:vAlign w:val="center"/>
          </w:tcPr>
          <w:p w:rsidR="003009F0" w:rsidRPr="00CC5778" w:rsidRDefault="00897398" w:rsidP="00194572">
            <w:pPr>
              <w:jc w:val="center"/>
              <w:rPr>
                <w:lang w:val="en-US"/>
              </w:rPr>
            </w:pPr>
            <w:r w:rsidRPr="00CC5778">
              <w:rPr>
                <w:lang w:val="en-US"/>
              </w:rPr>
              <w:t>2,7</w:t>
            </w:r>
          </w:p>
        </w:tc>
        <w:tc>
          <w:tcPr>
            <w:tcW w:w="1077" w:type="dxa"/>
            <w:tcBorders>
              <w:top w:val="nil"/>
              <w:bottom w:val="nil"/>
              <w:right w:val="double" w:sz="4" w:space="0" w:color="auto"/>
            </w:tcBorders>
            <w:vAlign w:val="center"/>
          </w:tcPr>
          <w:p w:rsidR="003009F0" w:rsidRPr="00CC5778" w:rsidRDefault="00897398" w:rsidP="00194572">
            <w:pPr>
              <w:jc w:val="center"/>
              <w:rPr>
                <w:lang w:val="en-US"/>
              </w:rPr>
            </w:pPr>
            <w:r w:rsidRPr="00CC5778">
              <w:rPr>
                <w:lang w:val="en-US"/>
              </w:rPr>
              <w:t>-1,2</w:t>
            </w:r>
          </w:p>
        </w:tc>
        <w:tc>
          <w:tcPr>
            <w:tcW w:w="959" w:type="dxa"/>
            <w:tcBorders>
              <w:top w:val="nil"/>
              <w:left w:val="double" w:sz="4" w:space="0" w:color="auto"/>
              <w:bottom w:val="nil"/>
            </w:tcBorders>
            <w:vAlign w:val="center"/>
          </w:tcPr>
          <w:p w:rsidR="003009F0" w:rsidRPr="00CC5778" w:rsidRDefault="00897398" w:rsidP="00194572">
            <w:pPr>
              <w:jc w:val="center"/>
              <w:rPr>
                <w:lang w:val="en-US"/>
              </w:rPr>
            </w:pPr>
            <w:r w:rsidRPr="00CC5778">
              <w:rPr>
                <w:lang w:val="en-US"/>
              </w:rPr>
              <w:t>0,7</w:t>
            </w:r>
          </w:p>
        </w:tc>
        <w:tc>
          <w:tcPr>
            <w:tcW w:w="959" w:type="dxa"/>
            <w:tcBorders>
              <w:top w:val="nil"/>
              <w:bottom w:val="nil"/>
            </w:tcBorders>
            <w:vAlign w:val="center"/>
          </w:tcPr>
          <w:p w:rsidR="003009F0" w:rsidRPr="00CC5778" w:rsidRDefault="00897398" w:rsidP="00194572">
            <w:pPr>
              <w:jc w:val="center"/>
              <w:rPr>
                <w:lang w:val="en-US"/>
              </w:rPr>
            </w:pPr>
            <w:r w:rsidRPr="00CC5778">
              <w:rPr>
                <w:lang w:val="en-US"/>
              </w:rPr>
              <w:t>2,4</w:t>
            </w:r>
          </w:p>
        </w:tc>
      </w:tr>
      <w:tr w:rsidR="003009F0" w:rsidRPr="00CC5778" w:rsidTr="00D01AC5">
        <w:trPr>
          <w:trHeight w:val="370"/>
        </w:trPr>
        <w:tc>
          <w:tcPr>
            <w:tcW w:w="3134" w:type="dxa"/>
            <w:tcBorders>
              <w:top w:val="nil"/>
              <w:bottom w:val="nil"/>
            </w:tcBorders>
            <w:vAlign w:val="center"/>
          </w:tcPr>
          <w:p w:rsidR="003009F0" w:rsidRPr="00CC5778" w:rsidRDefault="00DA0A13" w:rsidP="00E24F81">
            <w:pPr>
              <w:ind w:right="42"/>
              <w:jc w:val="center"/>
              <w:rPr>
                <w:lang w:val="en-US"/>
              </w:rPr>
            </w:pPr>
            <w:r w:rsidRPr="00CC5778">
              <w:rPr>
                <w:sz w:val="22"/>
                <w:szCs w:val="22"/>
                <w:lang w:val="en-US"/>
              </w:rPr>
              <w:t>Intermediate goods</w:t>
            </w:r>
            <w:r w:rsidRPr="00CC5778">
              <w:rPr>
                <w:b/>
                <w:bCs/>
                <w:sz w:val="22"/>
                <w:szCs w:val="22"/>
                <w:vertAlign w:val="superscript"/>
                <w:lang w:val="en-US"/>
              </w:rPr>
              <w:t xml:space="preserve"> </w:t>
            </w:r>
            <w:r w:rsidR="003009F0" w:rsidRPr="00CC5778">
              <w:rPr>
                <w:b/>
                <w:bCs/>
                <w:sz w:val="22"/>
                <w:szCs w:val="22"/>
                <w:vertAlign w:val="superscript"/>
                <w:lang w:val="en-US"/>
              </w:rPr>
              <w:t>‡</w:t>
            </w:r>
          </w:p>
        </w:tc>
        <w:tc>
          <w:tcPr>
            <w:tcW w:w="1165" w:type="dxa"/>
            <w:tcBorders>
              <w:top w:val="nil"/>
              <w:bottom w:val="nil"/>
            </w:tcBorders>
            <w:vAlign w:val="center"/>
          </w:tcPr>
          <w:p w:rsidR="003009F0" w:rsidRPr="00CC5778" w:rsidRDefault="00897398" w:rsidP="00194572">
            <w:pPr>
              <w:jc w:val="center"/>
              <w:rPr>
                <w:lang w:val="en-US"/>
              </w:rPr>
            </w:pPr>
            <w:r w:rsidRPr="00CC5778">
              <w:rPr>
                <w:lang w:val="en-US"/>
              </w:rPr>
              <w:t>0,4</w:t>
            </w:r>
          </w:p>
        </w:tc>
        <w:tc>
          <w:tcPr>
            <w:tcW w:w="1086" w:type="dxa"/>
            <w:tcBorders>
              <w:top w:val="nil"/>
              <w:bottom w:val="nil"/>
            </w:tcBorders>
            <w:vAlign w:val="center"/>
          </w:tcPr>
          <w:p w:rsidR="003009F0" w:rsidRPr="00CC5778" w:rsidRDefault="00897398" w:rsidP="00194572">
            <w:pPr>
              <w:jc w:val="center"/>
              <w:rPr>
                <w:lang w:val="en-US"/>
              </w:rPr>
            </w:pPr>
            <w:r w:rsidRPr="00CC5778">
              <w:rPr>
                <w:lang w:val="en-US"/>
              </w:rPr>
              <w:t>-0,5</w:t>
            </w:r>
          </w:p>
        </w:tc>
        <w:tc>
          <w:tcPr>
            <w:tcW w:w="1142" w:type="dxa"/>
            <w:tcBorders>
              <w:top w:val="nil"/>
              <w:bottom w:val="nil"/>
            </w:tcBorders>
            <w:vAlign w:val="center"/>
          </w:tcPr>
          <w:p w:rsidR="003009F0" w:rsidRPr="00CC5778" w:rsidRDefault="00897398" w:rsidP="00194572">
            <w:pPr>
              <w:jc w:val="center"/>
              <w:rPr>
                <w:lang w:val="en-US"/>
              </w:rPr>
            </w:pPr>
            <w:r w:rsidRPr="00CC5778">
              <w:rPr>
                <w:lang w:val="en-US"/>
              </w:rPr>
              <w:t>0,6</w:t>
            </w:r>
          </w:p>
        </w:tc>
        <w:tc>
          <w:tcPr>
            <w:tcW w:w="1077" w:type="dxa"/>
            <w:tcBorders>
              <w:top w:val="nil"/>
              <w:bottom w:val="nil"/>
              <w:right w:val="double" w:sz="4" w:space="0" w:color="auto"/>
            </w:tcBorders>
            <w:vAlign w:val="center"/>
          </w:tcPr>
          <w:p w:rsidR="003009F0" w:rsidRPr="00CC5778" w:rsidRDefault="00897398" w:rsidP="00194572">
            <w:pPr>
              <w:jc w:val="center"/>
              <w:rPr>
                <w:lang w:val="en-US"/>
              </w:rPr>
            </w:pPr>
            <w:r w:rsidRPr="00CC5778">
              <w:rPr>
                <w:lang w:val="en-US"/>
              </w:rPr>
              <w:t>-0,6</w:t>
            </w:r>
          </w:p>
        </w:tc>
        <w:tc>
          <w:tcPr>
            <w:tcW w:w="959" w:type="dxa"/>
            <w:tcBorders>
              <w:top w:val="nil"/>
              <w:left w:val="double" w:sz="4" w:space="0" w:color="auto"/>
              <w:bottom w:val="nil"/>
            </w:tcBorders>
            <w:vAlign w:val="center"/>
          </w:tcPr>
          <w:p w:rsidR="003009F0" w:rsidRPr="00CC5778" w:rsidRDefault="00897398" w:rsidP="00194572">
            <w:pPr>
              <w:jc w:val="center"/>
              <w:rPr>
                <w:lang w:val="en-US"/>
              </w:rPr>
            </w:pPr>
            <w:r w:rsidRPr="00CC5778">
              <w:rPr>
                <w:lang w:val="en-US"/>
              </w:rPr>
              <w:t>-0,6</w:t>
            </w:r>
          </w:p>
        </w:tc>
        <w:tc>
          <w:tcPr>
            <w:tcW w:w="959" w:type="dxa"/>
            <w:tcBorders>
              <w:top w:val="nil"/>
              <w:bottom w:val="nil"/>
            </w:tcBorders>
            <w:vAlign w:val="center"/>
          </w:tcPr>
          <w:p w:rsidR="003009F0" w:rsidRPr="00CC5778" w:rsidRDefault="00897398" w:rsidP="00194572">
            <w:pPr>
              <w:jc w:val="center"/>
              <w:rPr>
                <w:lang w:val="en-US"/>
              </w:rPr>
            </w:pPr>
            <w:r w:rsidRPr="00CC5778">
              <w:rPr>
                <w:lang w:val="en-US"/>
              </w:rPr>
              <w:t>0,1</w:t>
            </w:r>
          </w:p>
        </w:tc>
      </w:tr>
      <w:tr w:rsidR="003009F0" w:rsidRPr="00CC5778" w:rsidTr="00D01AC5">
        <w:trPr>
          <w:trHeight w:val="370"/>
        </w:trPr>
        <w:tc>
          <w:tcPr>
            <w:tcW w:w="3134" w:type="dxa"/>
            <w:tcBorders>
              <w:top w:val="nil"/>
            </w:tcBorders>
            <w:vAlign w:val="center"/>
          </w:tcPr>
          <w:p w:rsidR="003009F0" w:rsidRPr="00CC5778" w:rsidRDefault="00DA0A13" w:rsidP="00E24F81">
            <w:pPr>
              <w:ind w:right="42"/>
              <w:jc w:val="center"/>
              <w:rPr>
                <w:lang w:val="en-US"/>
              </w:rPr>
            </w:pPr>
            <w:r w:rsidRPr="00CC5778">
              <w:rPr>
                <w:sz w:val="22"/>
                <w:szCs w:val="22"/>
                <w:lang w:val="en-US"/>
              </w:rPr>
              <w:t>Investment goods</w:t>
            </w:r>
            <w:r w:rsidRPr="00CC5778">
              <w:rPr>
                <w:b/>
                <w:bCs/>
                <w:sz w:val="22"/>
                <w:szCs w:val="22"/>
                <w:vertAlign w:val="superscript"/>
                <w:lang w:val="en-US"/>
              </w:rPr>
              <w:t xml:space="preserve"> </w:t>
            </w:r>
            <w:r w:rsidR="003009F0" w:rsidRPr="00CC5778">
              <w:rPr>
                <w:b/>
                <w:bCs/>
                <w:sz w:val="22"/>
                <w:szCs w:val="22"/>
                <w:vertAlign w:val="superscript"/>
                <w:lang w:val="en-US"/>
              </w:rPr>
              <w:t>‡</w:t>
            </w:r>
          </w:p>
        </w:tc>
        <w:tc>
          <w:tcPr>
            <w:tcW w:w="1165" w:type="dxa"/>
            <w:tcBorders>
              <w:top w:val="nil"/>
            </w:tcBorders>
            <w:vAlign w:val="center"/>
          </w:tcPr>
          <w:p w:rsidR="003009F0" w:rsidRPr="00CC5778" w:rsidRDefault="00897398" w:rsidP="00194572">
            <w:pPr>
              <w:jc w:val="center"/>
              <w:rPr>
                <w:lang w:val="en-US"/>
              </w:rPr>
            </w:pPr>
            <w:r w:rsidRPr="00CC5778">
              <w:rPr>
                <w:lang w:val="en-US"/>
              </w:rPr>
              <w:t>0,8</w:t>
            </w:r>
          </w:p>
        </w:tc>
        <w:tc>
          <w:tcPr>
            <w:tcW w:w="1086" w:type="dxa"/>
            <w:tcBorders>
              <w:top w:val="nil"/>
            </w:tcBorders>
            <w:vAlign w:val="center"/>
          </w:tcPr>
          <w:p w:rsidR="003009F0" w:rsidRPr="00CC5778" w:rsidRDefault="00897398" w:rsidP="00194572">
            <w:pPr>
              <w:jc w:val="center"/>
              <w:rPr>
                <w:lang w:val="en-US"/>
              </w:rPr>
            </w:pPr>
            <w:r w:rsidRPr="00CC5778">
              <w:rPr>
                <w:lang w:val="en-US"/>
              </w:rPr>
              <w:t>-1,3</w:t>
            </w:r>
          </w:p>
        </w:tc>
        <w:tc>
          <w:tcPr>
            <w:tcW w:w="1142" w:type="dxa"/>
            <w:tcBorders>
              <w:top w:val="nil"/>
            </w:tcBorders>
            <w:vAlign w:val="center"/>
          </w:tcPr>
          <w:p w:rsidR="003009F0" w:rsidRPr="00CC5778" w:rsidRDefault="00897398" w:rsidP="00194572">
            <w:pPr>
              <w:jc w:val="center"/>
              <w:rPr>
                <w:lang w:val="en-US"/>
              </w:rPr>
            </w:pPr>
            <w:r w:rsidRPr="00CC5778">
              <w:rPr>
                <w:lang w:val="en-US"/>
              </w:rPr>
              <w:t>0,9</w:t>
            </w:r>
          </w:p>
        </w:tc>
        <w:tc>
          <w:tcPr>
            <w:tcW w:w="1077" w:type="dxa"/>
            <w:tcBorders>
              <w:top w:val="nil"/>
              <w:right w:val="double" w:sz="4" w:space="0" w:color="auto"/>
            </w:tcBorders>
            <w:vAlign w:val="center"/>
          </w:tcPr>
          <w:p w:rsidR="003009F0" w:rsidRPr="00CC5778" w:rsidRDefault="00897398" w:rsidP="00194572">
            <w:pPr>
              <w:jc w:val="center"/>
              <w:rPr>
                <w:lang w:val="en-US"/>
              </w:rPr>
            </w:pPr>
            <w:r w:rsidRPr="00CC5778">
              <w:rPr>
                <w:lang w:val="en-US"/>
              </w:rPr>
              <w:t>-0,8</w:t>
            </w:r>
          </w:p>
        </w:tc>
        <w:tc>
          <w:tcPr>
            <w:tcW w:w="959" w:type="dxa"/>
            <w:tcBorders>
              <w:top w:val="nil"/>
              <w:left w:val="double" w:sz="4" w:space="0" w:color="auto"/>
            </w:tcBorders>
            <w:vAlign w:val="center"/>
          </w:tcPr>
          <w:p w:rsidR="003009F0" w:rsidRPr="00CC5778" w:rsidRDefault="00897398" w:rsidP="00194572">
            <w:pPr>
              <w:jc w:val="center"/>
              <w:rPr>
                <w:lang w:val="en-US"/>
              </w:rPr>
            </w:pPr>
            <w:r w:rsidRPr="00CC5778">
              <w:rPr>
                <w:lang w:val="en-US"/>
              </w:rPr>
              <w:t>1,0</w:t>
            </w:r>
          </w:p>
        </w:tc>
        <w:tc>
          <w:tcPr>
            <w:tcW w:w="959" w:type="dxa"/>
            <w:tcBorders>
              <w:top w:val="nil"/>
            </w:tcBorders>
            <w:vAlign w:val="center"/>
          </w:tcPr>
          <w:p w:rsidR="003009F0" w:rsidRPr="00CC5778" w:rsidRDefault="00897398" w:rsidP="00194572">
            <w:pPr>
              <w:jc w:val="center"/>
              <w:rPr>
                <w:lang w:val="en-US"/>
              </w:rPr>
            </w:pPr>
            <w:r w:rsidRPr="00CC5778">
              <w:rPr>
                <w:lang w:val="en-US"/>
              </w:rPr>
              <w:t>-0,1</w:t>
            </w:r>
          </w:p>
        </w:tc>
      </w:tr>
      <w:tr w:rsidR="003009F0" w:rsidRPr="00CC5778" w:rsidTr="00D01AC5">
        <w:trPr>
          <w:trHeight w:val="370"/>
        </w:trPr>
        <w:tc>
          <w:tcPr>
            <w:tcW w:w="3134" w:type="dxa"/>
            <w:tcBorders>
              <w:bottom w:val="nil"/>
            </w:tcBorders>
            <w:vAlign w:val="center"/>
          </w:tcPr>
          <w:p w:rsidR="003009F0" w:rsidRPr="00CC5778" w:rsidRDefault="00F63D0B" w:rsidP="00E24F81">
            <w:pPr>
              <w:ind w:right="42"/>
              <w:jc w:val="center"/>
              <w:rPr>
                <w:b/>
                <w:bCs/>
                <w:lang w:val="en-US"/>
              </w:rPr>
            </w:pPr>
            <w:r w:rsidRPr="00CC5778">
              <w:rPr>
                <w:b/>
                <w:bCs/>
                <w:sz w:val="22"/>
                <w:szCs w:val="22"/>
                <w:lang w:val="en-US"/>
              </w:rPr>
              <w:t>Soft data</w:t>
            </w:r>
          </w:p>
        </w:tc>
        <w:tc>
          <w:tcPr>
            <w:tcW w:w="1165" w:type="dxa"/>
            <w:tcBorders>
              <w:bottom w:val="nil"/>
            </w:tcBorders>
            <w:vAlign w:val="center"/>
          </w:tcPr>
          <w:p w:rsidR="003009F0" w:rsidRPr="00CC5778" w:rsidRDefault="003009F0" w:rsidP="00194572">
            <w:pPr>
              <w:jc w:val="center"/>
              <w:rPr>
                <w:color w:val="FF0000"/>
                <w:lang w:val="en-US"/>
              </w:rPr>
            </w:pPr>
          </w:p>
        </w:tc>
        <w:tc>
          <w:tcPr>
            <w:tcW w:w="1086" w:type="dxa"/>
            <w:tcBorders>
              <w:bottom w:val="nil"/>
            </w:tcBorders>
            <w:vAlign w:val="center"/>
          </w:tcPr>
          <w:p w:rsidR="003009F0" w:rsidRPr="00CC5778" w:rsidRDefault="003009F0" w:rsidP="00194572">
            <w:pPr>
              <w:jc w:val="center"/>
              <w:rPr>
                <w:color w:val="FF0000"/>
                <w:lang w:val="en-US"/>
              </w:rPr>
            </w:pPr>
          </w:p>
        </w:tc>
        <w:tc>
          <w:tcPr>
            <w:tcW w:w="1142" w:type="dxa"/>
            <w:tcBorders>
              <w:bottom w:val="nil"/>
            </w:tcBorders>
            <w:vAlign w:val="center"/>
          </w:tcPr>
          <w:p w:rsidR="003009F0" w:rsidRPr="00CC5778" w:rsidRDefault="003009F0" w:rsidP="00194572">
            <w:pPr>
              <w:jc w:val="center"/>
              <w:rPr>
                <w:color w:val="FF0000"/>
                <w:lang w:val="en-US"/>
              </w:rPr>
            </w:pPr>
          </w:p>
        </w:tc>
        <w:tc>
          <w:tcPr>
            <w:tcW w:w="1077" w:type="dxa"/>
            <w:tcBorders>
              <w:bottom w:val="nil"/>
              <w:right w:val="double" w:sz="4" w:space="0" w:color="auto"/>
            </w:tcBorders>
            <w:vAlign w:val="center"/>
          </w:tcPr>
          <w:p w:rsidR="003009F0" w:rsidRPr="00CC5778" w:rsidRDefault="003009F0" w:rsidP="00194572">
            <w:pPr>
              <w:jc w:val="center"/>
              <w:rPr>
                <w:color w:val="FF0000"/>
                <w:lang w:val="en-US"/>
              </w:rPr>
            </w:pPr>
          </w:p>
        </w:tc>
        <w:tc>
          <w:tcPr>
            <w:tcW w:w="959" w:type="dxa"/>
            <w:tcBorders>
              <w:left w:val="double" w:sz="4" w:space="0" w:color="auto"/>
              <w:bottom w:val="nil"/>
            </w:tcBorders>
            <w:vAlign w:val="center"/>
          </w:tcPr>
          <w:p w:rsidR="003009F0" w:rsidRPr="00CC5778" w:rsidRDefault="003009F0" w:rsidP="00194572">
            <w:pPr>
              <w:jc w:val="center"/>
              <w:rPr>
                <w:color w:val="FF0000"/>
                <w:lang w:val="en-US"/>
              </w:rPr>
            </w:pPr>
          </w:p>
        </w:tc>
        <w:tc>
          <w:tcPr>
            <w:tcW w:w="959" w:type="dxa"/>
            <w:tcBorders>
              <w:bottom w:val="nil"/>
            </w:tcBorders>
            <w:vAlign w:val="center"/>
          </w:tcPr>
          <w:p w:rsidR="003009F0" w:rsidRPr="00CC5778" w:rsidRDefault="003009F0" w:rsidP="00194572">
            <w:pPr>
              <w:jc w:val="center"/>
              <w:rPr>
                <w:color w:val="FF0000"/>
                <w:lang w:val="en-US"/>
              </w:rPr>
            </w:pPr>
          </w:p>
        </w:tc>
      </w:tr>
      <w:tr w:rsidR="003009F0" w:rsidRPr="00CC5778" w:rsidTr="00D01AC5">
        <w:trPr>
          <w:trHeight w:val="370"/>
        </w:trPr>
        <w:tc>
          <w:tcPr>
            <w:tcW w:w="3134" w:type="dxa"/>
            <w:tcBorders>
              <w:top w:val="nil"/>
              <w:bottom w:val="nil"/>
            </w:tcBorders>
            <w:vAlign w:val="center"/>
          </w:tcPr>
          <w:p w:rsidR="003009F0" w:rsidRPr="00CC5778" w:rsidRDefault="00F63D0B" w:rsidP="00F63D0B">
            <w:pPr>
              <w:ind w:right="42"/>
              <w:jc w:val="center"/>
              <w:rPr>
                <w:lang w:val="en-US"/>
              </w:rPr>
            </w:pPr>
            <w:r w:rsidRPr="00CC5778">
              <w:rPr>
                <w:sz w:val="22"/>
                <w:szCs w:val="22"/>
                <w:lang w:val="en-US"/>
              </w:rPr>
              <w:t>Consumer confidence index</w:t>
            </w:r>
            <w:r w:rsidR="003009F0" w:rsidRPr="00CC5778">
              <w:rPr>
                <w:sz w:val="22"/>
                <w:szCs w:val="22"/>
                <w:lang w:val="en-US"/>
              </w:rPr>
              <w:t xml:space="preserve"> (</w:t>
            </w:r>
            <w:proofErr w:type="spellStart"/>
            <w:r w:rsidR="003009F0" w:rsidRPr="00CC5778">
              <w:rPr>
                <w:sz w:val="22"/>
                <w:szCs w:val="22"/>
                <w:lang w:val="en-US"/>
              </w:rPr>
              <w:t>T</w:t>
            </w:r>
            <w:r w:rsidRPr="00CC5778">
              <w:rPr>
                <w:sz w:val="22"/>
                <w:szCs w:val="22"/>
                <w:lang w:val="en-US"/>
              </w:rPr>
              <w:t>urkStat</w:t>
            </w:r>
            <w:proofErr w:type="spellEnd"/>
            <w:r w:rsidR="003009F0" w:rsidRPr="00CC5778">
              <w:rPr>
                <w:sz w:val="22"/>
                <w:szCs w:val="22"/>
                <w:lang w:val="en-US"/>
              </w:rPr>
              <w:t>)</w:t>
            </w:r>
          </w:p>
        </w:tc>
        <w:tc>
          <w:tcPr>
            <w:tcW w:w="1165" w:type="dxa"/>
            <w:tcBorders>
              <w:top w:val="nil"/>
              <w:bottom w:val="nil"/>
            </w:tcBorders>
            <w:vAlign w:val="center"/>
          </w:tcPr>
          <w:p w:rsidR="003009F0" w:rsidRPr="00CC5778" w:rsidRDefault="00212675" w:rsidP="00194572">
            <w:pPr>
              <w:jc w:val="center"/>
              <w:rPr>
                <w:lang w:val="en-US"/>
              </w:rPr>
            </w:pPr>
            <w:r w:rsidRPr="00CC5778">
              <w:rPr>
                <w:lang w:val="en-US"/>
              </w:rPr>
              <w:t>-1,7</w:t>
            </w:r>
          </w:p>
        </w:tc>
        <w:tc>
          <w:tcPr>
            <w:tcW w:w="1086" w:type="dxa"/>
            <w:tcBorders>
              <w:top w:val="nil"/>
              <w:bottom w:val="nil"/>
            </w:tcBorders>
            <w:vAlign w:val="center"/>
          </w:tcPr>
          <w:p w:rsidR="003009F0" w:rsidRPr="00CC5778" w:rsidRDefault="00212675" w:rsidP="00194572">
            <w:pPr>
              <w:jc w:val="center"/>
              <w:rPr>
                <w:lang w:val="en-US"/>
              </w:rPr>
            </w:pPr>
            <w:r w:rsidRPr="00CC5778">
              <w:rPr>
                <w:lang w:val="en-US"/>
              </w:rPr>
              <w:t>3,8</w:t>
            </w:r>
          </w:p>
        </w:tc>
        <w:tc>
          <w:tcPr>
            <w:tcW w:w="1142" w:type="dxa"/>
            <w:tcBorders>
              <w:top w:val="nil"/>
              <w:bottom w:val="nil"/>
            </w:tcBorders>
            <w:vAlign w:val="center"/>
          </w:tcPr>
          <w:p w:rsidR="003009F0" w:rsidRPr="00CC5778" w:rsidRDefault="00212675" w:rsidP="00194572">
            <w:pPr>
              <w:jc w:val="center"/>
              <w:rPr>
                <w:lang w:val="en-US"/>
              </w:rPr>
            </w:pPr>
            <w:r w:rsidRPr="00CC5778">
              <w:rPr>
                <w:lang w:val="en-US"/>
              </w:rPr>
              <w:t>-2,7</w:t>
            </w:r>
          </w:p>
        </w:tc>
        <w:tc>
          <w:tcPr>
            <w:tcW w:w="1077" w:type="dxa"/>
            <w:tcBorders>
              <w:top w:val="nil"/>
              <w:bottom w:val="nil"/>
              <w:right w:val="double" w:sz="4" w:space="0" w:color="auto"/>
            </w:tcBorders>
            <w:vAlign w:val="center"/>
          </w:tcPr>
          <w:p w:rsidR="003009F0" w:rsidRPr="00CC5778" w:rsidRDefault="00212675" w:rsidP="00194572">
            <w:pPr>
              <w:jc w:val="center"/>
              <w:rPr>
                <w:lang w:val="en-US"/>
              </w:rPr>
            </w:pPr>
            <w:r w:rsidRPr="00CC5778">
              <w:rPr>
                <w:lang w:val="en-US"/>
              </w:rPr>
              <w:t>-2,1</w:t>
            </w:r>
          </w:p>
        </w:tc>
        <w:tc>
          <w:tcPr>
            <w:tcW w:w="959" w:type="dxa"/>
            <w:tcBorders>
              <w:top w:val="nil"/>
              <w:left w:val="double" w:sz="4" w:space="0" w:color="auto"/>
              <w:bottom w:val="nil"/>
            </w:tcBorders>
            <w:vAlign w:val="center"/>
          </w:tcPr>
          <w:p w:rsidR="003009F0" w:rsidRPr="00CC5778" w:rsidRDefault="00212675" w:rsidP="00194572">
            <w:pPr>
              <w:jc w:val="center"/>
              <w:rPr>
                <w:lang w:val="en-US"/>
              </w:rPr>
            </w:pPr>
            <w:r w:rsidRPr="00CC5778">
              <w:rPr>
                <w:lang w:val="en-US"/>
              </w:rPr>
              <w:t>-2,9</w:t>
            </w:r>
          </w:p>
        </w:tc>
        <w:tc>
          <w:tcPr>
            <w:tcW w:w="959" w:type="dxa"/>
            <w:tcBorders>
              <w:top w:val="nil"/>
              <w:bottom w:val="nil"/>
            </w:tcBorders>
            <w:vAlign w:val="center"/>
          </w:tcPr>
          <w:p w:rsidR="003009F0" w:rsidRPr="00CC5778" w:rsidRDefault="00D01AC5" w:rsidP="00194572">
            <w:pPr>
              <w:jc w:val="center"/>
              <w:rPr>
                <w:lang w:val="en-US"/>
              </w:rPr>
            </w:pPr>
            <w:r w:rsidRPr="00CC5778">
              <w:rPr>
                <w:lang w:val="en-US"/>
              </w:rPr>
              <w:t>-1,9</w:t>
            </w:r>
          </w:p>
        </w:tc>
      </w:tr>
      <w:tr w:rsidR="003009F0" w:rsidRPr="00CC5778" w:rsidTr="00D01AC5">
        <w:trPr>
          <w:trHeight w:val="370"/>
        </w:trPr>
        <w:tc>
          <w:tcPr>
            <w:tcW w:w="3134" w:type="dxa"/>
            <w:tcBorders>
              <w:top w:val="nil"/>
            </w:tcBorders>
            <w:vAlign w:val="center"/>
          </w:tcPr>
          <w:p w:rsidR="003009F0" w:rsidRPr="00CC5778" w:rsidRDefault="00F63D0B" w:rsidP="00E24F81">
            <w:pPr>
              <w:ind w:right="42"/>
              <w:jc w:val="center"/>
              <w:rPr>
                <w:lang w:val="en-US"/>
              </w:rPr>
            </w:pPr>
            <w:r w:rsidRPr="00CC5778">
              <w:rPr>
                <w:sz w:val="22"/>
                <w:szCs w:val="22"/>
                <w:lang w:val="en-US"/>
              </w:rPr>
              <w:t>Real sector confidence index</w:t>
            </w:r>
            <w:r w:rsidR="003009F0" w:rsidRPr="00CC5778">
              <w:rPr>
                <w:sz w:val="22"/>
                <w:szCs w:val="22"/>
                <w:vertAlign w:val="superscript"/>
                <w:lang w:val="en-US"/>
              </w:rPr>
              <w:t>†</w:t>
            </w:r>
          </w:p>
        </w:tc>
        <w:tc>
          <w:tcPr>
            <w:tcW w:w="1165" w:type="dxa"/>
            <w:tcBorders>
              <w:top w:val="nil"/>
            </w:tcBorders>
            <w:vAlign w:val="center"/>
          </w:tcPr>
          <w:p w:rsidR="003009F0" w:rsidRPr="00CC5778" w:rsidRDefault="00897398" w:rsidP="00194572">
            <w:pPr>
              <w:jc w:val="center"/>
              <w:rPr>
                <w:lang w:val="en-US"/>
              </w:rPr>
            </w:pPr>
            <w:r w:rsidRPr="00CC5778">
              <w:rPr>
                <w:lang w:val="en-US"/>
              </w:rPr>
              <w:t>1,3</w:t>
            </w:r>
          </w:p>
        </w:tc>
        <w:tc>
          <w:tcPr>
            <w:tcW w:w="1086" w:type="dxa"/>
            <w:tcBorders>
              <w:top w:val="nil"/>
            </w:tcBorders>
            <w:vAlign w:val="center"/>
          </w:tcPr>
          <w:p w:rsidR="003009F0" w:rsidRPr="00CC5778" w:rsidRDefault="00897398" w:rsidP="00194572">
            <w:pPr>
              <w:jc w:val="center"/>
              <w:rPr>
                <w:lang w:val="en-US"/>
              </w:rPr>
            </w:pPr>
            <w:r w:rsidRPr="00CC5778">
              <w:rPr>
                <w:lang w:val="en-US"/>
              </w:rPr>
              <w:t>-2,2</w:t>
            </w:r>
          </w:p>
        </w:tc>
        <w:tc>
          <w:tcPr>
            <w:tcW w:w="1142" w:type="dxa"/>
            <w:tcBorders>
              <w:top w:val="nil"/>
            </w:tcBorders>
            <w:vAlign w:val="center"/>
          </w:tcPr>
          <w:p w:rsidR="003009F0" w:rsidRPr="00CC5778" w:rsidRDefault="00897398" w:rsidP="00194572">
            <w:pPr>
              <w:jc w:val="center"/>
              <w:rPr>
                <w:lang w:val="en-US"/>
              </w:rPr>
            </w:pPr>
            <w:r w:rsidRPr="00CC5778">
              <w:rPr>
                <w:lang w:val="en-US"/>
              </w:rPr>
              <w:t>1,4</w:t>
            </w:r>
          </w:p>
        </w:tc>
        <w:tc>
          <w:tcPr>
            <w:tcW w:w="1077" w:type="dxa"/>
            <w:tcBorders>
              <w:top w:val="nil"/>
              <w:right w:val="double" w:sz="4" w:space="0" w:color="auto"/>
            </w:tcBorders>
            <w:vAlign w:val="center"/>
          </w:tcPr>
          <w:p w:rsidR="003009F0" w:rsidRPr="00CC5778" w:rsidRDefault="00897398" w:rsidP="00194572">
            <w:pPr>
              <w:jc w:val="center"/>
              <w:rPr>
                <w:lang w:val="en-US"/>
              </w:rPr>
            </w:pPr>
            <w:r w:rsidRPr="00CC5778">
              <w:rPr>
                <w:lang w:val="en-US"/>
              </w:rPr>
              <w:t>-0,1</w:t>
            </w:r>
          </w:p>
        </w:tc>
        <w:tc>
          <w:tcPr>
            <w:tcW w:w="959" w:type="dxa"/>
            <w:tcBorders>
              <w:top w:val="nil"/>
              <w:left w:val="double" w:sz="4" w:space="0" w:color="auto"/>
            </w:tcBorders>
            <w:vAlign w:val="center"/>
          </w:tcPr>
          <w:p w:rsidR="003009F0" w:rsidRPr="00CC5778" w:rsidRDefault="00897398" w:rsidP="00194572">
            <w:pPr>
              <w:jc w:val="center"/>
              <w:rPr>
                <w:lang w:val="en-US"/>
              </w:rPr>
            </w:pPr>
            <w:r w:rsidRPr="00CC5778">
              <w:rPr>
                <w:lang w:val="en-US"/>
              </w:rPr>
              <w:t>-1,1</w:t>
            </w:r>
          </w:p>
        </w:tc>
        <w:tc>
          <w:tcPr>
            <w:tcW w:w="959" w:type="dxa"/>
            <w:tcBorders>
              <w:top w:val="nil"/>
            </w:tcBorders>
            <w:vAlign w:val="center"/>
          </w:tcPr>
          <w:p w:rsidR="003009F0" w:rsidRPr="00CC5778" w:rsidRDefault="00897398" w:rsidP="00194572">
            <w:pPr>
              <w:jc w:val="center"/>
              <w:rPr>
                <w:lang w:val="en-US"/>
              </w:rPr>
            </w:pPr>
            <w:r w:rsidRPr="00CC5778">
              <w:rPr>
                <w:lang w:val="en-US"/>
              </w:rPr>
              <w:t>0,2</w:t>
            </w:r>
          </w:p>
        </w:tc>
      </w:tr>
      <w:tr w:rsidR="003009F0" w:rsidRPr="00CC5778" w:rsidTr="00D01AC5">
        <w:trPr>
          <w:trHeight w:val="370"/>
        </w:trPr>
        <w:tc>
          <w:tcPr>
            <w:tcW w:w="3134" w:type="dxa"/>
            <w:tcBorders>
              <w:bottom w:val="nil"/>
            </w:tcBorders>
            <w:vAlign w:val="center"/>
          </w:tcPr>
          <w:p w:rsidR="003009F0" w:rsidRPr="00CC5778" w:rsidRDefault="00F63D0B" w:rsidP="00E24F81">
            <w:pPr>
              <w:ind w:right="42"/>
              <w:jc w:val="center"/>
              <w:rPr>
                <w:b/>
                <w:bCs/>
                <w:lang w:val="en-US"/>
              </w:rPr>
            </w:pPr>
            <w:r w:rsidRPr="00CC5778">
              <w:rPr>
                <w:b/>
                <w:bCs/>
                <w:sz w:val="22"/>
                <w:szCs w:val="22"/>
                <w:lang w:val="en-US"/>
              </w:rPr>
              <w:t>Financial data</w:t>
            </w:r>
          </w:p>
        </w:tc>
        <w:tc>
          <w:tcPr>
            <w:tcW w:w="1165" w:type="dxa"/>
            <w:tcBorders>
              <w:bottom w:val="nil"/>
            </w:tcBorders>
            <w:vAlign w:val="center"/>
          </w:tcPr>
          <w:p w:rsidR="003009F0" w:rsidRPr="00CC5778" w:rsidRDefault="003009F0" w:rsidP="00194572">
            <w:pPr>
              <w:jc w:val="center"/>
              <w:rPr>
                <w:lang w:val="en-US"/>
              </w:rPr>
            </w:pPr>
          </w:p>
        </w:tc>
        <w:tc>
          <w:tcPr>
            <w:tcW w:w="1086" w:type="dxa"/>
            <w:tcBorders>
              <w:bottom w:val="nil"/>
            </w:tcBorders>
            <w:vAlign w:val="center"/>
          </w:tcPr>
          <w:p w:rsidR="003009F0" w:rsidRPr="00CC5778" w:rsidRDefault="003009F0" w:rsidP="00194572">
            <w:pPr>
              <w:jc w:val="center"/>
              <w:rPr>
                <w:lang w:val="en-US"/>
              </w:rPr>
            </w:pPr>
          </w:p>
        </w:tc>
        <w:tc>
          <w:tcPr>
            <w:tcW w:w="1142" w:type="dxa"/>
            <w:tcBorders>
              <w:bottom w:val="nil"/>
            </w:tcBorders>
            <w:vAlign w:val="center"/>
          </w:tcPr>
          <w:p w:rsidR="003009F0" w:rsidRPr="00CC5778" w:rsidRDefault="003009F0" w:rsidP="00194572">
            <w:pPr>
              <w:jc w:val="center"/>
              <w:rPr>
                <w:lang w:val="en-US"/>
              </w:rPr>
            </w:pPr>
          </w:p>
        </w:tc>
        <w:tc>
          <w:tcPr>
            <w:tcW w:w="1077" w:type="dxa"/>
            <w:tcBorders>
              <w:bottom w:val="nil"/>
              <w:right w:val="double" w:sz="4" w:space="0" w:color="auto"/>
            </w:tcBorders>
            <w:vAlign w:val="center"/>
          </w:tcPr>
          <w:p w:rsidR="003009F0" w:rsidRPr="00CC5778" w:rsidRDefault="003009F0" w:rsidP="00194572">
            <w:pPr>
              <w:jc w:val="center"/>
              <w:rPr>
                <w:lang w:val="en-US"/>
              </w:rPr>
            </w:pPr>
          </w:p>
        </w:tc>
        <w:tc>
          <w:tcPr>
            <w:tcW w:w="959" w:type="dxa"/>
            <w:tcBorders>
              <w:left w:val="double" w:sz="4" w:space="0" w:color="auto"/>
              <w:bottom w:val="nil"/>
            </w:tcBorders>
            <w:vAlign w:val="center"/>
          </w:tcPr>
          <w:p w:rsidR="003009F0" w:rsidRPr="00CC5778" w:rsidRDefault="003009F0" w:rsidP="00194572">
            <w:pPr>
              <w:jc w:val="center"/>
              <w:rPr>
                <w:color w:val="FF0000"/>
                <w:lang w:val="en-US"/>
              </w:rPr>
            </w:pPr>
          </w:p>
        </w:tc>
        <w:tc>
          <w:tcPr>
            <w:tcW w:w="959" w:type="dxa"/>
            <w:tcBorders>
              <w:bottom w:val="nil"/>
            </w:tcBorders>
            <w:vAlign w:val="center"/>
          </w:tcPr>
          <w:p w:rsidR="003009F0" w:rsidRPr="00CC5778" w:rsidRDefault="003009F0" w:rsidP="00194572">
            <w:pPr>
              <w:jc w:val="center"/>
              <w:rPr>
                <w:color w:val="FF0000"/>
                <w:lang w:val="en-US"/>
              </w:rPr>
            </w:pPr>
          </w:p>
        </w:tc>
      </w:tr>
      <w:tr w:rsidR="003009F0" w:rsidRPr="00CC5778" w:rsidTr="00D01AC5">
        <w:trPr>
          <w:trHeight w:val="370"/>
        </w:trPr>
        <w:tc>
          <w:tcPr>
            <w:tcW w:w="3134" w:type="dxa"/>
            <w:tcBorders>
              <w:top w:val="nil"/>
            </w:tcBorders>
            <w:vAlign w:val="center"/>
          </w:tcPr>
          <w:p w:rsidR="003009F0" w:rsidRPr="00CC5778" w:rsidRDefault="003009F0" w:rsidP="00E24F81">
            <w:pPr>
              <w:ind w:right="42"/>
              <w:jc w:val="center"/>
              <w:rPr>
                <w:lang w:val="en-US"/>
              </w:rPr>
            </w:pPr>
            <w:r w:rsidRPr="00CC5778">
              <w:rPr>
                <w:sz w:val="22"/>
                <w:szCs w:val="22"/>
                <w:lang w:val="en-US"/>
              </w:rPr>
              <w:t>BİST 100</w:t>
            </w:r>
            <w:r w:rsidR="00F63D0B" w:rsidRPr="00CC5778">
              <w:rPr>
                <w:sz w:val="22"/>
                <w:szCs w:val="22"/>
                <w:lang w:val="en-US"/>
              </w:rPr>
              <w:t xml:space="preserve"> (Stock exchange)</w:t>
            </w:r>
          </w:p>
        </w:tc>
        <w:tc>
          <w:tcPr>
            <w:tcW w:w="1165" w:type="dxa"/>
            <w:tcBorders>
              <w:top w:val="nil"/>
            </w:tcBorders>
            <w:vAlign w:val="center"/>
          </w:tcPr>
          <w:p w:rsidR="003009F0" w:rsidRPr="00CC5778" w:rsidRDefault="00D01AC5" w:rsidP="00194572">
            <w:pPr>
              <w:jc w:val="center"/>
              <w:rPr>
                <w:lang w:val="en-US"/>
              </w:rPr>
            </w:pPr>
            <w:r w:rsidRPr="00CC5778">
              <w:rPr>
                <w:lang w:val="en-US"/>
              </w:rPr>
              <w:t>0,9</w:t>
            </w:r>
          </w:p>
        </w:tc>
        <w:tc>
          <w:tcPr>
            <w:tcW w:w="1086" w:type="dxa"/>
            <w:tcBorders>
              <w:top w:val="nil"/>
            </w:tcBorders>
            <w:vAlign w:val="center"/>
          </w:tcPr>
          <w:p w:rsidR="003009F0" w:rsidRPr="00CC5778" w:rsidRDefault="00D01AC5" w:rsidP="00194572">
            <w:pPr>
              <w:jc w:val="center"/>
              <w:rPr>
                <w:lang w:val="en-US"/>
              </w:rPr>
            </w:pPr>
            <w:r w:rsidRPr="00CC5778">
              <w:rPr>
                <w:lang w:val="en-US"/>
              </w:rPr>
              <w:t>-0,1</w:t>
            </w:r>
          </w:p>
        </w:tc>
        <w:tc>
          <w:tcPr>
            <w:tcW w:w="1142" w:type="dxa"/>
            <w:tcBorders>
              <w:top w:val="nil"/>
            </w:tcBorders>
            <w:vAlign w:val="center"/>
          </w:tcPr>
          <w:p w:rsidR="003009F0" w:rsidRPr="00CC5778" w:rsidRDefault="00D01AC5" w:rsidP="00194572">
            <w:pPr>
              <w:jc w:val="center"/>
              <w:rPr>
                <w:lang w:val="en-US"/>
              </w:rPr>
            </w:pPr>
            <w:r w:rsidRPr="00CC5778">
              <w:rPr>
                <w:lang w:val="en-US"/>
              </w:rPr>
              <w:t>-2,3</w:t>
            </w:r>
          </w:p>
        </w:tc>
        <w:tc>
          <w:tcPr>
            <w:tcW w:w="1077" w:type="dxa"/>
            <w:tcBorders>
              <w:top w:val="nil"/>
              <w:right w:val="double" w:sz="4" w:space="0" w:color="auto"/>
            </w:tcBorders>
            <w:vAlign w:val="center"/>
          </w:tcPr>
          <w:p w:rsidR="003009F0" w:rsidRPr="00CC5778" w:rsidRDefault="00D01AC5" w:rsidP="00194572">
            <w:pPr>
              <w:jc w:val="center"/>
              <w:rPr>
                <w:lang w:val="en-US"/>
              </w:rPr>
            </w:pPr>
            <w:r w:rsidRPr="00CC5778">
              <w:rPr>
                <w:lang w:val="en-US"/>
              </w:rPr>
              <w:t>-4,2</w:t>
            </w:r>
          </w:p>
        </w:tc>
        <w:tc>
          <w:tcPr>
            <w:tcW w:w="959" w:type="dxa"/>
            <w:tcBorders>
              <w:top w:val="nil"/>
              <w:left w:val="double" w:sz="4" w:space="0" w:color="auto"/>
            </w:tcBorders>
            <w:vAlign w:val="center"/>
          </w:tcPr>
          <w:p w:rsidR="003009F0" w:rsidRPr="00CC5778" w:rsidRDefault="00D01AC5" w:rsidP="00194572">
            <w:pPr>
              <w:jc w:val="center"/>
              <w:rPr>
                <w:lang w:val="en-US"/>
              </w:rPr>
            </w:pPr>
            <w:r w:rsidRPr="00CC5778">
              <w:rPr>
                <w:lang w:val="en-US"/>
              </w:rPr>
              <w:t>-6,3</w:t>
            </w:r>
          </w:p>
        </w:tc>
        <w:tc>
          <w:tcPr>
            <w:tcW w:w="959" w:type="dxa"/>
            <w:tcBorders>
              <w:top w:val="nil"/>
            </w:tcBorders>
            <w:vAlign w:val="center"/>
          </w:tcPr>
          <w:p w:rsidR="003009F0" w:rsidRPr="00CC5778" w:rsidRDefault="00D01AC5" w:rsidP="00194572">
            <w:pPr>
              <w:jc w:val="center"/>
              <w:rPr>
                <w:lang w:val="en-US"/>
              </w:rPr>
            </w:pPr>
            <w:r w:rsidRPr="00CC5778">
              <w:rPr>
                <w:lang w:val="en-US"/>
              </w:rPr>
              <w:t>-4,1</w:t>
            </w:r>
          </w:p>
        </w:tc>
      </w:tr>
      <w:tr w:rsidR="003009F0" w:rsidRPr="00CC5778" w:rsidTr="00D01AC5">
        <w:trPr>
          <w:trHeight w:val="370"/>
        </w:trPr>
        <w:tc>
          <w:tcPr>
            <w:tcW w:w="3134" w:type="dxa"/>
            <w:tcBorders>
              <w:bottom w:val="nil"/>
            </w:tcBorders>
            <w:vAlign w:val="center"/>
          </w:tcPr>
          <w:p w:rsidR="003009F0" w:rsidRPr="00CC5778" w:rsidRDefault="00F63D0B" w:rsidP="00E24F81">
            <w:pPr>
              <w:ind w:right="42"/>
              <w:jc w:val="center"/>
              <w:rPr>
                <w:b/>
                <w:bCs/>
                <w:lang w:val="en-US"/>
              </w:rPr>
            </w:pPr>
            <w:r w:rsidRPr="00CC5778">
              <w:rPr>
                <w:b/>
                <w:bCs/>
                <w:sz w:val="22"/>
                <w:szCs w:val="22"/>
                <w:lang w:val="en-US"/>
              </w:rPr>
              <w:t>Other</w:t>
            </w:r>
          </w:p>
        </w:tc>
        <w:tc>
          <w:tcPr>
            <w:tcW w:w="1165" w:type="dxa"/>
            <w:tcBorders>
              <w:bottom w:val="nil"/>
            </w:tcBorders>
            <w:vAlign w:val="center"/>
          </w:tcPr>
          <w:p w:rsidR="003009F0" w:rsidRPr="00CC5778" w:rsidRDefault="003009F0" w:rsidP="00194572">
            <w:pPr>
              <w:jc w:val="center"/>
              <w:rPr>
                <w:color w:val="FF0000"/>
                <w:lang w:val="en-US"/>
              </w:rPr>
            </w:pPr>
          </w:p>
        </w:tc>
        <w:tc>
          <w:tcPr>
            <w:tcW w:w="1086" w:type="dxa"/>
            <w:tcBorders>
              <w:bottom w:val="nil"/>
            </w:tcBorders>
            <w:vAlign w:val="center"/>
          </w:tcPr>
          <w:p w:rsidR="003009F0" w:rsidRPr="00CC5778" w:rsidRDefault="003009F0" w:rsidP="00194572">
            <w:pPr>
              <w:jc w:val="center"/>
              <w:rPr>
                <w:color w:val="FF0000"/>
                <w:lang w:val="en-US"/>
              </w:rPr>
            </w:pPr>
          </w:p>
        </w:tc>
        <w:tc>
          <w:tcPr>
            <w:tcW w:w="1142" w:type="dxa"/>
            <w:tcBorders>
              <w:bottom w:val="nil"/>
            </w:tcBorders>
            <w:vAlign w:val="center"/>
          </w:tcPr>
          <w:p w:rsidR="003009F0" w:rsidRPr="00CC5778" w:rsidRDefault="003009F0" w:rsidP="00194572">
            <w:pPr>
              <w:jc w:val="center"/>
              <w:rPr>
                <w:color w:val="FF0000"/>
                <w:lang w:val="en-US"/>
              </w:rPr>
            </w:pPr>
          </w:p>
        </w:tc>
        <w:tc>
          <w:tcPr>
            <w:tcW w:w="1077" w:type="dxa"/>
            <w:tcBorders>
              <w:bottom w:val="nil"/>
              <w:right w:val="double" w:sz="4" w:space="0" w:color="auto"/>
            </w:tcBorders>
            <w:vAlign w:val="center"/>
          </w:tcPr>
          <w:p w:rsidR="003009F0" w:rsidRPr="00CC5778" w:rsidRDefault="003009F0" w:rsidP="00194572">
            <w:pPr>
              <w:jc w:val="center"/>
              <w:rPr>
                <w:color w:val="FF0000"/>
                <w:lang w:val="en-US"/>
              </w:rPr>
            </w:pPr>
          </w:p>
        </w:tc>
        <w:tc>
          <w:tcPr>
            <w:tcW w:w="959" w:type="dxa"/>
            <w:tcBorders>
              <w:left w:val="double" w:sz="4" w:space="0" w:color="auto"/>
              <w:bottom w:val="nil"/>
            </w:tcBorders>
            <w:vAlign w:val="center"/>
          </w:tcPr>
          <w:p w:rsidR="003009F0" w:rsidRPr="00CC5778" w:rsidRDefault="003009F0" w:rsidP="00194572">
            <w:pPr>
              <w:jc w:val="center"/>
              <w:rPr>
                <w:color w:val="FF0000"/>
                <w:lang w:val="en-US"/>
              </w:rPr>
            </w:pPr>
          </w:p>
        </w:tc>
        <w:tc>
          <w:tcPr>
            <w:tcW w:w="959" w:type="dxa"/>
            <w:tcBorders>
              <w:bottom w:val="nil"/>
            </w:tcBorders>
            <w:vAlign w:val="center"/>
          </w:tcPr>
          <w:p w:rsidR="003009F0" w:rsidRPr="00CC5778" w:rsidRDefault="003009F0" w:rsidP="00194572">
            <w:pPr>
              <w:jc w:val="center"/>
              <w:rPr>
                <w:color w:val="FF0000"/>
                <w:lang w:val="en-US"/>
              </w:rPr>
            </w:pPr>
          </w:p>
        </w:tc>
      </w:tr>
      <w:tr w:rsidR="003009F0" w:rsidRPr="00CC5778" w:rsidTr="00D01AC5">
        <w:trPr>
          <w:trHeight w:val="370"/>
        </w:trPr>
        <w:tc>
          <w:tcPr>
            <w:tcW w:w="3134" w:type="dxa"/>
            <w:tcBorders>
              <w:bottom w:val="nil"/>
            </w:tcBorders>
            <w:vAlign w:val="center"/>
          </w:tcPr>
          <w:p w:rsidR="003009F0" w:rsidRPr="00CC5778" w:rsidRDefault="00F63D0B" w:rsidP="00E24F81">
            <w:pPr>
              <w:ind w:right="42"/>
              <w:jc w:val="center"/>
              <w:rPr>
                <w:sz w:val="22"/>
                <w:szCs w:val="22"/>
                <w:lang w:val="en-US"/>
              </w:rPr>
            </w:pPr>
            <w:bookmarkStart w:id="1" w:name="OLE_LINK1"/>
            <w:bookmarkStart w:id="2" w:name="OLE_LINK2"/>
            <w:bookmarkStart w:id="3" w:name="OLE_LINK3"/>
            <w:r w:rsidRPr="00CC5778">
              <w:rPr>
                <w:sz w:val="22"/>
                <w:szCs w:val="22"/>
                <w:lang w:val="en-US"/>
              </w:rPr>
              <w:t>Government Spending</w:t>
            </w:r>
            <w:r w:rsidR="003009F0" w:rsidRPr="00CC5778">
              <w:rPr>
                <w:rFonts w:ascii="Calibri" w:hAnsi="Calibri"/>
                <w:sz w:val="22"/>
                <w:szCs w:val="22"/>
                <w:lang w:val="en-US"/>
              </w:rPr>
              <w:t>⁰</w:t>
            </w:r>
            <w:bookmarkEnd w:id="1"/>
            <w:bookmarkEnd w:id="2"/>
            <w:bookmarkEnd w:id="3"/>
          </w:p>
        </w:tc>
        <w:tc>
          <w:tcPr>
            <w:tcW w:w="1165" w:type="dxa"/>
            <w:tcBorders>
              <w:bottom w:val="nil"/>
            </w:tcBorders>
            <w:vAlign w:val="center"/>
          </w:tcPr>
          <w:p w:rsidR="003009F0" w:rsidRPr="00CC5778" w:rsidRDefault="000D1198" w:rsidP="00194572">
            <w:pPr>
              <w:jc w:val="center"/>
              <w:rPr>
                <w:lang w:val="en-US"/>
              </w:rPr>
            </w:pPr>
            <w:r w:rsidRPr="00CC5778">
              <w:rPr>
                <w:lang w:val="en-US"/>
              </w:rPr>
              <w:t>1,8</w:t>
            </w:r>
          </w:p>
        </w:tc>
        <w:tc>
          <w:tcPr>
            <w:tcW w:w="1086" w:type="dxa"/>
            <w:tcBorders>
              <w:bottom w:val="nil"/>
            </w:tcBorders>
            <w:vAlign w:val="center"/>
          </w:tcPr>
          <w:p w:rsidR="003009F0" w:rsidRPr="00CC5778" w:rsidRDefault="000D1198" w:rsidP="00194572">
            <w:pPr>
              <w:jc w:val="center"/>
              <w:rPr>
                <w:lang w:val="en-US"/>
              </w:rPr>
            </w:pPr>
            <w:r w:rsidRPr="00CC5778">
              <w:rPr>
                <w:lang w:val="en-US"/>
              </w:rPr>
              <w:t>-0,7</w:t>
            </w:r>
          </w:p>
        </w:tc>
        <w:tc>
          <w:tcPr>
            <w:tcW w:w="1142" w:type="dxa"/>
            <w:tcBorders>
              <w:bottom w:val="nil"/>
            </w:tcBorders>
            <w:vAlign w:val="center"/>
          </w:tcPr>
          <w:p w:rsidR="003009F0" w:rsidRPr="00CC5778" w:rsidRDefault="000D1198" w:rsidP="00194572">
            <w:pPr>
              <w:jc w:val="center"/>
              <w:rPr>
                <w:lang w:val="en-US"/>
              </w:rPr>
            </w:pPr>
            <w:r w:rsidRPr="00CC5778">
              <w:rPr>
                <w:lang w:val="en-US"/>
              </w:rPr>
              <w:t>1,0</w:t>
            </w:r>
          </w:p>
        </w:tc>
        <w:tc>
          <w:tcPr>
            <w:tcW w:w="1077" w:type="dxa"/>
            <w:tcBorders>
              <w:bottom w:val="nil"/>
              <w:right w:val="double" w:sz="4" w:space="0" w:color="auto"/>
            </w:tcBorders>
            <w:vAlign w:val="center"/>
          </w:tcPr>
          <w:p w:rsidR="003009F0" w:rsidRPr="00CC5778" w:rsidRDefault="000D1198" w:rsidP="00194572">
            <w:pPr>
              <w:jc w:val="center"/>
              <w:rPr>
                <w:lang w:val="en-US"/>
              </w:rPr>
            </w:pPr>
            <w:r w:rsidRPr="00CC5778">
              <w:rPr>
                <w:lang w:val="en-US"/>
              </w:rPr>
              <w:t>-2,7</w:t>
            </w:r>
          </w:p>
        </w:tc>
        <w:tc>
          <w:tcPr>
            <w:tcW w:w="959" w:type="dxa"/>
            <w:tcBorders>
              <w:left w:val="double" w:sz="4" w:space="0" w:color="auto"/>
              <w:bottom w:val="nil"/>
            </w:tcBorders>
            <w:vAlign w:val="center"/>
          </w:tcPr>
          <w:p w:rsidR="003009F0" w:rsidRPr="00CC5778" w:rsidRDefault="000D1198" w:rsidP="00194572">
            <w:pPr>
              <w:jc w:val="center"/>
              <w:rPr>
                <w:lang w:val="en-US"/>
              </w:rPr>
            </w:pPr>
            <w:r w:rsidRPr="00CC5778">
              <w:rPr>
                <w:lang w:val="en-US"/>
              </w:rPr>
              <w:t>0,5</w:t>
            </w:r>
          </w:p>
        </w:tc>
        <w:tc>
          <w:tcPr>
            <w:tcW w:w="959" w:type="dxa"/>
            <w:tcBorders>
              <w:bottom w:val="nil"/>
            </w:tcBorders>
            <w:vAlign w:val="center"/>
          </w:tcPr>
          <w:p w:rsidR="003009F0" w:rsidRPr="00CC5778" w:rsidRDefault="000D1198" w:rsidP="00194572">
            <w:pPr>
              <w:jc w:val="center"/>
              <w:rPr>
                <w:lang w:val="en-US"/>
              </w:rPr>
            </w:pPr>
            <w:r w:rsidRPr="00CC5778">
              <w:rPr>
                <w:lang w:val="en-US"/>
              </w:rPr>
              <w:t>-0,2</w:t>
            </w:r>
          </w:p>
        </w:tc>
      </w:tr>
      <w:tr w:rsidR="003009F0" w:rsidRPr="00CC5778" w:rsidTr="00D01AC5">
        <w:trPr>
          <w:trHeight w:val="370"/>
        </w:trPr>
        <w:tc>
          <w:tcPr>
            <w:tcW w:w="3134" w:type="dxa"/>
            <w:tcBorders>
              <w:top w:val="nil"/>
              <w:bottom w:val="nil"/>
            </w:tcBorders>
            <w:vAlign w:val="center"/>
          </w:tcPr>
          <w:p w:rsidR="003009F0" w:rsidRPr="00CC5778" w:rsidRDefault="00F63D0B" w:rsidP="00F63D0B">
            <w:pPr>
              <w:ind w:right="42"/>
              <w:jc w:val="center"/>
              <w:rPr>
                <w:lang w:val="en-US"/>
              </w:rPr>
            </w:pPr>
            <w:r w:rsidRPr="00CC5778">
              <w:rPr>
                <w:sz w:val="22"/>
                <w:szCs w:val="22"/>
                <w:lang w:val="en-US"/>
              </w:rPr>
              <w:t>Special consumer tax</w:t>
            </w:r>
            <w:r w:rsidR="003009F0" w:rsidRPr="00CC5778">
              <w:rPr>
                <w:sz w:val="22"/>
                <w:szCs w:val="22"/>
                <w:lang w:val="en-US"/>
              </w:rPr>
              <w:t xml:space="preserve"> (</w:t>
            </w:r>
            <w:r w:rsidRPr="00CC5778">
              <w:rPr>
                <w:sz w:val="22"/>
                <w:szCs w:val="22"/>
                <w:lang w:val="en-US"/>
              </w:rPr>
              <w:t>SCT</w:t>
            </w:r>
            <w:r w:rsidR="003009F0" w:rsidRPr="00CC5778">
              <w:rPr>
                <w:sz w:val="22"/>
                <w:szCs w:val="22"/>
                <w:lang w:val="en-US"/>
              </w:rPr>
              <w:t>)</w:t>
            </w:r>
          </w:p>
        </w:tc>
        <w:tc>
          <w:tcPr>
            <w:tcW w:w="1165" w:type="dxa"/>
            <w:tcBorders>
              <w:top w:val="nil"/>
              <w:bottom w:val="nil"/>
            </w:tcBorders>
            <w:vAlign w:val="center"/>
          </w:tcPr>
          <w:p w:rsidR="003009F0" w:rsidRPr="00CC5778" w:rsidRDefault="00D01AC5" w:rsidP="00194572">
            <w:pPr>
              <w:jc w:val="center"/>
              <w:rPr>
                <w:lang w:val="en-US"/>
              </w:rPr>
            </w:pPr>
            <w:r w:rsidRPr="00CC5778">
              <w:rPr>
                <w:lang w:val="en-US"/>
              </w:rPr>
              <w:t>-0,1</w:t>
            </w:r>
          </w:p>
        </w:tc>
        <w:tc>
          <w:tcPr>
            <w:tcW w:w="1086" w:type="dxa"/>
            <w:tcBorders>
              <w:top w:val="nil"/>
              <w:bottom w:val="nil"/>
            </w:tcBorders>
            <w:vAlign w:val="center"/>
          </w:tcPr>
          <w:p w:rsidR="003009F0" w:rsidRPr="00CC5778" w:rsidRDefault="00D01AC5" w:rsidP="00194572">
            <w:pPr>
              <w:jc w:val="center"/>
              <w:rPr>
                <w:lang w:val="en-US"/>
              </w:rPr>
            </w:pPr>
            <w:r w:rsidRPr="00CC5778">
              <w:rPr>
                <w:lang w:val="en-US"/>
              </w:rPr>
              <w:t>-0,4</w:t>
            </w:r>
          </w:p>
        </w:tc>
        <w:tc>
          <w:tcPr>
            <w:tcW w:w="1142" w:type="dxa"/>
            <w:tcBorders>
              <w:top w:val="nil"/>
              <w:bottom w:val="nil"/>
            </w:tcBorders>
            <w:vAlign w:val="center"/>
          </w:tcPr>
          <w:p w:rsidR="003009F0" w:rsidRPr="00CC5778" w:rsidRDefault="00D01AC5" w:rsidP="00194572">
            <w:pPr>
              <w:jc w:val="center"/>
              <w:rPr>
                <w:lang w:val="en-US"/>
              </w:rPr>
            </w:pPr>
            <w:r w:rsidRPr="00CC5778">
              <w:rPr>
                <w:lang w:val="en-US"/>
              </w:rPr>
              <w:t>1,1</w:t>
            </w:r>
          </w:p>
        </w:tc>
        <w:tc>
          <w:tcPr>
            <w:tcW w:w="1077" w:type="dxa"/>
            <w:tcBorders>
              <w:top w:val="nil"/>
              <w:bottom w:val="nil"/>
              <w:right w:val="double" w:sz="4" w:space="0" w:color="auto"/>
            </w:tcBorders>
            <w:vAlign w:val="center"/>
          </w:tcPr>
          <w:p w:rsidR="003009F0" w:rsidRPr="00CC5778" w:rsidRDefault="00D01AC5" w:rsidP="00194572">
            <w:pPr>
              <w:jc w:val="center"/>
              <w:rPr>
                <w:lang w:val="en-US"/>
              </w:rPr>
            </w:pPr>
            <w:r w:rsidRPr="00CC5778">
              <w:rPr>
                <w:lang w:val="en-US"/>
              </w:rPr>
              <w:t>7,3</w:t>
            </w:r>
          </w:p>
        </w:tc>
        <w:tc>
          <w:tcPr>
            <w:tcW w:w="959" w:type="dxa"/>
            <w:tcBorders>
              <w:top w:val="nil"/>
              <w:left w:val="double" w:sz="4" w:space="0" w:color="auto"/>
              <w:bottom w:val="nil"/>
            </w:tcBorders>
            <w:vAlign w:val="center"/>
          </w:tcPr>
          <w:p w:rsidR="003009F0" w:rsidRPr="00CC5778" w:rsidRDefault="00DC7D8A" w:rsidP="00194572">
            <w:pPr>
              <w:jc w:val="center"/>
              <w:rPr>
                <w:lang w:val="en-US"/>
              </w:rPr>
            </w:pPr>
            <w:r w:rsidRPr="00CC5778">
              <w:rPr>
                <w:lang w:val="en-US"/>
              </w:rPr>
              <w:t>1,0</w:t>
            </w:r>
          </w:p>
        </w:tc>
        <w:tc>
          <w:tcPr>
            <w:tcW w:w="959" w:type="dxa"/>
            <w:tcBorders>
              <w:top w:val="nil"/>
              <w:bottom w:val="nil"/>
            </w:tcBorders>
            <w:vAlign w:val="center"/>
          </w:tcPr>
          <w:p w:rsidR="003009F0" w:rsidRPr="00CC5778" w:rsidRDefault="00DC7D8A" w:rsidP="00194572">
            <w:pPr>
              <w:jc w:val="center"/>
              <w:rPr>
                <w:lang w:val="en-US"/>
              </w:rPr>
            </w:pPr>
            <w:r w:rsidRPr="00CC5778">
              <w:rPr>
                <w:lang w:val="en-US"/>
              </w:rPr>
              <w:t>4,5</w:t>
            </w:r>
          </w:p>
        </w:tc>
      </w:tr>
      <w:tr w:rsidR="003009F0" w:rsidRPr="00CC5778" w:rsidTr="00D01AC5">
        <w:trPr>
          <w:trHeight w:val="370"/>
        </w:trPr>
        <w:tc>
          <w:tcPr>
            <w:tcW w:w="3134" w:type="dxa"/>
            <w:tcBorders>
              <w:top w:val="nil"/>
              <w:bottom w:val="nil"/>
            </w:tcBorders>
            <w:vAlign w:val="center"/>
          </w:tcPr>
          <w:p w:rsidR="003009F0" w:rsidRPr="00CC5778" w:rsidRDefault="00F63D0B" w:rsidP="00E24F81">
            <w:pPr>
              <w:ind w:right="42"/>
              <w:jc w:val="center"/>
              <w:rPr>
                <w:lang w:val="en-US"/>
              </w:rPr>
            </w:pPr>
            <w:r w:rsidRPr="00CC5778">
              <w:rPr>
                <w:sz w:val="22"/>
                <w:szCs w:val="22"/>
                <w:lang w:val="en-US"/>
              </w:rPr>
              <w:t>Passenger car production</w:t>
            </w:r>
          </w:p>
        </w:tc>
        <w:tc>
          <w:tcPr>
            <w:tcW w:w="1165" w:type="dxa"/>
            <w:tcBorders>
              <w:top w:val="nil"/>
              <w:bottom w:val="nil"/>
            </w:tcBorders>
            <w:vAlign w:val="center"/>
          </w:tcPr>
          <w:p w:rsidR="003009F0" w:rsidRPr="00CC5778" w:rsidRDefault="00D01AC5" w:rsidP="00194572">
            <w:pPr>
              <w:jc w:val="center"/>
              <w:rPr>
                <w:lang w:val="en-US"/>
              </w:rPr>
            </w:pPr>
            <w:r w:rsidRPr="00CC5778">
              <w:rPr>
                <w:lang w:val="en-US"/>
              </w:rPr>
              <w:t>-26,6</w:t>
            </w:r>
          </w:p>
        </w:tc>
        <w:tc>
          <w:tcPr>
            <w:tcW w:w="1086" w:type="dxa"/>
            <w:tcBorders>
              <w:top w:val="nil"/>
              <w:bottom w:val="nil"/>
            </w:tcBorders>
            <w:vAlign w:val="center"/>
          </w:tcPr>
          <w:p w:rsidR="003009F0" w:rsidRPr="00CC5778" w:rsidRDefault="00D01AC5" w:rsidP="00194572">
            <w:pPr>
              <w:jc w:val="center"/>
              <w:rPr>
                <w:lang w:val="en-US"/>
              </w:rPr>
            </w:pPr>
            <w:r w:rsidRPr="00CC5778">
              <w:rPr>
                <w:lang w:val="en-US"/>
              </w:rPr>
              <w:t>43,3</w:t>
            </w:r>
          </w:p>
        </w:tc>
        <w:tc>
          <w:tcPr>
            <w:tcW w:w="1142" w:type="dxa"/>
            <w:tcBorders>
              <w:top w:val="nil"/>
              <w:bottom w:val="nil"/>
            </w:tcBorders>
            <w:vAlign w:val="center"/>
          </w:tcPr>
          <w:p w:rsidR="003009F0" w:rsidRPr="00CC5778" w:rsidRDefault="00D01AC5" w:rsidP="00194572">
            <w:pPr>
              <w:jc w:val="center"/>
              <w:rPr>
                <w:lang w:val="en-US"/>
              </w:rPr>
            </w:pPr>
            <w:r w:rsidRPr="00CC5778">
              <w:rPr>
                <w:lang w:val="en-US"/>
              </w:rPr>
              <w:t>-9,2</w:t>
            </w:r>
          </w:p>
        </w:tc>
        <w:tc>
          <w:tcPr>
            <w:tcW w:w="1077" w:type="dxa"/>
            <w:tcBorders>
              <w:top w:val="nil"/>
              <w:bottom w:val="nil"/>
              <w:right w:val="double" w:sz="4" w:space="0" w:color="auto"/>
            </w:tcBorders>
            <w:vAlign w:val="center"/>
          </w:tcPr>
          <w:p w:rsidR="003009F0" w:rsidRPr="00CC5778" w:rsidRDefault="00D01AC5" w:rsidP="00194572">
            <w:pPr>
              <w:jc w:val="center"/>
              <w:rPr>
                <w:lang w:val="en-US"/>
              </w:rPr>
            </w:pPr>
            <w:r w:rsidRPr="00CC5778">
              <w:rPr>
                <w:lang w:val="en-US"/>
              </w:rPr>
              <w:t>7,7</w:t>
            </w:r>
          </w:p>
        </w:tc>
        <w:tc>
          <w:tcPr>
            <w:tcW w:w="959" w:type="dxa"/>
            <w:tcBorders>
              <w:top w:val="nil"/>
              <w:left w:val="double" w:sz="4" w:space="0" w:color="auto"/>
              <w:bottom w:val="nil"/>
            </w:tcBorders>
            <w:vAlign w:val="center"/>
          </w:tcPr>
          <w:p w:rsidR="003009F0" w:rsidRPr="00CC5778" w:rsidRDefault="00D01AC5" w:rsidP="00194572">
            <w:pPr>
              <w:jc w:val="center"/>
              <w:rPr>
                <w:lang w:val="en-US"/>
              </w:rPr>
            </w:pPr>
            <w:r w:rsidRPr="00CC5778">
              <w:rPr>
                <w:lang w:val="en-US"/>
              </w:rPr>
              <w:t>-8,9</w:t>
            </w:r>
          </w:p>
        </w:tc>
        <w:tc>
          <w:tcPr>
            <w:tcW w:w="959" w:type="dxa"/>
            <w:tcBorders>
              <w:top w:val="nil"/>
              <w:bottom w:val="nil"/>
            </w:tcBorders>
            <w:vAlign w:val="center"/>
          </w:tcPr>
          <w:p w:rsidR="003009F0" w:rsidRPr="00CC5778" w:rsidRDefault="00D01AC5" w:rsidP="00194572">
            <w:pPr>
              <w:jc w:val="center"/>
              <w:rPr>
                <w:lang w:val="en-US"/>
              </w:rPr>
            </w:pPr>
            <w:r w:rsidRPr="00CC5778">
              <w:rPr>
                <w:lang w:val="en-US"/>
              </w:rPr>
              <w:t>6,7</w:t>
            </w:r>
          </w:p>
        </w:tc>
      </w:tr>
      <w:tr w:rsidR="003009F0" w:rsidRPr="00CC5778" w:rsidTr="00D01AC5">
        <w:trPr>
          <w:trHeight w:val="370"/>
        </w:trPr>
        <w:tc>
          <w:tcPr>
            <w:tcW w:w="3134" w:type="dxa"/>
            <w:tcBorders>
              <w:top w:val="nil"/>
            </w:tcBorders>
            <w:vAlign w:val="center"/>
          </w:tcPr>
          <w:p w:rsidR="003009F0" w:rsidRPr="00CC5778" w:rsidRDefault="00F63D0B" w:rsidP="00E24F81">
            <w:pPr>
              <w:ind w:right="42"/>
              <w:jc w:val="center"/>
              <w:rPr>
                <w:lang w:val="en-US"/>
              </w:rPr>
            </w:pPr>
            <w:r w:rsidRPr="00CC5778">
              <w:rPr>
                <w:sz w:val="22"/>
                <w:szCs w:val="22"/>
                <w:lang w:val="en-US"/>
              </w:rPr>
              <w:t>Commercial car production</w:t>
            </w:r>
          </w:p>
        </w:tc>
        <w:tc>
          <w:tcPr>
            <w:tcW w:w="1165" w:type="dxa"/>
            <w:tcBorders>
              <w:top w:val="nil"/>
            </w:tcBorders>
            <w:vAlign w:val="center"/>
          </w:tcPr>
          <w:p w:rsidR="003009F0" w:rsidRPr="00CC5778" w:rsidRDefault="00D01AC5" w:rsidP="00194572">
            <w:pPr>
              <w:jc w:val="center"/>
              <w:rPr>
                <w:lang w:val="en-US"/>
              </w:rPr>
            </w:pPr>
            <w:r w:rsidRPr="00CC5778">
              <w:rPr>
                <w:lang w:val="en-US"/>
              </w:rPr>
              <w:t>-31,9</w:t>
            </w:r>
          </w:p>
        </w:tc>
        <w:tc>
          <w:tcPr>
            <w:tcW w:w="1086" w:type="dxa"/>
            <w:tcBorders>
              <w:top w:val="nil"/>
            </w:tcBorders>
            <w:vAlign w:val="center"/>
          </w:tcPr>
          <w:p w:rsidR="003009F0" w:rsidRPr="00CC5778" w:rsidRDefault="00D01AC5" w:rsidP="00194572">
            <w:pPr>
              <w:jc w:val="center"/>
              <w:rPr>
                <w:lang w:val="en-US"/>
              </w:rPr>
            </w:pPr>
            <w:r w:rsidRPr="00CC5778">
              <w:rPr>
                <w:lang w:val="en-US"/>
              </w:rPr>
              <w:t>40,9</w:t>
            </w:r>
          </w:p>
        </w:tc>
        <w:tc>
          <w:tcPr>
            <w:tcW w:w="1142" w:type="dxa"/>
            <w:tcBorders>
              <w:top w:val="nil"/>
            </w:tcBorders>
            <w:vAlign w:val="center"/>
          </w:tcPr>
          <w:p w:rsidR="003009F0" w:rsidRPr="00CC5778" w:rsidRDefault="00D01AC5" w:rsidP="00194572">
            <w:pPr>
              <w:jc w:val="center"/>
              <w:rPr>
                <w:lang w:val="en-US"/>
              </w:rPr>
            </w:pPr>
            <w:r w:rsidRPr="00CC5778">
              <w:rPr>
                <w:lang w:val="en-US"/>
              </w:rPr>
              <w:t>3,6</w:t>
            </w:r>
          </w:p>
        </w:tc>
        <w:tc>
          <w:tcPr>
            <w:tcW w:w="1077" w:type="dxa"/>
            <w:tcBorders>
              <w:top w:val="nil"/>
              <w:right w:val="double" w:sz="4" w:space="0" w:color="auto"/>
            </w:tcBorders>
            <w:vAlign w:val="center"/>
          </w:tcPr>
          <w:p w:rsidR="003009F0" w:rsidRPr="00CC5778" w:rsidRDefault="00D01AC5" w:rsidP="00194572">
            <w:pPr>
              <w:jc w:val="center"/>
              <w:rPr>
                <w:lang w:val="en-US"/>
              </w:rPr>
            </w:pPr>
            <w:r w:rsidRPr="00CC5778">
              <w:rPr>
                <w:lang w:val="en-US"/>
              </w:rPr>
              <w:t>3,4</w:t>
            </w:r>
          </w:p>
        </w:tc>
        <w:tc>
          <w:tcPr>
            <w:tcW w:w="959" w:type="dxa"/>
            <w:tcBorders>
              <w:top w:val="nil"/>
              <w:left w:val="double" w:sz="4" w:space="0" w:color="auto"/>
            </w:tcBorders>
            <w:vAlign w:val="center"/>
          </w:tcPr>
          <w:p w:rsidR="003009F0" w:rsidRPr="00CC5778" w:rsidRDefault="00D01AC5" w:rsidP="00194572">
            <w:pPr>
              <w:jc w:val="center"/>
              <w:rPr>
                <w:lang w:val="en-US"/>
              </w:rPr>
            </w:pPr>
            <w:r w:rsidRPr="00CC5778">
              <w:rPr>
                <w:lang w:val="en-US"/>
              </w:rPr>
              <w:t>-3,4</w:t>
            </w:r>
          </w:p>
        </w:tc>
        <w:tc>
          <w:tcPr>
            <w:tcW w:w="959" w:type="dxa"/>
            <w:tcBorders>
              <w:top w:val="nil"/>
            </w:tcBorders>
            <w:vAlign w:val="center"/>
          </w:tcPr>
          <w:p w:rsidR="003009F0" w:rsidRPr="00CC5778" w:rsidRDefault="00D01AC5" w:rsidP="00194572">
            <w:pPr>
              <w:jc w:val="center"/>
              <w:rPr>
                <w:lang w:val="en-US"/>
              </w:rPr>
            </w:pPr>
            <w:r w:rsidRPr="00CC5778">
              <w:rPr>
                <w:lang w:val="en-US"/>
              </w:rPr>
              <w:t>14,9</w:t>
            </w:r>
          </w:p>
        </w:tc>
      </w:tr>
    </w:tbl>
    <w:p w:rsidR="00197085" w:rsidRPr="00CC5778" w:rsidRDefault="00222AC6" w:rsidP="00197085">
      <w:pPr>
        <w:ind w:left="-720" w:right="43" w:firstLine="360"/>
        <w:jc w:val="both"/>
        <w:rPr>
          <w:sz w:val="16"/>
          <w:szCs w:val="16"/>
          <w:lang w:val="en-US"/>
        </w:rPr>
      </w:pPr>
      <w:r w:rsidRPr="00CC5778">
        <w:rPr>
          <w:sz w:val="16"/>
          <w:szCs w:val="16"/>
          <w:lang w:val="en-US"/>
        </w:rPr>
        <w:t xml:space="preserve">Source: </w:t>
      </w:r>
      <w:proofErr w:type="spellStart"/>
      <w:r w:rsidR="009D3A43" w:rsidRPr="00CC5778">
        <w:rPr>
          <w:sz w:val="16"/>
          <w:szCs w:val="16"/>
          <w:lang w:val="en-US"/>
        </w:rPr>
        <w:t>TurkStat</w:t>
      </w:r>
      <w:proofErr w:type="spellEnd"/>
      <w:r w:rsidR="009D3A43" w:rsidRPr="00CC5778">
        <w:rPr>
          <w:sz w:val="16"/>
          <w:szCs w:val="16"/>
          <w:lang w:val="en-US"/>
        </w:rPr>
        <w:t>, TCMB, Treasury, IMKB, Betam</w:t>
      </w:r>
      <w:proofErr w:type="gramStart"/>
      <w:r w:rsidR="009D3A43" w:rsidRPr="00CC5778">
        <w:rPr>
          <w:sz w:val="16"/>
          <w:szCs w:val="16"/>
          <w:lang w:val="en-US"/>
        </w:rPr>
        <w:t>..</w:t>
      </w:r>
      <w:proofErr w:type="gramEnd"/>
    </w:p>
    <w:p w:rsidR="00197085" w:rsidRPr="00CC5778" w:rsidRDefault="00197085" w:rsidP="00197085">
      <w:pPr>
        <w:ind w:left="-720" w:right="43" w:firstLine="360"/>
        <w:jc w:val="both"/>
        <w:rPr>
          <w:sz w:val="16"/>
          <w:szCs w:val="16"/>
          <w:lang w:val="en-US"/>
        </w:rPr>
      </w:pPr>
      <w:r w:rsidRPr="00CC5778">
        <w:rPr>
          <w:sz w:val="16"/>
          <w:szCs w:val="16"/>
          <w:vertAlign w:val="superscript"/>
          <w:lang w:val="en-US"/>
        </w:rPr>
        <w:t xml:space="preserve">† </w:t>
      </w:r>
      <w:r w:rsidR="009D3A43" w:rsidRPr="00CC5778">
        <w:rPr>
          <w:sz w:val="16"/>
          <w:szCs w:val="16"/>
          <w:lang w:val="en-US"/>
        </w:rPr>
        <w:t>This is seasonally adjusted by TCMB.</w:t>
      </w:r>
    </w:p>
    <w:p w:rsidR="00BA6A10" w:rsidRPr="00CC5778" w:rsidRDefault="00197085" w:rsidP="00197085">
      <w:pPr>
        <w:ind w:left="-360" w:right="43"/>
        <w:rPr>
          <w:sz w:val="16"/>
          <w:szCs w:val="16"/>
          <w:lang w:val="en-US"/>
        </w:rPr>
      </w:pPr>
      <w:r w:rsidRPr="00CC5778">
        <w:rPr>
          <w:sz w:val="16"/>
          <w:szCs w:val="16"/>
          <w:vertAlign w:val="superscript"/>
          <w:lang w:val="en-US"/>
        </w:rPr>
        <w:t>‡</w:t>
      </w:r>
      <w:r w:rsidRPr="00CC5778">
        <w:rPr>
          <w:sz w:val="16"/>
          <w:szCs w:val="16"/>
          <w:lang w:val="en-US"/>
        </w:rPr>
        <w:t xml:space="preserve"> </w:t>
      </w:r>
      <w:r w:rsidR="00BA6A10" w:rsidRPr="00CC5778">
        <w:rPr>
          <w:sz w:val="16"/>
          <w:szCs w:val="16"/>
          <w:lang w:val="en-US"/>
        </w:rPr>
        <w:t>CUR and its components are given as percentage point change unlike the other indicators.</w:t>
      </w:r>
    </w:p>
    <w:p w:rsidR="00B252B7" w:rsidRPr="00CC5778" w:rsidRDefault="00197085" w:rsidP="00197085">
      <w:pPr>
        <w:ind w:left="-720" w:right="43" w:firstLine="360"/>
        <w:jc w:val="both"/>
        <w:rPr>
          <w:sz w:val="16"/>
          <w:szCs w:val="16"/>
          <w:lang w:val="en-US"/>
        </w:rPr>
      </w:pPr>
      <w:r w:rsidRPr="00CC5778">
        <w:rPr>
          <w:sz w:val="16"/>
          <w:szCs w:val="16"/>
          <w:lang w:val="en-US"/>
        </w:rPr>
        <w:t>*</w:t>
      </w:r>
      <w:r w:rsidR="00BA6A10" w:rsidRPr="00CC5778">
        <w:rPr>
          <w:sz w:val="16"/>
          <w:szCs w:val="16"/>
          <w:lang w:val="en-US"/>
        </w:rPr>
        <w:t>This is seasonally adjusted by TURKSTAT. All the other indicators are seasonally adjusted by Betam.</w:t>
      </w:r>
    </w:p>
    <w:p w:rsidR="00197085" w:rsidRPr="00CC5778" w:rsidRDefault="00BA6A10" w:rsidP="00197085">
      <w:pPr>
        <w:ind w:left="-720" w:right="43" w:firstLine="360"/>
        <w:jc w:val="both"/>
        <w:rPr>
          <w:sz w:val="16"/>
          <w:szCs w:val="16"/>
          <w:lang w:val="en-US"/>
        </w:rPr>
      </w:pPr>
      <w:r w:rsidRPr="00CC5778">
        <w:rPr>
          <w:sz w:val="16"/>
          <w:szCs w:val="16"/>
          <w:lang w:val="en-US"/>
        </w:rPr>
        <w:t xml:space="preserve"> </w:t>
      </w:r>
      <w:r w:rsidR="00197085" w:rsidRPr="00CC5778">
        <w:rPr>
          <w:sz w:val="16"/>
          <w:szCs w:val="16"/>
          <w:lang w:val="en-US"/>
        </w:rPr>
        <w:t>**</w:t>
      </w:r>
      <w:r w:rsidR="00EB5F9A" w:rsidRPr="00CC5778">
        <w:rPr>
          <w:sz w:val="16"/>
          <w:szCs w:val="16"/>
          <w:lang w:val="en-US"/>
        </w:rPr>
        <w:t xml:space="preserve"> Data not yet released</w:t>
      </w:r>
      <w:proofErr w:type="gramStart"/>
      <w:r w:rsidR="00EB5F9A" w:rsidRPr="00CC5778">
        <w:rPr>
          <w:sz w:val="16"/>
          <w:szCs w:val="16"/>
          <w:lang w:val="en-US"/>
        </w:rPr>
        <w:t>.</w:t>
      </w:r>
      <w:r w:rsidR="00197085" w:rsidRPr="00CC5778">
        <w:rPr>
          <w:sz w:val="16"/>
          <w:szCs w:val="16"/>
          <w:lang w:val="en-US"/>
        </w:rPr>
        <w:t>.</w:t>
      </w:r>
      <w:proofErr w:type="gramEnd"/>
    </w:p>
    <w:p w:rsidR="00EB5F9A" w:rsidRPr="00CC5778" w:rsidRDefault="001344A4" w:rsidP="00EB5F9A">
      <w:pPr>
        <w:spacing w:line="276" w:lineRule="auto"/>
        <w:ind w:left="-540" w:right="42"/>
        <w:jc w:val="both"/>
        <w:rPr>
          <w:sz w:val="16"/>
          <w:szCs w:val="16"/>
          <w:lang w:val="en-US"/>
        </w:rPr>
      </w:pPr>
      <w:r w:rsidRPr="00CC5778">
        <w:rPr>
          <w:sz w:val="16"/>
          <w:szCs w:val="16"/>
          <w:lang w:val="en-US"/>
        </w:rPr>
        <w:t xml:space="preserve">*** </w:t>
      </w:r>
      <w:proofErr w:type="spellStart"/>
      <w:r w:rsidR="00EB5F9A" w:rsidRPr="00CC5778">
        <w:rPr>
          <w:sz w:val="16"/>
          <w:szCs w:val="16"/>
          <w:lang w:val="en-US"/>
        </w:rPr>
        <w:t>Betam’s</w:t>
      </w:r>
      <w:proofErr w:type="spellEnd"/>
      <w:r w:rsidR="00EB5F9A" w:rsidRPr="00CC5778">
        <w:rPr>
          <w:sz w:val="16"/>
          <w:szCs w:val="16"/>
          <w:lang w:val="en-US"/>
        </w:rPr>
        <w:t xml:space="preserve"> calculations: Nominal exports (imports) minus non-monetary </w:t>
      </w:r>
      <w:proofErr w:type="gramStart"/>
      <w:r w:rsidR="00EB5F9A" w:rsidRPr="00CC5778">
        <w:rPr>
          <w:sz w:val="16"/>
          <w:szCs w:val="16"/>
          <w:lang w:val="en-US"/>
        </w:rPr>
        <w:t>gold,</w:t>
      </w:r>
      <w:proofErr w:type="gramEnd"/>
      <w:r w:rsidR="00EB5F9A" w:rsidRPr="00CC5778">
        <w:rPr>
          <w:sz w:val="16"/>
          <w:szCs w:val="16"/>
          <w:lang w:val="en-US"/>
        </w:rPr>
        <w:t xml:space="preserve"> deflated using the export (import) unit value index.</w:t>
      </w:r>
    </w:p>
    <w:p w:rsidR="00197085" w:rsidRPr="00CC5778" w:rsidRDefault="00197085" w:rsidP="00AE6E29">
      <w:pPr>
        <w:ind w:left="-360" w:right="43"/>
        <w:rPr>
          <w:sz w:val="16"/>
          <w:szCs w:val="16"/>
          <w:lang w:val="en-US"/>
        </w:rPr>
      </w:pPr>
      <w:r w:rsidRPr="00CC5778">
        <w:rPr>
          <w:rFonts w:ascii="Calibri" w:hAnsi="Calibri"/>
          <w:sz w:val="16"/>
          <w:szCs w:val="16"/>
          <w:lang w:val="en-US"/>
        </w:rPr>
        <w:t>⁰</w:t>
      </w:r>
      <w:r w:rsidRPr="00CC5778">
        <w:rPr>
          <w:sz w:val="16"/>
          <w:szCs w:val="16"/>
          <w:lang w:val="en-US"/>
        </w:rPr>
        <w:t xml:space="preserve"> </w:t>
      </w:r>
      <w:r w:rsidR="00AE6E29" w:rsidRPr="00CC5778">
        <w:rPr>
          <w:sz w:val="16"/>
          <w:szCs w:val="16"/>
          <w:lang w:val="en-US"/>
        </w:rPr>
        <w:t>Total g</w:t>
      </w:r>
      <w:r w:rsidR="00A631A6" w:rsidRPr="00CC5778">
        <w:rPr>
          <w:sz w:val="16"/>
          <w:szCs w:val="16"/>
          <w:lang w:val="en-US"/>
        </w:rPr>
        <w:t>over</w:t>
      </w:r>
      <w:r w:rsidR="00B252B7" w:rsidRPr="00CC5778">
        <w:rPr>
          <w:sz w:val="16"/>
          <w:szCs w:val="16"/>
          <w:lang w:val="en-US"/>
        </w:rPr>
        <w:t>n</w:t>
      </w:r>
      <w:r w:rsidR="00A631A6" w:rsidRPr="00CC5778">
        <w:rPr>
          <w:sz w:val="16"/>
          <w:szCs w:val="16"/>
          <w:lang w:val="en-US"/>
        </w:rPr>
        <w:t xml:space="preserve">ment spending excluding </w:t>
      </w:r>
      <w:r w:rsidR="00AE6E29" w:rsidRPr="00CC5778">
        <w:rPr>
          <w:sz w:val="16"/>
          <w:szCs w:val="16"/>
          <w:lang w:val="en-US"/>
        </w:rPr>
        <w:t>transfers are deflated.</w:t>
      </w:r>
    </w:p>
    <w:p w:rsidR="00AE6E29" w:rsidRPr="00CC5778" w:rsidRDefault="00AE6E29" w:rsidP="00AE6E29">
      <w:pPr>
        <w:ind w:left="-360" w:right="43"/>
        <w:rPr>
          <w:sz w:val="16"/>
          <w:szCs w:val="16"/>
          <w:lang w:val="en-US"/>
        </w:rPr>
      </w:pPr>
    </w:p>
    <w:p w:rsidR="00AE6E29" w:rsidRPr="00CC5778" w:rsidRDefault="00AE6E29" w:rsidP="00AE6E29">
      <w:pPr>
        <w:ind w:left="-360" w:right="43"/>
        <w:rPr>
          <w:sz w:val="16"/>
          <w:szCs w:val="16"/>
          <w:lang w:val="en-US"/>
        </w:rPr>
      </w:pPr>
    </w:p>
    <w:p w:rsidR="00AE6E29" w:rsidRPr="00CC5778" w:rsidRDefault="00AE6E29" w:rsidP="00AE6E29">
      <w:pPr>
        <w:ind w:left="-360" w:right="43"/>
        <w:rPr>
          <w:sz w:val="16"/>
          <w:szCs w:val="16"/>
          <w:lang w:val="en-US"/>
        </w:rPr>
      </w:pPr>
    </w:p>
    <w:p w:rsidR="00AE6E29" w:rsidRPr="00CC5778" w:rsidRDefault="00AE6E29" w:rsidP="00AE6E29">
      <w:pPr>
        <w:ind w:left="-360" w:right="43"/>
        <w:rPr>
          <w:sz w:val="16"/>
          <w:szCs w:val="16"/>
          <w:lang w:val="en-US"/>
        </w:rPr>
      </w:pPr>
    </w:p>
    <w:p w:rsidR="00197085" w:rsidRPr="00CC5778" w:rsidRDefault="00197085" w:rsidP="00197085">
      <w:pPr>
        <w:spacing w:line="360" w:lineRule="auto"/>
        <w:ind w:right="42"/>
        <w:jc w:val="both"/>
        <w:rPr>
          <w:color w:val="FF0000"/>
          <w:sz w:val="22"/>
          <w:szCs w:val="22"/>
          <w:lang w:val="en-US"/>
        </w:rPr>
        <w:sectPr w:rsidR="00197085" w:rsidRPr="00CC5778" w:rsidSect="008651A8">
          <w:type w:val="continuous"/>
          <w:pgSz w:w="11906" w:h="16838"/>
          <w:pgMar w:top="1417" w:right="1417" w:bottom="1417" w:left="1417" w:header="708" w:footer="708" w:gutter="0"/>
          <w:cols w:space="708"/>
          <w:docGrid w:linePitch="360"/>
        </w:sectPr>
      </w:pPr>
    </w:p>
    <w:p w:rsidR="00197085" w:rsidRPr="00CC5778" w:rsidRDefault="00197085" w:rsidP="00197085">
      <w:pPr>
        <w:ind w:left="-360" w:right="42"/>
        <w:jc w:val="both"/>
        <w:rPr>
          <w:b/>
          <w:bCs/>
          <w:color w:val="FF0000"/>
          <w:sz w:val="22"/>
          <w:szCs w:val="22"/>
          <w:lang w:val="en-US"/>
        </w:rPr>
      </w:pPr>
    </w:p>
    <w:p w:rsidR="00197085" w:rsidRPr="00CC5778" w:rsidRDefault="00197085" w:rsidP="00197085">
      <w:pPr>
        <w:ind w:left="-360" w:right="42"/>
        <w:jc w:val="both"/>
        <w:rPr>
          <w:b/>
          <w:bCs/>
          <w:color w:val="FF0000"/>
          <w:sz w:val="22"/>
          <w:szCs w:val="22"/>
          <w:lang w:val="en-US"/>
        </w:rPr>
      </w:pPr>
    </w:p>
    <w:p w:rsidR="009A1EF3" w:rsidRPr="00CC5778" w:rsidRDefault="009A1EF3" w:rsidP="009A1EF3">
      <w:pPr>
        <w:ind w:left="-360" w:right="42"/>
        <w:jc w:val="both"/>
        <w:rPr>
          <w:b/>
          <w:bCs/>
          <w:sz w:val="22"/>
          <w:szCs w:val="22"/>
          <w:lang w:val="en-US"/>
        </w:rPr>
      </w:pPr>
      <w:r w:rsidRPr="00CC5778">
        <w:rPr>
          <w:b/>
          <w:bCs/>
          <w:sz w:val="22"/>
          <w:szCs w:val="22"/>
          <w:lang w:val="en-US"/>
        </w:rPr>
        <w:lastRenderedPageBreak/>
        <w:t xml:space="preserve">Figure </w:t>
      </w:r>
      <w:r w:rsidR="00197085" w:rsidRPr="00CC5778">
        <w:rPr>
          <w:b/>
          <w:bCs/>
          <w:sz w:val="22"/>
          <w:szCs w:val="22"/>
          <w:lang w:val="en-US"/>
        </w:rPr>
        <w:t>1:</w:t>
      </w:r>
      <w:r w:rsidR="00B66829">
        <w:rPr>
          <w:b/>
          <w:bCs/>
          <w:sz w:val="22"/>
          <w:szCs w:val="22"/>
          <w:lang w:val="en-US"/>
        </w:rPr>
        <w:t xml:space="preserve"> </w:t>
      </w:r>
      <w:r w:rsidRPr="00CC5778">
        <w:rPr>
          <w:b/>
          <w:bCs/>
          <w:sz w:val="22"/>
          <w:szCs w:val="22"/>
          <w:lang w:val="en-US"/>
        </w:rPr>
        <w:t>Capacity</w:t>
      </w:r>
      <w:r w:rsidR="00B66829">
        <w:rPr>
          <w:b/>
          <w:bCs/>
          <w:sz w:val="22"/>
          <w:szCs w:val="22"/>
          <w:lang w:val="en-US"/>
        </w:rPr>
        <w:t xml:space="preserve"> </w:t>
      </w:r>
      <w:r w:rsidRPr="00CC5778">
        <w:rPr>
          <w:b/>
          <w:bCs/>
          <w:sz w:val="22"/>
          <w:szCs w:val="22"/>
          <w:lang w:val="en-US"/>
        </w:rPr>
        <w:t>utilization rate and industrial production index (</w:t>
      </w:r>
      <w:proofErr w:type="spellStart"/>
      <w:proofErr w:type="gramStart"/>
      <w:r w:rsidRPr="00CC5778">
        <w:rPr>
          <w:b/>
          <w:bCs/>
          <w:sz w:val="22"/>
          <w:szCs w:val="22"/>
          <w:lang w:val="en-US"/>
        </w:rPr>
        <w:t>sa</w:t>
      </w:r>
      <w:proofErr w:type="spellEnd"/>
      <w:proofErr w:type="gramEnd"/>
      <w:r w:rsidRPr="00CC5778">
        <w:rPr>
          <w:b/>
          <w:bCs/>
          <w:sz w:val="22"/>
          <w:szCs w:val="22"/>
          <w:lang w:val="en-US"/>
        </w:rPr>
        <w:t>, left axis for CUR and right axis for IPI)</w:t>
      </w:r>
    </w:p>
    <w:p w:rsidR="00197085" w:rsidRPr="00CC5778" w:rsidRDefault="00426D3F" w:rsidP="00197085">
      <w:pPr>
        <w:ind w:left="-360" w:right="42"/>
        <w:jc w:val="both"/>
        <w:rPr>
          <w:b/>
          <w:bCs/>
          <w:sz w:val="22"/>
          <w:szCs w:val="22"/>
          <w:lang w:val="en-US"/>
        </w:rPr>
      </w:pPr>
      <w:r w:rsidRPr="00CC5778">
        <w:rPr>
          <w:noProof/>
          <w:szCs w:val="22"/>
        </w:rPr>
        <w:drawing>
          <wp:inline distT="0" distB="0" distL="0" distR="0">
            <wp:extent cx="2895600" cy="22288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897156" cy="2230048"/>
                    </a:xfrm>
                    <a:prstGeom prst="rect">
                      <a:avLst/>
                    </a:prstGeom>
                    <a:noFill/>
                    <a:ln w="9525">
                      <a:noFill/>
                      <a:miter lim="800000"/>
                      <a:headEnd/>
                      <a:tailEnd/>
                    </a:ln>
                  </pic:spPr>
                </pic:pic>
              </a:graphicData>
            </a:graphic>
          </wp:inline>
        </w:drawing>
      </w:r>
    </w:p>
    <w:p w:rsidR="0098481A" w:rsidRPr="00CC5778" w:rsidRDefault="0098481A" w:rsidP="0098481A">
      <w:pPr>
        <w:ind w:left="-360" w:right="42"/>
        <w:jc w:val="both"/>
        <w:rPr>
          <w:sz w:val="18"/>
          <w:szCs w:val="18"/>
          <w:lang w:val="en-US"/>
        </w:rPr>
      </w:pPr>
      <w:r w:rsidRPr="00CC5778">
        <w:rPr>
          <w:sz w:val="18"/>
          <w:szCs w:val="18"/>
          <w:lang w:val="en-US"/>
        </w:rPr>
        <w:t xml:space="preserve">Source: </w:t>
      </w:r>
      <w:proofErr w:type="spellStart"/>
      <w:r w:rsidRPr="00CC5778">
        <w:rPr>
          <w:sz w:val="18"/>
          <w:szCs w:val="18"/>
          <w:lang w:val="en-US"/>
        </w:rPr>
        <w:t>TurkStat</w:t>
      </w:r>
      <w:proofErr w:type="spellEnd"/>
      <w:r w:rsidRPr="00CC5778">
        <w:rPr>
          <w:sz w:val="18"/>
          <w:szCs w:val="18"/>
          <w:lang w:val="en-US"/>
        </w:rPr>
        <w:t>, Betam.</w:t>
      </w:r>
    </w:p>
    <w:p w:rsidR="00197085" w:rsidRPr="00CC5778" w:rsidRDefault="00197085" w:rsidP="00197085">
      <w:pPr>
        <w:ind w:left="-360" w:right="42"/>
        <w:jc w:val="both"/>
        <w:rPr>
          <w:b/>
          <w:bCs/>
          <w:color w:val="FF0000"/>
          <w:sz w:val="10"/>
          <w:szCs w:val="10"/>
          <w:lang w:val="en-US"/>
        </w:rPr>
      </w:pPr>
    </w:p>
    <w:p w:rsidR="0098481A" w:rsidRPr="00CC5778" w:rsidRDefault="00197085" w:rsidP="0098481A">
      <w:pPr>
        <w:ind w:left="-360" w:right="42"/>
        <w:jc w:val="both"/>
        <w:rPr>
          <w:b/>
          <w:bCs/>
          <w:sz w:val="22"/>
          <w:szCs w:val="22"/>
          <w:lang w:val="en-US"/>
        </w:rPr>
      </w:pPr>
      <w:r w:rsidRPr="00CC5778">
        <w:rPr>
          <w:b/>
          <w:bCs/>
          <w:color w:val="FF0000"/>
          <w:sz w:val="22"/>
          <w:szCs w:val="22"/>
          <w:lang w:val="en-US"/>
        </w:rPr>
        <w:br/>
      </w:r>
      <w:r w:rsidR="00365D05" w:rsidRPr="00CC5778">
        <w:rPr>
          <w:b/>
          <w:bCs/>
          <w:sz w:val="22"/>
          <w:szCs w:val="22"/>
          <w:lang w:val="en-US"/>
        </w:rPr>
        <w:t>Figure</w:t>
      </w:r>
      <w:r w:rsidRPr="00CC5778">
        <w:rPr>
          <w:b/>
          <w:bCs/>
          <w:sz w:val="22"/>
          <w:szCs w:val="22"/>
          <w:lang w:val="en-US"/>
        </w:rPr>
        <w:t xml:space="preserve"> 3: </w:t>
      </w:r>
      <w:r w:rsidR="0098481A" w:rsidRPr="00CC5778">
        <w:rPr>
          <w:b/>
          <w:bCs/>
          <w:sz w:val="22"/>
          <w:szCs w:val="22"/>
          <w:lang w:val="en-US"/>
        </w:rPr>
        <w:t>Gold included current account deficit to GDP ratio, 12 months</w:t>
      </w:r>
    </w:p>
    <w:p w:rsidR="00197085" w:rsidRPr="00CC5778" w:rsidRDefault="00FD28DE" w:rsidP="00197085">
      <w:pPr>
        <w:ind w:left="-360" w:right="42"/>
        <w:jc w:val="both"/>
        <w:rPr>
          <w:b/>
          <w:bCs/>
          <w:sz w:val="22"/>
          <w:szCs w:val="22"/>
          <w:lang w:val="en-US"/>
        </w:rPr>
      </w:pPr>
      <w:r w:rsidRPr="00CC5778">
        <w:rPr>
          <w:noProof/>
          <w:szCs w:val="22"/>
        </w:rPr>
        <w:drawing>
          <wp:inline distT="0" distB="0" distL="0" distR="0">
            <wp:extent cx="2847975" cy="23812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849854" cy="2382821"/>
                    </a:xfrm>
                    <a:prstGeom prst="rect">
                      <a:avLst/>
                    </a:prstGeom>
                    <a:noFill/>
                    <a:ln w="9525">
                      <a:noFill/>
                      <a:miter lim="800000"/>
                      <a:headEnd/>
                      <a:tailEnd/>
                    </a:ln>
                  </pic:spPr>
                </pic:pic>
              </a:graphicData>
            </a:graphic>
          </wp:inline>
        </w:drawing>
      </w:r>
    </w:p>
    <w:p w:rsidR="00D94860" w:rsidRPr="002D250E" w:rsidRDefault="00D94860" w:rsidP="002D250E">
      <w:pPr>
        <w:ind w:left="-360" w:right="42"/>
        <w:rPr>
          <w:sz w:val="18"/>
          <w:szCs w:val="18"/>
          <w:lang w:val="en-US"/>
        </w:rPr>
      </w:pPr>
      <w:r w:rsidRPr="002D250E">
        <w:rPr>
          <w:sz w:val="18"/>
          <w:szCs w:val="18"/>
          <w:lang w:val="en-US"/>
        </w:rPr>
        <w:t>Source:</w:t>
      </w:r>
      <w:r w:rsidR="00CC5778" w:rsidRPr="002D250E">
        <w:rPr>
          <w:sz w:val="18"/>
          <w:szCs w:val="18"/>
          <w:lang w:val="en-US"/>
        </w:rPr>
        <w:t xml:space="preserve"> </w:t>
      </w:r>
      <w:proofErr w:type="spellStart"/>
      <w:r w:rsidRPr="002D250E">
        <w:rPr>
          <w:sz w:val="18"/>
          <w:szCs w:val="18"/>
          <w:lang w:val="en-US"/>
        </w:rPr>
        <w:t>TurkStat</w:t>
      </w:r>
      <w:proofErr w:type="spellEnd"/>
      <w:r w:rsidRPr="002D250E">
        <w:rPr>
          <w:sz w:val="18"/>
          <w:szCs w:val="18"/>
          <w:lang w:val="en-US"/>
        </w:rPr>
        <w:t xml:space="preserve">, </w:t>
      </w:r>
      <w:proofErr w:type="spellStart"/>
      <w:r w:rsidRPr="002D250E">
        <w:rPr>
          <w:sz w:val="18"/>
          <w:szCs w:val="18"/>
          <w:lang w:val="en-US"/>
        </w:rPr>
        <w:t>TCMB</w:t>
      </w:r>
      <w:proofErr w:type="gramStart"/>
      <w:r w:rsidRPr="002D250E">
        <w:rPr>
          <w:sz w:val="18"/>
          <w:szCs w:val="18"/>
          <w:lang w:val="en-US"/>
        </w:rPr>
        <w:t>,Betam</w:t>
      </w:r>
      <w:proofErr w:type="spellEnd"/>
      <w:proofErr w:type="gramEnd"/>
      <w:r w:rsidRPr="002D250E">
        <w:rPr>
          <w:sz w:val="18"/>
          <w:szCs w:val="18"/>
          <w:lang w:val="en-US"/>
        </w:rPr>
        <w:t>.</w:t>
      </w:r>
    </w:p>
    <w:p w:rsidR="00D01014" w:rsidRPr="00CC5778" w:rsidRDefault="00197085" w:rsidP="00D01014">
      <w:pPr>
        <w:ind w:left="-360" w:right="42"/>
        <w:jc w:val="both"/>
        <w:rPr>
          <w:b/>
          <w:bCs/>
          <w:sz w:val="22"/>
          <w:szCs w:val="22"/>
          <w:lang w:val="en-US"/>
        </w:rPr>
      </w:pPr>
      <w:r w:rsidRPr="00CC5778">
        <w:rPr>
          <w:b/>
          <w:bCs/>
          <w:color w:val="FF0000"/>
          <w:sz w:val="22"/>
          <w:szCs w:val="22"/>
          <w:lang w:val="en-US"/>
        </w:rPr>
        <w:br/>
      </w:r>
      <w:r w:rsidRPr="00CC5778">
        <w:rPr>
          <w:b/>
          <w:bCs/>
          <w:color w:val="FF0000"/>
          <w:sz w:val="22"/>
          <w:szCs w:val="22"/>
          <w:lang w:val="en-US"/>
        </w:rPr>
        <w:br/>
      </w:r>
      <w:r w:rsidR="004F3728" w:rsidRPr="00CC5778">
        <w:rPr>
          <w:b/>
          <w:bCs/>
          <w:sz w:val="22"/>
          <w:szCs w:val="22"/>
          <w:lang w:val="en-US"/>
        </w:rPr>
        <w:lastRenderedPageBreak/>
        <w:t>Figure</w:t>
      </w:r>
      <w:r w:rsidRPr="00CC5778">
        <w:rPr>
          <w:b/>
          <w:bCs/>
          <w:sz w:val="22"/>
          <w:szCs w:val="22"/>
          <w:lang w:val="en-US"/>
        </w:rPr>
        <w:t xml:space="preserve"> 2: </w:t>
      </w:r>
      <w:r w:rsidR="00D01014" w:rsidRPr="00CC5778">
        <w:rPr>
          <w:b/>
          <w:bCs/>
          <w:sz w:val="22"/>
          <w:szCs w:val="22"/>
          <w:lang w:val="en-US"/>
        </w:rPr>
        <w:t>Volume indices of exports and imports (</w:t>
      </w:r>
      <w:proofErr w:type="spellStart"/>
      <w:proofErr w:type="gramStart"/>
      <w:r w:rsidR="00D01014" w:rsidRPr="00CC5778">
        <w:rPr>
          <w:b/>
          <w:bCs/>
          <w:sz w:val="22"/>
          <w:szCs w:val="22"/>
          <w:lang w:val="en-US"/>
        </w:rPr>
        <w:t>sa</w:t>
      </w:r>
      <w:proofErr w:type="spellEnd"/>
      <w:proofErr w:type="gramEnd"/>
      <w:r w:rsidR="00D01014" w:rsidRPr="00CC5778">
        <w:rPr>
          <w:b/>
          <w:bCs/>
          <w:sz w:val="22"/>
          <w:szCs w:val="22"/>
          <w:lang w:val="en-US"/>
        </w:rPr>
        <w:t>)</w:t>
      </w:r>
    </w:p>
    <w:p w:rsidR="00197085" w:rsidRPr="00CC5778" w:rsidRDefault="00197085" w:rsidP="00D01014">
      <w:pPr>
        <w:ind w:left="-360" w:right="42"/>
        <w:jc w:val="both"/>
        <w:rPr>
          <w:sz w:val="4"/>
          <w:szCs w:val="4"/>
          <w:lang w:val="en-US"/>
        </w:rPr>
      </w:pPr>
    </w:p>
    <w:p w:rsidR="00197085" w:rsidRPr="00CC5778" w:rsidRDefault="00E1671A" w:rsidP="00197085">
      <w:pPr>
        <w:ind w:left="-360" w:right="42"/>
        <w:jc w:val="both"/>
        <w:rPr>
          <w:lang w:val="en-US"/>
        </w:rPr>
      </w:pPr>
      <w:r w:rsidRPr="00CC5778">
        <w:rPr>
          <w:noProof/>
        </w:rPr>
        <w:drawing>
          <wp:inline distT="0" distB="0" distL="0" distR="0">
            <wp:extent cx="2990850" cy="23622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990462" cy="2361894"/>
                    </a:xfrm>
                    <a:prstGeom prst="rect">
                      <a:avLst/>
                    </a:prstGeom>
                    <a:noFill/>
                    <a:ln w="9525">
                      <a:noFill/>
                      <a:miter lim="800000"/>
                      <a:headEnd/>
                      <a:tailEnd/>
                    </a:ln>
                  </pic:spPr>
                </pic:pic>
              </a:graphicData>
            </a:graphic>
          </wp:inline>
        </w:drawing>
      </w:r>
    </w:p>
    <w:p w:rsidR="00D94860" w:rsidRPr="00CC5778" w:rsidRDefault="00E1671A" w:rsidP="00E1671A">
      <w:pPr>
        <w:ind w:left="-360" w:right="42"/>
        <w:rPr>
          <w:b/>
          <w:bCs/>
          <w:color w:val="FF0000"/>
          <w:sz w:val="18"/>
          <w:szCs w:val="18"/>
          <w:lang w:val="en-US"/>
        </w:rPr>
      </w:pPr>
      <w:r w:rsidRPr="00CC5778">
        <w:rPr>
          <w:sz w:val="18"/>
          <w:szCs w:val="18"/>
          <w:lang w:val="en-US"/>
        </w:rPr>
        <w:t>Source:</w:t>
      </w:r>
      <w:r w:rsidR="00CC5778">
        <w:rPr>
          <w:sz w:val="18"/>
          <w:szCs w:val="18"/>
          <w:lang w:val="en-US"/>
        </w:rPr>
        <w:t xml:space="preserve"> </w:t>
      </w:r>
      <w:proofErr w:type="spellStart"/>
      <w:r w:rsidR="0098481A" w:rsidRPr="00CC5778">
        <w:rPr>
          <w:sz w:val="18"/>
          <w:szCs w:val="18"/>
          <w:lang w:val="en-US"/>
        </w:rPr>
        <w:t>Turkstat</w:t>
      </w:r>
      <w:proofErr w:type="spellEnd"/>
      <w:r w:rsidR="0098481A" w:rsidRPr="00CC5778">
        <w:rPr>
          <w:sz w:val="18"/>
          <w:szCs w:val="18"/>
          <w:lang w:val="en-US"/>
        </w:rPr>
        <w:t>, Betam.</w:t>
      </w:r>
      <w:r w:rsidR="00197085" w:rsidRPr="00CC5778">
        <w:rPr>
          <w:b/>
          <w:bCs/>
          <w:color w:val="FF0000"/>
          <w:sz w:val="22"/>
          <w:szCs w:val="22"/>
          <w:lang w:val="en-US"/>
        </w:rPr>
        <w:br/>
      </w:r>
    </w:p>
    <w:p w:rsidR="00A500C1" w:rsidRDefault="00A500C1" w:rsidP="00365D05">
      <w:pPr>
        <w:ind w:left="-360" w:right="42"/>
        <w:jc w:val="both"/>
        <w:rPr>
          <w:b/>
          <w:bCs/>
          <w:sz w:val="22"/>
          <w:szCs w:val="22"/>
          <w:lang w:val="en-US"/>
        </w:rPr>
      </w:pPr>
    </w:p>
    <w:p w:rsidR="00197085" w:rsidRPr="00CC5778" w:rsidRDefault="00365D05" w:rsidP="00365D05">
      <w:pPr>
        <w:ind w:left="-360" w:right="42"/>
        <w:jc w:val="both"/>
        <w:rPr>
          <w:sz w:val="4"/>
          <w:szCs w:val="4"/>
          <w:lang w:val="en-US"/>
        </w:rPr>
      </w:pPr>
      <w:r w:rsidRPr="00CC5778">
        <w:rPr>
          <w:b/>
          <w:bCs/>
          <w:sz w:val="22"/>
          <w:szCs w:val="22"/>
          <w:lang w:val="en-US"/>
        </w:rPr>
        <w:t>Figure</w:t>
      </w:r>
      <w:r w:rsidR="00197085" w:rsidRPr="00CC5778">
        <w:rPr>
          <w:b/>
          <w:bCs/>
          <w:sz w:val="22"/>
          <w:szCs w:val="22"/>
          <w:lang w:val="en-US"/>
        </w:rPr>
        <w:t xml:space="preserve"> 4: </w:t>
      </w:r>
      <w:r w:rsidRPr="00CC5778">
        <w:rPr>
          <w:b/>
          <w:bCs/>
          <w:sz w:val="22"/>
          <w:szCs w:val="22"/>
          <w:lang w:val="en-US"/>
        </w:rPr>
        <w:t>Gold excluded current account deficit to GDP ratio, 12 months</w:t>
      </w:r>
    </w:p>
    <w:p w:rsidR="00197085" w:rsidRPr="00CC5778" w:rsidRDefault="00D66D14" w:rsidP="00197085">
      <w:pPr>
        <w:ind w:left="-360" w:right="42"/>
        <w:jc w:val="both"/>
        <w:rPr>
          <w:lang w:val="en-US"/>
        </w:rPr>
      </w:pPr>
      <w:r w:rsidRPr="00CC5778">
        <w:rPr>
          <w:noProof/>
        </w:rPr>
        <w:drawing>
          <wp:inline distT="0" distB="0" distL="0" distR="0">
            <wp:extent cx="2990850" cy="2390775"/>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993749" cy="2393092"/>
                    </a:xfrm>
                    <a:prstGeom prst="rect">
                      <a:avLst/>
                    </a:prstGeom>
                    <a:noFill/>
                    <a:ln w="9525">
                      <a:noFill/>
                      <a:miter lim="800000"/>
                      <a:headEnd/>
                      <a:tailEnd/>
                    </a:ln>
                  </pic:spPr>
                </pic:pic>
              </a:graphicData>
            </a:graphic>
          </wp:inline>
        </w:drawing>
      </w:r>
    </w:p>
    <w:p w:rsidR="00197085" w:rsidRPr="002D250E" w:rsidRDefault="00961FAE" w:rsidP="006D1998">
      <w:pPr>
        <w:ind w:left="-360" w:right="42"/>
        <w:rPr>
          <w:sz w:val="18"/>
          <w:szCs w:val="18"/>
          <w:lang w:val="en-US"/>
        </w:rPr>
        <w:sectPr w:rsidR="00197085" w:rsidRPr="002D250E" w:rsidSect="007067F4">
          <w:type w:val="continuous"/>
          <w:pgSz w:w="11906" w:h="16838"/>
          <w:pgMar w:top="1417" w:right="1417" w:bottom="1417" w:left="1417" w:header="708" w:footer="708" w:gutter="0"/>
          <w:cols w:num="2" w:space="708" w:equalWidth="0">
            <w:col w:w="4182" w:space="708"/>
            <w:col w:w="4182"/>
          </w:cols>
          <w:docGrid w:linePitch="360"/>
        </w:sectPr>
      </w:pPr>
      <w:r w:rsidRPr="002D250E">
        <w:rPr>
          <w:sz w:val="18"/>
          <w:szCs w:val="18"/>
          <w:lang w:val="en-US"/>
        </w:rPr>
        <w:t xml:space="preserve">Source: </w:t>
      </w:r>
      <w:proofErr w:type="spellStart"/>
      <w:r w:rsidRPr="002D250E">
        <w:rPr>
          <w:sz w:val="18"/>
          <w:szCs w:val="18"/>
          <w:lang w:val="en-US"/>
        </w:rPr>
        <w:t>Turkstat</w:t>
      </w:r>
      <w:proofErr w:type="spellEnd"/>
      <w:r w:rsidRPr="002D250E">
        <w:rPr>
          <w:sz w:val="18"/>
          <w:szCs w:val="18"/>
          <w:lang w:val="en-US"/>
        </w:rPr>
        <w:t xml:space="preserve">, </w:t>
      </w:r>
      <w:proofErr w:type="spellStart"/>
      <w:r w:rsidRPr="002D250E">
        <w:rPr>
          <w:sz w:val="18"/>
          <w:szCs w:val="18"/>
          <w:lang w:val="en-US"/>
        </w:rPr>
        <w:t>TCMB</w:t>
      </w:r>
      <w:proofErr w:type="gramStart"/>
      <w:r w:rsidRPr="002D250E">
        <w:rPr>
          <w:sz w:val="18"/>
          <w:szCs w:val="18"/>
          <w:lang w:val="en-US"/>
        </w:rPr>
        <w:t>,</w:t>
      </w:r>
      <w:r w:rsidR="006D1998" w:rsidRPr="002D250E">
        <w:rPr>
          <w:sz w:val="18"/>
          <w:szCs w:val="18"/>
          <w:lang w:val="en-US"/>
        </w:rPr>
        <w:t>Betam</w:t>
      </w:r>
      <w:proofErr w:type="spellEnd"/>
      <w:proofErr w:type="gramEnd"/>
      <w:r w:rsidR="006D1998" w:rsidRPr="002D250E">
        <w:rPr>
          <w:sz w:val="18"/>
          <w:szCs w:val="18"/>
          <w:lang w:val="en-US"/>
        </w:rPr>
        <w:t>.</w:t>
      </w:r>
    </w:p>
    <w:p w:rsidR="00197085" w:rsidRPr="00CC5778" w:rsidRDefault="00197085" w:rsidP="00197085">
      <w:pPr>
        <w:spacing w:line="360" w:lineRule="auto"/>
        <w:ind w:left="-360" w:right="42"/>
        <w:jc w:val="both"/>
        <w:rPr>
          <w:b/>
          <w:bCs/>
          <w:color w:val="FF0000"/>
          <w:sz w:val="22"/>
          <w:szCs w:val="22"/>
          <w:lang w:val="en-US"/>
        </w:rPr>
      </w:pPr>
    </w:p>
    <w:p w:rsidR="00197085" w:rsidRPr="00CC5778" w:rsidRDefault="00197085" w:rsidP="0011609A">
      <w:pPr>
        <w:ind w:left="-360" w:right="42"/>
        <w:rPr>
          <w:b/>
          <w:bCs/>
          <w:color w:val="FF0000"/>
          <w:sz w:val="22"/>
          <w:szCs w:val="22"/>
          <w:lang w:val="en-US"/>
        </w:rPr>
      </w:pPr>
      <w:r w:rsidRPr="00CC5778">
        <w:rPr>
          <w:color w:val="FF0000"/>
          <w:sz w:val="18"/>
          <w:szCs w:val="18"/>
          <w:lang w:val="en-US"/>
        </w:rPr>
        <w:tab/>
      </w:r>
    </w:p>
    <w:p w:rsidR="00197085" w:rsidRPr="00CC5778" w:rsidRDefault="00197085" w:rsidP="00197085">
      <w:pPr>
        <w:ind w:left="-360" w:right="42"/>
        <w:jc w:val="both"/>
        <w:rPr>
          <w:b/>
          <w:bCs/>
          <w:color w:val="FF0000"/>
          <w:sz w:val="22"/>
          <w:szCs w:val="22"/>
          <w:lang w:val="en-US"/>
        </w:rPr>
      </w:pPr>
    </w:p>
    <w:p w:rsidR="00197085" w:rsidRPr="00CC5778" w:rsidRDefault="00197085" w:rsidP="00197085">
      <w:pPr>
        <w:ind w:left="-360" w:right="42"/>
        <w:jc w:val="both"/>
        <w:rPr>
          <w:b/>
          <w:bCs/>
          <w:color w:val="FF0000"/>
          <w:sz w:val="22"/>
          <w:szCs w:val="22"/>
          <w:lang w:val="en-US"/>
        </w:rPr>
      </w:pPr>
    </w:p>
    <w:p w:rsidR="00197085" w:rsidRPr="00CC5778" w:rsidRDefault="00197085" w:rsidP="00197085">
      <w:pPr>
        <w:ind w:left="-360" w:right="42"/>
        <w:jc w:val="both"/>
        <w:rPr>
          <w:b/>
          <w:bCs/>
          <w:color w:val="FF0000"/>
          <w:sz w:val="22"/>
          <w:szCs w:val="22"/>
          <w:lang w:val="en-US"/>
        </w:rPr>
      </w:pPr>
    </w:p>
    <w:p w:rsidR="00197085" w:rsidRPr="00CC5778" w:rsidRDefault="00197085" w:rsidP="00197085">
      <w:pPr>
        <w:ind w:left="-360" w:right="42"/>
        <w:jc w:val="both"/>
        <w:rPr>
          <w:b/>
          <w:bCs/>
          <w:color w:val="FF0000"/>
          <w:sz w:val="22"/>
          <w:szCs w:val="22"/>
          <w:lang w:val="en-US"/>
        </w:rPr>
      </w:pPr>
    </w:p>
    <w:p w:rsidR="00197085" w:rsidRPr="00CC5778" w:rsidRDefault="00197085" w:rsidP="00197085">
      <w:pPr>
        <w:ind w:left="-360" w:right="42"/>
        <w:jc w:val="both"/>
        <w:rPr>
          <w:b/>
          <w:bCs/>
          <w:color w:val="FF0000"/>
          <w:sz w:val="22"/>
          <w:szCs w:val="22"/>
          <w:lang w:val="en-US"/>
        </w:rPr>
      </w:pPr>
    </w:p>
    <w:p w:rsidR="008C6E09" w:rsidRPr="00CC5778" w:rsidRDefault="008C6E09" w:rsidP="00197085">
      <w:pPr>
        <w:spacing w:line="360" w:lineRule="auto"/>
        <w:ind w:right="42"/>
        <w:jc w:val="both"/>
        <w:rPr>
          <w:b/>
          <w:bCs/>
          <w:color w:val="FF0000"/>
          <w:sz w:val="22"/>
          <w:szCs w:val="22"/>
          <w:lang w:val="en-US"/>
        </w:rPr>
      </w:pPr>
    </w:p>
    <w:sectPr w:rsidR="008C6E09" w:rsidRPr="00CC5778"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B5" w:rsidRDefault="00460BB5">
      <w:r>
        <w:separator/>
      </w:r>
    </w:p>
  </w:endnote>
  <w:endnote w:type="continuationSeparator" w:id="0">
    <w:p w:rsidR="00460BB5" w:rsidRDefault="0046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AD5232"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BA6C25">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AD5232"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BA6C25">
      <w:rPr>
        <w:rStyle w:val="PageNumber"/>
        <w:noProof/>
      </w:rPr>
      <w:t>2</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B5" w:rsidRDefault="00460BB5">
      <w:r>
        <w:separator/>
      </w:r>
    </w:p>
  </w:footnote>
  <w:footnote w:type="continuationSeparator" w:id="0">
    <w:p w:rsidR="00460BB5" w:rsidRDefault="00460BB5">
      <w:r>
        <w:continuationSeparator/>
      </w:r>
    </w:p>
  </w:footnote>
  <w:footnote w:id="1">
    <w:p w:rsidR="00204198" w:rsidRDefault="00116C43">
      <w:pPr>
        <w:pStyle w:val="FootnoteText"/>
      </w:pPr>
      <w:r>
        <w:rPr>
          <w:rStyle w:val="FootnoteReference"/>
        </w:rPr>
        <w:footnoteRef/>
      </w:r>
      <w:r>
        <w:t xml:space="preserve"> </w:t>
      </w:r>
      <w:r w:rsidR="00204198" w:rsidRPr="000D6BBE">
        <w:rPr>
          <w:lang w:val="en-US"/>
        </w:rPr>
        <w:t>Go</w:t>
      </w:r>
      <w:r w:rsidR="000D6BBE" w:rsidRPr="000D6BBE">
        <w:rPr>
          <w:lang w:val="en-US"/>
        </w:rPr>
        <w:t>l</w:t>
      </w:r>
      <w:r w:rsidR="00204198" w:rsidRPr="000D6BBE">
        <w:rPr>
          <w:lang w:val="en-US"/>
        </w:rPr>
        <w:t>d-excluded real export is calculated as</w:t>
      </w:r>
      <w:r w:rsidR="0053161A" w:rsidRPr="000D6BBE">
        <w:rPr>
          <w:lang w:val="en-US"/>
        </w:rPr>
        <w:t xml:space="preserve"> </w:t>
      </w:r>
      <w:r w:rsidR="000D6BBE" w:rsidRPr="000D6BBE">
        <w:rPr>
          <w:lang w:val="en-US"/>
        </w:rPr>
        <w:t>subtracting of gold export from goods and services export.</w:t>
      </w:r>
    </w:p>
    <w:p w:rsidR="00116C43" w:rsidRDefault="00116C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2CE0"/>
    <w:rsid w:val="0000306F"/>
    <w:rsid w:val="000039F2"/>
    <w:rsid w:val="00004860"/>
    <w:rsid w:val="00004B78"/>
    <w:rsid w:val="0000507C"/>
    <w:rsid w:val="000056C3"/>
    <w:rsid w:val="0000704D"/>
    <w:rsid w:val="00011090"/>
    <w:rsid w:val="0001121A"/>
    <w:rsid w:val="000117B7"/>
    <w:rsid w:val="0001277D"/>
    <w:rsid w:val="0001288B"/>
    <w:rsid w:val="000144EB"/>
    <w:rsid w:val="000150D2"/>
    <w:rsid w:val="00017809"/>
    <w:rsid w:val="0002037B"/>
    <w:rsid w:val="000205A1"/>
    <w:rsid w:val="000208EA"/>
    <w:rsid w:val="000212AC"/>
    <w:rsid w:val="000217AE"/>
    <w:rsid w:val="000224B9"/>
    <w:rsid w:val="000232EC"/>
    <w:rsid w:val="000233A7"/>
    <w:rsid w:val="00024559"/>
    <w:rsid w:val="000262EC"/>
    <w:rsid w:val="00026F21"/>
    <w:rsid w:val="00027FC3"/>
    <w:rsid w:val="000311C6"/>
    <w:rsid w:val="00031D72"/>
    <w:rsid w:val="0003248D"/>
    <w:rsid w:val="00033700"/>
    <w:rsid w:val="00033AF8"/>
    <w:rsid w:val="00034090"/>
    <w:rsid w:val="0003523C"/>
    <w:rsid w:val="0003546D"/>
    <w:rsid w:val="000449FC"/>
    <w:rsid w:val="00045C5A"/>
    <w:rsid w:val="00047B99"/>
    <w:rsid w:val="00047E9F"/>
    <w:rsid w:val="0005037D"/>
    <w:rsid w:val="00050453"/>
    <w:rsid w:val="000507D6"/>
    <w:rsid w:val="000509A3"/>
    <w:rsid w:val="00052AD4"/>
    <w:rsid w:val="00052D7A"/>
    <w:rsid w:val="00052EFB"/>
    <w:rsid w:val="00054BD3"/>
    <w:rsid w:val="00056118"/>
    <w:rsid w:val="00056B3E"/>
    <w:rsid w:val="00060119"/>
    <w:rsid w:val="00060540"/>
    <w:rsid w:val="00061256"/>
    <w:rsid w:val="000616F0"/>
    <w:rsid w:val="00061732"/>
    <w:rsid w:val="00063005"/>
    <w:rsid w:val="00064636"/>
    <w:rsid w:val="0006518B"/>
    <w:rsid w:val="00065B3C"/>
    <w:rsid w:val="0006725C"/>
    <w:rsid w:val="000678F9"/>
    <w:rsid w:val="00070FF1"/>
    <w:rsid w:val="000712FC"/>
    <w:rsid w:val="000716BA"/>
    <w:rsid w:val="000716CA"/>
    <w:rsid w:val="0007202B"/>
    <w:rsid w:val="00072407"/>
    <w:rsid w:val="000731CF"/>
    <w:rsid w:val="00074648"/>
    <w:rsid w:val="000750E3"/>
    <w:rsid w:val="0007701E"/>
    <w:rsid w:val="00077766"/>
    <w:rsid w:val="00077A9D"/>
    <w:rsid w:val="00077FF4"/>
    <w:rsid w:val="00080D7E"/>
    <w:rsid w:val="00080E45"/>
    <w:rsid w:val="00081E3F"/>
    <w:rsid w:val="000829B5"/>
    <w:rsid w:val="00082FE4"/>
    <w:rsid w:val="000833C7"/>
    <w:rsid w:val="0008631D"/>
    <w:rsid w:val="0008735C"/>
    <w:rsid w:val="000875E6"/>
    <w:rsid w:val="00087E0A"/>
    <w:rsid w:val="00090498"/>
    <w:rsid w:val="0009059A"/>
    <w:rsid w:val="00091612"/>
    <w:rsid w:val="000925B3"/>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0E6E"/>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673E"/>
    <w:rsid w:val="000B7B77"/>
    <w:rsid w:val="000B7E94"/>
    <w:rsid w:val="000C2102"/>
    <w:rsid w:val="000C2F1B"/>
    <w:rsid w:val="000C5B7E"/>
    <w:rsid w:val="000C667B"/>
    <w:rsid w:val="000C7B42"/>
    <w:rsid w:val="000D0C5A"/>
    <w:rsid w:val="000D1198"/>
    <w:rsid w:val="000D17A2"/>
    <w:rsid w:val="000D1F14"/>
    <w:rsid w:val="000D49FD"/>
    <w:rsid w:val="000D56EB"/>
    <w:rsid w:val="000D5927"/>
    <w:rsid w:val="000D6BBE"/>
    <w:rsid w:val="000E01ED"/>
    <w:rsid w:val="000E10A3"/>
    <w:rsid w:val="000E1F75"/>
    <w:rsid w:val="000E2708"/>
    <w:rsid w:val="000E4E83"/>
    <w:rsid w:val="000E5365"/>
    <w:rsid w:val="000E631E"/>
    <w:rsid w:val="000E6807"/>
    <w:rsid w:val="000E74B5"/>
    <w:rsid w:val="000E7AB3"/>
    <w:rsid w:val="000E7CBB"/>
    <w:rsid w:val="000F0372"/>
    <w:rsid w:val="000F0C2B"/>
    <w:rsid w:val="000F2DB4"/>
    <w:rsid w:val="000F360E"/>
    <w:rsid w:val="000F396D"/>
    <w:rsid w:val="000F4941"/>
    <w:rsid w:val="000F5457"/>
    <w:rsid w:val="000F71D2"/>
    <w:rsid w:val="001007B5"/>
    <w:rsid w:val="001009B7"/>
    <w:rsid w:val="001044D1"/>
    <w:rsid w:val="0010638F"/>
    <w:rsid w:val="00106470"/>
    <w:rsid w:val="001075D1"/>
    <w:rsid w:val="00107FF7"/>
    <w:rsid w:val="001105B2"/>
    <w:rsid w:val="001117C6"/>
    <w:rsid w:val="0011236C"/>
    <w:rsid w:val="0011279B"/>
    <w:rsid w:val="00112E08"/>
    <w:rsid w:val="00113C74"/>
    <w:rsid w:val="001144FB"/>
    <w:rsid w:val="00114BC7"/>
    <w:rsid w:val="0011609A"/>
    <w:rsid w:val="00116C43"/>
    <w:rsid w:val="00117A11"/>
    <w:rsid w:val="00121017"/>
    <w:rsid w:val="00121ABE"/>
    <w:rsid w:val="0012262F"/>
    <w:rsid w:val="00123E71"/>
    <w:rsid w:val="0012410A"/>
    <w:rsid w:val="00124A37"/>
    <w:rsid w:val="001251CC"/>
    <w:rsid w:val="001253B7"/>
    <w:rsid w:val="00125FC6"/>
    <w:rsid w:val="001260D7"/>
    <w:rsid w:val="001261A8"/>
    <w:rsid w:val="001267DF"/>
    <w:rsid w:val="00130607"/>
    <w:rsid w:val="00130959"/>
    <w:rsid w:val="0013240F"/>
    <w:rsid w:val="00132E7B"/>
    <w:rsid w:val="001331CB"/>
    <w:rsid w:val="0013381D"/>
    <w:rsid w:val="001344A4"/>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AAB"/>
    <w:rsid w:val="00165C4C"/>
    <w:rsid w:val="00165C59"/>
    <w:rsid w:val="00165CB0"/>
    <w:rsid w:val="00166FE5"/>
    <w:rsid w:val="00167D69"/>
    <w:rsid w:val="00170502"/>
    <w:rsid w:val="00170CA9"/>
    <w:rsid w:val="00171424"/>
    <w:rsid w:val="00172263"/>
    <w:rsid w:val="00175574"/>
    <w:rsid w:val="00175F89"/>
    <w:rsid w:val="00176E56"/>
    <w:rsid w:val="00177FE3"/>
    <w:rsid w:val="0018034E"/>
    <w:rsid w:val="00180C8C"/>
    <w:rsid w:val="00181B5A"/>
    <w:rsid w:val="00182F2B"/>
    <w:rsid w:val="00183507"/>
    <w:rsid w:val="00183602"/>
    <w:rsid w:val="001837A6"/>
    <w:rsid w:val="00183896"/>
    <w:rsid w:val="00186DB6"/>
    <w:rsid w:val="00190F20"/>
    <w:rsid w:val="0019159E"/>
    <w:rsid w:val="001938A7"/>
    <w:rsid w:val="00193F73"/>
    <w:rsid w:val="0019538C"/>
    <w:rsid w:val="00195AAD"/>
    <w:rsid w:val="00197085"/>
    <w:rsid w:val="00197ACB"/>
    <w:rsid w:val="00197D95"/>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E0"/>
    <w:rsid w:val="001B34B5"/>
    <w:rsid w:val="001B3B49"/>
    <w:rsid w:val="001B3C7B"/>
    <w:rsid w:val="001B462E"/>
    <w:rsid w:val="001B6AFA"/>
    <w:rsid w:val="001B6E89"/>
    <w:rsid w:val="001C184E"/>
    <w:rsid w:val="001C295D"/>
    <w:rsid w:val="001C4996"/>
    <w:rsid w:val="001C62D3"/>
    <w:rsid w:val="001C6BAB"/>
    <w:rsid w:val="001C7334"/>
    <w:rsid w:val="001C7C05"/>
    <w:rsid w:val="001D09B1"/>
    <w:rsid w:val="001D129A"/>
    <w:rsid w:val="001D1F1B"/>
    <w:rsid w:val="001D2615"/>
    <w:rsid w:val="001D3F5A"/>
    <w:rsid w:val="001D436C"/>
    <w:rsid w:val="001D55B0"/>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5A91"/>
    <w:rsid w:val="001F6F00"/>
    <w:rsid w:val="001F7144"/>
    <w:rsid w:val="001F71A5"/>
    <w:rsid w:val="001F7216"/>
    <w:rsid w:val="001F775A"/>
    <w:rsid w:val="00200D5C"/>
    <w:rsid w:val="0020167B"/>
    <w:rsid w:val="00204198"/>
    <w:rsid w:val="00204364"/>
    <w:rsid w:val="00206291"/>
    <w:rsid w:val="00206862"/>
    <w:rsid w:val="00207185"/>
    <w:rsid w:val="00207313"/>
    <w:rsid w:val="0020739E"/>
    <w:rsid w:val="00207C8A"/>
    <w:rsid w:val="00207CC3"/>
    <w:rsid w:val="0021024B"/>
    <w:rsid w:val="00212675"/>
    <w:rsid w:val="00213153"/>
    <w:rsid w:val="0021387C"/>
    <w:rsid w:val="002152AF"/>
    <w:rsid w:val="0021684B"/>
    <w:rsid w:val="002168E5"/>
    <w:rsid w:val="002173B9"/>
    <w:rsid w:val="0021766E"/>
    <w:rsid w:val="002176C5"/>
    <w:rsid w:val="00217D35"/>
    <w:rsid w:val="00220B5E"/>
    <w:rsid w:val="00221184"/>
    <w:rsid w:val="00222AC6"/>
    <w:rsid w:val="00223A5B"/>
    <w:rsid w:val="002242A1"/>
    <w:rsid w:val="00224908"/>
    <w:rsid w:val="00224F8E"/>
    <w:rsid w:val="00225204"/>
    <w:rsid w:val="00226D50"/>
    <w:rsid w:val="002272CB"/>
    <w:rsid w:val="00230401"/>
    <w:rsid w:val="00231E92"/>
    <w:rsid w:val="00232243"/>
    <w:rsid w:val="0023312F"/>
    <w:rsid w:val="00233D56"/>
    <w:rsid w:val="00233FED"/>
    <w:rsid w:val="00237255"/>
    <w:rsid w:val="00237353"/>
    <w:rsid w:val="0024030B"/>
    <w:rsid w:val="002405DD"/>
    <w:rsid w:val="00241A67"/>
    <w:rsid w:val="00243212"/>
    <w:rsid w:val="00243355"/>
    <w:rsid w:val="00243BC2"/>
    <w:rsid w:val="00245B1F"/>
    <w:rsid w:val="00251885"/>
    <w:rsid w:val="00251DE2"/>
    <w:rsid w:val="00251E82"/>
    <w:rsid w:val="00252FAF"/>
    <w:rsid w:val="00253D39"/>
    <w:rsid w:val="0025486C"/>
    <w:rsid w:val="00254A99"/>
    <w:rsid w:val="00255059"/>
    <w:rsid w:val="002563B1"/>
    <w:rsid w:val="002569EA"/>
    <w:rsid w:val="002576F7"/>
    <w:rsid w:val="0026114C"/>
    <w:rsid w:val="002614C1"/>
    <w:rsid w:val="00261A05"/>
    <w:rsid w:val="00261B02"/>
    <w:rsid w:val="00262020"/>
    <w:rsid w:val="00264335"/>
    <w:rsid w:val="00264F0C"/>
    <w:rsid w:val="00264FE5"/>
    <w:rsid w:val="002654A6"/>
    <w:rsid w:val="00265BC9"/>
    <w:rsid w:val="002670FE"/>
    <w:rsid w:val="00267EB4"/>
    <w:rsid w:val="0027244B"/>
    <w:rsid w:val="00273CB4"/>
    <w:rsid w:val="00273E62"/>
    <w:rsid w:val="00277E58"/>
    <w:rsid w:val="002802F2"/>
    <w:rsid w:val="00280552"/>
    <w:rsid w:val="002816C6"/>
    <w:rsid w:val="00281D8F"/>
    <w:rsid w:val="002820F1"/>
    <w:rsid w:val="00283666"/>
    <w:rsid w:val="00284A28"/>
    <w:rsid w:val="002854D6"/>
    <w:rsid w:val="00285656"/>
    <w:rsid w:val="002871E8"/>
    <w:rsid w:val="0028793F"/>
    <w:rsid w:val="00291C79"/>
    <w:rsid w:val="002926BF"/>
    <w:rsid w:val="00293DC6"/>
    <w:rsid w:val="0029480C"/>
    <w:rsid w:val="00295AFF"/>
    <w:rsid w:val="00297710"/>
    <w:rsid w:val="00297712"/>
    <w:rsid w:val="00297F55"/>
    <w:rsid w:val="002A05DB"/>
    <w:rsid w:val="002A1FA0"/>
    <w:rsid w:val="002A3EDD"/>
    <w:rsid w:val="002A49A3"/>
    <w:rsid w:val="002A4AF7"/>
    <w:rsid w:val="002A5D22"/>
    <w:rsid w:val="002A66ED"/>
    <w:rsid w:val="002B0426"/>
    <w:rsid w:val="002B3129"/>
    <w:rsid w:val="002B3644"/>
    <w:rsid w:val="002B58B1"/>
    <w:rsid w:val="002B626B"/>
    <w:rsid w:val="002B73C6"/>
    <w:rsid w:val="002C11F9"/>
    <w:rsid w:val="002C236E"/>
    <w:rsid w:val="002C25CE"/>
    <w:rsid w:val="002C26B9"/>
    <w:rsid w:val="002C2DA3"/>
    <w:rsid w:val="002C4200"/>
    <w:rsid w:val="002C49EC"/>
    <w:rsid w:val="002C5F2D"/>
    <w:rsid w:val="002C7D04"/>
    <w:rsid w:val="002D1908"/>
    <w:rsid w:val="002D250E"/>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85C"/>
    <w:rsid w:val="002E5D5E"/>
    <w:rsid w:val="002E6E82"/>
    <w:rsid w:val="002E6F28"/>
    <w:rsid w:val="002E6F87"/>
    <w:rsid w:val="002E7357"/>
    <w:rsid w:val="002E7860"/>
    <w:rsid w:val="002F129C"/>
    <w:rsid w:val="002F150B"/>
    <w:rsid w:val="002F21C6"/>
    <w:rsid w:val="002F3718"/>
    <w:rsid w:val="002F3940"/>
    <w:rsid w:val="002F4648"/>
    <w:rsid w:val="002F467E"/>
    <w:rsid w:val="002F5134"/>
    <w:rsid w:val="002F5C24"/>
    <w:rsid w:val="002F5E1E"/>
    <w:rsid w:val="002F61A9"/>
    <w:rsid w:val="002F64AE"/>
    <w:rsid w:val="002F6BD8"/>
    <w:rsid w:val="003001AF"/>
    <w:rsid w:val="003009F0"/>
    <w:rsid w:val="0030120F"/>
    <w:rsid w:val="003012EA"/>
    <w:rsid w:val="00303A3C"/>
    <w:rsid w:val="00303F61"/>
    <w:rsid w:val="0030406B"/>
    <w:rsid w:val="003044A5"/>
    <w:rsid w:val="0030512F"/>
    <w:rsid w:val="003051E6"/>
    <w:rsid w:val="00306265"/>
    <w:rsid w:val="00306F51"/>
    <w:rsid w:val="0031043B"/>
    <w:rsid w:val="003118F7"/>
    <w:rsid w:val="00312DB8"/>
    <w:rsid w:val="00312EB0"/>
    <w:rsid w:val="003134C3"/>
    <w:rsid w:val="003136F7"/>
    <w:rsid w:val="003142BA"/>
    <w:rsid w:val="003143D4"/>
    <w:rsid w:val="003146E6"/>
    <w:rsid w:val="0031673E"/>
    <w:rsid w:val="0031682C"/>
    <w:rsid w:val="00316CE9"/>
    <w:rsid w:val="00316DB4"/>
    <w:rsid w:val="003208B4"/>
    <w:rsid w:val="00320F7D"/>
    <w:rsid w:val="00321533"/>
    <w:rsid w:val="003223B0"/>
    <w:rsid w:val="00323169"/>
    <w:rsid w:val="003234F0"/>
    <w:rsid w:val="00323CA6"/>
    <w:rsid w:val="00324A91"/>
    <w:rsid w:val="00324C15"/>
    <w:rsid w:val="003269F7"/>
    <w:rsid w:val="003270D6"/>
    <w:rsid w:val="0033093F"/>
    <w:rsid w:val="0033129D"/>
    <w:rsid w:val="00332DBD"/>
    <w:rsid w:val="003333BF"/>
    <w:rsid w:val="00333B98"/>
    <w:rsid w:val="00333C8E"/>
    <w:rsid w:val="003341A9"/>
    <w:rsid w:val="00336BD5"/>
    <w:rsid w:val="00337AE5"/>
    <w:rsid w:val="0034012E"/>
    <w:rsid w:val="0034025B"/>
    <w:rsid w:val="00341195"/>
    <w:rsid w:val="0034138A"/>
    <w:rsid w:val="0034251A"/>
    <w:rsid w:val="00342E6B"/>
    <w:rsid w:val="003436C3"/>
    <w:rsid w:val="00344555"/>
    <w:rsid w:val="00344F97"/>
    <w:rsid w:val="0034543C"/>
    <w:rsid w:val="00346201"/>
    <w:rsid w:val="003466B0"/>
    <w:rsid w:val="00347B6F"/>
    <w:rsid w:val="00347FA0"/>
    <w:rsid w:val="00353167"/>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5D05"/>
    <w:rsid w:val="00366A30"/>
    <w:rsid w:val="00366D41"/>
    <w:rsid w:val="0037203E"/>
    <w:rsid w:val="00375126"/>
    <w:rsid w:val="00375CC6"/>
    <w:rsid w:val="00376AC1"/>
    <w:rsid w:val="00376F93"/>
    <w:rsid w:val="00377FEF"/>
    <w:rsid w:val="00381CA9"/>
    <w:rsid w:val="00382C02"/>
    <w:rsid w:val="00382F97"/>
    <w:rsid w:val="0038488E"/>
    <w:rsid w:val="00385F45"/>
    <w:rsid w:val="00390136"/>
    <w:rsid w:val="00390B27"/>
    <w:rsid w:val="00392A7C"/>
    <w:rsid w:val="00394C8A"/>
    <w:rsid w:val="00394F60"/>
    <w:rsid w:val="0039541E"/>
    <w:rsid w:val="00395F95"/>
    <w:rsid w:val="00396CE9"/>
    <w:rsid w:val="00397518"/>
    <w:rsid w:val="0039785D"/>
    <w:rsid w:val="00397A34"/>
    <w:rsid w:val="003A2B60"/>
    <w:rsid w:val="003A2C52"/>
    <w:rsid w:val="003A31B2"/>
    <w:rsid w:val="003A3575"/>
    <w:rsid w:val="003A3A61"/>
    <w:rsid w:val="003A4593"/>
    <w:rsid w:val="003A5C17"/>
    <w:rsid w:val="003A6089"/>
    <w:rsid w:val="003A6471"/>
    <w:rsid w:val="003A78A3"/>
    <w:rsid w:val="003B00C3"/>
    <w:rsid w:val="003B0180"/>
    <w:rsid w:val="003B0F7E"/>
    <w:rsid w:val="003B148B"/>
    <w:rsid w:val="003B199A"/>
    <w:rsid w:val="003B1BE8"/>
    <w:rsid w:val="003B1E93"/>
    <w:rsid w:val="003B241B"/>
    <w:rsid w:val="003B2FC4"/>
    <w:rsid w:val="003B33D9"/>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28E3"/>
    <w:rsid w:val="003D440E"/>
    <w:rsid w:val="003D472B"/>
    <w:rsid w:val="003D7373"/>
    <w:rsid w:val="003D7D0B"/>
    <w:rsid w:val="003D7E7F"/>
    <w:rsid w:val="003E0591"/>
    <w:rsid w:val="003E40B5"/>
    <w:rsid w:val="003E4DF6"/>
    <w:rsid w:val="003E512C"/>
    <w:rsid w:val="003E5EC3"/>
    <w:rsid w:val="003E6807"/>
    <w:rsid w:val="003E6BDC"/>
    <w:rsid w:val="003F1E42"/>
    <w:rsid w:val="003F47E3"/>
    <w:rsid w:val="003F503B"/>
    <w:rsid w:val="003F60C0"/>
    <w:rsid w:val="003F6C96"/>
    <w:rsid w:val="003F7185"/>
    <w:rsid w:val="003F7D4B"/>
    <w:rsid w:val="0040061A"/>
    <w:rsid w:val="004007B1"/>
    <w:rsid w:val="00402158"/>
    <w:rsid w:val="00402270"/>
    <w:rsid w:val="00405E96"/>
    <w:rsid w:val="0040602A"/>
    <w:rsid w:val="00407480"/>
    <w:rsid w:val="004074ED"/>
    <w:rsid w:val="00412C49"/>
    <w:rsid w:val="00413AFE"/>
    <w:rsid w:val="00414443"/>
    <w:rsid w:val="00415FC4"/>
    <w:rsid w:val="00417092"/>
    <w:rsid w:val="00417568"/>
    <w:rsid w:val="00421974"/>
    <w:rsid w:val="00421D0B"/>
    <w:rsid w:val="00422927"/>
    <w:rsid w:val="004229DE"/>
    <w:rsid w:val="00423602"/>
    <w:rsid w:val="004239AE"/>
    <w:rsid w:val="00423E8F"/>
    <w:rsid w:val="004251B6"/>
    <w:rsid w:val="004259B8"/>
    <w:rsid w:val="00425C5D"/>
    <w:rsid w:val="004269DA"/>
    <w:rsid w:val="00426D3F"/>
    <w:rsid w:val="0042798D"/>
    <w:rsid w:val="00432F82"/>
    <w:rsid w:val="00433EFB"/>
    <w:rsid w:val="00434618"/>
    <w:rsid w:val="00434B76"/>
    <w:rsid w:val="00434DBF"/>
    <w:rsid w:val="00435527"/>
    <w:rsid w:val="00435FF5"/>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55A56"/>
    <w:rsid w:val="00456120"/>
    <w:rsid w:val="00460BB5"/>
    <w:rsid w:val="00461612"/>
    <w:rsid w:val="0046178B"/>
    <w:rsid w:val="00462314"/>
    <w:rsid w:val="00462E07"/>
    <w:rsid w:val="0046331C"/>
    <w:rsid w:val="00463512"/>
    <w:rsid w:val="0046362C"/>
    <w:rsid w:val="00463BBF"/>
    <w:rsid w:val="00463C05"/>
    <w:rsid w:val="00466C2F"/>
    <w:rsid w:val="004701D0"/>
    <w:rsid w:val="00470E4D"/>
    <w:rsid w:val="00472098"/>
    <w:rsid w:val="00474C08"/>
    <w:rsid w:val="00474D75"/>
    <w:rsid w:val="004764CC"/>
    <w:rsid w:val="004764EE"/>
    <w:rsid w:val="00476D76"/>
    <w:rsid w:val="004771EB"/>
    <w:rsid w:val="00477BE0"/>
    <w:rsid w:val="004814D5"/>
    <w:rsid w:val="004814F0"/>
    <w:rsid w:val="00482771"/>
    <w:rsid w:val="00483180"/>
    <w:rsid w:val="00483C58"/>
    <w:rsid w:val="00484222"/>
    <w:rsid w:val="00485F46"/>
    <w:rsid w:val="0048785A"/>
    <w:rsid w:val="00491855"/>
    <w:rsid w:val="0049412C"/>
    <w:rsid w:val="00494345"/>
    <w:rsid w:val="00495192"/>
    <w:rsid w:val="004956C0"/>
    <w:rsid w:val="004A0D43"/>
    <w:rsid w:val="004A1818"/>
    <w:rsid w:val="004A1C7F"/>
    <w:rsid w:val="004A3EE9"/>
    <w:rsid w:val="004A4E4F"/>
    <w:rsid w:val="004A56E7"/>
    <w:rsid w:val="004A7750"/>
    <w:rsid w:val="004A7FE6"/>
    <w:rsid w:val="004B02B9"/>
    <w:rsid w:val="004B0B90"/>
    <w:rsid w:val="004B2F0D"/>
    <w:rsid w:val="004B30FB"/>
    <w:rsid w:val="004B3F80"/>
    <w:rsid w:val="004B40EE"/>
    <w:rsid w:val="004B45F4"/>
    <w:rsid w:val="004B4A27"/>
    <w:rsid w:val="004C0A8D"/>
    <w:rsid w:val="004C2024"/>
    <w:rsid w:val="004C25F6"/>
    <w:rsid w:val="004C2D19"/>
    <w:rsid w:val="004C357C"/>
    <w:rsid w:val="004C62C6"/>
    <w:rsid w:val="004D100D"/>
    <w:rsid w:val="004D2626"/>
    <w:rsid w:val="004D2C34"/>
    <w:rsid w:val="004D2E28"/>
    <w:rsid w:val="004D3901"/>
    <w:rsid w:val="004D3F5D"/>
    <w:rsid w:val="004D41D8"/>
    <w:rsid w:val="004D5E10"/>
    <w:rsid w:val="004D67C5"/>
    <w:rsid w:val="004D6E34"/>
    <w:rsid w:val="004D7E65"/>
    <w:rsid w:val="004E00D0"/>
    <w:rsid w:val="004E07DC"/>
    <w:rsid w:val="004E0851"/>
    <w:rsid w:val="004E0939"/>
    <w:rsid w:val="004E1AB5"/>
    <w:rsid w:val="004E1AE2"/>
    <w:rsid w:val="004E4165"/>
    <w:rsid w:val="004E5029"/>
    <w:rsid w:val="004E5446"/>
    <w:rsid w:val="004F059F"/>
    <w:rsid w:val="004F1352"/>
    <w:rsid w:val="004F2868"/>
    <w:rsid w:val="004F3728"/>
    <w:rsid w:val="004F55F8"/>
    <w:rsid w:val="004F6ACE"/>
    <w:rsid w:val="004F7447"/>
    <w:rsid w:val="004F76D9"/>
    <w:rsid w:val="004F7E37"/>
    <w:rsid w:val="00501F2F"/>
    <w:rsid w:val="00505141"/>
    <w:rsid w:val="005066A2"/>
    <w:rsid w:val="00506CD9"/>
    <w:rsid w:val="00511ADA"/>
    <w:rsid w:val="00511EF3"/>
    <w:rsid w:val="00512AE9"/>
    <w:rsid w:val="00512E41"/>
    <w:rsid w:val="00513472"/>
    <w:rsid w:val="00513FBF"/>
    <w:rsid w:val="00516576"/>
    <w:rsid w:val="0051750C"/>
    <w:rsid w:val="00522063"/>
    <w:rsid w:val="00522ED0"/>
    <w:rsid w:val="00523826"/>
    <w:rsid w:val="00523C58"/>
    <w:rsid w:val="005253A2"/>
    <w:rsid w:val="0052557E"/>
    <w:rsid w:val="00525782"/>
    <w:rsid w:val="00526CC9"/>
    <w:rsid w:val="0052770E"/>
    <w:rsid w:val="00530C05"/>
    <w:rsid w:val="005310F8"/>
    <w:rsid w:val="0053161A"/>
    <w:rsid w:val="0053163F"/>
    <w:rsid w:val="005347F8"/>
    <w:rsid w:val="00534CA7"/>
    <w:rsid w:val="00535BAD"/>
    <w:rsid w:val="00535C26"/>
    <w:rsid w:val="00536008"/>
    <w:rsid w:val="00536B3B"/>
    <w:rsid w:val="00537CB0"/>
    <w:rsid w:val="00537DBB"/>
    <w:rsid w:val="00541D0D"/>
    <w:rsid w:val="005429D2"/>
    <w:rsid w:val="005435C8"/>
    <w:rsid w:val="00543E56"/>
    <w:rsid w:val="00544A5C"/>
    <w:rsid w:val="0054542E"/>
    <w:rsid w:val="005470EC"/>
    <w:rsid w:val="005478BD"/>
    <w:rsid w:val="00550399"/>
    <w:rsid w:val="005514CA"/>
    <w:rsid w:val="005516B7"/>
    <w:rsid w:val="00552380"/>
    <w:rsid w:val="00556328"/>
    <w:rsid w:val="00556D13"/>
    <w:rsid w:val="00563399"/>
    <w:rsid w:val="0056591F"/>
    <w:rsid w:val="00566E5E"/>
    <w:rsid w:val="00571282"/>
    <w:rsid w:val="00571E9F"/>
    <w:rsid w:val="00573C3B"/>
    <w:rsid w:val="00574E1B"/>
    <w:rsid w:val="00583974"/>
    <w:rsid w:val="005860AC"/>
    <w:rsid w:val="0058722C"/>
    <w:rsid w:val="0058799A"/>
    <w:rsid w:val="00587F62"/>
    <w:rsid w:val="00590149"/>
    <w:rsid w:val="00592358"/>
    <w:rsid w:val="00592FD2"/>
    <w:rsid w:val="0059373B"/>
    <w:rsid w:val="00593B80"/>
    <w:rsid w:val="00596A1C"/>
    <w:rsid w:val="00596FDB"/>
    <w:rsid w:val="005A06D3"/>
    <w:rsid w:val="005A0AF8"/>
    <w:rsid w:val="005A0E6F"/>
    <w:rsid w:val="005A1E77"/>
    <w:rsid w:val="005A2B2E"/>
    <w:rsid w:val="005A3E49"/>
    <w:rsid w:val="005A4031"/>
    <w:rsid w:val="005A4714"/>
    <w:rsid w:val="005A47EC"/>
    <w:rsid w:val="005A73A1"/>
    <w:rsid w:val="005B551F"/>
    <w:rsid w:val="005B5D93"/>
    <w:rsid w:val="005B66C8"/>
    <w:rsid w:val="005C0A9A"/>
    <w:rsid w:val="005C11DE"/>
    <w:rsid w:val="005C28BC"/>
    <w:rsid w:val="005C4EA4"/>
    <w:rsid w:val="005D0287"/>
    <w:rsid w:val="005D092B"/>
    <w:rsid w:val="005D0AD6"/>
    <w:rsid w:val="005D10E5"/>
    <w:rsid w:val="005D39F3"/>
    <w:rsid w:val="005D46EE"/>
    <w:rsid w:val="005D7E62"/>
    <w:rsid w:val="005E0596"/>
    <w:rsid w:val="005E0731"/>
    <w:rsid w:val="005E13DF"/>
    <w:rsid w:val="005E1D9A"/>
    <w:rsid w:val="005E2073"/>
    <w:rsid w:val="005E2983"/>
    <w:rsid w:val="005E3EE4"/>
    <w:rsid w:val="005E6479"/>
    <w:rsid w:val="005F03CC"/>
    <w:rsid w:val="005F10D3"/>
    <w:rsid w:val="005F2063"/>
    <w:rsid w:val="005F2279"/>
    <w:rsid w:val="005F2A5B"/>
    <w:rsid w:val="005F31BE"/>
    <w:rsid w:val="005F36AB"/>
    <w:rsid w:val="005F442A"/>
    <w:rsid w:val="005F700B"/>
    <w:rsid w:val="006007C7"/>
    <w:rsid w:val="00600B5F"/>
    <w:rsid w:val="00600FFC"/>
    <w:rsid w:val="0060133B"/>
    <w:rsid w:val="006015A3"/>
    <w:rsid w:val="00601C31"/>
    <w:rsid w:val="00602BC6"/>
    <w:rsid w:val="00602EB0"/>
    <w:rsid w:val="00603311"/>
    <w:rsid w:val="00603888"/>
    <w:rsid w:val="00603C6D"/>
    <w:rsid w:val="006040ED"/>
    <w:rsid w:val="00604415"/>
    <w:rsid w:val="006079B9"/>
    <w:rsid w:val="00613A11"/>
    <w:rsid w:val="00613B72"/>
    <w:rsid w:val="0061706E"/>
    <w:rsid w:val="00621A23"/>
    <w:rsid w:val="006227B4"/>
    <w:rsid w:val="00622914"/>
    <w:rsid w:val="0062291A"/>
    <w:rsid w:val="00622AA8"/>
    <w:rsid w:val="00622D91"/>
    <w:rsid w:val="006237CF"/>
    <w:rsid w:val="00623B31"/>
    <w:rsid w:val="00623C7E"/>
    <w:rsid w:val="0062575D"/>
    <w:rsid w:val="00626CC1"/>
    <w:rsid w:val="0063164E"/>
    <w:rsid w:val="00632851"/>
    <w:rsid w:val="0063286C"/>
    <w:rsid w:val="006335A2"/>
    <w:rsid w:val="00635FF5"/>
    <w:rsid w:val="00636375"/>
    <w:rsid w:val="00637FF0"/>
    <w:rsid w:val="0064166F"/>
    <w:rsid w:val="00643373"/>
    <w:rsid w:val="0064342E"/>
    <w:rsid w:val="00643C4C"/>
    <w:rsid w:val="00644764"/>
    <w:rsid w:val="0064549C"/>
    <w:rsid w:val="0064601A"/>
    <w:rsid w:val="00647676"/>
    <w:rsid w:val="00647DB4"/>
    <w:rsid w:val="006502E3"/>
    <w:rsid w:val="006511AA"/>
    <w:rsid w:val="006522C9"/>
    <w:rsid w:val="00653325"/>
    <w:rsid w:val="00653E7B"/>
    <w:rsid w:val="00655823"/>
    <w:rsid w:val="00660F48"/>
    <w:rsid w:val="00665640"/>
    <w:rsid w:val="0066619C"/>
    <w:rsid w:val="006702D1"/>
    <w:rsid w:val="006704F7"/>
    <w:rsid w:val="006707E3"/>
    <w:rsid w:val="00670A74"/>
    <w:rsid w:val="006713C0"/>
    <w:rsid w:val="006717CE"/>
    <w:rsid w:val="00673231"/>
    <w:rsid w:val="00673A3D"/>
    <w:rsid w:val="00674304"/>
    <w:rsid w:val="00674779"/>
    <w:rsid w:val="00674A7F"/>
    <w:rsid w:val="00676D51"/>
    <w:rsid w:val="00676EAB"/>
    <w:rsid w:val="0067747F"/>
    <w:rsid w:val="006775E2"/>
    <w:rsid w:val="00680C1A"/>
    <w:rsid w:val="006811DC"/>
    <w:rsid w:val="006836A7"/>
    <w:rsid w:val="00683A24"/>
    <w:rsid w:val="006868AD"/>
    <w:rsid w:val="0069091E"/>
    <w:rsid w:val="006918A3"/>
    <w:rsid w:val="00691D96"/>
    <w:rsid w:val="00692936"/>
    <w:rsid w:val="00692CE3"/>
    <w:rsid w:val="00692D34"/>
    <w:rsid w:val="0069300A"/>
    <w:rsid w:val="00693B96"/>
    <w:rsid w:val="00693FF6"/>
    <w:rsid w:val="00695F24"/>
    <w:rsid w:val="00696507"/>
    <w:rsid w:val="0069688D"/>
    <w:rsid w:val="006975FE"/>
    <w:rsid w:val="0069776E"/>
    <w:rsid w:val="006A0BF0"/>
    <w:rsid w:val="006A2CBF"/>
    <w:rsid w:val="006A507F"/>
    <w:rsid w:val="006A53AA"/>
    <w:rsid w:val="006A7193"/>
    <w:rsid w:val="006B08B4"/>
    <w:rsid w:val="006B12C5"/>
    <w:rsid w:val="006B1F6D"/>
    <w:rsid w:val="006B2978"/>
    <w:rsid w:val="006B30D5"/>
    <w:rsid w:val="006B3DC5"/>
    <w:rsid w:val="006B4323"/>
    <w:rsid w:val="006B6367"/>
    <w:rsid w:val="006B7849"/>
    <w:rsid w:val="006B7A8F"/>
    <w:rsid w:val="006C034B"/>
    <w:rsid w:val="006C2AB7"/>
    <w:rsid w:val="006C372B"/>
    <w:rsid w:val="006C38D6"/>
    <w:rsid w:val="006C4184"/>
    <w:rsid w:val="006C5AEF"/>
    <w:rsid w:val="006C6C6F"/>
    <w:rsid w:val="006C74FB"/>
    <w:rsid w:val="006D1998"/>
    <w:rsid w:val="006D416F"/>
    <w:rsid w:val="006D453A"/>
    <w:rsid w:val="006D5FB9"/>
    <w:rsid w:val="006D62BB"/>
    <w:rsid w:val="006E0358"/>
    <w:rsid w:val="006E0C79"/>
    <w:rsid w:val="006E0D45"/>
    <w:rsid w:val="006E2396"/>
    <w:rsid w:val="006E3384"/>
    <w:rsid w:val="006E3B24"/>
    <w:rsid w:val="006E4051"/>
    <w:rsid w:val="006E480B"/>
    <w:rsid w:val="006E5E68"/>
    <w:rsid w:val="006E668E"/>
    <w:rsid w:val="006E68A1"/>
    <w:rsid w:val="006F0161"/>
    <w:rsid w:val="006F0B18"/>
    <w:rsid w:val="006F1A82"/>
    <w:rsid w:val="006F2049"/>
    <w:rsid w:val="006F278A"/>
    <w:rsid w:val="006F2975"/>
    <w:rsid w:val="006F33D4"/>
    <w:rsid w:val="006F3608"/>
    <w:rsid w:val="006F39D1"/>
    <w:rsid w:val="006F3ECA"/>
    <w:rsid w:val="006F496C"/>
    <w:rsid w:val="006F49FC"/>
    <w:rsid w:val="006F64B0"/>
    <w:rsid w:val="006F7FE6"/>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3BCD"/>
    <w:rsid w:val="00724574"/>
    <w:rsid w:val="00725236"/>
    <w:rsid w:val="0072768C"/>
    <w:rsid w:val="00731730"/>
    <w:rsid w:val="00732049"/>
    <w:rsid w:val="007323C8"/>
    <w:rsid w:val="00732BA5"/>
    <w:rsid w:val="007343EE"/>
    <w:rsid w:val="0073536D"/>
    <w:rsid w:val="007357A6"/>
    <w:rsid w:val="0074147A"/>
    <w:rsid w:val="00742130"/>
    <w:rsid w:val="0074346F"/>
    <w:rsid w:val="007440DB"/>
    <w:rsid w:val="00745577"/>
    <w:rsid w:val="00745E22"/>
    <w:rsid w:val="0074648A"/>
    <w:rsid w:val="00746ABF"/>
    <w:rsid w:val="00747A9B"/>
    <w:rsid w:val="007501A9"/>
    <w:rsid w:val="0075074A"/>
    <w:rsid w:val="007522D9"/>
    <w:rsid w:val="00752330"/>
    <w:rsid w:val="00753469"/>
    <w:rsid w:val="0075405B"/>
    <w:rsid w:val="007543EE"/>
    <w:rsid w:val="00755623"/>
    <w:rsid w:val="00755D28"/>
    <w:rsid w:val="0075617D"/>
    <w:rsid w:val="0075696F"/>
    <w:rsid w:val="00760A4B"/>
    <w:rsid w:val="0076118C"/>
    <w:rsid w:val="00761767"/>
    <w:rsid w:val="007633AA"/>
    <w:rsid w:val="007641C8"/>
    <w:rsid w:val="007652AE"/>
    <w:rsid w:val="00767D6E"/>
    <w:rsid w:val="00770580"/>
    <w:rsid w:val="00770D1C"/>
    <w:rsid w:val="00771BFD"/>
    <w:rsid w:val="007750EF"/>
    <w:rsid w:val="00775D69"/>
    <w:rsid w:val="00776484"/>
    <w:rsid w:val="00777955"/>
    <w:rsid w:val="00777AA4"/>
    <w:rsid w:val="007806C4"/>
    <w:rsid w:val="00781E83"/>
    <w:rsid w:val="00781ECE"/>
    <w:rsid w:val="00782D75"/>
    <w:rsid w:val="00783619"/>
    <w:rsid w:val="00783C9A"/>
    <w:rsid w:val="00783CDF"/>
    <w:rsid w:val="00784067"/>
    <w:rsid w:val="00785375"/>
    <w:rsid w:val="00786067"/>
    <w:rsid w:val="007906E2"/>
    <w:rsid w:val="00790FFD"/>
    <w:rsid w:val="0079170E"/>
    <w:rsid w:val="00793C34"/>
    <w:rsid w:val="007956C2"/>
    <w:rsid w:val="007966CB"/>
    <w:rsid w:val="007975D4"/>
    <w:rsid w:val="00797B31"/>
    <w:rsid w:val="007A1E73"/>
    <w:rsid w:val="007A311A"/>
    <w:rsid w:val="007A35F3"/>
    <w:rsid w:val="007A36DD"/>
    <w:rsid w:val="007A6307"/>
    <w:rsid w:val="007A69DC"/>
    <w:rsid w:val="007B14EF"/>
    <w:rsid w:val="007B19BC"/>
    <w:rsid w:val="007B1EEE"/>
    <w:rsid w:val="007B4C7C"/>
    <w:rsid w:val="007B51E3"/>
    <w:rsid w:val="007B56E7"/>
    <w:rsid w:val="007B579E"/>
    <w:rsid w:val="007B6D85"/>
    <w:rsid w:val="007B7BF7"/>
    <w:rsid w:val="007C0C59"/>
    <w:rsid w:val="007C12AB"/>
    <w:rsid w:val="007C19A4"/>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395D"/>
    <w:rsid w:val="007E5E9A"/>
    <w:rsid w:val="007E6A0D"/>
    <w:rsid w:val="007F017D"/>
    <w:rsid w:val="007F160B"/>
    <w:rsid w:val="007F1E8F"/>
    <w:rsid w:val="007F4136"/>
    <w:rsid w:val="007F4C34"/>
    <w:rsid w:val="007F4F91"/>
    <w:rsid w:val="007F50E5"/>
    <w:rsid w:val="007F525C"/>
    <w:rsid w:val="007F681A"/>
    <w:rsid w:val="00801F91"/>
    <w:rsid w:val="00804CB9"/>
    <w:rsid w:val="00805A82"/>
    <w:rsid w:val="00807D3E"/>
    <w:rsid w:val="0081186E"/>
    <w:rsid w:val="00814196"/>
    <w:rsid w:val="00814DA3"/>
    <w:rsid w:val="00815549"/>
    <w:rsid w:val="008161FE"/>
    <w:rsid w:val="00816C3F"/>
    <w:rsid w:val="00817438"/>
    <w:rsid w:val="00820901"/>
    <w:rsid w:val="00820ECA"/>
    <w:rsid w:val="00820F9B"/>
    <w:rsid w:val="00821B78"/>
    <w:rsid w:val="00822C11"/>
    <w:rsid w:val="00823897"/>
    <w:rsid w:val="00823931"/>
    <w:rsid w:val="00825A58"/>
    <w:rsid w:val="00825F84"/>
    <w:rsid w:val="0082670B"/>
    <w:rsid w:val="00826C7D"/>
    <w:rsid w:val="00826E1D"/>
    <w:rsid w:val="00827412"/>
    <w:rsid w:val="008275B7"/>
    <w:rsid w:val="00830339"/>
    <w:rsid w:val="008322F7"/>
    <w:rsid w:val="008332DD"/>
    <w:rsid w:val="0083392D"/>
    <w:rsid w:val="00833B68"/>
    <w:rsid w:val="00833EB5"/>
    <w:rsid w:val="00835E44"/>
    <w:rsid w:val="008372B3"/>
    <w:rsid w:val="00837A59"/>
    <w:rsid w:val="008400B9"/>
    <w:rsid w:val="00842957"/>
    <w:rsid w:val="0084320B"/>
    <w:rsid w:val="008432FC"/>
    <w:rsid w:val="00843330"/>
    <w:rsid w:val="00843D2F"/>
    <w:rsid w:val="00844517"/>
    <w:rsid w:val="008446FE"/>
    <w:rsid w:val="00844C0C"/>
    <w:rsid w:val="00850769"/>
    <w:rsid w:val="0085533A"/>
    <w:rsid w:val="00856509"/>
    <w:rsid w:val="008572D1"/>
    <w:rsid w:val="00857347"/>
    <w:rsid w:val="00860D72"/>
    <w:rsid w:val="00860E25"/>
    <w:rsid w:val="00860E50"/>
    <w:rsid w:val="00862B92"/>
    <w:rsid w:val="00864323"/>
    <w:rsid w:val="008646F5"/>
    <w:rsid w:val="008651A8"/>
    <w:rsid w:val="008672D1"/>
    <w:rsid w:val="00870A39"/>
    <w:rsid w:val="00871E79"/>
    <w:rsid w:val="00872D6D"/>
    <w:rsid w:val="00875856"/>
    <w:rsid w:val="00876021"/>
    <w:rsid w:val="0088522E"/>
    <w:rsid w:val="00885634"/>
    <w:rsid w:val="00885D0C"/>
    <w:rsid w:val="00885D19"/>
    <w:rsid w:val="008868EE"/>
    <w:rsid w:val="0089029A"/>
    <w:rsid w:val="00890713"/>
    <w:rsid w:val="00892423"/>
    <w:rsid w:val="00893282"/>
    <w:rsid w:val="008937F7"/>
    <w:rsid w:val="00893AD2"/>
    <w:rsid w:val="00893BD5"/>
    <w:rsid w:val="00893EE3"/>
    <w:rsid w:val="00895278"/>
    <w:rsid w:val="00895DD8"/>
    <w:rsid w:val="00896E1A"/>
    <w:rsid w:val="00897398"/>
    <w:rsid w:val="0089761C"/>
    <w:rsid w:val="008977F0"/>
    <w:rsid w:val="008A0F64"/>
    <w:rsid w:val="008A25ED"/>
    <w:rsid w:val="008A34AA"/>
    <w:rsid w:val="008A38AB"/>
    <w:rsid w:val="008A4B60"/>
    <w:rsid w:val="008A74B0"/>
    <w:rsid w:val="008B0C8D"/>
    <w:rsid w:val="008B1D17"/>
    <w:rsid w:val="008B20AA"/>
    <w:rsid w:val="008B372B"/>
    <w:rsid w:val="008B39CE"/>
    <w:rsid w:val="008B4B4C"/>
    <w:rsid w:val="008B6824"/>
    <w:rsid w:val="008B7181"/>
    <w:rsid w:val="008B7A03"/>
    <w:rsid w:val="008C0DBE"/>
    <w:rsid w:val="008C17F4"/>
    <w:rsid w:val="008C1D9F"/>
    <w:rsid w:val="008C2C95"/>
    <w:rsid w:val="008C2D0B"/>
    <w:rsid w:val="008C2D77"/>
    <w:rsid w:val="008C508A"/>
    <w:rsid w:val="008C6252"/>
    <w:rsid w:val="008C654F"/>
    <w:rsid w:val="008C6E09"/>
    <w:rsid w:val="008C6E50"/>
    <w:rsid w:val="008D1AF7"/>
    <w:rsid w:val="008D2012"/>
    <w:rsid w:val="008D245F"/>
    <w:rsid w:val="008D28DD"/>
    <w:rsid w:val="008D3976"/>
    <w:rsid w:val="008E2216"/>
    <w:rsid w:val="008E252E"/>
    <w:rsid w:val="008E26AF"/>
    <w:rsid w:val="008E31DD"/>
    <w:rsid w:val="008E339A"/>
    <w:rsid w:val="008E36B6"/>
    <w:rsid w:val="008E4779"/>
    <w:rsid w:val="008E4B91"/>
    <w:rsid w:val="008E4DDE"/>
    <w:rsid w:val="008E63CB"/>
    <w:rsid w:val="008E7B64"/>
    <w:rsid w:val="008E7C39"/>
    <w:rsid w:val="008F208D"/>
    <w:rsid w:val="008F4166"/>
    <w:rsid w:val="008F485A"/>
    <w:rsid w:val="008F6889"/>
    <w:rsid w:val="008F79EF"/>
    <w:rsid w:val="008F7A68"/>
    <w:rsid w:val="00900BD4"/>
    <w:rsid w:val="009010CB"/>
    <w:rsid w:val="00901189"/>
    <w:rsid w:val="009014BB"/>
    <w:rsid w:val="00901532"/>
    <w:rsid w:val="00902C59"/>
    <w:rsid w:val="00903097"/>
    <w:rsid w:val="00903C0B"/>
    <w:rsid w:val="00905111"/>
    <w:rsid w:val="00906149"/>
    <w:rsid w:val="00906F88"/>
    <w:rsid w:val="00910940"/>
    <w:rsid w:val="00911F9E"/>
    <w:rsid w:val="009125B5"/>
    <w:rsid w:val="0091446C"/>
    <w:rsid w:val="00914DE2"/>
    <w:rsid w:val="009158BC"/>
    <w:rsid w:val="009165ED"/>
    <w:rsid w:val="00916619"/>
    <w:rsid w:val="00917893"/>
    <w:rsid w:val="009224F5"/>
    <w:rsid w:val="00922C21"/>
    <w:rsid w:val="00923AE7"/>
    <w:rsid w:val="00923BA4"/>
    <w:rsid w:val="00924234"/>
    <w:rsid w:val="00924D1B"/>
    <w:rsid w:val="0092546B"/>
    <w:rsid w:val="00932513"/>
    <w:rsid w:val="00932EF7"/>
    <w:rsid w:val="00934BE6"/>
    <w:rsid w:val="00934EC4"/>
    <w:rsid w:val="00935355"/>
    <w:rsid w:val="0093560C"/>
    <w:rsid w:val="00936426"/>
    <w:rsid w:val="00936733"/>
    <w:rsid w:val="00937243"/>
    <w:rsid w:val="009373BE"/>
    <w:rsid w:val="00941649"/>
    <w:rsid w:val="00941B1A"/>
    <w:rsid w:val="00942B11"/>
    <w:rsid w:val="009434F6"/>
    <w:rsid w:val="009438A8"/>
    <w:rsid w:val="00944BB8"/>
    <w:rsid w:val="009455CC"/>
    <w:rsid w:val="00946534"/>
    <w:rsid w:val="009477FB"/>
    <w:rsid w:val="00947D91"/>
    <w:rsid w:val="00947DB1"/>
    <w:rsid w:val="00950DE0"/>
    <w:rsid w:val="009516B6"/>
    <w:rsid w:val="00952B02"/>
    <w:rsid w:val="00953B15"/>
    <w:rsid w:val="00953CFA"/>
    <w:rsid w:val="00953ED7"/>
    <w:rsid w:val="009543EE"/>
    <w:rsid w:val="00954751"/>
    <w:rsid w:val="009547EE"/>
    <w:rsid w:val="0095494D"/>
    <w:rsid w:val="00954E8C"/>
    <w:rsid w:val="0095559C"/>
    <w:rsid w:val="00961459"/>
    <w:rsid w:val="00961502"/>
    <w:rsid w:val="00961FAE"/>
    <w:rsid w:val="009621BF"/>
    <w:rsid w:val="00963350"/>
    <w:rsid w:val="00963AB5"/>
    <w:rsid w:val="00964774"/>
    <w:rsid w:val="00964F65"/>
    <w:rsid w:val="00965891"/>
    <w:rsid w:val="00965C0E"/>
    <w:rsid w:val="00966E7C"/>
    <w:rsid w:val="00970392"/>
    <w:rsid w:val="009703EA"/>
    <w:rsid w:val="00970E4E"/>
    <w:rsid w:val="00971D26"/>
    <w:rsid w:val="009725C8"/>
    <w:rsid w:val="00973503"/>
    <w:rsid w:val="00973B85"/>
    <w:rsid w:val="0097445D"/>
    <w:rsid w:val="00974C42"/>
    <w:rsid w:val="0097517E"/>
    <w:rsid w:val="00976CAD"/>
    <w:rsid w:val="00977548"/>
    <w:rsid w:val="0097770C"/>
    <w:rsid w:val="009805A1"/>
    <w:rsid w:val="00982C96"/>
    <w:rsid w:val="00982D1E"/>
    <w:rsid w:val="00983748"/>
    <w:rsid w:val="00984330"/>
    <w:rsid w:val="0098481A"/>
    <w:rsid w:val="00984BB2"/>
    <w:rsid w:val="00985758"/>
    <w:rsid w:val="00985C16"/>
    <w:rsid w:val="00985C5E"/>
    <w:rsid w:val="00987648"/>
    <w:rsid w:val="00990153"/>
    <w:rsid w:val="00990455"/>
    <w:rsid w:val="00990947"/>
    <w:rsid w:val="00991315"/>
    <w:rsid w:val="00991D31"/>
    <w:rsid w:val="00993A78"/>
    <w:rsid w:val="00993CD6"/>
    <w:rsid w:val="009946C1"/>
    <w:rsid w:val="00995F40"/>
    <w:rsid w:val="00995FA5"/>
    <w:rsid w:val="00996D4F"/>
    <w:rsid w:val="00997A4D"/>
    <w:rsid w:val="009A0E6E"/>
    <w:rsid w:val="009A1DF2"/>
    <w:rsid w:val="009A1EF3"/>
    <w:rsid w:val="009A2915"/>
    <w:rsid w:val="009A6149"/>
    <w:rsid w:val="009A67E1"/>
    <w:rsid w:val="009A6E22"/>
    <w:rsid w:val="009B0086"/>
    <w:rsid w:val="009B1351"/>
    <w:rsid w:val="009B23C3"/>
    <w:rsid w:val="009B2429"/>
    <w:rsid w:val="009B2569"/>
    <w:rsid w:val="009B3130"/>
    <w:rsid w:val="009B33E7"/>
    <w:rsid w:val="009B3C78"/>
    <w:rsid w:val="009B3FDD"/>
    <w:rsid w:val="009B43D6"/>
    <w:rsid w:val="009B51E4"/>
    <w:rsid w:val="009B5AF5"/>
    <w:rsid w:val="009B6436"/>
    <w:rsid w:val="009B6C3A"/>
    <w:rsid w:val="009B7257"/>
    <w:rsid w:val="009B726B"/>
    <w:rsid w:val="009C1700"/>
    <w:rsid w:val="009C1E63"/>
    <w:rsid w:val="009C1FC3"/>
    <w:rsid w:val="009C2076"/>
    <w:rsid w:val="009C24AD"/>
    <w:rsid w:val="009C3D1C"/>
    <w:rsid w:val="009C421C"/>
    <w:rsid w:val="009C5A53"/>
    <w:rsid w:val="009C5B58"/>
    <w:rsid w:val="009C6638"/>
    <w:rsid w:val="009D1323"/>
    <w:rsid w:val="009D1D95"/>
    <w:rsid w:val="009D24A5"/>
    <w:rsid w:val="009D2B42"/>
    <w:rsid w:val="009D30C5"/>
    <w:rsid w:val="009D3A43"/>
    <w:rsid w:val="009D3B55"/>
    <w:rsid w:val="009D3CD9"/>
    <w:rsid w:val="009D42E8"/>
    <w:rsid w:val="009D54DD"/>
    <w:rsid w:val="009D5C29"/>
    <w:rsid w:val="009D7D1D"/>
    <w:rsid w:val="009E001E"/>
    <w:rsid w:val="009E04AB"/>
    <w:rsid w:val="009E10EA"/>
    <w:rsid w:val="009E20E6"/>
    <w:rsid w:val="009E2A57"/>
    <w:rsid w:val="009E3C31"/>
    <w:rsid w:val="009E4B4A"/>
    <w:rsid w:val="009E5BB8"/>
    <w:rsid w:val="009F0111"/>
    <w:rsid w:val="009F10CC"/>
    <w:rsid w:val="009F1D45"/>
    <w:rsid w:val="009F3AF4"/>
    <w:rsid w:val="009F3C28"/>
    <w:rsid w:val="009F44C0"/>
    <w:rsid w:val="009F4848"/>
    <w:rsid w:val="009F48FB"/>
    <w:rsid w:val="009F6003"/>
    <w:rsid w:val="009F67E4"/>
    <w:rsid w:val="009F7166"/>
    <w:rsid w:val="00A005E9"/>
    <w:rsid w:val="00A007F2"/>
    <w:rsid w:val="00A0089E"/>
    <w:rsid w:val="00A0243A"/>
    <w:rsid w:val="00A05AB1"/>
    <w:rsid w:val="00A05DEF"/>
    <w:rsid w:val="00A06C55"/>
    <w:rsid w:val="00A0768E"/>
    <w:rsid w:val="00A11474"/>
    <w:rsid w:val="00A127F7"/>
    <w:rsid w:val="00A13371"/>
    <w:rsid w:val="00A1421E"/>
    <w:rsid w:val="00A15634"/>
    <w:rsid w:val="00A158E0"/>
    <w:rsid w:val="00A15C76"/>
    <w:rsid w:val="00A15E32"/>
    <w:rsid w:val="00A17B41"/>
    <w:rsid w:val="00A208D0"/>
    <w:rsid w:val="00A21872"/>
    <w:rsid w:val="00A221C7"/>
    <w:rsid w:val="00A22568"/>
    <w:rsid w:val="00A23750"/>
    <w:rsid w:val="00A23BDD"/>
    <w:rsid w:val="00A24179"/>
    <w:rsid w:val="00A2418D"/>
    <w:rsid w:val="00A24957"/>
    <w:rsid w:val="00A251DD"/>
    <w:rsid w:val="00A25F93"/>
    <w:rsid w:val="00A26C29"/>
    <w:rsid w:val="00A302B8"/>
    <w:rsid w:val="00A30CBA"/>
    <w:rsid w:val="00A31CEE"/>
    <w:rsid w:val="00A3472C"/>
    <w:rsid w:val="00A35FDD"/>
    <w:rsid w:val="00A36846"/>
    <w:rsid w:val="00A40AFD"/>
    <w:rsid w:val="00A4176C"/>
    <w:rsid w:val="00A42300"/>
    <w:rsid w:val="00A42E31"/>
    <w:rsid w:val="00A43507"/>
    <w:rsid w:val="00A440D7"/>
    <w:rsid w:val="00A44366"/>
    <w:rsid w:val="00A4540A"/>
    <w:rsid w:val="00A47817"/>
    <w:rsid w:val="00A47D52"/>
    <w:rsid w:val="00A47F65"/>
    <w:rsid w:val="00A500C1"/>
    <w:rsid w:val="00A50B48"/>
    <w:rsid w:val="00A50F18"/>
    <w:rsid w:val="00A51CCD"/>
    <w:rsid w:val="00A52949"/>
    <w:rsid w:val="00A52995"/>
    <w:rsid w:val="00A5424F"/>
    <w:rsid w:val="00A54607"/>
    <w:rsid w:val="00A54A86"/>
    <w:rsid w:val="00A551E2"/>
    <w:rsid w:val="00A56A82"/>
    <w:rsid w:val="00A56BE6"/>
    <w:rsid w:val="00A56C6E"/>
    <w:rsid w:val="00A60D5C"/>
    <w:rsid w:val="00A61240"/>
    <w:rsid w:val="00A61A84"/>
    <w:rsid w:val="00A631A6"/>
    <w:rsid w:val="00A646B7"/>
    <w:rsid w:val="00A646C6"/>
    <w:rsid w:val="00A648F9"/>
    <w:rsid w:val="00A65332"/>
    <w:rsid w:val="00A656AC"/>
    <w:rsid w:val="00A66174"/>
    <w:rsid w:val="00A662DE"/>
    <w:rsid w:val="00A67A86"/>
    <w:rsid w:val="00A67D34"/>
    <w:rsid w:val="00A71B18"/>
    <w:rsid w:val="00A722FD"/>
    <w:rsid w:val="00A7254E"/>
    <w:rsid w:val="00A72660"/>
    <w:rsid w:val="00A72F32"/>
    <w:rsid w:val="00A737F4"/>
    <w:rsid w:val="00A73A04"/>
    <w:rsid w:val="00A73F6B"/>
    <w:rsid w:val="00A759A9"/>
    <w:rsid w:val="00A75A46"/>
    <w:rsid w:val="00A76C85"/>
    <w:rsid w:val="00A81D43"/>
    <w:rsid w:val="00A82A89"/>
    <w:rsid w:val="00A84CEC"/>
    <w:rsid w:val="00A84F85"/>
    <w:rsid w:val="00A85028"/>
    <w:rsid w:val="00A8559D"/>
    <w:rsid w:val="00A86049"/>
    <w:rsid w:val="00A868E2"/>
    <w:rsid w:val="00A86A49"/>
    <w:rsid w:val="00A8700C"/>
    <w:rsid w:val="00A9082F"/>
    <w:rsid w:val="00A92ABA"/>
    <w:rsid w:val="00A94370"/>
    <w:rsid w:val="00A946B4"/>
    <w:rsid w:val="00A94A4A"/>
    <w:rsid w:val="00A94E7C"/>
    <w:rsid w:val="00A95141"/>
    <w:rsid w:val="00A9533A"/>
    <w:rsid w:val="00A95966"/>
    <w:rsid w:val="00A9596F"/>
    <w:rsid w:val="00A95AFE"/>
    <w:rsid w:val="00AA07CE"/>
    <w:rsid w:val="00AA1D15"/>
    <w:rsid w:val="00AA2CBB"/>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C042A"/>
    <w:rsid w:val="00AC1F06"/>
    <w:rsid w:val="00AC35DA"/>
    <w:rsid w:val="00AC3E17"/>
    <w:rsid w:val="00AC5A27"/>
    <w:rsid w:val="00AC5B9F"/>
    <w:rsid w:val="00AC6111"/>
    <w:rsid w:val="00AC6123"/>
    <w:rsid w:val="00AC6BE7"/>
    <w:rsid w:val="00AC7AD3"/>
    <w:rsid w:val="00AD16EF"/>
    <w:rsid w:val="00AD17F9"/>
    <w:rsid w:val="00AD1A46"/>
    <w:rsid w:val="00AD261F"/>
    <w:rsid w:val="00AD31C3"/>
    <w:rsid w:val="00AD323C"/>
    <w:rsid w:val="00AD3270"/>
    <w:rsid w:val="00AD396C"/>
    <w:rsid w:val="00AD3B9A"/>
    <w:rsid w:val="00AD488E"/>
    <w:rsid w:val="00AD5232"/>
    <w:rsid w:val="00AD6CCB"/>
    <w:rsid w:val="00AE0655"/>
    <w:rsid w:val="00AE07AD"/>
    <w:rsid w:val="00AE1B12"/>
    <w:rsid w:val="00AE3819"/>
    <w:rsid w:val="00AE4BF0"/>
    <w:rsid w:val="00AE6E29"/>
    <w:rsid w:val="00AE761A"/>
    <w:rsid w:val="00AE7828"/>
    <w:rsid w:val="00AF0A2F"/>
    <w:rsid w:val="00AF2D7A"/>
    <w:rsid w:val="00AF34E9"/>
    <w:rsid w:val="00AF418F"/>
    <w:rsid w:val="00AF501D"/>
    <w:rsid w:val="00AF5731"/>
    <w:rsid w:val="00AF60F6"/>
    <w:rsid w:val="00AF6C05"/>
    <w:rsid w:val="00B00710"/>
    <w:rsid w:val="00B00FA6"/>
    <w:rsid w:val="00B01D63"/>
    <w:rsid w:val="00B0213C"/>
    <w:rsid w:val="00B03004"/>
    <w:rsid w:val="00B035ED"/>
    <w:rsid w:val="00B062D4"/>
    <w:rsid w:val="00B075E0"/>
    <w:rsid w:val="00B112C4"/>
    <w:rsid w:val="00B11CD9"/>
    <w:rsid w:val="00B127FB"/>
    <w:rsid w:val="00B129AD"/>
    <w:rsid w:val="00B14A7B"/>
    <w:rsid w:val="00B14F53"/>
    <w:rsid w:val="00B15E16"/>
    <w:rsid w:val="00B169C6"/>
    <w:rsid w:val="00B16F1E"/>
    <w:rsid w:val="00B1799D"/>
    <w:rsid w:val="00B17F4D"/>
    <w:rsid w:val="00B20A56"/>
    <w:rsid w:val="00B20E32"/>
    <w:rsid w:val="00B22E31"/>
    <w:rsid w:val="00B252B7"/>
    <w:rsid w:val="00B25C94"/>
    <w:rsid w:val="00B260EF"/>
    <w:rsid w:val="00B26538"/>
    <w:rsid w:val="00B27614"/>
    <w:rsid w:val="00B30D06"/>
    <w:rsid w:val="00B32405"/>
    <w:rsid w:val="00B33409"/>
    <w:rsid w:val="00B35D10"/>
    <w:rsid w:val="00B3606E"/>
    <w:rsid w:val="00B377EE"/>
    <w:rsid w:val="00B37C34"/>
    <w:rsid w:val="00B405FC"/>
    <w:rsid w:val="00B40BC0"/>
    <w:rsid w:val="00B41700"/>
    <w:rsid w:val="00B503A1"/>
    <w:rsid w:val="00B51D81"/>
    <w:rsid w:val="00B54539"/>
    <w:rsid w:val="00B546A7"/>
    <w:rsid w:val="00B62F2D"/>
    <w:rsid w:val="00B63DCD"/>
    <w:rsid w:val="00B64754"/>
    <w:rsid w:val="00B64BB1"/>
    <w:rsid w:val="00B64C7C"/>
    <w:rsid w:val="00B64FED"/>
    <w:rsid w:val="00B658E1"/>
    <w:rsid w:val="00B65CB1"/>
    <w:rsid w:val="00B65E49"/>
    <w:rsid w:val="00B66829"/>
    <w:rsid w:val="00B66C47"/>
    <w:rsid w:val="00B678AE"/>
    <w:rsid w:val="00B7095B"/>
    <w:rsid w:val="00B734A4"/>
    <w:rsid w:val="00B7373D"/>
    <w:rsid w:val="00B73B5E"/>
    <w:rsid w:val="00B7481B"/>
    <w:rsid w:val="00B7575B"/>
    <w:rsid w:val="00B75E88"/>
    <w:rsid w:val="00B76583"/>
    <w:rsid w:val="00B76B6D"/>
    <w:rsid w:val="00B81723"/>
    <w:rsid w:val="00B818D8"/>
    <w:rsid w:val="00B82283"/>
    <w:rsid w:val="00B8309A"/>
    <w:rsid w:val="00B83A12"/>
    <w:rsid w:val="00B8531E"/>
    <w:rsid w:val="00B85CE5"/>
    <w:rsid w:val="00B86123"/>
    <w:rsid w:val="00B877AE"/>
    <w:rsid w:val="00B90BA8"/>
    <w:rsid w:val="00B91688"/>
    <w:rsid w:val="00B9260B"/>
    <w:rsid w:val="00B92E98"/>
    <w:rsid w:val="00B95352"/>
    <w:rsid w:val="00B95B43"/>
    <w:rsid w:val="00B95B92"/>
    <w:rsid w:val="00B95EB9"/>
    <w:rsid w:val="00B96EF2"/>
    <w:rsid w:val="00B97008"/>
    <w:rsid w:val="00BA025C"/>
    <w:rsid w:val="00BA05C3"/>
    <w:rsid w:val="00BA1AB3"/>
    <w:rsid w:val="00BA2D15"/>
    <w:rsid w:val="00BA3190"/>
    <w:rsid w:val="00BA5751"/>
    <w:rsid w:val="00BA5A88"/>
    <w:rsid w:val="00BA5D76"/>
    <w:rsid w:val="00BA6A10"/>
    <w:rsid w:val="00BA6C25"/>
    <w:rsid w:val="00BA6EE8"/>
    <w:rsid w:val="00BA7119"/>
    <w:rsid w:val="00BA7AE8"/>
    <w:rsid w:val="00BB0F72"/>
    <w:rsid w:val="00BB1611"/>
    <w:rsid w:val="00BB1893"/>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6EA"/>
    <w:rsid w:val="00BD571A"/>
    <w:rsid w:val="00BD5CBD"/>
    <w:rsid w:val="00BD63F8"/>
    <w:rsid w:val="00BD6CAF"/>
    <w:rsid w:val="00BD7E31"/>
    <w:rsid w:val="00BE153E"/>
    <w:rsid w:val="00BE15F2"/>
    <w:rsid w:val="00BE261A"/>
    <w:rsid w:val="00BE284B"/>
    <w:rsid w:val="00BE505A"/>
    <w:rsid w:val="00BF1AF8"/>
    <w:rsid w:val="00BF1B17"/>
    <w:rsid w:val="00BF236B"/>
    <w:rsid w:val="00BF25F9"/>
    <w:rsid w:val="00BF2EC3"/>
    <w:rsid w:val="00BF34E0"/>
    <w:rsid w:val="00BF3950"/>
    <w:rsid w:val="00BF446B"/>
    <w:rsid w:val="00BF4FCC"/>
    <w:rsid w:val="00BF79CD"/>
    <w:rsid w:val="00C00466"/>
    <w:rsid w:val="00C01643"/>
    <w:rsid w:val="00C0345E"/>
    <w:rsid w:val="00C038A5"/>
    <w:rsid w:val="00C0432F"/>
    <w:rsid w:val="00C04333"/>
    <w:rsid w:val="00C04505"/>
    <w:rsid w:val="00C059B6"/>
    <w:rsid w:val="00C05A89"/>
    <w:rsid w:val="00C13D8D"/>
    <w:rsid w:val="00C144C8"/>
    <w:rsid w:val="00C15A9A"/>
    <w:rsid w:val="00C15AAA"/>
    <w:rsid w:val="00C168DB"/>
    <w:rsid w:val="00C16CFB"/>
    <w:rsid w:val="00C22309"/>
    <w:rsid w:val="00C2241D"/>
    <w:rsid w:val="00C229E0"/>
    <w:rsid w:val="00C23BB2"/>
    <w:rsid w:val="00C2696C"/>
    <w:rsid w:val="00C27D3C"/>
    <w:rsid w:val="00C33A1C"/>
    <w:rsid w:val="00C34369"/>
    <w:rsid w:val="00C37220"/>
    <w:rsid w:val="00C378F1"/>
    <w:rsid w:val="00C37AB3"/>
    <w:rsid w:val="00C41CA4"/>
    <w:rsid w:val="00C43A7F"/>
    <w:rsid w:val="00C43F2E"/>
    <w:rsid w:val="00C45538"/>
    <w:rsid w:val="00C45AC0"/>
    <w:rsid w:val="00C45FC0"/>
    <w:rsid w:val="00C462AC"/>
    <w:rsid w:val="00C466DC"/>
    <w:rsid w:val="00C51B5D"/>
    <w:rsid w:val="00C51DE5"/>
    <w:rsid w:val="00C523A6"/>
    <w:rsid w:val="00C53119"/>
    <w:rsid w:val="00C53DC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213"/>
    <w:rsid w:val="00C7749D"/>
    <w:rsid w:val="00C776A8"/>
    <w:rsid w:val="00C777D3"/>
    <w:rsid w:val="00C81973"/>
    <w:rsid w:val="00C82CE3"/>
    <w:rsid w:val="00C855E6"/>
    <w:rsid w:val="00C8652F"/>
    <w:rsid w:val="00C86DB6"/>
    <w:rsid w:val="00C86E29"/>
    <w:rsid w:val="00C879D5"/>
    <w:rsid w:val="00C87E34"/>
    <w:rsid w:val="00C9025C"/>
    <w:rsid w:val="00C91E59"/>
    <w:rsid w:val="00C92E01"/>
    <w:rsid w:val="00C94AB2"/>
    <w:rsid w:val="00C94C99"/>
    <w:rsid w:val="00C9606B"/>
    <w:rsid w:val="00C9793C"/>
    <w:rsid w:val="00C97E2D"/>
    <w:rsid w:val="00CA1407"/>
    <w:rsid w:val="00CA18D6"/>
    <w:rsid w:val="00CA325A"/>
    <w:rsid w:val="00CA5759"/>
    <w:rsid w:val="00CA5BB7"/>
    <w:rsid w:val="00CA67D4"/>
    <w:rsid w:val="00CA6A16"/>
    <w:rsid w:val="00CA6DDE"/>
    <w:rsid w:val="00CA77DF"/>
    <w:rsid w:val="00CA7888"/>
    <w:rsid w:val="00CB0283"/>
    <w:rsid w:val="00CB0B83"/>
    <w:rsid w:val="00CB1C91"/>
    <w:rsid w:val="00CB221A"/>
    <w:rsid w:val="00CB34AC"/>
    <w:rsid w:val="00CB3A7D"/>
    <w:rsid w:val="00CB3B5A"/>
    <w:rsid w:val="00CB4CD5"/>
    <w:rsid w:val="00CB6117"/>
    <w:rsid w:val="00CB630B"/>
    <w:rsid w:val="00CB6878"/>
    <w:rsid w:val="00CC07BE"/>
    <w:rsid w:val="00CC0AA9"/>
    <w:rsid w:val="00CC26C6"/>
    <w:rsid w:val="00CC28F3"/>
    <w:rsid w:val="00CC2D1A"/>
    <w:rsid w:val="00CC41EB"/>
    <w:rsid w:val="00CC5778"/>
    <w:rsid w:val="00CC6F25"/>
    <w:rsid w:val="00CC706E"/>
    <w:rsid w:val="00CD11E2"/>
    <w:rsid w:val="00CD2AE6"/>
    <w:rsid w:val="00CD3014"/>
    <w:rsid w:val="00CD3056"/>
    <w:rsid w:val="00CD4B69"/>
    <w:rsid w:val="00CD5C49"/>
    <w:rsid w:val="00CD7FBD"/>
    <w:rsid w:val="00CE0AB0"/>
    <w:rsid w:val="00CE14FE"/>
    <w:rsid w:val="00CE2137"/>
    <w:rsid w:val="00CE2235"/>
    <w:rsid w:val="00CE24B5"/>
    <w:rsid w:val="00CE36AA"/>
    <w:rsid w:val="00CE382D"/>
    <w:rsid w:val="00CE3AF5"/>
    <w:rsid w:val="00CE4C78"/>
    <w:rsid w:val="00CE4EFC"/>
    <w:rsid w:val="00CE6DF4"/>
    <w:rsid w:val="00CF058B"/>
    <w:rsid w:val="00CF0733"/>
    <w:rsid w:val="00CF14A9"/>
    <w:rsid w:val="00CF282B"/>
    <w:rsid w:val="00CF5055"/>
    <w:rsid w:val="00CF715C"/>
    <w:rsid w:val="00CF7322"/>
    <w:rsid w:val="00D0010E"/>
    <w:rsid w:val="00D00687"/>
    <w:rsid w:val="00D00F45"/>
    <w:rsid w:val="00D00FC4"/>
    <w:rsid w:val="00D01014"/>
    <w:rsid w:val="00D01AC5"/>
    <w:rsid w:val="00D02DFE"/>
    <w:rsid w:val="00D03C8E"/>
    <w:rsid w:val="00D04A8E"/>
    <w:rsid w:val="00D063F6"/>
    <w:rsid w:val="00D06B79"/>
    <w:rsid w:val="00D06D5A"/>
    <w:rsid w:val="00D0799D"/>
    <w:rsid w:val="00D1089B"/>
    <w:rsid w:val="00D10B1E"/>
    <w:rsid w:val="00D126AA"/>
    <w:rsid w:val="00D13D16"/>
    <w:rsid w:val="00D155BA"/>
    <w:rsid w:val="00D15819"/>
    <w:rsid w:val="00D15B3C"/>
    <w:rsid w:val="00D16600"/>
    <w:rsid w:val="00D177CB"/>
    <w:rsid w:val="00D179DA"/>
    <w:rsid w:val="00D2068C"/>
    <w:rsid w:val="00D26305"/>
    <w:rsid w:val="00D26E74"/>
    <w:rsid w:val="00D30519"/>
    <w:rsid w:val="00D312D4"/>
    <w:rsid w:val="00D329A9"/>
    <w:rsid w:val="00D32E5E"/>
    <w:rsid w:val="00D33A36"/>
    <w:rsid w:val="00D34DC0"/>
    <w:rsid w:val="00D371BF"/>
    <w:rsid w:val="00D402FC"/>
    <w:rsid w:val="00D406B0"/>
    <w:rsid w:val="00D4227C"/>
    <w:rsid w:val="00D42BF0"/>
    <w:rsid w:val="00D42C68"/>
    <w:rsid w:val="00D434D2"/>
    <w:rsid w:val="00D43D96"/>
    <w:rsid w:val="00D43E2F"/>
    <w:rsid w:val="00D4568D"/>
    <w:rsid w:val="00D45A12"/>
    <w:rsid w:val="00D470A3"/>
    <w:rsid w:val="00D50A3D"/>
    <w:rsid w:val="00D50D1D"/>
    <w:rsid w:val="00D513DF"/>
    <w:rsid w:val="00D5217F"/>
    <w:rsid w:val="00D5298B"/>
    <w:rsid w:val="00D535DB"/>
    <w:rsid w:val="00D5377E"/>
    <w:rsid w:val="00D544E8"/>
    <w:rsid w:val="00D55853"/>
    <w:rsid w:val="00D559B4"/>
    <w:rsid w:val="00D56E97"/>
    <w:rsid w:val="00D570F9"/>
    <w:rsid w:val="00D5795D"/>
    <w:rsid w:val="00D61686"/>
    <w:rsid w:val="00D63119"/>
    <w:rsid w:val="00D63675"/>
    <w:rsid w:val="00D641EA"/>
    <w:rsid w:val="00D64C93"/>
    <w:rsid w:val="00D65B9A"/>
    <w:rsid w:val="00D66D14"/>
    <w:rsid w:val="00D66E64"/>
    <w:rsid w:val="00D6701C"/>
    <w:rsid w:val="00D672A2"/>
    <w:rsid w:val="00D67447"/>
    <w:rsid w:val="00D674E0"/>
    <w:rsid w:val="00D67D51"/>
    <w:rsid w:val="00D70B42"/>
    <w:rsid w:val="00D70E72"/>
    <w:rsid w:val="00D7243C"/>
    <w:rsid w:val="00D73C1B"/>
    <w:rsid w:val="00D766AB"/>
    <w:rsid w:val="00D7792C"/>
    <w:rsid w:val="00D80341"/>
    <w:rsid w:val="00D8088A"/>
    <w:rsid w:val="00D830C4"/>
    <w:rsid w:val="00D837A8"/>
    <w:rsid w:val="00D84C4A"/>
    <w:rsid w:val="00D872D9"/>
    <w:rsid w:val="00D9000A"/>
    <w:rsid w:val="00D91A6A"/>
    <w:rsid w:val="00D93383"/>
    <w:rsid w:val="00D9393A"/>
    <w:rsid w:val="00D94860"/>
    <w:rsid w:val="00D968CA"/>
    <w:rsid w:val="00D96D85"/>
    <w:rsid w:val="00D9715E"/>
    <w:rsid w:val="00D979B7"/>
    <w:rsid w:val="00D97A66"/>
    <w:rsid w:val="00DA0A13"/>
    <w:rsid w:val="00DA1DAD"/>
    <w:rsid w:val="00DA282E"/>
    <w:rsid w:val="00DA32F2"/>
    <w:rsid w:val="00DA4490"/>
    <w:rsid w:val="00DA46BF"/>
    <w:rsid w:val="00DA4775"/>
    <w:rsid w:val="00DA726A"/>
    <w:rsid w:val="00DA764E"/>
    <w:rsid w:val="00DB00CB"/>
    <w:rsid w:val="00DB0471"/>
    <w:rsid w:val="00DB0807"/>
    <w:rsid w:val="00DB1E70"/>
    <w:rsid w:val="00DB3357"/>
    <w:rsid w:val="00DB4284"/>
    <w:rsid w:val="00DB5A41"/>
    <w:rsid w:val="00DB625F"/>
    <w:rsid w:val="00DB7229"/>
    <w:rsid w:val="00DC014C"/>
    <w:rsid w:val="00DC0405"/>
    <w:rsid w:val="00DC091F"/>
    <w:rsid w:val="00DC1492"/>
    <w:rsid w:val="00DC1D93"/>
    <w:rsid w:val="00DC2094"/>
    <w:rsid w:val="00DC2E79"/>
    <w:rsid w:val="00DC3ED6"/>
    <w:rsid w:val="00DC549D"/>
    <w:rsid w:val="00DC56E7"/>
    <w:rsid w:val="00DC6D98"/>
    <w:rsid w:val="00DC6F95"/>
    <w:rsid w:val="00DC717C"/>
    <w:rsid w:val="00DC77CA"/>
    <w:rsid w:val="00DC7D8A"/>
    <w:rsid w:val="00DD0735"/>
    <w:rsid w:val="00DD2B14"/>
    <w:rsid w:val="00DD2EEC"/>
    <w:rsid w:val="00DD473D"/>
    <w:rsid w:val="00DD531F"/>
    <w:rsid w:val="00DD653A"/>
    <w:rsid w:val="00DD6811"/>
    <w:rsid w:val="00DD7BD2"/>
    <w:rsid w:val="00DD7BEF"/>
    <w:rsid w:val="00DE107D"/>
    <w:rsid w:val="00DE1A3D"/>
    <w:rsid w:val="00DE24A1"/>
    <w:rsid w:val="00DE3816"/>
    <w:rsid w:val="00DE4389"/>
    <w:rsid w:val="00DE4FB6"/>
    <w:rsid w:val="00DE63C1"/>
    <w:rsid w:val="00DF296A"/>
    <w:rsid w:val="00DF2ADB"/>
    <w:rsid w:val="00DF327C"/>
    <w:rsid w:val="00DF3B71"/>
    <w:rsid w:val="00DF47BE"/>
    <w:rsid w:val="00DF47D7"/>
    <w:rsid w:val="00DF4B59"/>
    <w:rsid w:val="00DF5714"/>
    <w:rsid w:val="00DF5EB2"/>
    <w:rsid w:val="00DF681E"/>
    <w:rsid w:val="00DF6836"/>
    <w:rsid w:val="00E00A15"/>
    <w:rsid w:val="00E00A2B"/>
    <w:rsid w:val="00E00D87"/>
    <w:rsid w:val="00E011B8"/>
    <w:rsid w:val="00E013F1"/>
    <w:rsid w:val="00E024F2"/>
    <w:rsid w:val="00E027F3"/>
    <w:rsid w:val="00E0294F"/>
    <w:rsid w:val="00E032DD"/>
    <w:rsid w:val="00E03533"/>
    <w:rsid w:val="00E0362D"/>
    <w:rsid w:val="00E036AA"/>
    <w:rsid w:val="00E03A33"/>
    <w:rsid w:val="00E05674"/>
    <w:rsid w:val="00E075E7"/>
    <w:rsid w:val="00E07CB8"/>
    <w:rsid w:val="00E07F02"/>
    <w:rsid w:val="00E10712"/>
    <w:rsid w:val="00E13763"/>
    <w:rsid w:val="00E1671A"/>
    <w:rsid w:val="00E17EC8"/>
    <w:rsid w:val="00E21102"/>
    <w:rsid w:val="00E211D9"/>
    <w:rsid w:val="00E214B8"/>
    <w:rsid w:val="00E232AB"/>
    <w:rsid w:val="00E236D4"/>
    <w:rsid w:val="00E23E58"/>
    <w:rsid w:val="00E24026"/>
    <w:rsid w:val="00E24C8A"/>
    <w:rsid w:val="00E264F9"/>
    <w:rsid w:val="00E26F04"/>
    <w:rsid w:val="00E27548"/>
    <w:rsid w:val="00E27C39"/>
    <w:rsid w:val="00E33043"/>
    <w:rsid w:val="00E36B04"/>
    <w:rsid w:val="00E37886"/>
    <w:rsid w:val="00E37BD2"/>
    <w:rsid w:val="00E40F74"/>
    <w:rsid w:val="00E413E1"/>
    <w:rsid w:val="00E47905"/>
    <w:rsid w:val="00E4792B"/>
    <w:rsid w:val="00E51C41"/>
    <w:rsid w:val="00E52E9E"/>
    <w:rsid w:val="00E5304A"/>
    <w:rsid w:val="00E53644"/>
    <w:rsid w:val="00E53AA7"/>
    <w:rsid w:val="00E544A1"/>
    <w:rsid w:val="00E5462B"/>
    <w:rsid w:val="00E55275"/>
    <w:rsid w:val="00E567CB"/>
    <w:rsid w:val="00E57110"/>
    <w:rsid w:val="00E577D3"/>
    <w:rsid w:val="00E57928"/>
    <w:rsid w:val="00E60FC8"/>
    <w:rsid w:val="00E63BBC"/>
    <w:rsid w:val="00E6437E"/>
    <w:rsid w:val="00E65102"/>
    <w:rsid w:val="00E651A3"/>
    <w:rsid w:val="00E651DE"/>
    <w:rsid w:val="00E666C1"/>
    <w:rsid w:val="00E66C6F"/>
    <w:rsid w:val="00E67F0B"/>
    <w:rsid w:val="00E702BA"/>
    <w:rsid w:val="00E70A5E"/>
    <w:rsid w:val="00E72307"/>
    <w:rsid w:val="00E72EB0"/>
    <w:rsid w:val="00E73D9F"/>
    <w:rsid w:val="00E74B0A"/>
    <w:rsid w:val="00E75BCB"/>
    <w:rsid w:val="00E75CCF"/>
    <w:rsid w:val="00E76174"/>
    <w:rsid w:val="00E7627C"/>
    <w:rsid w:val="00E762C2"/>
    <w:rsid w:val="00E764C2"/>
    <w:rsid w:val="00E80144"/>
    <w:rsid w:val="00E80584"/>
    <w:rsid w:val="00E810FC"/>
    <w:rsid w:val="00E817A2"/>
    <w:rsid w:val="00E821D8"/>
    <w:rsid w:val="00E82487"/>
    <w:rsid w:val="00E82B03"/>
    <w:rsid w:val="00E83CC8"/>
    <w:rsid w:val="00E84728"/>
    <w:rsid w:val="00E84CB8"/>
    <w:rsid w:val="00E84EE0"/>
    <w:rsid w:val="00E8549C"/>
    <w:rsid w:val="00E8610D"/>
    <w:rsid w:val="00E8692E"/>
    <w:rsid w:val="00E90C78"/>
    <w:rsid w:val="00E9147A"/>
    <w:rsid w:val="00E91C99"/>
    <w:rsid w:val="00E91E27"/>
    <w:rsid w:val="00E92020"/>
    <w:rsid w:val="00E9281F"/>
    <w:rsid w:val="00E93E16"/>
    <w:rsid w:val="00E9440E"/>
    <w:rsid w:val="00E94945"/>
    <w:rsid w:val="00E94A60"/>
    <w:rsid w:val="00E95868"/>
    <w:rsid w:val="00E96583"/>
    <w:rsid w:val="00E97382"/>
    <w:rsid w:val="00E974A7"/>
    <w:rsid w:val="00E97567"/>
    <w:rsid w:val="00EA22D5"/>
    <w:rsid w:val="00EA33CB"/>
    <w:rsid w:val="00EA5D05"/>
    <w:rsid w:val="00EA5EA9"/>
    <w:rsid w:val="00EA6751"/>
    <w:rsid w:val="00EB083A"/>
    <w:rsid w:val="00EB084D"/>
    <w:rsid w:val="00EB408D"/>
    <w:rsid w:val="00EB4482"/>
    <w:rsid w:val="00EB49A5"/>
    <w:rsid w:val="00EB5496"/>
    <w:rsid w:val="00EB5C55"/>
    <w:rsid w:val="00EB5D16"/>
    <w:rsid w:val="00EB5E9B"/>
    <w:rsid w:val="00EB5F9A"/>
    <w:rsid w:val="00EB6181"/>
    <w:rsid w:val="00EB7160"/>
    <w:rsid w:val="00EB7CE3"/>
    <w:rsid w:val="00EC248D"/>
    <w:rsid w:val="00EC299A"/>
    <w:rsid w:val="00EC309A"/>
    <w:rsid w:val="00EC4125"/>
    <w:rsid w:val="00EC4648"/>
    <w:rsid w:val="00EC4B3B"/>
    <w:rsid w:val="00EC64F8"/>
    <w:rsid w:val="00EC7A05"/>
    <w:rsid w:val="00ED17DF"/>
    <w:rsid w:val="00ED2B78"/>
    <w:rsid w:val="00ED5E0D"/>
    <w:rsid w:val="00ED61D8"/>
    <w:rsid w:val="00ED645C"/>
    <w:rsid w:val="00ED64F0"/>
    <w:rsid w:val="00ED678E"/>
    <w:rsid w:val="00ED6916"/>
    <w:rsid w:val="00ED72CE"/>
    <w:rsid w:val="00ED7A5F"/>
    <w:rsid w:val="00ED7E34"/>
    <w:rsid w:val="00EE0228"/>
    <w:rsid w:val="00EE1CD9"/>
    <w:rsid w:val="00EE22FB"/>
    <w:rsid w:val="00EE435F"/>
    <w:rsid w:val="00EE5683"/>
    <w:rsid w:val="00EE60B7"/>
    <w:rsid w:val="00EE66E0"/>
    <w:rsid w:val="00EE777A"/>
    <w:rsid w:val="00EE7B54"/>
    <w:rsid w:val="00EF1239"/>
    <w:rsid w:val="00EF12B8"/>
    <w:rsid w:val="00EF1FB2"/>
    <w:rsid w:val="00EF3558"/>
    <w:rsid w:val="00EF5035"/>
    <w:rsid w:val="00EF6369"/>
    <w:rsid w:val="00F00700"/>
    <w:rsid w:val="00F0204D"/>
    <w:rsid w:val="00F02694"/>
    <w:rsid w:val="00F03E8D"/>
    <w:rsid w:val="00F049A0"/>
    <w:rsid w:val="00F0528A"/>
    <w:rsid w:val="00F062AF"/>
    <w:rsid w:val="00F06960"/>
    <w:rsid w:val="00F06D09"/>
    <w:rsid w:val="00F0713D"/>
    <w:rsid w:val="00F077E2"/>
    <w:rsid w:val="00F101F2"/>
    <w:rsid w:val="00F104FE"/>
    <w:rsid w:val="00F10B30"/>
    <w:rsid w:val="00F11144"/>
    <w:rsid w:val="00F11EEB"/>
    <w:rsid w:val="00F12CB3"/>
    <w:rsid w:val="00F12FF6"/>
    <w:rsid w:val="00F134C4"/>
    <w:rsid w:val="00F14C9B"/>
    <w:rsid w:val="00F2299B"/>
    <w:rsid w:val="00F25C9C"/>
    <w:rsid w:val="00F30031"/>
    <w:rsid w:val="00F312EE"/>
    <w:rsid w:val="00F31615"/>
    <w:rsid w:val="00F34312"/>
    <w:rsid w:val="00F34491"/>
    <w:rsid w:val="00F3464A"/>
    <w:rsid w:val="00F34D05"/>
    <w:rsid w:val="00F37B3A"/>
    <w:rsid w:val="00F43211"/>
    <w:rsid w:val="00F4336F"/>
    <w:rsid w:val="00F437F0"/>
    <w:rsid w:val="00F44D42"/>
    <w:rsid w:val="00F472CC"/>
    <w:rsid w:val="00F47F10"/>
    <w:rsid w:val="00F5015C"/>
    <w:rsid w:val="00F5252A"/>
    <w:rsid w:val="00F544A9"/>
    <w:rsid w:val="00F545F3"/>
    <w:rsid w:val="00F54728"/>
    <w:rsid w:val="00F55025"/>
    <w:rsid w:val="00F55229"/>
    <w:rsid w:val="00F556B7"/>
    <w:rsid w:val="00F5651F"/>
    <w:rsid w:val="00F56F34"/>
    <w:rsid w:val="00F57028"/>
    <w:rsid w:val="00F5769D"/>
    <w:rsid w:val="00F61806"/>
    <w:rsid w:val="00F632BB"/>
    <w:rsid w:val="00F63D0B"/>
    <w:rsid w:val="00F6503B"/>
    <w:rsid w:val="00F65107"/>
    <w:rsid w:val="00F651A0"/>
    <w:rsid w:val="00F6557A"/>
    <w:rsid w:val="00F6592D"/>
    <w:rsid w:val="00F665D4"/>
    <w:rsid w:val="00F7071E"/>
    <w:rsid w:val="00F72547"/>
    <w:rsid w:val="00F742C9"/>
    <w:rsid w:val="00F75BFF"/>
    <w:rsid w:val="00F815EE"/>
    <w:rsid w:val="00F8193B"/>
    <w:rsid w:val="00F83188"/>
    <w:rsid w:val="00F837BB"/>
    <w:rsid w:val="00F83E3C"/>
    <w:rsid w:val="00F853BF"/>
    <w:rsid w:val="00F8597D"/>
    <w:rsid w:val="00F85C3F"/>
    <w:rsid w:val="00F86020"/>
    <w:rsid w:val="00F871A3"/>
    <w:rsid w:val="00F873BC"/>
    <w:rsid w:val="00F92104"/>
    <w:rsid w:val="00F93DEC"/>
    <w:rsid w:val="00F940F4"/>
    <w:rsid w:val="00F95B9B"/>
    <w:rsid w:val="00F97DA6"/>
    <w:rsid w:val="00FA01C6"/>
    <w:rsid w:val="00FA0786"/>
    <w:rsid w:val="00FA1735"/>
    <w:rsid w:val="00FA449A"/>
    <w:rsid w:val="00FA6BA4"/>
    <w:rsid w:val="00FA7063"/>
    <w:rsid w:val="00FA7135"/>
    <w:rsid w:val="00FA79B3"/>
    <w:rsid w:val="00FB39F4"/>
    <w:rsid w:val="00FB4B87"/>
    <w:rsid w:val="00FB544A"/>
    <w:rsid w:val="00FB73E0"/>
    <w:rsid w:val="00FB7C4F"/>
    <w:rsid w:val="00FB7DAD"/>
    <w:rsid w:val="00FC0700"/>
    <w:rsid w:val="00FC0B9A"/>
    <w:rsid w:val="00FC0BB1"/>
    <w:rsid w:val="00FC2784"/>
    <w:rsid w:val="00FC27DF"/>
    <w:rsid w:val="00FC2F6E"/>
    <w:rsid w:val="00FC2FA5"/>
    <w:rsid w:val="00FC36DC"/>
    <w:rsid w:val="00FC3C8B"/>
    <w:rsid w:val="00FC4DB4"/>
    <w:rsid w:val="00FC611D"/>
    <w:rsid w:val="00FC7134"/>
    <w:rsid w:val="00FC7EAB"/>
    <w:rsid w:val="00FD02FB"/>
    <w:rsid w:val="00FD213A"/>
    <w:rsid w:val="00FD28DE"/>
    <w:rsid w:val="00FD30C8"/>
    <w:rsid w:val="00FD37B4"/>
    <w:rsid w:val="00FD3AB3"/>
    <w:rsid w:val="00FD3BC9"/>
    <w:rsid w:val="00FD47F7"/>
    <w:rsid w:val="00FD5861"/>
    <w:rsid w:val="00FD5A33"/>
    <w:rsid w:val="00FD5F80"/>
    <w:rsid w:val="00FD6745"/>
    <w:rsid w:val="00FD6CC6"/>
    <w:rsid w:val="00FD75FF"/>
    <w:rsid w:val="00FE0BEA"/>
    <w:rsid w:val="00FE0DA3"/>
    <w:rsid w:val="00FE1C93"/>
    <w:rsid w:val="00FE1D1E"/>
    <w:rsid w:val="00FE2B4A"/>
    <w:rsid w:val="00FF03AD"/>
    <w:rsid w:val="00FF2D7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ine.durmaz\Desktop\melike.kokk&#305;z&#305;l@eas.bahcsehir.edu.tr" TargetMode="Externa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B20F7-3C35-4468-A053-FDB77625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oş</vt:lpstr>
      <vt:lpstr>oş</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4</cp:revision>
  <cp:lastPrinted>2015-09-18T08:24:00Z</cp:lastPrinted>
  <dcterms:created xsi:type="dcterms:W3CDTF">2015-10-27T12:09:00Z</dcterms:created>
  <dcterms:modified xsi:type="dcterms:W3CDTF">2015-10-27T12:14:00Z</dcterms:modified>
</cp:coreProperties>
</file>