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033618" w:rsidRDefault="00AA2375">
      <w:pPr>
        <w:rPr>
          <w:rFonts w:ascii="Arial" w:hAnsi="Arial" w:cs="Arial"/>
          <w:sz w:val="20"/>
          <w:szCs w:val="20"/>
          <w:lang w:val="en-US"/>
        </w:rPr>
      </w:pPr>
      <w:bookmarkStart w:id="0" w:name="_GoBack"/>
      <w:bookmarkEnd w:id="0"/>
      <w:r>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-565785</wp:posOffset>
                </wp:positionV>
                <wp:extent cx="3963670" cy="671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1B1" w:rsidRPr="00AE5DFA" w:rsidRDefault="002D01B1" w:rsidP="00BB7D9E">
                            <w:pPr>
                              <w:pStyle w:val="Heading1"/>
                              <w:rPr>
                                <w:rFonts w:ascii="Times New Roman" w:hAnsi="Times New Roman" w:cs="Times New Roman"/>
                                <w:sz w:val="40"/>
                                <w:szCs w:val="40"/>
                                <w:lang w:val="en-US"/>
                              </w:rPr>
                            </w:pPr>
                            <w:r w:rsidRPr="00AE5DFA">
                              <w:rPr>
                                <w:rFonts w:ascii="Times New Roman" w:hAnsi="Times New Roman" w:cs="Times New Roman"/>
                                <w:sz w:val="40"/>
                                <w:szCs w:val="40"/>
                                <w:lang w:val="en-US"/>
                              </w:rPr>
                              <w:t xml:space="preserve">Labor Market Outlook: </w:t>
                            </w:r>
                          </w:p>
                          <w:p w:rsidR="002D01B1" w:rsidRPr="00AE5DFA" w:rsidRDefault="002D01B1" w:rsidP="00BB7D9E">
                            <w:pPr>
                              <w:pStyle w:val="Heading1"/>
                              <w:rPr>
                                <w:rFonts w:ascii="Times New Roman" w:hAnsi="Times New Roman" w:cs="Times New Roman"/>
                                <w:sz w:val="40"/>
                                <w:szCs w:val="40"/>
                                <w:lang w:val="en-US"/>
                              </w:rPr>
                            </w:pPr>
                            <w:r w:rsidRPr="00AE5DFA">
                              <w:rPr>
                                <w:rFonts w:ascii="Times New Roman" w:hAnsi="Times New Roman" w:cs="Times New Roman"/>
                                <w:sz w:val="40"/>
                                <w:szCs w:val="40"/>
                                <w:lang w:val="en-US"/>
                              </w:rPr>
                              <w:t>Ju</w:t>
                            </w:r>
                            <w:r>
                              <w:rPr>
                                <w:rFonts w:ascii="Times New Roman" w:hAnsi="Times New Roman" w:cs="Times New Roman"/>
                                <w:sz w:val="40"/>
                                <w:szCs w:val="40"/>
                                <w:lang w:val="en-US"/>
                              </w:rPr>
                              <w:t>ly</w:t>
                            </w:r>
                            <w:r w:rsidRPr="00AE5DFA">
                              <w:rPr>
                                <w:rFonts w:ascii="Times New Roman" w:hAnsi="Times New Roman" w:cs="Times New Roman"/>
                                <w:sz w:val="40"/>
                                <w:szCs w:val="40"/>
                                <w:lang w:val="en-US"/>
                              </w:rPr>
                              <w:t xml:space="preserve"> 2015</w:t>
                            </w:r>
                          </w:p>
                          <w:p w:rsidR="002D01B1" w:rsidRPr="00526178" w:rsidRDefault="002D01B1">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4.5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" stroked="f">
                <v:fill opacity="0"/>
                <v:textbox inset="0,0,0,0">
                  <w:txbxContent>
                    <w:p w:rsidR="002D01B1" w:rsidRPr="00AE5DFA" w:rsidRDefault="002D01B1" w:rsidP="00BB7D9E">
                      <w:pPr>
                        <w:pStyle w:val="Heading1"/>
                        <w:rPr>
                          <w:rFonts w:ascii="Times New Roman" w:hAnsi="Times New Roman" w:cs="Times New Roman"/>
                          <w:sz w:val="40"/>
                          <w:szCs w:val="40"/>
                          <w:lang w:val="en-US"/>
                        </w:rPr>
                      </w:pPr>
                      <w:r w:rsidRPr="00AE5DFA">
                        <w:rPr>
                          <w:rFonts w:ascii="Times New Roman" w:hAnsi="Times New Roman" w:cs="Times New Roman"/>
                          <w:sz w:val="40"/>
                          <w:szCs w:val="40"/>
                          <w:lang w:val="en-US"/>
                        </w:rPr>
                        <w:t xml:space="preserve">Labor Market Outlook: </w:t>
                      </w:r>
                    </w:p>
                    <w:p w:rsidR="002D01B1" w:rsidRPr="00AE5DFA" w:rsidRDefault="002D01B1" w:rsidP="00BB7D9E">
                      <w:pPr>
                        <w:pStyle w:val="Heading1"/>
                        <w:rPr>
                          <w:rFonts w:ascii="Times New Roman" w:hAnsi="Times New Roman" w:cs="Times New Roman"/>
                          <w:sz w:val="40"/>
                          <w:szCs w:val="40"/>
                          <w:lang w:val="en-US"/>
                        </w:rPr>
                      </w:pPr>
                      <w:r w:rsidRPr="00AE5DFA">
                        <w:rPr>
                          <w:rFonts w:ascii="Times New Roman" w:hAnsi="Times New Roman" w:cs="Times New Roman"/>
                          <w:sz w:val="40"/>
                          <w:szCs w:val="40"/>
                          <w:lang w:val="en-US"/>
                        </w:rPr>
                        <w:t>Ju</w:t>
                      </w:r>
                      <w:r>
                        <w:rPr>
                          <w:rFonts w:ascii="Times New Roman" w:hAnsi="Times New Roman" w:cs="Times New Roman"/>
                          <w:sz w:val="40"/>
                          <w:szCs w:val="40"/>
                          <w:lang w:val="en-US"/>
                        </w:rPr>
                        <w:t>ly</w:t>
                      </w:r>
                      <w:r w:rsidRPr="00AE5DFA">
                        <w:rPr>
                          <w:rFonts w:ascii="Times New Roman" w:hAnsi="Times New Roman" w:cs="Times New Roman"/>
                          <w:sz w:val="40"/>
                          <w:szCs w:val="40"/>
                          <w:lang w:val="en-US"/>
                        </w:rPr>
                        <w:t xml:space="preserve"> 2015</w:t>
                      </w:r>
                    </w:p>
                    <w:p w:rsidR="002D01B1" w:rsidRPr="00526178" w:rsidRDefault="002D01B1">
                      <w:pPr>
                        <w:pStyle w:val="Heading2"/>
                        <w:rPr>
                          <w:b w:val="0"/>
                          <w:bCs w:val="0"/>
                          <w:i w:val="0"/>
                          <w:iCs w:val="0"/>
                        </w:rPr>
                      </w:pPr>
                    </w:p>
                  </w:txbxContent>
                </v:textbox>
              </v:shape>
            </w:pict>
          </mc:Fallback>
        </mc:AlternateContent>
      </w:r>
      <w:r w:rsidR="005D5F32">
        <w:rPr>
          <w:noProof/>
          <w:sz w:val="20"/>
          <w:szCs w:val="20"/>
          <w:lang w:eastAsia="tr-TR"/>
        </w:rPr>
        <w:drawing>
          <wp:anchor distT="0" distB="0" distL="114300" distR="114300" simplePos="0" relativeHeight="251658752" behindDoc="1" locked="0" layoutInCell="1" allowOverlap="1">
            <wp:simplePos x="0" y="0"/>
            <wp:positionH relativeFrom="column">
              <wp:posOffset>-469265</wp:posOffset>
            </wp:positionH>
            <wp:positionV relativeFrom="paragraph">
              <wp:posOffset>-934085</wp:posOffset>
            </wp:positionV>
            <wp:extent cx="7598410" cy="1555750"/>
            <wp:effectExtent l="171450" t="133350" r="364490" b="31115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598410" cy="1555750"/>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033618" w:rsidRDefault="00AA2375">
      <w:pPr>
        <w:rPr>
          <w:rFonts w:ascii="Arial" w:hAnsi="Arial" w:cs="Arial"/>
          <w:sz w:val="20"/>
          <w:szCs w:val="20"/>
          <w:lang w:val="en-US"/>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5676265</wp:posOffset>
                </wp:positionH>
                <wp:positionV relativeFrom="paragraph">
                  <wp:posOffset>63500</wp:posOffset>
                </wp:positionV>
                <wp:extent cx="1311910" cy="454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1B1" w:rsidRPr="00AF5A90" w:rsidRDefault="002D01B1"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15 </w:t>
                            </w:r>
                            <w:r>
                              <w:rPr>
                                <w:color w:val="FFFFFF"/>
                                <w:sz w:val="22"/>
                                <w:szCs w:val="22"/>
                                <w:lang w:val="tr-TR"/>
                              </w:rPr>
                              <w:t xml:space="preserve">July </w:t>
                            </w:r>
                            <w:r w:rsidRPr="00AF5A90">
                              <w:rPr>
                                <w:color w:val="FFFFFF"/>
                                <w:sz w:val="22"/>
                                <w:szCs w:val="22"/>
                                <w:lang w:val="tr-TR"/>
                              </w:rPr>
                              <w:t>2015</w:t>
                            </w:r>
                          </w:p>
                          <w:p w:rsidR="002D01B1" w:rsidRPr="00AF5A90" w:rsidRDefault="002D01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6.95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6u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A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" stroked="f">
                <v:fill opacity="0"/>
                <v:textbox inset="0,0,0,0">
                  <w:txbxContent>
                    <w:p w:rsidR="002D01B1" w:rsidRPr="00AF5A90" w:rsidRDefault="002D01B1"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15 </w:t>
                      </w:r>
                      <w:r>
                        <w:rPr>
                          <w:color w:val="FFFFFF"/>
                          <w:sz w:val="22"/>
                          <w:szCs w:val="22"/>
                          <w:lang w:val="tr-TR"/>
                        </w:rPr>
                        <w:t xml:space="preserve">July </w:t>
                      </w:r>
                      <w:r w:rsidRPr="00AF5A90">
                        <w:rPr>
                          <w:color w:val="FFFFFF"/>
                          <w:sz w:val="22"/>
                          <w:szCs w:val="22"/>
                          <w:lang w:val="tr-TR"/>
                        </w:rPr>
                        <w:t>2015</w:t>
                      </w:r>
                    </w:p>
                    <w:p w:rsidR="002D01B1" w:rsidRPr="00AF5A90" w:rsidRDefault="002D01B1"/>
                  </w:txbxContent>
                </v:textbox>
              </v:shape>
            </w:pict>
          </mc:Fallback>
        </mc:AlternateContent>
      </w:r>
    </w:p>
    <w:p w:rsidR="00667FE8" w:rsidRPr="00033618" w:rsidRDefault="00667FE8">
      <w:pPr>
        <w:rPr>
          <w:rFonts w:ascii="Arial" w:hAnsi="Arial" w:cs="Arial"/>
          <w:sz w:val="20"/>
          <w:szCs w:val="20"/>
          <w:lang w:val="en-US"/>
        </w:rPr>
      </w:pPr>
    </w:p>
    <w:p w:rsidR="00667FE8" w:rsidRPr="00033618" w:rsidRDefault="00667FE8">
      <w:pPr>
        <w:rPr>
          <w:rFonts w:ascii="Arial" w:hAnsi="Arial" w:cs="Arial"/>
          <w:sz w:val="20"/>
          <w:szCs w:val="20"/>
          <w:lang w:val="en-US"/>
        </w:rPr>
      </w:pPr>
    </w:p>
    <w:p w:rsidR="00A168BF" w:rsidRPr="00033618" w:rsidRDefault="00A168BF" w:rsidP="008D57FF">
      <w:pPr>
        <w:spacing w:before="120"/>
        <w:jc w:val="center"/>
        <w:rPr>
          <w:rFonts w:ascii="Arial" w:hAnsi="Arial" w:cs="Arial"/>
          <w:b/>
          <w:bCs/>
          <w:sz w:val="20"/>
          <w:szCs w:val="20"/>
          <w:lang w:val="en-US"/>
        </w:rPr>
      </w:pPr>
    </w:p>
    <w:p w:rsidR="006E49C5" w:rsidRPr="00033618" w:rsidRDefault="00857BB4" w:rsidP="007F4C97">
      <w:pPr>
        <w:spacing w:before="120"/>
        <w:jc w:val="center"/>
        <w:rPr>
          <w:rFonts w:ascii="Arial" w:hAnsi="Arial" w:cs="Arial"/>
          <w:b/>
          <w:bCs/>
          <w:caps/>
          <w:lang w:val="en-US"/>
        </w:rPr>
      </w:pPr>
      <w:r w:rsidRPr="00033618">
        <w:rPr>
          <w:rFonts w:ascii="Arial" w:hAnsi="Arial" w:cs="Arial"/>
          <w:b/>
          <w:bCs/>
          <w:caps/>
          <w:lang w:val="en-US"/>
        </w:rPr>
        <w:t>DECLINE IN UNEMPLOYMENT</w:t>
      </w:r>
      <w:r w:rsidR="001E25C3">
        <w:rPr>
          <w:rFonts w:ascii="Arial" w:hAnsi="Arial" w:cs="Arial"/>
          <w:b/>
          <w:bCs/>
          <w:caps/>
          <w:lang w:val="en-US"/>
        </w:rPr>
        <w:t xml:space="preserve"> contınues</w:t>
      </w:r>
    </w:p>
    <w:p w:rsidR="007F4C97" w:rsidRPr="00033618" w:rsidRDefault="007F4C97" w:rsidP="007F4C97">
      <w:pPr>
        <w:spacing w:before="120"/>
        <w:jc w:val="center"/>
        <w:rPr>
          <w:rFonts w:ascii="Arial" w:hAnsi="Arial" w:cs="Arial"/>
          <w:b/>
          <w:bCs/>
          <w:sz w:val="20"/>
          <w:szCs w:val="20"/>
          <w:lang w:val="en-US"/>
        </w:rPr>
      </w:pPr>
      <w:r w:rsidRPr="00033618">
        <w:rPr>
          <w:rFonts w:ascii="Arial" w:hAnsi="Arial" w:cs="Arial"/>
          <w:b/>
          <w:bCs/>
          <w:sz w:val="20"/>
          <w:szCs w:val="20"/>
          <w:lang w:val="en-US"/>
        </w:rPr>
        <w:t>Seyfettin Gürsel</w:t>
      </w:r>
      <w:r w:rsidRPr="00033618">
        <w:rPr>
          <w:rStyle w:val="FootnoteReference"/>
          <w:rFonts w:ascii="Arial" w:hAnsi="Arial" w:cs="Arial"/>
          <w:b/>
          <w:bCs/>
          <w:sz w:val="20"/>
          <w:szCs w:val="20"/>
          <w:lang w:val="en-US"/>
        </w:rPr>
        <w:footnoteReference w:customMarkFollows="1" w:id="1"/>
        <w:t>*</w:t>
      </w:r>
      <w:r w:rsidRPr="00033618">
        <w:rPr>
          <w:rFonts w:ascii="Arial" w:hAnsi="Arial" w:cs="Arial"/>
          <w:b/>
          <w:bCs/>
          <w:sz w:val="20"/>
          <w:szCs w:val="20"/>
          <w:lang w:val="en-US"/>
        </w:rPr>
        <w:t xml:space="preserve"> </w:t>
      </w:r>
      <w:r w:rsidR="000D5A61" w:rsidRPr="00033618">
        <w:rPr>
          <w:rFonts w:ascii="Arial" w:hAnsi="Arial" w:cs="Arial"/>
          <w:b/>
          <w:bCs/>
          <w:sz w:val="20"/>
          <w:szCs w:val="20"/>
          <w:lang w:val="en-US"/>
        </w:rPr>
        <w:t>Mine Durmaz</w:t>
      </w:r>
      <w:r w:rsidRPr="00033618">
        <w:rPr>
          <w:rStyle w:val="FootnoteReference"/>
          <w:rFonts w:ascii="Arial" w:hAnsi="Arial" w:cs="Arial"/>
          <w:b/>
          <w:bCs/>
          <w:sz w:val="20"/>
          <w:szCs w:val="20"/>
          <w:lang w:val="en-US"/>
        </w:rPr>
        <w:footnoteReference w:customMarkFollows="1" w:id="2"/>
        <w:sym w:font="Symbol" w:char="F02A"/>
      </w:r>
      <w:r w:rsidRPr="00033618">
        <w:rPr>
          <w:rStyle w:val="FootnoteReference"/>
          <w:rFonts w:ascii="Arial" w:hAnsi="Arial" w:cs="Arial"/>
          <w:b/>
          <w:bCs/>
          <w:sz w:val="20"/>
          <w:szCs w:val="20"/>
          <w:lang w:val="en-US"/>
        </w:rPr>
        <w:sym w:font="Symbol" w:char="F02A"/>
      </w:r>
      <w:r w:rsidRPr="00033618">
        <w:rPr>
          <w:rFonts w:ascii="Arial" w:hAnsi="Arial" w:cs="Arial"/>
          <w:b/>
          <w:bCs/>
          <w:sz w:val="20"/>
          <w:szCs w:val="20"/>
          <w:lang w:val="en-US"/>
        </w:rPr>
        <w:t xml:space="preserve"> </w:t>
      </w:r>
      <w:r w:rsidR="00E35355">
        <w:rPr>
          <w:rFonts w:ascii="Arial" w:hAnsi="Arial" w:cs="Arial"/>
          <w:b/>
          <w:bCs/>
          <w:sz w:val="20"/>
          <w:szCs w:val="20"/>
          <w:lang w:val="en-US"/>
        </w:rPr>
        <w:t>and</w:t>
      </w:r>
      <w:r w:rsidRPr="00033618">
        <w:rPr>
          <w:rFonts w:ascii="Arial" w:hAnsi="Arial" w:cs="Arial"/>
          <w:b/>
          <w:bCs/>
          <w:sz w:val="20"/>
          <w:szCs w:val="20"/>
          <w:lang w:val="en-US"/>
        </w:rPr>
        <w:t xml:space="preserve"> </w:t>
      </w:r>
      <w:r w:rsidR="00E8254B" w:rsidRPr="00033618">
        <w:rPr>
          <w:rFonts w:ascii="Arial" w:hAnsi="Arial" w:cs="Arial"/>
          <w:b/>
          <w:bCs/>
          <w:sz w:val="20"/>
          <w:szCs w:val="20"/>
          <w:lang w:val="en-US"/>
        </w:rPr>
        <w:t>M</w:t>
      </w:r>
      <w:r w:rsidR="002A7C09" w:rsidRPr="00033618">
        <w:rPr>
          <w:rFonts w:ascii="Arial" w:hAnsi="Arial" w:cs="Arial"/>
          <w:b/>
          <w:bCs/>
          <w:sz w:val="20"/>
          <w:szCs w:val="20"/>
          <w:lang w:val="en-US"/>
        </w:rPr>
        <w:t>elike Kökkızıl</w:t>
      </w:r>
      <w:r w:rsidRPr="00033618">
        <w:rPr>
          <w:rStyle w:val="FootnoteReference"/>
          <w:rFonts w:ascii="Arial" w:hAnsi="Arial" w:cs="Arial"/>
          <w:b/>
          <w:bCs/>
          <w:sz w:val="20"/>
          <w:szCs w:val="20"/>
          <w:lang w:val="en-US"/>
        </w:rPr>
        <w:footnoteReference w:customMarkFollows="1" w:id="3"/>
        <w:sym w:font="Symbol" w:char="F02A"/>
      </w:r>
      <w:r w:rsidRPr="00033618">
        <w:rPr>
          <w:rStyle w:val="FootnoteReference"/>
          <w:rFonts w:ascii="Arial" w:hAnsi="Arial" w:cs="Arial"/>
          <w:b/>
          <w:bCs/>
          <w:sz w:val="20"/>
          <w:szCs w:val="20"/>
          <w:lang w:val="en-US"/>
        </w:rPr>
        <w:sym w:font="Symbol" w:char="F02A"/>
      </w:r>
      <w:r w:rsidRPr="00033618">
        <w:rPr>
          <w:rStyle w:val="FootnoteReference"/>
          <w:rFonts w:ascii="Arial" w:hAnsi="Arial" w:cs="Arial"/>
          <w:b/>
          <w:bCs/>
          <w:sz w:val="20"/>
          <w:szCs w:val="20"/>
          <w:lang w:val="en-US"/>
        </w:rPr>
        <w:sym w:font="Symbol" w:char="F02A"/>
      </w:r>
    </w:p>
    <w:p w:rsidR="00DC4633" w:rsidRPr="00033618" w:rsidRDefault="00DC4633" w:rsidP="00223B63">
      <w:pPr>
        <w:jc w:val="center"/>
        <w:rPr>
          <w:rFonts w:ascii="Arial" w:hAnsi="Arial" w:cs="Arial"/>
          <w:b/>
          <w:bCs/>
          <w:sz w:val="20"/>
          <w:szCs w:val="20"/>
          <w:lang w:val="en-US"/>
        </w:rPr>
      </w:pPr>
    </w:p>
    <w:p w:rsidR="000354A3" w:rsidRPr="00033618" w:rsidRDefault="000354A3" w:rsidP="000354A3">
      <w:pPr>
        <w:jc w:val="center"/>
        <w:rPr>
          <w:rFonts w:ascii="Arial" w:hAnsi="Arial" w:cs="Arial"/>
          <w:b/>
          <w:bCs/>
          <w:sz w:val="20"/>
          <w:szCs w:val="20"/>
          <w:lang w:val="en-US"/>
        </w:rPr>
      </w:pPr>
      <w:r w:rsidRPr="00033618">
        <w:rPr>
          <w:rFonts w:ascii="Arial" w:hAnsi="Arial" w:cs="Arial"/>
          <w:b/>
          <w:bCs/>
          <w:sz w:val="20"/>
          <w:szCs w:val="20"/>
          <w:lang w:val="en-US"/>
        </w:rPr>
        <w:t>Executive Summary</w:t>
      </w:r>
    </w:p>
    <w:p w:rsidR="00667FE8" w:rsidRPr="00033618" w:rsidRDefault="00667FE8" w:rsidP="00A153B7">
      <w:pPr>
        <w:jc w:val="both"/>
        <w:rPr>
          <w:rFonts w:ascii="Arial" w:hAnsi="Arial" w:cs="Arial"/>
          <w:sz w:val="20"/>
          <w:szCs w:val="20"/>
          <w:lang w:val="en-US"/>
        </w:rPr>
      </w:pPr>
    </w:p>
    <w:p w:rsidR="00880BD0" w:rsidRPr="00033618" w:rsidRDefault="00F97B1A" w:rsidP="00880BD0">
      <w:pPr>
        <w:jc w:val="both"/>
        <w:rPr>
          <w:rFonts w:ascii="Arial" w:hAnsi="Arial" w:cs="Arial"/>
          <w:sz w:val="20"/>
          <w:szCs w:val="20"/>
          <w:lang w:val="en-US"/>
        </w:rPr>
      </w:pPr>
      <w:r w:rsidRPr="00033618">
        <w:rPr>
          <w:rFonts w:ascii="Arial" w:hAnsi="Arial" w:cs="Arial"/>
          <w:sz w:val="20"/>
          <w:szCs w:val="20"/>
          <w:lang w:val="en-US"/>
        </w:rPr>
        <w:t>Seasonally adjusted labor market data shows that</w:t>
      </w:r>
      <w:r w:rsidR="00D30186">
        <w:rPr>
          <w:rFonts w:ascii="Arial" w:hAnsi="Arial" w:cs="Arial"/>
          <w:sz w:val="20"/>
          <w:szCs w:val="20"/>
          <w:lang w:val="en-US"/>
        </w:rPr>
        <w:t>,</w:t>
      </w:r>
      <w:r w:rsidRPr="00033618">
        <w:rPr>
          <w:rFonts w:ascii="Arial" w:hAnsi="Arial" w:cs="Arial"/>
          <w:sz w:val="20"/>
          <w:szCs w:val="20"/>
          <w:lang w:val="en-US"/>
        </w:rPr>
        <w:t xml:space="preserve"> compared to </w:t>
      </w:r>
      <w:r w:rsidR="00D30186">
        <w:rPr>
          <w:rFonts w:ascii="Arial" w:hAnsi="Arial" w:cs="Arial"/>
          <w:sz w:val="20"/>
          <w:szCs w:val="20"/>
          <w:lang w:val="en-US"/>
        </w:rPr>
        <w:t xml:space="preserve">the </w:t>
      </w:r>
      <w:r w:rsidRPr="00033618">
        <w:rPr>
          <w:rFonts w:ascii="Arial" w:hAnsi="Arial" w:cs="Arial"/>
          <w:sz w:val="20"/>
          <w:szCs w:val="20"/>
          <w:lang w:val="en-US"/>
        </w:rPr>
        <w:t>previous period</w:t>
      </w:r>
      <w:r w:rsidR="00D30186">
        <w:rPr>
          <w:rFonts w:ascii="Arial" w:hAnsi="Arial" w:cs="Arial"/>
          <w:sz w:val="20"/>
          <w:szCs w:val="20"/>
          <w:lang w:val="en-US"/>
        </w:rPr>
        <w:t>,</w:t>
      </w:r>
      <w:r w:rsidRPr="00033618">
        <w:rPr>
          <w:rFonts w:ascii="Arial" w:hAnsi="Arial" w:cs="Arial"/>
          <w:sz w:val="20"/>
          <w:szCs w:val="20"/>
          <w:lang w:val="en-US"/>
        </w:rPr>
        <w:t xml:space="preserve"> nonagricultural unemployment rate decreased from 1</w:t>
      </w:r>
      <w:r w:rsidR="00857BB4" w:rsidRPr="00033618">
        <w:rPr>
          <w:rFonts w:ascii="Arial" w:hAnsi="Arial" w:cs="Arial"/>
          <w:sz w:val="20"/>
          <w:szCs w:val="20"/>
          <w:lang w:val="en-US"/>
        </w:rPr>
        <w:t>2.1 percent to 11.9 percent (0.2</w:t>
      </w:r>
      <w:r w:rsidRPr="00033618">
        <w:rPr>
          <w:rFonts w:ascii="Arial" w:hAnsi="Arial" w:cs="Arial"/>
          <w:sz w:val="20"/>
          <w:szCs w:val="20"/>
          <w:lang w:val="en-US"/>
        </w:rPr>
        <w:t xml:space="preserve"> percentage point</w:t>
      </w:r>
      <w:r w:rsidR="00D30186">
        <w:rPr>
          <w:rFonts w:ascii="Arial" w:hAnsi="Arial" w:cs="Arial"/>
          <w:sz w:val="20"/>
          <w:szCs w:val="20"/>
          <w:lang w:val="en-US"/>
        </w:rPr>
        <w:t>s</w:t>
      </w:r>
      <w:r w:rsidRPr="00033618">
        <w:rPr>
          <w:rFonts w:ascii="Arial" w:hAnsi="Arial" w:cs="Arial"/>
          <w:sz w:val="20"/>
          <w:szCs w:val="20"/>
          <w:lang w:val="en-US"/>
        </w:rPr>
        <w:t>) in the period of April 2015.</w:t>
      </w:r>
      <w:r w:rsidR="00801419" w:rsidRPr="00033618">
        <w:rPr>
          <w:rFonts w:ascii="Arial" w:hAnsi="Arial" w:cs="Arial"/>
          <w:sz w:val="20"/>
          <w:szCs w:val="20"/>
          <w:lang w:val="en-US"/>
        </w:rPr>
        <w:t xml:space="preserve"> </w:t>
      </w:r>
      <w:r w:rsidR="00821646">
        <w:rPr>
          <w:rFonts w:ascii="Arial" w:hAnsi="Arial" w:cs="Arial"/>
          <w:sz w:val="20"/>
          <w:szCs w:val="20"/>
          <w:lang w:val="en-US"/>
        </w:rPr>
        <w:t>The reason behind the</w:t>
      </w:r>
      <w:r w:rsidR="00880BD0" w:rsidRPr="00033618">
        <w:rPr>
          <w:rFonts w:ascii="Arial" w:hAnsi="Arial" w:cs="Arial"/>
          <w:sz w:val="20"/>
          <w:szCs w:val="20"/>
          <w:lang w:val="en-US"/>
        </w:rPr>
        <w:t xml:space="preserve"> decline in unemployment is</w:t>
      </w:r>
      <w:r w:rsidR="00DB40BC">
        <w:rPr>
          <w:rFonts w:ascii="Arial" w:hAnsi="Arial" w:cs="Arial"/>
          <w:sz w:val="20"/>
          <w:szCs w:val="20"/>
          <w:lang w:val="en-US"/>
        </w:rPr>
        <w:t xml:space="preserve"> the</w:t>
      </w:r>
      <w:r w:rsidR="00880BD0" w:rsidRPr="00033618">
        <w:rPr>
          <w:rFonts w:ascii="Arial" w:hAnsi="Arial" w:cs="Arial"/>
          <w:sz w:val="20"/>
          <w:szCs w:val="20"/>
          <w:lang w:val="en-US"/>
        </w:rPr>
        <w:t xml:space="preserve"> employment increases in manufacturing and services sectors which exceed</w:t>
      </w:r>
      <w:r w:rsidR="00565504">
        <w:rPr>
          <w:rFonts w:ascii="Arial" w:hAnsi="Arial" w:cs="Arial"/>
          <w:sz w:val="20"/>
          <w:szCs w:val="20"/>
          <w:lang w:val="en-US"/>
        </w:rPr>
        <w:t xml:space="preserve"> the</w:t>
      </w:r>
      <w:r w:rsidR="00880BD0" w:rsidRPr="00033618">
        <w:rPr>
          <w:rFonts w:ascii="Arial" w:hAnsi="Arial" w:cs="Arial"/>
          <w:sz w:val="20"/>
          <w:szCs w:val="20"/>
          <w:lang w:val="en-US"/>
        </w:rPr>
        <w:t xml:space="preserve"> increases in</w:t>
      </w:r>
      <w:r w:rsidR="007141C0">
        <w:rPr>
          <w:rFonts w:ascii="Arial" w:hAnsi="Arial" w:cs="Arial"/>
          <w:sz w:val="20"/>
          <w:szCs w:val="20"/>
          <w:lang w:val="en-US"/>
        </w:rPr>
        <w:t xml:space="preserve"> the</w:t>
      </w:r>
      <w:r w:rsidR="00880BD0" w:rsidRPr="00033618">
        <w:rPr>
          <w:rFonts w:ascii="Arial" w:hAnsi="Arial" w:cs="Arial"/>
          <w:sz w:val="20"/>
          <w:szCs w:val="20"/>
          <w:lang w:val="en-US"/>
        </w:rPr>
        <w:t xml:space="preserve"> labor force</w:t>
      </w:r>
      <w:r w:rsidR="00880BD0" w:rsidRPr="003148BF">
        <w:rPr>
          <w:rFonts w:ascii="Arial" w:hAnsi="Arial" w:cs="Arial"/>
          <w:sz w:val="20"/>
          <w:szCs w:val="20"/>
          <w:lang w:val="en-US"/>
        </w:rPr>
        <w:t>. In addition</w:t>
      </w:r>
      <w:r w:rsidR="000F3475">
        <w:rPr>
          <w:rFonts w:ascii="Arial" w:hAnsi="Arial" w:cs="Arial"/>
          <w:sz w:val="20"/>
          <w:szCs w:val="20"/>
          <w:lang w:val="en-US"/>
        </w:rPr>
        <w:t>, non-agricultural unemployment</w:t>
      </w:r>
      <w:r w:rsidR="00880BD0" w:rsidRPr="003148BF">
        <w:rPr>
          <w:rFonts w:ascii="Arial" w:hAnsi="Arial" w:cs="Arial"/>
          <w:sz w:val="20"/>
          <w:szCs w:val="20"/>
          <w:lang w:val="en-US"/>
        </w:rPr>
        <w:t xml:space="preserve"> </w:t>
      </w:r>
      <w:r w:rsidR="000938AD" w:rsidRPr="003148BF">
        <w:rPr>
          <w:rFonts w:ascii="Arial" w:hAnsi="Arial" w:cs="Arial"/>
          <w:sz w:val="20"/>
          <w:szCs w:val="20"/>
          <w:lang w:val="en-US"/>
        </w:rPr>
        <w:t xml:space="preserve">continues to </w:t>
      </w:r>
      <w:r w:rsidR="009A157C">
        <w:rPr>
          <w:rFonts w:ascii="Arial" w:hAnsi="Arial" w:cs="Arial"/>
          <w:sz w:val="20"/>
          <w:szCs w:val="20"/>
          <w:lang w:val="en-US"/>
        </w:rPr>
        <w:t>stay at high</w:t>
      </w:r>
      <w:r w:rsidR="001008EA" w:rsidRPr="003148BF">
        <w:rPr>
          <w:rFonts w:ascii="Arial" w:hAnsi="Arial" w:cs="Arial"/>
          <w:sz w:val="20"/>
          <w:szCs w:val="20"/>
          <w:lang w:val="en-US"/>
        </w:rPr>
        <w:t xml:space="preserve"> levels.</w:t>
      </w:r>
      <w:r w:rsidR="001008EA" w:rsidRPr="00033618">
        <w:rPr>
          <w:rFonts w:ascii="Arial" w:hAnsi="Arial" w:cs="Arial"/>
          <w:sz w:val="20"/>
          <w:szCs w:val="20"/>
          <w:lang w:val="en-US"/>
        </w:rPr>
        <w:t xml:space="preserve"> </w:t>
      </w:r>
    </w:p>
    <w:p w:rsidR="00930930" w:rsidRPr="00033618" w:rsidRDefault="00930930" w:rsidP="00B0306D">
      <w:pPr>
        <w:jc w:val="both"/>
        <w:rPr>
          <w:rFonts w:ascii="Arial" w:hAnsi="Arial" w:cs="Arial"/>
          <w:sz w:val="20"/>
          <w:szCs w:val="20"/>
          <w:lang w:val="en-US"/>
        </w:rPr>
      </w:pPr>
    </w:p>
    <w:p w:rsidR="00851ABE" w:rsidRPr="00033618" w:rsidRDefault="000354A3" w:rsidP="00B0306D">
      <w:pPr>
        <w:jc w:val="both"/>
        <w:rPr>
          <w:rFonts w:ascii="Arial" w:hAnsi="Arial" w:cs="Arial"/>
          <w:sz w:val="20"/>
          <w:szCs w:val="20"/>
          <w:lang w:val="en-US"/>
        </w:rPr>
      </w:pPr>
      <w:r w:rsidRPr="00033618">
        <w:rPr>
          <w:rFonts w:ascii="Arial" w:hAnsi="Arial" w:cs="Arial"/>
          <w:b/>
          <w:sz w:val="20"/>
          <w:szCs w:val="20"/>
          <w:lang w:val="en-US"/>
        </w:rPr>
        <w:t>Increase in annual non-agricultural employment</w:t>
      </w:r>
      <w:r w:rsidR="00851ABE" w:rsidRPr="00033618">
        <w:rPr>
          <w:rFonts w:ascii="Arial" w:hAnsi="Arial" w:cs="Arial"/>
          <w:sz w:val="20"/>
          <w:szCs w:val="20"/>
          <w:lang w:val="en-US"/>
        </w:rPr>
        <w:t xml:space="preserve"> </w:t>
      </w:r>
    </w:p>
    <w:p w:rsidR="00BD3D36" w:rsidRPr="00033618" w:rsidRDefault="00BD3D36" w:rsidP="00B0306D">
      <w:pPr>
        <w:jc w:val="both"/>
        <w:rPr>
          <w:rFonts w:ascii="Arial" w:hAnsi="Arial" w:cs="Arial"/>
          <w:sz w:val="20"/>
          <w:szCs w:val="20"/>
          <w:lang w:val="en-US"/>
        </w:rPr>
      </w:pPr>
    </w:p>
    <w:p w:rsidR="00D15ADF" w:rsidRPr="00033618" w:rsidRDefault="00BD3D36" w:rsidP="006D32F3">
      <w:pPr>
        <w:rPr>
          <w:rFonts w:ascii="Arial" w:hAnsi="Arial" w:cs="Arial"/>
          <w:sz w:val="20"/>
          <w:szCs w:val="20"/>
          <w:lang w:val="en-US"/>
        </w:rPr>
      </w:pPr>
      <w:r w:rsidRPr="00033618">
        <w:rPr>
          <w:rFonts w:ascii="Arial" w:hAnsi="Arial" w:cs="Arial"/>
          <w:sz w:val="20"/>
          <w:szCs w:val="20"/>
          <w:lang w:val="en-US"/>
        </w:rPr>
        <w:t xml:space="preserve">Strong employment increases observed since the period of November of 2014 have resulted in declines in unemployment. However, year-on-year non-agricultural unemployment rate is still high. </w:t>
      </w:r>
      <w:r w:rsidR="00E43549" w:rsidRPr="00033618">
        <w:rPr>
          <w:rFonts w:ascii="Arial" w:hAnsi="Arial" w:cs="Arial"/>
          <w:sz w:val="20"/>
          <w:szCs w:val="20"/>
          <w:lang w:val="en-US"/>
        </w:rPr>
        <w:t xml:space="preserve">According to data released by TurkStat in the period of April 2015, nonagricultural labor force increased by </w:t>
      </w:r>
      <w:r w:rsidR="00BF67AE" w:rsidRPr="00033618">
        <w:rPr>
          <w:rFonts w:ascii="Arial" w:hAnsi="Arial" w:cs="Arial"/>
          <w:sz w:val="20"/>
          <w:szCs w:val="20"/>
          <w:lang w:val="en-US"/>
        </w:rPr>
        <w:t>787</w:t>
      </w:r>
      <w:r w:rsidR="00E43549" w:rsidRPr="00033618">
        <w:rPr>
          <w:rFonts w:ascii="Arial" w:hAnsi="Arial" w:cs="Arial"/>
          <w:sz w:val="20"/>
          <w:szCs w:val="20"/>
          <w:lang w:val="en-US"/>
        </w:rPr>
        <w:t xml:space="preserve"> thousand (3.</w:t>
      </w:r>
      <w:r w:rsidR="00BF67AE" w:rsidRPr="00033618">
        <w:rPr>
          <w:rFonts w:ascii="Arial" w:hAnsi="Arial" w:cs="Arial"/>
          <w:sz w:val="20"/>
          <w:szCs w:val="20"/>
          <w:lang w:val="en-US"/>
        </w:rPr>
        <w:t>4</w:t>
      </w:r>
      <w:r w:rsidR="00E43549" w:rsidRPr="00033618">
        <w:rPr>
          <w:rFonts w:ascii="Arial" w:hAnsi="Arial" w:cs="Arial"/>
          <w:sz w:val="20"/>
          <w:szCs w:val="20"/>
          <w:lang w:val="en-US"/>
        </w:rPr>
        <w:t xml:space="preserve"> percent), nonagricultural employment increased by </w:t>
      </w:r>
      <w:r w:rsidR="00BF67AE" w:rsidRPr="00033618">
        <w:rPr>
          <w:rFonts w:ascii="Arial" w:hAnsi="Arial" w:cs="Arial"/>
          <w:sz w:val="20"/>
          <w:szCs w:val="20"/>
          <w:lang w:val="en-US"/>
        </w:rPr>
        <w:t>511</w:t>
      </w:r>
      <w:r w:rsidR="00E43549" w:rsidRPr="00033618">
        <w:rPr>
          <w:rFonts w:ascii="Arial" w:hAnsi="Arial" w:cs="Arial"/>
          <w:sz w:val="20"/>
          <w:szCs w:val="20"/>
          <w:lang w:val="en-US"/>
        </w:rPr>
        <w:t xml:space="preserve"> thousand (2.</w:t>
      </w:r>
      <w:r w:rsidR="00BF67AE" w:rsidRPr="00033618">
        <w:rPr>
          <w:rFonts w:ascii="Arial" w:hAnsi="Arial" w:cs="Arial"/>
          <w:sz w:val="20"/>
          <w:szCs w:val="20"/>
          <w:lang w:val="en-US"/>
        </w:rPr>
        <w:t>5</w:t>
      </w:r>
      <w:r w:rsidR="00E43549" w:rsidRPr="00033618">
        <w:rPr>
          <w:rFonts w:ascii="Arial" w:hAnsi="Arial" w:cs="Arial"/>
          <w:sz w:val="20"/>
          <w:szCs w:val="20"/>
          <w:lang w:val="en-US"/>
        </w:rPr>
        <w:t xml:space="preserve"> percent) and nonagricultural unemployment increased by </w:t>
      </w:r>
      <w:r w:rsidR="00BF67AE" w:rsidRPr="00033618">
        <w:rPr>
          <w:rFonts w:ascii="Arial" w:hAnsi="Arial" w:cs="Arial"/>
          <w:sz w:val="20"/>
          <w:szCs w:val="20"/>
          <w:lang w:val="en-US"/>
        </w:rPr>
        <w:t>276</w:t>
      </w:r>
      <w:r w:rsidR="00E43549" w:rsidRPr="00033618">
        <w:rPr>
          <w:rFonts w:ascii="Arial" w:hAnsi="Arial" w:cs="Arial"/>
          <w:sz w:val="20"/>
          <w:szCs w:val="20"/>
          <w:lang w:val="en-US"/>
        </w:rPr>
        <w:t xml:space="preserve"> thousand compared the same period in the previous year (</w:t>
      </w:r>
      <w:r w:rsidR="00913D9F">
        <w:fldChar w:fldCharType="begin"/>
      </w:r>
      <w:r w:rsidR="00913D9F">
        <w:instrText xml:space="preserve"> REF _Ref427154653 \h  \* MERGEFORMAT </w:instrText>
      </w:r>
      <w:r w:rsidR="00913D9F">
        <w:fldChar w:fldCharType="separate"/>
      </w:r>
      <w:r w:rsidR="00016571" w:rsidRPr="00016571">
        <w:rPr>
          <w:rFonts w:ascii="Arial" w:hAnsi="Arial" w:cs="Arial"/>
          <w:sz w:val="20"/>
          <w:szCs w:val="20"/>
          <w:lang w:val="en-US"/>
        </w:rPr>
        <w:t>Figure 1</w:t>
      </w:r>
      <w:r w:rsidR="00913D9F">
        <w:fldChar w:fldCharType="end"/>
      </w:r>
      <w:r w:rsidR="00016571">
        <w:rPr>
          <w:rFonts w:ascii="Arial" w:hAnsi="Arial" w:cs="Arial"/>
          <w:sz w:val="20"/>
          <w:szCs w:val="20"/>
          <w:lang w:val="en-US"/>
        </w:rPr>
        <w:t>)</w:t>
      </w:r>
      <w:r w:rsidR="00E43549" w:rsidRPr="00033618">
        <w:rPr>
          <w:rFonts w:ascii="Arial" w:hAnsi="Arial" w:cs="Arial"/>
          <w:sz w:val="20"/>
          <w:szCs w:val="20"/>
          <w:lang w:val="en-US"/>
        </w:rPr>
        <w:t xml:space="preserve">. </w:t>
      </w:r>
      <w:r w:rsidR="00576B6F" w:rsidRPr="00033618">
        <w:rPr>
          <w:rFonts w:ascii="Arial" w:hAnsi="Arial" w:cs="Arial"/>
          <w:sz w:val="20"/>
          <w:szCs w:val="20"/>
          <w:lang w:val="en-US"/>
        </w:rPr>
        <w:t xml:space="preserve"> Hence, </w:t>
      </w:r>
      <w:r w:rsidR="00356DCE">
        <w:rPr>
          <w:rFonts w:ascii="Arial" w:hAnsi="Arial" w:cs="Arial"/>
          <w:sz w:val="20"/>
          <w:szCs w:val="20"/>
          <w:lang w:val="en-US"/>
        </w:rPr>
        <w:t>the</w:t>
      </w:r>
      <w:r w:rsidR="00577175" w:rsidRPr="00033618">
        <w:rPr>
          <w:rFonts w:ascii="Arial" w:hAnsi="Arial" w:cs="Arial"/>
          <w:sz w:val="20"/>
          <w:szCs w:val="20"/>
          <w:lang w:val="en-US"/>
        </w:rPr>
        <w:t xml:space="preserve">  </w:t>
      </w:r>
      <w:r w:rsidR="0078525C" w:rsidRPr="00033618">
        <w:rPr>
          <w:rFonts w:ascii="Arial" w:hAnsi="Arial" w:cs="Arial"/>
          <w:sz w:val="20"/>
          <w:szCs w:val="20"/>
          <w:lang w:val="en-US"/>
        </w:rPr>
        <w:t xml:space="preserve">non-agricultural </w:t>
      </w:r>
      <w:r w:rsidR="00577175" w:rsidRPr="00033618">
        <w:rPr>
          <w:rFonts w:ascii="Arial" w:hAnsi="Arial" w:cs="Arial"/>
          <w:sz w:val="20"/>
          <w:szCs w:val="20"/>
          <w:lang w:val="en-US"/>
        </w:rPr>
        <w:t xml:space="preserve">unemployment rate </w:t>
      </w:r>
      <w:r w:rsidR="0078525C" w:rsidRPr="00033618">
        <w:rPr>
          <w:rFonts w:ascii="Arial" w:hAnsi="Arial" w:cs="Arial"/>
          <w:sz w:val="20"/>
          <w:szCs w:val="20"/>
          <w:lang w:val="en-US"/>
        </w:rPr>
        <w:t>w</w:t>
      </w:r>
      <w:r w:rsidR="006D32F3" w:rsidRPr="00033618">
        <w:rPr>
          <w:rFonts w:ascii="Arial" w:hAnsi="Arial" w:cs="Arial"/>
          <w:sz w:val="20"/>
          <w:szCs w:val="20"/>
          <w:lang w:val="en-US"/>
        </w:rPr>
        <w:t>hich was at 10.8 percent for the period of April 2014 increased to 11.6 percent for the period of April 2015</w:t>
      </w:r>
      <w:r w:rsidR="00D92978" w:rsidRPr="00033618">
        <w:rPr>
          <w:rFonts w:ascii="Arial" w:hAnsi="Arial" w:cs="Arial"/>
          <w:sz w:val="20"/>
          <w:szCs w:val="20"/>
          <w:lang w:val="en-US"/>
        </w:rPr>
        <w:t>.</w:t>
      </w:r>
      <w:r w:rsidR="00150B0F" w:rsidRPr="00033618">
        <w:rPr>
          <w:rStyle w:val="FootnoteReference"/>
          <w:rFonts w:ascii="Arial" w:hAnsi="Arial" w:cs="Arial"/>
          <w:sz w:val="20"/>
          <w:szCs w:val="20"/>
          <w:lang w:val="en-US"/>
        </w:rPr>
        <w:footnoteReference w:id="4"/>
      </w:r>
    </w:p>
    <w:p w:rsidR="00B0306D" w:rsidRPr="00033618" w:rsidRDefault="00B0306D" w:rsidP="00224A7B">
      <w:pPr>
        <w:rPr>
          <w:rFonts w:ascii="Arial" w:hAnsi="Arial" w:cs="Arial"/>
          <w:lang w:val="en-US"/>
        </w:rPr>
      </w:pPr>
    </w:p>
    <w:p w:rsidR="003F3B91" w:rsidRPr="00033618" w:rsidRDefault="00686AA9" w:rsidP="00224A7B">
      <w:pPr>
        <w:pStyle w:val="Caption"/>
        <w:keepNext/>
        <w:rPr>
          <w:rFonts w:ascii="Arial" w:hAnsi="Arial" w:cs="Arial"/>
          <w:lang w:val="en-US"/>
        </w:rPr>
      </w:pPr>
      <w:bookmarkStart w:id="1" w:name="_Ref427154653"/>
      <w:r w:rsidRPr="00033618">
        <w:rPr>
          <w:rFonts w:ascii="Arial" w:hAnsi="Arial" w:cs="Arial"/>
          <w:lang w:val="en-US"/>
        </w:rPr>
        <w:t>Figure</w:t>
      </w:r>
      <w:r w:rsidR="003F3B91" w:rsidRPr="00033618">
        <w:rPr>
          <w:rFonts w:ascii="Arial" w:hAnsi="Arial" w:cs="Arial"/>
          <w:lang w:val="en-US"/>
        </w:rPr>
        <w:t xml:space="preserve"> </w:t>
      </w:r>
      <w:r w:rsidR="000B6E10" w:rsidRPr="00033618">
        <w:rPr>
          <w:rFonts w:ascii="Arial" w:hAnsi="Arial" w:cs="Arial"/>
          <w:lang w:val="en-US"/>
        </w:rPr>
        <w:fldChar w:fldCharType="begin"/>
      </w:r>
      <w:r w:rsidR="003F3B91" w:rsidRPr="00033618">
        <w:rPr>
          <w:rFonts w:ascii="Arial" w:hAnsi="Arial" w:cs="Arial"/>
          <w:lang w:val="en-US"/>
        </w:rPr>
        <w:instrText xml:space="preserve"> SEQ Şekil \* ARABIC </w:instrText>
      </w:r>
      <w:r w:rsidR="000B6E10" w:rsidRPr="00033618">
        <w:rPr>
          <w:rFonts w:ascii="Arial" w:hAnsi="Arial" w:cs="Arial"/>
          <w:lang w:val="en-US"/>
        </w:rPr>
        <w:fldChar w:fldCharType="separate"/>
      </w:r>
      <w:r w:rsidR="000D183D" w:rsidRPr="00033618">
        <w:rPr>
          <w:rFonts w:ascii="Arial" w:hAnsi="Arial" w:cs="Arial"/>
          <w:noProof/>
          <w:lang w:val="en-US"/>
        </w:rPr>
        <w:t>1</w:t>
      </w:r>
      <w:r w:rsidR="000B6E10" w:rsidRPr="00033618">
        <w:rPr>
          <w:rFonts w:ascii="Arial" w:hAnsi="Arial" w:cs="Arial"/>
          <w:lang w:val="en-US"/>
        </w:rPr>
        <w:fldChar w:fldCharType="end"/>
      </w:r>
      <w:bookmarkEnd w:id="1"/>
      <w:r w:rsidR="003F3B91" w:rsidRPr="00033618">
        <w:rPr>
          <w:rFonts w:ascii="Arial" w:hAnsi="Arial" w:cs="Arial"/>
          <w:lang w:val="en-US"/>
        </w:rPr>
        <w:t xml:space="preserve"> </w:t>
      </w:r>
      <w:r w:rsidRPr="00033618">
        <w:rPr>
          <w:rFonts w:ascii="Arial" w:hAnsi="Arial" w:cs="Arial"/>
          <w:lang w:val="en-US"/>
        </w:rPr>
        <w:t>Year-on-year changes in non-agricultural labor force, employment, and unemployment</w:t>
      </w:r>
    </w:p>
    <w:p w:rsidR="00FE5EB7" w:rsidRPr="00033618" w:rsidRDefault="001E0FA5" w:rsidP="00FE5EB7">
      <w:pPr>
        <w:rPr>
          <w:lang w:val="en-US"/>
        </w:rPr>
      </w:pPr>
      <w:r w:rsidRPr="00033618">
        <w:rPr>
          <w:noProof/>
          <w:lang w:eastAsia="tr-TR"/>
        </w:rPr>
        <w:drawing>
          <wp:inline distT="0" distB="0" distL="0" distR="0">
            <wp:extent cx="6067055" cy="3452884"/>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074961" cy="3457383"/>
                    </a:xfrm>
                    <a:prstGeom prst="rect">
                      <a:avLst/>
                    </a:prstGeom>
                    <a:noFill/>
                  </pic:spPr>
                </pic:pic>
              </a:graphicData>
            </a:graphic>
          </wp:inline>
        </w:drawing>
      </w:r>
    </w:p>
    <w:p w:rsidR="00D20F87" w:rsidRPr="00033618" w:rsidRDefault="00D20F87" w:rsidP="00D20F87">
      <w:pPr>
        <w:rPr>
          <w:rFonts w:ascii="Arial" w:hAnsi="Arial" w:cs="Arial"/>
          <w:bCs/>
          <w:sz w:val="18"/>
          <w:szCs w:val="18"/>
          <w:lang w:val="en-US"/>
        </w:rPr>
      </w:pPr>
      <w:r w:rsidRPr="00033618">
        <w:rPr>
          <w:rFonts w:ascii="Arial" w:hAnsi="Arial" w:cs="Arial"/>
          <w:sz w:val="18"/>
          <w:szCs w:val="18"/>
          <w:lang w:val="en-US"/>
        </w:rPr>
        <w:t>Source: Turkstat,</w:t>
      </w:r>
      <w:r w:rsidRPr="00033618">
        <w:rPr>
          <w:rFonts w:ascii="Arial" w:hAnsi="Arial" w:cs="Arial"/>
          <w:b/>
          <w:bCs/>
          <w:sz w:val="18"/>
          <w:szCs w:val="18"/>
          <w:lang w:val="en-US"/>
        </w:rPr>
        <w:t xml:space="preserve"> </w:t>
      </w:r>
      <w:r w:rsidRPr="00033618">
        <w:rPr>
          <w:rFonts w:ascii="Arial" w:hAnsi="Arial" w:cs="Arial"/>
          <w:bCs/>
          <w:sz w:val="18"/>
          <w:szCs w:val="18"/>
          <w:lang w:val="en-US"/>
        </w:rPr>
        <w:t>Betam</w:t>
      </w:r>
    </w:p>
    <w:p w:rsidR="00452948" w:rsidRPr="00033618" w:rsidRDefault="00452948" w:rsidP="00224A7B">
      <w:pPr>
        <w:rPr>
          <w:rFonts w:ascii="Arial" w:hAnsi="Arial" w:cs="Arial"/>
          <w:bCs/>
          <w:sz w:val="18"/>
          <w:szCs w:val="18"/>
          <w:lang w:val="en-US"/>
        </w:rPr>
      </w:pPr>
    </w:p>
    <w:p w:rsidR="001E0FA5" w:rsidRPr="00033618" w:rsidRDefault="001E0FA5" w:rsidP="00224A7B">
      <w:pPr>
        <w:rPr>
          <w:rFonts w:ascii="Arial" w:hAnsi="Arial" w:cs="Arial"/>
          <w:b/>
          <w:bCs/>
          <w:sz w:val="22"/>
          <w:szCs w:val="22"/>
          <w:lang w:val="en-US"/>
        </w:rPr>
      </w:pPr>
    </w:p>
    <w:p w:rsidR="007C225F" w:rsidRPr="00033618" w:rsidRDefault="007C225F" w:rsidP="00224A7B">
      <w:pPr>
        <w:rPr>
          <w:rFonts w:ascii="Arial" w:hAnsi="Arial" w:cs="Arial"/>
          <w:b/>
          <w:bCs/>
          <w:sz w:val="22"/>
          <w:szCs w:val="22"/>
          <w:lang w:val="en-US"/>
        </w:rPr>
      </w:pPr>
      <w:r w:rsidRPr="00033618">
        <w:rPr>
          <w:rFonts w:ascii="Arial" w:hAnsi="Arial" w:cs="Arial"/>
          <w:b/>
          <w:bCs/>
          <w:sz w:val="22"/>
          <w:szCs w:val="22"/>
          <w:lang w:val="en-US"/>
        </w:rPr>
        <w:lastRenderedPageBreak/>
        <w:t>Cyclical decline in non-agricultural employment</w:t>
      </w:r>
    </w:p>
    <w:p w:rsidR="00A274C2" w:rsidRPr="00033618" w:rsidRDefault="00A274C2" w:rsidP="008F5486">
      <w:pPr>
        <w:jc w:val="both"/>
        <w:rPr>
          <w:rFonts w:ascii="Arial" w:hAnsi="Arial" w:cs="Arial"/>
          <w:sz w:val="20"/>
          <w:szCs w:val="20"/>
          <w:lang w:val="en-US"/>
        </w:rPr>
      </w:pPr>
    </w:p>
    <w:p w:rsidR="00A274C2" w:rsidRPr="00033618" w:rsidRDefault="00A274C2" w:rsidP="00A274C2">
      <w:pPr>
        <w:rPr>
          <w:rFonts w:ascii="Arial" w:hAnsi="Arial" w:cs="Arial"/>
          <w:sz w:val="20"/>
          <w:szCs w:val="20"/>
          <w:lang w:val="en-US"/>
        </w:rPr>
      </w:pPr>
      <w:r w:rsidRPr="00033618">
        <w:rPr>
          <w:rFonts w:ascii="Arial" w:hAnsi="Arial" w:cs="Arial"/>
          <w:sz w:val="20"/>
          <w:szCs w:val="20"/>
          <w:lang w:val="en-US"/>
        </w:rPr>
        <w:t>According to seasonally adjusted data in the period of April 2015, non-agricultural labor force increased by 46 thousand compared to the period of March 2015, and reached 23 million 871 thousand (</w:t>
      </w:r>
      <w:r w:rsidR="00913D9F">
        <w:fldChar w:fldCharType="begin"/>
      </w:r>
      <w:r w:rsidR="00913D9F">
        <w:instrText xml:space="preserve"> REF _Ref374949995 \h  \* MERGEFORMAT </w:instrText>
      </w:r>
      <w:r w:rsidR="00913D9F">
        <w:fldChar w:fldCharType="separate"/>
      </w:r>
      <w:r w:rsidRPr="00033618">
        <w:rPr>
          <w:rFonts w:ascii="Arial" w:hAnsi="Arial" w:cs="Arial"/>
          <w:sz w:val="20"/>
          <w:szCs w:val="20"/>
          <w:lang w:val="en-US"/>
        </w:rPr>
        <w:t>Figure 2</w:t>
      </w:r>
      <w:r w:rsidR="00913D9F">
        <w:fldChar w:fldCharType="end"/>
      </w:r>
      <w:r w:rsidRPr="00033618">
        <w:rPr>
          <w:rFonts w:ascii="Arial" w:hAnsi="Arial" w:cs="Arial"/>
          <w:sz w:val="20"/>
          <w:szCs w:val="20"/>
          <w:lang w:val="en-US"/>
        </w:rPr>
        <w:t xml:space="preserve">, </w:t>
      </w:r>
      <w:r w:rsidR="00913D9F">
        <w:fldChar w:fldCharType="begin"/>
      </w:r>
      <w:r w:rsidR="00913D9F">
        <w:instrText xml:space="preserve"> REF _Ref374950011 \h  \* MERGEFORMAT </w:instrText>
      </w:r>
      <w:r w:rsidR="00913D9F">
        <w:fldChar w:fldCharType="separate"/>
      </w:r>
      <w:r w:rsidR="00391596" w:rsidRPr="00033618">
        <w:rPr>
          <w:rFonts w:ascii="Arial" w:hAnsi="Arial" w:cs="Arial"/>
          <w:sz w:val="20"/>
          <w:szCs w:val="20"/>
          <w:lang w:val="en-US"/>
        </w:rPr>
        <w:t>Table 1</w:t>
      </w:r>
      <w:r w:rsidR="00913D9F">
        <w:fldChar w:fldCharType="end"/>
      </w:r>
      <w:r w:rsidRPr="00033618">
        <w:rPr>
          <w:rFonts w:ascii="Arial" w:hAnsi="Arial" w:cs="Arial"/>
          <w:sz w:val="20"/>
          <w:szCs w:val="20"/>
          <w:lang w:val="en-US"/>
        </w:rPr>
        <w:t>).</w:t>
      </w:r>
      <w:r w:rsidR="006A68F0" w:rsidRPr="00033618">
        <w:rPr>
          <w:rFonts w:ascii="Arial" w:hAnsi="Arial" w:cs="Arial"/>
          <w:sz w:val="20"/>
          <w:szCs w:val="20"/>
          <w:lang w:val="en-US"/>
        </w:rPr>
        <w:t xml:space="preserve"> Non-agricultural employment increases by 88 thousand</w:t>
      </w:r>
      <w:r w:rsidR="00EA02C0" w:rsidRPr="00033618">
        <w:rPr>
          <w:rFonts w:ascii="Arial" w:hAnsi="Arial" w:cs="Arial"/>
          <w:sz w:val="20"/>
          <w:szCs w:val="20"/>
          <w:lang w:val="en-US"/>
        </w:rPr>
        <w:t>, and reached 21 million 30 thousand.</w:t>
      </w:r>
      <w:r w:rsidR="00FC655D">
        <w:rPr>
          <w:rFonts w:ascii="Arial" w:hAnsi="Arial" w:cs="Arial"/>
          <w:sz w:val="20"/>
          <w:szCs w:val="20"/>
          <w:lang w:val="en-US"/>
        </w:rPr>
        <w:t xml:space="preserve"> Given that the increase in employment was</w:t>
      </w:r>
      <w:r w:rsidR="00EA02C0" w:rsidRPr="00033618">
        <w:rPr>
          <w:rFonts w:ascii="Arial" w:hAnsi="Arial" w:cs="Arial"/>
          <w:sz w:val="20"/>
          <w:szCs w:val="20"/>
          <w:lang w:val="en-US"/>
        </w:rPr>
        <w:t xml:space="preserve"> </w:t>
      </w:r>
      <w:r w:rsidR="00FC655D">
        <w:rPr>
          <w:rFonts w:ascii="Arial" w:hAnsi="Arial" w:cs="Arial"/>
          <w:sz w:val="20"/>
          <w:szCs w:val="20"/>
          <w:lang w:val="en-US"/>
        </w:rPr>
        <w:t>greater</w:t>
      </w:r>
      <w:r w:rsidR="00EA02C0" w:rsidRPr="00033618">
        <w:rPr>
          <w:rFonts w:ascii="Arial" w:hAnsi="Arial" w:cs="Arial"/>
          <w:sz w:val="20"/>
          <w:szCs w:val="20"/>
          <w:lang w:val="en-US"/>
        </w:rPr>
        <w:t xml:space="preserve"> than the rise in labor force</w:t>
      </w:r>
      <w:r w:rsidR="00FC655D">
        <w:rPr>
          <w:rFonts w:ascii="Arial" w:hAnsi="Arial" w:cs="Arial"/>
          <w:sz w:val="20"/>
          <w:szCs w:val="20"/>
          <w:lang w:val="en-US"/>
        </w:rPr>
        <w:t>,</w:t>
      </w:r>
      <w:r w:rsidR="00EA02C0" w:rsidRPr="00033618">
        <w:rPr>
          <w:rFonts w:ascii="Arial" w:hAnsi="Arial" w:cs="Arial"/>
          <w:sz w:val="20"/>
          <w:szCs w:val="20"/>
          <w:lang w:val="en-US"/>
        </w:rPr>
        <w:t xml:space="preserve"> non-agricultural unemployed decrease</w:t>
      </w:r>
      <w:r w:rsidR="00FC655D">
        <w:rPr>
          <w:rFonts w:ascii="Arial" w:hAnsi="Arial" w:cs="Arial"/>
          <w:sz w:val="20"/>
          <w:szCs w:val="20"/>
          <w:lang w:val="en-US"/>
        </w:rPr>
        <w:t>d</w:t>
      </w:r>
      <w:r w:rsidR="00EA02C0" w:rsidRPr="00033618">
        <w:rPr>
          <w:rFonts w:ascii="Arial" w:hAnsi="Arial" w:cs="Arial"/>
          <w:sz w:val="20"/>
          <w:szCs w:val="20"/>
          <w:lang w:val="en-US"/>
        </w:rPr>
        <w:t xml:space="preserve"> by 42 thousand, and non-agricultural unemployment rate decreased by 0,2 percent p</w:t>
      </w:r>
      <w:r w:rsidR="00FC655D">
        <w:rPr>
          <w:rFonts w:ascii="Arial" w:hAnsi="Arial" w:cs="Arial"/>
          <w:sz w:val="20"/>
          <w:szCs w:val="20"/>
          <w:lang w:val="en-US"/>
        </w:rPr>
        <w:t>oints</w:t>
      </w:r>
      <w:r w:rsidR="00EA02C0" w:rsidRPr="00033618">
        <w:rPr>
          <w:rFonts w:ascii="Arial" w:hAnsi="Arial" w:cs="Arial"/>
          <w:sz w:val="20"/>
          <w:szCs w:val="20"/>
          <w:lang w:val="en-US"/>
        </w:rPr>
        <w:t xml:space="preserve"> </w:t>
      </w:r>
      <w:r w:rsidR="00FC655D">
        <w:rPr>
          <w:rFonts w:ascii="Arial" w:hAnsi="Arial" w:cs="Arial"/>
          <w:sz w:val="20"/>
          <w:szCs w:val="20"/>
          <w:lang w:val="en-US"/>
        </w:rPr>
        <w:t>in</w:t>
      </w:r>
      <w:r w:rsidR="00FC655D" w:rsidRPr="00033618">
        <w:rPr>
          <w:rFonts w:ascii="Arial" w:hAnsi="Arial" w:cs="Arial"/>
          <w:sz w:val="20"/>
          <w:szCs w:val="20"/>
          <w:lang w:val="en-US"/>
        </w:rPr>
        <w:t xml:space="preserve"> the period of </w:t>
      </w:r>
      <w:r w:rsidR="00FC655D">
        <w:rPr>
          <w:rFonts w:ascii="Arial" w:hAnsi="Arial" w:cs="Arial"/>
          <w:sz w:val="20"/>
          <w:szCs w:val="20"/>
          <w:lang w:val="en-US"/>
        </w:rPr>
        <w:t>April 2015 compared to the previous period.</w:t>
      </w:r>
      <w:r w:rsidR="00FC655D" w:rsidRPr="00033618">
        <w:rPr>
          <w:rFonts w:ascii="Arial" w:hAnsi="Arial" w:cs="Arial"/>
          <w:sz w:val="20"/>
          <w:szCs w:val="20"/>
          <w:lang w:val="en-US"/>
        </w:rPr>
        <w:t xml:space="preserve"> </w:t>
      </w:r>
      <w:r w:rsidR="00FC655D">
        <w:rPr>
          <w:rFonts w:ascii="Arial" w:hAnsi="Arial" w:cs="Arial"/>
          <w:sz w:val="20"/>
          <w:szCs w:val="20"/>
          <w:lang w:val="en-US"/>
        </w:rPr>
        <w:t xml:space="preserve">Seasonally adjusted non-agricultural unemployment rate is </w:t>
      </w:r>
      <w:r w:rsidR="00EA02C0" w:rsidRPr="00033618">
        <w:rPr>
          <w:rFonts w:ascii="Arial" w:hAnsi="Arial" w:cs="Arial"/>
          <w:sz w:val="20"/>
          <w:szCs w:val="20"/>
          <w:lang w:val="en-US"/>
        </w:rPr>
        <w:t xml:space="preserve">11,9 percent. </w:t>
      </w:r>
      <w:r w:rsidR="00AC5E84">
        <w:rPr>
          <w:rFonts w:ascii="Arial" w:hAnsi="Arial" w:cs="Arial"/>
          <w:sz w:val="20"/>
          <w:szCs w:val="20"/>
          <w:lang w:val="en-US"/>
        </w:rPr>
        <w:t xml:space="preserve"> </w:t>
      </w:r>
      <w:r w:rsidR="001D0882">
        <w:rPr>
          <w:rFonts w:ascii="Arial" w:hAnsi="Arial" w:cs="Arial"/>
          <w:sz w:val="20"/>
          <w:szCs w:val="20"/>
          <w:lang w:val="en-US"/>
        </w:rPr>
        <w:t>N</w:t>
      </w:r>
      <w:r w:rsidR="00AC5E84">
        <w:rPr>
          <w:rFonts w:ascii="Arial" w:hAnsi="Arial" w:cs="Arial"/>
          <w:sz w:val="20"/>
          <w:szCs w:val="20"/>
          <w:lang w:val="en-US"/>
        </w:rPr>
        <w:t>on-agricultural unemployment, which had increased to 12.7 percent until the period of November 2014, has been substantially decreasing due to the high employment increases. At the same time, total unemployment has decreased by 174 thousand in total</w:t>
      </w:r>
      <w:r w:rsidR="005B709B">
        <w:rPr>
          <w:rFonts w:ascii="Arial" w:hAnsi="Arial" w:cs="Arial"/>
          <w:sz w:val="20"/>
          <w:szCs w:val="20"/>
          <w:lang w:val="en-US"/>
        </w:rPr>
        <w:t xml:space="preserve"> </w:t>
      </w:r>
      <w:r w:rsidR="00016571">
        <w:rPr>
          <w:rFonts w:ascii="Arial" w:hAnsi="Arial" w:cs="Arial"/>
          <w:sz w:val="20"/>
          <w:szCs w:val="20"/>
          <w:lang w:val="en-US"/>
        </w:rPr>
        <w:t>(</w:t>
      </w:r>
      <w:r w:rsidR="005B709B">
        <w:rPr>
          <w:rFonts w:ascii="Arial" w:hAnsi="Arial" w:cs="Arial"/>
          <w:sz w:val="20"/>
          <w:szCs w:val="20"/>
          <w:lang w:val="en-US"/>
        </w:rPr>
        <w:t xml:space="preserve">See </w:t>
      </w:r>
      <w:r w:rsidR="00913D9F">
        <w:fldChar w:fldCharType="begin"/>
      </w:r>
      <w:r w:rsidR="00913D9F">
        <w:instrText xml:space="preserve"> REF _Ref374950011 \h  \* MERGEFORMAT </w:instrText>
      </w:r>
      <w:r w:rsidR="00913D9F">
        <w:fldChar w:fldCharType="separate"/>
      </w:r>
      <w:r w:rsidR="005B709B" w:rsidRPr="005B709B">
        <w:rPr>
          <w:rFonts w:ascii="Arial" w:hAnsi="Arial" w:cs="Arial"/>
          <w:sz w:val="20"/>
          <w:szCs w:val="20"/>
          <w:lang w:val="en-US"/>
        </w:rPr>
        <w:t>Table 1</w:t>
      </w:r>
      <w:r w:rsidR="00913D9F">
        <w:fldChar w:fldCharType="end"/>
      </w:r>
      <w:r w:rsidR="005B709B">
        <w:rPr>
          <w:rFonts w:ascii="Arial" w:hAnsi="Arial" w:cs="Arial"/>
          <w:sz w:val="20"/>
          <w:szCs w:val="20"/>
          <w:lang w:val="en-US"/>
        </w:rPr>
        <w:t>)</w:t>
      </w:r>
      <w:r w:rsidR="00AC5E84">
        <w:rPr>
          <w:rFonts w:ascii="Arial" w:hAnsi="Arial" w:cs="Arial"/>
          <w:sz w:val="20"/>
          <w:szCs w:val="20"/>
          <w:lang w:val="en-US"/>
        </w:rPr>
        <w:t xml:space="preserve">.  </w:t>
      </w:r>
    </w:p>
    <w:p w:rsidR="00B0306D" w:rsidRPr="00033618" w:rsidRDefault="00B0306D" w:rsidP="00224A7B">
      <w:pPr>
        <w:rPr>
          <w:rFonts w:ascii="Arial" w:hAnsi="Arial" w:cs="Arial"/>
          <w:sz w:val="20"/>
          <w:szCs w:val="20"/>
          <w:lang w:val="en-US"/>
        </w:rPr>
      </w:pPr>
    </w:p>
    <w:p w:rsidR="004263B4" w:rsidRPr="00033618" w:rsidRDefault="002A0329" w:rsidP="00224A7B">
      <w:pPr>
        <w:pStyle w:val="Caption"/>
        <w:keepNext/>
        <w:rPr>
          <w:rFonts w:ascii="Arial" w:hAnsi="Arial" w:cs="Arial"/>
          <w:lang w:val="en-US"/>
        </w:rPr>
      </w:pPr>
      <w:bookmarkStart w:id="2" w:name="_Ref374949995"/>
      <w:r w:rsidRPr="00033618">
        <w:rPr>
          <w:rFonts w:ascii="Arial" w:hAnsi="Arial" w:cs="Arial"/>
          <w:lang w:val="en-US"/>
        </w:rPr>
        <w:t>Figure</w:t>
      </w:r>
      <w:r w:rsidR="004263B4" w:rsidRPr="00033618">
        <w:rPr>
          <w:rFonts w:ascii="Arial" w:hAnsi="Arial" w:cs="Arial"/>
          <w:lang w:val="en-US"/>
        </w:rPr>
        <w:t xml:space="preserve"> </w:t>
      </w:r>
      <w:r w:rsidR="000B6E10" w:rsidRPr="00033618">
        <w:rPr>
          <w:rFonts w:ascii="Arial" w:hAnsi="Arial" w:cs="Arial"/>
          <w:lang w:val="en-US"/>
        </w:rPr>
        <w:fldChar w:fldCharType="begin"/>
      </w:r>
      <w:r w:rsidR="004263B4" w:rsidRPr="00033618">
        <w:rPr>
          <w:rFonts w:ascii="Arial" w:hAnsi="Arial" w:cs="Arial"/>
          <w:lang w:val="en-US"/>
        </w:rPr>
        <w:instrText xml:space="preserve"> SEQ Şekil \* ARABIC </w:instrText>
      </w:r>
      <w:r w:rsidR="000B6E10" w:rsidRPr="00033618">
        <w:rPr>
          <w:rFonts w:ascii="Arial" w:hAnsi="Arial" w:cs="Arial"/>
          <w:lang w:val="en-US"/>
        </w:rPr>
        <w:fldChar w:fldCharType="separate"/>
      </w:r>
      <w:r w:rsidR="000D183D" w:rsidRPr="00033618">
        <w:rPr>
          <w:rFonts w:ascii="Arial" w:hAnsi="Arial" w:cs="Arial"/>
          <w:noProof/>
          <w:lang w:val="en-US"/>
        </w:rPr>
        <w:t>2</w:t>
      </w:r>
      <w:r w:rsidR="000B6E10" w:rsidRPr="00033618">
        <w:rPr>
          <w:rFonts w:ascii="Arial" w:hAnsi="Arial" w:cs="Arial"/>
          <w:lang w:val="en-US"/>
        </w:rPr>
        <w:fldChar w:fldCharType="end"/>
      </w:r>
      <w:bookmarkEnd w:id="2"/>
      <w:r w:rsidR="004263B4" w:rsidRPr="00033618">
        <w:rPr>
          <w:rFonts w:ascii="Arial" w:hAnsi="Arial" w:cs="Arial"/>
          <w:lang w:val="en-US"/>
        </w:rPr>
        <w:t xml:space="preserve"> </w:t>
      </w:r>
      <w:r w:rsidRPr="00033618">
        <w:rPr>
          <w:rFonts w:ascii="Arial" w:hAnsi="Arial" w:cs="Arial"/>
          <w:lang w:val="en-US"/>
        </w:rPr>
        <w:t>Seasonally adjusted non-agricultural labor force, employment, and unemployment</w:t>
      </w:r>
    </w:p>
    <w:p w:rsidR="00D20F87" w:rsidRPr="00033618" w:rsidRDefault="001E0FA5" w:rsidP="00D20F87">
      <w:pPr>
        <w:rPr>
          <w:lang w:val="en-US"/>
        </w:rPr>
      </w:pPr>
      <w:r w:rsidRPr="00033618">
        <w:rPr>
          <w:noProof/>
          <w:lang w:eastAsia="tr-TR"/>
        </w:rPr>
        <w:drawing>
          <wp:inline distT="0" distB="0" distL="0" distR="0">
            <wp:extent cx="6521725" cy="2803670"/>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528426" cy="2806551"/>
                    </a:xfrm>
                    <a:prstGeom prst="rect">
                      <a:avLst/>
                    </a:prstGeom>
                    <a:noFill/>
                  </pic:spPr>
                </pic:pic>
              </a:graphicData>
            </a:graphic>
          </wp:inline>
        </w:drawing>
      </w:r>
      <w:r w:rsidR="00D20F87" w:rsidRPr="00033618">
        <w:rPr>
          <w:rFonts w:ascii="Arial" w:hAnsi="Arial" w:cs="Arial"/>
          <w:sz w:val="18"/>
          <w:szCs w:val="18"/>
          <w:lang w:val="en-US"/>
        </w:rPr>
        <w:t>Source: Turkstat,</w:t>
      </w:r>
      <w:r w:rsidR="00D20F87" w:rsidRPr="00033618">
        <w:rPr>
          <w:rFonts w:ascii="Arial" w:hAnsi="Arial" w:cs="Arial"/>
          <w:b/>
          <w:bCs/>
          <w:sz w:val="18"/>
          <w:szCs w:val="18"/>
          <w:lang w:val="en-US"/>
        </w:rPr>
        <w:t xml:space="preserve"> </w:t>
      </w:r>
      <w:r w:rsidR="00D20F87" w:rsidRPr="00033618">
        <w:rPr>
          <w:rFonts w:ascii="Arial" w:hAnsi="Arial" w:cs="Arial"/>
          <w:bCs/>
          <w:sz w:val="18"/>
          <w:szCs w:val="18"/>
          <w:lang w:val="en-US"/>
        </w:rPr>
        <w:t>Betam</w:t>
      </w:r>
    </w:p>
    <w:p w:rsidR="0012221C" w:rsidRPr="00033618" w:rsidRDefault="0012221C" w:rsidP="00224A7B">
      <w:pPr>
        <w:rPr>
          <w:rFonts w:ascii="Arial" w:hAnsi="Arial" w:cs="Arial"/>
          <w:b/>
          <w:bCs/>
          <w:sz w:val="20"/>
          <w:szCs w:val="20"/>
          <w:lang w:val="en-US"/>
        </w:rPr>
      </w:pPr>
    </w:p>
    <w:p w:rsidR="006402AB" w:rsidRPr="00033618" w:rsidRDefault="006402AB" w:rsidP="00224A7B">
      <w:pPr>
        <w:rPr>
          <w:rFonts w:ascii="Arial" w:hAnsi="Arial" w:cs="Arial"/>
          <w:b/>
          <w:bCs/>
          <w:sz w:val="22"/>
          <w:szCs w:val="22"/>
          <w:lang w:val="en-US"/>
        </w:rPr>
      </w:pPr>
    </w:p>
    <w:p w:rsidR="001F03DC" w:rsidRPr="00033618" w:rsidRDefault="00530CF4" w:rsidP="00224A7B">
      <w:pPr>
        <w:rPr>
          <w:rFonts w:ascii="Arial" w:hAnsi="Arial" w:cs="Arial"/>
          <w:b/>
          <w:bCs/>
          <w:sz w:val="22"/>
          <w:szCs w:val="22"/>
          <w:lang w:val="en-US"/>
        </w:rPr>
      </w:pPr>
      <w:r w:rsidRPr="00033618">
        <w:rPr>
          <w:rFonts w:ascii="Arial" w:hAnsi="Arial" w:cs="Arial"/>
          <w:b/>
          <w:bCs/>
          <w:sz w:val="22"/>
          <w:szCs w:val="22"/>
          <w:lang w:val="en-US"/>
        </w:rPr>
        <w:t xml:space="preserve">Non-agricultural unemployment forecast for the period of May 2015 </w:t>
      </w:r>
    </w:p>
    <w:p w:rsidR="00530CF4" w:rsidRPr="00033618" w:rsidRDefault="00530CF4" w:rsidP="00224A7B">
      <w:pPr>
        <w:rPr>
          <w:rFonts w:ascii="Arial" w:hAnsi="Arial" w:cs="Arial"/>
          <w:sz w:val="20"/>
          <w:szCs w:val="20"/>
          <w:lang w:val="en-US"/>
        </w:rPr>
      </w:pPr>
    </w:p>
    <w:p w:rsidR="00DC4633" w:rsidRPr="00033618" w:rsidRDefault="00E07DD5" w:rsidP="008F5486">
      <w:pPr>
        <w:jc w:val="both"/>
        <w:rPr>
          <w:rFonts w:ascii="Arial" w:hAnsi="Arial" w:cs="Arial"/>
          <w:bCs/>
          <w:sz w:val="20"/>
          <w:szCs w:val="20"/>
          <w:lang w:val="en-US"/>
        </w:rPr>
      </w:pPr>
      <w:r w:rsidRPr="00033618">
        <w:rPr>
          <w:rFonts w:ascii="Arial" w:hAnsi="Arial" w:cs="Arial"/>
          <w:sz w:val="20"/>
          <w:szCs w:val="20"/>
          <w:lang w:val="en-US"/>
        </w:rPr>
        <w:t>Kariyer.net</w:t>
      </w:r>
      <w:r w:rsidRPr="00033618">
        <w:rPr>
          <w:rStyle w:val="FootnoteReference"/>
          <w:rFonts w:ascii="Arial" w:hAnsi="Arial" w:cs="Arial"/>
          <w:sz w:val="20"/>
          <w:szCs w:val="20"/>
          <w:lang w:val="en-US"/>
        </w:rPr>
        <w:footnoteReference w:id="5"/>
      </w:r>
      <w:r w:rsidRPr="00033618">
        <w:rPr>
          <w:rFonts w:ascii="Arial" w:hAnsi="Arial" w:cs="Arial"/>
          <w:sz w:val="20"/>
          <w:szCs w:val="20"/>
          <w:lang w:val="en-US"/>
        </w:rPr>
        <w:t xml:space="preserve"> </w:t>
      </w:r>
      <w:r w:rsidRPr="00033618">
        <w:rPr>
          <w:rFonts w:ascii="Arial" w:hAnsi="Arial" w:cs="Arial"/>
          <w:bCs/>
          <w:sz w:val="20"/>
          <w:szCs w:val="20"/>
          <w:lang w:val="en-US"/>
        </w:rPr>
        <w:t xml:space="preserve">per vacancy series used in the Betam forecasting model is depicted in </w:t>
      </w:r>
      <w:r w:rsidR="00913D9F">
        <w:fldChar w:fldCharType="begin"/>
      </w:r>
      <w:r w:rsidR="00913D9F">
        <w:instrText xml:space="preserve"> REF _Ref427154658 \h  \* MERGEFORMAT </w:instrText>
      </w:r>
      <w:r w:rsidR="00913D9F">
        <w:fldChar w:fldCharType="separate"/>
      </w:r>
      <w:r w:rsidRPr="00033618">
        <w:rPr>
          <w:rFonts w:ascii="Arial" w:hAnsi="Arial" w:cs="Arial"/>
          <w:bCs/>
          <w:sz w:val="20"/>
          <w:szCs w:val="20"/>
          <w:lang w:val="en-US"/>
        </w:rPr>
        <w:t>Figure 3</w:t>
      </w:r>
      <w:r w:rsidR="00913D9F">
        <w:fldChar w:fldCharType="end"/>
      </w:r>
      <w:r w:rsidRPr="00033618">
        <w:rPr>
          <w:rFonts w:ascii="Arial" w:hAnsi="Arial" w:cs="Arial"/>
          <w:bCs/>
          <w:sz w:val="20"/>
          <w:szCs w:val="20"/>
          <w:lang w:val="en-US"/>
        </w:rPr>
        <w:t xml:space="preserve">. </w:t>
      </w:r>
      <w:r w:rsidR="00BB0450" w:rsidRPr="00033618">
        <w:rPr>
          <w:rFonts w:ascii="Arial" w:hAnsi="Arial" w:cs="Arial"/>
          <w:bCs/>
          <w:sz w:val="20"/>
          <w:szCs w:val="20"/>
          <w:lang w:val="en-US"/>
        </w:rPr>
        <w:t>There is a decline in this rate in the period of May and increase in the period of June. Betam's forecasting model had predicted that nonagricultural unemployment would not change in the period of April.</w:t>
      </w:r>
      <w:r w:rsidR="001D0882">
        <w:rPr>
          <w:rFonts w:ascii="Arial" w:hAnsi="Arial" w:cs="Arial"/>
          <w:bCs/>
          <w:sz w:val="20"/>
          <w:szCs w:val="20"/>
          <w:lang w:val="en-US"/>
        </w:rPr>
        <w:t xml:space="preserve"> W</w:t>
      </w:r>
      <w:r w:rsidR="00BB0450" w:rsidRPr="00033618">
        <w:rPr>
          <w:rFonts w:ascii="Arial" w:hAnsi="Arial" w:cs="Arial"/>
          <w:bCs/>
          <w:sz w:val="20"/>
          <w:szCs w:val="20"/>
          <w:lang w:val="en-US"/>
        </w:rPr>
        <w:t>e predict that non-agricultural unemployment rate will decrease by 0.1 percent point to 11.8 percent</w:t>
      </w:r>
      <w:r w:rsidR="001D0882">
        <w:rPr>
          <w:rFonts w:ascii="Arial" w:hAnsi="Arial" w:cs="Arial"/>
          <w:bCs/>
          <w:sz w:val="20"/>
          <w:szCs w:val="20"/>
          <w:lang w:val="en-US"/>
        </w:rPr>
        <w:t xml:space="preserve"> in</w:t>
      </w:r>
      <w:r w:rsidR="001D0882" w:rsidRPr="00033618">
        <w:rPr>
          <w:rFonts w:ascii="Arial" w:hAnsi="Arial" w:cs="Arial"/>
          <w:bCs/>
          <w:sz w:val="20"/>
          <w:szCs w:val="20"/>
          <w:lang w:val="en-US"/>
        </w:rPr>
        <w:t xml:space="preserve"> the period of May 2015</w:t>
      </w:r>
      <w:r w:rsidR="00576D96" w:rsidRPr="00033618">
        <w:rPr>
          <w:rFonts w:ascii="Arial" w:hAnsi="Arial" w:cs="Arial"/>
          <w:sz w:val="20"/>
          <w:szCs w:val="20"/>
          <w:lang w:val="en-US"/>
        </w:rPr>
        <w:t>.</w:t>
      </w:r>
      <w:r w:rsidR="00B23652" w:rsidRPr="00033618">
        <w:rPr>
          <w:rStyle w:val="FootnoteReference"/>
          <w:rFonts w:ascii="Arial" w:hAnsi="Arial" w:cs="Arial"/>
          <w:sz w:val="20"/>
          <w:szCs w:val="20"/>
          <w:lang w:val="en-US"/>
        </w:rPr>
        <w:footnoteReference w:id="6"/>
      </w:r>
      <w:r w:rsidR="00D9018D" w:rsidRPr="00033618">
        <w:rPr>
          <w:rFonts w:ascii="Arial" w:hAnsi="Arial" w:cs="Arial"/>
          <w:sz w:val="20"/>
          <w:szCs w:val="20"/>
          <w:lang w:val="en-US"/>
        </w:rPr>
        <w:t xml:space="preserve"> </w:t>
      </w:r>
    </w:p>
    <w:p w:rsidR="008F5486" w:rsidRPr="00033618" w:rsidRDefault="008F5486" w:rsidP="008F5486">
      <w:pPr>
        <w:rPr>
          <w:lang w:val="en-US"/>
        </w:rPr>
      </w:pPr>
    </w:p>
    <w:p w:rsidR="008F5486" w:rsidRPr="00033618" w:rsidRDefault="008F5486" w:rsidP="008F5486">
      <w:pPr>
        <w:rPr>
          <w:lang w:val="en-US"/>
        </w:rPr>
      </w:pPr>
    </w:p>
    <w:p w:rsidR="008F5486" w:rsidRPr="00033618" w:rsidRDefault="008F5486" w:rsidP="008F5486">
      <w:pPr>
        <w:rPr>
          <w:lang w:val="en-US"/>
        </w:rPr>
      </w:pPr>
    </w:p>
    <w:p w:rsidR="004263B4" w:rsidRPr="00033618" w:rsidRDefault="002A0329" w:rsidP="00224A7B">
      <w:pPr>
        <w:pStyle w:val="Caption"/>
        <w:keepNext/>
        <w:rPr>
          <w:rFonts w:ascii="Arial" w:hAnsi="Arial" w:cs="Arial"/>
          <w:lang w:val="en-US"/>
        </w:rPr>
      </w:pPr>
      <w:bookmarkStart w:id="3" w:name="_Ref427154658"/>
      <w:r w:rsidRPr="00033618">
        <w:rPr>
          <w:rFonts w:ascii="Arial" w:hAnsi="Arial" w:cs="Arial"/>
          <w:lang w:val="en-US"/>
        </w:rPr>
        <w:lastRenderedPageBreak/>
        <w:t xml:space="preserve">Figure </w:t>
      </w:r>
      <w:r w:rsidR="000B6E10" w:rsidRPr="00033618">
        <w:rPr>
          <w:rFonts w:ascii="Arial" w:hAnsi="Arial" w:cs="Arial"/>
          <w:lang w:val="en-US"/>
        </w:rPr>
        <w:fldChar w:fldCharType="begin"/>
      </w:r>
      <w:r w:rsidR="004263B4" w:rsidRPr="00033618">
        <w:rPr>
          <w:rFonts w:ascii="Arial" w:hAnsi="Arial" w:cs="Arial"/>
          <w:lang w:val="en-US"/>
        </w:rPr>
        <w:instrText xml:space="preserve"> SEQ Şekil \* ARABIC </w:instrText>
      </w:r>
      <w:r w:rsidR="000B6E10" w:rsidRPr="00033618">
        <w:rPr>
          <w:rFonts w:ascii="Arial" w:hAnsi="Arial" w:cs="Arial"/>
          <w:lang w:val="en-US"/>
        </w:rPr>
        <w:fldChar w:fldCharType="separate"/>
      </w:r>
      <w:r w:rsidR="000D183D" w:rsidRPr="00033618">
        <w:rPr>
          <w:rFonts w:ascii="Arial" w:hAnsi="Arial" w:cs="Arial"/>
          <w:noProof/>
          <w:lang w:val="en-US"/>
        </w:rPr>
        <w:t>3</w:t>
      </w:r>
      <w:r w:rsidR="000B6E10" w:rsidRPr="00033618">
        <w:rPr>
          <w:rFonts w:ascii="Arial" w:hAnsi="Arial" w:cs="Arial"/>
          <w:lang w:val="en-US"/>
        </w:rPr>
        <w:fldChar w:fldCharType="end"/>
      </w:r>
      <w:bookmarkEnd w:id="3"/>
      <w:r w:rsidR="004263B4" w:rsidRPr="00033618">
        <w:rPr>
          <w:rFonts w:ascii="Arial" w:hAnsi="Arial" w:cs="Arial"/>
          <w:lang w:val="en-US"/>
        </w:rPr>
        <w:t xml:space="preserve"> </w:t>
      </w:r>
      <w:r w:rsidRPr="00033618">
        <w:rPr>
          <w:rFonts w:ascii="Arial" w:hAnsi="Arial" w:cs="Arial"/>
          <w:lang w:val="en-US"/>
        </w:rPr>
        <w:t>Seasonally adjusted nonagricultural unemployment rate and application per vacancy</w:t>
      </w:r>
    </w:p>
    <w:p w:rsidR="00EA68A6" w:rsidRPr="00033618" w:rsidRDefault="00EA68A6" w:rsidP="00EA68A6">
      <w:pPr>
        <w:rPr>
          <w:lang w:val="en-US"/>
        </w:rPr>
      </w:pPr>
      <w:r w:rsidRPr="00033618">
        <w:rPr>
          <w:noProof/>
          <w:lang w:eastAsia="tr-TR"/>
        </w:rPr>
        <w:drawing>
          <wp:inline distT="0" distB="0" distL="0" distR="0">
            <wp:extent cx="5972810" cy="3250565"/>
            <wp:effectExtent l="0" t="0" r="8890" b="0"/>
            <wp:docPr id="2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0F87" w:rsidRPr="00033618" w:rsidRDefault="00D20F87" w:rsidP="00D20F87">
      <w:pPr>
        <w:rPr>
          <w:rFonts w:ascii="Arial" w:hAnsi="Arial" w:cs="Arial"/>
          <w:bCs/>
          <w:sz w:val="18"/>
          <w:szCs w:val="18"/>
          <w:lang w:val="en-US"/>
        </w:rPr>
      </w:pPr>
      <w:r w:rsidRPr="00033618">
        <w:rPr>
          <w:rFonts w:ascii="Arial" w:hAnsi="Arial" w:cs="Arial"/>
          <w:sz w:val="18"/>
          <w:szCs w:val="18"/>
          <w:lang w:val="en-US"/>
        </w:rPr>
        <w:t>Source: Turkstat,</w:t>
      </w:r>
      <w:r w:rsidRPr="00033618">
        <w:rPr>
          <w:rFonts w:ascii="Arial" w:hAnsi="Arial" w:cs="Arial"/>
          <w:b/>
          <w:bCs/>
          <w:sz w:val="18"/>
          <w:szCs w:val="18"/>
          <w:lang w:val="en-US"/>
        </w:rPr>
        <w:t xml:space="preserve"> </w:t>
      </w:r>
      <w:r w:rsidRPr="00033618">
        <w:rPr>
          <w:rFonts w:ascii="Arial" w:hAnsi="Arial" w:cs="Arial"/>
          <w:bCs/>
          <w:sz w:val="18"/>
          <w:szCs w:val="18"/>
          <w:lang w:val="en-US"/>
        </w:rPr>
        <w:t>Betam</w:t>
      </w:r>
    </w:p>
    <w:p w:rsidR="009A44F5" w:rsidRPr="00033618" w:rsidRDefault="009A44F5" w:rsidP="00224A7B">
      <w:pPr>
        <w:suppressAutoHyphens w:val="0"/>
        <w:rPr>
          <w:rFonts w:ascii="Arial" w:hAnsi="Arial" w:cs="Arial"/>
          <w:b/>
          <w:sz w:val="22"/>
          <w:szCs w:val="22"/>
          <w:lang w:val="en-US"/>
        </w:rPr>
      </w:pPr>
    </w:p>
    <w:p w:rsidR="008A3F71" w:rsidRPr="00033618" w:rsidRDefault="002D01B1" w:rsidP="00224A7B">
      <w:pPr>
        <w:suppressAutoHyphens w:val="0"/>
        <w:rPr>
          <w:rFonts w:ascii="Arial" w:hAnsi="Arial" w:cs="Arial"/>
          <w:b/>
          <w:sz w:val="22"/>
          <w:szCs w:val="22"/>
          <w:lang w:val="en-US"/>
        </w:rPr>
      </w:pPr>
      <w:r w:rsidRPr="00033618">
        <w:rPr>
          <w:rFonts w:ascii="Arial" w:hAnsi="Arial" w:cs="Arial"/>
          <w:b/>
          <w:sz w:val="22"/>
          <w:szCs w:val="22"/>
          <w:lang w:val="en-US"/>
        </w:rPr>
        <w:t>Employment increases in manufacturing and services</w:t>
      </w:r>
    </w:p>
    <w:p w:rsidR="002D01B1" w:rsidRPr="00033618" w:rsidRDefault="002D01B1" w:rsidP="00224A7B">
      <w:pPr>
        <w:suppressAutoHyphens w:val="0"/>
        <w:rPr>
          <w:rFonts w:ascii="Arial" w:hAnsi="Arial" w:cs="Arial"/>
          <w:b/>
          <w:sz w:val="22"/>
          <w:szCs w:val="22"/>
          <w:lang w:val="en-US"/>
        </w:rPr>
      </w:pPr>
    </w:p>
    <w:p w:rsidR="002D01B1" w:rsidRPr="00033618" w:rsidRDefault="00B574AF" w:rsidP="00B574AF">
      <w:pPr>
        <w:suppressAutoHyphens w:val="0"/>
        <w:rPr>
          <w:rFonts w:ascii="Arial" w:hAnsi="Arial" w:cs="Arial"/>
          <w:sz w:val="20"/>
          <w:szCs w:val="20"/>
          <w:lang w:val="en-US"/>
        </w:rPr>
      </w:pPr>
      <w:r w:rsidRPr="00033618">
        <w:rPr>
          <w:rFonts w:ascii="Arial" w:hAnsi="Arial" w:cs="Arial"/>
          <w:sz w:val="20"/>
          <w:szCs w:val="20"/>
          <w:lang w:val="en-US"/>
        </w:rPr>
        <w:t>According to seasonally adjusted labor market series</w:t>
      </w:r>
      <w:r w:rsidR="003E117B">
        <w:rPr>
          <w:rFonts w:ascii="Arial" w:hAnsi="Arial" w:cs="Arial"/>
          <w:sz w:val="20"/>
          <w:szCs w:val="20"/>
          <w:lang w:val="en-US"/>
        </w:rPr>
        <w:t>, employment increased in all</w:t>
      </w:r>
      <w:r w:rsidRPr="00033618">
        <w:rPr>
          <w:rFonts w:ascii="Arial" w:hAnsi="Arial" w:cs="Arial"/>
          <w:sz w:val="20"/>
          <w:szCs w:val="20"/>
          <w:lang w:val="en-US"/>
        </w:rPr>
        <w:t xml:space="preserve"> sectors </w:t>
      </w:r>
      <w:r w:rsidR="003E117B">
        <w:rPr>
          <w:rFonts w:ascii="Arial" w:hAnsi="Arial" w:cs="Arial"/>
          <w:sz w:val="20"/>
          <w:szCs w:val="20"/>
          <w:lang w:val="en-US"/>
        </w:rPr>
        <w:t>except</w:t>
      </w:r>
      <w:r w:rsidRPr="00033618">
        <w:rPr>
          <w:rFonts w:ascii="Arial" w:hAnsi="Arial" w:cs="Arial"/>
          <w:sz w:val="20"/>
          <w:szCs w:val="20"/>
          <w:lang w:val="en-US"/>
        </w:rPr>
        <w:t xml:space="preserve"> construction</w:t>
      </w:r>
      <w:r w:rsidR="003E117B">
        <w:rPr>
          <w:rFonts w:ascii="Arial" w:hAnsi="Arial" w:cs="Arial"/>
          <w:sz w:val="20"/>
          <w:szCs w:val="20"/>
          <w:lang w:val="en-US"/>
        </w:rPr>
        <w:t xml:space="preserve">, </w:t>
      </w:r>
      <w:r w:rsidR="003E117B" w:rsidRPr="00033618">
        <w:rPr>
          <w:rFonts w:ascii="Arial" w:hAnsi="Arial" w:cs="Arial"/>
          <w:sz w:val="20"/>
          <w:szCs w:val="20"/>
          <w:lang w:val="en-US"/>
        </w:rPr>
        <w:t>, compar</w:t>
      </w:r>
      <w:r w:rsidR="003E117B">
        <w:rPr>
          <w:rFonts w:ascii="Arial" w:hAnsi="Arial" w:cs="Arial"/>
          <w:sz w:val="20"/>
          <w:szCs w:val="20"/>
          <w:lang w:val="en-US"/>
        </w:rPr>
        <w:t>ed to the period of March 2015</w:t>
      </w:r>
      <w:r w:rsidRPr="00033618">
        <w:rPr>
          <w:rFonts w:ascii="Arial" w:hAnsi="Arial" w:cs="Arial"/>
          <w:sz w:val="20"/>
          <w:szCs w:val="20"/>
          <w:lang w:val="en-US"/>
        </w:rPr>
        <w:t xml:space="preserve"> </w:t>
      </w:r>
      <w:r w:rsidR="008F5486" w:rsidRPr="00033618">
        <w:rPr>
          <w:rFonts w:ascii="Arial" w:hAnsi="Arial" w:cs="Arial"/>
          <w:sz w:val="20"/>
          <w:szCs w:val="20"/>
          <w:lang w:val="en-US"/>
        </w:rPr>
        <w:t>(</w:t>
      </w:r>
      <w:r w:rsidR="00913D9F">
        <w:fldChar w:fldCharType="begin"/>
      </w:r>
      <w:r w:rsidR="00913D9F">
        <w:instrText xml:space="preserve"> REF _Ref374950071 \h  \* MERGEFORMAT </w:instrText>
      </w:r>
      <w:r w:rsidR="00913D9F">
        <w:fldChar w:fldCharType="separate"/>
      </w:r>
      <w:r w:rsidRPr="00033618">
        <w:rPr>
          <w:rFonts w:ascii="Arial" w:hAnsi="Arial" w:cs="Arial"/>
          <w:sz w:val="20"/>
          <w:szCs w:val="20"/>
          <w:lang w:val="en-US"/>
        </w:rPr>
        <w:t>Figure</w:t>
      </w:r>
      <w:r w:rsidR="008F5486" w:rsidRPr="00033618">
        <w:rPr>
          <w:rFonts w:ascii="Arial" w:hAnsi="Arial" w:cs="Arial"/>
          <w:sz w:val="20"/>
          <w:szCs w:val="20"/>
          <w:lang w:val="en-US"/>
        </w:rPr>
        <w:t xml:space="preserve"> 4</w:t>
      </w:r>
      <w:r w:rsidR="00913D9F">
        <w:fldChar w:fldCharType="end"/>
      </w:r>
      <w:r w:rsidR="008F5486" w:rsidRPr="00033618">
        <w:rPr>
          <w:rFonts w:ascii="Arial" w:hAnsi="Arial" w:cs="Arial"/>
          <w:sz w:val="20"/>
          <w:szCs w:val="20"/>
          <w:lang w:val="en-US"/>
        </w:rPr>
        <w:t xml:space="preserve">, </w:t>
      </w:r>
      <w:r w:rsidR="00913D9F">
        <w:fldChar w:fldCharType="begin"/>
      </w:r>
      <w:r w:rsidR="00913D9F">
        <w:instrText xml:space="preserve"> REF _Ref374950055 \h  \* MERGEFORMAT </w:instrText>
      </w:r>
      <w:r w:rsidR="00913D9F">
        <w:fldChar w:fldCharType="separate"/>
      </w:r>
      <w:r w:rsidR="008F5486" w:rsidRPr="00033618">
        <w:rPr>
          <w:rFonts w:ascii="Arial" w:hAnsi="Arial" w:cs="Arial"/>
          <w:sz w:val="20"/>
          <w:szCs w:val="20"/>
          <w:lang w:val="en-US"/>
        </w:rPr>
        <w:t>Tabl</w:t>
      </w:r>
      <w:r w:rsidRPr="00033618">
        <w:rPr>
          <w:rFonts w:ascii="Arial" w:hAnsi="Arial" w:cs="Arial"/>
          <w:sz w:val="20"/>
          <w:szCs w:val="20"/>
          <w:lang w:val="en-US"/>
        </w:rPr>
        <w:t>e</w:t>
      </w:r>
      <w:r w:rsidR="008F5486" w:rsidRPr="00033618">
        <w:rPr>
          <w:rFonts w:ascii="Arial" w:hAnsi="Arial" w:cs="Arial"/>
          <w:sz w:val="20"/>
          <w:szCs w:val="20"/>
          <w:lang w:val="en-US"/>
        </w:rPr>
        <w:t xml:space="preserve"> 2</w:t>
      </w:r>
      <w:r w:rsidR="00913D9F">
        <w:fldChar w:fldCharType="end"/>
      </w:r>
      <w:r w:rsidR="008F5486" w:rsidRPr="00033618">
        <w:rPr>
          <w:rFonts w:ascii="Arial" w:hAnsi="Arial" w:cs="Arial"/>
          <w:sz w:val="20"/>
          <w:szCs w:val="20"/>
          <w:lang w:val="en-US"/>
        </w:rPr>
        <w:t>).</w:t>
      </w:r>
      <w:r w:rsidR="008F5486" w:rsidRPr="00033618">
        <w:rPr>
          <w:rStyle w:val="FootnoteReference"/>
          <w:rFonts w:ascii="Arial" w:hAnsi="Arial" w:cs="Arial"/>
          <w:sz w:val="20"/>
          <w:szCs w:val="20"/>
          <w:lang w:val="en-US"/>
        </w:rPr>
        <w:footnoteReference w:id="7"/>
      </w:r>
      <w:r w:rsidR="008F5486" w:rsidRPr="00033618">
        <w:rPr>
          <w:rFonts w:ascii="Arial" w:hAnsi="Arial" w:cs="Arial"/>
          <w:sz w:val="20"/>
          <w:szCs w:val="20"/>
          <w:lang w:val="en-US"/>
        </w:rPr>
        <w:t xml:space="preserve"> </w:t>
      </w:r>
      <w:r w:rsidR="003E117B">
        <w:rPr>
          <w:rFonts w:ascii="Arial" w:hAnsi="Arial" w:cs="Arial"/>
          <w:sz w:val="20"/>
          <w:szCs w:val="20"/>
          <w:lang w:val="en-US"/>
        </w:rPr>
        <w:t>E</w:t>
      </w:r>
      <w:r w:rsidRPr="00033618">
        <w:rPr>
          <w:rFonts w:ascii="Arial" w:hAnsi="Arial" w:cs="Arial"/>
          <w:sz w:val="20"/>
          <w:szCs w:val="20"/>
          <w:lang w:val="en-US"/>
        </w:rPr>
        <w:t>mployment in construction decreased by 23 thousand.  On the other hand, employment in agriculture and manufacturing sectors increased by 13 thousand and 18 thousand, respectively.</w:t>
      </w:r>
      <w:r w:rsidR="00721883" w:rsidRPr="00033618">
        <w:rPr>
          <w:rFonts w:ascii="Arial" w:hAnsi="Arial" w:cs="Arial"/>
          <w:sz w:val="20"/>
          <w:szCs w:val="20"/>
          <w:lang w:val="en-US"/>
        </w:rPr>
        <w:t xml:space="preserve"> Employment in services increased by 93 thousand for the period of April 2015. Hence,  increases i</w:t>
      </w:r>
      <w:r w:rsidR="003E117B">
        <w:rPr>
          <w:rFonts w:ascii="Arial" w:hAnsi="Arial" w:cs="Arial"/>
          <w:sz w:val="20"/>
          <w:szCs w:val="20"/>
          <w:lang w:val="en-US"/>
        </w:rPr>
        <w:t xml:space="preserve">n non-agricultural employment </w:t>
      </w:r>
      <w:r w:rsidR="00C94DDE">
        <w:rPr>
          <w:rFonts w:ascii="Arial" w:hAnsi="Arial" w:cs="Arial"/>
          <w:sz w:val="20"/>
          <w:szCs w:val="20"/>
          <w:lang w:val="en-US"/>
        </w:rPr>
        <w:t>amount</w:t>
      </w:r>
      <w:r w:rsidR="003E117B">
        <w:rPr>
          <w:rFonts w:ascii="Arial" w:hAnsi="Arial" w:cs="Arial"/>
          <w:sz w:val="20"/>
          <w:szCs w:val="20"/>
          <w:lang w:val="en-US"/>
        </w:rPr>
        <w:t xml:space="preserve"> to </w:t>
      </w:r>
      <w:r w:rsidR="00721883" w:rsidRPr="00033618">
        <w:rPr>
          <w:rFonts w:ascii="Arial" w:hAnsi="Arial" w:cs="Arial"/>
          <w:sz w:val="20"/>
          <w:szCs w:val="20"/>
          <w:lang w:val="en-US"/>
        </w:rPr>
        <w:t xml:space="preserve">88 thousand. </w:t>
      </w:r>
    </w:p>
    <w:p w:rsidR="00323FAE" w:rsidRPr="00033618" w:rsidRDefault="00323FAE" w:rsidP="00D67ED9">
      <w:pPr>
        <w:suppressAutoHyphens w:val="0"/>
        <w:jc w:val="both"/>
        <w:rPr>
          <w:rFonts w:ascii="Arial" w:hAnsi="Arial" w:cs="Arial"/>
          <w:bCs/>
          <w:sz w:val="20"/>
          <w:szCs w:val="20"/>
          <w:lang w:val="en-US"/>
        </w:rPr>
        <w:sectPr w:rsidR="00323FAE" w:rsidRPr="00033618" w:rsidSect="0000377B">
          <w:footerReference w:type="default" r:id="rId13"/>
          <w:pgSz w:w="11905" w:h="16837"/>
          <w:pgMar w:top="1418" w:right="992" w:bottom="777" w:left="709" w:header="709" w:footer="709" w:gutter="0"/>
          <w:cols w:space="708"/>
          <w:docGrid w:linePitch="360"/>
        </w:sectPr>
      </w:pPr>
    </w:p>
    <w:p w:rsidR="00EA68A6" w:rsidRPr="00033618" w:rsidRDefault="00A274C2" w:rsidP="00D25394">
      <w:pPr>
        <w:pStyle w:val="Caption"/>
        <w:keepNext/>
        <w:rPr>
          <w:rFonts w:ascii="Arial" w:hAnsi="Arial" w:cs="Arial"/>
          <w:lang w:val="en-US"/>
        </w:rPr>
      </w:pPr>
      <w:bookmarkStart w:id="4" w:name="_Ref374950071"/>
      <w:bookmarkStart w:id="5" w:name="_Ref374950067"/>
      <w:r w:rsidRPr="00033618">
        <w:rPr>
          <w:rFonts w:ascii="Arial" w:hAnsi="Arial" w:cs="Arial"/>
          <w:lang w:val="en-US"/>
        </w:rPr>
        <w:lastRenderedPageBreak/>
        <w:t>Figure</w:t>
      </w:r>
      <w:r w:rsidR="00FE704E" w:rsidRPr="00033618">
        <w:rPr>
          <w:rFonts w:ascii="Arial" w:hAnsi="Arial" w:cs="Arial"/>
          <w:lang w:val="en-US"/>
        </w:rPr>
        <w:t xml:space="preserve"> </w:t>
      </w:r>
      <w:r w:rsidR="000B6E10" w:rsidRPr="00033618">
        <w:rPr>
          <w:rFonts w:ascii="Arial" w:hAnsi="Arial" w:cs="Arial"/>
          <w:lang w:val="en-US"/>
        </w:rPr>
        <w:fldChar w:fldCharType="begin"/>
      </w:r>
      <w:r w:rsidR="00FE704E" w:rsidRPr="00033618">
        <w:rPr>
          <w:rFonts w:ascii="Arial" w:hAnsi="Arial" w:cs="Arial"/>
          <w:lang w:val="en-US"/>
        </w:rPr>
        <w:instrText xml:space="preserve"> SEQ Şekil \* ARABIC </w:instrText>
      </w:r>
      <w:r w:rsidR="000B6E10" w:rsidRPr="00033618">
        <w:rPr>
          <w:rFonts w:ascii="Arial" w:hAnsi="Arial" w:cs="Arial"/>
          <w:lang w:val="en-US"/>
        </w:rPr>
        <w:fldChar w:fldCharType="separate"/>
      </w:r>
      <w:r w:rsidR="000D183D" w:rsidRPr="00033618">
        <w:rPr>
          <w:rFonts w:ascii="Arial" w:hAnsi="Arial" w:cs="Arial"/>
          <w:noProof/>
          <w:lang w:val="en-US"/>
        </w:rPr>
        <w:t>4</w:t>
      </w:r>
      <w:r w:rsidR="000B6E10" w:rsidRPr="00033618">
        <w:rPr>
          <w:rFonts w:ascii="Arial" w:hAnsi="Arial" w:cs="Arial"/>
          <w:lang w:val="en-US"/>
        </w:rPr>
        <w:fldChar w:fldCharType="end"/>
      </w:r>
      <w:bookmarkEnd w:id="4"/>
      <w:r w:rsidR="00FE704E" w:rsidRPr="00033618">
        <w:rPr>
          <w:rFonts w:ascii="Arial" w:hAnsi="Arial" w:cs="Arial"/>
          <w:lang w:val="en-US"/>
        </w:rPr>
        <w:t xml:space="preserve"> </w:t>
      </w:r>
      <w:bookmarkEnd w:id="5"/>
      <w:r w:rsidR="008B7693" w:rsidRPr="00033618">
        <w:rPr>
          <w:rFonts w:ascii="Arial" w:hAnsi="Arial" w:cs="Arial"/>
          <w:lang w:val="en-US"/>
        </w:rPr>
        <w:t>Employment by sectors (in thousands)</w:t>
      </w:r>
    </w:p>
    <w:p w:rsidR="00EA68A6" w:rsidRPr="00033618" w:rsidRDefault="00EA68A6" w:rsidP="00D25394">
      <w:pPr>
        <w:pStyle w:val="Caption"/>
        <w:keepNext/>
        <w:rPr>
          <w:rFonts w:ascii="Arial" w:hAnsi="Arial" w:cs="Arial"/>
          <w:lang w:val="en-US"/>
        </w:rPr>
      </w:pPr>
    </w:p>
    <w:p w:rsidR="00EA68A6" w:rsidRPr="00033618" w:rsidRDefault="00EA68A6" w:rsidP="00D25394">
      <w:pPr>
        <w:pStyle w:val="Caption"/>
        <w:keepNext/>
        <w:rPr>
          <w:rFonts w:ascii="Arial" w:hAnsi="Arial" w:cs="Arial"/>
          <w:lang w:val="en-US"/>
        </w:rPr>
      </w:pPr>
      <w:r w:rsidRPr="00033618">
        <w:rPr>
          <w:rFonts w:ascii="Arial" w:hAnsi="Arial" w:cs="Arial"/>
          <w:noProof/>
          <w:lang w:eastAsia="tr-TR"/>
        </w:rPr>
        <w:drawing>
          <wp:inline distT="0" distB="0" distL="0" distR="0">
            <wp:extent cx="9316019" cy="5711588"/>
            <wp:effectExtent l="1905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9319261" cy="5713576"/>
                    </a:xfrm>
                    <a:prstGeom prst="rect">
                      <a:avLst/>
                    </a:prstGeom>
                    <a:noFill/>
                  </pic:spPr>
                </pic:pic>
              </a:graphicData>
            </a:graphic>
          </wp:inline>
        </w:drawing>
      </w:r>
    </w:p>
    <w:p w:rsidR="00B04467" w:rsidRPr="00033618" w:rsidRDefault="00B04467" w:rsidP="00D25394">
      <w:pPr>
        <w:pStyle w:val="Caption"/>
        <w:keepNext/>
        <w:rPr>
          <w:lang w:val="en-US"/>
        </w:rPr>
      </w:pPr>
    </w:p>
    <w:p w:rsidR="00BC2E65" w:rsidRPr="00033618" w:rsidRDefault="00BC2E65" w:rsidP="00BC2E65">
      <w:pPr>
        <w:rPr>
          <w:rFonts w:ascii="Arial" w:hAnsi="Arial" w:cs="Arial"/>
          <w:bCs/>
          <w:sz w:val="18"/>
          <w:szCs w:val="18"/>
          <w:lang w:val="en-US"/>
        </w:rPr>
      </w:pPr>
      <w:r w:rsidRPr="00033618">
        <w:rPr>
          <w:rFonts w:ascii="Arial" w:hAnsi="Arial" w:cs="Arial"/>
          <w:sz w:val="18"/>
          <w:szCs w:val="18"/>
          <w:lang w:val="en-US"/>
        </w:rPr>
        <w:t>Source: Turkstat,</w:t>
      </w:r>
      <w:r w:rsidRPr="00033618">
        <w:rPr>
          <w:rFonts w:ascii="Arial" w:hAnsi="Arial" w:cs="Arial"/>
          <w:b/>
          <w:bCs/>
          <w:sz w:val="18"/>
          <w:szCs w:val="18"/>
          <w:lang w:val="en-US"/>
        </w:rPr>
        <w:t xml:space="preserve"> </w:t>
      </w:r>
      <w:r w:rsidRPr="00033618">
        <w:rPr>
          <w:rFonts w:ascii="Arial" w:hAnsi="Arial" w:cs="Arial"/>
          <w:bCs/>
          <w:sz w:val="18"/>
          <w:szCs w:val="18"/>
          <w:lang w:val="en-US"/>
        </w:rPr>
        <w:t>Betam</w:t>
      </w:r>
    </w:p>
    <w:p w:rsidR="00667FE8" w:rsidRPr="00033618" w:rsidRDefault="00667FE8" w:rsidP="00323218">
      <w:pPr>
        <w:rPr>
          <w:rFonts w:ascii="Arial" w:hAnsi="Arial" w:cs="Arial"/>
          <w:b/>
          <w:bCs/>
          <w:sz w:val="18"/>
          <w:szCs w:val="18"/>
          <w:lang w:val="en-US"/>
        </w:rPr>
        <w:sectPr w:rsidR="00667FE8" w:rsidRPr="00033618" w:rsidSect="00323218">
          <w:pgSz w:w="16837" w:h="11905" w:orient="landscape"/>
          <w:pgMar w:top="992" w:right="777" w:bottom="709" w:left="1418" w:header="709" w:footer="709" w:gutter="0"/>
          <w:cols w:space="708"/>
          <w:docGrid w:linePitch="360"/>
        </w:sectPr>
      </w:pPr>
    </w:p>
    <w:p w:rsidR="008F5486" w:rsidRPr="00033618" w:rsidRDefault="00667FE8" w:rsidP="008F5486">
      <w:pPr>
        <w:pStyle w:val="Caption"/>
        <w:keepNext/>
        <w:rPr>
          <w:rFonts w:ascii="Arial" w:hAnsi="Arial" w:cs="Arial"/>
          <w:lang w:val="en-US"/>
        </w:rPr>
      </w:pPr>
      <w:bookmarkStart w:id="6" w:name="_Ref374950011"/>
      <w:bookmarkStart w:id="7" w:name="_Ref374950008"/>
      <w:r w:rsidRPr="00033618">
        <w:rPr>
          <w:rFonts w:ascii="Arial" w:hAnsi="Arial" w:cs="Arial"/>
          <w:lang w:val="en-US"/>
        </w:rPr>
        <w:lastRenderedPageBreak/>
        <w:t>Tabl</w:t>
      </w:r>
      <w:r w:rsidR="00321D3C" w:rsidRPr="00033618">
        <w:rPr>
          <w:rFonts w:ascii="Arial" w:hAnsi="Arial" w:cs="Arial"/>
          <w:lang w:val="en-US"/>
        </w:rPr>
        <w:t>e</w:t>
      </w:r>
      <w:r w:rsidRPr="00033618">
        <w:rPr>
          <w:rFonts w:ascii="Arial" w:hAnsi="Arial" w:cs="Arial"/>
          <w:lang w:val="en-US"/>
        </w:rPr>
        <w:t xml:space="preserve"> </w:t>
      </w:r>
      <w:r w:rsidR="000B6E10" w:rsidRPr="00033618">
        <w:rPr>
          <w:rFonts w:ascii="Arial" w:hAnsi="Arial" w:cs="Arial"/>
          <w:lang w:val="en-US"/>
        </w:rPr>
        <w:fldChar w:fldCharType="begin"/>
      </w:r>
      <w:r w:rsidRPr="00033618">
        <w:rPr>
          <w:rFonts w:ascii="Arial" w:hAnsi="Arial" w:cs="Arial"/>
          <w:lang w:val="en-US"/>
        </w:rPr>
        <w:instrText xml:space="preserve"> SEQ Tablo \* ARABIC </w:instrText>
      </w:r>
      <w:r w:rsidR="000B6E10" w:rsidRPr="00033618">
        <w:rPr>
          <w:rFonts w:ascii="Arial" w:hAnsi="Arial" w:cs="Arial"/>
          <w:lang w:val="en-US"/>
        </w:rPr>
        <w:fldChar w:fldCharType="separate"/>
      </w:r>
      <w:r w:rsidR="000D183D" w:rsidRPr="00033618">
        <w:rPr>
          <w:rFonts w:ascii="Arial" w:hAnsi="Arial" w:cs="Arial"/>
          <w:noProof/>
          <w:lang w:val="en-US"/>
        </w:rPr>
        <w:t>1</w:t>
      </w:r>
      <w:r w:rsidR="000B6E10" w:rsidRPr="00033618">
        <w:rPr>
          <w:rFonts w:ascii="Arial" w:hAnsi="Arial" w:cs="Arial"/>
          <w:lang w:val="en-US"/>
        </w:rPr>
        <w:fldChar w:fldCharType="end"/>
      </w:r>
      <w:bookmarkEnd w:id="6"/>
      <w:r w:rsidR="004610F9" w:rsidRPr="00033618">
        <w:rPr>
          <w:rFonts w:ascii="Arial" w:hAnsi="Arial" w:cs="Arial"/>
          <w:lang w:val="en-US"/>
        </w:rPr>
        <w:t xml:space="preserve"> </w:t>
      </w:r>
      <w:bookmarkEnd w:id="7"/>
      <w:r w:rsidR="009F624F" w:rsidRPr="00033618">
        <w:rPr>
          <w:rFonts w:ascii="Arial" w:hAnsi="Arial" w:cs="Arial"/>
          <w:lang w:val="en-US"/>
        </w:rPr>
        <w:t>Seasonally adjusted non-agricultural labor force indicators (in thousands)</w:t>
      </w:r>
      <w:r w:rsidR="003B146B" w:rsidRPr="00033618">
        <w:rPr>
          <w:rFonts w:ascii="Arial" w:hAnsi="Arial" w:cs="Arial"/>
          <w:lang w:val="en-US"/>
        </w:rPr>
        <w:t>*</w:t>
      </w:r>
    </w:p>
    <w:tbl>
      <w:tblPr>
        <w:tblW w:w="9936" w:type="dxa"/>
        <w:tblInd w:w="57" w:type="dxa"/>
        <w:tblLayout w:type="fixed"/>
        <w:tblCellMar>
          <w:left w:w="70" w:type="dxa"/>
          <w:right w:w="70" w:type="dxa"/>
        </w:tblCellMar>
        <w:tblLook w:val="04A0" w:firstRow="1" w:lastRow="0" w:firstColumn="1" w:lastColumn="0" w:noHBand="0" w:noVBand="1"/>
      </w:tblPr>
      <w:tblGrid>
        <w:gridCol w:w="1200"/>
        <w:gridCol w:w="1081"/>
        <w:gridCol w:w="1101"/>
        <w:gridCol w:w="1296"/>
        <w:gridCol w:w="1672"/>
        <w:gridCol w:w="1034"/>
        <w:gridCol w:w="1134"/>
        <w:gridCol w:w="1418"/>
      </w:tblGrid>
      <w:tr w:rsidR="008F5486" w:rsidRPr="00033618" w:rsidTr="00721883">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8F5486" w:rsidRPr="00033618" w:rsidRDefault="008F5486"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 </w:t>
            </w:r>
          </w:p>
        </w:tc>
        <w:tc>
          <w:tcPr>
            <w:tcW w:w="1081" w:type="dxa"/>
            <w:tcBorders>
              <w:top w:val="single" w:sz="8" w:space="0" w:color="auto"/>
              <w:left w:val="nil"/>
              <w:bottom w:val="nil"/>
              <w:right w:val="nil"/>
            </w:tcBorders>
            <w:shd w:val="clear" w:color="auto" w:fill="auto"/>
            <w:noWrap/>
            <w:vAlign w:val="bottom"/>
            <w:hideMark/>
          </w:tcPr>
          <w:p w:rsidR="008F5486" w:rsidRPr="00033618" w:rsidRDefault="00853723" w:rsidP="008F5486">
            <w:pPr>
              <w:suppressAutoHyphens w:val="0"/>
              <w:rPr>
                <w:rFonts w:ascii="Arial" w:hAnsi="Arial" w:cs="Arial"/>
                <w:b/>
                <w:bCs/>
                <w:sz w:val="16"/>
                <w:szCs w:val="16"/>
                <w:lang w:val="en-US" w:eastAsia="tr-TR"/>
              </w:rPr>
            </w:pPr>
            <w:r w:rsidRPr="00033618">
              <w:rPr>
                <w:rFonts w:ascii="Arial" w:hAnsi="Arial" w:cs="Arial"/>
                <w:b/>
                <w:bCs/>
                <w:sz w:val="16"/>
                <w:szCs w:val="16"/>
                <w:lang w:val="en-US" w:eastAsia="tr-TR"/>
              </w:rPr>
              <w:t>Labor force</w:t>
            </w:r>
          </w:p>
        </w:tc>
        <w:tc>
          <w:tcPr>
            <w:tcW w:w="1101" w:type="dxa"/>
            <w:tcBorders>
              <w:top w:val="single" w:sz="8" w:space="0" w:color="auto"/>
              <w:left w:val="nil"/>
              <w:bottom w:val="nil"/>
              <w:right w:val="nil"/>
            </w:tcBorders>
            <w:shd w:val="clear" w:color="auto" w:fill="auto"/>
            <w:noWrap/>
            <w:vAlign w:val="bottom"/>
            <w:hideMark/>
          </w:tcPr>
          <w:p w:rsidR="008F5486" w:rsidRPr="00033618" w:rsidRDefault="00853723" w:rsidP="008F5486">
            <w:pPr>
              <w:suppressAutoHyphens w:val="0"/>
              <w:rPr>
                <w:rFonts w:ascii="Arial" w:hAnsi="Arial" w:cs="Arial"/>
                <w:b/>
                <w:bCs/>
                <w:sz w:val="16"/>
                <w:szCs w:val="16"/>
                <w:lang w:val="en-US" w:eastAsia="tr-TR"/>
              </w:rPr>
            </w:pPr>
            <w:r w:rsidRPr="00033618">
              <w:rPr>
                <w:rFonts w:ascii="Arial" w:hAnsi="Arial" w:cs="Arial"/>
                <w:b/>
                <w:bCs/>
                <w:sz w:val="16"/>
                <w:szCs w:val="16"/>
                <w:lang w:val="en-US" w:eastAsia="tr-TR"/>
              </w:rPr>
              <w:t>Employment</w:t>
            </w:r>
          </w:p>
        </w:tc>
        <w:tc>
          <w:tcPr>
            <w:tcW w:w="1296" w:type="dxa"/>
            <w:tcBorders>
              <w:top w:val="single" w:sz="8" w:space="0" w:color="auto"/>
              <w:left w:val="nil"/>
              <w:bottom w:val="nil"/>
              <w:right w:val="nil"/>
            </w:tcBorders>
            <w:shd w:val="clear" w:color="auto" w:fill="auto"/>
            <w:noWrap/>
            <w:vAlign w:val="bottom"/>
            <w:hideMark/>
          </w:tcPr>
          <w:p w:rsidR="008F5486" w:rsidRPr="00033618" w:rsidRDefault="00853723" w:rsidP="008F5486">
            <w:pPr>
              <w:suppressAutoHyphens w:val="0"/>
              <w:rPr>
                <w:rFonts w:ascii="Arial" w:hAnsi="Arial" w:cs="Arial"/>
                <w:b/>
                <w:bCs/>
                <w:sz w:val="16"/>
                <w:szCs w:val="16"/>
                <w:lang w:val="en-US" w:eastAsia="tr-TR"/>
              </w:rPr>
            </w:pPr>
            <w:r w:rsidRPr="00033618">
              <w:rPr>
                <w:rFonts w:ascii="Arial" w:hAnsi="Arial" w:cs="Arial"/>
                <w:b/>
                <w:bCs/>
                <w:sz w:val="16"/>
                <w:szCs w:val="16"/>
                <w:lang w:val="en-US" w:eastAsia="tr-TR"/>
              </w:rPr>
              <w:t>Unemployment</w:t>
            </w:r>
          </w:p>
        </w:tc>
        <w:tc>
          <w:tcPr>
            <w:tcW w:w="1672" w:type="dxa"/>
            <w:tcBorders>
              <w:top w:val="single" w:sz="8" w:space="0" w:color="auto"/>
              <w:left w:val="nil"/>
              <w:bottom w:val="nil"/>
              <w:right w:val="single" w:sz="8" w:space="0" w:color="auto"/>
            </w:tcBorders>
            <w:shd w:val="clear" w:color="auto" w:fill="auto"/>
            <w:noWrap/>
            <w:vAlign w:val="bottom"/>
            <w:hideMark/>
          </w:tcPr>
          <w:p w:rsidR="008F5486" w:rsidRPr="00033618" w:rsidRDefault="00853723" w:rsidP="008F5486">
            <w:pPr>
              <w:suppressAutoHyphens w:val="0"/>
              <w:rPr>
                <w:rFonts w:ascii="Arial" w:hAnsi="Arial" w:cs="Arial"/>
                <w:b/>
                <w:bCs/>
                <w:sz w:val="16"/>
                <w:szCs w:val="16"/>
                <w:lang w:val="en-US" w:eastAsia="tr-TR"/>
              </w:rPr>
            </w:pPr>
            <w:r w:rsidRPr="00033618">
              <w:rPr>
                <w:rFonts w:ascii="Arial" w:hAnsi="Arial" w:cs="Arial"/>
                <w:b/>
                <w:bCs/>
                <w:sz w:val="16"/>
                <w:szCs w:val="16"/>
                <w:lang w:val="en-US" w:eastAsia="tr-TR"/>
              </w:rPr>
              <w:t>Unemployment rate</w:t>
            </w:r>
          </w:p>
        </w:tc>
        <w:tc>
          <w:tcPr>
            <w:tcW w:w="3586" w:type="dxa"/>
            <w:gridSpan w:val="3"/>
            <w:tcBorders>
              <w:top w:val="single" w:sz="8" w:space="0" w:color="auto"/>
              <w:left w:val="nil"/>
              <w:bottom w:val="single" w:sz="8" w:space="0" w:color="auto"/>
              <w:right w:val="single" w:sz="8" w:space="0" w:color="000000"/>
            </w:tcBorders>
            <w:shd w:val="clear" w:color="auto" w:fill="auto"/>
            <w:vAlign w:val="bottom"/>
            <w:hideMark/>
          </w:tcPr>
          <w:p w:rsidR="008F5486" w:rsidRPr="00033618" w:rsidRDefault="00853723" w:rsidP="008F5486">
            <w:pPr>
              <w:suppressAutoHyphens w:val="0"/>
              <w:jc w:val="center"/>
              <w:rPr>
                <w:rFonts w:ascii="Arial" w:hAnsi="Arial" w:cs="Arial"/>
                <w:b/>
                <w:bCs/>
                <w:sz w:val="16"/>
                <w:szCs w:val="16"/>
                <w:lang w:val="en-US" w:eastAsia="tr-TR"/>
              </w:rPr>
            </w:pPr>
            <w:r w:rsidRPr="00033618">
              <w:rPr>
                <w:rFonts w:ascii="Arial" w:hAnsi="Arial" w:cs="Arial"/>
                <w:b/>
                <w:bCs/>
                <w:sz w:val="16"/>
                <w:szCs w:val="16"/>
                <w:lang w:val="en-US" w:eastAsia="tr-TR"/>
              </w:rPr>
              <w:t>Monthly changes</w:t>
            </w:r>
          </w:p>
        </w:tc>
      </w:tr>
      <w:tr w:rsidR="00853723" w:rsidRPr="00033618" w:rsidTr="00721883">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March-12</w:t>
            </w:r>
          </w:p>
        </w:tc>
        <w:tc>
          <w:tcPr>
            <w:tcW w:w="1081" w:type="dxa"/>
            <w:tcBorders>
              <w:top w:val="single" w:sz="8" w:space="0" w:color="auto"/>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20387</w:t>
            </w:r>
          </w:p>
        </w:tc>
        <w:tc>
          <w:tcPr>
            <w:tcW w:w="1101" w:type="dxa"/>
            <w:tcBorders>
              <w:top w:val="single" w:sz="8" w:space="0" w:color="auto"/>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18267</w:t>
            </w:r>
          </w:p>
        </w:tc>
        <w:tc>
          <w:tcPr>
            <w:tcW w:w="1296" w:type="dxa"/>
            <w:tcBorders>
              <w:top w:val="single" w:sz="8" w:space="0" w:color="auto"/>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2120</w:t>
            </w:r>
          </w:p>
        </w:tc>
        <w:tc>
          <w:tcPr>
            <w:tcW w:w="1672" w:type="dxa"/>
            <w:tcBorders>
              <w:top w:val="single" w:sz="8" w:space="0" w:color="auto"/>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10.4%</w:t>
            </w:r>
          </w:p>
        </w:tc>
        <w:tc>
          <w:tcPr>
            <w:tcW w:w="1034" w:type="dxa"/>
            <w:tcBorders>
              <w:top w:val="nil"/>
              <w:left w:val="nil"/>
              <w:bottom w:val="single" w:sz="8" w:space="0" w:color="auto"/>
              <w:right w:val="nil"/>
            </w:tcBorders>
            <w:shd w:val="clear" w:color="auto" w:fill="auto"/>
            <w:vAlign w:val="bottom"/>
            <w:hideMark/>
          </w:tcPr>
          <w:p w:rsidR="00853723" w:rsidRPr="00033618" w:rsidRDefault="00853723" w:rsidP="008F5486">
            <w:pPr>
              <w:suppressAutoHyphens w:val="0"/>
              <w:jc w:val="center"/>
              <w:rPr>
                <w:rFonts w:ascii="Arial" w:hAnsi="Arial" w:cs="Arial"/>
                <w:b/>
                <w:bCs/>
                <w:sz w:val="16"/>
                <w:szCs w:val="16"/>
                <w:lang w:val="en-US" w:eastAsia="tr-TR"/>
              </w:rPr>
            </w:pPr>
            <w:r w:rsidRPr="00033618">
              <w:rPr>
                <w:rFonts w:ascii="Arial" w:hAnsi="Arial" w:cs="Arial"/>
                <w:b/>
                <w:bCs/>
                <w:sz w:val="16"/>
                <w:szCs w:val="16"/>
                <w:lang w:val="en-US" w:eastAsia="tr-TR"/>
              </w:rPr>
              <w:t xml:space="preserve">Labor force </w:t>
            </w:r>
          </w:p>
        </w:tc>
        <w:tc>
          <w:tcPr>
            <w:tcW w:w="1134" w:type="dxa"/>
            <w:tcBorders>
              <w:top w:val="nil"/>
              <w:left w:val="nil"/>
              <w:bottom w:val="single" w:sz="8" w:space="0" w:color="auto"/>
              <w:right w:val="nil"/>
            </w:tcBorders>
            <w:shd w:val="clear" w:color="auto" w:fill="auto"/>
            <w:vAlign w:val="bottom"/>
            <w:hideMark/>
          </w:tcPr>
          <w:p w:rsidR="00853723" w:rsidRPr="00033618" w:rsidRDefault="00853723" w:rsidP="008F5486">
            <w:pPr>
              <w:suppressAutoHyphens w:val="0"/>
              <w:jc w:val="center"/>
              <w:rPr>
                <w:rFonts w:ascii="Arial" w:hAnsi="Arial" w:cs="Arial"/>
                <w:b/>
                <w:bCs/>
                <w:sz w:val="16"/>
                <w:szCs w:val="16"/>
                <w:lang w:val="en-US" w:eastAsia="tr-TR"/>
              </w:rPr>
            </w:pPr>
            <w:r w:rsidRPr="00033618">
              <w:rPr>
                <w:rFonts w:ascii="Arial" w:hAnsi="Arial" w:cs="Arial"/>
                <w:b/>
                <w:bCs/>
                <w:sz w:val="16"/>
                <w:szCs w:val="16"/>
                <w:lang w:val="en-US" w:eastAsia="tr-TR"/>
              </w:rPr>
              <w:t>Employment</w:t>
            </w:r>
          </w:p>
        </w:tc>
        <w:tc>
          <w:tcPr>
            <w:tcW w:w="1418" w:type="dxa"/>
            <w:tcBorders>
              <w:top w:val="nil"/>
              <w:left w:val="nil"/>
              <w:bottom w:val="single" w:sz="8" w:space="0" w:color="auto"/>
              <w:right w:val="single" w:sz="8" w:space="0" w:color="auto"/>
            </w:tcBorders>
            <w:shd w:val="clear" w:color="auto" w:fill="auto"/>
            <w:vAlign w:val="bottom"/>
            <w:hideMark/>
          </w:tcPr>
          <w:p w:rsidR="00853723" w:rsidRPr="00033618" w:rsidRDefault="00853723" w:rsidP="008F5486">
            <w:pPr>
              <w:suppressAutoHyphens w:val="0"/>
              <w:jc w:val="center"/>
              <w:rPr>
                <w:rFonts w:ascii="Arial" w:hAnsi="Arial" w:cs="Arial"/>
                <w:b/>
                <w:bCs/>
                <w:sz w:val="16"/>
                <w:szCs w:val="16"/>
                <w:lang w:val="en-US" w:eastAsia="tr-TR"/>
              </w:rPr>
            </w:pPr>
            <w:r w:rsidRPr="00033618">
              <w:rPr>
                <w:rFonts w:ascii="Arial" w:hAnsi="Arial" w:cs="Arial"/>
                <w:b/>
                <w:bCs/>
                <w:sz w:val="16"/>
                <w:szCs w:val="16"/>
                <w:lang w:val="en-US" w:eastAsia="tr-TR"/>
              </w:rPr>
              <w:t>Unemployment</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April-12</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20568</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18470</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2098</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10.2%</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181</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203</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-22</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May-12</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20679</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18590</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2089</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10.1%</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111</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120</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-9</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June-12</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20707</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18657</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2050</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9.9%</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28</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67</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-39</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July-12</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20792</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18713</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2079</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10.0%</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85</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56</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29</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August-12</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20865</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18758</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2107</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10.1%</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73</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45</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28</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September-12</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21068</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18877</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2191</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10.4%</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203</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119</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84</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October-12</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21185</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18982</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2203</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10.4%</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117</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105</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12</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November-12</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21359</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19095</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2264</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10.6%</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174</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113</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61</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December-12</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21459</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19141</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2318</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10.8%</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99</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46</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53</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January-13</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21525</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19222</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2303</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10.7%</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67</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81</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-14</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February-13</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21482</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19205</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2277</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10.6%</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-43</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-17</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-26</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March-13</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21572</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19264</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2308</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10.7%</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90</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59</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31</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April-13</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21760</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19410</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2350</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10.8%</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188</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146</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42</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May-13</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21835</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19455</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2380</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10.9%</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75</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45</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30</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June-13</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21833</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19475</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2358</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10.8%</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-22</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July-13</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21834</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19410</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2424</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11.1%</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-65</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66</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August-13</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21923</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19446</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2477</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11.3%</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90</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36</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54</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September-13</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21965</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19483</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2482</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11.3%</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42</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37</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5</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October-13</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22009</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19588</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2421</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11.0%</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44</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105</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-61</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November-13</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22007</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19586</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2421</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11.0%</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0</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December-13</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22256</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19830</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2426</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10.9%</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249</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244</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5</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January-14</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22510</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20011</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2499</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11.1%</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254</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181</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73</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February-14</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22795</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20265</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2530</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11.1%</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286</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254</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32</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March-14</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22922</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20378</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2544</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11.1%</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127</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113</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14</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April-14</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22981</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20407</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2574</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11.2%</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58</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29</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29</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May-14</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23069</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20393</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2676</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11.6%</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88</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-14</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102</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June-14</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23167</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20364</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2803</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12.1%</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98</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-29</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127</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July-14</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23269</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20360</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2909</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12.5%</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101</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-4</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105</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August-14</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23356</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20460</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2896</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12.4%</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88</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100</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-12</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September-14</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23566</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20573</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2993</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12.7%</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210</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113</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97</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October-14</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23697</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20711</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2986</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12.6%</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131</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138</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-7</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November-14</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23737</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20722</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3015</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12.7%</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40</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29</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December-14</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23744</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20776</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2968</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12.5%</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7</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54</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-47</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January-15</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23835</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20903</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2932</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12.3%</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91</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127</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-36</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February-15</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23899</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20983</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2916</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12.2%</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64</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80</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-16</w:t>
            </w:r>
          </w:p>
        </w:tc>
      </w:tr>
      <w:tr w:rsidR="00853723" w:rsidRPr="00033618" w:rsidTr="0072188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53723" w:rsidRPr="00033618" w:rsidRDefault="00853723" w:rsidP="00853723">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March-15</w:t>
            </w:r>
          </w:p>
        </w:tc>
        <w:tc>
          <w:tcPr>
            <w:tcW w:w="108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23825</w:t>
            </w:r>
          </w:p>
        </w:tc>
        <w:tc>
          <w:tcPr>
            <w:tcW w:w="1101"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20942</w:t>
            </w:r>
          </w:p>
        </w:tc>
        <w:tc>
          <w:tcPr>
            <w:tcW w:w="1296"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2883</w:t>
            </w:r>
          </w:p>
        </w:tc>
        <w:tc>
          <w:tcPr>
            <w:tcW w:w="1672"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12.1%</w:t>
            </w:r>
          </w:p>
        </w:tc>
        <w:tc>
          <w:tcPr>
            <w:tcW w:w="10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-74</w:t>
            </w:r>
          </w:p>
        </w:tc>
        <w:tc>
          <w:tcPr>
            <w:tcW w:w="1134" w:type="dxa"/>
            <w:tcBorders>
              <w:top w:val="nil"/>
              <w:left w:val="nil"/>
              <w:bottom w:val="nil"/>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-41</w:t>
            </w:r>
          </w:p>
        </w:tc>
        <w:tc>
          <w:tcPr>
            <w:tcW w:w="1418" w:type="dxa"/>
            <w:tcBorders>
              <w:top w:val="nil"/>
              <w:left w:val="nil"/>
              <w:bottom w:val="nil"/>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-33</w:t>
            </w:r>
          </w:p>
        </w:tc>
      </w:tr>
      <w:tr w:rsidR="00853723" w:rsidRPr="00033618" w:rsidTr="00721883">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853723" w:rsidRPr="00033618" w:rsidRDefault="00853723" w:rsidP="008F5486">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April- 15</w:t>
            </w:r>
          </w:p>
        </w:tc>
        <w:tc>
          <w:tcPr>
            <w:tcW w:w="1081" w:type="dxa"/>
            <w:tcBorders>
              <w:top w:val="nil"/>
              <w:left w:val="nil"/>
              <w:bottom w:val="single" w:sz="8" w:space="0" w:color="auto"/>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23871</w:t>
            </w:r>
          </w:p>
        </w:tc>
        <w:tc>
          <w:tcPr>
            <w:tcW w:w="1101" w:type="dxa"/>
            <w:tcBorders>
              <w:top w:val="nil"/>
              <w:left w:val="nil"/>
              <w:bottom w:val="single" w:sz="8" w:space="0" w:color="auto"/>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21030</w:t>
            </w:r>
          </w:p>
        </w:tc>
        <w:tc>
          <w:tcPr>
            <w:tcW w:w="1296" w:type="dxa"/>
            <w:tcBorders>
              <w:top w:val="nil"/>
              <w:left w:val="nil"/>
              <w:bottom w:val="single" w:sz="8" w:space="0" w:color="auto"/>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2841</w:t>
            </w:r>
          </w:p>
        </w:tc>
        <w:tc>
          <w:tcPr>
            <w:tcW w:w="1672" w:type="dxa"/>
            <w:tcBorders>
              <w:top w:val="nil"/>
              <w:left w:val="nil"/>
              <w:bottom w:val="single" w:sz="8" w:space="0" w:color="auto"/>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11.9%</w:t>
            </w:r>
          </w:p>
        </w:tc>
        <w:tc>
          <w:tcPr>
            <w:tcW w:w="1034" w:type="dxa"/>
            <w:tcBorders>
              <w:top w:val="nil"/>
              <w:left w:val="nil"/>
              <w:bottom w:val="single" w:sz="8" w:space="0" w:color="auto"/>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46</w:t>
            </w:r>
          </w:p>
        </w:tc>
        <w:tc>
          <w:tcPr>
            <w:tcW w:w="1134" w:type="dxa"/>
            <w:tcBorders>
              <w:top w:val="nil"/>
              <w:left w:val="nil"/>
              <w:bottom w:val="single" w:sz="8" w:space="0" w:color="auto"/>
              <w:right w:val="nil"/>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88</w:t>
            </w:r>
          </w:p>
        </w:tc>
        <w:tc>
          <w:tcPr>
            <w:tcW w:w="1418" w:type="dxa"/>
            <w:tcBorders>
              <w:top w:val="nil"/>
              <w:left w:val="nil"/>
              <w:bottom w:val="single" w:sz="8" w:space="0" w:color="auto"/>
              <w:right w:val="single" w:sz="8" w:space="0" w:color="auto"/>
            </w:tcBorders>
            <w:shd w:val="clear" w:color="auto" w:fill="auto"/>
            <w:noWrap/>
            <w:vAlign w:val="bottom"/>
            <w:hideMark/>
          </w:tcPr>
          <w:p w:rsidR="00853723" w:rsidRPr="00033618" w:rsidRDefault="00853723" w:rsidP="008F5486">
            <w:pPr>
              <w:suppressAutoHyphens w:val="0"/>
              <w:jc w:val="center"/>
              <w:rPr>
                <w:rFonts w:ascii="Arial" w:hAnsi="Arial" w:cs="Arial"/>
                <w:sz w:val="16"/>
                <w:szCs w:val="16"/>
                <w:lang w:val="en-US" w:eastAsia="tr-TR"/>
              </w:rPr>
            </w:pPr>
            <w:r w:rsidRPr="00033618">
              <w:rPr>
                <w:rFonts w:ascii="Arial" w:hAnsi="Arial" w:cs="Arial"/>
                <w:sz w:val="16"/>
                <w:szCs w:val="16"/>
                <w:lang w:val="en-US" w:eastAsia="tr-TR"/>
              </w:rPr>
              <w:t>-42</w:t>
            </w:r>
          </w:p>
        </w:tc>
      </w:tr>
    </w:tbl>
    <w:p w:rsidR="00BC2E65" w:rsidRPr="00033618" w:rsidRDefault="00BC2E65" w:rsidP="00BC2E65">
      <w:pPr>
        <w:rPr>
          <w:rFonts w:ascii="Arial" w:hAnsi="Arial" w:cs="Arial"/>
          <w:bCs/>
          <w:sz w:val="18"/>
          <w:szCs w:val="18"/>
          <w:lang w:val="en-US"/>
        </w:rPr>
      </w:pPr>
      <w:r w:rsidRPr="00033618">
        <w:rPr>
          <w:rFonts w:ascii="Arial" w:hAnsi="Arial" w:cs="Arial"/>
          <w:sz w:val="18"/>
          <w:szCs w:val="18"/>
          <w:lang w:val="en-US"/>
        </w:rPr>
        <w:t>Source: Turkstat,</w:t>
      </w:r>
      <w:r w:rsidRPr="00033618">
        <w:rPr>
          <w:rFonts w:ascii="Arial" w:hAnsi="Arial" w:cs="Arial"/>
          <w:b/>
          <w:bCs/>
          <w:sz w:val="18"/>
          <w:szCs w:val="18"/>
          <w:lang w:val="en-US"/>
        </w:rPr>
        <w:t xml:space="preserve"> </w:t>
      </w:r>
      <w:r w:rsidRPr="00033618">
        <w:rPr>
          <w:rFonts w:ascii="Arial" w:hAnsi="Arial" w:cs="Arial"/>
          <w:bCs/>
          <w:sz w:val="18"/>
          <w:szCs w:val="18"/>
          <w:lang w:val="en-US"/>
        </w:rPr>
        <w:t>Betam</w:t>
      </w:r>
    </w:p>
    <w:p w:rsidR="00667FE8" w:rsidRPr="00033618" w:rsidRDefault="00667FE8" w:rsidP="00764346">
      <w:pPr>
        <w:rPr>
          <w:sz w:val="20"/>
          <w:szCs w:val="20"/>
          <w:lang w:val="en-US"/>
        </w:rPr>
      </w:pPr>
    </w:p>
    <w:p w:rsidR="00667FE8" w:rsidRPr="00033618" w:rsidRDefault="00667FE8" w:rsidP="00764346">
      <w:pPr>
        <w:rPr>
          <w:sz w:val="20"/>
          <w:szCs w:val="20"/>
          <w:lang w:val="en-US"/>
        </w:rPr>
      </w:pPr>
    </w:p>
    <w:p w:rsidR="00667FE8" w:rsidRPr="00033618" w:rsidRDefault="00667FE8" w:rsidP="00CE2910">
      <w:pPr>
        <w:pStyle w:val="Caption"/>
        <w:keepNext/>
        <w:rPr>
          <w:rFonts w:ascii="Arial" w:hAnsi="Arial" w:cs="Arial"/>
          <w:lang w:val="en-US"/>
        </w:rPr>
      </w:pPr>
    </w:p>
    <w:p w:rsidR="00667FE8" w:rsidRPr="00033618" w:rsidRDefault="00667FE8" w:rsidP="00474EEA">
      <w:pPr>
        <w:rPr>
          <w:sz w:val="20"/>
          <w:szCs w:val="20"/>
          <w:lang w:val="en-US"/>
        </w:rPr>
      </w:pPr>
    </w:p>
    <w:p w:rsidR="00667FE8" w:rsidRPr="00033618" w:rsidRDefault="00667FE8" w:rsidP="00474EEA">
      <w:pPr>
        <w:rPr>
          <w:sz w:val="20"/>
          <w:szCs w:val="20"/>
          <w:lang w:val="en-US"/>
        </w:rPr>
      </w:pPr>
    </w:p>
    <w:p w:rsidR="00667FE8" w:rsidRPr="00033618" w:rsidRDefault="00667FE8" w:rsidP="00474EEA">
      <w:pPr>
        <w:rPr>
          <w:sz w:val="20"/>
          <w:szCs w:val="20"/>
          <w:lang w:val="en-US"/>
        </w:rPr>
      </w:pPr>
    </w:p>
    <w:p w:rsidR="00667FE8" w:rsidRPr="00033618" w:rsidRDefault="00667FE8" w:rsidP="00474EEA">
      <w:pPr>
        <w:rPr>
          <w:sz w:val="20"/>
          <w:szCs w:val="20"/>
          <w:lang w:val="en-US"/>
        </w:rPr>
      </w:pPr>
    </w:p>
    <w:p w:rsidR="00667FE8" w:rsidRPr="00033618" w:rsidRDefault="00667FE8" w:rsidP="00CE2910">
      <w:pPr>
        <w:pStyle w:val="Caption"/>
        <w:keepNext/>
        <w:rPr>
          <w:rFonts w:ascii="Arial" w:hAnsi="Arial" w:cs="Arial"/>
          <w:lang w:val="en-US"/>
        </w:rPr>
      </w:pPr>
      <w:r w:rsidRPr="00033618">
        <w:rPr>
          <w:rFonts w:ascii="Arial" w:hAnsi="Arial" w:cs="Arial"/>
          <w:lang w:val="en-US"/>
        </w:rPr>
        <w:br w:type="page"/>
      </w:r>
    </w:p>
    <w:p w:rsidR="008F5486" w:rsidRPr="00033618" w:rsidRDefault="00667FE8" w:rsidP="008F5486">
      <w:pPr>
        <w:pStyle w:val="Caption"/>
        <w:keepNext/>
        <w:rPr>
          <w:rFonts w:ascii="Arial" w:hAnsi="Arial" w:cs="Arial"/>
          <w:lang w:val="en-US"/>
        </w:rPr>
      </w:pPr>
      <w:bookmarkStart w:id="8" w:name="_Ref374950055"/>
      <w:r w:rsidRPr="00033618">
        <w:rPr>
          <w:rFonts w:ascii="Arial" w:hAnsi="Arial" w:cs="Arial"/>
          <w:lang w:val="en-US"/>
        </w:rPr>
        <w:lastRenderedPageBreak/>
        <w:t>Tabl</w:t>
      </w:r>
      <w:r w:rsidR="00321D3C" w:rsidRPr="00033618">
        <w:rPr>
          <w:rFonts w:ascii="Arial" w:hAnsi="Arial" w:cs="Arial"/>
          <w:lang w:val="en-US"/>
        </w:rPr>
        <w:t>e</w:t>
      </w:r>
      <w:r w:rsidRPr="00033618">
        <w:rPr>
          <w:rFonts w:ascii="Arial" w:hAnsi="Arial" w:cs="Arial"/>
          <w:lang w:val="en-US"/>
        </w:rPr>
        <w:t xml:space="preserve"> </w:t>
      </w:r>
      <w:r w:rsidR="000B6E10" w:rsidRPr="00033618">
        <w:rPr>
          <w:rFonts w:ascii="Arial" w:hAnsi="Arial" w:cs="Arial"/>
          <w:lang w:val="en-US"/>
        </w:rPr>
        <w:fldChar w:fldCharType="begin"/>
      </w:r>
      <w:r w:rsidRPr="00033618">
        <w:rPr>
          <w:rFonts w:ascii="Arial" w:hAnsi="Arial" w:cs="Arial"/>
          <w:lang w:val="en-US"/>
        </w:rPr>
        <w:instrText xml:space="preserve"> SEQ Tablo \* ARABIC </w:instrText>
      </w:r>
      <w:r w:rsidR="000B6E10" w:rsidRPr="00033618">
        <w:rPr>
          <w:rFonts w:ascii="Arial" w:hAnsi="Arial" w:cs="Arial"/>
          <w:lang w:val="en-US"/>
        </w:rPr>
        <w:fldChar w:fldCharType="separate"/>
      </w:r>
      <w:r w:rsidR="000D183D" w:rsidRPr="00033618">
        <w:rPr>
          <w:rFonts w:ascii="Arial" w:hAnsi="Arial" w:cs="Arial"/>
          <w:noProof/>
          <w:lang w:val="en-US"/>
        </w:rPr>
        <w:t>2</w:t>
      </w:r>
      <w:r w:rsidR="000B6E10" w:rsidRPr="00033618">
        <w:rPr>
          <w:rFonts w:ascii="Arial" w:hAnsi="Arial" w:cs="Arial"/>
          <w:lang w:val="en-US"/>
        </w:rPr>
        <w:fldChar w:fldCharType="end"/>
      </w:r>
      <w:bookmarkEnd w:id="8"/>
      <w:r w:rsidR="004610F9" w:rsidRPr="00033618">
        <w:rPr>
          <w:rFonts w:ascii="Arial" w:hAnsi="Arial" w:cs="Arial"/>
          <w:lang w:val="en-US"/>
        </w:rPr>
        <w:t xml:space="preserve"> </w:t>
      </w:r>
      <w:r w:rsidR="00033618" w:rsidRPr="00033618">
        <w:rPr>
          <w:rFonts w:ascii="Arial" w:hAnsi="Arial" w:cs="Arial"/>
          <w:lang w:val="en-US"/>
        </w:rPr>
        <w:t xml:space="preserve">Seasonally </w:t>
      </w:r>
      <w:r w:rsidR="007C1984" w:rsidRPr="00033618">
        <w:rPr>
          <w:rFonts w:ascii="Arial" w:hAnsi="Arial" w:cs="Arial"/>
          <w:lang w:val="en-US"/>
        </w:rPr>
        <w:t>adjusted employment by sectors (in thousands)*</w:t>
      </w:r>
    </w:p>
    <w:tbl>
      <w:tblPr>
        <w:tblW w:w="10283" w:type="dxa"/>
        <w:tblInd w:w="57" w:type="dxa"/>
        <w:tblCellMar>
          <w:left w:w="70" w:type="dxa"/>
          <w:right w:w="70" w:type="dxa"/>
        </w:tblCellMar>
        <w:tblLook w:val="04A0" w:firstRow="1" w:lastRow="0" w:firstColumn="1" w:lastColumn="0" w:noHBand="0" w:noVBand="1"/>
      </w:tblPr>
      <w:tblGrid>
        <w:gridCol w:w="1220"/>
        <w:gridCol w:w="1020"/>
        <w:gridCol w:w="1243"/>
        <w:gridCol w:w="1136"/>
        <w:gridCol w:w="1020"/>
        <w:gridCol w:w="994"/>
        <w:gridCol w:w="1285"/>
        <w:gridCol w:w="1136"/>
        <w:gridCol w:w="1229"/>
      </w:tblGrid>
      <w:tr w:rsidR="008F5486" w:rsidRPr="00033618" w:rsidTr="00FC2DE5">
        <w:trPr>
          <w:trHeight w:val="240"/>
        </w:trPr>
        <w:tc>
          <w:tcPr>
            <w:tcW w:w="1220" w:type="dxa"/>
            <w:tcBorders>
              <w:top w:val="single" w:sz="8" w:space="0" w:color="auto"/>
              <w:left w:val="single" w:sz="8" w:space="0" w:color="auto"/>
              <w:bottom w:val="nil"/>
              <w:right w:val="nil"/>
            </w:tcBorders>
            <w:shd w:val="clear" w:color="auto" w:fill="auto"/>
            <w:noWrap/>
            <w:vAlign w:val="bottom"/>
            <w:hideMark/>
          </w:tcPr>
          <w:p w:rsidR="008F5486" w:rsidRPr="00033618" w:rsidRDefault="008F5486" w:rsidP="008F5486">
            <w:pPr>
              <w:suppressAutoHyphens w:val="0"/>
              <w:rPr>
                <w:rFonts w:ascii="Arial" w:hAnsi="Arial" w:cs="Arial"/>
                <w:sz w:val="16"/>
                <w:szCs w:val="16"/>
                <w:lang w:val="en-US" w:eastAsia="tr-TR"/>
              </w:rPr>
            </w:pPr>
            <w:r w:rsidRPr="00033618">
              <w:rPr>
                <w:rFonts w:ascii="Arial" w:hAnsi="Arial" w:cs="Arial"/>
                <w:sz w:val="16"/>
                <w:szCs w:val="16"/>
                <w:lang w:val="en-US" w:eastAsia="tr-TR"/>
              </w:rPr>
              <w:t> </w:t>
            </w:r>
          </w:p>
        </w:tc>
        <w:tc>
          <w:tcPr>
            <w:tcW w:w="1020" w:type="dxa"/>
            <w:tcBorders>
              <w:top w:val="single" w:sz="8" w:space="0" w:color="auto"/>
              <w:left w:val="single" w:sz="8" w:space="0" w:color="auto"/>
              <w:bottom w:val="nil"/>
              <w:right w:val="nil"/>
            </w:tcBorders>
            <w:shd w:val="clear" w:color="auto" w:fill="auto"/>
            <w:noWrap/>
            <w:vAlign w:val="bottom"/>
            <w:hideMark/>
          </w:tcPr>
          <w:p w:rsidR="008F5486" w:rsidRPr="00033618" w:rsidRDefault="00FC2DE5" w:rsidP="008F5486">
            <w:pPr>
              <w:suppressAutoHyphens w:val="0"/>
              <w:rPr>
                <w:rFonts w:ascii="Arial" w:hAnsi="Arial" w:cs="Arial"/>
                <w:b/>
                <w:bCs/>
                <w:sz w:val="16"/>
                <w:szCs w:val="16"/>
                <w:lang w:val="en-US" w:eastAsia="tr-TR"/>
              </w:rPr>
            </w:pPr>
            <w:r w:rsidRPr="00033618">
              <w:rPr>
                <w:rFonts w:ascii="Arial" w:hAnsi="Arial" w:cs="Arial"/>
                <w:b/>
                <w:bCs/>
                <w:sz w:val="16"/>
                <w:szCs w:val="16"/>
                <w:lang w:val="en-US" w:eastAsia="tr-TR"/>
              </w:rPr>
              <w:t>Agriculture</w:t>
            </w:r>
          </w:p>
        </w:tc>
        <w:tc>
          <w:tcPr>
            <w:tcW w:w="1243" w:type="dxa"/>
            <w:tcBorders>
              <w:top w:val="single" w:sz="8" w:space="0" w:color="auto"/>
              <w:left w:val="nil"/>
              <w:bottom w:val="nil"/>
              <w:right w:val="nil"/>
            </w:tcBorders>
            <w:shd w:val="clear" w:color="auto" w:fill="auto"/>
            <w:noWrap/>
            <w:vAlign w:val="bottom"/>
            <w:hideMark/>
          </w:tcPr>
          <w:p w:rsidR="008F5486" w:rsidRPr="00033618" w:rsidRDefault="00FC2DE5" w:rsidP="008F5486">
            <w:pPr>
              <w:suppressAutoHyphens w:val="0"/>
              <w:rPr>
                <w:rFonts w:ascii="Arial" w:hAnsi="Arial" w:cs="Arial"/>
                <w:b/>
                <w:bCs/>
                <w:sz w:val="16"/>
                <w:szCs w:val="16"/>
                <w:lang w:val="en-US" w:eastAsia="tr-TR"/>
              </w:rPr>
            </w:pPr>
            <w:r w:rsidRPr="00033618">
              <w:rPr>
                <w:rFonts w:ascii="Arial" w:hAnsi="Arial" w:cs="Arial"/>
                <w:b/>
                <w:bCs/>
                <w:sz w:val="16"/>
                <w:szCs w:val="16"/>
                <w:lang w:val="en-US" w:eastAsia="tr-TR"/>
              </w:rPr>
              <w:t>Manufacturing</w:t>
            </w:r>
          </w:p>
        </w:tc>
        <w:tc>
          <w:tcPr>
            <w:tcW w:w="1136" w:type="dxa"/>
            <w:tcBorders>
              <w:top w:val="single" w:sz="8" w:space="0" w:color="auto"/>
              <w:left w:val="nil"/>
              <w:bottom w:val="nil"/>
              <w:right w:val="nil"/>
            </w:tcBorders>
            <w:shd w:val="clear" w:color="auto" w:fill="auto"/>
            <w:noWrap/>
            <w:vAlign w:val="bottom"/>
            <w:hideMark/>
          </w:tcPr>
          <w:p w:rsidR="008F5486" w:rsidRPr="00033618" w:rsidRDefault="00FC2DE5" w:rsidP="008F5486">
            <w:pPr>
              <w:suppressAutoHyphens w:val="0"/>
              <w:rPr>
                <w:rFonts w:ascii="Arial" w:hAnsi="Arial" w:cs="Arial"/>
                <w:b/>
                <w:bCs/>
                <w:sz w:val="16"/>
                <w:szCs w:val="16"/>
                <w:lang w:val="en-US" w:eastAsia="tr-TR"/>
              </w:rPr>
            </w:pPr>
            <w:r w:rsidRPr="00033618">
              <w:rPr>
                <w:rFonts w:ascii="Arial" w:hAnsi="Arial" w:cs="Arial"/>
                <w:b/>
                <w:bCs/>
                <w:sz w:val="16"/>
                <w:szCs w:val="16"/>
                <w:lang w:val="en-US" w:eastAsia="tr-TR"/>
              </w:rPr>
              <w:t>Construction</w:t>
            </w:r>
          </w:p>
        </w:tc>
        <w:tc>
          <w:tcPr>
            <w:tcW w:w="1020" w:type="dxa"/>
            <w:tcBorders>
              <w:top w:val="single" w:sz="8" w:space="0" w:color="auto"/>
              <w:left w:val="nil"/>
              <w:bottom w:val="nil"/>
              <w:right w:val="single" w:sz="8" w:space="0" w:color="auto"/>
            </w:tcBorders>
            <w:shd w:val="clear" w:color="auto" w:fill="auto"/>
            <w:noWrap/>
            <w:vAlign w:val="bottom"/>
            <w:hideMark/>
          </w:tcPr>
          <w:p w:rsidR="008F5486" w:rsidRPr="00033618" w:rsidRDefault="00FC2DE5" w:rsidP="008F5486">
            <w:pPr>
              <w:suppressAutoHyphens w:val="0"/>
              <w:rPr>
                <w:rFonts w:ascii="Arial" w:hAnsi="Arial" w:cs="Arial"/>
                <w:b/>
                <w:bCs/>
                <w:sz w:val="16"/>
                <w:szCs w:val="16"/>
                <w:lang w:val="en-US" w:eastAsia="tr-TR"/>
              </w:rPr>
            </w:pPr>
            <w:r w:rsidRPr="00033618">
              <w:rPr>
                <w:rFonts w:ascii="Arial" w:hAnsi="Arial" w:cs="Arial"/>
                <w:b/>
                <w:bCs/>
                <w:sz w:val="16"/>
                <w:szCs w:val="16"/>
                <w:lang w:val="en-US" w:eastAsia="tr-TR"/>
              </w:rPr>
              <w:t>Services</w:t>
            </w:r>
          </w:p>
        </w:tc>
        <w:tc>
          <w:tcPr>
            <w:tcW w:w="464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8F5486" w:rsidRPr="00033618" w:rsidRDefault="00FC2DE5" w:rsidP="008F5486">
            <w:pPr>
              <w:suppressAutoHyphens w:val="0"/>
              <w:jc w:val="center"/>
              <w:rPr>
                <w:rFonts w:ascii="Arial" w:hAnsi="Arial" w:cs="Arial"/>
                <w:b/>
                <w:bCs/>
                <w:sz w:val="16"/>
                <w:szCs w:val="16"/>
                <w:lang w:val="en-US" w:eastAsia="tr-TR"/>
              </w:rPr>
            </w:pPr>
            <w:r w:rsidRPr="00033618">
              <w:rPr>
                <w:rFonts w:ascii="Arial" w:hAnsi="Arial" w:cs="Arial"/>
                <w:b/>
                <w:bCs/>
                <w:sz w:val="16"/>
                <w:szCs w:val="16"/>
                <w:lang w:val="en-US" w:eastAsia="tr-TR"/>
              </w:rPr>
              <w:t>Monthly changes</w:t>
            </w:r>
          </w:p>
        </w:tc>
      </w:tr>
      <w:tr w:rsidR="00FC2DE5" w:rsidRPr="00033618" w:rsidTr="00FC2DE5">
        <w:trPr>
          <w:trHeight w:val="240"/>
        </w:trPr>
        <w:tc>
          <w:tcPr>
            <w:tcW w:w="1220" w:type="dxa"/>
            <w:tcBorders>
              <w:top w:val="single" w:sz="8" w:space="0" w:color="auto"/>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March-12</w:t>
            </w:r>
          </w:p>
        </w:tc>
        <w:tc>
          <w:tcPr>
            <w:tcW w:w="1020" w:type="dxa"/>
            <w:tcBorders>
              <w:top w:val="single" w:sz="8" w:space="0" w:color="auto"/>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5220</w:t>
            </w:r>
          </w:p>
        </w:tc>
        <w:tc>
          <w:tcPr>
            <w:tcW w:w="1243" w:type="dxa"/>
            <w:tcBorders>
              <w:top w:val="single" w:sz="8" w:space="0" w:color="auto"/>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4850</w:t>
            </w:r>
          </w:p>
        </w:tc>
        <w:tc>
          <w:tcPr>
            <w:tcW w:w="1136" w:type="dxa"/>
            <w:tcBorders>
              <w:top w:val="single" w:sz="8" w:space="0" w:color="auto"/>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1563</w:t>
            </w:r>
          </w:p>
        </w:tc>
        <w:tc>
          <w:tcPr>
            <w:tcW w:w="1020" w:type="dxa"/>
            <w:tcBorders>
              <w:top w:val="single" w:sz="8" w:space="0" w:color="auto"/>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11854</w:t>
            </w:r>
          </w:p>
        </w:tc>
        <w:tc>
          <w:tcPr>
            <w:tcW w:w="994" w:type="dxa"/>
            <w:tcBorders>
              <w:top w:val="nil"/>
              <w:left w:val="nil"/>
              <w:bottom w:val="single" w:sz="8" w:space="0" w:color="auto"/>
              <w:right w:val="nil"/>
            </w:tcBorders>
            <w:shd w:val="clear" w:color="auto" w:fill="auto"/>
            <w:noWrap/>
            <w:vAlign w:val="bottom"/>
            <w:hideMark/>
          </w:tcPr>
          <w:p w:rsidR="00FC2DE5" w:rsidRPr="00033618" w:rsidRDefault="00FC2DE5" w:rsidP="008F5486">
            <w:pPr>
              <w:suppressAutoHyphens w:val="0"/>
              <w:rPr>
                <w:rFonts w:ascii="Arial" w:hAnsi="Arial" w:cs="Arial"/>
                <w:b/>
                <w:bCs/>
                <w:sz w:val="16"/>
                <w:szCs w:val="16"/>
                <w:lang w:val="en-US" w:eastAsia="tr-TR"/>
              </w:rPr>
            </w:pPr>
            <w:r w:rsidRPr="00033618">
              <w:rPr>
                <w:rFonts w:ascii="Arial" w:hAnsi="Arial" w:cs="Arial"/>
                <w:b/>
                <w:bCs/>
                <w:sz w:val="16"/>
                <w:szCs w:val="16"/>
                <w:lang w:val="en-US" w:eastAsia="tr-TR"/>
              </w:rPr>
              <w:t>Agriculture</w:t>
            </w:r>
          </w:p>
        </w:tc>
        <w:tc>
          <w:tcPr>
            <w:tcW w:w="1285" w:type="dxa"/>
            <w:tcBorders>
              <w:top w:val="nil"/>
              <w:left w:val="nil"/>
              <w:bottom w:val="single" w:sz="8" w:space="0" w:color="auto"/>
              <w:right w:val="nil"/>
            </w:tcBorders>
            <w:shd w:val="clear" w:color="auto" w:fill="auto"/>
            <w:vAlign w:val="bottom"/>
            <w:hideMark/>
          </w:tcPr>
          <w:p w:rsidR="00FC2DE5" w:rsidRPr="00033618" w:rsidRDefault="00FC2DE5" w:rsidP="008F5486">
            <w:pPr>
              <w:suppressAutoHyphens w:val="0"/>
              <w:rPr>
                <w:rFonts w:ascii="Arial" w:hAnsi="Arial" w:cs="Arial"/>
                <w:b/>
                <w:bCs/>
                <w:sz w:val="16"/>
                <w:szCs w:val="16"/>
                <w:lang w:val="en-US" w:eastAsia="tr-TR"/>
              </w:rPr>
            </w:pPr>
            <w:r w:rsidRPr="00033618">
              <w:rPr>
                <w:rFonts w:ascii="Arial" w:hAnsi="Arial" w:cs="Arial"/>
                <w:b/>
                <w:bCs/>
                <w:sz w:val="16"/>
                <w:szCs w:val="16"/>
                <w:lang w:val="en-US" w:eastAsia="tr-TR"/>
              </w:rPr>
              <w:t>Manufacturing</w:t>
            </w:r>
          </w:p>
        </w:tc>
        <w:tc>
          <w:tcPr>
            <w:tcW w:w="1136" w:type="dxa"/>
            <w:tcBorders>
              <w:top w:val="nil"/>
              <w:left w:val="nil"/>
              <w:bottom w:val="single" w:sz="8" w:space="0" w:color="auto"/>
              <w:right w:val="nil"/>
            </w:tcBorders>
            <w:shd w:val="clear" w:color="auto" w:fill="auto"/>
            <w:noWrap/>
            <w:vAlign w:val="bottom"/>
            <w:hideMark/>
          </w:tcPr>
          <w:p w:rsidR="00FC2DE5" w:rsidRPr="00033618" w:rsidRDefault="00FC2DE5" w:rsidP="008F5486">
            <w:pPr>
              <w:suppressAutoHyphens w:val="0"/>
              <w:rPr>
                <w:rFonts w:ascii="Arial" w:hAnsi="Arial" w:cs="Arial"/>
                <w:b/>
                <w:bCs/>
                <w:sz w:val="16"/>
                <w:szCs w:val="16"/>
                <w:lang w:val="en-US" w:eastAsia="tr-TR"/>
              </w:rPr>
            </w:pPr>
            <w:r w:rsidRPr="00033618">
              <w:rPr>
                <w:rFonts w:ascii="Arial" w:hAnsi="Arial" w:cs="Arial"/>
                <w:b/>
                <w:bCs/>
                <w:sz w:val="16"/>
                <w:szCs w:val="16"/>
                <w:lang w:val="en-US" w:eastAsia="tr-TR"/>
              </w:rPr>
              <w:t>Construction</w:t>
            </w:r>
          </w:p>
        </w:tc>
        <w:tc>
          <w:tcPr>
            <w:tcW w:w="1229" w:type="dxa"/>
            <w:tcBorders>
              <w:top w:val="nil"/>
              <w:left w:val="nil"/>
              <w:bottom w:val="single" w:sz="8" w:space="0" w:color="auto"/>
              <w:right w:val="single" w:sz="8" w:space="0" w:color="auto"/>
            </w:tcBorders>
            <w:shd w:val="clear" w:color="auto" w:fill="auto"/>
            <w:noWrap/>
            <w:vAlign w:val="bottom"/>
            <w:hideMark/>
          </w:tcPr>
          <w:p w:rsidR="00FC2DE5" w:rsidRPr="00033618" w:rsidRDefault="00FC2DE5" w:rsidP="008F5486">
            <w:pPr>
              <w:suppressAutoHyphens w:val="0"/>
              <w:rPr>
                <w:rFonts w:ascii="Arial" w:hAnsi="Arial" w:cs="Arial"/>
                <w:b/>
                <w:bCs/>
                <w:sz w:val="16"/>
                <w:szCs w:val="16"/>
                <w:lang w:val="en-US" w:eastAsia="tr-TR"/>
              </w:rPr>
            </w:pPr>
            <w:r w:rsidRPr="00033618">
              <w:rPr>
                <w:rFonts w:ascii="Arial" w:hAnsi="Arial" w:cs="Arial"/>
                <w:b/>
                <w:bCs/>
                <w:sz w:val="16"/>
                <w:szCs w:val="16"/>
                <w:lang w:val="en-US" w:eastAsia="tr-TR"/>
              </w:rPr>
              <w:t>Services</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April-12</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5242</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4930</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1649</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11891</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22</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80</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86</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37</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May-12</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5282</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4908</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1729</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11953</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40</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-22</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80</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62</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June-12</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5240</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4900</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1753</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12004</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-42</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-8</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24</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51</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July-12</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5252</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4926</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1746</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12041</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26</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-7</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37</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August-12</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5254</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4892</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1770</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12097</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-34</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24</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56</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September-12</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5321</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4911</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1786</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12179</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67</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19</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16</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82</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October-12</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5366</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4917</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1789</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12276</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45</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6</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3</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97</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November-12</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5371</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5003</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1801</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12291</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86</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15</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December-12</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5344</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5051</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1780</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12310</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-27</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48</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-21</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19</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January-13</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5323</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5073</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1799</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12351</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-21</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22</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19</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41</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February-13</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5330</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5023</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1793</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12389</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7</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-50</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-6</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38</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March-13</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5281</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5083</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1773</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12407</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-49</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60</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-20</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18</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April-13</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5265</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5176</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1807</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12428</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-16</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93</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34</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21</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May-13</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5200</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5200</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1753</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12502</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-65</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24</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-54</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74</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June-13</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5170</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5163</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1789</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12523</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-30</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-37</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36</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21</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July-13</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5185</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5146</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1735</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12529</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15</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-17</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-54</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6</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August-13</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5214</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5117</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1755</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12574</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29</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-29</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20</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45</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September-13</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5212</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5096</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1780</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12607</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-21</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25</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33</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October-13</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5126</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5090</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1853</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12645</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-86</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-6</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73</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38</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November-13</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5079</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5064</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1794</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12728</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-47</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-26</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-59</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83</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December-13</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5052</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5131</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1894</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12805</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-27</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67</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100</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77</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January-14</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5386</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5232</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1938</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12841</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334</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101</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44</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36</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February-14</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5572</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5359</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2021</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12885</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186</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127</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83</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44</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March-14</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5601</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5365</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1973</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13039</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29</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6</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-48</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154</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April-14</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5560</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5373</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1910</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13124</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-41</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8</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-63</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85</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May-14</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5559</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5364</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1862</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13167</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-9</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-48</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43</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June-14</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5479</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5332</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1811</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13221</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-80</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-32</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-51</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54</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July-14</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5403</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5243</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1813</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13304</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-76</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-89</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83</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August-14</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5365</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5257</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1854</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13348</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-38</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14</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41</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44</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September-14</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5356</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5306</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1873</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13394</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-9</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49</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19</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46</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October-14</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5361</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5353</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1895</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13463</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47</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22</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69</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November-14</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5379</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5273</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1939</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13511</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18</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-80</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44</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48</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December-14</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5424</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5266</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1936</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13574</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45</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-7</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-3</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63</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January-15</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5442</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5349</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1931</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13622</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18</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83</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48</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February-15</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5310</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5351</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1887</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13745</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-132</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-44</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123</w:t>
            </w:r>
          </w:p>
        </w:tc>
      </w:tr>
      <w:tr w:rsidR="00FC2DE5" w:rsidRPr="00033618" w:rsidTr="00FC2DE5">
        <w:trPr>
          <w:trHeight w:val="225"/>
        </w:trPr>
        <w:tc>
          <w:tcPr>
            <w:tcW w:w="1220" w:type="dxa"/>
            <w:tcBorders>
              <w:top w:val="nil"/>
              <w:left w:val="single" w:sz="8" w:space="0" w:color="auto"/>
              <w:bottom w:val="nil"/>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March-15</w:t>
            </w:r>
          </w:p>
        </w:tc>
        <w:tc>
          <w:tcPr>
            <w:tcW w:w="1020" w:type="dxa"/>
            <w:tcBorders>
              <w:top w:val="nil"/>
              <w:left w:val="single" w:sz="8" w:space="0" w:color="auto"/>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5475</w:t>
            </w:r>
          </w:p>
        </w:tc>
        <w:tc>
          <w:tcPr>
            <w:tcW w:w="1243"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5308</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1943</w:t>
            </w:r>
          </w:p>
        </w:tc>
        <w:tc>
          <w:tcPr>
            <w:tcW w:w="1020"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13691</w:t>
            </w:r>
          </w:p>
        </w:tc>
        <w:tc>
          <w:tcPr>
            <w:tcW w:w="994"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165</w:t>
            </w:r>
          </w:p>
        </w:tc>
        <w:tc>
          <w:tcPr>
            <w:tcW w:w="1285"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-43</w:t>
            </w:r>
          </w:p>
        </w:tc>
        <w:tc>
          <w:tcPr>
            <w:tcW w:w="1136" w:type="dxa"/>
            <w:tcBorders>
              <w:top w:val="nil"/>
              <w:left w:val="nil"/>
              <w:bottom w:val="nil"/>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56</w:t>
            </w:r>
          </w:p>
        </w:tc>
        <w:tc>
          <w:tcPr>
            <w:tcW w:w="1229" w:type="dxa"/>
            <w:tcBorders>
              <w:top w:val="nil"/>
              <w:left w:val="nil"/>
              <w:bottom w:val="nil"/>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-54</w:t>
            </w:r>
          </w:p>
        </w:tc>
      </w:tr>
      <w:tr w:rsidR="00FC2DE5" w:rsidRPr="00033618" w:rsidTr="00FC2DE5">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FC2DE5" w:rsidRPr="00033618" w:rsidRDefault="00FC2DE5" w:rsidP="007C5455">
            <w:pPr>
              <w:suppressAutoHyphens w:val="0"/>
              <w:jc w:val="right"/>
              <w:rPr>
                <w:rFonts w:ascii="Arial" w:hAnsi="Arial" w:cs="Arial"/>
                <w:b/>
                <w:bCs/>
                <w:sz w:val="16"/>
                <w:szCs w:val="16"/>
                <w:lang w:val="en-US" w:eastAsia="tr-TR"/>
              </w:rPr>
            </w:pPr>
            <w:r w:rsidRPr="00033618">
              <w:rPr>
                <w:rFonts w:ascii="Arial" w:hAnsi="Arial" w:cs="Arial"/>
                <w:b/>
                <w:bCs/>
                <w:sz w:val="16"/>
                <w:szCs w:val="16"/>
                <w:lang w:val="en-US" w:eastAsia="tr-TR"/>
              </w:rPr>
              <w:t>April- 15</w:t>
            </w:r>
          </w:p>
        </w:tc>
        <w:tc>
          <w:tcPr>
            <w:tcW w:w="1020" w:type="dxa"/>
            <w:tcBorders>
              <w:top w:val="nil"/>
              <w:left w:val="single" w:sz="8" w:space="0" w:color="auto"/>
              <w:bottom w:val="single" w:sz="8" w:space="0" w:color="auto"/>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5488</w:t>
            </w:r>
          </w:p>
        </w:tc>
        <w:tc>
          <w:tcPr>
            <w:tcW w:w="1243" w:type="dxa"/>
            <w:tcBorders>
              <w:top w:val="nil"/>
              <w:left w:val="nil"/>
              <w:bottom w:val="single" w:sz="8" w:space="0" w:color="auto"/>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5326</w:t>
            </w:r>
          </w:p>
        </w:tc>
        <w:tc>
          <w:tcPr>
            <w:tcW w:w="1136" w:type="dxa"/>
            <w:tcBorders>
              <w:top w:val="nil"/>
              <w:left w:val="nil"/>
              <w:bottom w:val="single" w:sz="8" w:space="0" w:color="auto"/>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1920</w:t>
            </w:r>
          </w:p>
        </w:tc>
        <w:tc>
          <w:tcPr>
            <w:tcW w:w="1020" w:type="dxa"/>
            <w:tcBorders>
              <w:top w:val="nil"/>
              <w:left w:val="nil"/>
              <w:bottom w:val="single" w:sz="8" w:space="0" w:color="auto"/>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13784</w:t>
            </w:r>
          </w:p>
        </w:tc>
        <w:tc>
          <w:tcPr>
            <w:tcW w:w="994" w:type="dxa"/>
            <w:tcBorders>
              <w:top w:val="nil"/>
              <w:left w:val="nil"/>
              <w:bottom w:val="single" w:sz="8" w:space="0" w:color="auto"/>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13</w:t>
            </w:r>
          </w:p>
        </w:tc>
        <w:tc>
          <w:tcPr>
            <w:tcW w:w="1285" w:type="dxa"/>
            <w:tcBorders>
              <w:top w:val="nil"/>
              <w:left w:val="nil"/>
              <w:bottom w:val="single" w:sz="8" w:space="0" w:color="auto"/>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18</w:t>
            </w:r>
          </w:p>
        </w:tc>
        <w:tc>
          <w:tcPr>
            <w:tcW w:w="1136" w:type="dxa"/>
            <w:tcBorders>
              <w:top w:val="nil"/>
              <w:left w:val="nil"/>
              <w:bottom w:val="single" w:sz="8" w:space="0" w:color="auto"/>
              <w:right w:val="nil"/>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-23</w:t>
            </w:r>
          </w:p>
        </w:tc>
        <w:tc>
          <w:tcPr>
            <w:tcW w:w="1229" w:type="dxa"/>
            <w:tcBorders>
              <w:top w:val="nil"/>
              <w:left w:val="nil"/>
              <w:bottom w:val="single" w:sz="8" w:space="0" w:color="auto"/>
              <w:right w:val="single" w:sz="8" w:space="0" w:color="auto"/>
            </w:tcBorders>
            <w:shd w:val="clear" w:color="auto" w:fill="auto"/>
            <w:noWrap/>
            <w:vAlign w:val="bottom"/>
            <w:hideMark/>
          </w:tcPr>
          <w:p w:rsidR="00FC2DE5" w:rsidRPr="00033618" w:rsidRDefault="00FC2DE5" w:rsidP="008F5486">
            <w:pPr>
              <w:suppressAutoHyphens w:val="0"/>
              <w:jc w:val="right"/>
              <w:rPr>
                <w:rFonts w:ascii="Arial" w:hAnsi="Arial" w:cs="Arial"/>
                <w:sz w:val="16"/>
                <w:szCs w:val="16"/>
                <w:lang w:val="en-US" w:eastAsia="tr-TR"/>
              </w:rPr>
            </w:pPr>
            <w:r w:rsidRPr="00033618">
              <w:rPr>
                <w:rFonts w:ascii="Arial" w:hAnsi="Arial" w:cs="Arial"/>
                <w:sz w:val="16"/>
                <w:szCs w:val="16"/>
                <w:lang w:val="en-US" w:eastAsia="tr-TR"/>
              </w:rPr>
              <w:t>93</w:t>
            </w:r>
          </w:p>
        </w:tc>
      </w:tr>
    </w:tbl>
    <w:p w:rsidR="00FC2DE5" w:rsidRPr="00033618" w:rsidRDefault="00FC2DE5" w:rsidP="00FC2DE5">
      <w:pPr>
        <w:rPr>
          <w:rFonts w:ascii="Arial" w:hAnsi="Arial" w:cs="Arial"/>
          <w:bCs/>
          <w:sz w:val="18"/>
          <w:szCs w:val="18"/>
          <w:lang w:val="en-US"/>
        </w:rPr>
      </w:pPr>
      <w:r w:rsidRPr="00033618">
        <w:rPr>
          <w:rFonts w:ascii="Arial" w:hAnsi="Arial" w:cs="Arial"/>
          <w:sz w:val="18"/>
          <w:szCs w:val="18"/>
          <w:lang w:val="en-US"/>
        </w:rPr>
        <w:t>Source: Turkstat,</w:t>
      </w:r>
      <w:r w:rsidRPr="00033618">
        <w:rPr>
          <w:rFonts w:ascii="Arial" w:hAnsi="Arial" w:cs="Arial"/>
          <w:b/>
          <w:bCs/>
          <w:sz w:val="18"/>
          <w:szCs w:val="18"/>
          <w:lang w:val="en-US"/>
        </w:rPr>
        <w:t xml:space="preserve"> </w:t>
      </w:r>
      <w:r w:rsidRPr="00033618">
        <w:rPr>
          <w:rFonts w:ascii="Arial" w:hAnsi="Arial" w:cs="Arial"/>
          <w:bCs/>
          <w:sz w:val="18"/>
          <w:szCs w:val="18"/>
          <w:lang w:val="en-US"/>
        </w:rPr>
        <w:t>Betam</w:t>
      </w:r>
    </w:p>
    <w:p w:rsidR="00667FE8" w:rsidRPr="00033618" w:rsidRDefault="00667FE8" w:rsidP="00323218">
      <w:pPr>
        <w:rPr>
          <w:rFonts w:ascii="Arial" w:hAnsi="Arial" w:cs="Arial"/>
          <w:b/>
          <w:bCs/>
          <w:sz w:val="20"/>
          <w:szCs w:val="20"/>
          <w:lang w:val="en-US"/>
        </w:rPr>
      </w:pPr>
    </w:p>
    <w:p w:rsidR="00667FE8" w:rsidRPr="00033618" w:rsidRDefault="00667FE8" w:rsidP="009F39E3">
      <w:pPr>
        <w:rPr>
          <w:rFonts w:ascii="Arial" w:hAnsi="Arial" w:cs="Arial"/>
          <w:b/>
          <w:bCs/>
          <w:sz w:val="20"/>
          <w:szCs w:val="20"/>
          <w:lang w:val="en-US"/>
        </w:rPr>
      </w:pPr>
    </w:p>
    <w:p w:rsidR="00D63113" w:rsidRPr="00033618" w:rsidRDefault="00D63113" w:rsidP="009F39E3">
      <w:pPr>
        <w:rPr>
          <w:rFonts w:ascii="Arial" w:hAnsi="Arial" w:cs="Arial"/>
          <w:b/>
          <w:bCs/>
          <w:sz w:val="20"/>
          <w:szCs w:val="20"/>
          <w:lang w:val="en-US"/>
        </w:rPr>
      </w:pPr>
    </w:p>
    <w:p w:rsidR="00D63113" w:rsidRPr="00033618" w:rsidRDefault="00D63113" w:rsidP="009F39E3">
      <w:pPr>
        <w:rPr>
          <w:rFonts w:ascii="Arial" w:hAnsi="Arial" w:cs="Arial"/>
          <w:b/>
          <w:bCs/>
          <w:sz w:val="20"/>
          <w:szCs w:val="20"/>
          <w:lang w:val="en-US"/>
        </w:rPr>
      </w:pPr>
    </w:p>
    <w:p w:rsidR="00D63113" w:rsidRPr="00033618" w:rsidRDefault="00D63113" w:rsidP="009F39E3">
      <w:pPr>
        <w:rPr>
          <w:rFonts w:ascii="Arial" w:hAnsi="Arial" w:cs="Arial"/>
          <w:b/>
          <w:bCs/>
          <w:sz w:val="20"/>
          <w:szCs w:val="20"/>
          <w:lang w:val="en-US"/>
        </w:rPr>
      </w:pPr>
    </w:p>
    <w:p w:rsidR="00D63113" w:rsidRPr="00033618" w:rsidRDefault="00D63113" w:rsidP="009F39E3">
      <w:pPr>
        <w:rPr>
          <w:rFonts w:ascii="Arial" w:hAnsi="Arial" w:cs="Arial"/>
          <w:b/>
          <w:bCs/>
          <w:sz w:val="20"/>
          <w:szCs w:val="20"/>
          <w:lang w:val="en-US"/>
        </w:rPr>
      </w:pPr>
    </w:p>
    <w:p w:rsidR="00D63113" w:rsidRPr="00033618" w:rsidRDefault="00D63113" w:rsidP="009F39E3">
      <w:pPr>
        <w:rPr>
          <w:rFonts w:ascii="Arial" w:hAnsi="Arial" w:cs="Arial"/>
          <w:b/>
          <w:bCs/>
          <w:sz w:val="20"/>
          <w:szCs w:val="20"/>
          <w:lang w:val="en-US"/>
        </w:rPr>
      </w:pPr>
    </w:p>
    <w:p w:rsidR="00D63113" w:rsidRPr="00033618" w:rsidRDefault="00D63113" w:rsidP="009F39E3">
      <w:pPr>
        <w:rPr>
          <w:rFonts w:ascii="Arial" w:hAnsi="Arial" w:cs="Arial"/>
          <w:b/>
          <w:bCs/>
          <w:sz w:val="20"/>
          <w:szCs w:val="20"/>
          <w:lang w:val="en-US"/>
        </w:rPr>
      </w:pPr>
    </w:p>
    <w:p w:rsidR="00D63113" w:rsidRPr="00033618" w:rsidRDefault="00D63113" w:rsidP="009F39E3">
      <w:pPr>
        <w:rPr>
          <w:rFonts w:ascii="Arial" w:hAnsi="Arial" w:cs="Arial"/>
          <w:b/>
          <w:bCs/>
          <w:sz w:val="20"/>
          <w:szCs w:val="20"/>
          <w:lang w:val="en-US"/>
        </w:rPr>
      </w:pPr>
    </w:p>
    <w:p w:rsidR="00D63113" w:rsidRPr="00033618" w:rsidRDefault="00D63113" w:rsidP="009F39E3">
      <w:pPr>
        <w:rPr>
          <w:rFonts w:ascii="Arial" w:hAnsi="Arial" w:cs="Arial"/>
          <w:b/>
          <w:bCs/>
          <w:sz w:val="20"/>
          <w:szCs w:val="20"/>
          <w:lang w:val="en-US"/>
        </w:rPr>
      </w:pPr>
    </w:p>
    <w:p w:rsidR="00D63113" w:rsidRPr="00033618" w:rsidRDefault="00D63113" w:rsidP="009F39E3">
      <w:pPr>
        <w:rPr>
          <w:rFonts w:ascii="Arial" w:hAnsi="Arial" w:cs="Arial"/>
          <w:b/>
          <w:bCs/>
          <w:sz w:val="20"/>
          <w:szCs w:val="20"/>
          <w:lang w:val="en-US"/>
        </w:rPr>
      </w:pPr>
    </w:p>
    <w:p w:rsidR="00D63113" w:rsidRPr="00033618" w:rsidRDefault="00D63113" w:rsidP="009F39E3">
      <w:pPr>
        <w:rPr>
          <w:rFonts w:ascii="Arial" w:hAnsi="Arial" w:cs="Arial"/>
          <w:b/>
          <w:bCs/>
          <w:sz w:val="20"/>
          <w:szCs w:val="20"/>
          <w:lang w:val="en-US"/>
        </w:rPr>
      </w:pPr>
    </w:p>
    <w:p w:rsidR="00D63113" w:rsidRPr="00033618" w:rsidRDefault="00D63113" w:rsidP="009F39E3">
      <w:pPr>
        <w:rPr>
          <w:rFonts w:ascii="Arial" w:hAnsi="Arial" w:cs="Arial"/>
          <w:b/>
          <w:bCs/>
          <w:sz w:val="20"/>
          <w:szCs w:val="20"/>
          <w:lang w:val="en-US"/>
        </w:rPr>
      </w:pPr>
    </w:p>
    <w:p w:rsidR="00D63113" w:rsidRPr="00033618" w:rsidRDefault="00D63113" w:rsidP="009F39E3">
      <w:pPr>
        <w:rPr>
          <w:rFonts w:ascii="Arial" w:hAnsi="Arial" w:cs="Arial"/>
          <w:b/>
          <w:bCs/>
          <w:sz w:val="20"/>
          <w:szCs w:val="20"/>
          <w:lang w:val="en-US"/>
        </w:rPr>
      </w:pPr>
    </w:p>
    <w:p w:rsidR="00D63113" w:rsidRPr="00033618" w:rsidRDefault="00D63113" w:rsidP="009F39E3">
      <w:pPr>
        <w:rPr>
          <w:rFonts w:ascii="Arial" w:hAnsi="Arial" w:cs="Arial"/>
          <w:b/>
          <w:bCs/>
          <w:sz w:val="20"/>
          <w:szCs w:val="20"/>
          <w:lang w:val="en-US"/>
        </w:rPr>
      </w:pPr>
    </w:p>
    <w:p w:rsidR="00D63113" w:rsidRPr="00033618" w:rsidRDefault="00D63113" w:rsidP="009F39E3">
      <w:pPr>
        <w:rPr>
          <w:rFonts w:ascii="Arial" w:hAnsi="Arial" w:cs="Arial"/>
          <w:b/>
          <w:bCs/>
          <w:sz w:val="20"/>
          <w:szCs w:val="20"/>
          <w:lang w:val="en-US"/>
        </w:rPr>
      </w:pPr>
    </w:p>
    <w:p w:rsidR="00D63113" w:rsidRPr="00033618" w:rsidRDefault="00D63113" w:rsidP="009F39E3">
      <w:pPr>
        <w:rPr>
          <w:rFonts w:ascii="Arial" w:hAnsi="Arial" w:cs="Arial"/>
          <w:b/>
          <w:bCs/>
          <w:sz w:val="20"/>
          <w:szCs w:val="20"/>
          <w:lang w:val="en-US"/>
        </w:rPr>
      </w:pPr>
    </w:p>
    <w:p w:rsidR="00D63113" w:rsidRPr="00033618" w:rsidRDefault="00D63113" w:rsidP="009F39E3">
      <w:pPr>
        <w:rPr>
          <w:rFonts w:ascii="Arial" w:hAnsi="Arial" w:cs="Arial"/>
          <w:b/>
          <w:bCs/>
          <w:sz w:val="20"/>
          <w:szCs w:val="20"/>
          <w:lang w:val="en-US"/>
        </w:rPr>
      </w:pPr>
    </w:p>
    <w:sectPr w:rsidR="00D63113" w:rsidRPr="00033618"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9F" w:rsidRDefault="00913D9F">
      <w:r>
        <w:separator/>
      </w:r>
    </w:p>
  </w:endnote>
  <w:endnote w:type="continuationSeparator" w:id="0">
    <w:p w:rsidR="00913D9F" w:rsidRDefault="0091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B1" w:rsidRPr="00282515" w:rsidRDefault="000B6E10"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2D01B1" w:rsidRPr="00282515">
      <w:rPr>
        <w:rStyle w:val="PageNumber"/>
        <w:rFonts w:ascii="Arial" w:hAnsi="Arial" w:cs="Arial"/>
      </w:rPr>
      <w:instrText xml:space="preserve">PAGE  </w:instrText>
    </w:r>
    <w:r w:rsidRPr="00282515">
      <w:rPr>
        <w:rStyle w:val="PageNumber"/>
        <w:rFonts w:ascii="Arial" w:hAnsi="Arial" w:cs="Arial"/>
      </w:rPr>
      <w:fldChar w:fldCharType="separate"/>
    </w:r>
    <w:r w:rsidR="00AA2375">
      <w:rPr>
        <w:rStyle w:val="PageNumber"/>
        <w:rFonts w:ascii="Arial" w:hAnsi="Arial" w:cs="Arial"/>
        <w:noProof/>
      </w:rPr>
      <w:t>2</w:t>
    </w:r>
    <w:r w:rsidRPr="00282515">
      <w:rPr>
        <w:rStyle w:val="PageNumber"/>
        <w:rFonts w:ascii="Arial" w:hAnsi="Arial" w:cs="Arial"/>
      </w:rPr>
      <w:fldChar w:fldCharType="end"/>
    </w:r>
  </w:p>
  <w:p w:rsidR="002D01B1" w:rsidRDefault="002D01B1"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B1" w:rsidRDefault="000B6E10" w:rsidP="00C82050">
    <w:pPr>
      <w:pStyle w:val="Footer"/>
      <w:framePr w:wrap="auto" w:vAnchor="text" w:hAnchor="margin" w:xAlign="right" w:y="1"/>
      <w:rPr>
        <w:rStyle w:val="PageNumber"/>
      </w:rPr>
    </w:pPr>
    <w:r>
      <w:rPr>
        <w:rStyle w:val="PageNumber"/>
      </w:rPr>
      <w:fldChar w:fldCharType="begin"/>
    </w:r>
    <w:r w:rsidR="002D01B1">
      <w:rPr>
        <w:rStyle w:val="PageNumber"/>
      </w:rPr>
      <w:instrText xml:space="preserve">PAGE  </w:instrText>
    </w:r>
    <w:r>
      <w:rPr>
        <w:rStyle w:val="PageNumber"/>
      </w:rPr>
      <w:fldChar w:fldCharType="separate"/>
    </w:r>
    <w:r w:rsidR="00AA2375">
      <w:rPr>
        <w:rStyle w:val="PageNumber"/>
        <w:noProof/>
      </w:rPr>
      <w:t>6</w:t>
    </w:r>
    <w:r>
      <w:rPr>
        <w:rStyle w:val="PageNumber"/>
      </w:rPr>
      <w:fldChar w:fldCharType="end"/>
    </w:r>
  </w:p>
  <w:p w:rsidR="002D01B1" w:rsidRDefault="002D01B1"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9F" w:rsidRDefault="00913D9F">
      <w:r>
        <w:separator/>
      </w:r>
    </w:p>
  </w:footnote>
  <w:footnote w:type="continuationSeparator" w:id="0">
    <w:p w:rsidR="00913D9F" w:rsidRDefault="00913D9F">
      <w:r>
        <w:continuationSeparator/>
      </w:r>
    </w:p>
  </w:footnote>
  <w:footnote w:id="1">
    <w:p w:rsidR="002D01B1" w:rsidRPr="00721883" w:rsidRDefault="002D01B1" w:rsidP="007F4C97">
      <w:pPr>
        <w:pStyle w:val="FootnoteText"/>
        <w:rPr>
          <w:lang w:val="en-US"/>
        </w:rPr>
      </w:pPr>
      <w:r w:rsidRPr="00721883">
        <w:rPr>
          <w:rStyle w:val="FootnoteReference"/>
          <w:rFonts w:ascii="Arial" w:hAnsi="Arial" w:cs="Arial"/>
          <w:b/>
          <w:bCs/>
          <w:sz w:val="16"/>
          <w:szCs w:val="16"/>
          <w:lang w:val="en-US"/>
        </w:rPr>
        <w:t>*</w:t>
      </w:r>
      <w:r w:rsidRPr="00721883">
        <w:rPr>
          <w:rFonts w:ascii="Arial" w:hAnsi="Arial" w:cs="Arial"/>
          <w:sz w:val="16"/>
          <w:szCs w:val="16"/>
          <w:lang w:val="en-US"/>
        </w:rPr>
        <w:t>Prof. Dr. Seyfettin Gürsel, Betam, Director, seyfettin.gursel@eas.bahcesehir.edu.tr</w:t>
      </w:r>
    </w:p>
  </w:footnote>
  <w:footnote w:id="2">
    <w:p w:rsidR="002D01B1" w:rsidRPr="00721883" w:rsidRDefault="002D01B1" w:rsidP="007F4C97">
      <w:pPr>
        <w:pStyle w:val="FootnoteText"/>
        <w:rPr>
          <w:lang w:val="en-US"/>
        </w:rPr>
      </w:pPr>
      <w:r w:rsidRPr="00721883">
        <w:rPr>
          <w:rStyle w:val="FootnoteReference"/>
          <w:rFonts w:ascii="Arial" w:hAnsi="Arial" w:cs="Arial"/>
          <w:sz w:val="16"/>
          <w:szCs w:val="16"/>
          <w:lang w:val="en-US"/>
        </w:rPr>
        <w:sym w:font="Symbol" w:char="F02A"/>
      </w:r>
      <w:r w:rsidRPr="00721883">
        <w:rPr>
          <w:rStyle w:val="FootnoteReference"/>
          <w:rFonts w:ascii="Arial" w:hAnsi="Arial" w:cs="Arial"/>
          <w:sz w:val="16"/>
          <w:szCs w:val="16"/>
          <w:lang w:val="en-US"/>
        </w:rPr>
        <w:sym w:font="Symbol" w:char="F02A"/>
      </w:r>
      <w:r w:rsidRPr="00721883">
        <w:rPr>
          <w:rFonts w:ascii="Arial" w:hAnsi="Arial" w:cs="Arial"/>
          <w:sz w:val="16"/>
          <w:szCs w:val="16"/>
          <w:lang w:val="en-US"/>
        </w:rPr>
        <w:t>Mine Durmaz, Betam, Research Assistant, mine.durmaz@eas.bahcesehir.edu.tr</w:t>
      </w:r>
    </w:p>
  </w:footnote>
  <w:footnote w:id="3">
    <w:p w:rsidR="002D01B1" w:rsidRPr="00721883" w:rsidRDefault="002D01B1" w:rsidP="007F4C97">
      <w:pPr>
        <w:pStyle w:val="FootnoteText"/>
        <w:rPr>
          <w:rFonts w:ascii="Arial" w:hAnsi="Arial" w:cs="Arial"/>
          <w:sz w:val="16"/>
          <w:szCs w:val="16"/>
          <w:lang w:val="en-US"/>
        </w:rPr>
      </w:pPr>
      <w:r w:rsidRPr="00721883">
        <w:rPr>
          <w:rStyle w:val="FootnoteReference"/>
          <w:rFonts w:ascii="Arial" w:hAnsi="Arial" w:cs="Arial"/>
          <w:sz w:val="16"/>
          <w:szCs w:val="16"/>
          <w:lang w:val="en-US"/>
        </w:rPr>
        <w:sym w:font="Symbol" w:char="F02A"/>
      </w:r>
      <w:r w:rsidRPr="00721883">
        <w:rPr>
          <w:rStyle w:val="FootnoteReference"/>
          <w:rFonts w:ascii="Arial" w:hAnsi="Arial" w:cs="Arial"/>
          <w:sz w:val="16"/>
          <w:szCs w:val="16"/>
          <w:lang w:val="en-US"/>
        </w:rPr>
        <w:sym w:font="Symbol" w:char="F02A"/>
      </w:r>
      <w:r w:rsidRPr="00721883">
        <w:rPr>
          <w:rStyle w:val="FootnoteReference"/>
          <w:rFonts w:ascii="Arial" w:hAnsi="Arial" w:cs="Arial"/>
          <w:sz w:val="16"/>
          <w:szCs w:val="16"/>
          <w:lang w:val="en-US"/>
        </w:rPr>
        <w:sym w:font="Symbol" w:char="F02A"/>
      </w:r>
      <w:r w:rsidRPr="00721883">
        <w:rPr>
          <w:rFonts w:ascii="Arial" w:hAnsi="Arial" w:cs="Arial"/>
          <w:sz w:val="16"/>
          <w:szCs w:val="16"/>
          <w:lang w:val="en-US"/>
        </w:rPr>
        <w:t>Melike Kökkızıl, Betam, Research Assistant, melike.kokkizil@eas.bahcesehir.edu.tr</w:t>
      </w:r>
    </w:p>
  </w:footnote>
  <w:footnote w:id="4">
    <w:p w:rsidR="002D01B1" w:rsidRPr="00721883" w:rsidRDefault="002D01B1">
      <w:pPr>
        <w:pStyle w:val="FootnoteText"/>
        <w:rPr>
          <w:lang w:val="en-US"/>
        </w:rPr>
      </w:pPr>
      <w:r w:rsidRPr="00721883">
        <w:rPr>
          <w:rStyle w:val="FootnoteReference"/>
          <w:lang w:val="en-US"/>
        </w:rPr>
        <w:footnoteRef/>
      </w:r>
      <w:r w:rsidRPr="00721883">
        <w:rPr>
          <w:lang w:val="en-US"/>
        </w:rPr>
        <w:t xml:space="preserve"> </w:t>
      </w:r>
      <w:r w:rsidRPr="00721883">
        <w:rPr>
          <w:rFonts w:ascii="Arial" w:hAnsi="Arial" w:cs="Arial"/>
          <w:sz w:val="18"/>
          <w:szCs w:val="18"/>
          <w:lang w:val="en-US"/>
        </w:rPr>
        <w:t>A general outlook to the progress of employment and economic growth during the last 3 years indicate that increase in employment is higher than the economic growth. For detail information on this paradox, please see the research brief titled as "Low Rate of Economic Growth, Extreme Increases in Employment ":</w:t>
      </w:r>
      <w:r w:rsidRPr="00721883">
        <w:rPr>
          <w:lang w:val="en-US"/>
        </w:rPr>
        <w:t xml:space="preserve"> </w:t>
      </w:r>
      <w:hyperlink r:id="rId1" w:history="1">
        <w:r w:rsidRPr="00721883">
          <w:rPr>
            <w:rStyle w:val="Hyperlink"/>
            <w:rFonts w:ascii="Arial" w:hAnsi="Arial" w:cs="Arial"/>
            <w:sz w:val="18"/>
            <w:szCs w:val="18"/>
            <w:lang w:val="en-US"/>
          </w:rPr>
          <w:t>http://betam.bahcesehir.edu.tr/2015/07/dusuk-buyume-olaganustu-istihdam-artisi/</w:t>
        </w:r>
      </w:hyperlink>
    </w:p>
  </w:footnote>
  <w:footnote w:id="5">
    <w:p w:rsidR="002D01B1" w:rsidRPr="00721883" w:rsidRDefault="002D01B1" w:rsidP="00E07DD5">
      <w:pPr>
        <w:jc w:val="both"/>
        <w:rPr>
          <w:rFonts w:ascii="Arial" w:hAnsi="Arial" w:cs="Arial"/>
          <w:sz w:val="18"/>
          <w:szCs w:val="18"/>
          <w:lang w:val="en-US"/>
        </w:rPr>
      </w:pPr>
      <w:r w:rsidRPr="00721883">
        <w:rPr>
          <w:rStyle w:val="FootnoteReference"/>
          <w:rFonts w:ascii="Arial" w:hAnsi="Arial" w:cs="Arial"/>
          <w:sz w:val="18"/>
          <w:szCs w:val="18"/>
          <w:lang w:val="en-US"/>
        </w:rPr>
        <w:footnoteRef/>
      </w:r>
      <w:r w:rsidRPr="00721883">
        <w:rPr>
          <w:rFonts w:ascii="Arial" w:hAnsi="Arial" w:cs="Arial"/>
          <w:sz w:val="18"/>
          <w:szCs w:val="18"/>
          <w:lang w:val="en-US"/>
        </w:rPr>
        <w:t xml:space="preserve"> </w:t>
      </w:r>
      <w:r w:rsidRPr="00721883">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r w:rsidRPr="00721883">
        <w:rPr>
          <w:rFonts w:ascii="Arial" w:hAnsi="Arial" w:cs="Arial"/>
          <w:sz w:val="18"/>
          <w:szCs w:val="18"/>
          <w:lang w:val="en-US"/>
        </w:rPr>
        <w:t>.</w:t>
      </w:r>
    </w:p>
  </w:footnote>
  <w:footnote w:id="6">
    <w:p w:rsidR="002D01B1" w:rsidRPr="00721883" w:rsidRDefault="002D01B1" w:rsidP="00BB0450">
      <w:pPr>
        <w:pStyle w:val="FootnoteText"/>
        <w:jc w:val="both"/>
        <w:rPr>
          <w:rFonts w:ascii="Arial" w:hAnsi="Arial" w:cs="Arial"/>
          <w:sz w:val="16"/>
          <w:szCs w:val="16"/>
          <w:lang w:val="en-US"/>
        </w:rPr>
      </w:pPr>
      <w:r w:rsidRPr="00721883">
        <w:rPr>
          <w:rStyle w:val="FootnoteReference"/>
          <w:rFonts w:ascii="Arial" w:hAnsi="Arial" w:cs="Arial"/>
          <w:sz w:val="18"/>
          <w:szCs w:val="18"/>
          <w:lang w:val="en-US"/>
        </w:rPr>
        <w:footnoteRef/>
      </w:r>
      <w:r w:rsidRPr="00721883">
        <w:rPr>
          <w:rFonts w:ascii="Arial" w:hAnsi="Arial" w:cs="Arial"/>
          <w:sz w:val="18"/>
          <w:szCs w:val="18"/>
          <w:lang w:val="en-US"/>
        </w:rPr>
        <w:t xml:space="preserve"> </w:t>
      </w:r>
      <w:r w:rsidRPr="00721883">
        <w:rPr>
          <w:rFonts w:ascii="Arial" w:hAnsi="Arial" w:cs="Arial"/>
          <w:sz w:val="16"/>
          <w:szCs w:val="16"/>
          <w:lang w:val="en-US"/>
        </w:rPr>
        <w:t xml:space="preserve">For detailed information on Betam's forecasting model, please see Betam Research Brief 168 titled as "Kariyer.net Verisiyle Kısa Vadeli Tarım Dışı İşsizlik Tahmini"  </w:t>
      </w:r>
    </w:p>
    <w:p w:rsidR="002D01B1" w:rsidRPr="00721883" w:rsidRDefault="00913D9F" w:rsidP="00BB0450">
      <w:pPr>
        <w:pStyle w:val="FootnoteText"/>
        <w:jc w:val="both"/>
        <w:rPr>
          <w:rFonts w:ascii="Arial" w:hAnsi="Arial" w:cs="Arial"/>
          <w:sz w:val="18"/>
          <w:szCs w:val="18"/>
          <w:lang w:val="en-US"/>
        </w:rPr>
      </w:pPr>
      <w:hyperlink r:id="rId2" w:history="1">
        <w:r w:rsidR="002D01B1" w:rsidRPr="00721883">
          <w:rPr>
            <w:rStyle w:val="Hyperlink"/>
            <w:rFonts w:ascii="Arial" w:hAnsi="Arial" w:cs="Arial"/>
            <w:sz w:val="16"/>
            <w:szCs w:val="16"/>
            <w:lang w:val="en-US"/>
          </w:rPr>
          <w:t>http://betam.bahcesehir.edu.tr/tr/2014/06/kariyer-net-verisiyle-kisa-vadeli-tarim-disi-issizlik-tahmini/</w:t>
        </w:r>
      </w:hyperlink>
      <w:r w:rsidR="002D01B1" w:rsidRPr="00721883">
        <w:rPr>
          <w:rFonts w:ascii="Arial" w:hAnsi="Arial" w:cs="Arial"/>
          <w:sz w:val="18"/>
          <w:szCs w:val="18"/>
          <w:lang w:val="en-US"/>
        </w:rPr>
        <w:t xml:space="preserve"> </w:t>
      </w:r>
    </w:p>
  </w:footnote>
  <w:footnote w:id="7">
    <w:p w:rsidR="002D01B1" w:rsidRPr="00721883" w:rsidRDefault="002D01B1" w:rsidP="008F5486">
      <w:pPr>
        <w:pStyle w:val="FootnoteText"/>
        <w:rPr>
          <w:sz w:val="18"/>
          <w:szCs w:val="18"/>
          <w:lang w:val="en-US"/>
        </w:rPr>
      </w:pPr>
      <w:r w:rsidRPr="00721883">
        <w:rPr>
          <w:rStyle w:val="FootnoteReference"/>
          <w:rFonts w:ascii="Arial" w:hAnsi="Arial" w:cs="Arial"/>
          <w:sz w:val="18"/>
          <w:szCs w:val="18"/>
          <w:lang w:val="en-US"/>
        </w:rPr>
        <w:footnoteRef/>
      </w:r>
      <w:r w:rsidRPr="00721883">
        <w:rPr>
          <w:rFonts w:ascii="Arial" w:hAnsi="Arial" w:cs="Arial"/>
          <w:sz w:val="18"/>
          <w:szCs w:val="18"/>
          <w:lang w:val="en-US"/>
        </w:rPr>
        <w:t xml:space="preserve"> </w:t>
      </w:r>
      <w:r w:rsidR="00721883" w:rsidRPr="00721883">
        <w:rPr>
          <w:rFonts w:ascii="Arial" w:hAnsi="Arial" w:cs="Arial"/>
          <w:sz w:val="16"/>
          <w:szCs w:val="16"/>
          <w:lang w:val="en-US"/>
        </w:rPr>
        <w:t xml:space="preserve">Employment in each sector is seasonally adjusted separately. </w:t>
      </w:r>
      <w:r w:rsidR="00721883" w:rsidRPr="00721883">
        <w:rPr>
          <w:rFonts w:ascii="Arial" w:hAnsi="Arial" w:cs="Arial"/>
          <w:sz w:val="16"/>
          <w:szCs w:val="16"/>
          <w:lang w:val="en-US" w:eastAsia="tr-TR"/>
        </w:rPr>
        <w:t>Hence the sum of these series may differ from the seasonally adjusted series of total employment. The difference stems from the non-linearity of the seasonal adjustment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507"/>
    <w:rsid w:val="000116C3"/>
    <w:rsid w:val="000122CC"/>
    <w:rsid w:val="00012970"/>
    <w:rsid w:val="000130AF"/>
    <w:rsid w:val="000137EB"/>
    <w:rsid w:val="000141AB"/>
    <w:rsid w:val="00015ABC"/>
    <w:rsid w:val="00015B9C"/>
    <w:rsid w:val="00015C10"/>
    <w:rsid w:val="000163FB"/>
    <w:rsid w:val="00016571"/>
    <w:rsid w:val="00017071"/>
    <w:rsid w:val="0001735F"/>
    <w:rsid w:val="00017C7D"/>
    <w:rsid w:val="0002017D"/>
    <w:rsid w:val="0002026D"/>
    <w:rsid w:val="0002140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3618"/>
    <w:rsid w:val="000354A3"/>
    <w:rsid w:val="000358D4"/>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A09"/>
    <w:rsid w:val="00050813"/>
    <w:rsid w:val="0005303D"/>
    <w:rsid w:val="000534E3"/>
    <w:rsid w:val="000538B9"/>
    <w:rsid w:val="00053F64"/>
    <w:rsid w:val="000548F2"/>
    <w:rsid w:val="00055DF3"/>
    <w:rsid w:val="000562EC"/>
    <w:rsid w:val="00057555"/>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38A1"/>
    <w:rsid w:val="000938AD"/>
    <w:rsid w:val="00094453"/>
    <w:rsid w:val="00095783"/>
    <w:rsid w:val="00095C64"/>
    <w:rsid w:val="00096392"/>
    <w:rsid w:val="000964F4"/>
    <w:rsid w:val="00096A9B"/>
    <w:rsid w:val="00096D98"/>
    <w:rsid w:val="000A0E0F"/>
    <w:rsid w:val="000A120B"/>
    <w:rsid w:val="000A2976"/>
    <w:rsid w:val="000A2B08"/>
    <w:rsid w:val="000A2F8F"/>
    <w:rsid w:val="000A3A30"/>
    <w:rsid w:val="000A3DF0"/>
    <w:rsid w:val="000A66BE"/>
    <w:rsid w:val="000B025F"/>
    <w:rsid w:val="000B0C03"/>
    <w:rsid w:val="000B0DB4"/>
    <w:rsid w:val="000B380D"/>
    <w:rsid w:val="000B408A"/>
    <w:rsid w:val="000B4230"/>
    <w:rsid w:val="000B45CA"/>
    <w:rsid w:val="000B479F"/>
    <w:rsid w:val="000B5594"/>
    <w:rsid w:val="000B6451"/>
    <w:rsid w:val="000B6E10"/>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5A61"/>
    <w:rsid w:val="000D6063"/>
    <w:rsid w:val="000D6257"/>
    <w:rsid w:val="000D6E93"/>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728"/>
    <w:rsid w:val="000F1924"/>
    <w:rsid w:val="000F1E73"/>
    <w:rsid w:val="000F316E"/>
    <w:rsid w:val="000F3475"/>
    <w:rsid w:val="000F3ADE"/>
    <w:rsid w:val="000F5492"/>
    <w:rsid w:val="000F58A1"/>
    <w:rsid w:val="000F5A37"/>
    <w:rsid w:val="000F670C"/>
    <w:rsid w:val="000F6F76"/>
    <w:rsid w:val="000F70EF"/>
    <w:rsid w:val="000F7454"/>
    <w:rsid w:val="001008EA"/>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B8"/>
    <w:rsid w:val="0010623A"/>
    <w:rsid w:val="00106673"/>
    <w:rsid w:val="001079E6"/>
    <w:rsid w:val="00107AF0"/>
    <w:rsid w:val="00107B95"/>
    <w:rsid w:val="001102FC"/>
    <w:rsid w:val="00110D41"/>
    <w:rsid w:val="001118F6"/>
    <w:rsid w:val="00112AB6"/>
    <w:rsid w:val="00112CA0"/>
    <w:rsid w:val="001145AC"/>
    <w:rsid w:val="00114CB8"/>
    <w:rsid w:val="001176C7"/>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B0F"/>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611"/>
    <w:rsid w:val="00164B58"/>
    <w:rsid w:val="00165C13"/>
    <w:rsid w:val="00166117"/>
    <w:rsid w:val="001662F7"/>
    <w:rsid w:val="00166F3F"/>
    <w:rsid w:val="00170103"/>
    <w:rsid w:val="00170634"/>
    <w:rsid w:val="00170951"/>
    <w:rsid w:val="00170FA4"/>
    <w:rsid w:val="0017122E"/>
    <w:rsid w:val="001713C3"/>
    <w:rsid w:val="00172569"/>
    <w:rsid w:val="00172C54"/>
    <w:rsid w:val="00172CB1"/>
    <w:rsid w:val="00173095"/>
    <w:rsid w:val="0017443E"/>
    <w:rsid w:val="00174F10"/>
    <w:rsid w:val="00175CA9"/>
    <w:rsid w:val="00176145"/>
    <w:rsid w:val="00176E27"/>
    <w:rsid w:val="00177593"/>
    <w:rsid w:val="001777DC"/>
    <w:rsid w:val="00183E0E"/>
    <w:rsid w:val="001840BF"/>
    <w:rsid w:val="00184780"/>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60C4"/>
    <w:rsid w:val="001C7077"/>
    <w:rsid w:val="001C7C14"/>
    <w:rsid w:val="001D07AB"/>
    <w:rsid w:val="001D0882"/>
    <w:rsid w:val="001D1502"/>
    <w:rsid w:val="001D2511"/>
    <w:rsid w:val="001D339B"/>
    <w:rsid w:val="001D416D"/>
    <w:rsid w:val="001D4564"/>
    <w:rsid w:val="001D48D3"/>
    <w:rsid w:val="001D4F17"/>
    <w:rsid w:val="001D5BB7"/>
    <w:rsid w:val="001D6039"/>
    <w:rsid w:val="001D618E"/>
    <w:rsid w:val="001D6B1F"/>
    <w:rsid w:val="001D6BF6"/>
    <w:rsid w:val="001D6C4C"/>
    <w:rsid w:val="001D6C8C"/>
    <w:rsid w:val="001D77AA"/>
    <w:rsid w:val="001D7EA6"/>
    <w:rsid w:val="001E017D"/>
    <w:rsid w:val="001E0FA5"/>
    <w:rsid w:val="001E25C3"/>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11B9"/>
    <w:rsid w:val="00241C21"/>
    <w:rsid w:val="0024231B"/>
    <w:rsid w:val="00242A88"/>
    <w:rsid w:val="002430A1"/>
    <w:rsid w:val="0024342A"/>
    <w:rsid w:val="002439E3"/>
    <w:rsid w:val="00243BDC"/>
    <w:rsid w:val="00243EE8"/>
    <w:rsid w:val="00244AF7"/>
    <w:rsid w:val="0024527C"/>
    <w:rsid w:val="002469F5"/>
    <w:rsid w:val="002472F8"/>
    <w:rsid w:val="0024751A"/>
    <w:rsid w:val="00250937"/>
    <w:rsid w:val="0025106B"/>
    <w:rsid w:val="00251233"/>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188"/>
    <w:rsid w:val="00280A1B"/>
    <w:rsid w:val="00280E27"/>
    <w:rsid w:val="0028200D"/>
    <w:rsid w:val="00282383"/>
    <w:rsid w:val="002823DF"/>
    <w:rsid w:val="00282515"/>
    <w:rsid w:val="00283CDA"/>
    <w:rsid w:val="00283EF9"/>
    <w:rsid w:val="0028564F"/>
    <w:rsid w:val="002873C5"/>
    <w:rsid w:val="00291544"/>
    <w:rsid w:val="00292A11"/>
    <w:rsid w:val="00293F35"/>
    <w:rsid w:val="00295CCD"/>
    <w:rsid w:val="002963EE"/>
    <w:rsid w:val="0029660A"/>
    <w:rsid w:val="00296CB5"/>
    <w:rsid w:val="002979D6"/>
    <w:rsid w:val="002A0329"/>
    <w:rsid w:val="002A1488"/>
    <w:rsid w:val="002A1F4D"/>
    <w:rsid w:val="002A2A80"/>
    <w:rsid w:val="002A2FE4"/>
    <w:rsid w:val="002A3371"/>
    <w:rsid w:val="002A3996"/>
    <w:rsid w:val="002A41D5"/>
    <w:rsid w:val="002A49D9"/>
    <w:rsid w:val="002A5BF6"/>
    <w:rsid w:val="002A613B"/>
    <w:rsid w:val="002A6697"/>
    <w:rsid w:val="002A7C09"/>
    <w:rsid w:val="002A7D5C"/>
    <w:rsid w:val="002A7E57"/>
    <w:rsid w:val="002B0B46"/>
    <w:rsid w:val="002B1B4B"/>
    <w:rsid w:val="002B2A35"/>
    <w:rsid w:val="002B2CC4"/>
    <w:rsid w:val="002B2EF7"/>
    <w:rsid w:val="002B3348"/>
    <w:rsid w:val="002B42C1"/>
    <w:rsid w:val="002B4454"/>
    <w:rsid w:val="002B4BA5"/>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1B1"/>
    <w:rsid w:val="002D0A67"/>
    <w:rsid w:val="002D0EAC"/>
    <w:rsid w:val="002D19D0"/>
    <w:rsid w:val="002D1AF9"/>
    <w:rsid w:val="002D1CDB"/>
    <w:rsid w:val="002D26D6"/>
    <w:rsid w:val="002D3230"/>
    <w:rsid w:val="002D35D5"/>
    <w:rsid w:val="002D42EB"/>
    <w:rsid w:val="002D4580"/>
    <w:rsid w:val="002D4B17"/>
    <w:rsid w:val="002D4D8E"/>
    <w:rsid w:val="002D5B43"/>
    <w:rsid w:val="002D6505"/>
    <w:rsid w:val="002E05E1"/>
    <w:rsid w:val="002E1494"/>
    <w:rsid w:val="002E2A70"/>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2F38"/>
    <w:rsid w:val="003132CE"/>
    <w:rsid w:val="003148BF"/>
    <w:rsid w:val="00314B3E"/>
    <w:rsid w:val="00316147"/>
    <w:rsid w:val="003169BE"/>
    <w:rsid w:val="00317F92"/>
    <w:rsid w:val="003202DD"/>
    <w:rsid w:val="00320D1B"/>
    <w:rsid w:val="0032183A"/>
    <w:rsid w:val="003218FF"/>
    <w:rsid w:val="003219B3"/>
    <w:rsid w:val="00321D3C"/>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A27"/>
    <w:rsid w:val="00332C8D"/>
    <w:rsid w:val="00334654"/>
    <w:rsid w:val="003350F7"/>
    <w:rsid w:val="00335962"/>
    <w:rsid w:val="0033614E"/>
    <w:rsid w:val="003361B3"/>
    <w:rsid w:val="003366DD"/>
    <w:rsid w:val="0034029D"/>
    <w:rsid w:val="00340751"/>
    <w:rsid w:val="003438EA"/>
    <w:rsid w:val="00343E50"/>
    <w:rsid w:val="003440C6"/>
    <w:rsid w:val="003446E4"/>
    <w:rsid w:val="00344DA4"/>
    <w:rsid w:val="003464A8"/>
    <w:rsid w:val="003470C2"/>
    <w:rsid w:val="0034741E"/>
    <w:rsid w:val="00347740"/>
    <w:rsid w:val="00347C9B"/>
    <w:rsid w:val="00350AEC"/>
    <w:rsid w:val="00351ED4"/>
    <w:rsid w:val="00352C9D"/>
    <w:rsid w:val="00353AD8"/>
    <w:rsid w:val="00354559"/>
    <w:rsid w:val="003545AF"/>
    <w:rsid w:val="00355604"/>
    <w:rsid w:val="00355D9B"/>
    <w:rsid w:val="00356329"/>
    <w:rsid w:val="00356DCE"/>
    <w:rsid w:val="00357791"/>
    <w:rsid w:val="00357D8F"/>
    <w:rsid w:val="0036048F"/>
    <w:rsid w:val="00360CFC"/>
    <w:rsid w:val="00361567"/>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596"/>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6507"/>
    <w:rsid w:val="003C66AF"/>
    <w:rsid w:val="003C69FA"/>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17B"/>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3F"/>
    <w:rsid w:val="0040419C"/>
    <w:rsid w:val="004041CA"/>
    <w:rsid w:val="004060C8"/>
    <w:rsid w:val="00406781"/>
    <w:rsid w:val="004069A0"/>
    <w:rsid w:val="00406FB0"/>
    <w:rsid w:val="0040738B"/>
    <w:rsid w:val="00407FD8"/>
    <w:rsid w:val="00410134"/>
    <w:rsid w:val="00411E81"/>
    <w:rsid w:val="0041252B"/>
    <w:rsid w:val="00412E50"/>
    <w:rsid w:val="004136DA"/>
    <w:rsid w:val="004145C8"/>
    <w:rsid w:val="004146F2"/>
    <w:rsid w:val="00414AB8"/>
    <w:rsid w:val="00417933"/>
    <w:rsid w:val="00420D66"/>
    <w:rsid w:val="00421919"/>
    <w:rsid w:val="004233C8"/>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C63"/>
    <w:rsid w:val="00446EC2"/>
    <w:rsid w:val="0044703C"/>
    <w:rsid w:val="00447133"/>
    <w:rsid w:val="00450C08"/>
    <w:rsid w:val="004514BD"/>
    <w:rsid w:val="00451822"/>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5AF4"/>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5E4"/>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5201"/>
    <w:rsid w:val="004D6533"/>
    <w:rsid w:val="004D661A"/>
    <w:rsid w:val="004D67F8"/>
    <w:rsid w:val="004D730D"/>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FA2"/>
    <w:rsid w:val="00501487"/>
    <w:rsid w:val="00501F31"/>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EEF"/>
    <w:rsid w:val="005134DD"/>
    <w:rsid w:val="00513CF1"/>
    <w:rsid w:val="00514824"/>
    <w:rsid w:val="005149A9"/>
    <w:rsid w:val="00514A4D"/>
    <w:rsid w:val="00515642"/>
    <w:rsid w:val="00516221"/>
    <w:rsid w:val="00516305"/>
    <w:rsid w:val="005169AA"/>
    <w:rsid w:val="00516A85"/>
    <w:rsid w:val="0052057B"/>
    <w:rsid w:val="00520D03"/>
    <w:rsid w:val="0052299F"/>
    <w:rsid w:val="00522B5E"/>
    <w:rsid w:val="00522D6B"/>
    <w:rsid w:val="00522DB9"/>
    <w:rsid w:val="005251F6"/>
    <w:rsid w:val="005258BE"/>
    <w:rsid w:val="0052590F"/>
    <w:rsid w:val="00526178"/>
    <w:rsid w:val="005263E5"/>
    <w:rsid w:val="005278BF"/>
    <w:rsid w:val="00530CF4"/>
    <w:rsid w:val="005338AE"/>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6049F"/>
    <w:rsid w:val="005604C3"/>
    <w:rsid w:val="00561F70"/>
    <w:rsid w:val="005624F0"/>
    <w:rsid w:val="00563BAF"/>
    <w:rsid w:val="00563CA0"/>
    <w:rsid w:val="005640F7"/>
    <w:rsid w:val="00565504"/>
    <w:rsid w:val="0056577B"/>
    <w:rsid w:val="00566206"/>
    <w:rsid w:val="00566734"/>
    <w:rsid w:val="00567E2D"/>
    <w:rsid w:val="0057043F"/>
    <w:rsid w:val="005705AA"/>
    <w:rsid w:val="0057090E"/>
    <w:rsid w:val="00572324"/>
    <w:rsid w:val="0057290B"/>
    <w:rsid w:val="00573913"/>
    <w:rsid w:val="00573CEF"/>
    <w:rsid w:val="0057430E"/>
    <w:rsid w:val="005752EB"/>
    <w:rsid w:val="00575F08"/>
    <w:rsid w:val="00576B6F"/>
    <w:rsid w:val="00576D96"/>
    <w:rsid w:val="00576FBF"/>
    <w:rsid w:val="00577175"/>
    <w:rsid w:val="00577DE4"/>
    <w:rsid w:val="00577EC8"/>
    <w:rsid w:val="005818A7"/>
    <w:rsid w:val="00582475"/>
    <w:rsid w:val="00583D2A"/>
    <w:rsid w:val="005864AC"/>
    <w:rsid w:val="00590769"/>
    <w:rsid w:val="0059155A"/>
    <w:rsid w:val="00594C12"/>
    <w:rsid w:val="005952BB"/>
    <w:rsid w:val="005952EE"/>
    <w:rsid w:val="0059610E"/>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09B"/>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5F32"/>
    <w:rsid w:val="005D75CA"/>
    <w:rsid w:val="005E013A"/>
    <w:rsid w:val="005E07F1"/>
    <w:rsid w:val="005E0839"/>
    <w:rsid w:val="005E09FF"/>
    <w:rsid w:val="005E0B74"/>
    <w:rsid w:val="005E1082"/>
    <w:rsid w:val="005E232D"/>
    <w:rsid w:val="005E2401"/>
    <w:rsid w:val="005E2496"/>
    <w:rsid w:val="005E340E"/>
    <w:rsid w:val="005E52A8"/>
    <w:rsid w:val="005E5DFB"/>
    <w:rsid w:val="005E64A4"/>
    <w:rsid w:val="005E6558"/>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812"/>
    <w:rsid w:val="00607992"/>
    <w:rsid w:val="00607B79"/>
    <w:rsid w:val="006104AB"/>
    <w:rsid w:val="00611C01"/>
    <w:rsid w:val="00612C67"/>
    <w:rsid w:val="00613D0B"/>
    <w:rsid w:val="0061511B"/>
    <w:rsid w:val="00616D07"/>
    <w:rsid w:val="00620649"/>
    <w:rsid w:val="006209D0"/>
    <w:rsid w:val="00620CBE"/>
    <w:rsid w:val="00621774"/>
    <w:rsid w:val="00621B73"/>
    <w:rsid w:val="00621DC9"/>
    <w:rsid w:val="00622194"/>
    <w:rsid w:val="00622D2D"/>
    <w:rsid w:val="00623506"/>
    <w:rsid w:val="00625FB9"/>
    <w:rsid w:val="0062698D"/>
    <w:rsid w:val="00626A05"/>
    <w:rsid w:val="00626F4D"/>
    <w:rsid w:val="00630B61"/>
    <w:rsid w:val="0063158D"/>
    <w:rsid w:val="00632188"/>
    <w:rsid w:val="0063344E"/>
    <w:rsid w:val="00633639"/>
    <w:rsid w:val="00633B33"/>
    <w:rsid w:val="00633D78"/>
    <w:rsid w:val="00633D91"/>
    <w:rsid w:val="00634633"/>
    <w:rsid w:val="00634CAD"/>
    <w:rsid w:val="00634DE4"/>
    <w:rsid w:val="006357A5"/>
    <w:rsid w:val="00635E8D"/>
    <w:rsid w:val="00637EF3"/>
    <w:rsid w:val="00640056"/>
    <w:rsid w:val="006402AB"/>
    <w:rsid w:val="00640693"/>
    <w:rsid w:val="00640B66"/>
    <w:rsid w:val="00640CE0"/>
    <w:rsid w:val="00641B37"/>
    <w:rsid w:val="00642CDB"/>
    <w:rsid w:val="006431B2"/>
    <w:rsid w:val="0064368B"/>
    <w:rsid w:val="006445E2"/>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843"/>
    <w:rsid w:val="00670A5C"/>
    <w:rsid w:val="006716F7"/>
    <w:rsid w:val="00673803"/>
    <w:rsid w:val="00673DA1"/>
    <w:rsid w:val="00674D8B"/>
    <w:rsid w:val="00674F4C"/>
    <w:rsid w:val="0067523C"/>
    <w:rsid w:val="00676083"/>
    <w:rsid w:val="00676C62"/>
    <w:rsid w:val="00677466"/>
    <w:rsid w:val="00677EF4"/>
    <w:rsid w:val="00682A9A"/>
    <w:rsid w:val="00683308"/>
    <w:rsid w:val="006846FE"/>
    <w:rsid w:val="006856F0"/>
    <w:rsid w:val="00685CE0"/>
    <w:rsid w:val="00686873"/>
    <w:rsid w:val="00686AA9"/>
    <w:rsid w:val="00687DE8"/>
    <w:rsid w:val="0069074B"/>
    <w:rsid w:val="00691005"/>
    <w:rsid w:val="00691072"/>
    <w:rsid w:val="006912A2"/>
    <w:rsid w:val="00692112"/>
    <w:rsid w:val="00692C9B"/>
    <w:rsid w:val="006930E0"/>
    <w:rsid w:val="00693257"/>
    <w:rsid w:val="006936C2"/>
    <w:rsid w:val="0069417F"/>
    <w:rsid w:val="00694C89"/>
    <w:rsid w:val="00695197"/>
    <w:rsid w:val="006955E5"/>
    <w:rsid w:val="00696531"/>
    <w:rsid w:val="00697C5F"/>
    <w:rsid w:val="006A0469"/>
    <w:rsid w:val="006A1613"/>
    <w:rsid w:val="006A17D5"/>
    <w:rsid w:val="006A1DA1"/>
    <w:rsid w:val="006A22F6"/>
    <w:rsid w:val="006A4505"/>
    <w:rsid w:val="006A66E4"/>
    <w:rsid w:val="006A68F0"/>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927"/>
    <w:rsid w:val="006C4BB4"/>
    <w:rsid w:val="006C638C"/>
    <w:rsid w:val="006C6C80"/>
    <w:rsid w:val="006C7728"/>
    <w:rsid w:val="006D071A"/>
    <w:rsid w:val="006D106B"/>
    <w:rsid w:val="006D12DE"/>
    <w:rsid w:val="006D15AD"/>
    <w:rsid w:val="006D262A"/>
    <w:rsid w:val="006D32F3"/>
    <w:rsid w:val="006D41AD"/>
    <w:rsid w:val="006D52C9"/>
    <w:rsid w:val="006D59B0"/>
    <w:rsid w:val="006D6B52"/>
    <w:rsid w:val="006E0E4C"/>
    <w:rsid w:val="006E0EAE"/>
    <w:rsid w:val="006E1302"/>
    <w:rsid w:val="006E1578"/>
    <w:rsid w:val="006E2887"/>
    <w:rsid w:val="006E2CFC"/>
    <w:rsid w:val="006E309A"/>
    <w:rsid w:val="006E4574"/>
    <w:rsid w:val="006E4674"/>
    <w:rsid w:val="006E49C5"/>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7431"/>
    <w:rsid w:val="007074F9"/>
    <w:rsid w:val="00707C25"/>
    <w:rsid w:val="007101DC"/>
    <w:rsid w:val="00710D7A"/>
    <w:rsid w:val="00711002"/>
    <w:rsid w:val="0071145E"/>
    <w:rsid w:val="00711A6C"/>
    <w:rsid w:val="007124B2"/>
    <w:rsid w:val="00713473"/>
    <w:rsid w:val="00713873"/>
    <w:rsid w:val="00713E52"/>
    <w:rsid w:val="007141C0"/>
    <w:rsid w:val="007145AE"/>
    <w:rsid w:val="00714F84"/>
    <w:rsid w:val="0071538B"/>
    <w:rsid w:val="00715A7C"/>
    <w:rsid w:val="00715B4A"/>
    <w:rsid w:val="00715EF9"/>
    <w:rsid w:val="00716058"/>
    <w:rsid w:val="00716FC7"/>
    <w:rsid w:val="00717734"/>
    <w:rsid w:val="00717F95"/>
    <w:rsid w:val="00721883"/>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5D81"/>
    <w:rsid w:val="007473EA"/>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0E7"/>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2312"/>
    <w:rsid w:val="00782523"/>
    <w:rsid w:val="007832EA"/>
    <w:rsid w:val="00783338"/>
    <w:rsid w:val="007839AF"/>
    <w:rsid w:val="00784218"/>
    <w:rsid w:val="00784B8C"/>
    <w:rsid w:val="0078525C"/>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97196"/>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35A4"/>
    <w:rsid w:val="007B65DD"/>
    <w:rsid w:val="007B7CC9"/>
    <w:rsid w:val="007B7FD0"/>
    <w:rsid w:val="007C1984"/>
    <w:rsid w:val="007C1F03"/>
    <w:rsid w:val="007C225F"/>
    <w:rsid w:val="007C23F1"/>
    <w:rsid w:val="007C3532"/>
    <w:rsid w:val="007C3667"/>
    <w:rsid w:val="007C4F40"/>
    <w:rsid w:val="007C4F64"/>
    <w:rsid w:val="007C60D5"/>
    <w:rsid w:val="007C7AE4"/>
    <w:rsid w:val="007D0F5E"/>
    <w:rsid w:val="007D2CF7"/>
    <w:rsid w:val="007D3E58"/>
    <w:rsid w:val="007D430E"/>
    <w:rsid w:val="007D4686"/>
    <w:rsid w:val="007D4FBE"/>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A1E"/>
    <w:rsid w:val="00801419"/>
    <w:rsid w:val="00801EE7"/>
    <w:rsid w:val="00802F2B"/>
    <w:rsid w:val="008036FE"/>
    <w:rsid w:val="00804558"/>
    <w:rsid w:val="00804743"/>
    <w:rsid w:val="00804A7E"/>
    <w:rsid w:val="00804FAB"/>
    <w:rsid w:val="00805510"/>
    <w:rsid w:val="00805693"/>
    <w:rsid w:val="00805FFE"/>
    <w:rsid w:val="00806AE9"/>
    <w:rsid w:val="00806BC4"/>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1646"/>
    <w:rsid w:val="00825A48"/>
    <w:rsid w:val="008267EF"/>
    <w:rsid w:val="00826EE8"/>
    <w:rsid w:val="00827050"/>
    <w:rsid w:val="008279F2"/>
    <w:rsid w:val="00827C36"/>
    <w:rsid w:val="00827D2A"/>
    <w:rsid w:val="00827EEE"/>
    <w:rsid w:val="00827F47"/>
    <w:rsid w:val="008303FE"/>
    <w:rsid w:val="008304BD"/>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11B5"/>
    <w:rsid w:val="00851ABE"/>
    <w:rsid w:val="00851B44"/>
    <w:rsid w:val="00851E47"/>
    <w:rsid w:val="00853504"/>
    <w:rsid w:val="00853507"/>
    <w:rsid w:val="00853723"/>
    <w:rsid w:val="008538C4"/>
    <w:rsid w:val="0085449A"/>
    <w:rsid w:val="00854D24"/>
    <w:rsid w:val="00854E23"/>
    <w:rsid w:val="00855C78"/>
    <w:rsid w:val="00855CB9"/>
    <w:rsid w:val="00855D16"/>
    <w:rsid w:val="00855E85"/>
    <w:rsid w:val="00857087"/>
    <w:rsid w:val="00857BB4"/>
    <w:rsid w:val="00857D4A"/>
    <w:rsid w:val="00857EC0"/>
    <w:rsid w:val="008626A6"/>
    <w:rsid w:val="008626D6"/>
    <w:rsid w:val="0086279B"/>
    <w:rsid w:val="00862F9B"/>
    <w:rsid w:val="00863693"/>
    <w:rsid w:val="00863759"/>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674F"/>
    <w:rsid w:val="008770BE"/>
    <w:rsid w:val="008775D0"/>
    <w:rsid w:val="008779A0"/>
    <w:rsid w:val="00877E92"/>
    <w:rsid w:val="00877EAA"/>
    <w:rsid w:val="00880A1B"/>
    <w:rsid w:val="00880BD0"/>
    <w:rsid w:val="00881254"/>
    <w:rsid w:val="0088134A"/>
    <w:rsid w:val="0088177C"/>
    <w:rsid w:val="008817A5"/>
    <w:rsid w:val="00881B66"/>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693"/>
    <w:rsid w:val="008B78D4"/>
    <w:rsid w:val="008B7DDA"/>
    <w:rsid w:val="008C01D7"/>
    <w:rsid w:val="008C1A2B"/>
    <w:rsid w:val="008C1F3F"/>
    <w:rsid w:val="008C25A6"/>
    <w:rsid w:val="008C5188"/>
    <w:rsid w:val="008C52E5"/>
    <w:rsid w:val="008C55A6"/>
    <w:rsid w:val="008C6619"/>
    <w:rsid w:val="008C74EA"/>
    <w:rsid w:val="008D05E6"/>
    <w:rsid w:val="008D06C7"/>
    <w:rsid w:val="008D09E9"/>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5486"/>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3D9F"/>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301C1"/>
    <w:rsid w:val="0093042D"/>
    <w:rsid w:val="009305C0"/>
    <w:rsid w:val="00930672"/>
    <w:rsid w:val="00930930"/>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3827"/>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7F1"/>
    <w:rsid w:val="00977D6E"/>
    <w:rsid w:val="00977DCA"/>
    <w:rsid w:val="009812BC"/>
    <w:rsid w:val="009824B7"/>
    <w:rsid w:val="009827C2"/>
    <w:rsid w:val="0098342A"/>
    <w:rsid w:val="00983695"/>
    <w:rsid w:val="00984AF9"/>
    <w:rsid w:val="00984CC2"/>
    <w:rsid w:val="009858DD"/>
    <w:rsid w:val="00986705"/>
    <w:rsid w:val="009872F5"/>
    <w:rsid w:val="00991299"/>
    <w:rsid w:val="009928D6"/>
    <w:rsid w:val="00993874"/>
    <w:rsid w:val="009939AE"/>
    <w:rsid w:val="00994359"/>
    <w:rsid w:val="00994B51"/>
    <w:rsid w:val="009953C0"/>
    <w:rsid w:val="0099553A"/>
    <w:rsid w:val="00996953"/>
    <w:rsid w:val="00997372"/>
    <w:rsid w:val="0099755F"/>
    <w:rsid w:val="009979A3"/>
    <w:rsid w:val="009979DF"/>
    <w:rsid w:val="00997CD8"/>
    <w:rsid w:val="009A06D8"/>
    <w:rsid w:val="009A157C"/>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044"/>
    <w:rsid w:val="009C4C0C"/>
    <w:rsid w:val="009C598B"/>
    <w:rsid w:val="009C5A94"/>
    <w:rsid w:val="009C5D0E"/>
    <w:rsid w:val="009C61A8"/>
    <w:rsid w:val="009C69A4"/>
    <w:rsid w:val="009D01B5"/>
    <w:rsid w:val="009D034A"/>
    <w:rsid w:val="009D07F3"/>
    <w:rsid w:val="009D17A5"/>
    <w:rsid w:val="009D1C73"/>
    <w:rsid w:val="009D27C0"/>
    <w:rsid w:val="009D2904"/>
    <w:rsid w:val="009D2D1C"/>
    <w:rsid w:val="009D2D42"/>
    <w:rsid w:val="009D36BF"/>
    <w:rsid w:val="009D548F"/>
    <w:rsid w:val="009D566C"/>
    <w:rsid w:val="009D583A"/>
    <w:rsid w:val="009D6897"/>
    <w:rsid w:val="009D75DB"/>
    <w:rsid w:val="009D786C"/>
    <w:rsid w:val="009E00FD"/>
    <w:rsid w:val="009E0909"/>
    <w:rsid w:val="009E10B4"/>
    <w:rsid w:val="009E16CC"/>
    <w:rsid w:val="009E22F0"/>
    <w:rsid w:val="009E5F55"/>
    <w:rsid w:val="009E64BF"/>
    <w:rsid w:val="009E7C07"/>
    <w:rsid w:val="009E7E5A"/>
    <w:rsid w:val="009F1538"/>
    <w:rsid w:val="009F1CC8"/>
    <w:rsid w:val="009F22D7"/>
    <w:rsid w:val="009F3505"/>
    <w:rsid w:val="009F39E3"/>
    <w:rsid w:val="009F46F3"/>
    <w:rsid w:val="009F4C73"/>
    <w:rsid w:val="009F564B"/>
    <w:rsid w:val="009F624F"/>
    <w:rsid w:val="009F7650"/>
    <w:rsid w:val="00A002B9"/>
    <w:rsid w:val="00A00610"/>
    <w:rsid w:val="00A011B3"/>
    <w:rsid w:val="00A03327"/>
    <w:rsid w:val="00A038C6"/>
    <w:rsid w:val="00A03ABC"/>
    <w:rsid w:val="00A0441F"/>
    <w:rsid w:val="00A0449E"/>
    <w:rsid w:val="00A053F5"/>
    <w:rsid w:val="00A05AA1"/>
    <w:rsid w:val="00A06376"/>
    <w:rsid w:val="00A10B32"/>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4662"/>
    <w:rsid w:val="00A25168"/>
    <w:rsid w:val="00A2568B"/>
    <w:rsid w:val="00A25DCA"/>
    <w:rsid w:val="00A26329"/>
    <w:rsid w:val="00A2676E"/>
    <w:rsid w:val="00A26BE3"/>
    <w:rsid w:val="00A274C2"/>
    <w:rsid w:val="00A27C99"/>
    <w:rsid w:val="00A30AC9"/>
    <w:rsid w:val="00A30CC0"/>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B2"/>
    <w:rsid w:val="00A42E8B"/>
    <w:rsid w:val="00A42EBA"/>
    <w:rsid w:val="00A431F7"/>
    <w:rsid w:val="00A437D1"/>
    <w:rsid w:val="00A44A12"/>
    <w:rsid w:val="00A44C00"/>
    <w:rsid w:val="00A455E8"/>
    <w:rsid w:val="00A45CB0"/>
    <w:rsid w:val="00A46AAD"/>
    <w:rsid w:val="00A47017"/>
    <w:rsid w:val="00A50651"/>
    <w:rsid w:val="00A51B11"/>
    <w:rsid w:val="00A51E21"/>
    <w:rsid w:val="00A51EA5"/>
    <w:rsid w:val="00A52608"/>
    <w:rsid w:val="00A527E1"/>
    <w:rsid w:val="00A536B2"/>
    <w:rsid w:val="00A54122"/>
    <w:rsid w:val="00A5464D"/>
    <w:rsid w:val="00A5487E"/>
    <w:rsid w:val="00A5565C"/>
    <w:rsid w:val="00A562F5"/>
    <w:rsid w:val="00A56F2F"/>
    <w:rsid w:val="00A57556"/>
    <w:rsid w:val="00A577AA"/>
    <w:rsid w:val="00A605DC"/>
    <w:rsid w:val="00A60727"/>
    <w:rsid w:val="00A609B3"/>
    <w:rsid w:val="00A60A76"/>
    <w:rsid w:val="00A6262F"/>
    <w:rsid w:val="00A62951"/>
    <w:rsid w:val="00A62D98"/>
    <w:rsid w:val="00A637F6"/>
    <w:rsid w:val="00A638F8"/>
    <w:rsid w:val="00A646C5"/>
    <w:rsid w:val="00A64773"/>
    <w:rsid w:val="00A64A17"/>
    <w:rsid w:val="00A64F6C"/>
    <w:rsid w:val="00A65994"/>
    <w:rsid w:val="00A65B32"/>
    <w:rsid w:val="00A65BB9"/>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5EA4"/>
    <w:rsid w:val="00A95F56"/>
    <w:rsid w:val="00A966FF"/>
    <w:rsid w:val="00A96B14"/>
    <w:rsid w:val="00AA1159"/>
    <w:rsid w:val="00AA2221"/>
    <w:rsid w:val="00AA2375"/>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5E84"/>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FE2"/>
    <w:rsid w:val="00AE411B"/>
    <w:rsid w:val="00AE4125"/>
    <w:rsid w:val="00AE4817"/>
    <w:rsid w:val="00AE6283"/>
    <w:rsid w:val="00AE6AD5"/>
    <w:rsid w:val="00AE702C"/>
    <w:rsid w:val="00AE722A"/>
    <w:rsid w:val="00AE7903"/>
    <w:rsid w:val="00AE7B28"/>
    <w:rsid w:val="00AE7EDD"/>
    <w:rsid w:val="00AF0571"/>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B0008C"/>
    <w:rsid w:val="00B003E6"/>
    <w:rsid w:val="00B0061B"/>
    <w:rsid w:val="00B011FC"/>
    <w:rsid w:val="00B012FD"/>
    <w:rsid w:val="00B01FF1"/>
    <w:rsid w:val="00B0296C"/>
    <w:rsid w:val="00B0306D"/>
    <w:rsid w:val="00B032AB"/>
    <w:rsid w:val="00B039BA"/>
    <w:rsid w:val="00B04467"/>
    <w:rsid w:val="00B05DB3"/>
    <w:rsid w:val="00B073FF"/>
    <w:rsid w:val="00B076EC"/>
    <w:rsid w:val="00B079FB"/>
    <w:rsid w:val="00B07EC6"/>
    <w:rsid w:val="00B10841"/>
    <w:rsid w:val="00B11263"/>
    <w:rsid w:val="00B1174D"/>
    <w:rsid w:val="00B12793"/>
    <w:rsid w:val="00B143BF"/>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C06"/>
    <w:rsid w:val="00B5668C"/>
    <w:rsid w:val="00B574AF"/>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0CD9"/>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DE6"/>
    <w:rsid w:val="00BA4047"/>
    <w:rsid w:val="00BA5390"/>
    <w:rsid w:val="00BA5A47"/>
    <w:rsid w:val="00BA65ED"/>
    <w:rsid w:val="00BA6760"/>
    <w:rsid w:val="00BA7A62"/>
    <w:rsid w:val="00BB0321"/>
    <w:rsid w:val="00BB0450"/>
    <w:rsid w:val="00BB08EE"/>
    <w:rsid w:val="00BB0998"/>
    <w:rsid w:val="00BB129B"/>
    <w:rsid w:val="00BB1C5F"/>
    <w:rsid w:val="00BB325E"/>
    <w:rsid w:val="00BB367D"/>
    <w:rsid w:val="00BB6107"/>
    <w:rsid w:val="00BB62A8"/>
    <w:rsid w:val="00BB64E7"/>
    <w:rsid w:val="00BB65DE"/>
    <w:rsid w:val="00BB6FB5"/>
    <w:rsid w:val="00BB7D9E"/>
    <w:rsid w:val="00BB7E0E"/>
    <w:rsid w:val="00BC178D"/>
    <w:rsid w:val="00BC1C43"/>
    <w:rsid w:val="00BC2E65"/>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D36"/>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7AE"/>
    <w:rsid w:val="00BF6B53"/>
    <w:rsid w:val="00BF776A"/>
    <w:rsid w:val="00C0032A"/>
    <w:rsid w:val="00C0049E"/>
    <w:rsid w:val="00C0122B"/>
    <w:rsid w:val="00C020FE"/>
    <w:rsid w:val="00C03C19"/>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4DDE"/>
    <w:rsid w:val="00C95F20"/>
    <w:rsid w:val="00C960DE"/>
    <w:rsid w:val="00C962DA"/>
    <w:rsid w:val="00C968E2"/>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3BE"/>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2107"/>
    <w:rsid w:val="00CE2843"/>
    <w:rsid w:val="00CE28A7"/>
    <w:rsid w:val="00CE2910"/>
    <w:rsid w:val="00CE2C92"/>
    <w:rsid w:val="00CE44BD"/>
    <w:rsid w:val="00CE498C"/>
    <w:rsid w:val="00CE67EB"/>
    <w:rsid w:val="00CE785A"/>
    <w:rsid w:val="00CE7F51"/>
    <w:rsid w:val="00CF1028"/>
    <w:rsid w:val="00CF2171"/>
    <w:rsid w:val="00CF2C5D"/>
    <w:rsid w:val="00CF3676"/>
    <w:rsid w:val="00CF37AC"/>
    <w:rsid w:val="00CF3933"/>
    <w:rsid w:val="00CF4A11"/>
    <w:rsid w:val="00CF4A1F"/>
    <w:rsid w:val="00CF4DA4"/>
    <w:rsid w:val="00CF4FDC"/>
    <w:rsid w:val="00CF7B9C"/>
    <w:rsid w:val="00D00699"/>
    <w:rsid w:val="00D0113A"/>
    <w:rsid w:val="00D017E5"/>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EB3"/>
    <w:rsid w:val="00D20F87"/>
    <w:rsid w:val="00D20F88"/>
    <w:rsid w:val="00D21238"/>
    <w:rsid w:val="00D21B7C"/>
    <w:rsid w:val="00D21DF1"/>
    <w:rsid w:val="00D22FAC"/>
    <w:rsid w:val="00D252A7"/>
    <w:rsid w:val="00D25394"/>
    <w:rsid w:val="00D25451"/>
    <w:rsid w:val="00D25602"/>
    <w:rsid w:val="00D25813"/>
    <w:rsid w:val="00D26AAB"/>
    <w:rsid w:val="00D27578"/>
    <w:rsid w:val="00D30186"/>
    <w:rsid w:val="00D30772"/>
    <w:rsid w:val="00D31337"/>
    <w:rsid w:val="00D33068"/>
    <w:rsid w:val="00D3356B"/>
    <w:rsid w:val="00D34C37"/>
    <w:rsid w:val="00D35E3B"/>
    <w:rsid w:val="00D37FD8"/>
    <w:rsid w:val="00D400E2"/>
    <w:rsid w:val="00D40221"/>
    <w:rsid w:val="00D416B6"/>
    <w:rsid w:val="00D416ED"/>
    <w:rsid w:val="00D41C97"/>
    <w:rsid w:val="00D42E82"/>
    <w:rsid w:val="00D43002"/>
    <w:rsid w:val="00D4478C"/>
    <w:rsid w:val="00D449D4"/>
    <w:rsid w:val="00D44AD6"/>
    <w:rsid w:val="00D45518"/>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6BDE"/>
    <w:rsid w:val="00D6709B"/>
    <w:rsid w:val="00D675F3"/>
    <w:rsid w:val="00D67D95"/>
    <w:rsid w:val="00D67ED9"/>
    <w:rsid w:val="00D710E2"/>
    <w:rsid w:val="00D71662"/>
    <w:rsid w:val="00D719A5"/>
    <w:rsid w:val="00D72691"/>
    <w:rsid w:val="00D74DE6"/>
    <w:rsid w:val="00D751C2"/>
    <w:rsid w:val="00D761D1"/>
    <w:rsid w:val="00D766ED"/>
    <w:rsid w:val="00D7770B"/>
    <w:rsid w:val="00D77D71"/>
    <w:rsid w:val="00D77F6C"/>
    <w:rsid w:val="00D80CCB"/>
    <w:rsid w:val="00D81CA9"/>
    <w:rsid w:val="00D82870"/>
    <w:rsid w:val="00D82F9E"/>
    <w:rsid w:val="00D83226"/>
    <w:rsid w:val="00D838AD"/>
    <w:rsid w:val="00D83DFF"/>
    <w:rsid w:val="00D84420"/>
    <w:rsid w:val="00D84EDE"/>
    <w:rsid w:val="00D8521C"/>
    <w:rsid w:val="00D853CD"/>
    <w:rsid w:val="00D8569B"/>
    <w:rsid w:val="00D86B29"/>
    <w:rsid w:val="00D86CB6"/>
    <w:rsid w:val="00D86D50"/>
    <w:rsid w:val="00D87585"/>
    <w:rsid w:val="00D9018D"/>
    <w:rsid w:val="00D918E4"/>
    <w:rsid w:val="00D91E1A"/>
    <w:rsid w:val="00D92052"/>
    <w:rsid w:val="00D9235A"/>
    <w:rsid w:val="00D92978"/>
    <w:rsid w:val="00D95163"/>
    <w:rsid w:val="00D95270"/>
    <w:rsid w:val="00D95363"/>
    <w:rsid w:val="00D97269"/>
    <w:rsid w:val="00D979A4"/>
    <w:rsid w:val="00DA0B22"/>
    <w:rsid w:val="00DA32A7"/>
    <w:rsid w:val="00DA5B85"/>
    <w:rsid w:val="00DA5D52"/>
    <w:rsid w:val="00DA5E13"/>
    <w:rsid w:val="00DB06E9"/>
    <w:rsid w:val="00DB381B"/>
    <w:rsid w:val="00DB40BC"/>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3B2"/>
    <w:rsid w:val="00DD07A6"/>
    <w:rsid w:val="00DD099F"/>
    <w:rsid w:val="00DD0A9A"/>
    <w:rsid w:val="00DD2BEE"/>
    <w:rsid w:val="00DD332D"/>
    <w:rsid w:val="00DD348F"/>
    <w:rsid w:val="00DD45B6"/>
    <w:rsid w:val="00DD4E51"/>
    <w:rsid w:val="00DD5F31"/>
    <w:rsid w:val="00DD5F5F"/>
    <w:rsid w:val="00DD6986"/>
    <w:rsid w:val="00DD7658"/>
    <w:rsid w:val="00DD76E8"/>
    <w:rsid w:val="00DE00D6"/>
    <w:rsid w:val="00DE0B85"/>
    <w:rsid w:val="00DE19B3"/>
    <w:rsid w:val="00DE3D98"/>
    <w:rsid w:val="00DE5626"/>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5517"/>
    <w:rsid w:val="00E05820"/>
    <w:rsid w:val="00E0663F"/>
    <w:rsid w:val="00E0670A"/>
    <w:rsid w:val="00E06D52"/>
    <w:rsid w:val="00E075BA"/>
    <w:rsid w:val="00E075CA"/>
    <w:rsid w:val="00E07A97"/>
    <w:rsid w:val="00E07C39"/>
    <w:rsid w:val="00E07DD5"/>
    <w:rsid w:val="00E1177E"/>
    <w:rsid w:val="00E11954"/>
    <w:rsid w:val="00E11A9B"/>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0CB"/>
    <w:rsid w:val="00E3065C"/>
    <w:rsid w:val="00E308C4"/>
    <w:rsid w:val="00E30AB1"/>
    <w:rsid w:val="00E317A1"/>
    <w:rsid w:val="00E3185A"/>
    <w:rsid w:val="00E337A3"/>
    <w:rsid w:val="00E33F4F"/>
    <w:rsid w:val="00E342A6"/>
    <w:rsid w:val="00E34402"/>
    <w:rsid w:val="00E35355"/>
    <w:rsid w:val="00E36A43"/>
    <w:rsid w:val="00E401CE"/>
    <w:rsid w:val="00E406CB"/>
    <w:rsid w:val="00E43084"/>
    <w:rsid w:val="00E43549"/>
    <w:rsid w:val="00E4369F"/>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138"/>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0FA"/>
    <w:rsid w:val="00E9640A"/>
    <w:rsid w:val="00E9702A"/>
    <w:rsid w:val="00EA02C0"/>
    <w:rsid w:val="00EA0FB4"/>
    <w:rsid w:val="00EA3BF5"/>
    <w:rsid w:val="00EA3F0A"/>
    <w:rsid w:val="00EA4AA9"/>
    <w:rsid w:val="00EA52B8"/>
    <w:rsid w:val="00EA56C8"/>
    <w:rsid w:val="00EA5F2B"/>
    <w:rsid w:val="00EA68A6"/>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1CEE"/>
    <w:rsid w:val="00EE2B07"/>
    <w:rsid w:val="00EE31D2"/>
    <w:rsid w:val="00EE3BC2"/>
    <w:rsid w:val="00EE4254"/>
    <w:rsid w:val="00EE59FE"/>
    <w:rsid w:val="00EE6CB7"/>
    <w:rsid w:val="00EE6DA0"/>
    <w:rsid w:val="00EE7D43"/>
    <w:rsid w:val="00EF0051"/>
    <w:rsid w:val="00EF0517"/>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5D2"/>
    <w:rsid w:val="00F62855"/>
    <w:rsid w:val="00F62D03"/>
    <w:rsid w:val="00F635C3"/>
    <w:rsid w:val="00F64DEB"/>
    <w:rsid w:val="00F7007D"/>
    <w:rsid w:val="00F70721"/>
    <w:rsid w:val="00F737BD"/>
    <w:rsid w:val="00F7545E"/>
    <w:rsid w:val="00F7587E"/>
    <w:rsid w:val="00F760CA"/>
    <w:rsid w:val="00F7641A"/>
    <w:rsid w:val="00F766A4"/>
    <w:rsid w:val="00F76CAE"/>
    <w:rsid w:val="00F76DF3"/>
    <w:rsid w:val="00F772C9"/>
    <w:rsid w:val="00F77BFC"/>
    <w:rsid w:val="00F8046D"/>
    <w:rsid w:val="00F81EA9"/>
    <w:rsid w:val="00F81F65"/>
    <w:rsid w:val="00F824ED"/>
    <w:rsid w:val="00F827A0"/>
    <w:rsid w:val="00F83983"/>
    <w:rsid w:val="00F840FD"/>
    <w:rsid w:val="00F84392"/>
    <w:rsid w:val="00F84FD3"/>
    <w:rsid w:val="00F8522A"/>
    <w:rsid w:val="00F859B5"/>
    <w:rsid w:val="00F85C0E"/>
    <w:rsid w:val="00F86C60"/>
    <w:rsid w:val="00F873E1"/>
    <w:rsid w:val="00F90169"/>
    <w:rsid w:val="00F902A7"/>
    <w:rsid w:val="00F915F0"/>
    <w:rsid w:val="00F91AC4"/>
    <w:rsid w:val="00F92DAE"/>
    <w:rsid w:val="00F9330F"/>
    <w:rsid w:val="00F939C5"/>
    <w:rsid w:val="00F93C2E"/>
    <w:rsid w:val="00F9538F"/>
    <w:rsid w:val="00F95448"/>
    <w:rsid w:val="00F95FFD"/>
    <w:rsid w:val="00F96339"/>
    <w:rsid w:val="00F96B06"/>
    <w:rsid w:val="00F96CE5"/>
    <w:rsid w:val="00F978D1"/>
    <w:rsid w:val="00F97B1A"/>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2DE5"/>
    <w:rsid w:val="00FC5B5F"/>
    <w:rsid w:val="00FC655D"/>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F19"/>
    <w:rsid w:val="00FD5FC7"/>
    <w:rsid w:val="00FD75B3"/>
    <w:rsid w:val="00FD7BCE"/>
    <w:rsid w:val="00FE169D"/>
    <w:rsid w:val="00FE1B80"/>
    <w:rsid w:val="00FE1BB6"/>
    <w:rsid w:val="00FE1D47"/>
    <w:rsid w:val="00FE2C95"/>
    <w:rsid w:val="00FE33AC"/>
    <w:rsid w:val="00FE424B"/>
    <w:rsid w:val="00FE5479"/>
    <w:rsid w:val="00FE5B2F"/>
    <w:rsid w:val="00FE5EB7"/>
    <w:rsid w:val="00FE69FA"/>
    <w:rsid w:val="00FE704E"/>
    <w:rsid w:val="00FE733E"/>
    <w:rsid w:val="00FE7594"/>
    <w:rsid w:val="00FF0557"/>
    <w:rsid w:val="00FF09FC"/>
    <w:rsid w:val="00FF0EF9"/>
    <w:rsid w:val="00FF1133"/>
    <w:rsid w:val="00FF1C13"/>
    <w:rsid w:val="00FF564D"/>
    <w:rsid w:val="00FF58F9"/>
    <w:rsid w:val="00FF65BA"/>
    <w:rsid w:val="00FF6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2596404">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0183962">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tr/2014/06/kariyer-net-verisiyle-kisa-vadeli-tarim-disi-issizlik-tahmini/" TargetMode="External"/><Relationship Id="rId1" Type="http://schemas.openxmlformats.org/officeDocument/2006/relationships/hyperlink" Target="http://betam.bahcesehir.edu.tr/2015/07/dusuk-buyume-olaganustu-istihdam-artisi/"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elike.kokkizil\Dropbox\ISGUCU%20GORUNUMU\07.2015\AN%20&#304;&#351;sizlik_min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339622641509524E-2"/>
          <c:y val="4.8889168853893314E-2"/>
          <c:w val="0.8137397194000987"/>
          <c:h val="0.77066834645669402"/>
        </c:manualLayout>
      </c:layout>
      <c:lineChart>
        <c:grouping val="standard"/>
        <c:varyColors val="0"/>
        <c:ser>
          <c:idx val="1"/>
          <c:order val="0"/>
          <c:tx>
            <c:strRef>
              <c:f>kariyer.net!$E$2</c:f>
              <c:strCache>
                <c:ptCount val="1"/>
                <c:pt idx="0">
                  <c:v># applications per vacancy</c:v>
                </c:pt>
              </c:strCache>
            </c:strRef>
          </c:tx>
          <c:spPr>
            <a:ln w="25400">
              <a:solidFill>
                <a:srgbClr val="FF0000"/>
              </a:solidFill>
              <a:prstDash val="solid"/>
            </a:ln>
          </c:spPr>
          <c:marker>
            <c:symbol val="none"/>
          </c:marker>
          <c:cat>
            <c:numRef>
              <c:f>kariyer.net!$A$81:$A$129</c:f>
              <c:numCache>
                <c:formatCode>[$-409]mmm\-yy;@</c:formatCode>
                <c:ptCount val="49"/>
                <c:pt idx="0">
                  <c:v>40695</c:v>
                </c:pt>
                <c:pt idx="1">
                  <c:v>40725</c:v>
                </c:pt>
                <c:pt idx="2">
                  <c:v>40756</c:v>
                </c:pt>
                <c:pt idx="3">
                  <c:v>40787</c:v>
                </c:pt>
                <c:pt idx="4">
                  <c:v>40817</c:v>
                </c:pt>
                <c:pt idx="5">
                  <c:v>40848</c:v>
                </c:pt>
                <c:pt idx="6">
                  <c:v>40878</c:v>
                </c:pt>
                <c:pt idx="7">
                  <c:v>40909</c:v>
                </c:pt>
                <c:pt idx="8">
                  <c:v>40940</c:v>
                </c:pt>
                <c:pt idx="9">
                  <c:v>40969</c:v>
                </c:pt>
                <c:pt idx="10">
                  <c:v>41000</c:v>
                </c:pt>
                <c:pt idx="11">
                  <c:v>41030</c:v>
                </c:pt>
                <c:pt idx="12">
                  <c:v>41061</c:v>
                </c:pt>
                <c:pt idx="13">
                  <c:v>41091</c:v>
                </c:pt>
                <c:pt idx="14">
                  <c:v>41122</c:v>
                </c:pt>
                <c:pt idx="15">
                  <c:v>41153</c:v>
                </c:pt>
                <c:pt idx="16">
                  <c:v>41183</c:v>
                </c:pt>
                <c:pt idx="17">
                  <c:v>41214</c:v>
                </c:pt>
                <c:pt idx="18">
                  <c:v>41244</c:v>
                </c:pt>
                <c:pt idx="19">
                  <c:v>41275</c:v>
                </c:pt>
                <c:pt idx="20">
                  <c:v>41306</c:v>
                </c:pt>
                <c:pt idx="21">
                  <c:v>41334</c:v>
                </c:pt>
                <c:pt idx="22">
                  <c:v>41365</c:v>
                </c:pt>
                <c:pt idx="23">
                  <c:v>41395</c:v>
                </c:pt>
                <c:pt idx="24">
                  <c:v>41426</c:v>
                </c:pt>
                <c:pt idx="25">
                  <c:v>41456</c:v>
                </c:pt>
                <c:pt idx="26">
                  <c:v>41487</c:v>
                </c:pt>
                <c:pt idx="27">
                  <c:v>41518</c:v>
                </c:pt>
                <c:pt idx="28">
                  <c:v>41548</c:v>
                </c:pt>
                <c:pt idx="29">
                  <c:v>41579</c:v>
                </c:pt>
                <c:pt idx="30">
                  <c:v>41609</c:v>
                </c:pt>
                <c:pt idx="31">
                  <c:v>41640</c:v>
                </c:pt>
                <c:pt idx="32">
                  <c:v>41671</c:v>
                </c:pt>
                <c:pt idx="33">
                  <c:v>41699</c:v>
                </c:pt>
                <c:pt idx="34">
                  <c:v>41730</c:v>
                </c:pt>
                <c:pt idx="35">
                  <c:v>41760</c:v>
                </c:pt>
                <c:pt idx="36">
                  <c:v>41791</c:v>
                </c:pt>
                <c:pt idx="37">
                  <c:v>41821</c:v>
                </c:pt>
                <c:pt idx="38">
                  <c:v>41852</c:v>
                </c:pt>
                <c:pt idx="39">
                  <c:v>41883</c:v>
                </c:pt>
                <c:pt idx="40">
                  <c:v>41913</c:v>
                </c:pt>
                <c:pt idx="41">
                  <c:v>41944</c:v>
                </c:pt>
                <c:pt idx="42">
                  <c:v>41974</c:v>
                </c:pt>
                <c:pt idx="43">
                  <c:v>42005</c:v>
                </c:pt>
                <c:pt idx="44">
                  <c:v>42036</c:v>
                </c:pt>
                <c:pt idx="45">
                  <c:v>42064</c:v>
                </c:pt>
                <c:pt idx="46">
                  <c:v>42095</c:v>
                </c:pt>
                <c:pt idx="47">
                  <c:v>42125</c:v>
                </c:pt>
                <c:pt idx="48">
                  <c:v>42156</c:v>
                </c:pt>
              </c:numCache>
            </c:numRef>
          </c:cat>
          <c:val>
            <c:numRef>
              <c:f>kariyer.net!$E$81:$E$129</c:f>
              <c:numCache>
                <c:formatCode>0</c:formatCode>
                <c:ptCount val="49"/>
                <c:pt idx="0">
                  <c:v>108.32511607239108</c:v>
                </c:pt>
                <c:pt idx="1">
                  <c:v>98.029004992458667</c:v>
                </c:pt>
                <c:pt idx="2">
                  <c:v>100.07566996988562</c:v>
                </c:pt>
                <c:pt idx="3">
                  <c:v>99.269290885476636</c:v>
                </c:pt>
                <c:pt idx="4">
                  <c:v>97.425214835562898</c:v>
                </c:pt>
                <c:pt idx="5">
                  <c:v>94.864908191966748</c:v>
                </c:pt>
                <c:pt idx="6">
                  <c:v>92.686344623192184</c:v>
                </c:pt>
                <c:pt idx="7">
                  <c:v>96.740267712530979</c:v>
                </c:pt>
                <c:pt idx="8">
                  <c:v>91.802542246979201</c:v>
                </c:pt>
                <c:pt idx="9">
                  <c:v>83.52440962660954</c:v>
                </c:pt>
                <c:pt idx="10">
                  <c:v>84.536364968082665</c:v>
                </c:pt>
                <c:pt idx="11">
                  <c:v>85.230046344685519</c:v>
                </c:pt>
                <c:pt idx="12">
                  <c:v>87.681387627295479</c:v>
                </c:pt>
                <c:pt idx="13">
                  <c:v>91.137903501332858</c:v>
                </c:pt>
                <c:pt idx="14">
                  <c:v>93.799078070394359</c:v>
                </c:pt>
                <c:pt idx="15">
                  <c:v>92.613133009710097</c:v>
                </c:pt>
                <c:pt idx="16">
                  <c:v>98.766668161444215</c:v>
                </c:pt>
                <c:pt idx="17">
                  <c:v>99.032217254782282</c:v>
                </c:pt>
                <c:pt idx="18">
                  <c:v>101.69237034868648</c:v>
                </c:pt>
                <c:pt idx="19">
                  <c:v>105.68794060844364</c:v>
                </c:pt>
                <c:pt idx="20">
                  <c:v>104.10217794308728</c:v>
                </c:pt>
                <c:pt idx="21">
                  <c:v>102.76937850660934</c:v>
                </c:pt>
                <c:pt idx="22">
                  <c:v>96.014811167284009</c:v>
                </c:pt>
                <c:pt idx="23">
                  <c:v>100.170755852835</c:v>
                </c:pt>
                <c:pt idx="24">
                  <c:v>95.295671393990048</c:v>
                </c:pt>
                <c:pt idx="25">
                  <c:v>108.47545462069307</c:v>
                </c:pt>
                <c:pt idx="26">
                  <c:v>96.916730069423878</c:v>
                </c:pt>
                <c:pt idx="27">
                  <c:v>101.86967208704537</c:v>
                </c:pt>
                <c:pt idx="28">
                  <c:v>98.412068569034716</c:v>
                </c:pt>
                <c:pt idx="29">
                  <c:v>98.290420745868715</c:v>
                </c:pt>
                <c:pt idx="30">
                  <c:v>93.142691650968104</c:v>
                </c:pt>
                <c:pt idx="31">
                  <c:v>91.769381598759239</c:v>
                </c:pt>
                <c:pt idx="32">
                  <c:v>90.92924696643648</c:v>
                </c:pt>
                <c:pt idx="33">
                  <c:v>90.623005891572589</c:v>
                </c:pt>
                <c:pt idx="34">
                  <c:v>98.047626026312869</c:v>
                </c:pt>
                <c:pt idx="35">
                  <c:v>100.62852333441595</c:v>
                </c:pt>
                <c:pt idx="36">
                  <c:v>99.561283984926959</c:v>
                </c:pt>
                <c:pt idx="37">
                  <c:v>103.79689893810465</c:v>
                </c:pt>
                <c:pt idx="38">
                  <c:v>110.26360272689138</c:v>
                </c:pt>
                <c:pt idx="39">
                  <c:v>108.68551406038583</c:v>
                </c:pt>
                <c:pt idx="40">
                  <c:v>109.98319760434651</c:v>
                </c:pt>
                <c:pt idx="41">
                  <c:v>118.04571817820205</c:v>
                </c:pt>
                <c:pt idx="42">
                  <c:v>121.89504696149845</c:v>
                </c:pt>
                <c:pt idx="43">
                  <c:v>121.23243286727605</c:v>
                </c:pt>
                <c:pt idx="44">
                  <c:v>127.91704681531996</c:v>
                </c:pt>
                <c:pt idx="45">
                  <c:v>130.64247756304619</c:v>
                </c:pt>
                <c:pt idx="46">
                  <c:v>127.34628758431387</c:v>
                </c:pt>
                <c:pt idx="47">
                  <c:v>125.61275811391478</c:v>
                </c:pt>
                <c:pt idx="48">
                  <c:v>135.93525835360435</c:v>
                </c:pt>
              </c:numCache>
            </c:numRef>
          </c:val>
          <c:smooth val="0"/>
        </c:ser>
        <c:dLbls>
          <c:showLegendKey val="0"/>
          <c:showVal val="0"/>
          <c:showCatName val="0"/>
          <c:showSerName val="0"/>
          <c:showPercent val="0"/>
          <c:showBubbleSize val="0"/>
        </c:dLbls>
        <c:marker val="1"/>
        <c:smooth val="0"/>
        <c:axId val="135864704"/>
        <c:axId val="135866240"/>
      </c:lineChart>
      <c:lineChart>
        <c:grouping val="standard"/>
        <c:varyColors val="0"/>
        <c:ser>
          <c:idx val="0"/>
          <c:order val="1"/>
          <c:tx>
            <c:strRef>
              <c:f>kariyer.net!$D$2</c:f>
              <c:strCache>
                <c:ptCount val="1"/>
                <c:pt idx="0">
                  <c:v>NA unemployment rate</c:v>
                </c:pt>
              </c:strCache>
            </c:strRef>
          </c:tx>
          <c:spPr>
            <a:ln w="38100">
              <a:solidFill>
                <a:srgbClr val="000000"/>
              </a:solidFill>
              <a:prstDash val="solid"/>
            </a:ln>
          </c:spPr>
          <c:marker>
            <c:symbol val="none"/>
          </c:marker>
          <c:cat>
            <c:numRef>
              <c:f>kariyer.net!$A$81:$A$129</c:f>
              <c:numCache>
                <c:formatCode>[$-409]mmm\-yy;@</c:formatCode>
                <c:ptCount val="49"/>
                <c:pt idx="0">
                  <c:v>40695</c:v>
                </c:pt>
                <c:pt idx="1">
                  <c:v>40725</c:v>
                </c:pt>
                <c:pt idx="2">
                  <c:v>40756</c:v>
                </c:pt>
                <c:pt idx="3">
                  <c:v>40787</c:v>
                </c:pt>
                <c:pt idx="4">
                  <c:v>40817</c:v>
                </c:pt>
                <c:pt idx="5">
                  <c:v>40848</c:v>
                </c:pt>
                <c:pt idx="6">
                  <c:v>40878</c:v>
                </c:pt>
                <c:pt idx="7">
                  <c:v>40909</c:v>
                </c:pt>
                <c:pt idx="8">
                  <c:v>40940</c:v>
                </c:pt>
                <c:pt idx="9">
                  <c:v>40969</c:v>
                </c:pt>
                <c:pt idx="10">
                  <c:v>41000</c:v>
                </c:pt>
                <c:pt idx="11">
                  <c:v>41030</c:v>
                </c:pt>
                <c:pt idx="12">
                  <c:v>41061</c:v>
                </c:pt>
                <c:pt idx="13">
                  <c:v>41091</c:v>
                </c:pt>
                <c:pt idx="14">
                  <c:v>41122</c:v>
                </c:pt>
                <c:pt idx="15">
                  <c:v>41153</c:v>
                </c:pt>
                <c:pt idx="16">
                  <c:v>41183</c:v>
                </c:pt>
                <c:pt idx="17">
                  <c:v>41214</c:v>
                </c:pt>
                <c:pt idx="18">
                  <c:v>41244</c:v>
                </c:pt>
                <c:pt idx="19">
                  <c:v>41275</c:v>
                </c:pt>
                <c:pt idx="20">
                  <c:v>41306</c:v>
                </c:pt>
                <c:pt idx="21">
                  <c:v>41334</c:v>
                </c:pt>
                <c:pt idx="22">
                  <c:v>41365</c:v>
                </c:pt>
                <c:pt idx="23">
                  <c:v>41395</c:v>
                </c:pt>
                <c:pt idx="24">
                  <c:v>41426</c:v>
                </c:pt>
                <c:pt idx="25">
                  <c:v>41456</c:v>
                </c:pt>
                <c:pt idx="26">
                  <c:v>41487</c:v>
                </c:pt>
                <c:pt idx="27">
                  <c:v>41518</c:v>
                </c:pt>
                <c:pt idx="28">
                  <c:v>41548</c:v>
                </c:pt>
                <c:pt idx="29">
                  <c:v>41579</c:v>
                </c:pt>
                <c:pt idx="30">
                  <c:v>41609</c:v>
                </c:pt>
                <c:pt idx="31">
                  <c:v>41640</c:v>
                </c:pt>
                <c:pt idx="32">
                  <c:v>41671</c:v>
                </c:pt>
                <c:pt idx="33">
                  <c:v>41699</c:v>
                </c:pt>
                <c:pt idx="34">
                  <c:v>41730</c:v>
                </c:pt>
                <c:pt idx="35">
                  <c:v>41760</c:v>
                </c:pt>
                <c:pt idx="36">
                  <c:v>41791</c:v>
                </c:pt>
                <c:pt idx="37">
                  <c:v>41821</c:v>
                </c:pt>
                <c:pt idx="38">
                  <c:v>41852</c:v>
                </c:pt>
                <c:pt idx="39">
                  <c:v>41883</c:v>
                </c:pt>
                <c:pt idx="40">
                  <c:v>41913</c:v>
                </c:pt>
                <c:pt idx="41">
                  <c:v>41944</c:v>
                </c:pt>
                <c:pt idx="42">
                  <c:v>41974</c:v>
                </c:pt>
                <c:pt idx="43">
                  <c:v>42005</c:v>
                </c:pt>
                <c:pt idx="44">
                  <c:v>42036</c:v>
                </c:pt>
                <c:pt idx="45">
                  <c:v>42064</c:v>
                </c:pt>
                <c:pt idx="46">
                  <c:v>42095</c:v>
                </c:pt>
                <c:pt idx="47">
                  <c:v>42125</c:v>
                </c:pt>
                <c:pt idx="48">
                  <c:v>42156</c:v>
                </c:pt>
              </c:numCache>
            </c:numRef>
          </c:cat>
          <c:val>
            <c:numRef>
              <c:f>kariyer.net!$D$81:$D$129</c:f>
              <c:numCache>
                <c:formatCode>0.0</c:formatCode>
                <c:ptCount val="49"/>
                <c:pt idx="0">
                  <c:v>11.8</c:v>
                </c:pt>
                <c:pt idx="1">
                  <c:v>11.4</c:v>
                </c:pt>
                <c:pt idx="2">
                  <c:v>11</c:v>
                </c:pt>
                <c:pt idx="3">
                  <c:v>10.4</c:v>
                </c:pt>
                <c:pt idx="4">
                  <c:v>10.6</c:v>
                </c:pt>
                <c:pt idx="5">
                  <c:v>10.3</c:v>
                </c:pt>
                <c:pt idx="6">
                  <c:v>10.4</c:v>
                </c:pt>
                <c:pt idx="7">
                  <c:v>10.200000000000001</c:v>
                </c:pt>
                <c:pt idx="8">
                  <c:v>10.5</c:v>
                </c:pt>
                <c:pt idx="9">
                  <c:v>10.4</c:v>
                </c:pt>
                <c:pt idx="10">
                  <c:v>10.200000000000001</c:v>
                </c:pt>
                <c:pt idx="11">
                  <c:v>10.1</c:v>
                </c:pt>
                <c:pt idx="12">
                  <c:v>9.9</c:v>
                </c:pt>
                <c:pt idx="13">
                  <c:v>10</c:v>
                </c:pt>
                <c:pt idx="14">
                  <c:v>10.1</c:v>
                </c:pt>
                <c:pt idx="15">
                  <c:v>10.4</c:v>
                </c:pt>
                <c:pt idx="16">
                  <c:v>10.4</c:v>
                </c:pt>
                <c:pt idx="17">
                  <c:v>10.6</c:v>
                </c:pt>
                <c:pt idx="18">
                  <c:v>10.8</c:v>
                </c:pt>
                <c:pt idx="19">
                  <c:v>10.7</c:v>
                </c:pt>
                <c:pt idx="20">
                  <c:v>10.6</c:v>
                </c:pt>
                <c:pt idx="21">
                  <c:v>10.7</c:v>
                </c:pt>
                <c:pt idx="22">
                  <c:v>10.8</c:v>
                </c:pt>
                <c:pt idx="23">
                  <c:v>10.9</c:v>
                </c:pt>
                <c:pt idx="24">
                  <c:v>10.8</c:v>
                </c:pt>
                <c:pt idx="25">
                  <c:v>11.1</c:v>
                </c:pt>
                <c:pt idx="26">
                  <c:v>11.3</c:v>
                </c:pt>
                <c:pt idx="27">
                  <c:v>11.3</c:v>
                </c:pt>
                <c:pt idx="28">
                  <c:v>11</c:v>
                </c:pt>
                <c:pt idx="29">
                  <c:v>11</c:v>
                </c:pt>
                <c:pt idx="30">
                  <c:v>10.9</c:v>
                </c:pt>
                <c:pt idx="31">
                  <c:v>11.1</c:v>
                </c:pt>
                <c:pt idx="32">
                  <c:v>11.1</c:v>
                </c:pt>
                <c:pt idx="33">
                  <c:v>11.1</c:v>
                </c:pt>
                <c:pt idx="34">
                  <c:v>11.2</c:v>
                </c:pt>
                <c:pt idx="35">
                  <c:v>11.6</c:v>
                </c:pt>
                <c:pt idx="36">
                  <c:v>12.1</c:v>
                </c:pt>
                <c:pt idx="37">
                  <c:v>12.5</c:v>
                </c:pt>
                <c:pt idx="38">
                  <c:v>12.4</c:v>
                </c:pt>
                <c:pt idx="39">
                  <c:v>12.7</c:v>
                </c:pt>
                <c:pt idx="40">
                  <c:v>12.6</c:v>
                </c:pt>
                <c:pt idx="41">
                  <c:v>12.7</c:v>
                </c:pt>
                <c:pt idx="42">
                  <c:v>12.5</c:v>
                </c:pt>
                <c:pt idx="43">
                  <c:v>12.3</c:v>
                </c:pt>
                <c:pt idx="44">
                  <c:v>12.2</c:v>
                </c:pt>
                <c:pt idx="45">
                  <c:v>12.1</c:v>
                </c:pt>
                <c:pt idx="46">
                  <c:v>11.9</c:v>
                </c:pt>
              </c:numCache>
            </c:numRef>
          </c:val>
          <c:smooth val="0"/>
        </c:ser>
        <c:dLbls>
          <c:showLegendKey val="0"/>
          <c:showVal val="0"/>
          <c:showCatName val="0"/>
          <c:showSerName val="0"/>
          <c:showPercent val="0"/>
          <c:showBubbleSize val="0"/>
        </c:dLbls>
        <c:marker val="1"/>
        <c:smooth val="0"/>
        <c:axId val="135880704"/>
        <c:axId val="135882240"/>
      </c:lineChart>
      <c:catAx>
        <c:axId val="135864704"/>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135866240"/>
        <c:crosses val="autoZero"/>
        <c:auto val="0"/>
        <c:lblAlgn val="ctr"/>
        <c:lblOffset val="100"/>
        <c:tickLblSkip val="2"/>
        <c:tickMarkSkip val="2"/>
        <c:noMultiLvlLbl val="0"/>
      </c:catAx>
      <c:valAx>
        <c:axId val="135866240"/>
        <c:scaling>
          <c:orientation val="minMax"/>
          <c:max val="140"/>
          <c:min val="70"/>
        </c:scaling>
        <c:delete val="0"/>
        <c:axPos val="l"/>
        <c:title>
          <c:tx>
            <c:rich>
              <a:bodyPr/>
              <a:lstStyle/>
              <a:p>
                <a:pPr>
                  <a:defRPr sz="1000" b="1" i="0" u="none" strike="noStrike" baseline="0">
                    <a:solidFill>
                      <a:srgbClr val="000000"/>
                    </a:solidFill>
                    <a:latin typeface="Arial"/>
                    <a:ea typeface="Arial"/>
                    <a:cs typeface="Arial"/>
                  </a:defRPr>
                </a:pPr>
                <a:r>
                  <a:rPr lang="tr-TR"/>
                  <a:t># applications per vacancy</a:t>
                </a:r>
              </a:p>
            </c:rich>
          </c:tx>
          <c:layout>
            <c:manualLayout>
              <c:xMode val="edge"/>
              <c:yMode val="edge"/>
              <c:x val="7.2568940493468875E-3"/>
              <c:y val="0.17066722659667541"/>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135864704"/>
        <c:crosses val="autoZero"/>
        <c:crossBetween val="midCat"/>
      </c:valAx>
      <c:dateAx>
        <c:axId val="135880704"/>
        <c:scaling>
          <c:orientation val="minMax"/>
        </c:scaling>
        <c:delete val="1"/>
        <c:axPos val="b"/>
        <c:numFmt formatCode="[$-409]mmm\-yy;@" sourceLinked="1"/>
        <c:majorTickMark val="out"/>
        <c:minorTickMark val="none"/>
        <c:tickLblPos val="none"/>
        <c:crossAx val="135882240"/>
        <c:crosses val="autoZero"/>
        <c:auto val="1"/>
        <c:lblOffset val="100"/>
        <c:baseTimeUnit val="months"/>
      </c:dateAx>
      <c:valAx>
        <c:axId val="135882240"/>
        <c:scaling>
          <c:orientation val="minMax"/>
          <c:max val="13.5"/>
          <c:min val="9.5"/>
        </c:scaling>
        <c:delete val="0"/>
        <c:axPos val="r"/>
        <c:title>
          <c:tx>
            <c:rich>
              <a:bodyPr/>
              <a:lstStyle/>
              <a:p>
                <a:pPr>
                  <a:defRPr sz="1000" b="1" i="0" u="none" strike="noStrike" baseline="0">
                    <a:solidFill>
                      <a:srgbClr val="000000"/>
                    </a:solidFill>
                    <a:latin typeface="Arial"/>
                    <a:ea typeface="Arial"/>
                    <a:cs typeface="Arial"/>
                  </a:defRPr>
                </a:pPr>
                <a:r>
                  <a:rPr lang="tr-TR"/>
                  <a:t>NA unemployment rate</a:t>
                </a:r>
              </a:p>
            </c:rich>
          </c:tx>
          <c:layout>
            <c:manualLayout>
              <c:xMode val="edge"/>
              <c:yMode val="edge"/>
              <c:x val="0.95597484276729561"/>
              <c:y val="0.19200055993000867"/>
            </c:manualLayout>
          </c:layout>
          <c:overlay val="0"/>
          <c:spPr>
            <a:noFill/>
            <a:ln w="25400">
              <a:noFill/>
            </a:ln>
          </c:spPr>
        </c:title>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135880704"/>
        <c:crosses val="max"/>
        <c:crossBetween val="midCat"/>
      </c:valAx>
      <c:spPr>
        <a:solidFill>
          <a:srgbClr val="FFFFFF"/>
        </a:solidFill>
        <a:ln w="25400">
          <a:noFill/>
        </a:ln>
      </c:spPr>
    </c:plotArea>
    <c:legend>
      <c:legendPos val="r"/>
      <c:layout>
        <c:manualLayout>
          <c:xMode val="edge"/>
          <c:yMode val="edge"/>
          <c:x val="8.805031446540898E-2"/>
          <c:y val="0.93244668416447962"/>
          <c:w val="0.79390420899854863"/>
          <c:h val="6.5778057742782114E-2"/>
        </c:manualLayout>
      </c:layout>
      <c:overlay val="0"/>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4.jpeg"/></Relationships>
</file>

<file path=word/drawings/drawing1.xml><?xml version="1.0" encoding="utf-8"?>
<c:userShapes xmlns:c="http://schemas.openxmlformats.org/drawingml/2006/chart">
  <cdr:relSizeAnchor xmlns:cdr="http://schemas.openxmlformats.org/drawingml/2006/chartDrawing">
    <cdr:from>
      <cdr:x>0.89613</cdr:x>
      <cdr:y>0.92557</cdr:y>
    </cdr:from>
    <cdr:to>
      <cdr:x>1</cdr:x>
      <cdr:y>0.99405</cdr:y>
    </cdr:to>
    <cdr:pic>
      <cdr:nvPicPr>
        <cdr:cNvPr id="142337" name="Picture 1025" descr="betamlogo_kucuk"/>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909599" y="3306033"/>
          <a:ext cx="681702" cy="244584"/>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F471-A218-4055-961F-D2D7FB58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2015-01-15T09:01:00Z</cp:lastPrinted>
  <dcterms:created xsi:type="dcterms:W3CDTF">2015-09-17T10:43:00Z</dcterms:created>
  <dcterms:modified xsi:type="dcterms:W3CDTF">2015-09-17T10:43:00Z</dcterms:modified>
</cp:coreProperties>
</file>