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D3" w:rsidRPr="00783619" w:rsidRDefault="00420CD2" w:rsidP="001E4BF5">
      <w:pPr>
        <w:spacing w:line="360" w:lineRule="auto"/>
        <w:ind w:right="-319"/>
        <w:jc w:val="center"/>
        <w:outlineLvl w:val="0"/>
        <w:rPr>
          <w:rFonts w:ascii="Arial" w:hAnsi="Arial" w:cs="Arial"/>
          <w:b/>
          <w:bCs/>
          <w:color w:val="FF0000"/>
          <w:sz w:val="32"/>
          <w:szCs w:val="32"/>
        </w:rPr>
      </w:pPr>
      <w:r w:rsidRPr="00420CD2">
        <w:rPr>
          <w:noProof/>
          <w:color w:val="FF0000"/>
        </w:rPr>
        <w:pict>
          <v:shapetype id="_x0000_t202" coordsize="21600,21600" o:spt="202" path="m,l,21600r21600,l21600,xe">
            <v:stroke joinstyle="miter"/>
            <v:path gradientshapeok="t" o:connecttype="rect"/>
          </v:shapetype>
          <v:shape id="Text Box 4" o:spid="_x0000_s1026" type="#_x0000_t202" style="position:absolute;left:0;text-align:left;margin-left:406.25pt;margin-top:14.95pt;width:172.25pt;height:27.4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XSjAIAABw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" stroked="f">
            <v:fill opacity="0"/>
            <v:textbox inset="0,0,0,0">
              <w:txbxContent>
                <w:p w:rsidR="00C76E90" w:rsidRPr="00DB7229" w:rsidRDefault="00F35DCE" w:rsidP="00E57928">
                  <w:pPr>
                    <w:pStyle w:val="Heading3"/>
                    <w:rPr>
                      <w:color w:val="FFFFFF"/>
                      <w:sz w:val="22"/>
                      <w:szCs w:val="22"/>
                    </w:rPr>
                  </w:pPr>
                  <w:r>
                    <w:rPr>
                      <w:color w:val="FFFFFF"/>
                      <w:sz w:val="22"/>
                      <w:szCs w:val="22"/>
                    </w:rPr>
                    <w:t xml:space="preserve">   21</w:t>
                  </w:r>
                  <w:r w:rsidR="00072321">
                    <w:rPr>
                      <w:color w:val="FFFFFF"/>
                      <w:sz w:val="22"/>
                      <w:szCs w:val="22"/>
                    </w:rPr>
                    <w:t xml:space="preserve"> Ekim</w:t>
                  </w:r>
                  <w:r w:rsidR="00193F73">
                    <w:rPr>
                      <w:color w:val="FFFFFF"/>
                      <w:sz w:val="22"/>
                      <w:szCs w:val="22"/>
                    </w:rPr>
                    <w:t xml:space="preserve"> </w:t>
                  </w:r>
                  <w:r w:rsidR="00C76E90">
                    <w:rPr>
                      <w:color w:val="FFFFFF"/>
                      <w:sz w:val="22"/>
                      <w:szCs w:val="22"/>
                    </w:rPr>
                    <w:t>2015</w:t>
                  </w:r>
                </w:p>
                <w:p w:rsidR="00C76E90" w:rsidRDefault="00C76E90" w:rsidP="00E57928"/>
              </w:txbxContent>
            </v:textbox>
          </v:shape>
        </w:pict>
      </w:r>
      <w:r w:rsidRPr="00420CD2">
        <w:rPr>
          <w:noProof/>
          <w:color w:val="FF0000"/>
        </w:rPr>
        <w:pict>
          <v:shape id="Text Box 3" o:spid="_x0000_s1027" type="#_x0000_t202" style="position:absolute;left:0;text-align:left;margin-left:131.4pt;margin-top:-38.65pt;width:346.2pt;height:44.8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QjQIAACM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" stroked="f">
            <v:fill opacity="0"/>
            <v:textbox inset="0,0,0,0">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072321">
                    <w:rPr>
                      <w:rFonts w:ascii="Times New Roman" w:hAnsi="Times New Roman"/>
                      <w:sz w:val="40"/>
                      <w:szCs w:val="40"/>
                    </w:rPr>
                    <w:t>Ekim</w:t>
                  </w:r>
                  <w:r w:rsidR="00193F73">
                    <w:rPr>
                      <w:rFonts w:ascii="Times New Roman" w:hAnsi="Times New Roman"/>
                      <w:sz w:val="40"/>
                      <w:szCs w:val="40"/>
                    </w:rPr>
                    <w:t xml:space="preserve"> </w:t>
                  </w:r>
                  <w:r>
                    <w:rPr>
                      <w:rFonts w:ascii="Times New Roman" w:hAnsi="Times New Roman"/>
                      <w:sz w:val="40"/>
                      <w:szCs w:val="40"/>
                    </w:rPr>
                    <w:t>2015</w:t>
                  </w:r>
                </w:p>
                <w:p w:rsidR="00C76E90" w:rsidRPr="00A75A46" w:rsidRDefault="00C76E90" w:rsidP="00E57928">
                  <w:pPr>
                    <w:pStyle w:val="Heading2"/>
                    <w:rPr>
                      <w:b w:val="0"/>
                      <w:bCs w:val="0"/>
                      <w:i w:val="0"/>
                      <w:iCs w:val="0"/>
                      <w:lang w:val="nl-NL"/>
                    </w:rPr>
                  </w:pPr>
                </w:p>
              </w:txbxContent>
            </v:textbox>
          </v:shape>
        </w:pict>
      </w:r>
      <w:r w:rsidR="00E57928" w:rsidRPr="00783619">
        <w:rPr>
          <w:rFonts w:ascii="Arial" w:hAnsi="Arial" w:cs="Arial"/>
          <w:b/>
          <w:bCs/>
          <w:noProof/>
          <w:color w:val="FF0000"/>
          <w:sz w:val="32"/>
          <w:szCs w:val="32"/>
          <w:lang w:val="en-US" w:eastAsia="en-US"/>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8"/>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Pr="00783619" w:rsidRDefault="00054BD3" w:rsidP="001E4BF5">
      <w:pPr>
        <w:spacing w:line="360" w:lineRule="auto"/>
        <w:ind w:right="-319"/>
        <w:jc w:val="center"/>
        <w:outlineLvl w:val="0"/>
        <w:rPr>
          <w:rFonts w:ascii="Arial" w:hAnsi="Arial" w:cs="Arial"/>
          <w:b/>
          <w:bCs/>
          <w:color w:val="FF0000"/>
          <w:sz w:val="32"/>
          <w:szCs w:val="32"/>
        </w:rPr>
      </w:pPr>
    </w:p>
    <w:p w:rsidR="000F0372" w:rsidRDefault="000F0372" w:rsidP="000F0372">
      <w:pPr>
        <w:ind w:right="-317"/>
        <w:jc w:val="center"/>
        <w:outlineLvl w:val="0"/>
        <w:rPr>
          <w:rFonts w:ascii="Arial" w:hAnsi="Arial" w:cs="Arial"/>
          <w:b/>
          <w:bCs/>
          <w:caps/>
          <w:sz w:val="28"/>
          <w:szCs w:val="28"/>
        </w:rPr>
      </w:pPr>
      <w:r w:rsidRPr="008171ED">
        <w:rPr>
          <w:rFonts w:ascii="Arial" w:hAnsi="Arial" w:cs="Arial"/>
          <w:b/>
          <w:bCs/>
          <w:caps/>
          <w:sz w:val="28"/>
          <w:szCs w:val="28"/>
        </w:rPr>
        <w:t xml:space="preserve">3. Çeyrekte </w:t>
      </w:r>
      <w:r w:rsidR="008171ED" w:rsidRPr="008171ED">
        <w:rPr>
          <w:rFonts w:ascii="Arial" w:hAnsi="Arial" w:cs="Arial"/>
          <w:b/>
          <w:bCs/>
          <w:caps/>
          <w:sz w:val="28"/>
          <w:szCs w:val="28"/>
        </w:rPr>
        <w:t xml:space="preserve">ılımlı </w:t>
      </w:r>
      <w:r w:rsidRPr="008171ED">
        <w:rPr>
          <w:rFonts w:ascii="Arial" w:hAnsi="Arial" w:cs="Arial"/>
          <w:b/>
          <w:bCs/>
          <w:caps/>
          <w:sz w:val="28"/>
          <w:szCs w:val="28"/>
        </w:rPr>
        <w:t>büyüme</w:t>
      </w:r>
    </w:p>
    <w:p w:rsidR="00EB408D" w:rsidRPr="00783619" w:rsidRDefault="00EB408D" w:rsidP="00EB408D">
      <w:pPr>
        <w:ind w:right="-317"/>
        <w:jc w:val="center"/>
        <w:outlineLvl w:val="0"/>
        <w:rPr>
          <w:rFonts w:ascii="Arial" w:hAnsi="Arial" w:cs="Arial"/>
          <w:b/>
          <w:bCs/>
          <w:caps/>
          <w:color w:val="FF0000"/>
          <w:sz w:val="28"/>
          <w:szCs w:val="28"/>
        </w:rPr>
      </w:pPr>
      <w:bookmarkStart w:id="0" w:name="_GoBack"/>
      <w:bookmarkEnd w:id="0"/>
    </w:p>
    <w:p w:rsidR="00EB408D" w:rsidRPr="000F0372" w:rsidRDefault="000F0372" w:rsidP="00EB408D">
      <w:pPr>
        <w:ind w:right="-317"/>
        <w:jc w:val="center"/>
        <w:outlineLvl w:val="0"/>
        <w:rPr>
          <w:rFonts w:ascii="Arial" w:hAnsi="Arial" w:cs="Arial"/>
          <w:b/>
          <w:bCs/>
          <w:sz w:val="21"/>
          <w:szCs w:val="21"/>
          <w:vertAlign w:val="superscript"/>
        </w:rPr>
      </w:pPr>
      <w:r w:rsidRPr="000F0372">
        <w:rPr>
          <w:rFonts w:ascii="Arial" w:hAnsi="Arial" w:cs="Arial"/>
          <w:b/>
          <w:bCs/>
          <w:sz w:val="21"/>
          <w:szCs w:val="21"/>
        </w:rPr>
        <w:t>Seyfettin Gürsel*,</w:t>
      </w:r>
      <w:r w:rsidR="00EB408D" w:rsidRPr="000F0372">
        <w:rPr>
          <w:rFonts w:ascii="Arial" w:hAnsi="Arial" w:cs="Arial"/>
          <w:b/>
          <w:bCs/>
          <w:sz w:val="21"/>
          <w:szCs w:val="21"/>
        </w:rPr>
        <w:t xml:space="preserve"> </w:t>
      </w:r>
      <w:r w:rsidRPr="000F0372">
        <w:rPr>
          <w:rFonts w:ascii="Arial" w:hAnsi="Arial" w:cs="Arial"/>
          <w:b/>
          <w:bCs/>
          <w:sz w:val="21"/>
          <w:szCs w:val="21"/>
        </w:rPr>
        <w:t>Mine Durmaz</w:t>
      </w:r>
      <w:r w:rsidRPr="000F0372">
        <w:rPr>
          <w:rFonts w:ascii="Arial" w:hAnsi="Arial" w:cs="Arial"/>
          <w:b/>
          <w:bCs/>
          <w:sz w:val="21"/>
          <w:szCs w:val="21"/>
          <w:vertAlign w:val="superscript"/>
        </w:rPr>
        <w:t>**</w:t>
      </w:r>
      <w:r w:rsidRPr="000F0372">
        <w:rPr>
          <w:rFonts w:ascii="Arial" w:hAnsi="Arial" w:cs="Arial"/>
          <w:b/>
          <w:bCs/>
          <w:sz w:val="21"/>
          <w:szCs w:val="21"/>
        </w:rPr>
        <w:t>, Melike Kökkızıl***</w:t>
      </w:r>
    </w:p>
    <w:p w:rsidR="00EB408D" w:rsidRPr="00783619" w:rsidRDefault="00EB408D" w:rsidP="00EB408D">
      <w:pPr>
        <w:ind w:right="-317"/>
        <w:jc w:val="center"/>
        <w:outlineLvl w:val="0"/>
        <w:rPr>
          <w:rFonts w:ascii="Arial" w:hAnsi="Arial" w:cs="Arial"/>
          <w:b/>
          <w:bCs/>
          <w:color w:val="FF0000"/>
          <w:sz w:val="21"/>
          <w:szCs w:val="21"/>
          <w:vertAlign w:val="superscript"/>
        </w:rPr>
      </w:pPr>
    </w:p>
    <w:p w:rsidR="00EB408D" w:rsidRPr="00783619" w:rsidRDefault="00EB408D" w:rsidP="00EB408D">
      <w:pPr>
        <w:spacing w:line="360" w:lineRule="auto"/>
        <w:ind w:right="-319"/>
        <w:jc w:val="center"/>
        <w:outlineLvl w:val="0"/>
        <w:rPr>
          <w:rFonts w:ascii="Arial" w:hAnsi="Arial" w:cs="Arial"/>
          <w:color w:val="FF0000"/>
          <w:sz w:val="22"/>
          <w:szCs w:val="22"/>
          <w:vertAlign w:val="superscript"/>
        </w:rPr>
      </w:pPr>
    </w:p>
    <w:p w:rsidR="00EB408D" w:rsidRPr="00783619" w:rsidRDefault="00EB408D" w:rsidP="00EB408D">
      <w:pPr>
        <w:spacing w:line="360" w:lineRule="auto"/>
        <w:ind w:right="-319"/>
        <w:jc w:val="center"/>
        <w:outlineLvl w:val="0"/>
        <w:rPr>
          <w:rFonts w:ascii="Arial" w:hAnsi="Arial" w:cs="Arial"/>
          <w:color w:val="FF0000"/>
          <w:sz w:val="22"/>
          <w:szCs w:val="22"/>
          <w:vertAlign w:val="superscript"/>
        </w:rPr>
        <w:sectPr w:rsidR="00EB408D" w:rsidRPr="00783619" w:rsidSect="008651A8">
          <w:footerReference w:type="default" r:id="rId9"/>
          <w:type w:val="continuous"/>
          <w:pgSz w:w="11906" w:h="16838"/>
          <w:pgMar w:top="1417" w:right="1417" w:bottom="1417" w:left="1417" w:header="708" w:footer="708" w:gutter="0"/>
          <w:cols w:space="708"/>
          <w:docGrid w:linePitch="360"/>
        </w:sectPr>
      </w:pPr>
    </w:p>
    <w:p w:rsidR="00EB408D" w:rsidRPr="001664DC" w:rsidRDefault="00EB408D" w:rsidP="00EB408D">
      <w:pPr>
        <w:spacing w:line="360" w:lineRule="auto"/>
        <w:ind w:left="-360" w:right="42" w:firstLine="360"/>
        <w:jc w:val="center"/>
        <w:rPr>
          <w:b/>
          <w:bCs/>
          <w:sz w:val="22"/>
          <w:szCs w:val="22"/>
        </w:rPr>
      </w:pPr>
      <w:r w:rsidRPr="001664DC">
        <w:rPr>
          <w:b/>
          <w:bCs/>
          <w:sz w:val="22"/>
          <w:szCs w:val="22"/>
        </w:rPr>
        <w:lastRenderedPageBreak/>
        <w:t>Yönetici Özeti</w:t>
      </w:r>
    </w:p>
    <w:p w:rsidR="00EB408D" w:rsidRPr="001664DC" w:rsidRDefault="00EB408D" w:rsidP="00EB408D">
      <w:pPr>
        <w:spacing w:line="360" w:lineRule="auto"/>
        <w:ind w:left="-360" w:right="42" w:firstLine="360"/>
        <w:jc w:val="center"/>
        <w:rPr>
          <w:b/>
          <w:bCs/>
          <w:color w:val="FF0000"/>
          <w:sz w:val="16"/>
          <w:szCs w:val="16"/>
        </w:rPr>
      </w:pPr>
    </w:p>
    <w:p w:rsidR="00F43211" w:rsidRPr="001664DC" w:rsidRDefault="00820025" w:rsidP="00F43211">
      <w:pPr>
        <w:spacing w:line="360" w:lineRule="auto"/>
        <w:ind w:left="-360" w:right="40"/>
        <w:jc w:val="both"/>
        <w:rPr>
          <w:sz w:val="22"/>
          <w:szCs w:val="22"/>
        </w:rPr>
      </w:pPr>
      <w:r>
        <w:rPr>
          <w:sz w:val="22"/>
          <w:szCs w:val="22"/>
        </w:rPr>
        <w:t xml:space="preserve">Büyük ölçüde Temmuz ayı öncü göstergelerine dayanan </w:t>
      </w:r>
      <w:r w:rsidR="00491CDD">
        <w:rPr>
          <w:sz w:val="22"/>
          <w:szCs w:val="22"/>
        </w:rPr>
        <w:t xml:space="preserve">2. çeyrekten </w:t>
      </w:r>
      <w:r>
        <w:rPr>
          <w:sz w:val="22"/>
          <w:szCs w:val="22"/>
        </w:rPr>
        <w:t xml:space="preserve">3. </w:t>
      </w:r>
      <w:r w:rsidR="00491CDD">
        <w:rPr>
          <w:sz w:val="22"/>
          <w:szCs w:val="22"/>
        </w:rPr>
        <w:t>ç</w:t>
      </w:r>
      <w:r>
        <w:rPr>
          <w:sz w:val="22"/>
          <w:szCs w:val="22"/>
        </w:rPr>
        <w:t>eyre</w:t>
      </w:r>
      <w:r w:rsidR="00491CDD">
        <w:rPr>
          <w:sz w:val="22"/>
          <w:szCs w:val="22"/>
        </w:rPr>
        <w:t>ğe</w:t>
      </w:r>
      <w:r>
        <w:rPr>
          <w:sz w:val="22"/>
          <w:szCs w:val="22"/>
        </w:rPr>
        <w:t xml:space="preserve"> çeyreğe ilk büyüme tahminimiz</w:t>
      </w:r>
      <w:r w:rsidR="00F43211" w:rsidRPr="001664DC">
        <w:rPr>
          <w:sz w:val="22"/>
          <w:szCs w:val="22"/>
        </w:rPr>
        <w:t xml:space="preserve"> </w:t>
      </w:r>
      <w:r w:rsidR="00491CDD">
        <w:rPr>
          <w:sz w:val="22"/>
          <w:szCs w:val="22"/>
        </w:rPr>
        <w:t xml:space="preserve">geçen ay </w:t>
      </w:r>
      <w:r>
        <w:rPr>
          <w:sz w:val="22"/>
          <w:szCs w:val="22"/>
        </w:rPr>
        <w:t>yüzde 0,1’di. Ağustos ayınd</w:t>
      </w:r>
      <w:r w:rsidR="00491CDD">
        <w:rPr>
          <w:sz w:val="22"/>
          <w:szCs w:val="22"/>
        </w:rPr>
        <w:t>a</w:t>
      </w:r>
      <w:r>
        <w:rPr>
          <w:sz w:val="22"/>
          <w:szCs w:val="22"/>
        </w:rPr>
        <w:t xml:space="preserve"> Temmuz</w:t>
      </w:r>
      <w:r w:rsidR="00044A0F">
        <w:rPr>
          <w:sz w:val="22"/>
          <w:szCs w:val="22"/>
        </w:rPr>
        <w:t>'</w:t>
      </w:r>
      <w:r>
        <w:rPr>
          <w:sz w:val="22"/>
          <w:szCs w:val="22"/>
        </w:rPr>
        <w:t xml:space="preserve">a kıyasla sanayi üretiminde ve net ihracatta </w:t>
      </w:r>
      <w:r w:rsidR="00044A0F">
        <w:rPr>
          <w:sz w:val="22"/>
          <w:szCs w:val="22"/>
        </w:rPr>
        <w:t>ger</w:t>
      </w:r>
      <w:r w:rsidR="00491CDD">
        <w:rPr>
          <w:sz w:val="22"/>
          <w:szCs w:val="22"/>
        </w:rPr>
        <w:t>çekleşen pozitif</w:t>
      </w:r>
      <w:r>
        <w:rPr>
          <w:sz w:val="22"/>
          <w:szCs w:val="22"/>
        </w:rPr>
        <w:t xml:space="preserve"> farklıklar</w:t>
      </w:r>
      <w:r w:rsidR="00491CDD">
        <w:rPr>
          <w:sz w:val="22"/>
          <w:szCs w:val="22"/>
        </w:rPr>
        <w:t>ın ışığında</w:t>
      </w:r>
      <w:r>
        <w:rPr>
          <w:sz w:val="22"/>
          <w:szCs w:val="22"/>
        </w:rPr>
        <w:t xml:space="preserve"> 3. çeyrek ikinci büyüme tahminimiz</w:t>
      </w:r>
      <w:r w:rsidR="00491CDD">
        <w:rPr>
          <w:sz w:val="22"/>
          <w:szCs w:val="22"/>
        </w:rPr>
        <w:t>i</w:t>
      </w:r>
      <w:r>
        <w:rPr>
          <w:sz w:val="22"/>
          <w:szCs w:val="22"/>
        </w:rPr>
        <w:t xml:space="preserve"> </w:t>
      </w:r>
      <w:r w:rsidR="00F43211" w:rsidRPr="001664DC">
        <w:rPr>
          <w:sz w:val="22"/>
          <w:szCs w:val="22"/>
        </w:rPr>
        <w:t>yüzde 0,</w:t>
      </w:r>
      <w:r>
        <w:rPr>
          <w:sz w:val="22"/>
          <w:szCs w:val="22"/>
        </w:rPr>
        <w:t>6 olarak yukarı yönde revize ediyoruz.</w:t>
      </w:r>
      <w:r w:rsidR="00F43211" w:rsidRPr="001664DC">
        <w:rPr>
          <w:sz w:val="22"/>
          <w:szCs w:val="22"/>
        </w:rPr>
        <w:t xml:space="preserve"> Sanayi Üretim Endeksi (SÜE) Temmuz ayında Haziran</w:t>
      </w:r>
      <w:r w:rsidR="00044A0F">
        <w:rPr>
          <w:sz w:val="22"/>
          <w:szCs w:val="22"/>
        </w:rPr>
        <w:t>'</w:t>
      </w:r>
      <w:r w:rsidR="00F43211" w:rsidRPr="001664DC">
        <w:rPr>
          <w:sz w:val="22"/>
          <w:szCs w:val="22"/>
        </w:rPr>
        <w:t>a kıyasla yüzde 1,5 azal</w:t>
      </w:r>
      <w:r>
        <w:rPr>
          <w:sz w:val="22"/>
          <w:szCs w:val="22"/>
        </w:rPr>
        <w:t xml:space="preserve">mıştı. Ağustos ayında </w:t>
      </w:r>
      <w:r w:rsidR="00044A0F">
        <w:rPr>
          <w:sz w:val="22"/>
          <w:szCs w:val="22"/>
        </w:rPr>
        <w:t xml:space="preserve">ise </w:t>
      </w:r>
      <w:r>
        <w:rPr>
          <w:sz w:val="22"/>
          <w:szCs w:val="22"/>
        </w:rPr>
        <w:t>yüzde 2,9 artış gerçekleşti. Keza Temmuz</w:t>
      </w:r>
      <w:r w:rsidR="00044A0F">
        <w:rPr>
          <w:sz w:val="22"/>
          <w:szCs w:val="22"/>
        </w:rPr>
        <w:t xml:space="preserve"> ayında</w:t>
      </w:r>
      <w:r>
        <w:rPr>
          <w:sz w:val="22"/>
          <w:szCs w:val="22"/>
        </w:rPr>
        <w:t xml:space="preserve"> i</w:t>
      </w:r>
      <w:r w:rsidR="00F43211" w:rsidRPr="001664DC">
        <w:rPr>
          <w:sz w:val="22"/>
          <w:szCs w:val="22"/>
        </w:rPr>
        <w:t>hracat miktar endeksi</w:t>
      </w:r>
      <w:r>
        <w:rPr>
          <w:sz w:val="22"/>
          <w:szCs w:val="22"/>
        </w:rPr>
        <w:t>nde</w:t>
      </w:r>
      <w:r w:rsidR="00F43211" w:rsidRPr="001664DC">
        <w:rPr>
          <w:sz w:val="22"/>
          <w:szCs w:val="22"/>
        </w:rPr>
        <w:t xml:space="preserve"> yüzde 0,3 </w:t>
      </w:r>
      <w:r>
        <w:rPr>
          <w:sz w:val="22"/>
          <w:szCs w:val="22"/>
        </w:rPr>
        <w:t>düşüş ithalatta ise yüzde 2,1 artış sonucu net ihracatın büyüme</w:t>
      </w:r>
      <w:r w:rsidR="00044A0F">
        <w:rPr>
          <w:sz w:val="22"/>
          <w:szCs w:val="22"/>
        </w:rPr>
        <w:t>ye</w:t>
      </w:r>
      <w:r>
        <w:rPr>
          <w:sz w:val="22"/>
          <w:szCs w:val="22"/>
        </w:rPr>
        <w:t xml:space="preserve"> katkısı negatif </w:t>
      </w:r>
      <w:r w:rsidR="00491CDD">
        <w:rPr>
          <w:sz w:val="22"/>
          <w:szCs w:val="22"/>
        </w:rPr>
        <w:t>tahmin edilirken</w:t>
      </w:r>
      <w:r w:rsidR="00044A0F">
        <w:rPr>
          <w:sz w:val="22"/>
          <w:szCs w:val="22"/>
        </w:rPr>
        <w:t>, Ağus</w:t>
      </w:r>
      <w:r>
        <w:rPr>
          <w:sz w:val="22"/>
          <w:szCs w:val="22"/>
        </w:rPr>
        <w:t>tos</w:t>
      </w:r>
      <w:r w:rsidR="00044A0F">
        <w:rPr>
          <w:sz w:val="22"/>
          <w:szCs w:val="22"/>
        </w:rPr>
        <w:t xml:space="preserve"> ayında</w:t>
      </w:r>
      <w:r>
        <w:rPr>
          <w:sz w:val="22"/>
          <w:szCs w:val="22"/>
        </w:rPr>
        <w:t xml:space="preserve"> ihracat miktar endeksinin yüzde 0,6 artması, ithalatın da yüzde 3,1 azalması sonucu net ihracat</w:t>
      </w:r>
      <w:r w:rsidR="00044A0F">
        <w:rPr>
          <w:sz w:val="22"/>
          <w:szCs w:val="22"/>
        </w:rPr>
        <w:t>ın</w:t>
      </w:r>
      <w:r w:rsidR="00560806">
        <w:rPr>
          <w:sz w:val="22"/>
          <w:szCs w:val="22"/>
        </w:rPr>
        <w:t xml:space="preserve"> katkısı</w:t>
      </w:r>
      <w:r w:rsidR="00044A0F">
        <w:rPr>
          <w:sz w:val="22"/>
          <w:szCs w:val="22"/>
        </w:rPr>
        <w:t xml:space="preserve"> önemli ölçüde </w:t>
      </w:r>
      <w:r w:rsidR="00560806">
        <w:rPr>
          <w:sz w:val="22"/>
          <w:szCs w:val="22"/>
        </w:rPr>
        <w:t xml:space="preserve">pozitif oldu. </w:t>
      </w:r>
      <w:r w:rsidR="00F43211" w:rsidRPr="001664DC">
        <w:rPr>
          <w:sz w:val="22"/>
          <w:szCs w:val="22"/>
        </w:rPr>
        <w:t xml:space="preserve">2014 yılının 3. çeyreğine göre GSYH artışını ise önceki üç çeyrekteki nispeten yüksek birikimli büyüme </w:t>
      </w:r>
      <w:r w:rsidR="00BB694B">
        <w:rPr>
          <w:sz w:val="22"/>
          <w:szCs w:val="22"/>
        </w:rPr>
        <w:t xml:space="preserve">ve baz etkisi </w:t>
      </w:r>
      <w:r w:rsidR="00F43211" w:rsidRPr="001664DC">
        <w:rPr>
          <w:sz w:val="22"/>
          <w:szCs w:val="22"/>
        </w:rPr>
        <w:t xml:space="preserve">nedeniyle yüzde </w:t>
      </w:r>
      <w:r w:rsidR="00560806">
        <w:rPr>
          <w:sz w:val="22"/>
          <w:szCs w:val="22"/>
        </w:rPr>
        <w:t>4,5</w:t>
      </w:r>
      <w:r w:rsidR="00F43211" w:rsidRPr="001664DC">
        <w:rPr>
          <w:sz w:val="22"/>
          <w:szCs w:val="22"/>
        </w:rPr>
        <w:t xml:space="preserve"> olarak hesaplıyoruz. </w:t>
      </w:r>
    </w:p>
    <w:p w:rsidR="00EB408D" w:rsidRDefault="00EB408D" w:rsidP="00EB408D">
      <w:pPr>
        <w:spacing w:line="360" w:lineRule="auto"/>
        <w:ind w:left="-360" w:right="40"/>
        <w:jc w:val="both"/>
        <w:rPr>
          <w:color w:val="FF0000"/>
          <w:sz w:val="22"/>
          <w:szCs w:val="22"/>
          <w:highlight w:val="yellow"/>
        </w:rPr>
      </w:pPr>
    </w:p>
    <w:p w:rsidR="00044A0F" w:rsidRPr="007D35F5" w:rsidRDefault="00044A0F" w:rsidP="00EB408D">
      <w:pPr>
        <w:spacing w:line="360" w:lineRule="auto"/>
        <w:ind w:left="-360" w:right="40"/>
        <w:jc w:val="both"/>
        <w:rPr>
          <w:color w:val="FF0000"/>
          <w:sz w:val="22"/>
          <w:szCs w:val="22"/>
          <w:highlight w:val="yellow"/>
        </w:rPr>
      </w:pPr>
    </w:p>
    <w:p w:rsidR="00F43211" w:rsidRDefault="00F43211" w:rsidP="00F43211">
      <w:pPr>
        <w:spacing w:line="360" w:lineRule="auto"/>
        <w:ind w:left="-360" w:right="42"/>
        <w:jc w:val="both"/>
        <w:rPr>
          <w:b/>
          <w:sz w:val="22"/>
          <w:szCs w:val="22"/>
        </w:rPr>
      </w:pPr>
    </w:p>
    <w:p w:rsidR="00F43211" w:rsidRDefault="00F43211" w:rsidP="00F43211">
      <w:pPr>
        <w:spacing w:line="360" w:lineRule="auto"/>
        <w:ind w:left="-360" w:right="42"/>
        <w:jc w:val="both"/>
        <w:rPr>
          <w:b/>
          <w:sz w:val="22"/>
          <w:szCs w:val="22"/>
        </w:rPr>
      </w:pPr>
    </w:p>
    <w:p w:rsidR="00EB408D" w:rsidRPr="00783619" w:rsidRDefault="00420CD2" w:rsidP="00EB408D">
      <w:pPr>
        <w:spacing w:line="288" w:lineRule="auto"/>
        <w:ind w:right="-318"/>
        <w:jc w:val="both"/>
        <w:rPr>
          <w:rFonts w:ascii="Arial" w:hAnsi="Arial" w:cs="Arial"/>
          <w:color w:val="FF0000"/>
          <w:sz w:val="16"/>
          <w:szCs w:val="16"/>
        </w:rPr>
      </w:pPr>
      <w:r w:rsidRPr="00420CD2">
        <w:rPr>
          <w:noProof/>
          <w:color w:val="FF0000"/>
        </w:rPr>
        <w:pict>
          <v:line id="Line 11" o:spid="_x0000_s1030" style="position:absolute;left:0;text-align:left;z-index:251666432;visibility:visibl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kPFQIAACs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6pUpDxUCAAArBAAADgAAAAAAAAAAAAAAAAAuAgAAZHJzL2Uyb0RvYy54bWxQSwECLQAUAAYACAAA&#10;ACEA+QGAlN0AAAAJAQAADwAAAAAAAAAAAAAAAABvBAAAZHJzL2Rvd25yZXYueG1sUEsFBgAAAAAE&#10;AAQA8wAAAHkFAAAAAA==&#10;"/>
        </w:pict>
      </w:r>
      <w:r w:rsidRPr="00420CD2">
        <w:rPr>
          <w:rFonts w:ascii="Arial" w:hAnsi="Arial" w:cs="Arial"/>
          <w:noProof/>
          <w:color w:val="FF0000"/>
          <w:sz w:val="16"/>
          <w:szCs w:val="16"/>
        </w:rPr>
      </w:r>
      <w:r>
        <w:rPr>
          <w:rFonts w:ascii="Arial" w:hAnsi="Arial" w:cs="Arial"/>
          <w:noProof/>
          <w:color w:val="FF0000"/>
          <w:sz w:val="16"/>
          <w:szCs w:val="16"/>
        </w:rPr>
        <w:pict>
          <v:group id="Canvas 9" o:spid="_x0000_s1028"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457;visibility:visible">
              <v:fill o:detectmouseclick="t"/>
              <v:path o:connecttype="none"/>
            </v:shape>
            <w10:wrap type="none"/>
            <w10:anchorlock/>
          </v:group>
        </w:pict>
      </w:r>
    </w:p>
    <w:p w:rsidR="00EB408D" w:rsidRPr="00F43211" w:rsidRDefault="00EB408D" w:rsidP="00EB408D">
      <w:pPr>
        <w:spacing w:line="288" w:lineRule="auto"/>
        <w:ind w:left="-360" w:right="-318"/>
        <w:jc w:val="both"/>
        <w:rPr>
          <w:sz w:val="16"/>
          <w:szCs w:val="16"/>
        </w:rPr>
      </w:pPr>
      <w:r w:rsidRPr="00F43211">
        <w:rPr>
          <w:sz w:val="16"/>
          <w:szCs w:val="16"/>
        </w:rPr>
        <w:t xml:space="preserve">* </w:t>
      </w:r>
      <w:r w:rsidR="000F0372" w:rsidRPr="00F43211">
        <w:rPr>
          <w:sz w:val="16"/>
          <w:szCs w:val="16"/>
        </w:rPr>
        <w:t xml:space="preserve">Prof. Dr. Seyfettin Gürsel, Betam Direktörü, </w:t>
      </w:r>
    </w:p>
    <w:p w:rsidR="00EB408D" w:rsidRPr="00F43211" w:rsidRDefault="00420CD2" w:rsidP="00EB408D">
      <w:pPr>
        <w:spacing w:line="288" w:lineRule="auto"/>
        <w:ind w:left="-360" w:right="-318"/>
        <w:jc w:val="both"/>
        <w:rPr>
          <w:rStyle w:val="Hyperlink"/>
        </w:rPr>
      </w:pPr>
      <w:hyperlink r:id="rId10" w:history="1">
        <w:r w:rsidR="000F0372" w:rsidRPr="00F43211">
          <w:rPr>
            <w:rStyle w:val="Hyperlink"/>
            <w:sz w:val="16"/>
            <w:szCs w:val="16"/>
          </w:rPr>
          <w:t>seyfettin.gursel</w:t>
        </w:r>
        <w:r w:rsidR="00EB408D" w:rsidRPr="00F43211">
          <w:rPr>
            <w:rStyle w:val="Hyperlink"/>
            <w:sz w:val="16"/>
            <w:szCs w:val="16"/>
          </w:rPr>
          <w:t>@eas.bahcesehir.edu.tr</w:t>
        </w:r>
      </w:hyperlink>
    </w:p>
    <w:p w:rsidR="00EB408D" w:rsidRPr="00F43211" w:rsidRDefault="00EB408D" w:rsidP="00EB408D">
      <w:pPr>
        <w:spacing w:line="288" w:lineRule="auto"/>
        <w:ind w:left="-360" w:right="-318"/>
        <w:jc w:val="both"/>
        <w:rPr>
          <w:sz w:val="16"/>
          <w:szCs w:val="16"/>
        </w:rPr>
      </w:pPr>
      <w:r w:rsidRPr="00F43211">
        <w:rPr>
          <w:sz w:val="16"/>
          <w:szCs w:val="16"/>
        </w:rPr>
        <w:t xml:space="preserve">** </w:t>
      </w:r>
      <w:r w:rsidR="000F0372" w:rsidRPr="00F43211">
        <w:rPr>
          <w:sz w:val="16"/>
          <w:szCs w:val="16"/>
        </w:rPr>
        <w:t>Mine Durmaz</w:t>
      </w:r>
      <w:r w:rsidRPr="00F43211">
        <w:rPr>
          <w:sz w:val="16"/>
          <w:szCs w:val="16"/>
        </w:rPr>
        <w:t>, Betam, Araştırma Görevlisi</w:t>
      </w:r>
    </w:p>
    <w:p w:rsidR="00EB408D" w:rsidRDefault="00420CD2" w:rsidP="00EB408D">
      <w:pPr>
        <w:ind w:left="-360"/>
      </w:pPr>
      <w:hyperlink r:id="rId11" w:history="1">
        <w:r w:rsidR="000F0372" w:rsidRPr="00F43211">
          <w:rPr>
            <w:rStyle w:val="Hyperlink"/>
            <w:sz w:val="16"/>
            <w:szCs w:val="16"/>
          </w:rPr>
          <w:t>mine.durmaz</w:t>
        </w:r>
        <w:r w:rsidR="00EB408D" w:rsidRPr="00F43211">
          <w:rPr>
            <w:rStyle w:val="Hyperlink"/>
            <w:sz w:val="16"/>
            <w:szCs w:val="16"/>
          </w:rPr>
          <w:t>@eas.bahcesehir.edu.t</w:t>
        </w:r>
        <w:r w:rsidR="00EB408D" w:rsidRPr="0006725C">
          <w:rPr>
            <w:rStyle w:val="Hyperlink"/>
            <w:sz w:val="16"/>
            <w:szCs w:val="16"/>
          </w:rPr>
          <w:t>r</w:t>
        </w:r>
      </w:hyperlink>
    </w:p>
    <w:p w:rsidR="00F43211" w:rsidRPr="00F43211" w:rsidRDefault="00F43211" w:rsidP="00EB408D">
      <w:pPr>
        <w:ind w:left="-360"/>
        <w:rPr>
          <w:sz w:val="16"/>
          <w:szCs w:val="16"/>
        </w:rPr>
      </w:pPr>
      <w:r w:rsidRPr="00F43211">
        <w:rPr>
          <w:sz w:val="16"/>
          <w:szCs w:val="16"/>
        </w:rPr>
        <w:t>***Melike Kökkızıl, Betam, Araştırma Görevlisi</w:t>
      </w:r>
    </w:p>
    <w:p w:rsidR="00F43211" w:rsidRPr="00783619" w:rsidRDefault="00420CD2" w:rsidP="00EB408D">
      <w:pPr>
        <w:ind w:left="-360"/>
        <w:rPr>
          <w:color w:val="FF0000"/>
          <w:sz w:val="16"/>
          <w:szCs w:val="16"/>
        </w:rPr>
      </w:pPr>
      <w:hyperlink r:id="rId12" w:history="1">
        <w:r w:rsidR="00F43211" w:rsidRPr="00F43211">
          <w:rPr>
            <w:rStyle w:val="Hyperlink"/>
            <w:sz w:val="16"/>
            <w:szCs w:val="16"/>
          </w:rPr>
          <w:t>melike.kokkızıl@eas.bahcsehir.edu.tr</w:t>
        </w:r>
      </w:hyperlink>
    </w:p>
    <w:p w:rsidR="00EB408D" w:rsidRPr="00783619" w:rsidRDefault="00EB408D" w:rsidP="00EB408D">
      <w:pPr>
        <w:ind w:right="42"/>
        <w:rPr>
          <w:b/>
          <w:bCs/>
          <w:color w:val="FF0000"/>
          <w:sz w:val="22"/>
          <w:szCs w:val="22"/>
        </w:rPr>
      </w:pPr>
    </w:p>
    <w:p w:rsidR="00EB408D" w:rsidRPr="00783619" w:rsidRDefault="00EB408D" w:rsidP="00EB408D">
      <w:pPr>
        <w:ind w:right="42"/>
        <w:rPr>
          <w:b/>
          <w:bCs/>
          <w:color w:val="FF0000"/>
          <w:sz w:val="22"/>
          <w:szCs w:val="22"/>
        </w:rPr>
      </w:pPr>
    </w:p>
    <w:p w:rsidR="00EB408D" w:rsidRPr="00783619" w:rsidRDefault="00044A0F" w:rsidP="000B100E">
      <w:pPr>
        <w:spacing w:line="360" w:lineRule="auto"/>
        <w:ind w:left="-360" w:right="40"/>
        <w:jc w:val="both"/>
        <w:rPr>
          <w:b/>
          <w:bCs/>
          <w:color w:val="FF0000"/>
          <w:sz w:val="22"/>
          <w:szCs w:val="22"/>
        </w:rPr>
      </w:pPr>
      <w:r w:rsidRPr="001236FF">
        <w:rPr>
          <w:sz w:val="22"/>
          <w:szCs w:val="22"/>
        </w:rPr>
        <w:t>Ağustos ayında cari açık 163 milyon dolar olarak gerçekleşti. 12 aylık cari açık 45 milyar dolardan 43 milyar dolara düştü. Cari açığın GSYH’</w:t>
      </w:r>
      <w:r>
        <w:rPr>
          <w:sz w:val="22"/>
          <w:szCs w:val="22"/>
        </w:rPr>
        <w:t>a</w:t>
      </w:r>
      <w:r w:rsidRPr="001236FF">
        <w:rPr>
          <w:sz w:val="22"/>
          <w:szCs w:val="22"/>
        </w:rPr>
        <w:t xml:space="preserve"> oranının </w:t>
      </w:r>
      <w:r>
        <w:rPr>
          <w:sz w:val="22"/>
          <w:szCs w:val="22"/>
        </w:rPr>
        <w:t xml:space="preserve">yıllık bazda </w:t>
      </w:r>
      <w:r w:rsidRPr="001236FF">
        <w:rPr>
          <w:sz w:val="22"/>
          <w:szCs w:val="22"/>
        </w:rPr>
        <w:t>yüzde 5,7 olmasını bekliyoruz. Altın hariç cari açı</w:t>
      </w:r>
      <w:r>
        <w:rPr>
          <w:sz w:val="22"/>
          <w:szCs w:val="22"/>
        </w:rPr>
        <w:t>k oranının</w:t>
      </w:r>
      <w:r w:rsidRPr="001236FF">
        <w:rPr>
          <w:sz w:val="22"/>
          <w:szCs w:val="22"/>
        </w:rPr>
        <w:t xml:space="preserve"> ise yine yüzde 5,7 olacağını tahmin ediyoruz.</w:t>
      </w:r>
    </w:p>
    <w:p w:rsidR="00EB408D" w:rsidRPr="00783619" w:rsidRDefault="00EB408D" w:rsidP="00EB408D">
      <w:pPr>
        <w:outlineLvl w:val="0"/>
        <w:rPr>
          <w:b/>
          <w:bCs/>
          <w:color w:val="FF0000"/>
          <w:sz w:val="22"/>
          <w:szCs w:val="22"/>
        </w:rPr>
      </w:pPr>
    </w:p>
    <w:p w:rsidR="00EB408D" w:rsidRPr="002F6BD8" w:rsidRDefault="00EB408D" w:rsidP="00EB408D">
      <w:pPr>
        <w:outlineLvl w:val="0"/>
        <w:rPr>
          <w:b/>
          <w:bCs/>
          <w:sz w:val="22"/>
          <w:szCs w:val="22"/>
        </w:rPr>
      </w:pPr>
      <w:r w:rsidRPr="002F6BD8">
        <w:rPr>
          <w:b/>
          <w:bCs/>
          <w:sz w:val="22"/>
          <w:szCs w:val="22"/>
        </w:rPr>
        <w:t>Tablo 1. Betam’ın GSYH ve Cari Açık Tahminleri</w:t>
      </w:r>
    </w:p>
    <w:tbl>
      <w:tblPr>
        <w:tblpPr w:leftFromText="141" w:rightFromText="141" w:vertAnchor="text" w:horzAnchor="margin" w:tblpXSpec="right" w:tblpY="129"/>
        <w:tblW w:w="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5"/>
        <w:gridCol w:w="1421"/>
      </w:tblGrid>
      <w:tr w:rsidR="003B33D9" w:rsidRPr="00783619" w:rsidTr="00044A0F">
        <w:trPr>
          <w:trHeight w:val="842"/>
        </w:trPr>
        <w:tc>
          <w:tcPr>
            <w:tcW w:w="3215" w:type="dxa"/>
            <w:tcMar>
              <w:left w:w="28" w:type="dxa"/>
              <w:right w:w="28" w:type="dxa"/>
            </w:tcMar>
            <w:vAlign w:val="center"/>
          </w:tcPr>
          <w:p w:rsidR="003B33D9" w:rsidRPr="00783619" w:rsidRDefault="003B33D9" w:rsidP="001763E1">
            <w:pPr>
              <w:ind w:right="42"/>
              <w:jc w:val="center"/>
              <w:rPr>
                <w:color w:val="FF0000"/>
                <w:sz w:val="20"/>
                <w:szCs w:val="20"/>
              </w:rPr>
            </w:pPr>
          </w:p>
        </w:tc>
        <w:tc>
          <w:tcPr>
            <w:tcW w:w="1421" w:type="dxa"/>
            <w:vAlign w:val="center"/>
          </w:tcPr>
          <w:p w:rsidR="003B33D9" w:rsidRPr="002F6BD8" w:rsidRDefault="003B33D9" w:rsidP="001763E1">
            <w:pPr>
              <w:ind w:right="40"/>
              <w:jc w:val="center"/>
              <w:rPr>
                <w:b/>
                <w:bCs/>
                <w:sz w:val="20"/>
                <w:szCs w:val="20"/>
              </w:rPr>
            </w:pPr>
            <w:r w:rsidRPr="002F6BD8">
              <w:rPr>
                <w:b/>
                <w:bCs/>
                <w:sz w:val="20"/>
                <w:szCs w:val="20"/>
              </w:rPr>
              <w:t>2015</w:t>
            </w:r>
          </w:p>
          <w:p w:rsidR="003B33D9" w:rsidRPr="002F6BD8" w:rsidRDefault="002F6BD8" w:rsidP="001763E1">
            <w:pPr>
              <w:ind w:right="40"/>
              <w:jc w:val="center"/>
              <w:rPr>
                <w:b/>
                <w:bCs/>
                <w:sz w:val="20"/>
                <w:szCs w:val="20"/>
              </w:rPr>
            </w:pPr>
            <w:r w:rsidRPr="002F6BD8">
              <w:rPr>
                <w:b/>
                <w:bCs/>
                <w:sz w:val="20"/>
                <w:szCs w:val="20"/>
              </w:rPr>
              <w:t>3</w:t>
            </w:r>
            <w:r w:rsidR="003B33D9" w:rsidRPr="002F6BD8">
              <w:rPr>
                <w:b/>
                <w:bCs/>
                <w:sz w:val="20"/>
                <w:szCs w:val="20"/>
              </w:rPr>
              <w:t>. Çeyrek</w:t>
            </w:r>
          </w:p>
          <w:p w:rsidR="003B33D9" w:rsidRPr="002F6BD8" w:rsidRDefault="003B33D9" w:rsidP="001763E1">
            <w:pPr>
              <w:ind w:right="40"/>
              <w:jc w:val="center"/>
              <w:rPr>
                <w:b/>
                <w:bCs/>
                <w:sz w:val="20"/>
                <w:szCs w:val="20"/>
              </w:rPr>
            </w:pPr>
            <w:r w:rsidRPr="002F6BD8">
              <w:rPr>
                <w:b/>
                <w:bCs/>
                <w:sz w:val="20"/>
                <w:szCs w:val="20"/>
              </w:rPr>
              <w:t>Tahmin</w:t>
            </w:r>
          </w:p>
          <w:p w:rsidR="003B33D9" w:rsidRPr="00783619" w:rsidRDefault="003B33D9" w:rsidP="001763E1">
            <w:pPr>
              <w:ind w:right="40"/>
              <w:jc w:val="center"/>
              <w:rPr>
                <w:b/>
                <w:bCs/>
                <w:color w:val="FF0000"/>
                <w:sz w:val="20"/>
                <w:szCs w:val="20"/>
              </w:rPr>
            </w:pPr>
            <w:r w:rsidRPr="002F6BD8">
              <w:rPr>
                <w:b/>
                <w:bCs/>
                <w:sz w:val="20"/>
                <w:szCs w:val="20"/>
              </w:rPr>
              <w:t>(%)</w:t>
            </w:r>
          </w:p>
        </w:tc>
      </w:tr>
      <w:tr w:rsidR="003B33D9" w:rsidRPr="00783619" w:rsidTr="00044A0F">
        <w:trPr>
          <w:trHeight w:val="659"/>
        </w:trPr>
        <w:tc>
          <w:tcPr>
            <w:tcW w:w="3215" w:type="dxa"/>
            <w:tcMar>
              <w:left w:w="28" w:type="dxa"/>
              <w:right w:w="28" w:type="dxa"/>
            </w:tcMar>
            <w:vAlign w:val="center"/>
          </w:tcPr>
          <w:p w:rsidR="003B33D9" w:rsidRPr="00283666" w:rsidRDefault="003B33D9" w:rsidP="001763E1">
            <w:pPr>
              <w:ind w:right="42"/>
              <w:rPr>
                <w:sz w:val="20"/>
                <w:szCs w:val="20"/>
              </w:rPr>
            </w:pPr>
            <w:r w:rsidRPr="00283666">
              <w:rPr>
                <w:sz w:val="20"/>
                <w:szCs w:val="20"/>
              </w:rPr>
              <w:t>GSYH büyüme, reel</w:t>
            </w:r>
          </w:p>
          <w:p w:rsidR="003B33D9" w:rsidRPr="00283666" w:rsidRDefault="003B33D9" w:rsidP="001763E1">
            <w:pPr>
              <w:ind w:right="42"/>
              <w:rPr>
                <w:sz w:val="20"/>
                <w:szCs w:val="20"/>
              </w:rPr>
            </w:pPr>
            <w:r w:rsidRPr="00283666">
              <w:rPr>
                <w:sz w:val="20"/>
                <w:szCs w:val="20"/>
              </w:rPr>
              <w:t>(bir önceki çeyreğe göre, mea*)</w:t>
            </w:r>
          </w:p>
        </w:tc>
        <w:tc>
          <w:tcPr>
            <w:tcW w:w="1421" w:type="dxa"/>
            <w:vAlign w:val="center"/>
          </w:tcPr>
          <w:p w:rsidR="003B33D9" w:rsidRPr="00963DD2" w:rsidRDefault="00283666" w:rsidP="00991315">
            <w:pPr>
              <w:ind w:right="42"/>
              <w:jc w:val="center"/>
              <w:rPr>
                <w:sz w:val="20"/>
                <w:szCs w:val="20"/>
              </w:rPr>
            </w:pPr>
            <w:r w:rsidRPr="00963DD2">
              <w:rPr>
                <w:sz w:val="20"/>
                <w:szCs w:val="20"/>
              </w:rPr>
              <w:t>0,</w:t>
            </w:r>
            <w:r w:rsidR="00963DD2" w:rsidRPr="00963DD2">
              <w:rPr>
                <w:sz w:val="20"/>
                <w:szCs w:val="20"/>
              </w:rPr>
              <w:t>6</w:t>
            </w:r>
          </w:p>
        </w:tc>
      </w:tr>
      <w:tr w:rsidR="003B33D9" w:rsidRPr="00783619" w:rsidTr="00044A0F">
        <w:trPr>
          <w:trHeight w:val="646"/>
        </w:trPr>
        <w:tc>
          <w:tcPr>
            <w:tcW w:w="3215" w:type="dxa"/>
            <w:tcMar>
              <w:left w:w="28" w:type="dxa"/>
              <w:right w:w="28" w:type="dxa"/>
            </w:tcMar>
            <w:vAlign w:val="center"/>
          </w:tcPr>
          <w:p w:rsidR="003B33D9" w:rsidRPr="00283666" w:rsidRDefault="003B33D9" w:rsidP="001763E1">
            <w:pPr>
              <w:ind w:right="42"/>
              <w:rPr>
                <w:sz w:val="20"/>
                <w:szCs w:val="20"/>
              </w:rPr>
            </w:pPr>
            <w:r w:rsidRPr="00283666">
              <w:rPr>
                <w:sz w:val="20"/>
                <w:szCs w:val="20"/>
              </w:rPr>
              <w:t>GSYH büyüme, reel (geçen yılın aynı çeyreğine göre, mea*)</w:t>
            </w:r>
          </w:p>
        </w:tc>
        <w:tc>
          <w:tcPr>
            <w:tcW w:w="1421" w:type="dxa"/>
            <w:vAlign w:val="center"/>
          </w:tcPr>
          <w:p w:rsidR="003B33D9" w:rsidRPr="007D35F5" w:rsidRDefault="003B33D9" w:rsidP="001763E1">
            <w:pPr>
              <w:ind w:right="42"/>
              <w:jc w:val="center"/>
              <w:rPr>
                <w:color w:val="FF0000"/>
                <w:sz w:val="20"/>
                <w:szCs w:val="20"/>
              </w:rPr>
            </w:pPr>
          </w:p>
          <w:p w:rsidR="003B33D9" w:rsidRPr="00963DD2" w:rsidRDefault="00963DD2" w:rsidP="001763E1">
            <w:pPr>
              <w:ind w:right="42"/>
              <w:jc w:val="center"/>
              <w:rPr>
                <w:sz w:val="20"/>
                <w:szCs w:val="20"/>
              </w:rPr>
            </w:pPr>
            <w:r w:rsidRPr="00963DD2">
              <w:rPr>
                <w:sz w:val="20"/>
                <w:szCs w:val="20"/>
              </w:rPr>
              <w:t>4,5</w:t>
            </w:r>
          </w:p>
          <w:p w:rsidR="003B33D9" w:rsidRPr="007D35F5" w:rsidRDefault="003B33D9" w:rsidP="001763E1">
            <w:pPr>
              <w:ind w:right="42"/>
              <w:jc w:val="center"/>
              <w:rPr>
                <w:color w:val="FF0000"/>
                <w:sz w:val="20"/>
                <w:szCs w:val="20"/>
              </w:rPr>
            </w:pPr>
          </w:p>
        </w:tc>
      </w:tr>
      <w:tr w:rsidR="003B33D9" w:rsidRPr="00783619" w:rsidTr="00044A0F">
        <w:trPr>
          <w:trHeight w:val="646"/>
        </w:trPr>
        <w:tc>
          <w:tcPr>
            <w:tcW w:w="3215" w:type="dxa"/>
            <w:tcMar>
              <w:left w:w="28" w:type="dxa"/>
              <w:right w:w="28" w:type="dxa"/>
            </w:tcMar>
            <w:vAlign w:val="center"/>
          </w:tcPr>
          <w:p w:rsidR="003B33D9" w:rsidRPr="00283666" w:rsidRDefault="003B33D9" w:rsidP="001763E1">
            <w:pPr>
              <w:ind w:right="40"/>
              <w:rPr>
                <w:sz w:val="20"/>
                <w:szCs w:val="20"/>
              </w:rPr>
            </w:pPr>
            <w:r w:rsidRPr="00283666">
              <w:rPr>
                <w:sz w:val="20"/>
                <w:szCs w:val="20"/>
              </w:rPr>
              <w:t>Cari açık (yıllık)</w:t>
            </w:r>
          </w:p>
        </w:tc>
        <w:tc>
          <w:tcPr>
            <w:tcW w:w="1421" w:type="dxa"/>
            <w:vAlign w:val="center"/>
          </w:tcPr>
          <w:p w:rsidR="003B33D9" w:rsidRPr="008F1089" w:rsidRDefault="008F1089" w:rsidP="001763E1">
            <w:pPr>
              <w:ind w:right="40"/>
              <w:jc w:val="center"/>
              <w:rPr>
                <w:sz w:val="20"/>
                <w:szCs w:val="20"/>
              </w:rPr>
            </w:pPr>
            <w:r w:rsidRPr="008F1089">
              <w:rPr>
                <w:sz w:val="20"/>
                <w:szCs w:val="20"/>
              </w:rPr>
              <w:t>5,7</w:t>
            </w:r>
          </w:p>
        </w:tc>
      </w:tr>
      <w:tr w:rsidR="003B33D9" w:rsidRPr="00783619" w:rsidTr="00044A0F">
        <w:trPr>
          <w:trHeight w:val="498"/>
        </w:trPr>
        <w:tc>
          <w:tcPr>
            <w:tcW w:w="3215" w:type="dxa"/>
            <w:tcMar>
              <w:left w:w="28" w:type="dxa"/>
              <w:right w:w="28" w:type="dxa"/>
            </w:tcMar>
            <w:vAlign w:val="center"/>
          </w:tcPr>
          <w:p w:rsidR="003B33D9" w:rsidRPr="00283666" w:rsidRDefault="003B33D9" w:rsidP="001763E1">
            <w:pPr>
              <w:ind w:right="40"/>
              <w:rPr>
                <w:sz w:val="20"/>
                <w:szCs w:val="20"/>
              </w:rPr>
            </w:pPr>
            <w:r w:rsidRPr="00283666">
              <w:rPr>
                <w:sz w:val="20"/>
                <w:szCs w:val="20"/>
              </w:rPr>
              <w:t>Altın hariç cari açık (yıllık)</w:t>
            </w:r>
          </w:p>
        </w:tc>
        <w:tc>
          <w:tcPr>
            <w:tcW w:w="1421" w:type="dxa"/>
            <w:vAlign w:val="center"/>
          </w:tcPr>
          <w:p w:rsidR="003B33D9" w:rsidRPr="008F1089" w:rsidRDefault="008F1089" w:rsidP="00283666">
            <w:pPr>
              <w:ind w:right="40"/>
              <w:jc w:val="center"/>
              <w:rPr>
                <w:sz w:val="20"/>
                <w:szCs w:val="20"/>
              </w:rPr>
            </w:pPr>
            <w:r w:rsidRPr="008F1089">
              <w:rPr>
                <w:sz w:val="20"/>
                <w:szCs w:val="20"/>
              </w:rPr>
              <w:t>5,7</w:t>
            </w:r>
          </w:p>
        </w:tc>
      </w:tr>
    </w:tbl>
    <w:p w:rsidR="00EB408D" w:rsidRPr="00783619" w:rsidRDefault="00EB408D" w:rsidP="00EB408D">
      <w:pPr>
        <w:ind w:left="-360" w:right="40"/>
        <w:rPr>
          <w:color w:val="FF0000"/>
          <w:sz w:val="4"/>
          <w:szCs w:val="4"/>
        </w:rPr>
      </w:pPr>
    </w:p>
    <w:p w:rsidR="00EB408D" w:rsidRPr="002F6BD8" w:rsidRDefault="00EB408D" w:rsidP="00EB408D">
      <w:pPr>
        <w:ind w:left="-360" w:right="40"/>
        <w:rPr>
          <w:sz w:val="18"/>
          <w:szCs w:val="18"/>
        </w:rPr>
      </w:pPr>
      <w:r w:rsidRPr="002F6BD8">
        <w:rPr>
          <w:sz w:val="18"/>
          <w:szCs w:val="18"/>
        </w:rPr>
        <w:t xml:space="preserve">Kaynak: Betam. *mea: mevsim ve takvim etkilerinden </w:t>
      </w:r>
      <w:r w:rsidR="00F43211">
        <w:rPr>
          <w:sz w:val="18"/>
          <w:szCs w:val="18"/>
        </w:rPr>
        <w:t>arındırılmış.</w:t>
      </w:r>
    </w:p>
    <w:p w:rsidR="00F43211" w:rsidRDefault="00F43211" w:rsidP="00EB408D">
      <w:pPr>
        <w:spacing w:line="360" w:lineRule="auto"/>
        <w:ind w:left="-360" w:right="42"/>
        <w:jc w:val="center"/>
        <w:rPr>
          <w:b/>
          <w:color w:val="FF0000"/>
          <w:sz w:val="22"/>
          <w:szCs w:val="22"/>
        </w:rPr>
      </w:pPr>
    </w:p>
    <w:p w:rsidR="00F43211" w:rsidRPr="001F583D" w:rsidRDefault="00F43211" w:rsidP="00F43211">
      <w:pPr>
        <w:spacing w:line="360" w:lineRule="auto"/>
        <w:ind w:left="-360" w:right="42"/>
        <w:jc w:val="center"/>
        <w:rPr>
          <w:b/>
          <w:sz w:val="22"/>
          <w:szCs w:val="22"/>
        </w:rPr>
      </w:pPr>
      <w:r w:rsidRPr="001F583D">
        <w:rPr>
          <w:b/>
          <w:sz w:val="22"/>
          <w:szCs w:val="22"/>
        </w:rPr>
        <w:t>Sanayi üretimi</w:t>
      </w:r>
      <w:r w:rsidR="00D245EB">
        <w:rPr>
          <w:b/>
          <w:sz w:val="22"/>
          <w:szCs w:val="22"/>
        </w:rPr>
        <w:t xml:space="preserve"> ve net ihracatta</w:t>
      </w:r>
      <w:r w:rsidR="00950DE0" w:rsidRPr="001F583D">
        <w:rPr>
          <w:b/>
          <w:sz w:val="22"/>
          <w:szCs w:val="22"/>
        </w:rPr>
        <w:t xml:space="preserve"> </w:t>
      </w:r>
      <w:r w:rsidR="001F583D" w:rsidRPr="001F583D">
        <w:rPr>
          <w:b/>
          <w:sz w:val="22"/>
          <w:szCs w:val="22"/>
        </w:rPr>
        <w:t>artış</w:t>
      </w:r>
    </w:p>
    <w:p w:rsidR="00F43211" w:rsidRPr="007D35F5" w:rsidRDefault="00F43211" w:rsidP="00F43211">
      <w:pPr>
        <w:spacing w:line="360" w:lineRule="auto"/>
        <w:ind w:left="-360" w:right="42"/>
        <w:jc w:val="center"/>
        <w:rPr>
          <w:b/>
          <w:sz w:val="22"/>
          <w:szCs w:val="22"/>
          <w:highlight w:val="yellow"/>
        </w:rPr>
      </w:pPr>
    </w:p>
    <w:p w:rsidR="00F43211" w:rsidRDefault="00F43211" w:rsidP="00F43211">
      <w:pPr>
        <w:spacing w:line="360" w:lineRule="auto"/>
        <w:ind w:left="-360" w:right="42"/>
        <w:jc w:val="both"/>
        <w:rPr>
          <w:sz w:val="22"/>
          <w:szCs w:val="22"/>
        </w:rPr>
      </w:pPr>
      <w:r w:rsidRPr="001F583D">
        <w:rPr>
          <w:sz w:val="22"/>
          <w:szCs w:val="22"/>
        </w:rPr>
        <w:t>Sanayi üretimi</w:t>
      </w:r>
      <w:r w:rsidR="001F583D">
        <w:rPr>
          <w:sz w:val="22"/>
          <w:szCs w:val="22"/>
        </w:rPr>
        <w:t>nde</w:t>
      </w:r>
      <w:r w:rsidRPr="001F583D">
        <w:rPr>
          <w:sz w:val="22"/>
          <w:szCs w:val="22"/>
        </w:rPr>
        <w:t xml:space="preserve"> Temmuz</w:t>
      </w:r>
      <w:r w:rsidR="00AC3E0F">
        <w:rPr>
          <w:sz w:val="22"/>
          <w:szCs w:val="22"/>
        </w:rPr>
        <w:t xml:space="preserve"> ayında</w:t>
      </w:r>
      <w:r w:rsidRPr="001F583D">
        <w:rPr>
          <w:sz w:val="22"/>
          <w:szCs w:val="22"/>
        </w:rPr>
        <w:t xml:space="preserve"> yüzde 1,5 oranında büyük bir düşüş yaşan</w:t>
      </w:r>
      <w:r w:rsidR="001F583D">
        <w:rPr>
          <w:sz w:val="22"/>
          <w:szCs w:val="22"/>
        </w:rPr>
        <w:t xml:space="preserve">mıştı. </w:t>
      </w:r>
      <w:r w:rsidRPr="001F583D">
        <w:rPr>
          <w:sz w:val="22"/>
          <w:szCs w:val="22"/>
        </w:rPr>
        <w:t xml:space="preserve">Sanayi üretiminin </w:t>
      </w:r>
      <w:r w:rsidR="00AC3E0F">
        <w:rPr>
          <w:sz w:val="22"/>
          <w:szCs w:val="22"/>
        </w:rPr>
        <w:t>Ağustos ayında</w:t>
      </w:r>
      <w:r w:rsidR="001F583D">
        <w:rPr>
          <w:sz w:val="22"/>
          <w:szCs w:val="22"/>
        </w:rPr>
        <w:t xml:space="preserve"> yüzde 2,9 artmasıyla birlikte bu düşüş fazlasıyla telafi edildi. Sanayinin t</w:t>
      </w:r>
      <w:r w:rsidRPr="001F583D">
        <w:rPr>
          <w:sz w:val="22"/>
          <w:szCs w:val="22"/>
        </w:rPr>
        <w:t xml:space="preserve">üm ana bileşenlerinde üretim </w:t>
      </w:r>
      <w:r w:rsidR="001F583D">
        <w:rPr>
          <w:sz w:val="22"/>
          <w:szCs w:val="22"/>
        </w:rPr>
        <w:t xml:space="preserve">artarken </w:t>
      </w:r>
      <w:r w:rsidRPr="001F583D">
        <w:rPr>
          <w:sz w:val="22"/>
          <w:szCs w:val="22"/>
        </w:rPr>
        <w:t xml:space="preserve">en yüksek </w:t>
      </w:r>
      <w:r w:rsidR="001F583D">
        <w:rPr>
          <w:sz w:val="22"/>
          <w:szCs w:val="22"/>
        </w:rPr>
        <w:t>artış</w:t>
      </w:r>
      <w:r w:rsidRPr="001F583D">
        <w:rPr>
          <w:sz w:val="22"/>
          <w:szCs w:val="22"/>
        </w:rPr>
        <w:t xml:space="preserve"> yüzde 11,</w:t>
      </w:r>
      <w:r w:rsidR="001F583D">
        <w:rPr>
          <w:sz w:val="22"/>
          <w:szCs w:val="22"/>
        </w:rPr>
        <w:t>6</w:t>
      </w:r>
      <w:r w:rsidRPr="001F583D">
        <w:rPr>
          <w:sz w:val="22"/>
          <w:szCs w:val="22"/>
        </w:rPr>
        <w:t xml:space="preserve"> ile dayanıklı tüketim malları </w:t>
      </w:r>
      <w:r w:rsidRPr="001F583D">
        <w:rPr>
          <w:sz w:val="22"/>
          <w:szCs w:val="22"/>
        </w:rPr>
        <w:lastRenderedPageBreak/>
        <w:t xml:space="preserve">sektöründe gerçekleşti. </w:t>
      </w:r>
      <w:r w:rsidR="001F583D">
        <w:rPr>
          <w:sz w:val="22"/>
          <w:szCs w:val="22"/>
        </w:rPr>
        <w:t xml:space="preserve">İkinci en </w:t>
      </w:r>
      <w:r w:rsidR="00AC3E0F">
        <w:rPr>
          <w:sz w:val="22"/>
          <w:szCs w:val="22"/>
        </w:rPr>
        <w:t>yüksek artış ise yüzde 5,3 ile y</w:t>
      </w:r>
      <w:r w:rsidR="001F583D">
        <w:rPr>
          <w:sz w:val="22"/>
          <w:szCs w:val="22"/>
        </w:rPr>
        <w:t xml:space="preserve">atırım malı imalatında ortaya çıktı. </w:t>
      </w:r>
    </w:p>
    <w:p w:rsidR="008C17A3" w:rsidRPr="007D35F5" w:rsidRDefault="008C17A3" w:rsidP="00F43211">
      <w:pPr>
        <w:spacing w:line="360" w:lineRule="auto"/>
        <w:ind w:left="-360" w:right="42"/>
        <w:jc w:val="both"/>
        <w:rPr>
          <w:sz w:val="22"/>
          <w:szCs w:val="22"/>
          <w:highlight w:val="yellow"/>
        </w:rPr>
      </w:pPr>
    </w:p>
    <w:p w:rsidR="00D245EB" w:rsidRDefault="00F43211" w:rsidP="001510B5">
      <w:pPr>
        <w:spacing w:line="360" w:lineRule="auto"/>
        <w:ind w:left="-360" w:right="42"/>
        <w:jc w:val="both"/>
        <w:rPr>
          <w:sz w:val="22"/>
          <w:szCs w:val="22"/>
          <w:highlight w:val="yellow"/>
        </w:rPr>
      </w:pPr>
      <w:r w:rsidRPr="00227E25">
        <w:rPr>
          <w:sz w:val="22"/>
          <w:szCs w:val="22"/>
        </w:rPr>
        <w:t>İhracat miktar endeksi</w:t>
      </w:r>
      <w:r w:rsidR="00227E25" w:rsidRPr="00227E25">
        <w:rPr>
          <w:sz w:val="22"/>
          <w:szCs w:val="22"/>
        </w:rPr>
        <w:t xml:space="preserve"> Ağustos</w:t>
      </w:r>
      <w:r w:rsidR="00AC3E0F">
        <w:rPr>
          <w:sz w:val="22"/>
          <w:szCs w:val="22"/>
        </w:rPr>
        <w:t xml:space="preserve"> ayında</w:t>
      </w:r>
      <w:r w:rsidR="00227E25" w:rsidRPr="00227E25">
        <w:rPr>
          <w:sz w:val="22"/>
          <w:szCs w:val="22"/>
        </w:rPr>
        <w:t xml:space="preserve"> yüzde 0,6 artarak Temmuz</w:t>
      </w:r>
      <w:r w:rsidR="00AC3E0F">
        <w:rPr>
          <w:sz w:val="22"/>
          <w:szCs w:val="22"/>
        </w:rPr>
        <w:t xml:space="preserve"> ayındaki</w:t>
      </w:r>
      <w:r w:rsidR="00227E25" w:rsidRPr="00227E25">
        <w:rPr>
          <w:sz w:val="22"/>
          <w:szCs w:val="22"/>
        </w:rPr>
        <w:t xml:space="preserve"> yüzde 0,3’lük azalmayı fazlasıyla telafi etti. Aynı zamanda </w:t>
      </w:r>
      <w:r w:rsidRPr="00227E25">
        <w:rPr>
          <w:sz w:val="22"/>
          <w:szCs w:val="22"/>
        </w:rPr>
        <w:t xml:space="preserve">ithalat miktar endeksinde yüzde </w:t>
      </w:r>
      <w:r w:rsidR="00227E25" w:rsidRPr="00227E25">
        <w:rPr>
          <w:sz w:val="22"/>
          <w:szCs w:val="22"/>
        </w:rPr>
        <w:t>3,1 oranında dikkate değer bir düşüş gözlemlendi. Temmuz ayında ithalat miktar endeksi yüzde 2,1 oranında artmıştı</w:t>
      </w:r>
      <w:r w:rsidR="000960F1">
        <w:rPr>
          <w:sz w:val="22"/>
          <w:szCs w:val="22"/>
        </w:rPr>
        <w:t xml:space="preserve">. </w:t>
      </w:r>
      <w:r w:rsidR="00AE3964" w:rsidRPr="00947379">
        <w:rPr>
          <w:sz w:val="22"/>
          <w:szCs w:val="22"/>
        </w:rPr>
        <w:t>Aynı dönemde</w:t>
      </w:r>
      <w:r w:rsidR="00AE3964" w:rsidRPr="001236FF">
        <w:rPr>
          <w:sz w:val="22"/>
          <w:szCs w:val="22"/>
        </w:rPr>
        <w:t xml:space="preserve"> altın hariç reel ihracat</w:t>
      </w:r>
      <w:r w:rsidR="00AE3964" w:rsidRPr="001236FF">
        <w:rPr>
          <w:rStyle w:val="FootnoteReference"/>
          <w:sz w:val="22"/>
          <w:szCs w:val="22"/>
        </w:rPr>
        <w:footnoteReference w:id="2"/>
      </w:r>
      <w:r w:rsidR="00AE3964" w:rsidRPr="001236FF">
        <w:rPr>
          <w:sz w:val="22"/>
          <w:szCs w:val="22"/>
        </w:rPr>
        <w:t xml:space="preserve"> yüzde 0,8 artarken altın hariç reel ithalat yüzde 6,7 azaldı. </w:t>
      </w:r>
      <w:r w:rsidR="00227E25" w:rsidRPr="00227E25">
        <w:rPr>
          <w:sz w:val="22"/>
          <w:szCs w:val="22"/>
        </w:rPr>
        <w:t>3. Çeyreğin ilk iki ayının verileri</w:t>
      </w:r>
      <w:r w:rsidR="005E6778">
        <w:rPr>
          <w:sz w:val="22"/>
          <w:szCs w:val="22"/>
        </w:rPr>
        <w:t>nden</w:t>
      </w:r>
      <w:r w:rsidR="00947379">
        <w:rPr>
          <w:sz w:val="22"/>
          <w:szCs w:val="22"/>
        </w:rPr>
        <w:t xml:space="preserve"> oluşan</w:t>
      </w:r>
      <w:r w:rsidR="005E6778">
        <w:rPr>
          <w:sz w:val="22"/>
          <w:szCs w:val="22"/>
        </w:rPr>
        <w:t xml:space="preserve"> tahmin denklemleri</w:t>
      </w:r>
      <w:r w:rsidR="00227E25" w:rsidRPr="00227E25">
        <w:rPr>
          <w:sz w:val="22"/>
          <w:szCs w:val="22"/>
        </w:rPr>
        <w:t xml:space="preserve"> </w:t>
      </w:r>
      <w:r w:rsidRPr="00227E25">
        <w:rPr>
          <w:sz w:val="22"/>
          <w:szCs w:val="22"/>
        </w:rPr>
        <w:t xml:space="preserve">net ihracatın büyümeye </w:t>
      </w:r>
      <w:r w:rsidR="00491CDD">
        <w:rPr>
          <w:sz w:val="22"/>
          <w:szCs w:val="22"/>
        </w:rPr>
        <w:t xml:space="preserve">önemli ölçüde </w:t>
      </w:r>
      <w:r w:rsidR="00227E25" w:rsidRPr="00227E25">
        <w:rPr>
          <w:sz w:val="22"/>
          <w:szCs w:val="22"/>
        </w:rPr>
        <w:t>pozitif katkı</w:t>
      </w:r>
      <w:r w:rsidRPr="00227E25">
        <w:rPr>
          <w:sz w:val="22"/>
          <w:szCs w:val="22"/>
        </w:rPr>
        <w:t xml:space="preserve"> yapacağına işaret ediyor.</w:t>
      </w:r>
    </w:p>
    <w:p w:rsidR="001510B5" w:rsidRDefault="001510B5" w:rsidP="001510B5">
      <w:pPr>
        <w:spacing w:line="360" w:lineRule="auto"/>
        <w:ind w:left="-360" w:right="42"/>
        <w:jc w:val="both"/>
        <w:rPr>
          <w:sz w:val="22"/>
          <w:szCs w:val="22"/>
          <w:highlight w:val="yellow"/>
        </w:rPr>
      </w:pPr>
    </w:p>
    <w:p w:rsidR="001510B5" w:rsidRDefault="001510B5" w:rsidP="001510B5">
      <w:pPr>
        <w:spacing w:line="360" w:lineRule="auto"/>
        <w:ind w:left="-360" w:right="42"/>
        <w:jc w:val="center"/>
        <w:rPr>
          <w:b/>
          <w:sz w:val="22"/>
          <w:szCs w:val="22"/>
        </w:rPr>
      </w:pPr>
      <w:r w:rsidRPr="001510B5">
        <w:rPr>
          <w:b/>
          <w:sz w:val="22"/>
          <w:szCs w:val="22"/>
        </w:rPr>
        <w:t>Mali disiplin sürüyor</w:t>
      </w:r>
    </w:p>
    <w:p w:rsidR="001510B5" w:rsidRPr="001510B5" w:rsidRDefault="001510B5" w:rsidP="001510B5">
      <w:pPr>
        <w:spacing w:line="360" w:lineRule="auto"/>
        <w:ind w:left="-360" w:right="42"/>
        <w:jc w:val="center"/>
        <w:rPr>
          <w:b/>
          <w:sz w:val="22"/>
          <w:szCs w:val="22"/>
        </w:rPr>
      </w:pPr>
    </w:p>
    <w:p w:rsidR="00F43211" w:rsidRPr="002345CA" w:rsidRDefault="00F43211" w:rsidP="00F43211">
      <w:pPr>
        <w:spacing w:line="360" w:lineRule="auto"/>
        <w:ind w:left="-360" w:right="42"/>
        <w:jc w:val="both"/>
        <w:rPr>
          <w:sz w:val="22"/>
          <w:szCs w:val="22"/>
        </w:rPr>
      </w:pPr>
      <w:r w:rsidRPr="002345CA">
        <w:rPr>
          <w:sz w:val="22"/>
          <w:szCs w:val="22"/>
        </w:rPr>
        <w:t>Kamu harcamalarında Temmuz</w:t>
      </w:r>
      <w:r w:rsidR="00947379">
        <w:rPr>
          <w:sz w:val="22"/>
          <w:szCs w:val="22"/>
        </w:rPr>
        <w:t xml:space="preserve"> ayında</w:t>
      </w:r>
      <w:r w:rsidRPr="002345CA">
        <w:rPr>
          <w:sz w:val="22"/>
          <w:szCs w:val="22"/>
        </w:rPr>
        <w:t xml:space="preserve"> </w:t>
      </w:r>
      <w:r w:rsidR="002345CA" w:rsidRPr="002345CA">
        <w:rPr>
          <w:sz w:val="22"/>
          <w:szCs w:val="22"/>
        </w:rPr>
        <w:t>sınırlı bir artış (yüzde 0,8) Ağustos</w:t>
      </w:r>
      <w:r w:rsidR="00947379">
        <w:rPr>
          <w:sz w:val="22"/>
          <w:szCs w:val="22"/>
        </w:rPr>
        <w:t xml:space="preserve"> ayında</w:t>
      </w:r>
      <w:r w:rsidR="002345CA" w:rsidRPr="002345CA">
        <w:rPr>
          <w:sz w:val="22"/>
          <w:szCs w:val="22"/>
        </w:rPr>
        <w:t xml:space="preserve"> ise sert bir fren (eksi yüzde 2,2) gözlemlenmişti. Eylül</w:t>
      </w:r>
      <w:r w:rsidR="00947379">
        <w:rPr>
          <w:sz w:val="22"/>
          <w:szCs w:val="22"/>
        </w:rPr>
        <w:t xml:space="preserve"> ayında da</w:t>
      </w:r>
      <w:r w:rsidR="002345CA" w:rsidRPr="002345CA">
        <w:rPr>
          <w:sz w:val="22"/>
          <w:szCs w:val="22"/>
        </w:rPr>
        <w:t xml:space="preserve"> dikkate değer bir artış (yüzde 3,1) </w:t>
      </w:r>
      <w:r w:rsidRPr="002345CA">
        <w:rPr>
          <w:sz w:val="22"/>
          <w:szCs w:val="22"/>
        </w:rPr>
        <w:t>gö</w:t>
      </w:r>
      <w:r w:rsidR="00B93AE7">
        <w:rPr>
          <w:sz w:val="22"/>
          <w:szCs w:val="22"/>
        </w:rPr>
        <w:t>rül</w:t>
      </w:r>
      <w:r w:rsidR="000960F1">
        <w:rPr>
          <w:sz w:val="22"/>
          <w:szCs w:val="22"/>
        </w:rPr>
        <w:t>dü. Toplamda k</w:t>
      </w:r>
      <w:r w:rsidR="002345CA" w:rsidRPr="002345CA">
        <w:rPr>
          <w:sz w:val="22"/>
          <w:szCs w:val="22"/>
        </w:rPr>
        <w:t>amu harcamalarında ılımlı bir artış söz konusu.</w:t>
      </w:r>
      <w:r w:rsidR="000960F1">
        <w:rPr>
          <w:sz w:val="22"/>
          <w:szCs w:val="22"/>
        </w:rPr>
        <w:t xml:space="preserve"> </w:t>
      </w:r>
      <w:r w:rsidR="002345CA" w:rsidRPr="002345CA">
        <w:rPr>
          <w:sz w:val="22"/>
          <w:szCs w:val="22"/>
        </w:rPr>
        <w:t>Bu kalemin GSYH içinde sınırlı paya sahip olması nedeniyle büyümeye dikkate değer bir</w:t>
      </w:r>
      <w:r w:rsidR="00B93AE7">
        <w:rPr>
          <w:sz w:val="22"/>
          <w:szCs w:val="22"/>
        </w:rPr>
        <w:t xml:space="preserve"> katkı yapmasını beklemiyoruz.</w:t>
      </w:r>
      <w:r w:rsidR="002345CA" w:rsidRPr="002345CA">
        <w:rPr>
          <w:sz w:val="22"/>
          <w:szCs w:val="22"/>
        </w:rPr>
        <w:t xml:space="preserve"> </w:t>
      </w:r>
    </w:p>
    <w:p w:rsidR="0084085E" w:rsidRDefault="0084085E" w:rsidP="00F43211">
      <w:pPr>
        <w:spacing w:line="360" w:lineRule="auto"/>
        <w:ind w:left="-360" w:right="42"/>
        <w:jc w:val="both"/>
        <w:rPr>
          <w:sz w:val="22"/>
          <w:szCs w:val="22"/>
        </w:rPr>
      </w:pPr>
    </w:p>
    <w:p w:rsidR="0084085E" w:rsidRPr="001236FF" w:rsidRDefault="0084085E" w:rsidP="0084085E">
      <w:pPr>
        <w:spacing w:line="360" w:lineRule="auto"/>
        <w:ind w:left="-360" w:right="42"/>
        <w:jc w:val="center"/>
        <w:rPr>
          <w:b/>
          <w:bCs/>
          <w:sz w:val="22"/>
          <w:szCs w:val="22"/>
        </w:rPr>
      </w:pPr>
      <w:r w:rsidRPr="001236FF">
        <w:rPr>
          <w:b/>
          <w:bCs/>
          <w:sz w:val="22"/>
          <w:szCs w:val="22"/>
        </w:rPr>
        <w:t xml:space="preserve">Özel tüketimde </w:t>
      </w:r>
      <w:r w:rsidR="00B10E4B">
        <w:rPr>
          <w:b/>
          <w:bCs/>
          <w:sz w:val="22"/>
          <w:szCs w:val="22"/>
        </w:rPr>
        <w:t>ılımlı</w:t>
      </w:r>
      <w:r w:rsidRPr="001236FF">
        <w:rPr>
          <w:b/>
          <w:bCs/>
          <w:sz w:val="22"/>
          <w:szCs w:val="22"/>
        </w:rPr>
        <w:t xml:space="preserve"> artış</w:t>
      </w:r>
    </w:p>
    <w:p w:rsidR="0084085E" w:rsidRPr="001236FF" w:rsidRDefault="0084085E" w:rsidP="0084085E">
      <w:pPr>
        <w:spacing w:line="360" w:lineRule="auto"/>
        <w:ind w:left="-360" w:right="42"/>
        <w:jc w:val="center"/>
        <w:rPr>
          <w:b/>
          <w:bCs/>
          <w:sz w:val="22"/>
          <w:szCs w:val="22"/>
        </w:rPr>
      </w:pPr>
    </w:p>
    <w:p w:rsidR="0084085E" w:rsidRDefault="0084085E" w:rsidP="0084085E">
      <w:pPr>
        <w:spacing w:line="360" w:lineRule="auto"/>
        <w:ind w:left="-360" w:right="42"/>
        <w:jc w:val="both"/>
        <w:rPr>
          <w:sz w:val="22"/>
          <w:szCs w:val="22"/>
        </w:rPr>
      </w:pPr>
      <w:r w:rsidRPr="001236FF">
        <w:rPr>
          <w:sz w:val="22"/>
          <w:szCs w:val="22"/>
        </w:rPr>
        <w:t xml:space="preserve">Ağustos ayında bir önceki aya göre tüketim malı ithalatı yüzde 3,4 azalırken, dayanıklı tüketim malı </w:t>
      </w:r>
      <w:r w:rsidR="00BA78AE">
        <w:rPr>
          <w:sz w:val="22"/>
          <w:szCs w:val="22"/>
        </w:rPr>
        <w:t>ile</w:t>
      </w:r>
      <w:r w:rsidRPr="001236FF">
        <w:rPr>
          <w:sz w:val="22"/>
          <w:szCs w:val="22"/>
        </w:rPr>
        <w:t xml:space="preserve"> dayanıksız tüketim malı imalat</w:t>
      </w:r>
      <w:r w:rsidR="00BA78AE">
        <w:rPr>
          <w:sz w:val="22"/>
          <w:szCs w:val="22"/>
        </w:rPr>
        <w:t>ları</w:t>
      </w:r>
      <w:r w:rsidRPr="001236FF">
        <w:rPr>
          <w:sz w:val="22"/>
          <w:szCs w:val="22"/>
        </w:rPr>
        <w:t xml:space="preserve"> sırasıyla yüzde 11,6 ve yüzde 2,3 arttı. Tüketici güven endeksi ise Temmuz ayından itibaren azalma eğilimde. Temmuz ve Ağustos aylarında sırasıyla yüzde 2,7 ve yüzde 2,3 azalan tüketici güven </w:t>
      </w:r>
      <w:r w:rsidRPr="001236FF">
        <w:rPr>
          <w:sz w:val="22"/>
          <w:szCs w:val="22"/>
        </w:rPr>
        <w:lastRenderedPageBreak/>
        <w:t xml:space="preserve">endeksi </w:t>
      </w:r>
      <w:r>
        <w:rPr>
          <w:sz w:val="22"/>
          <w:szCs w:val="22"/>
        </w:rPr>
        <w:t xml:space="preserve">Eylül </w:t>
      </w:r>
      <w:r w:rsidRPr="001236FF">
        <w:rPr>
          <w:sz w:val="22"/>
          <w:szCs w:val="22"/>
        </w:rPr>
        <w:t xml:space="preserve">ayında </w:t>
      </w:r>
      <w:r w:rsidR="000960F1">
        <w:rPr>
          <w:sz w:val="22"/>
          <w:szCs w:val="22"/>
        </w:rPr>
        <w:t xml:space="preserve">da </w:t>
      </w:r>
      <w:r w:rsidRPr="001236FF">
        <w:rPr>
          <w:sz w:val="22"/>
          <w:szCs w:val="22"/>
        </w:rPr>
        <w:t>yüzde 6,</w:t>
      </w:r>
      <w:r>
        <w:rPr>
          <w:sz w:val="22"/>
          <w:szCs w:val="22"/>
        </w:rPr>
        <w:t>8</w:t>
      </w:r>
      <w:r w:rsidRPr="001236FF">
        <w:rPr>
          <w:sz w:val="22"/>
          <w:szCs w:val="22"/>
        </w:rPr>
        <w:t xml:space="preserve"> azaldı. Özel tüketim vergisi gelirleri ise Eylül ayında yüzde 6,2 azaldı. Dayanıklı ve dayanıksız tüketim malları imalatındaki artışa paralel olarak 2015'in 3. çeyreğinde özel tüketimde </w:t>
      </w:r>
      <w:r w:rsidR="00BA78AE">
        <w:rPr>
          <w:sz w:val="22"/>
          <w:szCs w:val="22"/>
        </w:rPr>
        <w:t>ılımlı</w:t>
      </w:r>
      <w:r w:rsidRPr="001236FF">
        <w:rPr>
          <w:sz w:val="22"/>
          <w:szCs w:val="22"/>
        </w:rPr>
        <w:t xml:space="preserve"> bir artış </w:t>
      </w:r>
      <w:r w:rsidR="00BA78AE">
        <w:rPr>
          <w:sz w:val="22"/>
          <w:szCs w:val="22"/>
        </w:rPr>
        <w:t>tahmin ediyoruz</w:t>
      </w:r>
      <w:r w:rsidRPr="001236FF">
        <w:rPr>
          <w:sz w:val="22"/>
          <w:szCs w:val="22"/>
        </w:rPr>
        <w:t>.</w:t>
      </w:r>
    </w:p>
    <w:p w:rsidR="0084085E" w:rsidRDefault="0084085E" w:rsidP="0084085E">
      <w:pPr>
        <w:spacing w:line="360" w:lineRule="auto"/>
        <w:ind w:left="-360" w:right="42"/>
        <w:jc w:val="both"/>
        <w:rPr>
          <w:sz w:val="22"/>
          <w:szCs w:val="22"/>
        </w:rPr>
      </w:pPr>
    </w:p>
    <w:p w:rsidR="0084085E" w:rsidRDefault="000B100E" w:rsidP="0084085E">
      <w:pPr>
        <w:spacing w:line="360" w:lineRule="auto"/>
        <w:ind w:left="-360" w:right="42"/>
        <w:jc w:val="center"/>
        <w:rPr>
          <w:b/>
          <w:bCs/>
          <w:sz w:val="22"/>
          <w:szCs w:val="22"/>
        </w:rPr>
      </w:pPr>
      <w:r>
        <w:rPr>
          <w:b/>
          <w:bCs/>
          <w:sz w:val="22"/>
          <w:szCs w:val="22"/>
        </w:rPr>
        <w:t>Ö</w:t>
      </w:r>
      <w:r w:rsidR="0084085E" w:rsidRPr="001236FF">
        <w:rPr>
          <w:b/>
          <w:bCs/>
          <w:sz w:val="22"/>
          <w:szCs w:val="22"/>
        </w:rPr>
        <w:t>zel yatırım</w:t>
      </w:r>
      <w:r w:rsidR="0084085E">
        <w:rPr>
          <w:b/>
          <w:bCs/>
          <w:sz w:val="22"/>
          <w:szCs w:val="22"/>
        </w:rPr>
        <w:t>larda durgunluk belirtisi</w:t>
      </w:r>
    </w:p>
    <w:p w:rsidR="00B93AE7" w:rsidRDefault="00B93AE7" w:rsidP="00B93AE7">
      <w:pPr>
        <w:spacing w:line="360" w:lineRule="auto"/>
        <w:ind w:left="-360" w:right="42"/>
        <w:rPr>
          <w:b/>
          <w:bCs/>
          <w:sz w:val="22"/>
          <w:szCs w:val="22"/>
        </w:rPr>
      </w:pPr>
    </w:p>
    <w:p w:rsidR="0084085E" w:rsidRDefault="00B93AE7" w:rsidP="00943B62">
      <w:pPr>
        <w:spacing w:line="360" w:lineRule="auto"/>
        <w:ind w:left="-360" w:right="42"/>
        <w:jc w:val="both"/>
        <w:rPr>
          <w:sz w:val="22"/>
          <w:szCs w:val="22"/>
        </w:rPr>
      </w:pPr>
      <w:r w:rsidRPr="00D245EB">
        <w:rPr>
          <w:sz w:val="22"/>
          <w:szCs w:val="22"/>
        </w:rPr>
        <w:t>Ağustos</w:t>
      </w:r>
      <w:r w:rsidR="000960F1">
        <w:rPr>
          <w:sz w:val="22"/>
          <w:szCs w:val="22"/>
        </w:rPr>
        <w:t xml:space="preserve"> ayında </w:t>
      </w:r>
      <w:r w:rsidRPr="00D245EB">
        <w:rPr>
          <w:sz w:val="22"/>
          <w:szCs w:val="22"/>
        </w:rPr>
        <w:t>yatırım verilerinde zıt yönlü gelişmeler vurgulanmaya değer. Yerli yat</w:t>
      </w:r>
      <w:r w:rsidR="00943B62">
        <w:rPr>
          <w:sz w:val="22"/>
          <w:szCs w:val="22"/>
        </w:rPr>
        <w:t>ırım malı üretim</w:t>
      </w:r>
      <w:r w:rsidR="000960F1">
        <w:rPr>
          <w:sz w:val="22"/>
          <w:szCs w:val="22"/>
        </w:rPr>
        <w:t>i</w:t>
      </w:r>
      <w:r w:rsidR="00943B62">
        <w:rPr>
          <w:sz w:val="22"/>
          <w:szCs w:val="22"/>
        </w:rPr>
        <w:t xml:space="preserve">nde gerçekleşen </w:t>
      </w:r>
      <w:r w:rsidRPr="00D245EB">
        <w:rPr>
          <w:sz w:val="22"/>
          <w:szCs w:val="22"/>
        </w:rPr>
        <w:t>artış (yüzde 5,3)</w:t>
      </w:r>
      <w:r w:rsidR="00943B62">
        <w:rPr>
          <w:sz w:val="22"/>
          <w:szCs w:val="22"/>
        </w:rPr>
        <w:t xml:space="preserve"> </w:t>
      </w:r>
      <w:r w:rsidRPr="00D245EB">
        <w:rPr>
          <w:sz w:val="22"/>
          <w:szCs w:val="22"/>
        </w:rPr>
        <w:t>ölçülü bir canlanmaya işaret ederken yatırım malı itha</w:t>
      </w:r>
      <w:r w:rsidR="000B100E">
        <w:rPr>
          <w:sz w:val="22"/>
          <w:szCs w:val="22"/>
        </w:rPr>
        <w:t>la</w:t>
      </w:r>
      <w:r w:rsidRPr="00D245EB">
        <w:rPr>
          <w:sz w:val="22"/>
          <w:szCs w:val="22"/>
        </w:rPr>
        <w:t>tındaki büyük çaplı gerileme (eksi yüzde 16,2) aksini söylüyor. Yatırımlar</w:t>
      </w:r>
      <w:r w:rsidR="000B100E">
        <w:rPr>
          <w:sz w:val="22"/>
          <w:szCs w:val="22"/>
        </w:rPr>
        <w:t>ın</w:t>
      </w:r>
      <w:r w:rsidRPr="00D245EB">
        <w:rPr>
          <w:sz w:val="22"/>
          <w:szCs w:val="22"/>
        </w:rPr>
        <w:t xml:space="preserve"> büyümeye</w:t>
      </w:r>
      <w:r w:rsidR="000B100E">
        <w:rPr>
          <w:sz w:val="22"/>
          <w:szCs w:val="22"/>
        </w:rPr>
        <w:t xml:space="preserve"> katkısını </w:t>
      </w:r>
      <w:r w:rsidRPr="00D245EB">
        <w:rPr>
          <w:sz w:val="22"/>
          <w:szCs w:val="22"/>
        </w:rPr>
        <w:t>Tem</w:t>
      </w:r>
      <w:r w:rsidR="000B100E">
        <w:rPr>
          <w:sz w:val="22"/>
          <w:szCs w:val="22"/>
        </w:rPr>
        <w:t>m</w:t>
      </w:r>
      <w:r w:rsidRPr="00D245EB">
        <w:rPr>
          <w:sz w:val="22"/>
          <w:szCs w:val="22"/>
        </w:rPr>
        <w:t>uz</w:t>
      </w:r>
      <w:r w:rsidR="000B100E">
        <w:rPr>
          <w:sz w:val="22"/>
          <w:szCs w:val="22"/>
        </w:rPr>
        <w:t xml:space="preserve"> ayında</w:t>
      </w:r>
      <w:r w:rsidRPr="00D245EB">
        <w:rPr>
          <w:sz w:val="22"/>
          <w:szCs w:val="22"/>
        </w:rPr>
        <w:t xml:space="preserve"> pozitif </w:t>
      </w:r>
      <w:r w:rsidR="000B100E">
        <w:rPr>
          <w:sz w:val="22"/>
          <w:szCs w:val="22"/>
        </w:rPr>
        <w:t xml:space="preserve">olarak tahmin etmiştik ancak </w:t>
      </w:r>
      <w:r w:rsidRPr="00D245EB">
        <w:rPr>
          <w:sz w:val="22"/>
          <w:szCs w:val="22"/>
        </w:rPr>
        <w:t xml:space="preserve">Ağustos </w:t>
      </w:r>
      <w:r w:rsidR="000B100E">
        <w:rPr>
          <w:sz w:val="22"/>
          <w:szCs w:val="22"/>
        </w:rPr>
        <w:t xml:space="preserve">ayı </w:t>
      </w:r>
      <w:r w:rsidRPr="00D245EB">
        <w:rPr>
          <w:sz w:val="22"/>
          <w:szCs w:val="22"/>
        </w:rPr>
        <w:t>verileri ile birlikte bu katkının sıfırlandığın</w:t>
      </w:r>
      <w:r w:rsidR="000B100E">
        <w:rPr>
          <w:sz w:val="22"/>
          <w:szCs w:val="22"/>
        </w:rPr>
        <w:t>ı tahmin ediyoruz. Bu bağlamda b</w:t>
      </w:r>
      <w:r w:rsidRPr="00D245EB">
        <w:rPr>
          <w:sz w:val="22"/>
          <w:szCs w:val="22"/>
        </w:rPr>
        <w:t>inek olmayan otomobil üretiminde ilk iki ayda yüzde 3’ün üzerinde artış yaşanırken Eylül</w:t>
      </w:r>
      <w:r w:rsidR="000B100E">
        <w:rPr>
          <w:sz w:val="22"/>
          <w:szCs w:val="22"/>
        </w:rPr>
        <w:t xml:space="preserve"> ayında</w:t>
      </w:r>
      <w:r w:rsidRPr="00D245EB">
        <w:rPr>
          <w:sz w:val="22"/>
          <w:szCs w:val="22"/>
        </w:rPr>
        <w:t xml:space="preserve"> yüzde 1,5 oranında azalış söz konusu olduğunu hatırlatalım. </w:t>
      </w:r>
    </w:p>
    <w:p w:rsidR="000B100E" w:rsidRDefault="000B100E" w:rsidP="0084085E">
      <w:pPr>
        <w:spacing w:line="360" w:lineRule="auto"/>
        <w:ind w:left="-360" w:right="42"/>
        <w:jc w:val="both"/>
        <w:rPr>
          <w:bCs/>
          <w:sz w:val="22"/>
          <w:szCs w:val="22"/>
        </w:rPr>
      </w:pPr>
    </w:p>
    <w:p w:rsidR="0084085E" w:rsidRPr="001236FF" w:rsidRDefault="0084085E" w:rsidP="0084085E">
      <w:pPr>
        <w:spacing w:line="360" w:lineRule="auto"/>
        <w:ind w:left="-360" w:right="42"/>
        <w:jc w:val="both"/>
        <w:rPr>
          <w:sz w:val="22"/>
          <w:szCs w:val="22"/>
        </w:rPr>
      </w:pPr>
      <w:r w:rsidRPr="001236FF">
        <w:rPr>
          <w:bCs/>
          <w:sz w:val="22"/>
          <w:szCs w:val="22"/>
        </w:rPr>
        <w:t xml:space="preserve">Eylül ayı verilerine göre ise reel kesim güven endeksi yüzde 3,2 azaldı. </w:t>
      </w:r>
      <w:r w:rsidR="00943B62">
        <w:rPr>
          <w:bCs/>
          <w:sz w:val="22"/>
          <w:szCs w:val="22"/>
        </w:rPr>
        <w:t>Endeks Temmuz</w:t>
      </w:r>
      <w:r w:rsidR="000B100E">
        <w:rPr>
          <w:bCs/>
          <w:sz w:val="22"/>
          <w:szCs w:val="22"/>
        </w:rPr>
        <w:t xml:space="preserve"> ayında</w:t>
      </w:r>
      <w:r w:rsidR="00943B62">
        <w:rPr>
          <w:bCs/>
          <w:sz w:val="22"/>
          <w:szCs w:val="22"/>
        </w:rPr>
        <w:t xml:space="preserve"> yüzde 1,4 artarken Ağustos</w:t>
      </w:r>
      <w:r w:rsidR="000B100E">
        <w:rPr>
          <w:bCs/>
          <w:sz w:val="22"/>
          <w:szCs w:val="22"/>
        </w:rPr>
        <w:t xml:space="preserve"> ayında</w:t>
      </w:r>
      <w:r w:rsidR="00943B62">
        <w:rPr>
          <w:bCs/>
          <w:sz w:val="22"/>
          <w:szCs w:val="22"/>
        </w:rPr>
        <w:t xml:space="preserve"> yüzde 0,2 azalmıştı. </w:t>
      </w:r>
      <w:r w:rsidRPr="001236FF">
        <w:rPr>
          <w:bCs/>
          <w:sz w:val="22"/>
          <w:szCs w:val="22"/>
        </w:rPr>
        <w:t>Genel olarak 2015'in 3. çeyreğinde özel yatırımlar</w:t>
      </w:r>
      <w:r>
        <w:rPr>
          <w:bCs/>
          <w:sz w:val="22"/>
          <w:szCs w:val="22"/>
        </w:rPr>
        <w:t>da</w:t>
      </w:r>
      <w:r w:rsidR="00943B62">
        <w:rPr>
          <w:bCs/>
          <w:sz w:val="22"/>
          <w:szCs w:val="22"/>
        </w:rPr>
        <w:t xml:space="preserve">n büyümeye </w:t>
      </w:r>
      <w:r>
        <w:rPr>
          <w:bCs/>
          <w:sz w:val="22"/>
          <w:szCs w:val="22"/>
        </w:rPr>
        <w:t xml:space="preserve">dikkate değer bir </w:t>
      </w:r>
      <w:r w:rsidR="00943B62">
        <w:rPr>
          <w:bCs/>
          <w:sz w:val="22"/>
          <w:szCs w:val="22"/>
        </w:rPr>
        <w:t xml:space="preserve">katkı </w:t>
      </w:r>
      <w:r>
        <w:rPr>
          <w:bCs/>
          <w:sz w:val="22"/>
          <w:szCs w:val="22"/>
        </w:rPr>
        <w:t xml:space="preserve">olmadığını tahmin ediyoruz. </w:t>
      </w:r>
    </w:p>
    <w:p w:rsidR="0084085E" w:rsidRDefault="0084085E" w:rsidP="00F43211">
      <w:pPr>
        <w:spacing w:line="360" w:lineRule="auto"/>
        <w:ind w:left="-360" w:right="42"/>
        <w:jc w:val="both"/>
        <w:rPr>
          <w:sz w:val="22"/>
          <w:szCs w:val="22"/>
        </w:rPr>
      </w:pPr>
    </w:p>
    <w:p w:rsidR="00AE3964" w:rsidRPr="004E7F1E" w:rsidRDefault="00AE3964" w:rsidP="00AE3964">
      <w:pPr>
        <w:spacing w:line="360" w:lineRule="auto"/>
        <w:ind w:left="-360" w:right="42"/>
        <w:jc w:val="center"/>
        <w:rPr>
          <w:b/>
          <w:sz w:val="22"/>
          <w:szCs w:val="22"/>
        </w:rPr>
      </w:pPr>
      <w:r w:rsidRPr="004E7F1E">
        <w:rPr>
          <w:b/>
          <w:sz w:val="22"/>
          <w:szCs w:val="22"/>
        </w:rPr>
        <w:t>Makroekonomik dengesizlikler ve küresel gelişmeler büyümeyi baskılıyor</w:t>
      </w:r>
    </w:p>
    <w:p w:rsidR="00AE3964" w:rsidRPr="007D35F5" w:rsidRDefault="00AE3964" w:rsidP="00AE3964">
      <w:pPr>
        <w:spacing w:line="360" w:lineRule="auto"/>
        <w:ind w:left="-360" w:right="42"/>
        <w:jc w:val="center"/>
        <w:rPr>
          <w:sz w:val="22"/>
          <w:szCs w:val="22"/>
          <w:highlight w:val="yellow"/>
        </w:rPr>
      </w:pPr>
    </w:p>
    <w:p w:rsidR="00AE3964" w:rsidRPr="007D35F5" w:rsidRDefault="00AE3964" w:rsidP="00AE3964">
      <w:pPr>
        <w:spacing w:line="360" w:lineRule="auto"/>
        <w:ind w:left="-360" w:right="42"/>
        <w:jc w:val="both"/>
        <w:rPr>
          <w:sz w:val="22"/>
          <w:szCs w:val="22"/>
          <w:highlight w:val="yellow"/>
        </w:rPr>
      </w:pPr>
      <w:r w:rsidRPr="004E7F1E">
        <w:rPr>
          <w:sz w:val="22"/>
          <w:szCs w:val="22"/>
        </w:rPr>
        <w:t>Son üç ayda döviz kurunda ve piyasa faizlerinde yaşanan artışlar ile yükselme eğ</w:t>
      </w:r>
      <w:r w:rsidR="000B100E">
        <w:rPr>
          <w:sz w:val="22"/>
          <w:szCs w:val="22"/>
        </w:rPr>
        <w:t>i</w:t>
      </w:r>
      <w:r w:rsidRPr="004E7F1E">
        <w:rPr>
          <w:sz w:val="22"/>
          <w:szCs w:val="22"/>
        </w:rPr>
        <w:t xml:space="preserve">liminde </w:t>
      </w:r>
      <w:r w:rsidR="000B100E" w:rsidRPr="004E7F1E">
        <w:rPr>
          <w:sz w:val="22"/>
          <w:szCs w:val="22"/>
        </w:rPr>
        <w:t>olan enflasyon</w:t>
      </w:r>
      <w:r w:rsidRPr="004E7F1E">
        <w:rPr>
          <w:sz w:val="22"/>
          <w:szCs w:val="22"/>
        </w:rPr>
        <w:t xml:space="preserve">, derinleşen şiddet ortamı ve ekonomi </w:t>
      </w:r>
      <w:r w:rsidRPr="004E7F1E">
        <w:rPr>
          <w:sz w:val="22"/>
          <w:szCs w:val="22"/>
        </w:rPr>
        <w:lastRenderedPageBreak/>
        <w:t>yönetimine yönelik belirsizlikler ekonomik büyümeyi aşağı yönlü baskılıyor.</w:t>
      </w:r>
      <w:r w:rsidRPr="007D35F5">
        <w:rPr>
          <w:sz w:val="22"/>
          <w:szCs w:val="22"/>
          <w:highlight w:val="yellow"/>
        </w:rPr>
        <w:t xml:space="preserve"> </w:t>
      </w:r>
    </w:p>
    <w:p w:rsidR="00AE3964" w:rsidRPr="007D35F5" w:rsidRDefault="00AE3964" w:rsidP="00AE3964">
      <w:pPr>
        <w:spacing w:line="360" w:lineRule="auto"/>
        <w:ind w:left="-360" w:right="42"/>
        <w:jc w:val="both"/>
        <w:rPr>
          <w:sz w:val="22"/>
          <w:szCs w:val="22"/>
          <w:highlight w:val="yellow"/>
        </w:rPr>
      </w:pPr>
    </w:p>
    <w:p w:rsidR="00AE3964" w:rsidRDefault="00AE3964" w:rsidP="00AE3964">
      <w:pPr>
        <w:spacing w:line="360" w:lineRule="auto"/>
        <w:ind w:left="-360" w:right="42"/>
        <w:jc w:val="both"/>
        <w:rPr>
          <w:sz w:val="22"/>
          <w:szCs w:val="22"/>
          <w:highlight w:val="yellow"/>
        </w:rPr>
      </w:pPr>
      <w:r w:rsidRPr="00D613C8">
        <w:rPr>
          <w:sz w:val="22"/>
          <w:szCs w:val="22"/>
        </w:rPr>
        <w:t>Diğer yandan</w:t>
      </w:r>
      <w:r w:rsidR="000B100E">
        <w:rPr>
          <w:sz w:val="22"/>
          <w:szCs w:val="22"/>
        </w:rPr>
        <w:t>,</w:t>
      </w:r>
      <w:r w:rsidRPr="00D613C8">
        <w:rPr>
          <w:sz w:val="22"/>
          <w:szCs w:val="22"/>
        </w:rPr>
        <w:t xml:space="preserve"> küresel talep zayıf seyretmeye devam ediyor. Fed’in faiz artışını ertelemesiyle birlikte halen gündemde tutuyor olması Türkiye gibi gelişmekte olan ülkelerin yatırım çekmekte ve cari açıklarını finanse etmekte yaşadıkları zorlukların devam edeceğine işaret ediyor. Düşük seyretmeye devam eden enerji fiyatlarına rağmen cari açık-GSYH oranının halen yüksek seyrediyor olması, mali disiplin çapasının sağlam durmasına rağmen kırılganlık algısını devam ettiriyor.</w:t>
      </w:r>
      <w:r w:rsidRPr="007D35F5">
        <w:rPr>
          <w:sz w:val="22"/>
          <w:szCs w:val="22"/>
          <w:highlight w:val="yellow"/>
        </w:rPr>
        <w:t xml:space="preserve"> </w:t>
      </w:r>
    </w:p>
    <w:p w:rsidR="000B100E" w:rsidRPr="0084085E" w:rsidRDefault="000B100E" w:rsidP="00AE3964">
      <w:pPr>
        <w:spacing w:line="360" w:lineRule="auto"/>
        <w:ind w:left="-360" w:right="42"/>
        <w:jc w:val="both"/>
        <w:rPr>
          <w:sz w:val="22"/>
          <w:szCs w:val="22"/>
          <w:highlight w:val="yellow"/>
        </w:rPr>
      </w:pPr>
    </w:p>
    <w:p w:rsidR="0084085E" w:rsidRDefault="0084085E" w:rsidP="00F43211">
      <w:pPr>
        <w:spacing w:line="360" w:lineRule="auto"/>
        <w:ind w:left="-360" w:right="42"/>
        <w:jc w:val="both"/>
        <w:rPr>
          <w:sz w:val="22"/>
          <w:szCs w:val="22"/>
        </w:rPr>
      </w:pPr>
    </w:p>
    <w:p w:rsidR="009E112B" w:rsidRDefault="009E112B" w:rsidP="00F43211">
      <w:pPr>
        <w:spacing w:line="360" w:lineRule="auto"/>
        <w:ind w:left="-360" w:right="42"/>
        <w:jc w:val="both"/>
        <w:rPr>
          <w:sz w:val="22"/>
          <w:szCs w:val="22"/>
        </w:rPr>
      </w:pPr>
    </w:p>
    <w:p w:rsidR="000B100E" w:rsidRDefault="000B100E" w:rsidP="00F43211">
      <w:pPr>
        <w:spacing w:line="360" w:lineRule="auto"/>
        <w:ind w:left="-360" w:right="42"/>
        <w:jc w:val="both"/>
        <w:rPr>
          <w:sz w:val="22"/>
          <w:szCs w:val="22"/>
        </w:rPr>
      </w:pPr>
    </w:p>
    <w:p w:rsidR="009E112B" w:rsidRDefault="009E112B" w:rsidP="00F43211">
      <w:pPr>
        <w:spacing w:line="360" w:lineRule="auto"/>
        <w:ind w:left="-360" w:right="42"/>
        <w:jc w:val="both"/>
        <w:rPr>
          <w:sz w:val="22"/>
          <w:szCs w:val="22"/>
        </w:rPr>
      </w:pPr>
    </w:p>
    <w:p w:rsidR="000B100E" w:rsidRDefault="000B100E" w:rsidP="00F43211">
      <w:pPr>
        <w:spacing w:line="360" w:lineRule="auto"/>
        <w:ind w:left="-360" w:right="42"/>
        <w:jc w:val="both"/>
        <w:rPr>
          <w:sz w:val="22"/>
          <w:szCs w:val="22"/>
        </w:rPr>
      </w:pPr>
    </w:p>
    <w:p w:rsidR="000B100E" w:rsidRDefault="000B100E" w:rsidP="00F43211">
      <w:pPr>
        <w:spacing w:line="360" w:lineRule="auto"/>
        <w:ind w:left="-360" w:right="42"/>
        <w:jc w:val="both"/>
        <w:rPr>
          <w:sz w:val="22"/>
          <w:szCs w:val="22"/>
        </w:rPr>
      </w:pPr>
    </w:p>
    <w:p w:rsidR="000B100E" w:rsidRPr="000B100E" w:rsidRDefault="000B100E" w:rsidP="000B100E">
      <w:pPr>
        <w:spacing w:line="360" w:lineRule="auto"/>
        <w:ind w:left="-360" w:right="42"/>
        <w:jc w:val="center"/>
        <w:rPr>
          <w:b/>
          <w:sz w:val="22"/>
          <w:szCs w:val="22"/>
        </w:rPr>
      </w:pPr>
      <w:r w:rsidRPr="000B100E">
        <w:rPr>
          <w:b/>
          <w:sz w:val="22"/>
          <w:szCs w:val="22"/>
        </w:rPr>
        <w:lastRenderedPageBreak/>
        <w:t>Düşük Büyüme</w:t>
      </w:r>
    </w:p>
    <w:p w:rsidR="000B100E" w:rsidRDefault="000B100E" w:rsidP="00F43211">
      <w:pPr>
        <w:spacing w:line="360" w:lineRule="auto"/>
        <w:ind w:left="-360" w:right="42"/>
        <w:jc w:val="both"/>
        <w:rPr>
          <w:sz w:val="22"/>
          <w:szCs w:val="22"/>
        </w:rPr>
      </w:pPr>
    </w:p>
    <w:p w:rsidR="00F43211" w:rsidRPr="007D35F5" w:rsidRDefault="002345CA" w:rsidP="00F43211">
      <w:pPr>
        <w:spacing w:line="360" w:lineRule="auto"/>
        <w:ind w:left="-360" w:right="42"/>
        <w:jc w:val="both"/>
        <w:rPr>
          <w:sz w:val="22"/>
          <w:szCs w:val="22"/>
          <w:highlight w:val="yellow"/>
        </w:rPr>
      </w:pPr>
      <w:r w:rsidRPr="002345CA">
        <w:rPr>
          <w:sz w:val="22"/>
          <w:szCs w:val="22"/>
        </w:rPr>
        <w:t xml:space="preserve">Bu gelişmeler ışığında </w:t>
      </w:r>
      <w:r w:rsidR="0006725C" w:rsidRPr="002345CA">
        <w:rPr>
          <w:sz w:val="22"/>
          <w:szCs w:val="22"/>
        </w:rPr>
        <w:t>Betam'ın 2. çeyrekten 3. ç</w:t>
      </w:r>
      <w:r w:rsidR="00F43211" w:rsidRPr="002345CA">
        <w:rPr>
          <w:sz w:val="22"/>
          <w:szCs w:val="22"/>
        </w:rPr>
        <w:t xml:space="preserve">eyreğe GSYH artışı </w:t>
      </w:r>
      <w:r w:rsidR="0006725C" w:rsidRPr="002345CA">
        <w:rPr>
          <w:sz w:val="22"/>
          <w:szCs w:val="22"/>
        </w:rPr>
        <w:t>i</w:t>
      </w:r>
      <w:r w:rsidRPr="002345CA">
        <w:rPr>
          <w:sz w:val="22"/>
          <w:szCs w:val="22"/>
        </w:rPr>
        <w:t>kinci</w:t>
      </w:r>
      <w:r w:rsidR="0006725C" w:rsidRPr="002345CA">
        <w:rPr>
          <w:sz w:val="22"/>
          <w:szCs w:val="22"/>
        </w:rPr>
        <w:t xml:space="preserve"> tahmini yüzde 0,</w:t>
      </w:r>
      <w:r w:rsidRPr="002345CA">
        <w:rPr>
          <w:sz w:val="22"/>
          <w:szCs w:val="22"/>
        </w:rPr>
        <w:t>6</w:t>
      </w:r>
      <w:r w:rsidR="0006725C" w:rsidRPr="002345CA">
        <w:rPr>
          <w:sz w:val="22"/>
          <w:szCs w:val="22"/>
        </w:rPr>
        <w:t>.</w:t>
      </w:r>
      <w:r w:rsidR="009E112B">
        <w:rPr>
          <w:sz w:val="22"/>
          <w:szCs w:val="22"/>
        </w:rPr>
        <w:t xml:space="preserve"> İlk tahminimize (yüz</w:t>
      </w:r>
      <w:r w:rsidR="000B100E">
        <w:rPr>
          <w:sz w:val="22"/>
          <w:szCs w:val="22"/>
        </w:rPr>
        <w:t>de 0,1) kıyasla nispeten yüksek</w:t>
      </w:r>
      <w:r w:rsidR="0006725C" w:rsidRPr="002345CA">
        <w:rPr>
          <w:sz w:val="22"/>
          <w:szCs w:val="22"/>
        </w:rPr>
        <w:t xml:space="preserve"> </w:t>
      </w:r>
      <w:r w:rsidR="009E112B">
        <w:rPr>
          <w:sz w:val="22"/>
          <w:szCs w:val="22"/>
        </w:rPr>
        <w:t xml:space="preserve">bir büyüme oranı söz konusu. İlk üç çeyreğin birikimli büyüme oranı yüzde 3,4’e yükseliyor. </w:t>
      </w:r>
      <w:r w:rsidR="0006725C" w:rsidRPr="002345CA">
        <w:rPr>
          <w:sz w:val="22"/>
          <w:szCs w:val="22"/>
        </w:rPr>
        <w:t xml:space="preserve">2014 3. </w:t>
      </w:r>
      <w:r w:rsidR="009E112B">
        <w:rPr>
          <w:sz w:val="22"/>
          <w:szCs w:val="22"/>
        </w:rPr>
        <w:t>ç</w:t>
      </w:r>
      <w:r w:rsidR="00F43211" w:rsidRPr="002345CA">
        <w:rPr>
          <w:sz w:val="22"/>
          <w:szCs w:val="22"/>
        </w:rPr>
        <w:t>eyre</w:t>
      </w:r>
      <w:r w:rsidR="009E112B">
        <w:rPr>
          <w:sz w:val="22"/>
          <w:szCs w:val="22"/>
        </w:rPr>
        <w:t xml:space="preserve">kten 2015 3. çeyreğe </w:t>
      </w:r>
      <w:r w:rsidRPr="002345CA">
        <w:rPr>
          <w:sz w:val="22"/>
          <w:szCs w:val="22"/>
        </w:rPr>
        <w:t xml:space="preserve">yıllık </w:t>
      </w:r>
      <w:r w:rsidR="00F43211" w:rsidRPr="002345CA">
        <w:rPr>
          <w:sz w:val="22"/>
          <w:szCs w:val="22"/>
        </w:rPr>
        <w:t xml:space="preserve">büyüme oranını ise </w:t>
      </w:r>
      <w:r w:rsidRPr="002345CA">
        <w:rPr>
          <w:sz w:val="22"/>
          <w:szCs w:val="22"/>
        </w:rPr>
        <w:t xml:space="preserve">baz etkisi nedeniyle yüzde 4,5 </w:t>
      </w:r>
      <w:r w:rsidR="00F43211" w:rsidRPr="002345CA">
        <w:rPr>
          <w:sz w:val="22"/>
          <w:szCs w:val="22"/>
        </w:rPr>
        <w:t>olarak hesaplıyoruz.</w:t>
      </w:r>
      <w:r w:rsidR="000B100E">
        <w:rPr>
          <w:sz w:val="22"/>
          <w:szCs w:val="22"/>
        </w:rPr>
        <w:t xml:space="preserve"> </w:t>
      </w:r>
      <w:r w:rsidR="00A916A4">
        <w:rPr>
          <w:sz w:val="22"/>
          <w:szCs w:val="22"/>
        </w:rPr>
        <w:t xml:space="preserve">4. </w:t>
      </w:r>
      <w:r w:rsidR="000B100E">
        <w:rPr>
          <w:sz w:val="22"/>
          <w:szCs w:val="22"/>
        </w:rPr>
        <w:t>ç</w:t>
      </w:r>
      <w:r w:rsidR="00A916A4">
        <w:rPr>
          <w:sz w:val="22"/>
          <w:szCs w:val="22"/>
        </w:rPr>
        <w:t>eyrekte büyüme</w:t>
      </w:r>
      <w:r w:rsidR="009B3EF3">
        <w:rPr>
          <w:sz w:val="22"/>
          <w:szCs w:val="22"/>
        </w:rPr>
        <w:t xml:space="preserve"> mevcut düzeyinde seyrettiği takdirde</w:t>
      </w:r>
      <w:r w:rsidR="00A916A4">
        <w:rPr>
          <w:sz w:val="22"/>
          <w:szCs w:val="22"/>
        </w:rPr>
        <w:t xml:space="preserve"> 2015 yıllık büyüme</w:t>
      </w:r>
      <w:r w:rsidR="009B3EF3">
        <w:rPr>
          <w:sz w:val="22"/>
          <w:szCs w:val="22"/>
        </w:rPr>
        <w:t xml:space="preserve"> oranının</w:t>
      </w:r>
      <w:r w:rsidR="00A916A4">
        <w:rPr>
          <w:sz w:val="22"/>
          <w:szCs w:val="22"/>
        </w:rPr>
        <w:t xml:space="preserve"> yüzde 4 civarında gerçekleşeceğini tahmin ediyoruz.</w:t>
      </w:r>
      <w:r>
        <w:rPr>
          <w:sz w:val="22"/>
          <w:szCs w:val="22"/>
          <w:highlight w:val="yellow"/>
        </w:rPr>
        <w:t xml:space="preserve"> </w:t>
      </w:r>
      <w:r w:rsidR="00F43211" w:rsidRPr="007D35F5">
        <w:rPr>
          <w:sz w:val="22"/>
          <w:szCs w:val="22"/>
          <w:highlight w:val="yellow"/>
        </w:rPr>
        <w:t xml:space="preserve"> </w:t>
      </w:r>
    </w:p>
    <w:p w:rsidR="00F43211" w:rsidRPr="007D35F5" w:rsidRDefault="00F43211" w:rsidP="00F43211">
      <w:pPr>
        <w:spacing w:line="360" w:lineRule="auto"/>
        <w:ind w:right="42"/>
        <w:jc w:val="both"/>
        <w:rPr>
          <w:sz w:val="22"/>
          <w:szCs w:val="22"/>
          <w:highlight w:val="yellow"/>
        </w:rPr>
      </w:pPr>
    </w:p>
    <w:p w:rsidR="0006725C" w:rsidRDefault="0006725C" w:rsidP="00197085">
      <w:pPr>
        <w:spacing w:line="360" w:lineRule="auto"/>
        <w:ind w:left="-360" w:right="42"/>
        <w:jc w:val="center"/>
        <w:rPr>
          <w:b/>
          <w:bCs/>
          <w:sz w:val="22"/>
          <w:szCs w:val="22"/>
        </w:rPr>
      </w:pPr>
    </w:p>
    <w:p w:rsidR="00DC6D98" w:rsidRDefault="00DC6D98" w:rsidP="00DC6D98">
      <w:pPr>
        <w:spacing w:line="360" w:lineRule="auto"/>
        <w:ind w:left="-360" w:right="42"/>
        <w:jc w:val="both"/>
        <w:rPr>
          <w:bCs/>
          <w:sz w:val="22"/>
          <w:szCs w:val="22"/>
        </w:rPr>
      </w:pPr>
    </w:p>
    <w:p w:rsidR="00FD47F7" w:rsidRPr="00783619" w:rsidRDefault="00FD47F7" w:rsidP="00407480">
      <w:pPr>
        <w:spacing w:line="360" w:lineRule="auto"/>
        <w:ind w:left="-360" w:right="43"/>
        <w:jc w:val="center"/>
        <w:rPr>
          <w:b/>
          <w:bCs/>
          <w:color w:val="FF0000"/>
          <w:sz w:val="22"/>
          <w:szCs w:val="22"/>
        </w:rPr>
      </w:pPr>
    </w:p>
    <w:p w:rsidR="007F160B" w:rsidRPr="00783619" w:rsidRDefault="007F160B" w:rsidP="00603888">
      <w:pPr>
        <w:spacing w:line="360" w:lineRule="auto"/>
        <w:ind w:left="-360" w:right="43"/>
        <w:jc w:val="both"/>
        <w:rPr>
          <w:color w:val="FF0000"/>
          <w:sz w:val="22"/>
          <w:szCs w:val="22"/>
        </w:rPr>
      </w:pPr>
    </w:p>
    <w:p w:rsidR="007F160B" w:rsidRPr="00783619" w:rsidRDefault="007F160B" w:rsidP="00603888">
      <w:pPr>
        <w:spacing w:line="360" w:lineRule="auto"/>
        <w:ind w:left="-360" w:right="43"/>
        <w:jc w:val="both"/>
        <w:rPr>
          <w:color w:val="FF0000"/>
          <w:sz w:val="22"/>
          <w:szCs w:val="22"/>
        </w:rPr>
      </w:pPr>
    </w:p>
    <w:p w:rsidR="00C76E90" w:rsidRPr="00783619" w:rsidRDefault="00C76E90" w:rsidP="00603888">
      <w:pPr>
        <w:spacing w:line="360" w:lineRule="auto"/>
        <w:ind w:left="-360" w:right="43"/>
        <w:jc w:val="both"/>
        <w:rPr>
          <w:color w:val="FF0000"/>
          <w:sz w:val="22"/>
          <w:szCs w:val="22"/>
        </w:rPr>
      </w:pPr>
    </w:p>
    <w:p w:rsidR="00775D69" w:rsidRPr="00783619" w:rsidRDefault="00775D69" w:rsidP="00603888">
      <w:pPr>
        <w:spacing w:line="360" w:lineRule="auto"/>
        <w:ind w:left="-360" w:right="43"/>
        <w:jc w:val="both"/>
        <w:rPr>
          <w:color w:val="FF0000"/>
          <w:sz w:val="22"/>
          <w:szCs w:val="22"/>
        </w:rPr>
        <w:sectPr w:rsidR="00775D69" w:rsidRPr="00783619" w:rsidSect="00EF12B8">
          <w:footerReference w:type="default" r:id="rId13"/>
          <w:type w:val="continuous"/>
          <w:pgSz w:w="11906" w:h="16838"/>
          <w:pgMar w:top="1417" w:right="1417" w:bottom="1417" w:left="1417" w:header="708" w:footer="708" w:gutter="0"/>
          <w:cols w:num="2" w:space="708"/>
          <w:docGrid w:linePitch="360"/>
        </w:sectPr>
      </w:pPr>
    </w:p>
    <w:p w:rsidR="00044A0F" w:rsidRDefault="00044A0F" w:rsidP="00197085">
      <w:pPr>
        <w:spacing w:line="360" w:lineRule="auto"/>
        <w:ind w:right="42"/>
        <w:jc w:val="both"/>
        <w:rPr>
          <w:b/>
          <w:bCs/>
          <w:sz w:val="22"/>
          <w:szCs w:val="22"/>
        </w:rPr>
      </w:pPr>
    </w:p>
    <w:p w:rsidR="00044A0F" w:rsidRDefault="00044A0F"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B100E" w:rsidRDefault="000B100E" w:rsidP="00197085">
      <w:pPr>
        <w:spacing w:line="360" w:lineRule="auto"/>
        <w:ind w:right="42"/>
        <w:jc w:val="both"/>
        <w:rPr>
          <w:b/>
          <w:bCs/>
          <w:sz w:val="22"/>
          <w:szCs w:val="22"/>
        </w:rPr>
      </w:pPr>
    </w:p>
    <w:p w:rsidR="00044A0F" w:rsidRDefault="00044A0F" w:rsidP="00197085">
      <w:pPr>
        <w:spacing w:line="360" w:lineRule="auto"/>
        <w:ind w:right="42"/>
        <w:jc w:val="both"/>
        <w:rPr>
          <w:b/>
          <w:bCs/>
          <w:sz w:val="22"/>
          <w:szCs w:val="22"/>
        </w:rPr>
      </w:pPr>
    </w:p>
    <w:p w:rsidR="00197085" w:rsidRPr="00783619" w:rsidRDefault="00197085" w:rsidP="00197085">
      <w:pPr>
        <w:spacing w:line="360" w:lineRule="auto"/>
        <w:ind w:right="42"/>
        <w:jc w:val="both"/>
        <w:rPr>
          <w:sz w:val="22"/>
          <w:szCs w:val="22"/>
        </w:rPr>
      </w:pPr>
      <w:r w:rsidRPr="008F1089">
        <w:rPr>
          <w:b/>
          <w:bCs/>
          <w:sz w:val="22"/>
          <w:szCs w:val="22"/>
        </w:rPr>
        <w:t>Tablo 2.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6"/>
        <w:gridCol w:w="1163"/>
        <w:gridCol w:w="1123"/>
        <w:gridCol w:w="1140"/>
        <w:gridCol w:w="1072"/>
        <w:gridCol w:w="959"/>
        <w:gridCol w:w="959"/>
      </w:tblGrid>
      <w:tr w:rsidR="00072321" w:rsidRPr="00783619" w:rsidTr="00BE7807">
        <w:trPr>
          <w:trHeight w:val="607"/>
        </w:trPr>
        <w:tc>
          <w:tcPr>
            <w:tcW w:w="3106" w:type="dxa"/>
            <w:vAlign w:val="center"/>
          </w:tcPr>
          <w:p w:rsidR="00072321" w:rsidRPr="00783619" w:rsidRDefault="00072321" w:rsidP="00E24F81">
            <w:pPr>
              <w:ind w:right="42"/>
              <w:jc w:val="center"/>
              <w:rPr>
                <w:b/>
                <w:bCs/>
              </w:rPr>
            </w:pPr>
            <w:r w:rsidRPr="00783619">
              <w:rPr>
                <w:b/>
                <w:bCs/>
                <w:sz w:val="22"/>
                <w:szCs w:val="22"/>
              </w:rPr>
              <w:t>Ekonomik Göstergeler</w:t>
            </w:r>
          </w:p>
        </w:tc>
        <w:tc>
          <w:tcPr>
            <w:tcW w:w="1163" w:type="dxa"/>
            <w:vAlign w:val="center"/>
          </w:tcPr>
          <w:p w:rsidR="00072321" w:rsidRPr="00783619" w:rsidRDefault="00072321" w:rsidP="00FF3A33">
            <w:pPr>
              <w:jc w:val="center"/>
              <w:rPr>
                <w:rFonts w:ascii="Segoe UI" w:hAnsi="Segoe UI" w:cs="Segoe UI"/>
                <w:sz w:val="23"/>
                <w:szCs w:val="23"/>
              </w:rPr>
            </w:pPr>
            <w:r w:rsidRPr="00783619">
              <w:rPr>
                <w:b/>
                <w:bCs/>
              </w:rPr>
              <w:t>Haziran</w:t>
            </w:r>
          </w:p>
        </w:tc>
        <w:tc>
          <w:tcPr>
            <w:tcW w:w="1123" w:type="dxa"/>
            <w:vAlign w:val="center"/>
          </w:tcPr>
          <w:p w:rsidR="00072321" w:rsidRPr="00783619" w:rsidRDefault="00072321" w:rsidP="00FF3A33">
            <w:pPr>
              <w:jc w:val="center"/>
              <w:rPr>
                <w:b/>
                <w:bCs/>
              </w:rPr>
            </w:pPr>
            <w:r w:rsidRPr="00783619">
              <w:rPr>
                <w:b/>
                <w:bCs/>
              </w:rPr>
              <w:t>Temmuz</w:t>
            </w:r>
          </w:p>
        </w:tc>
        <w:tc>
          <w:tcPr>
            <w:tcW w:w="1140" w:type="dxa"/>
            <w:vAlign w:val="center"/>
          </w:tcPr>
          <w:p w:rsidR="00072321" w:rsidRPr="00783619" w:rsidRDefault="00072321" w:rsidP="00FF3A33">
            <w:pPr>
              <w:jc w:val="center"/>
              <w:rPr>
                <w:b/>
                <w:bCs/>
              </w:rPr>
            </w:pPr>
            <w:r w:rsidRPr="00783619">
              <w:rPr>
                <w:b/>
                <w:bCs/>
              </w:rPr>
              <w:t>Ağustos</w:t>
            </w:r>
          </w:p>
        </w:tc>
        <w:tc>
          <w:tcPr>
            <w:tcW w:w="1072" w:type="dxa"/>
            <w:tcBorders>
              <w:right w:val="double" w:sz="4" w:space="0" w:color="auto"/>
            </w:tcBorders>
            <w:vAlign w:val="center"/>
          </w:tcPr>
          <w:p w:rsidR="00072321" w:rsidRPr="00783619" w:rsidRDefault="00072321" w:rsidP="00275675">
            <w:pPr>
              <w:jc w:val="center"/>
              <w:rPr>
                <w:b/>
                <w:bCs/>
              </w:rPr>
            </w:pPr>
            <w:r>
              <w:rPr>
                <w:b/>
                <w:bCs/>
              </w:rPr>
              <w:t>Eylül</w:t>
            </w:r>
          </w:p>
        </w:tc>
        <w:tc>
          <w:tcPr>
            <w:tcW w:w="959" w:type="dxa"/>
            <w:tcBorders>
              <w:left w:val="double" w:sz="4" w:space="0" w:color="auto"/>
            </w:tcBorders>
            <w:vAlign w:val="center"/>
          </w:tcPr>
          <w:p w:rsidR="00072321" w:rsidRPr="00783619" w:rsidRDefault="00072321" w:rsidP="00E24F81">
            <w:pPr>
              <w:ind w:right="42"/>
              <w:jc w:val="center"/>
              <w:rPr>
                <w:b/>
                <w:bCs/>
              </w:rPr>
            </w:pPr>
            <w:r>
              <w:rPr>
                <w:b/>
                <w:bCs/>
                <w:sz w:val="22"/>
                <w:szCs w:val="22"/>
              </w:rPr>
              <w:t>2015 2</w:t>
            </w:r>
            <w:r w:rsidRPr="00783619">
              <w:rPr>
                <w:b/>
                <w:bCs/>
                <w:sz w:val="22"/>
                <w:szCs w:val="22"/>
              </w:rPr>
              <w:t>. Çeyrek</w:t>
            </w:r>
          </w:p>
        </w:tc>
        <w:tc>
          <w:tcPr>
            <w:tcW w:w="959" w:type="dxa"/>
            <w:vAlign w:val="center"/>
          </w:tcPr>
          <w:p w:rsidR="00072321" w:rsidRPr="00783619" w:rsidRDefault="00072321" w:rsidP="00E24F81">
            <w:pPr>
              <w:ind w:right="42"/>
              <w:jc w:val="center"/>
              <w:rPr>
                <w:b/>
                <w:bCs/>
              </w:rPr>
            </w:pPr>
            <w:r>
              <w:rPr>
                <w:b/>
                <w:bCs/>
                <w:sz w:val="22"/>
                <w:szCs w:val="22"/>
              </w:rPr>
              <w:t>2015 3</w:t>
            </w:r>
            <w:r w:rsidRPr="00783619">
              <w:rPr>
                <w:b/>
                <w:bCs/>
                <w:sz w:val="22"/>
                <w:szCs w:val="22"/>
              </w:rPr>
              <w:t>. Çeyrek</w:t>
            </w:r>
          </w:p>
        </w:tc>
      </w:tr>
      <w:tr w:rsidR="00072321" w:rsidRPr="00783619" w:rsidTr="00BE7807">
        <w:trPr>
          <w:trHeight w:val="370"/>
        </w:trPr>
        <w:tc>
          <w:tcPr>
            <w:tcW w:w="3106" w:type="dxa"/>
            <w:vAlign w:val="center"/>
          </w:tcPr>
          <w:p w:rsidR="00072321" w:rsidRPr="00FC3C8B" w:rsidRDefault="00072321" w:rsidP="00E24F81">
            <w:pPr>
              <w:ind w:right="42"/>
              <w:jc w:val="center"/>
              <w:rPr>
                <w:b/>
                <w:bCs/>
              </w:rPr>
            </w:pPr>
            <w:r w:rsidRPr="00FC3C8B">
              <w:rPr>
                <w:b/>
                <w:bCs/>
                <w:sz w:val="22"/>
                <w:szCs w:val="22"/>
              </w:rPr>
              <w:t>İhracat*</w:t>
            </w:r>
          </w:p>
        </w:tc>
        <w:tc>
          <w:tcPr>
            <w:tcW w:w="1163" w:type="dxa"/>
            <w:vAlign w:val="center"/>
          </w:tcPr>
          <w:p w:rsidR="00072321" w:rsidRPr="00072321" w:rsidRDefault="00072321" w:rsidP="00194572">
            <w:pPr>
              <w:jc w:val="center"/>
            </w:pPr>
            <w:r w:rsidRPr="00072321">
              <w:t>6,0</w:t>
            </w:r>
          </w:p>
        </w:tc>
        <w:tc>
          <w:tcPr>
            <w:tcW w:w="1123" w:type="dxa"/>
            <w:vAlign w:val="center"/>
          </w:tcPr>
          <w:p w:rsidR="00072321" w:rsidRPr="00072321" w:rsidRDefault="00072321" w:rsidP="00194572">
            <w:pPr>
              <w:jc w:val="center"/>
            </w:pPr>
            <w:r w:rsidRPr="00072321">
              <w:t>-0,3</w:t>
            </w:r>
          </w:p>
        </w:tc>
        <w:tc>
          <w:tcPr>
            <w:tcW w:w="1140" w:type="dxa"/>
            <w:vAlign w:val="center"/>
          </w:tcPr>
          <w:p w:rsidR="00072321" w:rsidRPr="00072321" w:rsidRDefault="00072321" w:rsidP="00194572">
            <w:pPr>
              <w:jc w:val="center"/>
            </w:pPr>
            <w:r w:rsidRPr="00072321">
              <w:t>0,6</w:t>
            </w:r>
          </w:p>
        </w:tc>
        <w:tc>
          <w:tcPr>
            <w:tcW w:w="1072" w:type="dxa"/>
            <w:tcBorders>
              <w:right w:val="double" w:sz="4" w:space="0" w:color="auto"/>
            </w:tcBorders>
            <w:vAlign w:val="center"/>
          </w:tcPr>
          <w:p w:rsidR="00072321" w:rsidRPr="00072321" w:rsidRDefault="00072321" w:rsidP="00194572">
            <w:pPr>
              <w:jc w:val="center"/>
            </w:pPr>
            <w:r w:rsidRPr="00072321">
              <w:t>**</w:t>
            </w:r>
          </w:p>
        </w:tc>
        <w:tc>
          <w:tcPr>
            <w:tcW w:w="959" w:type="dxa"/>
            <w:tcBorders>
              <w:left w:val="double" w:sz="4" w:space="0" w:color="auto"/>
            </w:tcBorders>
            <w:vAlign w:val="center"/>
          </w:tcPr>
          <w:p w:rsidR="00072321" w:rsidRPr="00072321" w:rsidRDefault="00072321" w:rsidP="00194572">
            <w:pPr>
              <w:jc w:val="center"/>
            </w:pPr>
            <w:r w:rsidRPr="00072321">
              <w:t>-4,8</w:t>
            </w:r>
          </w:p>
        </w:tc>
        <w:tc>
          <w:tcPr>
            <w:tcW w:w="959" w:type="dxa"/>
            <w:vAlign w:val="center"/>
          </w:tcPr>
          <w:p w:rsidR="00072321" w:rsidRPr="00072321" w:rsidRDefault="00072321" w:rsidP="00194572">
            <w:pPr>
              <w:jc w:val="center"/>
            </w:pPr>
            <w:r w:rsidRPr="00072321">
              <w:t>-1,5</w:t>
            </w:r>
          </w:p>
        </w:tc>
      </w:tr>
      <w:tr w:rsidR="00072321" w:rsidRPr="00783619" w:rsidTr="00BE7807">
        <w:trPr>
          <w:trHeight w:val="370"/>
        </w:trPr>
        <w:tc>
          <w:tcPr>
            <w:tcW w:w="3106" w:type="dxa"/>
            <w:tcBorders>
              <w:bottom w:val="nil"/>
            </w:tcBorders>
            <w:vAlign w:val="center"/>
          </w:tcPr>
          <w:p w:rsidR="00072321" w:rsidRPr="00FC3C8B" w:rsidRDefault="00072321" w:rsidP="00E24F81">
            <w:pPr>
              <w:ind w:right="42"/>
              <w:jc w:val="center"/>
              <w:rPr>
                <w:b/>
                <w:bCs/>
              </w:rPr>
            </w:pPr>
            <w:r w:rsidRPr="00FC3C8B">
              <w:rPr>
                <w:b/>
                <w:bCs/>
                <w:sz w:val="22"/>
                <w:szCs w:val="22"/>
              </w:rPr>
              <w:t>İthalat*</w:t>
            </w:r>
          </w:p>
        </w:tc>
        <w:tc>
          <w:tcPr>
            <w:tcW w:w="1163" w:type="dxa"/>
            <w:tcBorders>
              <w:bottom w:val="nil"/>
            </w:tcBorders>
            <w:vAlign w:val="center"/>
          </w:tcPr>
          <w:p w:rsidR="00072321" w:rsidRPr="00665483" w:rsidRDefault="00072321" w:rsidP="00194572">
            <w:pPr>
              <w:jc w:val="center"/>
            </w:pPr>
            <w:r w:rsidRPr="00665483">
              <w:t>-0,7</w:t>
            </w:r>
          </w:p>
        </w:tc>
        <w:tc>
          <w:tcPr>
            <w:tcW w:w="1123" w:type="dxa"/>
            <w:tcBorders>
              <w:bottom w:val="nil"/>
            </w:tcBorders>
            <w:vAlign w:val="center"/>
          </w:tcPr>
          <w:p w:rsidR="00072321" w:rsidRPr="00665483" w:rsidRDefault="00072321" w:rsidP="00194572">
            <w:pPr>
              <w:jc w:val="center"/>
            </w:pPr>
            <w:r w:rsidRPr="00665483">
              <w:t>2,1</w:t>
            </w:r>
          </w:p>
        </w:tc>
        <w:tc>
          <w:tcPr>
            <w:tcW w:w="1140" w:type="dxa"/>
            <w:tcBorders>
              <w:bottom w:val="nil"/>
            </w:tcBorders>
            <w:vAlign w:val="center"/>
          </w:tcPr>
          <w:p w:rsidR="00072321" w:rsidRPr="00665483" w:rsidRDefault="00072321" w:rsidP="00194572">
            <w:pPr>
              <w:jc w:val="center"/>
            </w:pPr>
            <w:r w:rsidRPr="00665483">
              <w:t>-3,1</w:t>
            </w:r>
          </w:p>
        </w:tc>
        <w:tc>
          <w:tcPr>
            <w:tcW w:w="1072" w:type="dxa"/>
            <w:tcBorders>
              <w:bottom w:val="nil"/>
              <w:right w:val="double" w:sz="4" w:space="0" w:color="auto"/>
            </w:tcBorders>
            <w:vAlign w:val="center"/>
          </w:tcPr>
          <w:p w:rsidR="00072321" w:rsidRPr="00665483" w:rsidRDefault="00072321" w:rsidP="00194572">
            <w:pPr>
              <w:jc w:val="center"/>
            </w:pPr>
            <w:r w:rsidRPr="00665483">
              <w:t>**</w:t>
            </w:r>
          </w:p>
        </w:tc>
        <w:tc>
          <w:tcPr>
            <w:tcW w:w="959" w:type="dxa"/>
            <w:tcBorders>
              <w:left w:val="double" w:sz="4" w:space="0" w:color="auto"/>
              <w:bottom w:val="nil"/>
            </w:tcBorders>
            <w:vAlign w:val="center"/>
          </w:tcPr>
          <w:p w:rsidR="00072321" w:rsidRPr="00072321" w:rsidRDefault="00072321" w:rsidP="00194572">
            <w:pPr>
              <w:jc w:val="center"/>
            </w:pPr>
            <w:r w:rsidRPr="00072321">
              <w:t>-1,5</w:t>
            </w:r>
          </w:p>
        </w:tc>
        <w:tc>
          <w:tcPr>
            <w:tcW w:w="959" w:type="dxa"/>
            <w:tcBorders>
              <w:bottom w:val="nil"/>
            </w:tcBorders>
            <w:vAlign w:val="center"/>
          </w:tcPr>
          <w:p w:rsidR="00072321" w:rsidRPr="00072321" w:rsidRDefault="00072321" w:rsidP="00194572">
            <w:pPr>
              <w:jc w:val="center"/>
            </w:pPr>
            <w:r w:rsidRPr="00072321">
              <w:t>-0,6</w:t>
            </w:r>
          </w:p>
        </w:tc>
      </w:tr>
      <w:tr w:rsidR="00072321" w:rsidRPr="00783619" w:rsidTr="00BE7807">
        <w:trPr>
          <w:trHeight w:val="370"/>
        </w:trPr>
        <w:tc>
          <w:tcPr>
            <w:tcW w:w="3106" w:type="dxa"/>
            <w:tcBorders>
              <w:top w:val="nil"/>
              <w:bottom w:val="nil"/>
            </w:tcBorders>
            <w:vAlign w:val="center"/>
          </w:tcPr>
          <w:p w:rsidR="00072321" w:rsidRPr="003009F0" w:rsidRDefault="00072321" w:rsidP="00E24F81">
            <w:pPr>
              <w:ind w:right="42"/>
              <w:jc w:val="center"/>
            </w:pPr>
            <w:r w:rsidRPr="003009F0">
              <w:rPr>
                <w:sz w:val="22"/>
                <w:szCs w:val="22"/>
              </w:rPr>
              <w:t>Ara malı ithalatı*</w:t>
            </w:r>
          </w:p>
        </w:tc>
        <w:tc>
          <w:tcPr>
            <w:tcW w:w="1163" w:type="dxa"/>
            <w:tcBorders>
              <w:top w:val="nil"/>
              <w:bottom w:val="nil"/>
            </w:tcBorders>
            <w:vAlign w:val="center"/>
          </w:tcPr>
          <w:p w:rsidR="00072321" w:rsidRPr="00665483" w:rsidRDefault="00665483" w:rsidP="003009F0">
            <w:pPr>
              <w:jc w:val="center"/>
            </w:pPr>
            <w:r w:rsidRPr="00665483">
              <w:t>-2,1</w:t>
            </w:r>
          </w:p>
        </w:tc>
        <w:tc>
          <w:tcPr>
            <w:tcW w:w="1123" w:type="dxa"/>
            <w:tcBorders>
              <w:top w:val="nil"/>
              <w:bottom w:val="nil"/>
            </w:tcBorders>
            <w:vAlign w:val="center"/>
          </w:tcPr>
          <w:p w:rsidR="00072321" w:rsidRPr="00665483" w:rsidRDefault="00665483" w:rsidP="00194572">
            <w:pPr>
              <w:jc w:val="center"/>
            </w:pPr>
            <w:r w:rsidRPr="00665483">
              <w:t>1,5</w:t>
            </w:r>
          </w:p>
        </w:tc>
        <w:tc>
          <w:tcPr>
            <w:tcW w:w="1140" w:type="dxa"/>
            <w:tcBorders>
              <w:top w:val="nil"/>
              <w:bottom w:val="nil"/>
            </w:tcBorders>
            <w:vAlign w:val="center"/>
          </w:tcPr>
          <w:p w:rsidR="00072321" w:rsidRPr="00665483" w:rsidRDefault="00665483" w:rsidP="00194572">
            <w:pPr>
              <w:jc w:val="center"/>
            </w:pPr>
            <w:r w:rsidRPr="00665483">
              <w:t>-1,4</w:t>
            </w:r>
          </w:p>
        </w:tc>
        <w:tc>
          <w:tcPr>
            <w:tcW w:w="1072" w:type="dxa"/>
            <w:tcBorders>
              <w:top w:val="nil"/>
              <w:bottom w:val="nil"/>
              <w:right w:val="double" w:sz="4" w:space="0" w:color="auto"/>
            </w:tcBorders>
            <w:vAlign w:val="center"/>
          </w:tcPr>
          <w:p w:rsidR="00072321" w:rsidRPr="00665483" w:rsidRDefault="00072321" w:rsidP="00194572">
            <w:pPr>
              <w:jc w:val="center"/>
            </w:pPr>
            <w:r w:rsidRPr="00665483">
              <w:t>**</w:t>
            </w:r>
          </w:p>
        </w:tc>
        <w:tc>
          <w:tcPr>
            <w:tcW w:w="959" w:type="dxa"/>
            <w:tcBorders>
              <w:top w:val="nil"/>
              <w:left w:val="double" w:sz="4" w:space="0" w:color="auto"/>
              <w:bottom w:val="nil"/>
            </w:tcBorders>
            <w:vAlign w:val="center"/>
          </w:tcPr>
          <w:p w:rsidR="00072321" w:rsidRPr="00665483" w:rsidRDefault="00665483" w:rsidP="00194572">
            <w:pPr>
              <w:jc w:val="center"/>
            </w:pPr>
            <w:r w:rsidRPr="00665483">
              <w:t>-2,5</w:t>
            </w:r>
          </w:p>
        </w:tc>
        <w:tc>
          <w:tcPr>
            <w:tcW w:w="959" w:type="dxa"/>
            <w:tcBorders>
              <w:top w:val="nil"/>
              <w:bottom w:val="nil"/>
            </w:tcBorders>
            <w:vAlign w:val="center"/>
          </w:tcPr>
          <w:p w:rsidR="00072321" w:rsidRPr="00665483" w:rsidRDefault="00665483" w:rsidP="00194572">
            <w:pPr>
              <w:jc w:val="center"/>
            </w:pPr>
            <w:r w:rsidRPr="00665483">
              <w:t>-0,6</w:t>
            </w:r>
          </w:p>
        </w:tc>
      </w:tr>
      <w:tr w:rsidR="00072321" w:rsidRPr="00783619" w:rsidTr="00BE7807">
        <w:trPr>
          <w:trHeight w:val="370"/>
        </w:trPr>
        <w:tc>
          <w:tcPr>
            <w:tcW w:w="3106" w:type="dxa"/>
            <w:tcBorders>
              <w:top w:val="nil"/>
              <w:bottom w:val="nil"/>
            </w:tcBorders>
            <w:vAlign w:val="center"/>
          </w:tcPr>
          <w:p w:rsidR="00072321" w:rsidRPr="003009F0" w:rsidRDefault="00072321" w:rsidP="00E24F81">
            <w:pPr>
              <w:ind w:right="42"/>
              <w:jc w:val="center"/>
            </w:pPr>
            <w:r w:rsidRPr="003009F0">
              <w:rPr>
                <w:sz w:val="22"/>
                <w:szCs w:val="22"/>
              </w:rPr>
              <w:t>Tüketim malı ithalatı*</w:t>
            </w:r>
          </w:p>
        </w:tc>
        <w:tc>
          <w:tcPr>
            <w:tcW w:w="1163" w:type="dxa"/>
            <w:tcBorders>
              <w:top w:val="nil"/>
              <w:bottom w:val="nil"/>
            </w:tcBorders>
            <w:vAlign w:val="center"/>
          </w:tcPr>
          <w:p w:rsidR="00072321" w:rsidRPr="00665483" w:rsidRDefault="00665483" w:rsidP="00194572">
            <w:pPr>
              <w:jc w:val="center"/>
            </w:pPr>
            <w:r w:rsidRPr="00665483">
              <w:t>9,9</w:t>
            </w:r>
          </w:p>
        </w:tc>
        <w:tc>
          <w:tcPr>
            <w:tcW w:w="1123" w:type="dxa"/>
            <w:tcBorders>
              <w:top w:val="nil"/>
              <w:bottom w:val="nil"/>
            </w:tcBorders>
            <w:vAlign w:val="center"/>
          </w:tcPr>
          <w:p w:rsidR="00072321" w:rsidRPr="00665483" w:rsidRDefault="00665483" w:rsidP="00194572">
            <w:pPr>
              <w:jc w:val="center"/>
            </w:pPr>
            <w:r w:rsidRPr="00665483">
              <w:t>0,1</w:t>
            </w:r>
          </w:p>
        </w:tc>
        <w:tc>
          <w:tcPr>
            <w:tcW w:w="1140" w:type="dxa"/>
            <w:tcBorders>
              <w:top w:val="nil"/>
              <w:bottom w:val="nil"/>
            </w:tcBorders>
            <w:vAlign w:val="center"/>
          </w:tcPr>
          <w:p w:rsidR="00072321" w:rsidRPr="00665483" w:rsidRDefault="00665483" w:rsidP="00194572">
            <w:pPr>
              <w:jc w:val="center"/>
            </w:pPr>
            <w:r w:rsidRPr="00665483">
              <w:t>-3,4</w:t>
            </w:r>
          </w:p>
        </w:tc>
        <w:tc>
          <w:tcPr>
            <w:tcW w:w="1072" w:type="dxa"/>
            <w:tcBorders>
              <w:top w:val="nil"/>
              <w:bottom w:val="nil"/>
              <w:right w:val="double" w:sz="4" w:space="0" w:color="auto"/>
            </w:tcBorders>
            <w:vAlign w:val="center"/>
          </w:tcPr>
          <w:p w:rsidR="00072321" w:rsidRPr="00665483" w:rsidRDefault="00072321" w:rsidP="00194572">
            <w:pPr>
              <w:jc w:val="center"/>
            </w:pPr>
            <w:r w:rsidRPr="00665483">
              <w:t>**</w:t>
            </w:r>
          </w:p>
        </w:tc>
        <w:tc>
          <w:tcPr>
            <w:tcW w:w="959" w:type="dxa"/>
            <w:tcBorders>
              <w:top w:val="nil"/>
              <w:left w:val="double" w:sz="4" w:space="0" w:color="auto"/>
              <w:bottom w:val="nil"/>
            </w:tcBorders>
            <w:vAlign w:val="center"/>
          </w:tcPr>
          <w:p w:rsidR="00072321" w:rsidRPr="00665483" w:rsidRDefault="00665483" w:rsidP="00194572">
            <w:pPr>
              <w:jc w:val="center"/>
            </w:pPr>
            <w:r w:rsidRPr="00665483">
              <w:t>1,8</w:t>
            </w:r>
          </w:p>
        </w:tc>
        <w:tc>
          <w:tcPr>
            <w:tcW w:w="959" w:type="dxa"/>
            <w:tcBorders>
              <w:top w:val="nil"/>
              <w:bottom w:val="nil"/>
            </w:tcBorders>
            <w:vAlign w:val="center"/>
          </w:tcPr>
          <w:p w:rsidR="00072321" w:rsidRPr="00665483" w:rsidRDefault="00665483" w:rsidP="00194572">
            <w:pPr>
              <w:jc w:val="center"/>
            </w:pPr>
            <w:r w:rsidRPr="00665483">
              <w:t>2,5</w:t>
            </w:r>
          </w:p>
        </w:tc>
      </w:tr>
      <w:tr w:rsidR="00072321" w:rsidRPr="00783619" w:rsidTr="00BE7807">
        <w:trPr>
          <w:trHeight w:val="370"/>
        </w:trPr>
        <w:tc>
          <w:tcPr>
            <w:tcW w:w="3106" w:type="dxa"/>
            <w:tcBorders>
              <w:top w:val="nil"/>
            </w:tcBorders>
            <w:vAlign w:val="center"/>
          </w:tcPr>
          <w:p w:rsidR="00072321" w:rsidRPr="003009F0" w:rsidRDefault="00072321" w:rsidP="00E24F81">
            <w:pPr>
              <w:ind w:right="42"/>
              <w:jc w:val="center"/>
            </w:pPr>
            <w:r w:rsidRPr="003009F0">
              <w:rPr>
                <w:sz w:val="22"/>
                <w:szCs w:val="22"/>
              </w:rPr>
              <w:t>Yatırım malı ithalatı*</w:t>
            </w:r>
          </w:p>
        </w:tc>
        <w:tc>
          <w:tcPr>
            <w:tcW w:w="1163" w:type="dxa"/>
            <w:tcBorders>
              <w:top w:val="nil"/>
            </w:tcBorders>
            <w:vAlign w:val="center"/>
          </w:tcPr>
          <w:p w:rsidR="00072321" w:rsidRPr="00665483" w:rsidRDefault="00665483" w:rsidP="00194572">
            <w:pPr>
              <w:jc w:val="center"/>
            </w:pPr>
            <w:r w:rsidRPr="00665483">
              <w:t>-8,9</w:t>
            </w:r>
          </w:p>
        </w:tc>
        <w:tc>
          <w:tcPr>
            <w:tcW w:w="1123" w:type="dxa"/>
            <w:tcBorders>
              <w:top w:val="nil"/>
            </w:tcBorders>
            <w:vAlign w:val="center"/>
          </w:tcPr>
          <w:p w:rsidR="00072321" w:rsidRPr="00665483" w:rsidRDefault="00665483" w:rsidP="00194572">
            <w:pPr>
              <w:jc w:val="center"/>
            </w:pPr>
            <w:r w:rsidRPr="00665483">
              <w:t>7,7</w:t>
            </w:r>
          </w:p>
        </w:tc>
        <w:tc>
          <w:tcPr>
            <w:tcW w:w="1140" w:type="dxa"/>
            <w:tcBorders>
              <w:top w:val="nil"/>
            </w:tcBorders>
            <w:vAlign w:val="center"/>
          </w:tcPr>
          <w:p w:rsidR="00072321" w:rsidRPr="00665483" w:rsidRDefault="00665483" w:rsidP="00194572">
            <w:pPr>
              <w:jc w:val="center"/>
            </w:pPr>
            <w:r w:rsidRPr="00665483">
              <w:t>-16,2</w:t>
            </w:r>
          </w:p>
        </w:tc>
        <w:tc>
          <w:tcPr>
            <w:tcW w:w="1072" w:type="dxa"/>
            <w:tcBorders>
              <w:top w:val="nil"/>
              <w:right w:val="double" w:sz="4" w:space="0" w:color="auto"/>
            </w:tcBorders>
            <w:vAlign w:val="center"/>
          </w:tcPr>
          <w:p w:rsidR="00072321" w:rsidRPr="00665483" w:rsidRDefault="00072321" w:rsidP="00194572">
            <w:pPr>
              <w:jc w:val="center"/>
            </w:pPr>
            <w:r w:rsidRPr="00665483">
              <w:t>**</w:t>
            </w:r>
          </w:p>
        </w:tc>
        <w:tc>
          <w:tcPr>
            <w:tcW w:w="959" w:type="dxa"/>
            <w:tcBorders>
              <w:top w:val="nil"/>
              <w:left w:val="double" w:sz="4" w:space="0" w:color="auto"/>
            </w:tcBorders>
            <w:vAlign w:val="center"/>
          </w:tcPr>
          <w:p w:rsidR="00072321" w:rsidRPr="00665483" w:rsidRDefault="00665483" w:rsidP="00194572">
            <w:pPr>
              <w:jc w:val="center"/>
            </w:pPr>
            <w:r w:rsidRPr="00665483">
              <w:t>6,6</w:t>
            </w:r>
          </w:p>
        </w:tc>
        <w:tc>
          <w:tcPr>
            <w:tcW w:w="959" w:type="dxa"/>
            <w:tcBorders>
              <w:top w:val="nil"/>
            </w:tcBorders>
            <w:vAlign w:val="center"/>
          </w:tcPr>
          <w:p w:rsidR="00072321" w:rsidRPr="00665483" w:rsidRDefault="00665483" w:rsidP="00194572">
            <w:pPr>
              <w:jc w:val="center"/>
            </w:pPr>
            <w:r w:rsidRPr="00665483">
              <w:t>-9,3</w:t>
            </w:r>
          </w:p>
        </w:tc>
      </w:tr>
      <w:tr w:rsidR="00072321" w:rsidRPr="00783619" w:rsidTr="00BE7807">
        <w:trPr>
          <w:trHeight w:val="370"/>
        </w:trPr>
        <w:tc>
          <w:tcPr>
            <w:tcW w:w="3106" w:type="dxa"/>
            <w:vAlign w:val="center"/>
          </w:tcPr>
          <w:p w:rsidR="00072321" w:rsidRPr="00BF25F9" w:rsidRDefault="00072321" w:rsidP="00E24F81">
            <w:pPr>
              <w:ind w:right="42"/>
              <w:jc w:val="center"/>
              <w:rPr>
                <w:b/>
                <w:bCs/>
              </w:rPr>
            </w:pPr>
            <w:r w:rsidRPr="00BF25F9">
              <w:rPr>
                <w:b/>
                <w:bCs/>
                <w:sz w:val="22"/>
                <w:szCs w:val="22"/>
              </w:rPr>
              <w:t>Altın hariç ihracat***</w:t>
            </w:r>
          </w:p>
        </w:tc>
        <w:tc>
          <w:tcPr>
            <w:tcW w:w="1163" w:type="dxa"/>
            <w:vAlign w:val="center"/>
          </w:tcPr>
          <w:p w:rsidR="00072321" w:rsidRPr="00DA0A02" w:rsidRDefault="00DA0A02" w:rsidP="00194572">
            <w:pPr>
              <w:jc w:val="center"/>
            </w:pPr>
            <w:r w:rsidRPr="00DA0A02">
              <w:t>7,2</w:t>
            </w:r>
          </w:p>
        </w:tc>
        <w:tc>
          <w:tcPr>
            <w:tcW w:w="1123" w:type="dxa"/>
            <w:vAlign w:val="center"/>
          </w:tcPr>
          <w:p w:rsidR="00072321" w:rsidRPr="00DA0A02" w:rsidRDefault="00DA0A02" w:rsidP="00194572">
            <w:pPr>
              <w:jc w:val="center"/>
            </w:pPr>
            <w:r w:rsidRPr="00DA0A02">
              <w:t>-1,4</w:t>
            </w:r>
          </w:p>
        </w:tc>
        <w:tc>
          <w:tcPr>
            <w:tcW w:w="1140" w:type="dxa"/>
            <w:vAlign w:val="center"/>
          </w:tcPr>
          <w:p w:rsidR="00072321" w:rsidRPr="00DA0A02" w:rsidRDefault="00DA0A02" w:rsidP="00194572">
            <w:pPr>
              <w:jc w:val="center"/>
            </w:pPr>
            <w:r w:rsidRPr="00DA0A02">
              <w:t>0,8</w:t>
            </w:r>
          </w:p>
        </w:tc>
        <w:tc>
          <w:tcPr>
            <w:tcW w:w="1072" w:type="dxa"/>
            <w:tcBorders>
              <w:right w:val="double" w:sz="4" w:space="0" w:color="auto"/>
            </w:tcBorders>
            <w:vAlign w:val="center"/>
          </w:tcPr>
          <w:p w:rsidR="00072321" w:rsidRPr="00DA0A02" w:rsidRDefault="00072321" w:rsidP="00194572">
            <w:pPr>
              <w:jc w:val="center"/>
            </w:pPr>
            <w:r w:rsidRPr="00DA0A02">
              <w:t>**</w:t>
            </w:r>
          </w:p>
        </w:tc>
        <w:tc>
          <w:tcPr>
            <w:tcW w:w="959" w:type="dxa"/>
            <w:tcBorders>
              <w:left w:val="double" w:sz="4" w:space="0" w:color="auto"/>
            </w:tcBorders>
            <w:vAlign w:val="center"/>
          </w:tcPr>
          <w:p w:rsidR="00072321" w:rsidRPr="00DA0A02" w:rsidRDefault="00DA0A02" w:rsidP="00194572">
            <w:pPr>
              <w:jc w:val="center"/>
            </w:pPr>
            <w:r w:rsidRPr="00DA0A02">
              <w:t>0,8</w:t>
            </w:r>
          </w:p>
        </w:tc>
        <w:tc>
          <w:tcPr>
            <w:tcW w:w="959" w:type="dxa"/>
            <w:vAlign w:val="center"/>
          </w:tcPr>
          <w:p w:rsidR="00072321" w:rsidRPr="00DA0A02" w:rsidRDefault="00DA0A02" w:rsidP="00194572">
            <w:pPr>
              <w:jc w:val="center"/>
            </w:pPr>
            <w:r w:rsidRPr="00DA0A02">
              <w:t>1,6</w:t>
            </w:r>
          </w:p>
        </w:tc>
      </w:tr>
      <w:tr w:rsidR="00072321" w:rsidRPr="00783619" w:rsidTr="00BE7807">
        <w:trPr>
          <w:trHeight w:val="370"/>
        </w:trPr>
        <w:tc>
          <w:tcPr>
            <w:tcW w:w="3106" w:type="dxa"/>
            <w:vAlign w:val="center"/>
          </w:tcPr>
          <w:p w:rsidR="00072321" w:rsidRPr="00BF25F9" w:rsidRDefault="00072321" w:rsidP="00E24F81">
            <w:pPr>
              <w:ind w:right="42"/>
              <w:jc w:val="center"/>
              <w:rPr>
                <w:b/>
                <w:bCs/>
              </w:rPr>
            </w:pPr>
            <w:r w:rsidRPr="00BF25F9">
              <w:rPr>
                <w:b/>
                <w:bCs/>
                <w:sz w:val="22"/>
                <w:szCs w:val="22"/>
              </w:rPr>
              <w:t>Altın hariç ithalat***</w:t>
            </w:r>
          </w:p>
        </w:tc>
        <w:tc>
          <w:tcPr>
            <w:tcW w:w="1163" w:type="dxa"/>
            <w:vAlign w:val="center"/>
          </w:tcPr>
          <w:p w:rsidR="00072321" w:rsidRPr="00DA0A02" w:rsidRDefault="00DA0A02" w:rsidP="00194572">
            <w:pPr>
              <w:jc w:val="center"/>
            </w:pPr>
            <w:r w:rsidRPr="00DA0A02">
              <w:t>4,0</w:t>
            </w:r>
          </w:p>
        </w:tc>
        <w:tc>
          <w:tcPr>
            <w:tcW w:w="1123" w:type="dxa"/>
            <w:vAlign w:val="center"/>
          </w:tcPr>
          <w:p w:rsidR="00072321" w:rsidRPr="00DA0A02" w:rsidRDefault="00DA0A02" w:rsidP="00194572">
            <w:pPr>
              <w:jc w:val="center"/>
            </w:pPr>
            <w:r w:rsidRPr="00DA0A02">
              <w:t>-0,6</w:t>
            </w:r>
          </w:p>
        </w:tc>
        <w:tc>
          <w:tcPr>
            <w:tcW w:w="1140" w:type="dxa"/>
            <w:vAlign w:val="center"/>
          </w:tcPr>
          <w:p w:rsidR="00072321" w:rsidRPr="00DA0A02" w:rsidRDefault="00DA0A02" w:rsidP="00194572">
            <w:pPr>
              <w:jc w:val="center"/>
            </w:pPr>
            <w:r w:rsidRPr="00DA0A02">
              <w:t>-6,7</w:t>
            </w:r>
          </w:p>
        </w:tc>
        <w:tc>
          <w:tcPr>
            <w:tcW w:w="1072" w:type="dxa"/>
            <w:tcBorders>
              <w:right w:val="double" w:sz="4" w:space="0" w:color="auto"/>
            </w:tcBorders>
            <w:vAlign w:val="center"/>
          </w:tcPr>
          <w:p w:rsidR="00072321" w:rsidRPr="00DA0A02" w:rsidRDefault="00072321" w:rsidP="00194572">
            <w:pPr>
              <w:jc w:val="center"/>
            </w:pPr>
            <w:r w:rsidRPr="00DA0A02">
              <w:t>**</w:t>
            </w:r>
          </w:p>
        </w:tc>
        <w:tc>
          <w:tcPr>
            <w:tcW w:w="959" w:type="dxa"/>
            <w:tcBorders>
              <w:left w:val="double" w:sz="4" w:space="0" w:color="auto"/>
            </w:tcBorders>
            <w:vAlign w:val="center"/>
          </w:tcPr>
          <w:p w:rsidR="00072321" w:rsidRPr="00DA0A02" w:rsidRDefault="00DA0A02" w:rsidP="00194572">
            <w:pPr>
              <w:jc w:val="center"/>
            </w:pPr>
            <w:r w:rsidRPr="00DA0A02">
              <w:t>0,8</w:t>
            </w:r>
          </w:p>
        </w:tc>
        <w:tc>
          <w:tcPr>
            <w:tcW w:w="959" w:type="dxa"/>
            <w:vAlign w:val="center"/>
          </w:tcPr>
          <w:p w:rsidR="00072321" w:rsidRPr="00DA0A02" w:rsidRDefault="00DA0A02" w:rsidP="00194572">
            <w:pPr>
              <w:jc w:val="center"/>
            </w:pPr>
            <w:r w:rsidRPr="00DA0A02">
              <w:t>-3,4</w:t>
            </w:r>
          </w:p>
        </w:tc>
      </w:tr>
      <w:tr w:rsidR="00072321" w:rsidRPr="00783619" w:rsidTr="00BE7807">
        <w:trPr>
          <w:trHeight w:val="370"/>
        </w:trPr>
        <w:tc>
          <w:tcPr>
            <w:tcW w:w="3106" w:type="dxa"/>
            <w:tcBorders>
              <w:bottom w:val="nil"/>
            </w:tcBorders>
            <w:vAlign w:val="center"/>
          </w:tcPr>
          <w:p w:rsidR="00072321" w:rsidRPr="00897398" w:rsidRDefault="00072321" w:rsidP="00E24F81">
            <w:pPr>
              <w:ind w:right="42"/>
              <w:jc w:val="center"/>
              <w:rPr>
                <w:b/>
                <w:bCs/>
              </w:rPr>
            </w:pPr>
            <w:r w:rsidRPr="00897398">
              <w:rPr>
                <w:b/>
                <w:bCs/>
                <w:sz w:val="22"/>
                <w:szCs w:val="22"/>
              </w:rPr>
              <w:t>Sanayi üretim endeksi (SÜE)*</w:t>
            </w:r>
          </w:p>
        </w:tc>
        <w:tc>
          <w:tcPr>
            <w:tcW w:w="1163" w:type="dxa"/>
            <w:tcBorders>
              <w:bottom w:val="nil"/>
            </w:tcBorders>
            <w:vAlign w:val="center"/>
          </w:tcPr>
          <w:p w:rsidR="00072321" w:rsidRPr="00C136E6" w:rsidRDefault="00C136E6" w:rsidP="00194572">
            <w:pPr>
              <w:jc w:val="center"/>
            </w:pPr>
            <w:r w:rsidRPr="00C136E6">
              <w:t>2,1</w:t>
            </w:r>
          </w:p>
        </w:tc>
        <w:tc>
          <w:tcPr>
            <w:tcW w:w="1123" w:type="dxa"/>
            <w:tcBorders>
              <w:bottom w:val="nil"/>
            </w:tcBorders>
            <w:vAlign w:val="center"/>
          </w:tcPr>
          <w:p w:rsidR="00072321" w:rsidRPr="00C136E6" w:rsidRDefault="00C136E6" w:rsidP="00194572">
            <w:pPr>
              <w:jc w:val="center"/>
            </w:pPr>
            <w:r w:rsidRPr="00C136E6">
              <w:t>-1,5</w:t>
            </w:r>
          </w:p>
        </w:tc>
        <w:tc>
          <w:tcPr>
            <w:tcW w:w="1140" w:type="dxa"/>
            <w:tcBorders>
              <w:bottom w:val="nil"/>
            </w:tcBorders>
            <w:vAlign w:val="center"/>
          </w:tcPr>
          <w:p w:rsidR="00072321" w:rsidRPr="00C136E6" w:rsidRDefault="00C136E6" w:rsidP="00194572">
            <w:pPr>
              <w:jc w:val="center"/>
            </w:pPr>
            <w:r w:rsidRPr="00C136E6">
              <w:t>2,9</w:t>
            </w:r>
          </w:p>
        </w:tc>
        <w:tc>
          <w:tcPr>
            <w:tcW w:w="1072" w:type="dxa"/>
            <w:tcBorders>
              <w:bottom w:val="nil"/>
              <w:right w:val="double" w:sz="4" w:space="0" w:color="auto"/>
            </w:tcBorders>
            <w:vAlign w:val="center"/>
          </w:tcPr>
          <w:p w:rsidR="00072321" w:rsidRPr="00C136E6" w:rsidRDefault="00072321" w:rsidP="00194572">
            <w:pPr>
              <w:jc w:val="center"/>
            </w:pPr>
            <w:r w:rsidRPr="00C136E6">
              <w:t>**</w:t>
            </w:r>
          </w:p>
        </w:tc>
        <w:tc>
          <w:tcPr>
            <w:tcW w:w="959" w:type="dxa"/>
            <w:tcBorders>
              <w:left w:val="double" w:sz="4" w:space="0" w:color="auto"/>
              <w:bottom w:val="nil"/>
            </w:tcBorders>
            <w:vAlign w:val="center"/>
          </w:tcPr>
          <w:p w:rsidR="00072321" w:rsidRPr="00C136E6" w:rsidRDefault="00C136E6" w:rsidP="00194572">
            <w:pPr>
              <w:jc w:val="center"/>
            </w:pPr>
            <w:r w:rsidRPr="00C136E6">
              <w:t>1,5</w:t>
            </w:r>
          </w:p>
        </w:tc>
        <w:tc>
          <w:tcPr>
            <w:tcW w:w="959" w:type="dxa"/>
            <w:tcBorders>
              <w:bottom w:val="nil"/>
            </w:tcBorders>
            <w:vAlign w:val="center"/>
          </w:tcPr>
          <w:p w:rsidR="00072321" w:rsidRPr="00C136E6" w:rsidRDefault="00C136E6" w:rsidP="00194572">
            <w:pPr>
              <w:jc w:val="center"/>
            </w:pPr>
            <w:r w:rsidRPr="00C136E6">
              <w:t>0,7</w:t>
            </w:r>
          </w:p>
        </w:tc>
      </w:tr>
      <w:tr w:rsidR="00072321" w:rsidRPr="00783619" w:rsidTr="00BE7807">
        <w:trPr>
          <w:trHeight w:val="370"/>
        </w:trPr>
        <w:tc>
          <w:tcPr>
            <w:tcW w:w="3106" w:type="dxa"/>
            <w:tcBorders>
              <w:top w:val="nil"/>
              <w:bottom w:val="nil"/>
            </w:tcBorders>
            <w:vAlign w:val="center"/>
          </w:tcPr>
          <w:p w:rsidR="00072321" w:rsidRPr="00897398" w:rsidRDefault="00072321" w:rsidP="00E24F81">
            <w:pPr>
              <w:ind w:right="42"/>
              <w:jc w:val="center"/>
            </w:pPr>
            <w:r w:rsidRPr="00897398">
              <w:rPr>
                <w:sz w:val="22"/>
                <w:szCs w:val="22"/>
              </w:rPr>
              <w:t>Dayanıksız tüketim malı imalatı*</w:t>
            </w:r>
          </w:p>
        </w:tc>
        <w:tc>
          <w:tcPr>
            <w:tcW w:w="1163" w:type="dxa"/>
            <w:tcBorders>
              <w:top w:val="nil"/>
              <w:bottom w:val="nil"/>
            </w:tcBorders>
            <w:vAlign w:val="center"/>
          </w:tcPr>
          <w:p w:rsidR="00072321" w:rsidRPr="00C136E6" w:rsidRDefault="00C136E6" w:rsidP="00194572">
            <w:pPr>
              <w:jc w:val="center"/>
            </w:pPr>
            <w:r w:rsidRPr="00C136E6">
              <w:t>0,8</w:t>
            </w:r>
          </w:p>
        </w:tc>
        <w:tc>
          <w:tcPr>
            <w:tcW w:w="1123" w:type="dxa"/>
            <w:tcBorders>
              <w:top w:val="nil"/>
              <w:bottom w:val="nil"/>
            </w:tcBorders>
            <w:vAlign w:val="center"/>
          </w:tcPr>
          <w:p w:rsidR="00072321" w:rsidRPr="00C136E6" w:rsidRDefault="00C136E6" w:rsidP="00194572">
            <w:pPr>
              <w:jc w:val="center"/>
            </w:pPr>
            <w:r w:rsidRPr="00C136E6">
              <w:t>-2,9</w:t>
            </w:r>
          </w:p>
        </w:tc>
        <w:tc>
          <w:tcPr>
            <w:tcW w:w="1140" w:type="dxa"/>
            <w:tcBorders>
              <w:top w:val="nil"/>
              <w:bottom w:val="nil"/>
            </w:tcBorders>
            <w:vAlign w:val="center"/>
          </w:tcPr>
          <w:p w:rsidR="00072321" w:rsidRPr="00C136E6" w:rsidRDefault="00C136E6" w:rsidP="00194572">
            <w:pPr>
              <w:jc w:val="center"/>
            </w:pPr>
            <w:r w:rsidRPr="00C136E6">
              <w:t>2,3</w:t>
            </w:r>
          </w:p>
        </w:tc>
        <w:tc>
          <w:tcPr>
            <w:tcW w:w="1072" w:type="dxa"/>
            <w:tcBorders>
              <w:top w:val="nil"/>
              <w:bottom w:val="nil"/>
              <w:right w:val="double" w:sz="4" w:space="0" w:color="auto"/>
            </w:tcBorders>
            <w:vAlign w:val="center"/>
          </w:tcPr>
          <w:p w:rsidR="00072321" w:rsidRPr="00C136E6" w:rsidRDefault="00072321" w:rsidP="00194572">
            <w:pPr>
              <w:jc w:val="center"/>
            </w:pPr>
            <w:r w:rsidRPr="00C136E6">
              <w:t>**</w:t>
            </w:r>
          </w:p>
        </w:tc>
        <w:tc>
          <w:tcPr>
            <w:tcW w:w="959" w:type="dxa"/>
            <w:tcBorders>
              <w:top w:val="nil"/>
              <w:left w:val="double" w:sz="4" w:space="0" w:color="auto"/>
              <w:bottom w:val="nil"/>
            </w:tcBorders>
            <w:vAlign w:val="center"/>
          </w:tcPr>
          <w:p w:rsidR="00072321" w:rsidRPr="00C136E6" w:rsidRDefault="00C136E6" w:rsidP="00194572">
            <w:pPr>
              <w:jc w:val="center"/>
            </w:pPr>
            <w:r w:rsidRPr="00C136E6">
              <w:t>2,3</w:t>
            </w:r>
          </w:p>
        </w:tc>
        <w:tc>
          <w:tcPr>
            <w:tcW w:w="959" w:type="dxa"/>
            <w:tcBorders>
              <w:top w:val="nil"/>
              <w:bottom w:val="nil"/>
            </w:tcBorders>
            <w:vAlign w:val="center"/>
          </w:tcPr>
          <w:p w:rsidR="00072321" w:rsidRPr="00C136E6" w:rsidRDefault="00C136E6" w:rsidP="00194572">
            <w:pPr>
              <w:jc w:val="center"/>
            </w:pPr>
            <w:r w:rsidRPr="00C136E6">
              <w:t>-1,6</w:t>
            </w:r>
          </w:p>
        </w:tc>
      </w:tr>
      <w:tr w:rsidR="00072321" w:rsidRPr="00783619" w:rsidTr="00BE7807">
        <w:trPr>
          <w:trHeight w:val="370"/>
        </w:trPr>
        <w:tc>
          <w:tcPr>
            <w:tcW w:w="3106" w:type="dxa"/>
            <w:tcBorders>
              <w:top w:val="nil"/>
              <w:bottom w:val="nil"/>
            </w:tcBorders>
            <w:vAlign w:val="center"/>
          </w:tcPr>
          <w:p w:rsidR="00072321" w:rsidRPr="00897398" w:rsidRDefault="00072321" w:rsidP="00E24F81">
            <w:pPr>
              <w:ind w:right="42"/>
              <w:jc w:val="center"/>
              <w:rPr>
                <w:b/>
                <w:bCs/>
              </w:rPr>
            </w:pPr>
            <w:r w:rsidRPr="00897398">
              <w:rPr>
                <w:sz w:val="22"/>
                <w:szCs w:val="22"/>
              </w:rPr>
              <w:t>Dayanıklı tüketim malı imalatı*</w:t>
            </w:r>
          </w:p>
        </w:tc>
        <w:tc>
          <w:tcPr>
            <w:tcW w:w="1163" w:type="dxa"/>
            <w:tcBorders>
              <w:top w:val="nil"/>
              <w:bottom w:val="nil"/>
            </w:tcBorders>
            <w:vAlign w:val="center"/>
          </w:tcPr>
          <w:p w:rsidR="00072321" w:rsidRPr="00C136E6" w:rsidRDefault="00C136E6" w:rsidP="00194572">
            <w:pPr>
              <w:jc w:val="center"/>
            </w:pPr>
            <w:r w:rsidRPr="00C136E6">
              <w:t>12,3</w:t>
            </w:r>
          </w:p>
        </w:tc>
        <w:tc>
          <w:tcPr>
            <w:tcW w:w="1123" w:type="dxa"/>
            <w:tcBorders>
              <w:top w:val="nil"/>
              <w:bottom w:val="nil"/>
            </w:tcBorders>
            <w:vAlign w:val="center"/>
          </w:tcPr>
          <w:p w:rsidR="00072321" w:rsidRPr="00C136E6" w:rsidRDefault="00C136E6" w:rsidP="00194572">
            <w:pPr>
              <w:jc w:val="center"/>
            </w:pPr>
            <w:r w:rsidRPr="00C136E6">
              <w:t>-11,5</w:t>
            </w:r>
          </w:p>
        </w:tc>
        <w:tc>
          <w:tcPr>
            <w:tcW w:w="1140" w:type="dxa"/>
            <w:tcBorders>
              <w:top w:val="nil"/>
              <w:bottom w:val="nil"/>
            </w:tcBorders>
            <w:vAlign w:val="center"/>
          </w:tcPr>
          <w:p w:rsidR="00072321" w:rsidRPr="00C136E6" w:rsidRDefault="00C136E6" w:rsidP="00194572">
            <w:pPr>
              <w:jc w:val="center"/>
            </w:pPr>
            <w:r w:rsidRPr="00C136E6">
              <w:t>11,6</w:t>
            </w:r>
          </w:p>
        </w:tc>
        <w:tc>
          <w:tcPr>
            <w:tcW w:w="1072" w:type="dxa"/>
            <w:tcBorders>
              <w:top w:val="nil"/>
              <w:bottom w:val="nil"/>
              <w:right w:val="double" w:sz="4" w:space="0" w:color="auto"/>
            </w:tcBorders>
            <w:vAlign w:val="center"/>
          </w:tcPr>
          <w:p w:rsidR="00072321" w:rsidRPr="00C136E6" w:rsidRDefault="00072321" w:rsidP="00194572">
            <w:pPr>
              <w:jc w:val="center"/>
            </w:pPr>
            <w:r w:rsidRPr="00C136E6">
              <w:t>**</w:t>
            </w:r>
          </w:p>
        </w:tc>
        <w:tc>
          <w:tcPr>
            <w:tcW w:w="959" w:type="dxa"/>
            <w:tcBorders>
              <w:top w:val="nil"/>
              <w:left w:val="double" w:sz="4" w:space="0" w:color="auto"/>
              <w:bottom w:val="nil"/>
            </w:tcBorders>
            <w:vAlign w:val="center"/>
          </w:tcPr>
          <w:p w:rsidR="00072321" w:rsidRPr="00C136E6" w:rsidRDefault="00C136E6" w:rsidP="00194572">
            <w:pPr>
              <w:jc w:val="center"/>
            </w:pPr>
            <w:r w:rsidRPr="00C136E6">
              <w:t>6,3</w:t>
            </w:r>
          </w:p>
        </w:tc>
        <w:tc>
          <w:tcPr>
            <w:tcW w:w="959" w:type="dxa"/>
            <w:tcBorders>
              <w:top w:val="nil"/>
              <w:bottom w:val="nil"/>
            </w:tcBorders>
            <w:vAlign w:val="center"/>
          </w:tcPr>
          <w:p w:rsidR="00072321" w:rsidRPr="00C136E6" w:rsidRDefault="00C136E6" w:rsidP="00194572">
            <w:pPr>
              <w:jc w:val="center"/>
            </w:pPr>
            <w:r w:rsidRPr="00C136E6">
              <w:t>-0,6</w:t>
            </w:r>
          </w:p>
        </w:tc>
      </w:tr>
      <w:tr w:rsidR="00072321" w:rsidRPr="00783619" w:rsidTr="00BE7807">
        <w:trPr>
          <w:trHeight w:val="370"/>
        </w:trPr>
        <w:tc>
          <w:tcPr>
            <w:tcW w:w="3106" w:type="dxa"/>
            <w:tcBorders>
              <w:top w:val="nil"/>
              <w:bottom w:val="nil"/>
            </w:tcBorders>
            <w:vAlign w:val="center"/>
          </w:tcPr>
          <w:p w:rsidR="00072321" w:rsidRPr="00897398" w:rsidRDefault="00072321" w:rsidP="00E24F81">
            <w:pPr>
              <w:ind w:right="42"/>
              <w:jc w:val="center"/>
            </w:pPr>
            <w:r w:rsidRPr="00897398">
              <w:rPr>
                <w:sz w:val="22"/>
                <w:szCs w:val="22"/>
              </w:rPr>
              <w:t>Ara malı imalatı*</w:t>
            </w:r>
          </w:p>
        </w:tc>
        <w:tc>
          <w:tcPr>
            <w:tcW w:w="1163" w:type="dxa"/>
            <w:tcBorders>
              <w:top w:val="nil"/>
              <w:bottom w:val="nil"/>
            </w:tcBorders>
            <w:vAlign w:val="center"/>
          </w:tcPr>
          <w:p w:rsidR="00072321" w:rsidRPr="00C136E6" w:rsidRDefault="00C136E6" w:rsidP="00194572">
            <w:pPr>
              <w:jc w:val="center"/>
            </w:pPr>
            <w:r w:rsidRPr="00C136E6">
              <w:t>2,3</w:t>
            </w:r>
          </w:p>
        </w:tc>
        <w:tc>
          <w:tcPr>
            <w:tcW w:w="1123" w:type="dxa"/>
            <w:tcBorders>
              <w:top w:val="nil"/>
              <w:bottom w:val="nil"/>
            </w:tcBorders>
            <w:vAlign w:val="center"/>
          </w:tcPr>
          <w:p w:rsidR="00072321" w:rsidRPr="00C136E6" w:rsidRDefault="00C136E6" w:rsidP="00194572">
            <w:pPr>
              <w:jc w:val="center"/>
            </w:pPr>
            <w:r w:rsidRPr="00C136E6">
              <w:t>-2,0</w:t>
            </w:r>
          </w:p>
        </w:tc>
        <w:tc>
          <w:tcPr>
            <w:tcW w:w="1140" w:type="dxa"/>
            <w:tcBorders>
              <w:top w:val="nil"/>
              <w:bottom w:val="nil"/>
            </w:tcBorders>
            <w:vAlign w:val="center"/>
          </w:tcPr>
          <w:p w:rsidR="00072321" w:rsidRPr="00C136E6" w:rsidRDefault="00C136E6" w:rsidP="00194572">
            <w:pPr>
              <w:jc w:val="center"/>
            </w:pPr>
            <w:r w:rsidRPr="00C136E6">
              <w:t>1,7</w:t>
            </w:r>
          </w:p>
        </w:tc>
        <w:tc>
          <w:tcPr>
            <w:tcW w:w="1072" w:type="dxa"/>
            <w:tcBorders>
              <w:top w:val="nil"/>
              <w:bottom w:val="nil"/>
              <w:right w:val="double" w:sz="4" w:space="0" w:color="auto"/>
            </w:tcBorders>
            <w:vAlign w:val="center"/>
          </w:tcPr>
          <w:p w:rsidR="00072321" w:rsidRPr="00C136E6" w:rsidRDefault="00072321" w:rsidP="00194572">
            <w:pPr>
              <w:jc w:val="center"/>
            </w:pPr>
            <w:r w:rsidRPr="00C136E6">
              <w:t>**</w:t>
            </w:r>
          </w:p>
        </w:tc>
        <w:tc>
          <w:tcPr>
            <w:tcW w:w="959" w:type="dxa"/>
            <w:tcBorders>
              <w:top w:val="nil"/>
              <w:left w:val="double" w:sz="4" w:space="0" w:color="auto"/>
              <w:bottom w:val="nil"/>
            </w:tcBorders>
            <w:vAlign w:val="center"/>
          </w:tcPr>
          <w:p w:rsidR="00072321" w:rsidRPr="00C136E6" w:rsidRDefault="00C136E6" w:rsidP="00194572">
            <w:pPr>
              <w:jc w:val="center"/>
            </w:pPr>
            <w:r w:rsidRPr="00C136E6">
              <w:t>1,9</w:t>
            </w:r>
          </w:p>
        </w:tc>
        <w:tc>
          <w:tcPr>
            <w:tcW w:w="959" w:type="dxa"/>
            <w:tcBorders>
              <w:top w:val="nil"/>
              <w:bottom w:val="nil"/>
            </w:tcBorders>
            <w:vAlign w:val="center"/>
          </w:tcPr>
          <w:p w:rsidR="00072321" w:rsidRPr="00C136E6" w:rsidRDefault="00C136E6" w:rsidP="00194572">
            <w:pPr>
              <w:jc w:val="center"/>
            </w:pPr>
            <w:r w:rsidRPr="00C136E6">
              <w:t>0,1</w:t>
            </w:r>
          </w:p>
        </w:tc>
      </w:tr>
      <w:tr w:rsidR="00072321" w:rsidRPr="00783619" w:rsidTr="00BE7807">
        <w:trPr>
          <w:trHeight w:val="370"/>
        </w:trPr>
        <w:tc>
          <w:tcPr>
            <w:tcW w:w="3106" w:type="dxa"/>
            <w:tcBorders>
              <w:top w:val="nil"/>
            </w:tcBorders>
            <w:vAlign w:val="center"/>
          </w:tcPr>
          <w:p w:rsidR="00072321" w:rsidRPr="00C136E6" w:rsidRDefault="00072321" w:rsidP="00E24F81">
            <w:pPr>
              <w:ind w:right="42"/>
              <w:jc w:val="center"/>
            </w:pPr>
            <w:r w:rsidRPr="00C136E6">
              <w:rPr>
                <w:sz w:val="22"/>
                <w:szCs w:val="22"/>
              </w:rPr>
              <w:t>Yatırım malı imalatı*</w:t>
            </w:r>
          </w:p>
        </w:tc>
        <w:tc>
          <w:tcPr>
            <w:tcW w:w="1163" w:type="dxa"/>
            <w:tcBorders>
              <w:top w:val="nil"/>
            </w:tcBorders>
            <w:vAlign w:val="center"/>
          </w:tcPr>
          <w:p w:rsidR="00072321" w:rsidRPr="00C136E6" w:rsidRDefault="00C136E6" w:rsidP="00194572">
            <w:pPr>
              <w:jc w:val="center"/>
            </w:pPr>
            <w:r w:rsidRPr="00C136E6">
              <w:t>4,2</w:t>
            </w:r>
          </w:p>
        </w:tc>
        <w:tc>
          <w:tcPr>
            <w:tcW w:w="1123" w:type="dxa"/>
            <w:tcBorders>
              <w:top w:val="nil"/>
            </w:tcBorders>
            <w:vAlign w:val="center"/>
          </w:tcPr>
          <w:p w:rsidR="00072321" w:rsidRPr="00C136E6" w:rsidRDefault="00C136E6" w:rsidP="00194572">
            <w:pPr>
              <w:jc w:val="center"/>
            </w:pPr>
            <w:r w:rsidRPr="00C136E6">
              <w:t>1,7</w:t>
            </w:r>
          </w:p>
        </w:tc>
        <w:tc>
          <w:tcPr>
            <w:tcW w:w="1140" w:type="dxa"/>
            <w:tcBorders>
              <w:top w:val="nil"/>
            </w:tcBorders>
            <w:vAlign w:val="center"/>
          </w:tcPr>
          <w:p w:rsidR="00072321" w:rsidRPr="00C136E6" w:rsidRDefault="00C136E6" w:rsidP="00194572">
            <w:pPr>
              <w:jc w:val="center"/>
            </w:pPr>
            <w:r w:rsidRPr="00C136E6">
              <w:t>5,3</w:t>
            </w:r>
          </w:p>
        </w:tc>
        <w:tc>
          <w:tcPr>
            <w:tcW w:w="1072" w:type="dxa"/>
            <w:tcBorders>
              <w:top w:val="nil"/>
              <w:right w:val="double" w:sz="4" w:space="0" w:color="auto"/>
            </w:tcBorders>
            <w:vAlign w:val="center"/>
          </w:tcPr>
          <w:p w:rsidR="00072321" w:rsidRPr="00C136E6" w:rsidRDefault="00072321" w:rsidP="00194572">
            <w:pPr>
              <w:jc w:val="center"/>
            </w:pPr>
            <w:r w:rsidRPr="00C136E6">
              <w:t>**</w:t>
            </w:r>
          </w:p>
        </w:tc>
        <w:tc>
          <w:tcPr>
            <w:tcW w:w="959" w:type="dxa"/>
            <w:tcBorders>
              <w:top w:val="nil"/>
              <w:left w:val="double" w:sz="4" w:space="0" w:color="auto"/>
            </w:tcBorders>
            <w:vAlign w:val="center"/>
          </w:tcPr>
          <w:p w:rsidR="00072321" w:rsidRPr="00C136E6" w:rsidRDefault="00C136E6" w:rsidP="00194572">
            <w:pPr>
              <w:jc w:val="center"/>
            </w:pPr>
            <w:r w:rsidRPr="00C136E6">
              <w:t>-1,9</w:t>
            </w:r>
          </w:p>
        </w:tc>
        <w:tc>
          <w:tcPr>
            <w:tcW w:w="959" w:type="dxa"/>
            <w:tcBorders>
              <w:top w:val="nil"/>
            </w:tcBorders>
            <w:vAlign w:val="center"/>
          </w:tcPr>
          <w:p w:rsidR="00072321" w:rsidRPr="00C136E6" w:rsidRDefault="00C136E6" w:rsidP="00194572">
            <w:pPr>
              <w:jc w:val="center"/>
            </w:pPr>
            <w:r w:rsidRPr="00C136E6">
              <w:t>4,5</w:t>
            </w:r>
          </w:p>
        </w:tc>
      </w:tr>
      <w:tr w:rsidR="00BE7807" w:rsidRPr="00783619" w:rsidTr="00BE7807">
        <w:trPr>
          <w:trHeight w:val="370"/>
        </w:trPr>
        <w:tc>
          <w:tcPr>
            <w:tcW w:w="3106" w:type="dxa"/>
            <w:tcBorders>
              <w:bottom w:val="nil"/>
            </w:tcBorders>
            <w:vAlign w:val="center"/>
          </w:tcPr>
          <w:p w:rsidR="00BE7807" w:rsidRPr="00897398" w:rsidRDefault="00BE7807" w:rsidP="00E24F81">
            <w:pPr>
              <w:ind w:right="42"/>
              <w:jc w:val="center"/>
              <w:rPr>
                <w:b/>
                <w:bCs/>
              </w:rPr>
            </w:pPr>
            <w:r w:rsidRPr="00897398">
              <w:rPr>
                <w:b/>
                <w:bCs/>
                <w:sz w:val="22"/>
                <w:szCs w:val="22"/>
              </w:rPr>
              <w:t>Kapasite kullanım oranı (KKO)*</w:t>
            </w:r>
            <w:r w:rsidRPr="00897398">
              <w:rPr>
                <w:b/>
                <w:bCs/>
                <w:sz w:val="22"/>
                <w:szCs w:val="22"/>
                <w:vertAlign w:val="superscript"/>
              </w:rPr>
              <w:t>, ‡</w:t>
            </w:r>
          </w:p>
        </w:tc>
        <w:tc>
          <w:tcPr>
            <w:tcW w:w="1163" w:type="dxa"/>
            <w:tcBorders>
              <w:bottom w:val="nil"/>
            </w:tcBorders>
            <w:vAlign w:val="center"/>
          </w:tcPr>
          <w:p w:rsidR="00BE7807" w:rsidRPr="00BE7807" w:rsidRDefault="00BE7807" w:rsidP="00FF3A33">
            <w:pPr>
              <w:jc w:val="center"/>
            </w:pPr>
            <w:r w:rsidRPr="00BE7807">
              <w:t>-0,1</w:t>
            </w:r>
          </w:p>
        </w:tc>
        <w:tc>
          <w:tcPr>
            <w:tcW w:w="1123" w:type="dxa"/>
            <w:tcBorders>
              <w:bottom w:val="nil"/>
            </w:tcBorders>
            <w:vAlign w:val="center"/>
          </w:tcPr>
          <w:p w:rsidR="00BE7807" w:rsidRPr="00A332BF" w:rsidRDefault="00BE7807" w:rsidP="00FF3A33">
            <w:pPr>
              <w:jc w:val="center"/>
            </w:pPr>
            <w:r w:rsidRPr="00A332BF">
              <w:t>0,4</w:t>
            </w:r>
          </w:p>
        </w:tc>
        <w:tc>
          <w:tcPr>
            <w:tcW w:w="1140" w:type="dxa"/>
            <w:tcBorders>
              <w:bottom w:val="nil"/>
            </w:tcBorders>
            <w:vAlign w:val="center"/>
          </w:tcPr>
          <w:p w:rsidR="00BE7807" w:rsidRPr="00A332BF" w:rsidRDefault="00BE7807" w:rsidP="00FF3A33">
            <w:pPr>
              <w:jc w:val="center"/>
            </w:pPr>
            <w:r w:rsidRPr="00A332BF">
              <w:t>-0,8</w:t>
            </w:r>
          </w:p>
        </w:tc>
        <w:tc>
          <w:tcPr>
            <w:tcW w:w="1072" w:type="dxa"/>
            <w:tcBorders>
              <w:bottom w:val="nil"/>
              <w:right w:val="double" w:sz="4" w:space="0" w:color="auto"/>
            </w:tcBorders>
            <w:vAlign w:val="center"/>
          </w:tcPr>
          <w:p w:rsidR="00BE7807" w:rsidRPr="00A332BF" w:rsidRDefault="00A332BF" w:rsidP="00194572">
            <w:pPr>
              <w:jc w:val="center"/>
            </w:pPr>
            <w:r w:rsidRPr="00A332BF">
              <w:t>1,0</w:t>
            </w:r>
          </w:p>
        </w:tc>
        <w:tc>
          <w:tcPr>
            <w:tcW w:w="959" w:type="dxa"/>
            <w:tcBorders>
              <w:left w:val="double" w:sz="4" w:space="0" w:color="auto"/>
              <w:bottom w:val="nil"/>
            </w:tcBorders>
            <w:vAlign w:val="center"/>
          </w:tcPr>
          <w:p w:rsidR="00BE7807" w:rsidRPr="00A332BF" w:rsidRDefault="00A332BF" w:rsidP="00194572">
            <w:pPr>
              <w:jc w:val="center"/>
            </w:pPr>
            <w:r w:rsidRPr="00A332BF">
              <w:t>0,4</w:t>
            </w:r>
          </w:p>
        </w:tc>
        <w:tc>
          <w:tcPr>
            <w:tcW w:w="959" w:type="dxa"/>
            <w:tcBorders>
              <w:bottom w:val="nil"/>
            </w:tcBorders>
            <w:vAlign w:val="center"/>
          </w:tcPr>
          <w:p w:rsidR="00BE7807" w:rsidRPr="00A332BF" w:rsidRDefault="00A332BF" w:rsidP="00194572">
            <w:pPr>
              <w:jc w:val="center"/>
            </w:pPr>
            <w:r w:rsidRPr="00A332BF">
              <w:t>0,2</w:t>
            </w:r>
          </w:p>
        </w:tc>
      </w:tr>
      <w:tr w:rsidR="00BE7807" w:rsidRPr="00783619" w:rsidTr="00BE7807">
        <w:trPr>
          <w:trHeight w:val="370"/>
        </w:trPr>
        <w:tc>
          <w:tcPr>
            <w:tcW w:w="3106" w:type="dxa"/>
            <w:tcBorders>
              <w:top w:val="nil"/>
              <w:bottom w:val="nil"/>
            </w:tcBorders>
            <w:vAlign w:val="center"/>
          </w:tcPr>
          <w:p w:rsidR="00BE7807" w:rsidRPr="00897398" w:rsidRDefault="00BE7807" w:rsidP="00E24F81">
            <w:pPr>
              <w:ind w:right="42"/>
              <w:jc w:val="center"/>
            </w:pPr>
            <w:r w:rsidRPr="00897398">
              <w:rPr>
                <w:sz w:val="22"/>
                <w:szCs w:val="22"/>
              </w:rPr>
              <w:t>Dayanıksız tüketim malı imalatı</w:t>
            </w:r>
            <w:r w:rsidRPr="00897398">
              <w:rPr>
                <w:b/>
                <w:bCs/>
                <w:sz w:val="22"/>
                <w:szCs w:val="22"/>
                <w:vertAlign w:val="superscript"/>
              </w:rPr>
              <w:t>‡</w:t>
            </w:r>
          </w:p>
        </w:tc>
        <w:tc>
          <w:tcPr>
            <w:tcW w:w="1163" w:type="dxa"/>
            <w:tcBorders>
              <w:top w:val="nil"/>
              <w:bottom w:val="nil"/>
            </w:tcBorders>
            <w:vAlign w:val="center"/>
          </w:tcPr>
          <w:p w:rsidR="00BE7807" w:rsidRPr="00A332BF" w:rsidRDefault="00A332BF" w:rsidP="00194572">
            <w:pPr>
              <w:jc w:val="center"/>
            </w:pPr>
            <w:r w:rsidRPr="00A332BF">
              <w:t>0,0</w:t>
            </w:r>
          </w:p>
        </w:tc>
        <w:tc>
          <w:tcPr>
            <w:tcW w:w="1123" w:type="dxa"/>
            <w:tcBorders>
              <w:top w:val="nil"/>
              <w:bottom w:val="nil"/>
            </w:tcBorders>
            <w:vAlign w:val="center"/>
          </w:tcPr>
          <w:p w:rsidR="00BE7807" w:rsidRPr="00A332BF" w:rsidRDefault="00A332BF" w:rsidP="00194572">
            <w:pPr>
              <w:jc w:val="center"/>
            </w:pPr>
            <w:r w:rsidRPr="00A332BF">
              <w:t>0,1</w:t>
            </w:r>
          </w:p>
        </w:tc>
        <w:tc>
          <w:tcPr>
            <w:tcW w:w="1140" w:type="dxa"/>
            <w:tcBorders>
              <w:top w:val="nil"/>
              <w:bottom w:val="nil"/>
            </w:tcBorders>
            <w:vAlign w:val="center"/>
          </w:tcPr>
          <w:p w:rsidR="00BE7807" w:rsidRPr="00A332BF" w:rsidRDefault="00A332BF" w:rsidP="00194572">
            <w:pPr>
              <w:jc w:val="center"/>
            </w:pPr>
            <w:r w:rsidRPr="00A332BF">
              <w:t>0,1</w:t>
            </w:r>
          </w:p>
        </w:tc>
        <w:tc>
          <w:tcPr>
            <w:tcW w:w="1072" w:type="dxa"/>
            <w:tcBorders>
              <w:top w:val="nil"/>
              <w:bottom w:val="nil"/>
              <w:right w:val="double" w:sz="4" w:space="0" w:color="auto"/>
            </w:tcBorders>
            <w:vAlign w:val="center"/>
          </w:tcPr>
          <w:p w:rsidR="00BE7807" w:rsidRPr="00A332BF" w:rsidRDefault="00A332BF" w:rsidP="00194572">
            <w:pPr>
              <w:jc w:val="center"/>
            </w:pPr>
            <w:r w:rsidRPr="00A332BF">
              <w:t>0,5</w:t>
            </w:r>
          </w:p>
        </w:tc>
        <w:tc>
          <w:tcPr>
            <w:tcW w:w="959" w:type="dxa"/>
            <w:tcBorders>
              <w:top w:val="nil"/>
              <w:left w:val="double" w:sz="4" w:space="0" w:color="auto"/>
              <w:bottom w:val="nil"/>
            </w:tcBorders>
            <w:vAlign w:val="center"/>
          </w:tcPr>
          <w:p w:rsidR="00BE7807" w:rsidRPr="00A332BF" w:rsidRDefault="00A332BF" w:rsidP="00194572">
            <w:pPr>
              <w:jc w:val="center"/>
            </w:pPr>
            <w:r w:rsidRPr="00A332BF">
              <w:t>-0,3</w:t>
            </w:r>
          </w:p>
        </w:tc>
        <w:tc>
          <w:tcPr>
            <w:tcW w:w="959" w:type="dxa"/>
            <w:tcBorders>
              <w:top w:val="nil"/>
              <w:bottom w:val="nil"/>
            </w:tcBorders>
            <w:vAlign w:val="center"/>
          </w:tcPr>
          <w:p w:rsidR="00BE7807" w:rsidRPr="00A332BF" w:rsidRDefault="00A332BF" w:rsidP="00194572">
            <w:pPr>
              <w:jc w:val="center"/>
            </w:pPr>
            <w:r w:rsidRPr="00A332BF">
              <w:t>0,3</w:t>
            </w:r>
          </w:p>
        </w:tc>
      </w:tr>
      <w:tr w:rsidR="00BE7807" w:rsidRPr="00783619" w:rsidTr="00BE7807">
        <w:trPr>
          <w:trHeight w:val="370"/>
        </w:trPr>
        <w:tc>
          <w:tcPr>
            <w:tcW w:w="3106" w:type="dxa"/>
            <w:tcBorders>
              <w:top w:val="nil"/>
              <w:bottom w:val="nil"/>
            </w:tcBorders>
            <w:vAlign w:val="center"/>
          </w:tcPr>
          <w:p w:rsidR="00BE7807" w:rsidRPr="00897398" w:rsidRDefault="00BE7807" w:rsidP="00E24F81">
            <w:pPr>
              <w:ind w:right="42"/>
              <w:jc w:val="center"/>
              <w:rPr>
                <w:b/>
                <w:bCs/>
              </w:rPr>
            </w:pPr>
            <w:r w:rsidRPr="00897398">
              <w:rPr>
                <w:sz w:val="22"/>
                <w:szCs w:val="22"/>
              </w:rPr>
              <w:t>Dayanıklı tüketim malı imalatı</w:t>
            </w:r>
            <w:r w:rsidRPr="00897398">
              <w:rPr>
                <w:b/>
                <w:bCs/>
                <w:sz w:val="22"/>
                <w:szCs w:val="22"/>
                <w:vertAlign w:val="superscript"/>
              </w:rPr>
              <w:t>‡</w:t>
            </w:r>
          </w:p>
        </w:tc>
        <w:tc>
          <w:tcPr>
            <w:tcW w:w="1163" w:type="dxa"/>
            <w:tcBorders>
              <w:top w:val="nil"/>
              <w:bottom w:val="nil"/>
            </w:tcBorders>
            <w:vAlign w:val="center"/>
          </w:tcPr>
          <w:p w:rsidR="00BE7807" w:rsidRPr="00A332BF" w:rsidRDefault="00A332BF" w:rsidP="00194572">
            <w:pPr>
              <w:jc w:val="center"/>
            </w:pPr>
            <w:r w:rsidRPr="00A332BF">
              <w:t>0,4</w:t>
            </w:r>
          </w:p>
        </w:tc>
        <w:tc>
          <w:tcPr>
            <w:tcW w:w="1123" w:type="dxa"/>
            <w:tcBorders>
              <w:top w:val="nil"/>
              <w:bottom w:val="nil"/>
            </w:tcBorders>
            <w:vAlign w:val="center"/>
          </w:tcPr>
          <w:p w:rsidR="00BE7807" w:rsidRPr="00A332BF" w:rsidRDefault="00A332BF" w:rsidP="00194572">
            <w:pPr>
              <w:jc w:val="center"/>
            </w:pPr>
            <w:r w:rsidRPr="00A332BF">
              <w:t>2,7</w:t>
            </w:r>
          </w:p>
        </w:tc>
        <w:tc>
          <w:tcPr>
            <w:tcW w:w="1140" w:type="dxa"/>
            <w:tcBorders>
              <w:top w:val="nil"/>
              <w:bottom w:val="nil"/>
            </w:tcBorders>
            <w:vAlign w:val="center"/>
          </w:tcPr>
          <w:p w:rsidR="00BE7807" w:rsidRPr="00A332BF" w:rsidRDefault="00A332BF" w:rsidP="00194572">
            <w:pPr>
              <w:jc w:val="center"/>
            </w:pPr>
            <w:r w:rsidRPr="00A332BF">
              <w:t>-1,2</w:t>
            </w:r>
          </w:p>
        </w:tc>
        <w:tc>
          <w:tcPr>
            <w:tcW w:w="1072" w:type="dxa"/>
            <w:tcBorders>
              <w:top w:val="nil"/>
              <w:bottom w:val="nil"/>
              <w:right w:val="double" w:sz="4" w:space="0" w:color="auto"/>
            </w:tcBorders>
            <w:vAlign w:val="center"/>
          </w:tcPr>
          <w:p w:rsidR="00BE7807" w:rsidRPr="00A332BF" w:rsidRDefault="00A332BF" w:rsidP="00194572">
            <w:pPr>
              <w:jc w:val="center"/>
            </w:pPr>
            <w:r w:rsidRPr="00A332BF">
              <w:t>0,7</w:t>
            </w:r>
          </w:p>
        </w:tc>
        <w:tc>
          <w:tcPr>
            <w:tcW w:w="959" w:type="dxa"/>
            <w:tcBorders>
              <w:top w:val="nil"/>
              <w:left w:val="double" w:sz="4" w:space="0" w:color="auto"/>
              <w:bottom w:val="nil"/>
            </w:tcBorders>
            <w:vAlign w:val="center"/>
          </w:tcPr>
          <w:p w:rsidR="00BE7807" w:rsidRPr="00A332BF" w:rsidRDefault="00A332BF" w:rsidP="00194572">
            <w:pPr>
              <w:jc w:val="center"/>
            </w:pPr>
            <w:r w:rsidRPr="00A332BF">
              <w:t>0,8</w:t>
            </w:r>
          </w:p>
        </w:tc>
        <w:tc>
          <w:tcPr>
            <w:tcW w:w="959" w:type="dxa"/>
            <w:tcBorders>
              <w:top w:val="nil"/>
              <w:bottom w:val="nil"/>
            </w:tcBorders>
            <w:vAlign w:val="center"/>
          </w:tcPr>
          <w:p w:rsidR="00BE7807" w:rsidRPr="00A332BF" w:rsidRDefault="00A332BF" w:rsidP="00194572">
            <w:pPr>
              <w:jc w:val="center"/>
            </w:pPr>
            <w:r w:rsidRPr="00A332BF">
              <w:t>2,4</w:t>
            </w:r>
          </w:p>
        </w:tc>
      </w:tr>
      <w:tr w:rsidR="00BE7807" w:rsidRPr="00783619" w:rsidTr="00BE7807">
        <w:trPr>
          <w:trHeight w:val="370"/>
        </w:trPr>
        <w:tc>
          <w:tcPr>
            <w:tcW w:w="3106" w:type="dxa"/>
            <w:tcBorders>
              <w:top w:val="nil"/>
              <w:bottom w:val="nil"/>
            </w:tcBorders>
            <w:vAlign w:val="center"/>
          </w:tcPr>
          <w:p w:rsidR="00BE7807" w:rsidRPr="00897398" w:rsidRDefault="00BE7807" w:rsidP="00E24F81">
            <w:pPr>
              <w:ind w:right="42"/>
              <w:jc w:val="center"/>
            </w:pPr>
            <w:r w:rsidRPr="00897398">
              <w:rPr>
                <w:sz w:val="22"/>
                <w:szCs w:val="22"/>
              </w:rPr>
              <w:t>Ara malı imalatı</w:t>
            </w:r>
            <w:r w:rsidRPr="00897398">
              <w:rPr>
                <w:b/>
                <w:bCs/>
                <w:sz w:val="22"/>
                <w:szCs w:val="22"/>
                <w:vertAlign w:val="superscript"/>
              </w:rPr>
              <w:t>‡</w:t>
            </w:r>
          </w:p>
        </w:tc>
        <w:tc>
          <w:tcPr>
            <w:tcW w:w="1163" w:type="dxa"/>
            <w:tcBorders>
              <w:top w:val="nil"/>
              <w:bottom w:val="nil"/>
            </w:tcBorders>
            <w:vAlign w:val="center"/>
          </w:tcPr>
          <w:p w:rsidR="00BE7807" w:rsidRPr="00A332BF" w:rsidRDefault="00A332BF" w:rsidP="00194572">
            <w:pPr>
              <w:jc w:val="center"/>
            </w:pPr>
            <w:r w:rsidRPr="00A332BF">
              <w:t>-0,5</w:t>
            </w:r>
          </w:p>
        </w:tc>
        <w:tc>
          <w:tcPr>
            <w:tcW w:w="1123" w:type="dxa"/>
            <w:tcBorders>
              <w:top w:val="nil"/>
              <w:bottom w:val="nil"/>
            </w:tcBorders>
            <w:vAlign w:val="center"/>
          </w:tcPr>
          <w:p w:rsidR="00BE7807" w:rsidRPr="00A332BF" w:rsidRDefault="00A332BF" w:rsidP="00194572">
            <w:pPr>
              <w:jc w:val="center"/>
            </w:pPr>
            <w:r w:rsidRPr="00A332BF">
              <w:t>0,6</w:t>
            </w:r>
          </w:p>
        </w:tc>
        <w:tc>
          <w:tcPr>
            <w:tcW w:w="1140" w:type="dxa"/>
            <w:tcBorders>
              <w:top w:val="nil"/>
              <w:bottom w:val="nil"/>
            </w:tcBorders>
            <w:vAlign w:val="center"/>
          </w:tcPr>
          <w:p w:rsidR="00BE7807" w:rsidRPr="00A332BF" w:rsidRDefault="00A332BF" w:rsidP="00194572">
            <w:pPr>
              <w:jc w:val="center"/>
            </w:pPr>
            <w:r w:rsidRPr="00A332BF">
              <w:t>-0,6</w:t>
            </w:r>
          </w:p>
        </w:tc>
        <w:tc>
          <w:tcPr>
            <w:tcW w:w="1072" w:type="dxa"/>
            <w:tcBorders>
              <w:top w:val="nil"/>
              <w:bottom w:val="nil"/>
              <w:right w:val="double" w:sz="4" w:space="0" w:color="auto"/>
            </w:tcBorders>
            <w:vAlign w:val="center"/>
          </w:tcPr>
          <w:p w:rsidR="00BE7807" w:rsidRPr="00A332BF" w:rsidRDefault="00A332BF" w:rsidP="00194572">
            <w:pPr>
              <w:jc w:val="center"/>
            </w:pPr>
            <w:r w:rsidRPr="00A332BF">
              <w:t>0,1</w:t>
            </w:r>
          </w:p>
        </w:tc>
        <w:tc>
          <w:tcPr>
            <w:tcW w:w="959" w:type="dxa"/>
            <w:tcBorders>
              <w:top w:val="nil"/>
              <w:left w:val="double" w:sz="4" w:space="0" w:color="auto"/>
              <w:bottom w:val="nil"/>
            </w:tcBorders>
            <w:vAlign w:val="center"/>
          </w:tcPr>
          <w:p w:rsidR="00BE7807" w:rsidRPr="00A332BF" w:rsidRDefault="00A332BF" w:rsidP="00194572">
            <w:pPr>
              <w:jc w:val="center"/>
            </w:pPr>
            <w:r w:rsidRPr="00A332BF">
              <w:t>-0,6</w:t>
            </w:r>
          </w:p>
        </w:tc>
        <w:tc>
          <w:tcPr>
            <w:tcW w:w="959" w:type="dxa"/>
            <w:tcBorders>
              <w:top w:val="nil"/>
              <w:bottom w:val="nil"/>
            </w:tcBorders>
            <w:vAlign w:val="center"/>
          </w:tcPr>
          <w:p w:rsidR="00BE7807" w:rsidRPr="00A332BF" w:rsidRDefault="00A332BF" w:rsidP="00194572">
            <w:pPr>
              <w:jc w:val="center"/>
            </w:pPr>
            <w:r w:rsidRPr="00A332BF">
              <w:t>0,1</w:t>
            </w:r>
          </w:p>
        </w:tc>
      </w:tr>
      <w:tr w:rsidR="00BE7807" w:rsidRPr="00783619" w:rsidTr="00BE7807">
        <w:trPr>
          <w:trHeight w:val="370"/>
        </w:trPr>
        <w:tc>
          <w:tcPr>
            <w:tcW w:w="3106" w:type="dxa"/>
            <w:tcBorders>
              <w:top w:val="nil"/>
            </w:tcBorders>
            <w:vAlign w:val="center"/>
          </w:tcPr>
          <w:p w:rsidR="00BE7807" w:rsidRPr="00897398" w:rsidRDefault="00BE7807" w:rsidP="00E24F81">
            <w:pPr>
              <w:ind w:right="42"/>
              <w:jc w:val="center"/>
            </w:pPr>
            <w:r w:rsidRPr="00897398">
              <w:rPr>
                <w:sz w:val="22"/>
                <w:szCs w:val="22"/>
              </w:rPr>
              <w:t>Yatırım malı imalatı</w:t>
            </w:r>
            <w:r w:rsidRPr="00897398">
              <w:rPr>
                <w:b/>
                <w:bCs/>
                <w:sz w:val="22"/>
                <w:szCs w:val="22"/>
                <w:vertAlign w:val="superscript"/>
              </w:rPr>
              <w:t>‡</w:t>
            </w:r>
          </w:p>
        </w:tc>
        <w:tc>
          <w:tcPr>
            <w:tcW w:w="1163" w:type="dxa"/>
            <w:tcBorders>
              <w:top w:val="nil"/>
            </w:tcBorders>
            <w:vAlign w:val="center"/>
          </w:tcPr>
          <w:p w:rsidR="00BE7807" w:rsidRPr="00A332BF" w:rsidRDefault="00A332BF" w:rsidP="00194572">
            <w:pPr>
              <w:jc w:val="center"/>
            </w:pPr>
            <w:r w:rsidRPr="00A332BF">
              <w:t>-1,3</w:t>
            </w:r>
          </w:p>
        </w:tc>
        <w:tc>
          <w:tcPr>
            <w:tcW w:w="1123" w:type="dxa"/>
            <w:tcBorders>
              <w:top w:val="nil"/>
            </w:tcBorders>
            <w:vAlign w:val="center"/>
          </w:tcPr>
          <w:p w:rsidR="00BE7807" w:rsidRPr="00A332BF" w:rsidRDefault="00A332BF" w:rsidP="00194572">
            <w:pPr>
              <w:jc w:val="center"/>
            </w:pPr>
            <w:r w:rsidRPr="00A332BF">
              <w:t>0,9</w:t>
            </w:r>
          </w:p>
        </w:tc>
        <w:tc>
          <w:tcPr>
            <w:tcW w:w="1140" w:type="dxa"/>
            <w:tcBorders>
              <w:top w:val="nil"/>
            </w:tcBorders>
            <w:vAlign w:val="center"/>
          </w:tcPr>
          <w:p w:rsidR="00BE7807" w:rsidRPr="00A332BF" w:rsidRDefault="00A332BF" w:rsidP="00194572">
            <w:pPr>
              <w:jc w:val="center"/>
            </w:pPr>
            <w:r w:rsidRPr="00A332BF">
              <w:t>-0,5</w:t>
            </w:r>
          </w:p>
        </w:tc>
        <w:tc>
          <w:tcPr>
            <w:tcW w:w="1072" w:type="dxa"/>
            <w:tcBorders>
              <w:top w:val="nil"/>
              <w:right w:val="double" w:sz="4" w:space="0" w:color="auto"/>
            </w:tcBorders>
            <w:vAlign w:val="center"/>
          </w:tcPr>
          <w:p w:rsidR="00BE7807" w:rsidRPr="00A332BF" w:rsidRDefault="00A332BF" w:rsidP="00194572">
            <w:pPr>
              <w:jc w:val="center"/>
            </w:pPr>
            <w:r w:rsidRPr="00A332BF">
              <w:t>1,3</w:t>
            </w:r>
          </w:p>
        </w:tc>
        <w:tc>
          <w:tcPr>
            <w:tcW w:w="959" w:type="dxa"/>
            <w:tcBorders>
              <w:top w:val="nil"/>
              <w:left w:val="double" w:sz="4" w:space="0" w:color="auto"/>
            </w:tcBorders>
            <w:vAlign w:val="center"/>
          </w:tcPr>
          <w:p w:rsidR="00BE7807" w:rsidRPr="00A332BF" w:rsidRDefault="00A332BF" w:rsidP="00194572">
            <w:pPr>
              <w:jc w:val="center"/>
            </w:pPr>
            <w:r w:rsidRPr="00A332BF">
              <w:t>0,9</w:t>
            </w:r>
          </w:p>
        </w:tc>
        <w:tc>
          <w:tcPr>
            <w:tcW w:w="959" w:type="dxa"/>
            <w:tcBorders>
              <w:top w:val="nil"/>
            </w:tcBorders>
            <w:vAlign w:val="center"/>
          </w:tcPr>
          <w:p w:rsidR="00BE7807" w:rsidRPr="00A332BF" w:rsidRDefault="00A332BF" w:rsidP="00194572">
            <w:pPr>
              <w:jc w:val="center"/>
            </w:pPr>
            <w:r w:rsidRPr="00A332BF">
              <w:t>0,3</w:t>
            </w:r>
          </w:p>
        </w:tc>
      </w:tr>
      <w:tr w:rsidR="00BE7807" w:rsidRPr="00783619" w:rsidTr="00BE7807">
        <w:trPr>
          <w:trHeight w:val="370"/>
        </w:trPr>
        <w:tc>
          <w:tcPr>
            <w:tcW w:w="3106" w:type="dxa"/>
            <w:tcBorders>
              <w:bottom w:val="nil"/>
            </w:tcBorders>
            <w:vAlign w:val="center"/>
          </w:tcPr>
          <w:p w:rsidR="00BE7807" w:rsidRPr="00D01AC5" w:rsidRDefault="00BE7807" w:rsidP="00E24F81">
            <w:pPr>
              <w:ind w:right="42"/>
              <w:jc w:val="center"/>
              <w:rPr>
                <w:b/>
                <w:bCs/>
              </w:rPr>
            </w:pPr>
            <w:r w:rsidRPr="00D01AC5">
              <w:rPr>
                <w:b/>
                <w:bCs/>
                <w:sz w:val="22"/>
                <w:szCs w:val="22"/>
              </w:rPr>
              <w:t>Beklenti göstergeleri</w:t>
            </w:r>
          </w:p>
        </w:tc>
        <w:tc>
          <w:tcPr>
            <w:tcW w:w="1163" w:type="dxa"/>
            <w:tcBorders>
              <w:bottom w:val="nil"/>
            </w:tcBorders>
            <w:vAlign w:val="center"/>
          </w:tcPr>
          <w:p w:rsidR="00BE7807" w:rsidRPr="00072321" w:rsidRDefault="00BE7807" w:rsidP="00194572">
            <w:pPr>
              <w:jc w:val="center"/>
              <w:rPr>
                <w:color w:val="FF0000"/>
              </w:rPr>
            </w:pPr>
          </w:p>
        </w:tc>
        <w:tc>
          <w:tcPr>
            <w:tcW w:w="1123" w:type="dxa"/>
            <w:tcBorders>
              <w:bottom w:val="nil"/>
            </w:tcBorders>
            <w:vAlign w:val="center"/>
          </w:tcPr>
          <w:p w:rsidR="00BE7807" w:rsidRPr="00072321" w:rsidRDefault="00BE7807" w:rsidP="00194572">
            <w:pPr>
              <w:jc w:val="center"/>
              <w:rPr>
                <w:color w:val="FF0000"/>
              </w:rPr>
            </w:pPr>
          </w:p>
        </w:tc>
        <w:tc>
          <w:tcPr>
            <w:tcW w:w="1140" w:type="dxa"/>
            <w:tcBorders>
              <w:bottom w:val="nil"/>
            </w:tcBorders>
            <w:vAlign w:val="center"/>
          </w:tcPr>
          <w:p w:rsidR="00BE7807" w:rsidRPr="00072321" w:rsidRDefault="00BE7807" w:rsidP="00194572">
            <w:pPr>
              <w:jc w:val="center"/>
              <w:rPr>
                <w:color w:val="FF0000"/>
              </w:rPr>
            </w:pPr>
          </w:p>
        </w:tc>
        <w:tc>
          <w:tcPr>
            <w:tcW w:w="1072" w:type="dxa"/>
            <w:tcBorders>
              <w:bottom w:val="nil"/>
              <w:right w:val="double" w:sz="4" w:space="0" w:color="auto"/>
            </w:tcBorders>
            <w:vAlign w:val="center"/>
          </w:tcPr>
          <w:p w:rsidR="00BE7807" w:rsidRPr="00072321" w:rsidRDefault="00BE7807" w:rsidP="00194572">
            <w:pPr>
              <w:jc w:val="center"/>
              <w:rPr>
                <w:color w:val="FF0000"/>
              </w:rPr>
            </w:pPr>
          </w:p>
        </w:tc>
        <w:tc>
          <w:tcPr>
            <w:tcW w:w="959" w:type="dxa"/>
            <w:tcBorders>
              <w:left w:val="double" w:sz="4" w:space="0" w:color="auto"/>
              <w:bottom w:val="nil"/>
            </w:tcBorders>
            <w:vAlign w:val="center"/>
          </w:tcPr>
          <w:p w:rsidR="00BE7807" w:rsidRPr="00072321" w:rsidRDefault="00BE7807" w:rsidP="00194572">
            <w:pPr>
              <w:jc w:val="center"/>
              <w:rPr>
                <w:color w:val="FF0000"/>
              </w:rPr>
            </w:pPr>
          </w:p>
        </w:tc>
        <w:tc>
          <w:tcPr>
            <w:tcW w:w="959" w:type="dxa"/>
            <w:tcBorders>
              <w:bottom w:val="nil"/>
            </w:tcBorders>
            <w:vAlign w:val="center"/>
          </w:tcPr>
          <w:p w:rsidR="00BE7807" w:rsidRPr="00072321" w:rsidRDefault="00BE7807" w:rsidP="00194572">
            <w:pPr>
              <w:jc w:val="center"/>
              <w:rPr>
                <w:color w:val="FF0000"/>
              </w:rPr>
            </w:pPr>
          </w:p>
        </w:tc>
      </w:tr>
      <w:tr w:rsidR="00BE7807" w:rsidRPr="00A332BF" w:rsidTr="00BE7807">
        <w:trPr>
          <w:trHeight w:val="370"/>
        </w:trPr>
        <w:tc>
          <w:tcPr>
            <w:tcW w:w="3106" w:type="dxa"/>
            <w:tcBorders>
              <w:top w:val="nil"/>
              <w:bottom w:val="nil"/>
            </w:tcBorders>
            <w:vAlign w:val="center"/>
          </w:tcPr>
          <w:p w:rsidR="00BE7807" w:rsidRPr="00D01AC5" w:rsidRDefault="00BE7807" w:rsidP="00E24F81">
            <w:pPr>
              <w:ind w:right="42"/>
              <w:jc w:val="center"/>
            </w:pPr>
            <w:r w:rsidRPr="00D01AC5">
              <w:rPr>
                <w:sz w:val="22"/>
                <w:szCs w:val="22"/>
              </w:rPr>
              <w:t>Tüketici güven endeksi (TÜİK)</w:t>
            </w:r>
          </w:p>
        </w:tc>
        <w:tc>
          <w:tcPr>
            <w:tcW w:w="1163" w:type="dxa"/>
            <w:tcBorders>
              <w:top w:val="nil"/>
              <w:bottom w:val="nil"/>
            </w:tcBorders>
            <w:vAlign w:val="center"/>
          </w:tcPr>
          <w:p w:rsidR="00BE7807" w:rsidRPr="00A332BF" w:rsidRDefault="00A332BF" w:rsidP="00194572">
            <w:pPr>
              <w:jc w:val="center"/>
            </w:pPr>
            <w:r w:rsidRPr="00A332BF">
              <w:t>3,7</w:t>
            </w:r>
          </w:p>
        </w:tc>
        <w:tc>
          <w:tcPr>
            <w:tcW w:w="1123" w:type="dxa"/>
            <w:tcBorders>
              <w:top w:val="nil"/>
              <w:bottom w:val="nil"/>
            </w:tcBorders>
            <w:vAlign w:val="center"/>
          </w:tcPr>
          <w:p w:rsidR="00BE7807" w:rsidRPr="00A332BF" w:rsidRDefault="00A332BF" w:rsidP="00194572">
            <w:pPr>
              <w:jc w:val="center"/>
            </w:pPr>
            <w:r w:rsidRPr="00A332BF">
              <w:t>-2,7</w:t>
            </w:r>
          </w:p>
        </w:tc>
        <w:tc>
          <w:tcPr>
            <w:tcW w:w="1140" w:type="dxa"/>
            <w:tcBorders>
              <w:top w:val="nil"/>
              <w:bottom w:val="nil"/>
            </w:tcBorders>
            <w:vAlign w:val="center"/>
          </w:tcPr>
          <w:p w:rsidR="00BE7807" w:rsidRPr="00A332BF" w:rsidRDefault="00A332BF" w:rsidP="00194572">
            <w:pPr>
              <w:jc w:val="center"/>
            </w:pPr>
            <w:r w:rsidRPr="00A332BF">
              <w:t>-2,3</w:t>
            </w:r>
          </w:p>
        </w:tc>
        <w:tc>
          <w:tcPr>
            <w:tcW w:w="1072" w:type="dxa"/>
            <w:tcBorders>
              <w:top w:val="nil"/>
              <w:bottom w:val="nil"/>
              <w:right w:val="double" w:sz="4" w:space="0" w:color="auto"/>
            </w:tcBorders>
            <w:vAlign w:val="center"/>
          </w:tcPr>
          <w:p w:rsidR="00BE7807" w:rsidRPr="00A332BF" w:rsidRDefault="00A332BF" w:rsidP="00194572">
            <w:pPr>
              <w:jc w:val="center"/>
            </w:pPr>
            <w:r w:rsidRPr="00A332BF">
              <w:t>-6,8</w:t>
            </w:r>
          </w:p>
        </w:tc>
        <w:tc>
          <w:tcPr>
            <w:tcW w:w="959" w:type="dxa"/>
            <w:tcBorders>
              <w:top w:val="nil"/>
              <w:left w:val="double" w:sz="4" w:space="0" w:color="auto"/>
              <w:bottom w:val="nil"/>
            </w:tcBorders>
            <w:vAlign w:val="center"/>
          </w:tcPr>
          <w:p w:rsidR="00BE7807" w:rsidRPr="00A332BF" w:rsidRDefault="00A332BF" w:rsidP="00194572">
            <w:pPr>
              <w:jc w:val="center"/>
            </w:pPr>
            <w:r w:rsidRPr="00A332BF">
              <w:t>-3,1</w:t>
            </w:r>
          </w:p>
        </w:tc>
        <w:tc>
          <w:tcPr>
            <w:tcW w:w="959" w:type="dxa"/>
            <w:tcBorders>
              <w:top w:val="nil"/>
              <w:bottom w:val="nil"/>
            </w:tcBorders>
            <w:vAlign w:val="center"/>
          </w:tcPr>
          <w:p w:rsidR="00BE7807" w:rsidRPr="00A332BF" w:rsidRDefault="00A332BF" w:rsidP="00194572">
            <w:pPr>
              <w:jc w:val="center"/>
            </w:pPr>
            <w:r w:rsidRPr="00A332BF">
              <w:t>-4,6</w:t>
            </w:r>
          </w:p>
        </w:tc>
      </w:tr>
      <w:tr w:rsidR="00BE7807" w:rsidRPr="00783619" w:rsidTr="00BE7807">
        <w:trPr>
          <w:trHeight w:val="370"/>
        </w:trPr>
        <w:tc>
          <w:tcPr>
            <w:tcW w:w="3106" w:type="dxa"/>
            <w:tcBorders>
              <w:top w:val="nil"/>
            </w:tcBorders>
            <w:vAlign w:val="center"/>
          </w:tcPr>
          <w:p w:rsidR="00BE7807" w:rsidRPr="00897398" w:rsidRDefault="00BE7807" w:rsidP="00E24F81">
            <w:pPr>
              <w:ind w:right="42"/>
              <w:jc w:val="center"/>
            </w:pPr>
            <w:r w:rsidRPr="00897398">
              <w:rPr>
                <w:sz w:val="22"/>
                <w:szCs w:val="22"/>
              </w:rPr>
              <w:t>Reel kesim güven endeksi</w:t>
            </w:r>
            <w:r w:rsidRPr="00897398">
              <w:rPr>
                <w:sz w:val="22"/>
                <w:szCs w:val="22"/>
                <w:vertAlign w:val="superscript"/>
              </w:rPr>
              <w:t>†</w:t>
            </w:r>
          </w:p>
        </w:tc>
        <w:tc>
          <w:tcPr>
            <w:tcW w:w="1163" w:type="dxa"/>
            <w:tcBorders>
              <w:top w:val="nil"/>
            </w:tcBorders>
            <w:vAlign w:val="center"/>
          </w:tcPr>
          <w:p w:rsidR="00BE7807" w:rsidRPr="00A332BF" w:rsidRDefault="00A332BF" w:rsidP="00194572">
            <w:pPr>
              <w:jc w:val="center"/>
            </w:pPr>
            <w:r w:rsidRPr="00A332BF">
              <w:t>-2,3</w:t>
            </w:r>
          </w:p>
        </w:tc>
        <w:tc>
          <w:tcPr>
            <w:tcW w:w="1123" w:type="dxa"/>
            <w:tcBorders>
              <w:top w:val="nil"/>
            </w:tcBorders>
            <w:vAlign w:val="center"/>
          </w:tcPr>
          <w:p w:rsidR="00BE7807" w:rsidRPr="00A332BF" w:rsidRDefault="00A332BF" w:rsidP="00194572">
            <w:pPr>
              <w:jc w:val="center"/>
            </w:pPr>
            <w:r w:rsidRPr="00A332BF">
              <w:t>1,4</w:t>
            </w:r>
          </w:p>
        </w:tc>
        <w:tc>
          <w:tcPr>
            <w:tcW w:w="1140" w:type="dxa"/>
            <w:tcBorders>
              <w:top w:val="nil"/>
            </w:tcBorders>
            <w:vAlign w:val="center"/>
          </w:tcPr>
          <w:p w:rsidR="00BE7807" w:rsidRPr="00A332BF" w:rsidRDefault="00A332BF" w:rsidP="00194572">
            <w:pPr>
              <w:jc w:val="center"/>
            </w:pPr>
            <w:r w:rsidRPr="00A332BF">
              <w:t>-0,2</w:t>
            </w:r>
          </w:p>
        </w:tc>
        <w:tc>
          <w:tcPr>
            <w:tcW w:w="1072" w:type="dxa"/>
            <w:tcBorders>
              <w:top w:val="nil"/>
              <w:right w:val="double" w:sz="4" w:space="0" w:color="auto"/>
            </w:tcBorders>
            <w:vAlign w:val="center"/>
          </w:tcPr>
          <w:p w:rsidR="00BE7807" w:rsidRPr="00A332BF" w:rsidRDefault="00A332BF" w:rsidP="00194572">
            <w:pPr>
              <w:jc w:val="center"/>
            </w:pPr>
            <w:r w:rsidRPr="00A332BF">
              <w:t>-3,2</w:t>
            </w:r>
          </w:p>
        </w:tc>
        <w:tc>
          <w:tcPr>
            <w:tcW w:w="959" w:type="dxa"/>
            <w:tcBorders>
              <w:top w:val="nil"/>
              <w:left w:val="double" w:sz="4" w:space="0" w:color="auto"/>
            </w:tcBorders>
            <w:vAlign w:val="center"/>
          </w:tcPr>
          <w:p w:rsidR="00BE7807" w:rsidRPr="00A332BF" w:rsidRDefault="00A332BF" w:rsidP="00194572">
            <w:pPr>
              <w:jc w:val="center"/>
            </w:pPr>
            <w:r w:rsidRPr="00A332BF">
              <w:t>-1,3</w:t>
            </w:r>
          </w:p>
        </w:tc>
        <w:tc>
          <w:tcPr>
            <w:tcW w:w="959" w:type="dxa"/>
            <w:tcBorders>
              <w:top w:val="nil"/>
            </w:tcBorders>
            <w:vAlign w:val="center"/>
          </w:tcPr>
          <w:p w:rsidR="00BE7807" w:rsidRPr="00A332BF" w:rsidRDefault="00A332BF" w:rsidP="00194572">
            <w:pPr>
              <w:jc w:val="center"/>
            </w:pPr>
            <w:r w:rsidRPr="00A332BF">
              <w:t>-1,0</w:t>
            </w:r>
          </w:p>
        </w:tc>
      </w:tr>
      <w:tr w:rsidR="00BE7807" w:rsidRPr="00783619" w:rsidTr="00BE7807">
        <w:trPr>
          <w:trHeight w:val="370"/>
        </w:trPr>
        <w:tc>
          <w:tcPr>
            <w:tcW w:w="3106" w:type="dxa"/>
            <w:tcBorders>
              <w:bottom w:val="nil"/>
            </w:tcBorders>
            <w:vAlign w:val="center"/>
          </w:tcPr>
          <w:p w:rsidR="00BE7807" w:rsidRPr="00D01AC5" w:rsidRDefault="00BE7807" w:rsidP="00E24F81">
            <w:pPr>
              <w:ind w:right="42"/>
              <w:jc w:val="center"/>
              <w:rPr>
                <w:b/>
                <w:bCs/>
              </w:rPr>
            </w:pPr>
            <w:r w:rsidRPr="00D01AC5">
              <w:rPr>
                <w:b/>
                <w:bCs/>
                <w:sz w:val="22"/>
                <w:szCs w:val="22"/>
              </w:rPr>
              <w:t>Finansal göstergeler</w:t>
            </w:r>
          </w:p>
        </w:tc>
        <w:tc>
          <w:tcPr>
            <w:tcW w:w="1163" w:type="dxa"/>
            <w:tcBorders>
              <w:bottom w:val="nil"/>
            </w:tcBorders>
            <w:vAlign w:val="center"/>
          </w:tcPr>
          <w:p w:rsidR="00BE7807" w:rsidRPr="00072321" w:rsidRDefault="00BE7807" w:rsidP="00194572">
            <w:pPr>
              <w:jc w:val="center"/>
              <w:rPr>
                <w:color w:val="FF0000"/>
              </w:rPr>
            </w:pPr>
          </w:p>
        </w:tc>
        <w:tc>
          <w:tcPr>
            <w:tcW w:w="1123" w:type="dxa"/>
            <w:tcBorders>
              <w:bottom w:val="nil"/>
            </w:tcBorders>
            <w:vAlign w:val="center"/>
          </w:tcPr>
          <w:p w:rsidR="00BE7807" w:rsidRPr="00072321" w:rsidRDefault="00BE7807" w:rsidP="00194572">
            <w:pPr>
              <w:jc w:val="center"/>
              <w:rPr>
                <w:color w:val="FF0000"/>
              </w:rPr>
            </w:pPr>
          </w:p>
        </w:tc>
        <w:tc>
          <w:tcPr>
            <w:tcW w:w="1140" w:type="dxa"/>
            <w:tcBorders>
              <w:bottom w:val="nil"/>
            </w:tcBorders>
            <w:vAlign w:val="center"/>
          </w:tcPr>
          <w:p w:rsidR="00BE7807" w:rsidRPr="00072321" w:rsidRDefault="00BE7807" w:rsidP="00194572">
            <w:pPr>
              <w:jc w:val="center"/>
              <w:rPr>
                <w:color w:val="FF0000"/>
              </w:rPr>
            </w:pPr>
          </w:p>
        </w:tc>
        <w:tc>
          <w:tcPr>
            <w:tcW w:w="1072" w:type="dxa"/>
            <w:tcBorders>
              <w:bottom w:val="nil"/>
              <w:right w:val="double" w:sz="4" w:space="0" w:color="auto"/>
            </w:tcBorders>
            <w:vAlign w:val="center"/>
          </w:tcPr>
          <w:p w:rsidR="00BE7807" w:rsidRPr="00072321" w:rsidRDefault="00BE7807" w:rsidP="00194572">
            <w:pPr>
              <w:jc w:val="center"/>
              <w:rPr>
                <w:color w:val="FF0000"/>
              </w:rPr>
            </w:pPr>
          </w:p>
        </w:tc>
        <w:tc>
          <w:tcPr>
            <w:tcW w:w="959" w:type="dxa"/>
            <w:tcBorders>
              <w:left w:val="double" w:sz="4" w:space="0" w:color="auto"/>
              <w:bottom w:val="nil"/>
            </w:tcBorders>
            <w:vAlign w:val="center"/>
          </w:tcPr>
          <w:p w:rsidR="00BE7807" w:rsidRPr="00072321" w:rsidRDefault="00BE7807" w:rsidP="00194572">
            <w:pPr>
              <w:jc w:val="center"/>
              <w:rPr>
                <w:color w:val="FF0000"/>
              </w:rPr>
            </w:pPr>
          </w:p>
        </w:tc>
        <w:tc>
          <w:tcPr>
            <w:tcW w:w="959" w:type="dxa"/>
            <w:tcBorders>
              <w:bottom w:val="nil"/>
            </w:tcBorders>
            <w:vAlign w:val="center"/>
          </w:tcPr>
          <w:p w:rsidR="00BE7807" w:rsidRPr="00072321" w:rsidRDefault="00BE7807" w:rsidP="00194572">
            <w:pPr>
              <w:jc w:val="center"/>
              <w:rPr>
                <w:color w:val="FF0000"/>
              </w:rPr>
            </w:pPr>
          </w:p>
        </w:tc>
      </w:tr>
      <w:tr w:rsidR="00BE7807" w:rsidRPr="00783619" w:rsidTr="00BE7807">
        <w:trPr>
          <w:trHeight w:val="370"/>
        </w:trPr>
        <w:tc>
          <w:tcPr>
            <w:tcW w:w="3106" w:type="dxa"/>
            <w:tcBorders>
              <w:top w:val="nil"/>
            </w:tcBorders>
            <w:vAlign w:val="center"/>
          </w:tcPr>
          <w:p w:rsidR="00BE7807" w:rsidRPr="00D01AC5" w:rsidRDefault="00BE7807" w:rsidP="00E24F81">
            <w:pPr>
              <w:ind w:right="42"/>
              <w:jc w:val="center"/>
            </w:pPr>
            <w:r w:rsidRPr="00D01AC5">
              <w:rPr>
                <w:sz w:val="22"/>
                <w:szCs w:val="22"/>
              </w:rPr>
              <w:t>BİST 100</w:t>
            </w:r>
          </w:p>
        </w:tc>
        <w:tc>
          <w:tcPr>
            <w:tcW w:w="1163" w:type="dxa"/>
            <w:tcBorders>
              <w:top w:val="nil"/>
            </w:tcBorders>
            <w:vAlign w:val="center"/>
          </w:tcPr>
          <w:p w:rsidR="00BE7807" w:rsidRPr="00A332BF" w:rsidRDefault="00A332BF" w:rsidP="00194572">
            <w:pPr>
              <w:jc w:val="center"/>
            </w:pPr>
            <w:r w:rsidRPr="00A332BF">
              <w:t>-2,1</w:t>
            </w:r>
          </w:p>
        </w:tc>
        <w:tc>
          <w:tcPr>
            <w:tcW w:w="1123" w:type="dxa"/>
            <w:tcBorders>
              <w:top w:val="nil"/>
            </w:tcBorders>
            <w:vAlign w:val="center"/>
          </w:tcPr>
          <w:p w:rsidR="00BE7807" w:rsidRPr="00A332BF" w:rsidRDefault="00A332BF" w:rsidP="00194572">
            <w:pPr>
              <w:jc w:val="center"/>
            </w:pPr>
            <w:r w:rsidRPr="00A332BF">
              <w:t>-2,4</w:t>
            </w:r>
          </w:p>
        </w:tc>
        <w:tc>
          <w:tcPr>
            <w:tcW w:w="1140" w:type="dxa"/>
            <w:tcBorders>
              <w:top w:val="nil"/>
            </w:tcBorders>
            <w:vAlign w:val="center"/>
          </w:tcPr>
          <w:p w:rsidR="00BE7807" w:rsidRPr="00A332BF" w:rsidRDefault="00A332BF" w:rsidP="00194572">
            <w:pPr>
              <w:jc w:val="center"/>
            </w:pPr>
            <w:r w:rsidRPr="00A332BF">
              <w:t>-4,4</w:t>
            </w:r>
          </w:p>
        </w:tc>
        <w:tc>
          <w:tcPr>
            <w:tcW w:w="1072" w:type="dxa"/>
            <w:tcBorders>
              <w:top w:val="nil"/>
              <w:right w:val="double" w:sz="4" w:space="0" w:color="auto"/>
            </w:tcBorders>
            <w:vAlign w:val="center"/>
          </w:tcPr>
          <w:p w:rsidR="00BE7807" w:rsidRPr="00A332BF" w:rsidRDefault="00A332BF" w:rsidP="00194572">
            <w:pPr>
              <w:jc w:val="center"/>
            </w:pPr>
            <w:r w:rsidRPr="00A332BF">
              <w:t>-4,5</w:t>
            </w:r>
          </w:p>
        </w:tc>
        <w:tc>
          <w:tcPr>
            <w:tcW w:w="959" w:type="dxa"/>
            <w:tcBorders>
              <w:top w:val="nil"/>
              <w:left w:val="double" w:sz="4" w:space="0" w:color="auto"/>
            </w:tcBorders>
            <w:vAlign w:val="center"/>
          </w:tcPr>
          <w:p w:rsidR="00BE7807" w:rsidRPr="00A332BF" w:rsidRDefault="00A332BF" w:rsidP="00194572">
            <w:pPr>
              <w:jc w:val="center"/>
            </w:pPr>
            <w:r w:rsidRPr="00A332BF">
              <w:t>-6,5</w:t>
            </w:r>
          </w:p>
        </w:tc>
        <w:tc>
          <w:tcPr>
            <w:tcW w:w="959" w:type="dxa"/>
            <w:tcBorders>
              <w:top w:val="nil"/>
            </w:tcBorders>
            <w:vAlign w:val="center"/>
          </w:tcPr>
          <w:p w:rsidR="00BE7807" w:rsidRPr="00A332BF" w:rsidRDefault="00A332BF" w:rsidP="00194572">
            <w:pPr>
              <w:jc w:val="center"/>
            </w:pPr>
            <w:r w:rsidRPr="00A332BF">
              <w:t>-6,5</w:t>
            </w:r>
          </w:p>
        </w:tc>
      </w:tr>
      <w:tr w:rsidR="00BE7807" w:rsidRPr="00783619" w:rsidTr="00BE7807">
        <w:trPr>
          <w:trHeight w:val="370"/>
        </w:trPr>
        <w:tc>
          <w:tcPr>
            <w:tcW w:w="3106" w:type="dxa"/>
            <w:tcBorders>
              <w:bottom w:val="nil"/>
            </w:tcBorders>
            <w:vAlign w:val="center"/>
          </w:tcPr>
          <w:p w:rsidR="00BE7807" w:rsidRPr="00D01AC5" w:rsidRDefault="00BE7807" w:rsidP="00E24F81">
            <w:pPr>
              <w:ind w:right="42"/>
              <w:jc w:val="center"/>
              <w:rPr>
                <w:b/>
                <w:bCs/>
              </w:rPr>
            </w:pPr>
            <w:r w:rsidRPr="00D01AC5">
              <w:rPr>
                <w:b/>
                <w:bCs/>
                <w:sz w:val="22"/>
                <w:szCs w:val="22"/>
              </w:rPr>
              <w:t>Diğerleri</w:t>
            </w:r>
          </w:p>
        </w:tc>
        <w:tc>
          <w:tcPr>
            <w:tcW w:w="1163" w:type="dxa"/>
            <w:tcBorders>
              <w:bottom w:val="nil"/>
            </w:tcBorders>
            <w:vAlign w:val="center"/>
          </w:tcPr>
          <w:p w:rsidR="00BE7807" w:rsidRPr="00072321" w:rsidRDefault="00BE7807" w:rsidP="00194572">
            <w:pPr>
              <w:jc w:val="center"/>
              <w:rPr>
                <w:color w:val="FF0000"/>
              </w:rPr>
            </w:pPr>
          </w:p>
        </w:tc>
        <w:tc>
          <w:tcPr>
            <w:tcW w:w="1123" w:type="dxa"/>
            <w:tcBorders>
              <w:bottom w:val="nil"/>
            </w:tcBorders>
            <w:vAlign w:val="center"/>
          </w:tcPr>
          <w:p w:rsidR="00BE7807" w:rsidRPr="00072321" w:rsidRDefault="00BE7807" w:rsidP="00194572">
            <w:pPr>
              <w:jc w:val="center"/>
              <w:rPr>
                <w:color w:val="FF0000"/>
              </w:rPr>
            </w:pPr>
          </w:p>
        </w:tc>
        <w:tc>
          <w:tcPr>
            <w:tcW w:w="1140" w:type="dxa"/>
            <w:tcBorders>
              <w:bottom w:val="nil"/>
            </w:tcBorders>
            <w:vAlign w:val="center"/>
          </w:tcPr>
          <w:p w:rsidR="00BE7807" w:rsidRPr="00072321" w:rsidRDefault="00BE7807" w:rsidP="00194572">
            <w:pPr>
              <w:jc w:val="center"/>
              <w:rPr>
                <w:color w:val="FF0000"/>
              </w:rPr>
            </w:pPr>
          </w:p>
        </w:tc>
        <w:tc>
          <w:tcPr>
            <w:tcW w:w="1072" w:type="dxa"/>
            <w:tcBorders>
              <w:bottom w:val="nil"/>
              <w:right w:val="double" w:sz="4" w:space="0" w:color="auto"/>
            </w:tcBorders>
            <w:vAlign w:val="center"/>
          </w:tcPr>
          <w:p w:rsidR="00BE7807" w:rsidRPr="00072321" w:rsidRDefault="00BE7807" w:rsidP="00194572">
            <w:pPr>
              <w:jc w:val="center"/>
              <w:rPr>
                <w:color w:val="FF0000"/>
              </w:rPr>
            </w:pPr>
          </w:p>
        </w:tc>
        <w:tc>
          <w:tcPr>
            <w:tcW w:w="959" w:type="dxa"/>
            <w:tcBorders>
              <w:left w:val="double" w:sz="4" w:space="0" w:color="auto"/>
              <w:bottom w:val="nil"/>
            </w:tcBorders>
            <w:vAlign w:val="center"/>
          </w:tcPr>
          <w:p w:rsidR="00BE7807" w:rsidRPr="00072321" w:rsidRDefault="00BE7807" w:rsidP="00194572">
            <w:pPr>
              <w:jc w:val="center"/>
              <w:rPr>
                <w:color w:val="FF0000"/>
              </w:rPr>
            </w:pPr>
          </w:p>
        </w:tc>
        <w:tc>
          <w:tcPr>
            <w:tcW w:w="959" w:type="dxa"/>
            <w:tcBorders>
              <w:bottom w:val="nil"/>
            </w:tcBorders>
            <w:vAlign w:val="center"/>
          </w:tcPr>
          <w:p w:rsidR="00BE7807" w:rsidRPr="00072321" w:rsidRDefault="00BE7807" w:rsidP="00194572">
            <w:pPr>
              <w:jc w:val="center"/>
              <w:rPr>
                <w:color w:val="FF0000"/>
              </w:rPr>
            </w:pPr>
          </w:p>
        </w:tc>
      </w:tr>
      <w:tr w:rsidR="00BE7807" w:rsidRPr="00783619" w:rsidTr="00BE7807">
        <w:trPr>
          <w:trHeight w:val="370"/>
        </w:trPr>
        <w:tc>
          <w:tcPr>
            <w:tcW w:w="3106" w:type="dxa"/>
            <w:tcBorders>
              <w:bottom w:val="nil"/>
            </w:tcBorders>
            <w:vAlign w:val="center"/>
          </w:tcPr>
          <w:p w:rsidR="00BE7807" w:rsidRPr="00D01AC5" w:rsidRDefault="00BE7807" w:rsidP="00E24F81">
            <w:pPr>
              <w:ind w:right="42"/>
              <w:jc w:val="center"/>
              <w:rPr>
                <w:sz w:val="22"/>
                <w:szCs w:val="22"/>
              </w:rPr>
            </w:pPr>
            <w:r w:rsidRPr="00D01AC5">
              <w:rPr>
                <w:sz w:val="22"/>
                <w:szCs w:val="22"/>
              </w:rPr>
              <w:t>Hükümet Harcamaları</w:t>
            </w:r>
            <w:bookmarkStart w:id="1" w:name="OLE_LINK1"/>
            <w:bookmarkStart w:id="2" w:name="OLE_LINK2"/>
            <w:bookmarkStart w:id="3" w:name="OLE_LINK3"/>
            <w:r w:rsidRPr="00D01AC5">
              <w:rPr>
                <w:rFonts w:ascii="Calibri" w:hAnsi="Calibri"/>
                <w:sz w:val="22"/>
                <w:szCs w:val="22"/>
              </w:rPr>
              <w:t>⁰</w:t>
            </w:r>
            <w:bookmarkEnd w:id="1"/>
            <w:bookmarkEnd w:id="2"/>
            <w:bookmarkEnd w:id="3"/>
          </w:p>
        </w:tc>
        <w:tc>
          <w:tcPr>
            <w:tcW w:w="1163" w:type="dxa"/>
            <w:tcBorders>
              <w:bottom w:val="nil"/>
            </w:tcBorders>
            <w:vAlign w:val="center"/>
          </w:tcPr>
          <w:p w:rsidR="00BE7807" w:rsidRPr="00A332BF" w:rsidRDefault="00A332BF" w:rsidP="00194572">
            <w:pPr>
              <w:jc w:val="center"/>
            </w:pPr>
            <w:r w:rsidRPr="00A332BF">
              <w:t>-0,6</w:t>
            </w:r>
          </w:p>
        </w:tc>
        <w:tc>
          <w:tcPr>
            <w:tcW w:w="1123" w:type="dxa"/>
            <w:tcBorders>
              <w:bottom w:val="nil"/>
            </w:tcBorders>
            <w:vAlign w:val="center"/>
          </w:tcPr>
          <w:p w:rsidR="00BE7807" w:rsidRPr="00A332BF" w:rsidRDefault="00A332BF" w:rsidP="00194572">
            <w:pPr>
              <w:jc w:val="center"/>
            </w:pPr>
            <w:r w:rsidRPr="00A332BF">
              <w:t>0,8</w:t>
            </w:r>
          </w:p>
        </w:tc>
        <w:tc>
          <w:tcPr>
            <w:tcW w:w="1140" w:type="dxa"/>
            <w:tcBorders>
              <w:bottom w:val="nil"/>
            </w:tcBorders>
            <w:vAlign w:val="center"/>
          </w:tcPr>
          <w:p w:rsidR="00BE7807" w:rsidRPr="00A332BF" w:rsidRDefault="00A332BF" w:rsidP="00194572">
            <w:pPr>
              <w:jc w:val="center"/>
            </w:pPr>
            <w:r w:rsidRPr="00A332BF">
              <w:t>-2,2</w:t>
            </w:r>
          </w:p>
        </w:tc>
        <w:tc>
          <w:tcPr>
            <w:tcW w:w="1072" w:type="dxa"/>
            <w:tcBorders>
              <w:bottom w:val="nil"/>
              <w:right w:val="double" w:sz="4" w:space="0" w:color="auto"/>
            </w:tcBorders>
            <w:vAlign w:val="center"/>
          </w:tcPr>
          <w:p w:rsidR="00BE7807" w:rsidRPr="00A332BF" w:rsidRDefault="00A332BF" w:rsidP="00194572">
            <w:pPr>
              <w:jc w:val="center"/>
            </w:pPr>
            <w:r w:rsidRPr="00A332BF">
              <w:t>3,1</w:t>
            </w:r>
          </w:p>
        </w:tc>
        <w:tc>
          <w:tcPr>
            <w:tcW w:w="959" w:type="dxa"/>
            <w:tcBorders>
              <w:left w:val="double" w:sz="4" w:space="0" w:color="auto"/>
              <w:bottom w:val="nil"/>
            </w:tcBorders>
            <w:vAlign w:val="center"/>
          </w:tcPr>
          <w:p w:rsidR="00BE7807" w:rsidRPr="00A332BF" w:rsidRDefault="00A332BF" w:rsidP="00194572">
            <w:pPr>
              <w:jc w:val="center"/>
            </w:pPr>
            <w:r w:rsidRPr="00A332BF">
              <w:t>0,7</w:t>
            </w:r>
          </w:p>
        </w:tc>
        <w:tc>
          <w:tcPr>
            <w:tcW w:w="959" w:type="dxa"/>
            <w:tcBorders>
              <w:bottom w:val="nil"/>
            </w:tcBorders>
            <w:vAlign w:val="center"/>
          </w:tcPr>
          <w:p w:rsidR="00BE7807" w:rsidRPr="00A332BF" w:rsidRDefault="00A332BF" w:rsidP="00194572">
            <w:pPr>
              <w:jc w:val="center"/>
            </w:pPr>
            <w:r w:rsidRPr="00A332BF">
              <w:t>0,5</w:t>
            </w:r>
          </w:p>
        </w:tc>
      </w:tr>
      <w:tr w:rsidR="00BE7807" w:rsidRPr="00783619" w:rsidTr="00BE7807">
        <w:trPr>
          <w:trHeight w:val="370"/>
        </w:trPr>
        <w:tc>
          <w:tcPr>
            <w:tcW w:w="3106" w:type="dxa"/>
            <w:tcBorders>
              <w:top w:val="nil"/>
              <w:bottom w:val="nil"/>
            </w:tcBorders>
            <w:vAlign w:val="center"/>
          </w:tcPr>
          <w:p w:rsidR="00BE7807" w:rsidRPr="00D01AC5" w:rsidRDefault="00BE7807" w:rsidP="00E24F81">
            <w:pPr>
              <w:ind w:right="42"/>
              <w:jc w:val="center"/>
            </w:pPr>
            <w:r w:rsidRPr="00D01AC5">
              <w:rPr>
                <w:sz w:val="22"/>
                <w:szCs w:val="22"/>
              </w:rPr>
              <w:t>Özel tüketim vergisi (ÖTV)</w:t>
            </w:r>
          </w:p>
        </w:tc>
        <w:tc>
          <w:tcPr>
            <w:tcW w:w="1163" w:type="dxa"/>
            <w:tcBorders>
              <w:top w:val="nil"/>
              <w:bottom w:val="nil"/>
            </w:tcBorders>
            <w:vAlign w:val="center"/>
          </w:tcPr>
          <w:p w:rsidR="00BE7807" w:rsidRPr="00A332BF" w:rsidRDefault="00A332BF" w:rsidP="00194572">
            <w:pPr>
              <w:jc w:val="center"/>
            </w:pPr>
            <w:r w:rsidRPr="00A332BF">
              <w:t>-0,5</w:t>
            </w:r>
          </w:p>
        </w:tc>
        <w:tc>
          <w:tcPr>
            <w:tcW w:w="1123" w:type="dxa"/>
            <w:tcBorders>
              <w:top w:val="nil"/>
              <w:bottom w:val="nil"/>
            </w:tcBorders>
            <w:vAlign w:val="center"/>
          </w:tcPr>
          <w:p w:rsidR="00BE7807" w:rsidRPr="00A332BF" w:rsidRDefault="00A332BF" w:rsidP="00194572">
            <w:pPr>
              <w:jc w:val="center"/>
            </w:pPr>
            <w:r w:rsidRPr="00A332BF">
              <w:t>1,0</w:t>
            </w:r>
          </w:p>
        </w:tc>
        <w:tc>
          <w:tcPr>
            <w:tcW w:w="1140" w:type="dxa"/>
            <w:tcBorders>
              <w:top w:val="nil"/>
              <w:bottom w:val="nil"/>
            </w:tcBorders>
            <w:vAlign w:val="center"/>
          </w:tcPr>
          <w:p w:rsidR="00BE7807" w:rsidRPr="00A332BF" w:rsidRDefault="00A332BF" w:rsidP="00194572">
            <w:pPr>
              <w:jc w:val="center"/>
            </w:pPr>
            <w:r w:rsidRPr="00A332BF">
              <w:t>7,4</w:t>
            </w:r>
          </w:p>
        </w:tc>
        <w:tc>
          <w:tcPr>
            <w:tcW w:w="1072" w:type="dxa"/>
            <w:tcBorders>
              <w:top w:val="nil"/>
              <w:bottom w:val="nil"/>
              <w:right w:val="double" w:sz="4" w:space="0" w:color="auto"/>
            </w:tcBorders>
            <w:vAlign w:val="center"/>
          </w:tcPr>
          <w:p w:rsidR="00BE7807" w:rsidRPr="00A332BF" w:rsidRDefault="00A332BF" w:rsidP="00194572">
            <w:pPr>
              <w:jc w:val="center"/>
            </w:pPr>
            <w:r w:rsidRPr="00A332BF">
              <w:t>-6,2</w:t>
            </w:r>
          </w:p>
        </w:tc>
        <w:tc>
          <w:tcPr>
            <w:tcW w:w="959" w:type="dxa"/>
            <w:tcBorders>
              <w:top w:val="nil"/>
              <w:left w:val="double" w:sz="4" w:space="0" w:color="auto"/>
              <w:bottom w:val="nil"/>
            </w:tcBorders>
            <w:vAlign w:val="center"/>
          </w:tcPr>
          <w:p w:rsidR="00BE7807" w:rsidRPr="00A332BF" w:rsidRDefault="00A332BF" w:rsidP="00194572">
            <w:pPr>
              <w:jc w:val="center"/>
            </w:pPr>
            <w:r w:rsidRPr="00A332BF">
              <w:t>0,7</w:t>
            </w:r>
          </w:p>
        </w:tc>
        <w:tc>
          <w:tcPr>
            <w:tcW w:w="959" w:type="dxa"/>
            <w:tcBorders>
              <w:top w:val="nil"/>
              <w:bottom w:val="nil"/>
            </w:tcBorders>
            <w:vAlign w:val="center"/>
          </w:tcPr>
          <w:p w:rsidR="00BE7807" w:rsidRPr="00A332BF" w:rsidRDefault="00A332BF" w:rsidP="00194572">
            <w:pPr>
              <w:jc w:val="center"/>
            </w:pPr>
            <w:r w:rsidRPr="00A332BF">
              <w:t>3,3</w:t>
            </w:r>
          </w:p>
        </w:tc>
      </w:tr>
      <w:tr w:rsidR="00BE7807" w:rsidRPr="00783619" w:rsidTr="00BE7807">
        <w:trPr>
          <w:trHeight w:val="370"/>
        </w:trPr>
        <w:tc>
          <w:tcPr>
            <w:tcW w:w="3106" w:type="dxa"/>
            <w:tcBorders>
              <w:top w:val="nil"/>
              <w:bottom w:val="nil"/>
            </w:tcBorders>
            <w:vAlign w:val="center"/>
          </w:tcPr>
          <w:p w:rsidR="00BE7807" w:rsidRPr="00D01AC5" w:rsidRDefault="00BE7807" w:rsidP="00E24F81">
            <w:pPr>
              <w:ind w:right="42"/>
              <w:jc w:val="center"/>
            </w:pPr>
            <w:r w:rsidRPr="00D01AC5">
              <w:rPr>
                <w:sz w:val="22"/>
                <w:szCs w:val="22"/>
              </w:rPr>
              <w:t>Binek otomobil üretimi</w:t>
            </w:r>
          </w:p>
        </w:tc>
        <w:tc>
          <w:tcPr>
            <w:tcW w:w="1163" w:type="dxa"/>
            <w:tcBorders>
              <w:top w:val="nil"/>
              <w:bottom w:val="nil"/>
            </w:tcBorders>
            <w:vAlign w:val="center"/>
          </w:tcPr>
          <w:p w:rsidR="00BE7807" w:rsidRPr="00A332BF" w:rsidRDefault="00A332BF" w:rsidP="00194572">
            <w:pPr>
              <w:jc w:val="center"/>
            </w:pPr>
            <w:r w:rsidRPr="00A332BF">
              <w:t>43,2</w:t>
            </w:r>
          </w:p>
        </w:tc>
        <w:tc>
          <w:tcPr>
            <w:tcW w:w="1123" w:type="dxa"/>
            <w:tcBorders>
              <w:top w:val="nil"/>
              <w:bottom w:val="nil"/>
            </w:tcBorders>
            <w:vAlign w:val="center"/>
          </w:tcPr>
          <w:p w:rsidR="00BE7807" w:rsidRPr="00A332BF" w:rsidRDefault="00A332BF" w:rsidP="00194572">
            <w:pPr>
              <w:jc w:val="center"/>
            </w:pPr>
            <w:r w:rsidRPr="00A332BF">
              <w:t>-9,4</w:t>
            </w:r>
          </w:p>
        </w:tc>
        <w:tc>
          <w:tcPr>
            <w:tcW w:w="1140" w:type="dxa"/>
            <w:tcBorders>
              <w:top w:val="nil"/>
              <w:bottom w:val="nil"/>
            </w:tcBorders>
            <w:vAlign w:val="center"/>
          </w:tcPr>
          <w:p w:rsidR="00BE7807" w:rsidRPr="00A332BF" w:rsidRDefault="00A332BF" w:rsidP="00194572">
            <w:pPr>
              <w:jc w:val="center"/>
            </w:pPr>
            <w:r w:rsidRPr="00A332BF">
              <w:t>7,5</w:t>
            </w:r>
          </w:p>
        </w:tc>
        <w:tc>
          <w:tcPr>
            <w:tcW w:w="1072" w:type="dxa"/>
            <w:tcBorders>
              <w:top w:val="nil"/>
              <w:bottom w:val="nil"/>
              <w:right w:val="double" w:sz="4" w:space="0" w:color="auto"/>
            </w:tcBorders>
            <w:vAlign w:val="center"/>
          </w:tcPr>
          <w:p w:rsidR="00BE7807" w:rsidRPr="00A332BF" w:rsidRDefault="00A332BF" w:rsidP="00194572">
            <w:pPr>
              <w:jc w:val="center"/>
            </w:pPr>
            <w:r w:rsidRPr="00A332BF">
              <w:t>-3,6</w:t>
            </w:r>
          </w:p>
        </w:tc>
        <w:tc>
          <w:tcPr>
            <w:tcW w:w="959" w:type="dxa"/>
            <w:tcBorders>
              <w:top w:val="nil"/>
              <w:left w:val="double" w:sz="4" w:space="0" w:color="auto"/>
              <w:bottom w:val="nil"/>
            </w:tcBorders>
            <w:vAlign w:val="center"/>
          </w:tcPr>
          <w:p w:rsidR="00BE7807" w:rsidRPr="00A332BF" w:rsidRDefault="00A332BF" w:rsidP="00194572">
            <w:pPr>
              <w:jc w:val="center"/>
            </w:pPr>
            <w:r w:rsidRPr="00A332BF">
              <w:t>-9,1</w:t>
            </w:r>
          </w:p>
        </w:tc>
        <w:tc>
          <w:tcPr>
            <w:tcW w:w="959" w:type="dxa"/>
            <w:tcBorders>
              <w:top w:val="nil"/>
              <w:bottom w:val="nil"/>
            </w:tcBorders>
            <w:vAlign w:val="center"/>
          </w:tcPr>
          <w:p w:rsidR="00BE7807" w:rsidRPr="00A332BF" w:rsidRDefault="00A332BF" w:rsidP="00194572">
            <w:pPr>
              <w:jc w:val="center"/>
            </w:pPr>
            <w:r w:rsidRPr="00A332BF">
              <w:t>6,4</w:t>
            </w:r>
          </w:p>
        </w:tc>
      </w:tr>
      <w:tr w:rsidR="00BE7807" w:rsidRPr="00783619" w:rsidTr="00BE7807">
        <w:trPr>
          <w:trHeight w:val="370"/>
        </w:trPr>
        <w:tc>
          <w:tcPr>
            <w:tcW w:w="3106" w:type="dxa"/>
            <w:tcBorders>
              <w:top w:val="nil"/>
            </w:tcBorders>
            <w:vAlign w:val="center"/>
          </w:tcPr>
          <w:p w:rsidR="00BE7807" w:rsidRPr="00D01AC5" w:rsidRDefault="00BE7807" w:rsidP="00E24F81">
            <w:pPr>
              <w:ind w:right="42"/>
              <w:jc w:val="center"/>
            </w:pPr>
            <w:r w:rsidRPr="00D01AC5">
              <w:rPr>
                <w:sz w:val="22"/>
                <w:szCs w:val="22"/>
              </w:rPr>
              <w:t>Binek olmayan otomobil üretimi</w:t>
            </w:r>
          </w:p>
        </w:tc>
        <w:tc>
          <w:tcPr>
            <w:tcW w:w="1163" w:type="dxa"/>
            <w:tcBorders>
              <w:top w:val="nil"/>
            </w:tcBorders>
            <w:vAlign w:val="center"/>
          </w:tcPr>
          <w:p w:rsidR="00BE7807" w:rsidRPr="00A332BF" w:rsidRDefault="00A332BF" w:rsidP="00194572">
            <w:pPr>
              <w:jc w:val="center"/>
            </w:pPr>
            <w:r w:rsidRPr="00A332BF">
              <w:t>40,9</w:t>
            </w:r>
          </w:p>
        </w:tc>
        <w:tc>
          <w:tcPr>
            <w:tcW w:w="1123" w:type="dxa"/>
            <w:tcBorders>
              <w:top w:val="nil"/>
            </w:tcBorders>
            <w:vAlign w:val="center"/>
          </w:tcPr>
          <w:p w:rsidR="00BE7807" w:rsidRPr="00A332BF" w:rsidRDefault="00A332BF" w:rsidP="00194572">
            <w:pPr>
              <w:jc w:val="center"/>
            </w:pPr>
            <w:r w:rsidRPr="00A332BF">
              <w:t>3,6</w:t>
            </w:r>
          </w:p>
        </w:tc>
        <w:tc>
          <w:tcPr>
            <w:tcW w:w="1140" w:type="dxa"/>
            <w:tcBorders>
              <w:top w:val="nil"/>
            </w:tcBorders>
            <w:vAlign w:val="center"/>
          </w:tcPr>
          <w:p w:rsidR="00BE7807" w:rsidRPr="00A332BF" w:rsidRDefault="00A332BF" w:rsidP="00194572">
            <w:pPr>
              <w:jc w:val="center"/>
            </w:pPr>
            <w:r w:rsidRPr="00A332BF">
              <w:t>3,3</w:t>
            </w:r>
          </w:p>
        </w:tc>
        <w:tc>
          <w:tcPr>
            <w:tcW w:w="1072" w:type="dxa"/>
            <w:tcBorders>
              <w:top w:val="nil"/>
              <w:right w:val="double" w:sz="4" w:space="0" w:color="auto"/>
            </w:tcBorders>
            <w:vAlign w:val="center"/>
          </w:tcPr>
          <w:p w:rsidR="00BE7807" w:rsidRPr="00A332BF" w:rsidRDefault="00A332BF" w:rsidP="00194572">
            <w:pPr>
              <w:jc w:val="center"/>
            </w:pPr>
            <w:r w:rsidRPr="00A332BF">
              <w:t>-1,5</w:t>
            </w:r>
          </w:p>
        </w:tc>
        <w:tc>
          <w:tcPr>
            <w:tcW w:w="959" w:type="dxa"/>
            <w:tcBorders>
              <w:top w:val="nil"/>
              <w:left w:val="double" w:sz="4" w:space="0" w:color="auto"/>
            </w:tcBorders>
            <w:vAlign w:val="center"/>
          </w:tcPr>
          <w:p w:rsidR="00BE7807" w:rsidRPr="00A332BF" w:rsidRDefault="00A332BF" w:rsidP="00194572">
            <w:pPr>
              <w:jc w:val="center"/>
            </w:pPr>
            <w:r w:rsidRPr="00A332BF">
              <w:t>-3,6</w:t>
            </w:r>
          </w:p>
        </w:tc>
        <w:tc>
          <w:tcPr>
            <w:tcW w:w="959" w:type="dxa"/>
            <w:tcBorders>
              <w:top w:val="nil"/>
            </w:tcBorders>
            <w:vAlign w:val="center"/>
          </w:tcPr>
          <w:p w:rsidR="00BE7807" w:rsidRPr="00A332BF" w:rsidRDefault="00A332BF" w:rsidP="00194572">
            <w:pPr>
              <w:jc w:val="center"/>
            </w:pPr>
            <w:r w:rsidRPr="00A332BF">
              <w:t>14,8</w:t>
            </w:r>
          </w:p>
        </w:tc>
      </w:tr>
    </w:tbl>
    <w:p w:rsidR="00197085" w:rsidRPr="00D01AC5" w:rsidRDefault="00197085" w:rsidP="00197085">
      <w:pPr>
        <w:ind w:left="-720" w:right="43" w:firstLine="360"/>
        <w:jc w:val="both"/>
        <w:rPr>
          <w:sz w:val="16"/>
          <w:szCs w:val="16"/>
        </w:rPr>
      </w:pPr>
      <w:r w:rsidRPr="00D01AC5">
        <w:rPr>
          <w:sz w:val="16"/>
          <w:szCs w:val="16"/>
        </w:rPr>
        <w:t>Kaynak: TÜİK, TCMB, BIST, TDM, BETAM.</w:t>
      </w:r>
    </w:p>
    <w:p w:rsidR="00197085" w:rsidRPr="00D01AC5" w:rsidRDefault="00197085" w:rsidP="00197085">
      <w:pPr>
        <w:ind w:left="-720" w:right="43" w:firstLine="360"/>
        <w:jc w:val="both"/>
        <w:rPr>
          <w:sz w:val="16"/>
          <w:szCs w:val="16"/>
        </w:rPr>
      </w:pPr>
      <w:r w:rsidRPr="00D01AC5">
        <w:rPr>
          <w:sz w:val="16"/>
          <w:szCs w:val="16"/>
          <w:vertAlign w:val="superscript"/>
        </w:rPr>
        <w:t xml:space="preserve">† </w:t>
      </w:r>
      <w:r w:rsidRPr="00D01AC5">
        <w:rPr>
          <w:sz w:val="16"/>
          <w:szCs w:val="16"/>
        </w:rPr>
        <w:t>TCMB tarafından mevsimsellikten arındırılmıştır.</w:t>
      </w:r>
    </w:p>
    <w:p w:rsidR="00197085" w:rsidRPr="00D01AC5" w:rsidRDefault="00197085" w:rsidP="00197085">
      <w:pPr>
        <w:ind w:left="-360" w:right="43"/>
        <w:rPr>
          <w:sz w:val="16"/>
          <w:szCs w:val="16"/>
        </w:rPr>
      </w:pPr>
      <w:r w:rsidRPr="00D01AC5">
        <w:rPr>
          <w:sz w:val="16"/>
          <w:szCs w:val="16"/>
          <w:vertAlign w:val="superscript"/>
        </w:rPr>
        <w:t>‡</w:t>
      </w:r>
      <w:r w:rsidRPr="00D01AC5">
        <w:rPr>
          <w:sz w:val="16"/>
          <w:szCs w:val="16"/>
        </w:rPr>
        <w:t xml:space="preserve"> KKO ve alt kollarında diğer endekslerin aksine yüzde puan değişimleri veriliyor.</w:t>
      </w:r>
    </w:p>
    <w:p w:rsidR="00197085" w:rsidRPr="00D01AC5" w:rsidRDefault="00197085" w:rsidP="00197085">
      <w:pPr>
        <w:ind w:left="-720" w:right="43" w:firstLine="360"/>
        <w:jc w:val="both"/>
        <w:rPr>
          <w:sz w:val="16"/>
          <w:szCs w:val="16"/>
        </w:rPr>
      </w:pPr>
      <w:r w:rsidRPr="00D01AC5">
        <w:rPr>
          <w:sz w:val="16"/>
          <w:szCs w:val="16"/>
        </w:rPr>
        <w:t xml:space="preserve">*TÜİK tarafından mevsimsellikten arındırılmıştır. Diğer tüm veriler Betam tarafından mevsimsellikten arındırılmıştır. </w:t>
      </w:r>
    </w:p>
    <w:p w:rsidR="00197085" w:rsidRPr="00D01AC5" w:rsidRDefault="00197085" w:rsidP="00197085">
      <w:pPr>
        <w:ind w:left="-720" w:right="43" w:firstLine="360"/>
        <w:jc w:val="both"/>
        <w:rPr>
          <w:sz w:val="16"/>
          <w:szCs w:val="16"/>
        </w:rPr>
      </w:pPr>
      <w:r w:rsidRPr="00D01AC5">
        <w:rPr>
          <w:sz w:val="16"/>
          <w:szCs w:val="16"/>
        </w:rPr>
        <w:t>**Bu aya dair veri henüz açıklanmamıştır.</w:t>
      </w:r>
    </w:p>
    <w:p w:rsidR="00197085" w:rsidRPr="00D01AC5" w:rsidRDefault="001344A4" w:rsidP="00197085">
      <w:pPr>
        <w:ind w:left="-360" w:right="43"/>
        <w:rPr>
          <w:sz w:val="16"/>
          <w:szCs w:val="16"/>
        </w:rPr>
      </w:pPr>
      <w:r>
        <w:rPr>
          <w:sz w:val="16"/>
          <w:szCs w:val="16"/>
        </w:rPr>
        <w:t xml:space="preserve">*** Betam </w:t>
      </w:r>
      <w:r w:rsidR="00197085" w:rsidRPr="00D01AC5">
        <w:rPr>
          <w:sz w:val="16"/>
          <w:szCs w:val="16"/>
        </w:rPr>
        <w:t>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197085" w:rsidRPr="00D01AC5" w:rsidRDefault="00197085" w:rsidP="00197085">
      <w:pPr>
        <w:ind w:left="-360" w:right="43"/>
        <w:rPr>
          <w:sz w:val="16"/>
          <w:szCs w:val="16"/>
        </w:rPr>
      </w:pPr>
      <w:r w:rsidRPr="00D01AC5">
        <w:rPr>
          <w:rFonts w:ascii="Calibri" w:hAnsi="Calibri"/>
          <w:sz w:val="16"/>
          <w:szCs w:val="16"/>
        </w:rPr>
        <w:t>⁰</w:t>
      </w:r>
      <w:r w:rsidRPr="00D01AC5">
        <w:rPr>
          <w:sz w:val="16"/>
          <w:szCs w:val="16"/>
        </w:rPr>
        <w:t xml:space="preserve"> Cari transferler hariç hükümet harcamalarının toplamı, enflasyondan arındırılmış.</w:t>
      </w:r>
    </w:p>
    <w:p w:rsidR="00197085" w:rsidRPr="00783619" w:rsidRDefault="00197085" w:rsidP="00197085">
      <w:pPr>
        <w:spacing w:line="360" w:lineRule="auto"/>
        <w:ind w:right="42"/>
        <w:jc w:val="both"/>
        <w:rPr>
          <w:color w:val="FF0000"/>
          <w:sz w:val="22"/>
          <w:szCs w:val="22"/>
        </w:rPr>
      </w:pPr>
    </w:p>
    <w:p w:rsidR="00197085" w:rsidRPr="00783619" w:rsidRDefault="00197085" w:rsidP="00197085">
      <w:pPr>
        <w:spacing w:line="360" w:lineRule="auto"/>
        <w:ind w:right="42"/>
        <w:jc w:val="both"/>
        <w:rPr>
          <w:color w:val="FF0000"/>
          <w:sz w:val="22"/>
          <w:szCs w:val="22"/>
        </w:rPr>
        <w:sectPr w:rsidR="00197085" w:rsidRPr="00783619" w:rsidSect="008651A8">
          <w:type w:val="continuous"/>
          <w:pgSz w:w="11906" w:h="16838"/>
          <w:pgMar w:top="1417" w:right="1417" w:bottom="1417" w:left="1417" w:header="708" w:footer="708" w:gutter="0"/>
          <w:cols w:space="708"/>
          <w:docGrid w:linePitch="360"/>
        </w:sectPr>
      </w:pPr>
    </w:p>
    <w:p w:rsidR="00197085" w:rsidRPr="002F6BD8" w:rsidRDefault="00197085" w:rsidP="00197085">
      <w:pPr>
        <w:ind w:left="-360" w:right="42"/>
        <w:jc w:val="both"/>
        <w:rPr>
          <w:b/>
          <w:bCs/>
          <w:sz w:val="22"/>
          <w:szCs w:val="22"/>
        </w:rPr>
      </w:pPr>
      <w:r w:rsidRPr="008F1089">
        <w:rPr>
          <w:b/>
          <w:bCs/>
          <w:sz w:val="22"/>
          <w:szCs w:val="22"/>
        </w:rPr>
        <w:lastRenderedPageBreak/>
        <w:t>Şekil 1: Kapasite kullanım oranı ve sanayi üretim endeksi (mea)</w:t>
      </w:r>
    </w:p>
    <w:p w:rsidR="00197085" w:rsidRPr="00783619" w:rsidRDefault="00197085" w:rsidP="00197085">
      <w:pPr>
        <w:ind w:left="-360" w:right="42"/>
        <w:jc w:val="both"/>
        <w:rPr>
          <w:b/>
          <w:bCs/>
          <w:color w:val="FF0000"/>
          <w:sz w:val="8"/>
          <w:szCs w:val="8"/>
        </w:rPr>
      </w:pPr>
    </w:p>
    <w:p w:rsidR="00197085" w:rsidRPr="00783619" w:rsidRDefault="00A332BF" w:rsidP="00197085">
      <w:pPr>
        <w:ind w:left="-360" w:right="42"/>
        <w:jc w:val="both"/>
        <w:rPr>
          <w:color w:val="FF0000"/>
        </w:rPr>
      </w:pPr>
      <w:r w:rsidRPr="00A332BF">
        <w:rPr>
          <w:noProof/>
          <w:lang w:val="en-US" w:eastAsia="en-US"/>
        </w:rPr>
        <w:drawing>
          <wp:inline distT="0" distB="0" distL="0" distR="0">
            <wp:extent cx="2948020" cy="2295525"/>
            <wp:effectExtent l="19050" t="0" r="473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949274" cy="2296501"/>
                    </a:xfrm>
                    <a:prstGeom prst="rect">
                      <a:avLst/>
                    </a:prstGeom>
                    <a:noFill/>
                    <a:ln w="9525">
                      <a:noFill/>
                      <a:miter lim="800000"/>
                      <a:headEnd/>
                      <a:tailEnd/>
                    </a:ln>
                  </pic:spPr>
                </pic:pic>
              </a:graphicData>
            </a:graphic>
          </wp:inline>
        </w:drawing>
      </w:r>
    </w:p>
    <w:p w:rsidR="00197085" w:rsidRPr="002F6BD8" w:rsidRDefault="002F6BD8" w:rsidP="00197085">
      <w:pPr>
        <w:ind w:left="-360" w:right="42"/>
        <w:jc w:val="both"/>
        <w:rPr>
          <w:sz w:val="18"/>
          <w:szCs w:val="18"/>
        </w:rPr>
      </w:pPr>
      <w:r w:rsidRPr="002F6BD8">
        <w:rPr>
          <w:sz w:val="18"/>
          <w:szCs w:val="18"/>
        </w:rPr>
        <w:t>Kaynak</w:t>
      </w:r>
      <w:r w:rsidR="00197085" w:rsidRPr="002F6BD8">
        <w:rPr>
          <w:sz w:val="18"/>
          <w:szCs w:val="18"/>
        </w:rPr>
        <w:t xml:space="preserve">: TÜİK (sol taraf KKO ekseni, sağ taraf SÜE </w:t>
      </w:r>
    </w:p>
    <w:p w:rsidR="00197085" w:rsidRPr="002F6BD8" w:rsidRDefault="00197085" w:rsidP="00197085">
      <w:pPr>
        <w:ind w:left="-360" w:right="42"/>
        <w:jc w:val="both"/>
        <w:rPr>
          <w:sz w:val="18"/>
          <w:szCs w:val="18"/>
        </w:rPr>
      </w:pPr>
      <w:r w:rsidRPr="002F6BD8">
        <w:rPr>
          <w:sz w:val="18"/>
          <w:szCs w:val="18"/>
        </w:rPr>
        <w:t>ekseni).</w:t>
      </w:r>
    </w:p>
    <w:p w:rsidR="00197085" w:rsidRPr="00783619" w:rsidRDefault="00197085" w:rsidP="00197085">
      <w:pPr>
        <w:ind w:left="-360" w:right="42"/>
        <w:jc w:val="both"/>
        <w:rPr>
          <w:b/>
          <w:bCs/>
          <w:color w:val="FF0000"/>
          <w:sz w:val="10"/>
          <w:szCs w:val="10"/>
        </w:rPr>
      </w:pPr>
    </w:p>
    <w:p w:rsidR="008F1089" w:rsidRDefault="008F1089" w:rsidP="00197085">
      <w:pPr>
        <w:ind w:left="-360" w:right="42"/>
        <w:jc w:val="both"/>
        <w:rPr>
          <w:b/>
          <w:bCs/>
          <w:sz w:val="22"/>
          <w:szCs w:val="22"/>
        </w:rPr>
      </w:pPr>
    </w:p>
    <w:p w:rsidR="00197085" w:rsidRPr="0011609A" w:rsidRDefault="00197085" w:rsidP="00197085">
      <w:pPr>
        <w:ind w:left="-360" w:right="42"/>
        <w:jc w:val="both"/>
        <w:rPr>
          <w:b/>
          <w:bCs/>
          <w:sz w:val="22"/>
          <w:szCs w:val="22"/>
        </w:rPr>
      </w:pPr>
      <w:r w:rsidRPr="0011609A">
        <w:rPr>
          <w:b/>
          <w:bCs/>
          <w:sz w:val="22"/>
          <w:szCs w:val="22"/>
        </w:rPr>
        <w:t>Şekil 3: Altın dahil cari açığın GSYH'a oranı, 12 aylık</w:t>
      </w:r>
    </w:p>
    <w:p w:rsidR="00197085" w:rsidRPr="0011609A" w:rsidRDefault="00197085" w:rsidP="00197085">
      <w:pPr>
        <w:ind w:left="-360" w:right="42"/>
        <w:jc w:val="both"/>
        <w:rPr>
          <w:b/>
          <w:bCs/>
          <w:sz w:val="8"/>
          <w:szCs w:val="8"/>
        </w:rPr>
      </w:pPr>
    </w:p>
    <w:p w:rsidR="00197085" w:rsidRPr="0011609A" w:rsidRDefault="008F1089" w:rsidP="00197085">
      <w:pPr>
        <w:ind w:left="-360" w:right="42"/>
        <w:jc w:val="both"/>
      </w:pPr>
      <w:r w:rsidRPr="008F1089">
        <w:rPr>
          <w:noProof/>
          <w:lang w:val="en-US" w:eastAsia="en-US"/>
        </w:rPr>
        <w:drawing>
          <wp:inline distT="0" distB="0" distL="0" distR="0">
            <wp:extent cx="2655570" cy="2225079"/>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655570" cy="2225079"/>
                    </a:xfrm>
                    <a:prstGeom prst="rect">
                      <a:avLst/>
                    </a:prstGeom>
                    <a:noFill/>
                    <a:ln w="9525">
                      <a:noFill/>
                      <a:miter lim="800000"/>
                      <a:headEnd/>
                      <a:tailEnd/>
                    </a:ln>
                  </pic:spPr>
                </pic:pic>
              </a:graphicData>
            </a:graphic>
          </wp:inline>
        </w:drawing>
      </w:r>
    </w:p>
    <w:p w:rsidR="00197085" w:rsidRPr="0011609A" w:rsidRDefault="00197085" w:rsidP="00197085">
      <w:pPr>
        <w:ind w:left="-360" w:right="42"/>
        <w:jc w:val="both"/>
        <w:rPr>
          <w:sz w:val="16"/>
          <w:szCs w:val="16"/>
        </w:rPr>
      </w:pPr>
      <w:r w:rsidRPr="0011609A">
        <w:rPr>
          <w:sz w:val="16"/>
          <w:szCs w:val="16"/>
        </w:rPr>
        <w:t>Kaynak: TCMB,</w:t>
      </w:r>
      <w:r w:rsidR="0011609A" w:rsidRPr="0011609A">
        <w:rPr>
          <w:sz w:val="16"/>
          <w:szCs w:val="16"/>
        </w:rPr>
        <w:t xml:space="preserve"> </w:t>
      </w:r>
      <w:r w:rsidRPr="0011609A">
        <w:rPr>
          <w:sz w:val="16"/>
          <w:szCs w:val="16"/>
        </w:rPr>
        <w:t>TÜİK, Betam.</w:t>
      </w:r>
    </w:p>
    <w:p w:rsidR="00197085" w:rsidRPr="002F6BD8" w:rsidRDefault="00197085" w:rsidP="00197085">
      <w:pPr>
        <w:ind w:left="-360" w:right="42"/>
        <w:jc w:val="both"/>
        <w:rPr>
          <w:b/>
          <w:bCs/>
          <w:sz w:val="22"/>
          <w:szCs w:val="22"/>
        </w:rPr>
      </w:pPr>
      <w:r w:rsidRPr="00783619">
        <w:rPr>
          <w:b/>
          <w:bCs/>
          <w:color w:val="FF0000"/>
          <w:sz w:val="22"/>
          <w:szCs w:val="22"/>
        </w:rPr>
        <w:br/>
      </w:r>
      <w:r w:rsidRPr="00783619">
        <w:rPr>
          <w:b/>
          <w:bCs/>
          <w:color w:val="FF0000"/>
          <w:sz w:val="22"/>
          <w:szCs w:val="22"/>
        </w:rPr>
        <w:br/>
      </w:r>
      <w:r w:rsidRPr="00783619">
        <w:rPr>
          <w:b/>
          <w:bCs/>
          <w:color w:val="FF0000"/>
          <w:sz w:val="22"/>
          <w:szCs w:val="22"/>
        </w:rPr>
        <w:br/>
      </w:r>
      <w:r w:rsidRPr="008F1089">
        <w:rPr>
          <w:b/>
          <w:bCs/>
          <w:sz w:val="22"/>
          <w:szCs w:val="22"/>
        </w:rPr>
        <w:lastRenderedPageBreak/>
        <w:t>Şekil 2: İhracat ve ithalat miktar endeksleri (mea)</w:t>
      </w:r>
    </w:p>
    <w:p w:rsidR="00197085" w:rsidRPr="002F6BD8" w:rsidRDefault="00197085" w:rsidP="00197085">
      <w:pPr>
        <w:spacing w:line="360" w:lineRule="auto"/>
        <w:ind w:left="-360" w:right="42"/>
        <w:jc w:val="both"/>
        <w:rPr>
          <w:sz w:val="4"/>
          <w:szCs w:val="4"/>
        </w:rPr>
      </w:pPr>
    </w:p>
    <w:p w:rsidR="00197085" w:rsidRPr="002F6BD8" w:rsidRDefault="00072321" w:rsidP="00197085">
      <w:pPr>
        <w:ind w:left="-360" w:right="42"/>
        <w:jc w:val="both"/>
      </w:pPr>
      <w:r w:rsidRPr="00072321">
        <w:rPr>
          <w:noProof/>
          <w:lang w:val="en-US" w:eastAsia="en-US"/>
        </w:rPr>
        <w:drawing>
          <wp:inline distT="0" distB="0" distL="0" distR="0">
            <wp:extent cx="2886075" cy="23050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895084" cy="2312245"/>
                    </a:xfrm>
                    <a:prstGeom prst="rect">
                      <a:avLst/>
                    </a:prstGeom>
                    <a:noFill/>
                    <a:ln w="9525">
                      <a:noFill/>
                      <a:miter lim="800000"/>
                      <a:headEnd/>
                      <a:tailEnd/>
                    </a:ln>
                  </pic:spPr>
                </pic:pic>
              </a:graphicData>
            </a:graphic>
          </wp:inline>
        </w:drawing>
      </w:r>
    </w:p>
    <w:p w:rsidR="00197085" w:rsidRDefault="002F6BD8" w:rsidP="00197085">
      <w:pPr>
        <w:ind w:left="-360" w:right="42"/>
        <w:jc w:val="both"/>
        <w:rPr>
          <w:sz w:val="18"/>
          <w:szCs w:val="18"/>
        </w:rPr>
      </w:pPr>
      <w:r w:rsidRPr="002F6BD8">
        <w:rPr>
          <w:sz w:val="18"/>
          <w:szCs w:val="18"/>
        </w:rPr>
        <w:t>Kaynak</w:t>
      </w:r>
      <w:r w:rsidR="00197085" w:rsidRPr="002F6BD8">
        <w:rPr>
          <w:sz w:val="18"/>
          <w:szCs w:val="18"/>
        </w:rPr>
        <w:t>: TÜİK.</w:t>
      </w:r>
    </w:p>
    <w:p w:rsidR="00197085" w:rsidRPr="00783619" w:rsidRDefault="00197085" w:rsidP="00197085">
      <w:pPr>
        <w:ind w:left="-360" w:right="42"/>
        <w:jc w:val="both"/>
        <w:rPr>
          <w:b/>
          <w:bCs/>
          <w:color w:val="FF0000"/>
          <w:sz w:val="18"/>
          <w:szCs w:val="18"/>
        </w:rPr>
      </w:pPr>
    </w:p>
    <w:p w:rsidR="00197085" w:rsidRPr="0011609A" w:rsidRDefault="00197085" w:rsidP="00197085">
      <w:pPr>
        <w:ind w:left="-360" w:right="42"/>
        <w:jc w:val="both"/>
        <w:rPr>
          <w:b/>
          <w:bCs/>
          <w:sz w:val="22"/>
          <w:szCs w:val="22"/>
        </w:rPr>
      </w:pPr>
      <w:r w:rsidRPr="00783619">
        <w:rPr>
          <w:b/>
          <w:bCs/>
          <w:color w:val="FF0000"/>
          <w:sz w:val="22"/>
          <w:szCs w:val="22"/>
        </w:rPr>
        <w:br/>
      </w:r>
      <w:r w:rsidRPr="0011609A">
        <w:rPr>
          <w:b/>
          <w:bCs/>
          <w:sz w:val="22"/>
          <w:szCs w:val="22"/>
        </w:rPr>
        <w:t>Şekil 4: Altın hariç cari açığın GSYH'a oranı, 12 aylık</w:t>
      </w:r>
    </w:p>
    <w:p w:rsidR="00197085" w:rsidRPr="0011609A" w:rsidRDefault="00197085" w:rsidP="00197085">
      <w:pPr>
        <w:spacing w:line="360" w:lineRule="auto"/>
        <w:ind w:left="-360" w:right="42"/>
        <w:jc w:val="both"/>
        <w:rPr>
          <w:sz w:val="4"/>
          <w:szCs w:val="4"/>
        </w:rPr>
      </w:pPr>
    </w:p>
    <w:p w:rsidR="00197085" w:rsidRPr="0011609A" w:rsidRDefault="008F1089" w:rsidP="00197085">
      <w:pPr>
        <w:ind w:left="-360" w:right="42"/>
        <w:jc w:val="both"/>
      </w:pPr>
      <w:r w:rsidRPr="008F1089">
        <w:rPr>
          <w:noProof/>
          <w:lang w:val="en-US" w:eastAsia="en-US"/>
        </w:rPr>
        <w:drawing>
          <wp:inline distT="0" distB="0" distL="0" distR="0">
            <wp:extent cx="2655570" cy="224645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655570" cy="2246450"/>
                    </a:xfrm>
                    <a:prstGeom prst="rect">
                      <a:avLst/>
                    </a:prstGeom>
                    <a:noFill/>
                    <a:ln w="9525">
                      <a:noFill/>
                      <a:miter lim="800000"/>
                      <a:headEnd/>
                      <a:tailEnd/>
                    </a:ln>
                  </pic:spPr>
                </pic:pic>
              </a:graphicData>
            </a:graphic>
          </wp:inline>
        </w:drawing>
      </w:r>
    </w:p>
    <w:p w:rsidR="00197085" w:rsidRPr="0011609A" w:rsidRDefault="003136F7" w:rsidP="00197085">
      <w:pPr>
        <w:ind w:left="-360" w:right="42"/>
        <w:jc w:val="both"/>
        <w:rPr>
          <w:sz w:val="16"/>
          <w:szCs w:val="16"/>
        </w:rPr>
      </w:pPr>
      <w:r w:rsidRPr="0011609A">
        <w:rPr>
          <w:sz w:val="16"/>
          <w:szCs w:val="16"/>
        </w:rPr>
        <w:t>Kaynak</w:t>
      </w:r>
      <w:r w:rsidR="00197085" w:rsidRPr="0011609A">
        <w:rPr>
          <w:sz w:val="16"/>
          <w:szCs w:val="16"/>
        </w:rPr>
        <w:t>: TCMB, TÜİK, Betam.</w:t>
      </w:r>
    </w:p>
    <w:p w:rsidR="00197085" w:rsidRPr="00783619" w:rsidRDefault="00197085" w:rsidP="00197085">
      <w:pPr>
        <w:spacing w:line="360" w:lineRule="auto"/>
        <w:ind w:right="42"/>
        <w:jc w:val="both"/>
        <w:rPr>
          <w:color w:val="FF0000"/>
          <w:sz w:val="22"/>
          <w:szCs w:val="22"/>
        </w:rPr>
        <w:sectPr w:rsidR="00197085" w:rsidRPr="00783619" w:rsidSect="007067F4">
          <w:type w:val="continuous"/>
          <w:pgSz w:w="11906" w:h="16838"/>
          <w:pgMar w:top="1417" w:right="1417" w:bottom="1417" w:left="1417" w:header="708" w:footer="708" w:gutter="0"/>
          <w:cols w:num="2" w:space="708" w:equalWidth="0">
            <w:col w:w="4182" w:space="708"/>
            <w:col w:w="4182"/>
          </w:cols>
          <w:docGrid w:linePitch="360"/>
        </w:sectPr>
      </w:pPr>
    </w:p>
    <w:p w:rsidR="00197085" w:rsidRPr="00783619" w:rsidRDefault="00197085" w:rsidP="00197085">
      <w:pPr>
        <w:spacing w:line="360" w:lineRule="auto"/>
        <w:ind w:left="-360" w:right="42"/>
        <w:jc w:val="both"/>
        <w:rPr>
          <w:b/>
          <w:bCs/>
          <w:color w:val="FF0000"/>
          <w:sz w:val="22"/>
          <w:szCs w:val="22"/>
        </w:rPr>
      </w:pPr>
    </w:p>
    <w:p w:rsidR="00197085" w:rsidRPr="00783619" w:rsidRDefault="00197085" w:rsidP="0011609A">
      <w:pPr>
        <w:ind w:left="-360" w:right="42"/>
        <w:rPr>
          <w:b/>
          <w:bCs/>
          <w:color w:val="FF0000"/>
          <w:sz w:val="22"/>
          <w:szCs w:val="22"/>
        </w:rPr>
      </w:pPr>
      <w:r w:rsidRPr="00783619">
        <w:rPr>
          <w:color w:val="FF0000"/>
          <w:sz w:val="18"/>
          <w:szCs w:val="18"/>
        </w:rPr>
        <w:tab/>
      </w: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197085" w:rsidRPr="00783619" w:rsidRDefault="00197085" w:rsidP="00197085">
      <w:pPr>
        <w:ind w:left="-360" w:right="42"/>
        <w:jc w:val="both"/>
        <w:rPr>
          <w:b/>
          <w:bCs/>
          <w:color w:val="FF0000"/>
          <w:sz w:val="22"/>
          <w:szCs w:val="22"/>
        </w:rPr>
      </w:pPr>
    </w:p>
    <w:p w:rsidR="008C6E09" w:rsidRPr="00783619" w:rsidRDefault="008C6E09" w:rsidP="00197085">
      <w:pPr>
        <w:spacing w:line="360" w:lineRule="auto"/>
        <w:ind w:right="42"/>
        <w:jc w:val="both"/>
        <w:rPr>
          <w:b/>
          <w:bCs/>
          <w:color w:val="FF0000"/>
          <w:sz w:val="22"/>
          <w:szCs w:val="22"/>
        </w:rPr>
      </w:pPr>
    </w:p>
    <w:sectPr w:rsidR="008C6E09" w:rsidRPr="00783619" w:rsidSect="00E9738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796" w:rsidRDefault="002F6796">
      <w:r>
        <w:separator/>
      </w:r>
    </w:p>
  </w:endnote>
  <w:endnote w:type="continuationSeparator" w:id="1">
    <w:p w:rsidR="002F6796" w:rsidRDefault="002F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D" w:rsidRDefault="00420CD2"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F35DCE">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90" w:rsidRDefault="00420CD2"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F35DCE">
      <w:rPr>
        <w:rStyle w:val="PageNumber"/>
        <w:noProof/>
      </w:rPr>
      <w:t>5</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796" w:rsidRDefault="002F6796">
      <w:r>
        <w:separator/>
      </w:r>
    </w:p>
  </w:footnote>
  <w:footnote w:type="continuationSeparator" w:id="1">
    <w:p w:rsidR="002F6796" w:rsidRDefault="002F6796">
      <w:r>
        <w:continuationSeparator/>
      </w:r>
    </w:p>
  </w:footnote>
  <w:footnote w:id="2">
    <w:p w:rsidR="00AE3964" w:rsidRDefault="00AE3964" w:rsidP="00AE3964">
      <w:pPr>
        <w:pStyle w:val="FootnoteText"/>
        <w:ind w:left="-284"/>
        <w:jc w:val="both"/>
      </w:pPr>
      <w:r>
        <w:rPr>
          <w:rStyle w:val="FootnoteReference"/>
        </w:rPr>
        <w:footnoteRef/>
      </w:r>
      <w:r>
        <w:t xml:space="preserve"> Altın hariç reel ihracat mal ve hizmet ihracatından altın ihracatı çıkarılarak hesaplanmaktadır.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57ECC"/>
    <w:rsid w:val="0000014A"/>
    <w:rsid w:val="000015B4"/>
    <w:rsid w:val="00001CF9"/>
    <w:rsid w:val="0000230B"/>
    <w:rsid w:val="0000306F"/>
    <w:rsid w:val="000039F2"/>
    <w:rsid w:val="00004860"/>
    <w:rsid w:val="00004B78"/>
    <w:rsid w:val="0000507C"/>
    <w:rsid w:val="000056C3"/>
    <w:rsid w:val="0000704D"/>
    <w:rsid w:val="00011090"/>
    <w:rsid w:val="0001121A"/>
    <w:rsid w:val="000117B7"/>
    <w:rsid w:val="0001277D"/>
    <w:rsid w:val="0001288B"/>
    <w:rsid w:val="000144EB"/>
    <w:rsid w:val="000150D2"/>
    <w:rsid w:val="00017809"/>
    <w:rsid w:val="0002037B"/>
    <w:rsid w:val="000205A1"/>
    <w:rsid w:val="000208EA"/>
    <w:rsid w:val="000212AC"/>
    <w:rsid w:val="000217AE"/>
    <w:rsid w:val="000224B9"/>
    <w:rsid w:val="000232EC"/>
    <w:rsid w:val="000233A7"/>
    <w:rsid w:val="00024559"/>
    <w:rsid w:val="000262EC"/>
    <w:rsid w:val="00026F21"/>
    <w:rsid w:val="00027FC3"/>
    <w:rsid w:val="000311C6"/>
    <w:rsid w:val="00031D72"/>
    <w:rsid w:val="0003248D"/>
    <w:rsid w:val="00033700"/>
    <w:rsid w:val="00033AF8"/>
    <w:rsid w:val="00034090"/>
    <w:rsid w:val="0003546D"/>
    <w:rsid w:val="000449FC"/>
    <w:rsid w:val="00044A0F"/>
    <w:rsid w:val="00045C5A"/>
    <w:rsid w:val="00047B99"/>
    <w:rsid w:val="00047E9F"/>
    <w:rsid w:val="0005037D"/>
    <w:rsid w:val="00050453"/>
    <w:rsid w:val="000507D6"/>
    <w:rsid w:val="000509A3"/>
    <w:rsid w:val="00052AD4"/>
    <w:rsid w:val="00052D7A"/>
    <w:rsid w:val="00052EFB"/>
    <w:rsid w:val="00054BD3"/>
    <w:rsid w:val="00056118"/>
    <w:rsid w:val="00056B3E"/>
    <w:rsid w:val="00060119"/>
    <w:rsid w:val="00060540"/>
    <w:rsid w:val="00061256"/>
    <w:rsid w:val="000616F0"/>
    <w:rsid w:val="00061732"/>
    <w:rsid w:val="00063005"/>
    <w:rsid w:val="00064636"/>
    <w:rsid w:val="0006518B"/>
    <w:rsid w:val="00065B3C"/>
    <w:rsid w:val="0006725C"/>
    <w:rsid w:val="000678F9"/>
    <w:rsid w:val="00070FF1"/>
    <w:rsid w:val="000716BA"/>
    <w:rsid w:val="000716CA"/>
    <w:rsid w:val="0007202B"/>
    <w:rsid w:val="00072321"/>
    <w:rsid w:val="00072407"/>
    <w:rsid w:val="00074648"/>
    <w:rsid w:val="000750E3"/>
    <w:rsid w:val="00076BAC"/>
    <w:rsid w:val="0007701E"/>
    <w:rsid w:val="00077A9D"/>
    <w:rsid w:val="00077FF4"/>
    <w:rsid w:val="00080D7E"/>
    <w:rsid w:val="00081E3F"/>
    <w:rsid w:val="000829B5"/>
    <w:rsid w:val="00082FE4"/>
    <w:rsid w:val="000833C7"/>
    <w:rsid w:val="0008631D"/>
    <w:rsid w:val="0008735C"/>
    <w:rsid w:val="000875E6"/>
    <w:rsid w:val="00087E0A"/>
    <w:rsid w:val="00090498"/>
    <w:rsid w:val="0009059A"/>
    <w:rsid w:val="000925B3"/>
    <w:rsid w:val="000960F1"/>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00E"/>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102"/>
    <w:rsid w:val="000C2F1B"/>
    <w:rsid w:val="000C5B7E"/>
    <w:rsid w:val="000C667B"/>
    <w:rsid w:val="000C7B42"/>
    <w:rsid w:val="000D0C5A"/>
    <w:rsid w:val="000D1198"/>
    <w:rsid w:val="000D17A2"/>
    <w:rsid w:val="000D1F14"/>
    <w:rsid w:val="000D49FD"/>
    <w:rsid w:val="000D56EB"/>
    <w:rsid w:val="000D5927"/>
    <w:rsid w:val="000E01ED"/>
    <w:rsid w:val="000E10A3"/>
    <w:rsid w:val="000E1F75"/>
    <w:rsid w:val="000E2708"/>
    <w:rsid w:val="000E4E83"/>
    <w:rsid w:val="000E5365"/>
    <w:rsid w:val="000E631E"/>
    <w:rsid w:val="000E6807"/>
    <w:rsid w:val="000E74B5"/>
    <w:rsid w:val="000E7AB3"/>
    <w:rsid w:val="000E7CBB"/>
    <w:rsid w:val="000F0372"/>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17C6"/>
    <w:rsid w:val="0011236C"/>
    <w:rsid w:val="0011279B"/>
    <w:rsid w:val="00112E08"/>
    <w:rsid w:val="00113C74"/>
    <w:rsid w:val="001144FB"/>
    <w:rsid w:val="00114BC7"/>
    <w:rsid w:val="0011609A"/>
    <w:rsid w:val="00117A11"/>
    <w:rsid w:val="00121017"/>
    <w:rsid w:val="00121ABE"/>
    <w:rsid w:val="0012262F"/>
    <w:rsid w:val="001236FF"/>
    <w:rsid w:val="00123E71"/>
    <w:rsid w:val="0012410A"/>
    <w:rsid w:val="001251CC"/>
    <w:rsid w:val="00125FC6"/>
    <w:rsid w:val="001260D7"/>
    <w:rsid w:val="001261A8"/>
    <w:rsid w:val="001267DF"/>
    <w:rsid w:val="00130959"/>
    <w:rsid w:val="0013240F"/>
    <w:rsid w:val="00132E7B"/>
    <w:rsid w:val="001331CB"/>
    <w:rsid w:val="0013381D"/>
    <w:rsid w:val="001344A4"/>
    <w:rsid w:val="00135B82"/>
    <w:rsid w:val="00135B92"/>
    <w:rsid w:val="001360D1"/>
    <w:rsid w:val="00136362"/>
    <w:rsid w:val="00136A69"/>
    <w:rsid w:val="001408D6"/>
    <w:rsid w:val="00140E1E"/>
    <w:rsid w:val="00141B1A"/>
    <w:rsid w:val="00141B88"/>
    <w:rsid w:val="00141B93"/>
    <w:rsid w:val="00143024"/>
    <w:rsid w:val="00143828"/>
    <w:rsid w:val="00143A92"/>
    <w:rsid w:val="00144285"/>
    <w:rsid w:val="001466BE"/>
    <w:rsid w:val="001510B5"/>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AAB"/>
    <w:rsid w:val="00165C4C"/>
    <w:rsid w:val="00165C59"/>
    <w:rsid w:val="00165CB0"/>
    <w:rsid w:val="001664DC"/>
    <w:rsid w:val="00166FE5"/>
    <w:rsid w:val="00167D69"/>
    <w:rsid w:val="00170502"/>
    <w:rsid w:val="00170CA9"/>
    <w:rsid w:val="00171424"/>
    <w:rsid w:val="00172263"/>
    <w:rsid w:val="00173824"/>
    <w:rsid w:val="00175574"/>
    <w:rsid w:val="00175F89"/>
    <w:rsid w:val="00176E56"/>
    <w:rsid w:val="00177FE3"/>
    <w:rsid w:val="0018034E"/>
    <w:rsid w:val="00180C8C"/>
    <w:rsid w:val="00181B5A"/>
    <w:rsid w:val="00182F2B"/>
    <w:rsid w:val="00183507"/>
    <w:rsid w:val="001837A6"/>
    <w:rsid w:val="00183896"/>
    <w:rsid w:val="00186DB6"/>
    <w:rsid w:val="00190F20"/>
    <w:rsid w:val="0019159E"/>
    <w:rsid w:val="001938A7"/>
    <w:rsid w:val="00193F73"/>
    <w:rsid w:val="0019538C"/>
    <w:rsid w:val="00197085"/>
    <w:rsid w:val="00197ACB"/>
    <w:rsid w:val="00197D95"/>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E0"/>
    <w:rsid w:val="001B34B5"/>
    <w:rsid w:val="001B3B49"/>
    <w:rsid w:val="001B3C7B"/>
    <w:rsid w:val="001B6AFA"/>
    <w:rsid w:val="001C0377"/>
    <w:rsid w:val="001C184E"/>
    <w:rsid w:val="001C295D"/>
    <w:rsid w:val="001C4996"/>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583D"/>
    <w:rsid w:val="001F6F00"/>
    <w:rsid w:val="001F7144"/>
    <w:rsid w:val="001F71A5"/>
    <w:rsid w:val="001F7216"/>
    <w:rsid w:val="001F775A"/>
    <w:rsid w:val="00200D5C"/>
    <w:rsid w:val="0020167B"/>
    <w:rsid w:val="00204364"/>
    <w:rsid w:val="00206291"/>
    <w:rsid w:val="00206862"/>
    <w:rsid w:val="00207185"/>
    <w:rsid w:val="00207313"/>
    <w:rsid w:val="0020739E"/>
    <w:rsid w:val="00207C8A"/>
    <w:rsid w:val="00207CC3"/>
    <w:rsid w:val="0021024B"/>
    <w:rsid w:val="00212675"/>
    <w:rsid w:val="00213153"/>
    <w:rsid w:val="0021387C"/>
    <w:rsid w:val="0021684B"/>
    <w:rsid w:val="002168E5"/>
    <w:rsid w:val="002173B9"/>
    <w:rsid w:val="0021766E"/>
    <w:rsid w:val="002176C5"/>
    <w:rsid w:val="00217D35"/>
    <w:rsid w:val="00220B5E"/>
    <w:rsid w:val="00221184"/>
    <w:rsid w:val="00223A5B"/>
    <w:rsid w:val="002242A1"/>
    <w:rsid w:val="00224908"/>
    <w:rsid w:val="00224F8E"/>
    <w:rsid w:val="00225204"/>
    <w:rsid w:val="00226D50"/>
    <w:rsid w:val="002272CB"/>
    <w:rsid w:val="00227E25"/>
    <w:rsid w:val="00231E92"/>
    <w:rsid w:val="00232243"/>
    <w:rsid w:val="0023312F"/>
    <w:rsid w:val="00233D56"/>
    <w:rsid w:val="00233FED"/>
    <w:rsid w:val="002345CA"/>
    <w:rsid w:val="00234DDB"/>
    <w:rsid w:val="00237255"/>
    <w:rsid w:val="00237353"/>
    <w:rsid w:val="0024030B"/>
    <w:rsid w:val="00241A67"/>
    <w:rsid w:val="00243212"/>
    <w:rsid w:val="00243355"/>
    <w:rsid w:val="00243BC2"/>
    <w:rsid w:val="00245B1F"/>
    <w:rsid w:val="00251885"/>
    <w:rsid w:val="00251DE2"/>
    <w:rsid w:val="00251E82"/>
    <w:rsid w:val="00252FAF"/>
    <w:rsid w:val="00253D39"/>
    <w:rsid w:val="0025486C"/>
    <w:rsid w:val="00254A99"/>
    <w:rsid w:val="00255059"/>
    <w:rsid w:val="002563B1"/>
    <w:rsid w:val="002569EA"/>
    <w:rsid w:val="002576F7"/>
    <w:rsid w:val="0026114C"/>
    <w:rsid w:val="002614C1"/>
    <w:rsid w:val="00261A05"/>
    <w:rsid w:val="00261B02"/>
    <w:rsid w:val="00262020"/>
    <w:rsid w:val="00264335"/>
    <w:rsid w:val="002654A6"/>
    <w:rsid w:val="00265BC9"/>
    <w:rsid w:val="002670FE"/>
    <w:rsid w:val="00267EB4"/>
    <w:rsid w:val="0027244B"/>
    <w:rsid w:val="00273CB4"/>
    <w:rsid w:val="00273E62"/>
    <w:rsid w:val="00277E58"/>
    <w:rsid w:val="002802F2"/>
    <w:rsid w:val="00280552"/>
    <w:rsid w:val="002816C6"/>
    <w:rsid w:val="00281D8F"/>
    <w:rsid w:val="002820F1"/>
    <w:rsid w:val="00283666"/>
    <w:rsid w:val="00284A28"/>
    <w:rsid w:val="002854D6"/>
    <w:rsid w:val="00285656"/>
    <w:rsid w:val="002871E8"/>
    <w:rsid w:val="0029079C"/>
    <w:rsid w:val="00291C79"/>
    <w:rsid w:val="002926BF"/>
    <w:rsid w:val="00293DC6"/>
    <w:rsid w:val="0029480C"/>
    <w:rsid w:val="00295AFF"/>
    <w:rsid w:val="00297710"/>
    <w:rsid w:val="00297712"/>
    <w:rsid w:val="002A05DB"/>
    <w:rsid w:val="002A1FA0"/>
    <w:rsid w:val="002A3EDD"/>
    <w:rsid w:val="002A49A3"/>
    <w:rsid w:val="002A4AF7"/>
    <w:rsid w:val="002A5D22"/>
    <w:rsid w:val="002A66ED"/>
    <w:rsid w:val="002B0426"/>
    <w:rsid w:val="002B3129"/>
    <w:rsid w:val="002B3644"/>
    <w:rsid w:val="002B58B1"/>
    <w:rsid w:val="002B626B"/>
    <w:rsid w:val="002B73C6"/>
    <w:rsid w:val="002C11F9"/>
    <w:rsid w:val="002C236E"/>
    <w:rsid w:val="002C25CE"/>
    <w:rsid w:val="002C2DA3"/>
    <w:rsid w:val="002C4200"/>
    <w:rsid w:val="002C49EC"/>
    <w:rsid w:val="002C5F2D"/>
    <w:rsid w:val="002C7D04"/>
    <w:rsid w:val="002D1908"/>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D5E"/>
    <w:rsid w:val="002E6E82"/>
    <w:rsid w:val="002E6F28"/>
    <w:rsid w:val="002E6F87"/>
    <w:rsid w:val="002E7357"/>
    <w:rsid w:val="002E7860"/>
    <w:rsid w:val="002F129C"/>
    <w:rsid w:val="002F150B"/>
    <w:rsid w:val="002F21C6"/>
    <w:rsid w:val="002F3718"/>
    <w:rsid w:val="002F3940"/>
    <w:rsid w:val="002F4648"/>
    <w:rsid w:val="002F467E"/>
    <w:rsid w:val="002F5134"/>
    <w:rsid w:val="002F5C24"/>
    <w:rsid w:val="002F5E1E"/>
    <w:rsid w:val="002F61A9"/>
    <w:rsid w:val="002F64AE"/>
    <w:rsid w:val="002F6796"/>
    <w:rsid w:val="002F6BD8"/>
    <w:rsid w:val="003001AF"/>
    <w:rsid w:val="003009F0"/>
    <w:rsid w:val="0030120F"/>
    <w:rsid w:val="003012EA"/>
    <w:rsid w:val="00303A3C"/>
    <w:rsid w:val="003044A5"/>
    <w:rsid w:val="0030512F"/>
    <w:rsid w:val="003051E6"/>
    <w:rsid w:val="00306265"/>
    <w:rsid w:val="00306F51"/>
    <w:rsid w:val="0031043B"/>
    <w:rsid w:val="003118F7"/>
    <w:rsid w:val="00312DB8"/>
    <w:rsid w:val="00312EB0"/>
    <w:rsid w:val="003134C3"/>
    <w:rsid w:val="003136F7"/>
    <w:rsid w:val="003142BA"/>
    <w:rsid w:val="003143D4"/>
    <w:rsid w:val="003146E6"/>
    <w:rsid w:val="0031673E"/>
    <w:rsid w:val="0031682C"/>
    <w:rsid w:val="00316CE9"/>
    <w:rsid w:val="00316DB4"/>
    <w:rsid w:val="003208B4"/>
    <w:rsid w:val="00320F7D"/>
    <w:rsid w:val="00321533"/>
    <w:rsid w:val="003223B0"/>
    <w:rsid w:val="00323169"/>
    <w:rsid w:val="003234F0"/>
    <w:rsid w:val="00323CA6"/>
    <w:rsid w:val="00324A91"/>
    <w:rsid w:val="00324C15"/>
    <w:rsid w:val="003269F7"/>
    <w:rsid w:val="003270D6"/>
    <w:rsid w:val="0033129D"/>
    <w:rsid w:val="00332DBD"/>
    <w:rsid w:val="003333BF"/>
    <w:rsid w:val="00333B98"/>
    <w:rsid w:val="00333C8E"/>
    <w:rsid w:val="003341A9"/>
    <w:rsid w:val="00337AE5"/>
    <w:rsid w:val="0034012E"/>
    <w:rsid w:val="0034025B"/>
    <w:rsid w:val="00341195"/>
    <w:rsid w:val="0034138A"/>
    <w:rsid w:val="0034251A"/>
    <w:rsid w:val="00342E6B"/>
    <w:rsid w:val="00344555"/>
    <w:rsid w:val="00344F97"/>
    <w:rsid w:val="0034543C"/>
    <w:rsid w:val="00346201"/>
    <w:rsid w:val="003466B0"/>
    <w:rsid w:val="00347B6F"/>
    <w:rsid w:val="00347FA0"/>
    <w:rsid w:val="00353167"/>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6A30"/>
    <w:rsid w:val="00366D41"/>
    <w:rsid w:val="00375126"/>
    <w:rsid w:val="00375CC6"/>
    <w:rsid w:val="00376AC1"/>
    <w:rsid w:val="00376F93"/>
    <w:rsid w:val="00377FEF"/>
    <w:rsid w:val="00381CA9"/>
    <w:rsid w:val="00382C02"/>
    <w:rsid w:val="00382F97"/>
    <w:rsid w:val="0038488E"/>
    <w:rsid w:val="00385F45"/>
    <w:rsid w:val="00390136"/>
    <w:rsid w:val="00392A7C"/>
    <w:rsid w:val="00394F60"/>
    <w:rsid w:val="0039541E"/>
    <w:rsid w:val="00395F95"/>
    <w:rsid w:val="00396CE9"/>
    <w:rsid w:val="00397518"/>
    <w:rsid w:val="0039785D"/>
    <w:rsid w:val="003A2B60"/>
    <w:rsid w:val="003A2C52"/>
    <w:rsid w:val="003A31B2"/>
    <w:rsid w:val="003A3575"/>
    <w:rsid w:val="003A3A61"/>
    <w:rsid w:val="003A4593"/>
    <w:rsid w:val="003A5C17"/>
    <w:rsid w:val="003A6089"/>
    <w:rsid w:val="003A6471"/>
    <w:rsid w:val="003A78A3"/>
    <w:rsid w:val="003B00C3"/>
    <w:rsid w:val="003B0180"/>
    <w:rsid w:val="003B0F7E"/>
    <w:rsid w:val="003B148B"/>
    <w:rsid w:val="003B199A"/>
    <w:rsid w:val="003B1BE8"/>
    <w:rsid w:val="003B241B"/>
    <w:rsid w:val="003B2FC4"/>
    <w:rsid w:val="003B33D9"/>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472B"/>
    <w:rsid w:val="003D7373"/>
    <w:rsid w:val="003D7D0B"/>
    <w:rsid w:val="003D7E7F"/>
    <w:rsid w:val="003E40B5"/>
    <w:rsid w:val="003E4DF6"/>
    <w:rsid w:val="003E512C"/>
    <w:rsid w:val="003E5EC3"/>
    <w:rsid w:val="003E6807"/>
    <w:rsid w:val="003E6BDC"/>
    <w:rsid w:val="003F1E42"/>
    <w:rsid w:val="003F47E3"/>
    <w:rsid w:val="003F503B"/>
    <w:rsid w:val="003F60C0"/>
    <w:rsid w:val="003F6C96"/>
    <w:rsid w:val="003F7185"/>
    <w:rsid w:val="003F7D4B"/>
    <w:rsid w:val="0040061A"/>
    <w:rsid w:val="00402158"/>
    <w:rsid w:val="00402270"/>
    <w:rsid w:val="00405E96"/>
    <w:rsid w:val="0040602A"/>
    <w:rsid w:val="00407480"/>
    <w:rsid w:val="004074ED"/>
    <w:rsid w:val="00412C49"/>
    <w:rsid w:val="00413AFE"/>
    <w:rsid w:val="00414443"/>
    <w:rsid w:val="00415FC4"/>
    <w:rsid w:val="00417092"/>
    <w:rsid w:val="00417568"/>
    <w:rsid w:val="00420CD2"/>
    <w:rsid w:val="00421D0B"/>
    <w:rsid w:val="00422927"/>
    <w:rsid w:val="004229DE"/>
    <w:rsid w:val="00423602"/>
    <w:rsid w:val="004239AE"/>
    <w:rsid w:val="00423E8F"/>
    <w:rsid w:val="004251B6"/>
    <w:rsid w:val="004259B8"/>
    <w:rsid w:val="00425C5D"/>
    <w:rsid w:val="004269DA"/>
    <w:rsid w:val="0042798D"/>
    <w:rsid w:val="00432F82"/>
    <w:rsid w:val="00434618"/>
    <w:rsid w:val="00434B76"/>
    <w:rsid w:val="00435527"/>
    <w:rsid w:val="00435FF5"/>
    <w:rsid w:val="0043681C"/>
    <w:rsid w:val="00437273"/>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3C05"/>
    <w:rsid w:val="00466C2F"/>
    <w:rsid w:val="004701D0"/>
    <w:rsid w:val="00470E4D"/>
    <w:rsid w:val="00472098"/>
    <w:rsid w:val="00474C08"/>
    <w:rsid w:val="00474D75"/>
    <w:rsid w:val="004764CC"/>
    <w:rsid w:val="004764EE"/>
    <w:rsid w:val="00476D76"/>
    <w:rsid w:val="004771EB"/>
    <w:rsid w:val="004814D5"/>
    <w:rsid w:val="004814F0"/>
    <w:rsid w:val="00482771"/>
    <w:rsid w:val="00483180"/>
    <w:rsid w:val="00483C58"/>
    <w:rsid w:val="00484222"/>
    <w:rsid w:val="00485F46"/>
    <w:rsid w:val="0048785A"/>
    <w:rsid w:val="00491855"/>
    <w:rsid w:val="00491CDD"/>
    <w:rsid w:val="0049412C"/>
    <w:rsid w:val="00494345"/>
    <w:rsid w:val="00495192"/>
    <w:rsid w:val="004956C0"/>
    <w:rsid w:val="004A0D43"/>
    <w:rsid w:val="004A1818"/>
    <w:rsid w:val="004A1C7F"/>
    <w:rsid w:val="004A3EE9"/>
    <w:rsid w:val="004A4E4F"/>
    <w:rsid w:val="004A56E7"/>
    <w:rsid w:val="004A7750"/>
    <w:rsid w:val="004A7FE6"/>
    <w:rsid w:val="004B02B9"/>
    <w:rsid w:val="004B0B90"/>
    <w:rsid w:val="004B2F0D"/>
    <w:rsid w:val="004B30FB"/>
    <w:rsid w:val="004B3F80"/>
    <w:rsid w:val="004B40EE"/>
    <w:rsid w:val="004B45F4"/>
    <w:rsid w:val="004B4A27"/>
    <w:rsid w:val="004C0A8D"/>
    <w:rsid w:val="004C2024"/>
    <w:rsid w:val="004C25F6"/>
    <w:rsid w:val="004C2D19"/>
    <w:rsid w:val="004C357C"/>
    <w:rsid w:val="004C62C6"/>
    <w:rsid w:val="004D100D"/>
    <w:rsid w:val="004D2626"/>
    <w:rsid w:val="004D2C34"/>
    <w:rsid w:val="004D2E28"/>
    <w:rsid w:val="004D3901"/>
    <w:rsid w:val="004D3F5D"/>
    <w:rsid w:val="004D41D8"/>
    <w:rsid w:val="004D5E10"/>
    <w:rsid w:val="004D67C5"/>
    <w:rsid w:val="004D6E34"/>
    <w:rsid w:val="004D7E65"/>
    <w:rsid w:val="004E00D0"/>
    <w:rsid w:val="004E07DC"/>
    <w:rsid w:val="004E0851"/>
    <w:rsid w:val="004E0939"/>
    <w:rsid w:val="004E1AB5"/>
    <w:rsid w:val="004E1AE2"/>
    <w:rsid w:val="004E4165"/>
    <w:rsid w:val="004E5446"/>
    <w:rsid w:val="004E7F1E"/>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2E41"/>
    <w:rsid w:val="00513472"/>
    <w:rsid w:val="00513FBF"/>
    <w:rsid w:val="00516576"/>
    <w:rsid w:val="0051750C"/>
    <w:rsid w:val="00521D8D"/>
    <w:rsid w:val="00522063"/>
    <w:rsid w:val="00522ED0"/>
    <w:rsid w:val="00523826"/>
    <w:rsid w:val="00523C58"/>
    <w:rsid w:val="005253A2"/>
    <w:rsid w:val="0052557E"/>
    <w:rsid w:val="00525782"/>
    <w:rsid w:val="00526CC9"/>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70EC"/>
    <w:rsid w:val="00550399"/>
    <w:rsid w:val="005514CA"/>
    <w:rsid w:val="00552380"/>
    <w:rsid w:val="00556328"/>
    <w:rsid w:val="00556D13"/>
    <w:rsid w:val="00560806"/>
    <w:rsid w:val="00563399"/>
    <w:rsid w:val="0056591F"/>
    <w:rsid w:val="00566E5E"/>
    <w:rsid w:val="00571282"/>
    <w:rsid w:val="00571E9F"/>
    <w:rsid w:val="00573C3B"/>
    <w:rsid w:val="00574E1B"/>
    <w:rsid w:val="0058041E"/>
    <w:rsid w:val="00583974"/>
    <w:rsid w:val="005860AC"/>
    <w:rsid w:val="0058722C"/>
    <w:rsid w:val="0058799A"/>
    <w:rsid w:val="00587F62"/>
    <w:rsid w:val="00590149"/>
    <w:rsid w:val="00592358"/>
    <w:rsid w:val="00592FD2"/>
    <w:rsid w:val="0059373B"/>
    <w:rsid w:val="00593B80"/>
    <w:rsid w:val="00596A1C"/>
    <w:rsid w:val="00596FDB"/>
    <w:rsid w:val="005A06D3"/>
    <w:rsid w:val="005A0AF8"/>
    <w:rsid w:val="005A0E6F"/>
    <w:rsid w:val="005A1E77"/>
    <w:rsid w:val="005A2B2E"/>
    <w:rsid w:val="005A3E49"/>
    <w:rsid w:val="005A4714"/>
    <w:rsid w:val="005A47EC"/>
    <w:rsid w:val="005A73A1"/>
    <w:rsid w:val="005B551F"/>
    <w:rsid w:val="005B5D93"/>
    <w:rsid w:val="005B66C8"/>
    <w:rsid w:val="005C0A9A"/>
    <w:rsid w:val="005C11DE"/>
    <w:rsid w:val="005C28BC"/>
    <w:rsid w:val="005C4EA4"/>
    <w:rsid w:val="005D0287"/>
    <w:rsid w:val="005D06A8"/>
    <w:rsid w:val="005D092B"/>
    <w:rsid w:val="005D0AD6"/>
    <w:rsid w:val="005D10E5"/>
    <w:rsid w:val="005D39F3"/>
    <w:rsid w:val="005D46EE"/>
    <w:rsid w:val="005D7E62"/>
    <w:rsid w:val="005E0596"/>
    <w:rsid w:val="005E0731"/>
    <w:rsid w:val="005E13DF"/>
    <w:rsid w:val="005E1D9A"/>
    <w:rsid w:val="005E2073"/>
    <w:rsid w:val="005E2983"/>
    <w:rsid w:val="005E3EE4"/>
    <w:rsid w:val="005E6479"/>
    <w:rsid w:val="005E6778"/>
    <w:rsid w:val="005F03CC"/>
    <w:rsid w:val="005F10D3"/>
    <w:rsid w:val="005F2063"/>
    <w:rsid w:val="005F2279"/>
    <w:rsid w:val="005F2A5B"/>
    <w:rsid w:val="005F31BE"/>
    <w:rsid w:val="005F36AB"/>
    <w:rsid w:val="005F442A"/>
    <w:rsid w:val="005F700B"/>
    <w:rsid w:val="006007C7"/>
    <w:rsid w:val="00600B5F"/>
    <w:rsid w:val="00600FFC"/>
    <w:rsid w:val="0060133B"/>
    <w:rsid w:val="006015A3"/>
    <w:rsid w:val="00601C31"/>
    <w:rsid w:val="00602BC6"/>
    <w:rsid w:val="00602EB0"/>
    <w:rsid w:val="00603311"/>
    <w:rsid w:val="00603888"/>
    <w:rsid w:val="00603C6D"/>
    <w:rsid w:val="006040ED"/>
    <w:rsid w:val="00604415"/>
    <w:rsid w:val="006079B9"/>
    <w:rsid w:val="00613A11"/>
    <w:rsid w:val="00613B72"/>
    <w:rsid w:val="0061706E"/>
    <w:rsid w:val="006224B6"/>
    <w:rsid w:val="006227B4"/>
    <w:rsid w:val="00622914"/>
    <w:rsid w:val="0062291A"/>
    <w:rsid w:val="00622AA8"/>
    <w:rsid w:val="00622D91"/>
    <w:rsid w:val="006237CF"/>
    <w:rsid w:val="00623B31"/>
    <w:rsid w:val="00623C7E"/>
    <w:rsid w:val="0062575D"/>
    <w:rsid w:val="00626CC1"/>
    <w:rsid w:val="0063164E"/>
    <w:rsid w:val="0063286C"/>
    <w:rsid w:val="006335A2"/>
    <w:rsid w:val="00635FF5"/>
    <w:rsid w:val="00636375"/>
    <w:rsid w:val="00636DD3"/>
    <w:rsid w:val="00637FF0"/>
    <w:rsid w:val="0064166F"/>
    <w:rsid w:val="00643373"/>
    <w:rsid w:val="0064342E"/>
    <w:rsid w:val="00643C4C"/>
    <w:rsid w:val="00644764"/>
    <w:rsid w:val="0064549C"/>
    <w:rsid w:val="0064601A"/>
    <w:rsid w:val="00647676"/>
    <w:rsid w:val="00647DB4"/>
    <w:rsid w:val="006502E3"/>
    <w:rsid w:val="006511AA"/>
    <w:rsid w:val="006522C9"/>
    <w:rsid w:val="00653325"/>
    <w:rsid w:val="00653E7B"/>
    <w:rsid w:val="00655823"/>
    <w:rsid w:val="00660F48"/>
    <w:rsid w:val="00665483"/>
    <w:rsid w:val="00665640"/>
    <w:rsid w:val="0066619C"/>
    <w:rsid w:val="006702D1"/>
    <w:rsid w:val="006704F7"/>
    <w:rsid w:val="006707E3"/>
    <w:rsid w:val="00670A74"/>
    <w:rsid w:val="006713C0"/>
    <w:rsid w:val="006717CE"/>
    <w:rsid w:val="00673A3D"/>
    <w:rsid w:val="00674304"/>
    <w:rsid w:val="00674779"/>
    <w:rsid w:val="00674A7F"/>
    <w:rsid w:val="00676D51"/>
    <w:rsid w:val="00676EAB"/>
    <w:rsid w:val="0067747F"/>
    <w:rsid w:val="00680C1A"/>
    <w:rsid w:val="006811DC"/>
    <w:rsid w:val="006836A7"/>
    <w:rsid w:val="00683A24"/>
    <w:rsid w:val="006868AD"/>
    <w:rsid w:val="0069091E"/>
    <w:rsid w:val="00691D96"/>
    <w:rsid w:val="00692936"/>
    <w:rsid w:val="00692CE3"/>
    <w:rsid w:val="00692D34"/>
    <w:rsid w:val="0069300A"/>
    <w:rsid w:val="00693B96"/>
    <w:rsid w:val="00693FF6"/>
    <w:rsid w:val="00695F24"/>
    <w:rsid w:val="00696507"/>
    <w:rsid w:val="0069688D"/>
    <w:rsid w:val="006975FE"/>
    <w:rsid w:val="0069776E"/>
    <w:rsid w:val="006A0BF0"/>
    <w:rsid w:val="006A2CBF"/>
    <w:rsid w:val="006A507F"/>
    <w:rsid w:val="006A53AA"/>
    <w:rsid w:val="006A7193"/>
    <w:rsid w:val="006B08B4"/>
    <w:rsid w:val="006B12C5"/>
    <w:rsid w:val="006B1F6D"/>
    <w:rsid w:val="006B2978"/>
    <w:rsid w:val="006B30D5"/>
    <w:rsid w:val="006B3DC5"/>
    <w:rsid w:val="006B4323"/>
    <w:rsid w:val="006B6367"/>
    <w:rsid w:val="006B7A8F"/>
    <w:rsid w:val="006C034B"/>
    <w:rsid w:val="006C2AB7"/>
    <w:rsid w:val="006C372B"/>
    <w:rsid w:val="006C38D6"/>
    <w:rsid w:val="006C4184"/>
    <w:rsid w:val="006C5AEF"/>
    <w:rsid w:val="006C6C6F"/>
    <w:rsid w:val="006C74FB"/>
    <w:rsid w:val="006D416F"/>
    <w:rsid w:val="006D453A"/>
    <w:rsid w:val="006D62BB"/>
    <w:rsid w:val="006E0358"/>
    <w:rsid w:val="006E0C79"/>
    <w:rsid w:val="006E0D45"/>
    <w:rsid w:val="006E3384"/>
    <w:rsid w:val="006E3B24"/>
    <w:rsid w:val="006E4051"/>
    <w:rsid w:val="006E480B"/>
    <w:rsid w:val="006E5E68"/>
    <w:rsid w:val="006E668E"/>
    <w:rsid w:val="006E68A1"/>
    <w:rsid w:val="006F0B18"/>
    <w:rsid w:val="006F1A82"/>
    <w:rsid w:val="006F2049"/>
    <w:rsid w:val="006F278A"/>
    <w:rsid w:val="006F2975"/>
    <w:rsid w:val="006F33D4"/>
    <w:rsid w:val="006F3608"/>
    <w:rsid w:val="006F39D1"/>
    <w:rsid w:val="006F3ECA"/>
    <w:rsid w:val="006F49FC"/>
    <w:rsid w:val="006F64B0"/>
    <w:rsid w:val="006F7FE6"/>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3BCD"/>
    <w:rsid w:val="00724574"/>
    <w:rsid w:val="00725236"/>
    <w:rsid w:val="0072768C"/>
    <w:rsid w:val="00731730"/>
    <w:rsid w:val="00732049"/>
    <w:rsid w:val="007323C8"/>
    <w:rsid w:val="00732BA5"/>
    <w:rsid w:val="007343EE"/>
    <w:rsid w:val="0073536D"/>
    <w:rsid w:val="007357A6"/>
    <w:rsid w:val="00742130"/>
    <w:rsid w:val="0074346F"/>
    <w:rsid w:val="007440DB"/>
    <w:rsid w:val="00745577"/>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118C"/>
    <w:rsid w:val="00761767"/>
    <w:rsid w:val="007633AA"/>
    <w:rsid w:val="007652AE"/>
    <w:rsid w:val="00767D6E"/>
    <w:rsid w:val="00770580"/>
    <w:rsid w:val="00770D1C"/>
    <w:rsid w:val="00771BFD"/>
    <w:rsid w:val="007750EF"/>
    <w:rsid w:val="00775D69"/>
    <w:rsid w:val="00776484"/>
    <w:rsid w:val="00777955"/>
    <w:rsid w:val="007806C4"/>
    <w:rsid w:val="00781E83"/>
    <w:rsid w:val="00781ECE"/>
    <w:rsid w:val="00783619"/>
    <w:rsid w:val="00783C9A"/>
    <w:rsid w:val="00783CDF"/>
    <w:rsid w:val="00784067"/>
    <w:rsid w:val="00785375"/>
    <w:rsid w:val="00786067"/>
    <w:rsid w:val="007906E2"/>
    <w:rsid w:val="00790FFD"/>
    <w:rsid w:val="0079170E"/>
    <w:rsid w:val="007956C2"/>
    <w:rsid w:val="007966CB"/>
    <w:rsid w:val="007975D4"/>
    <w:rsid w:val="00797B31"/>
    <w:rsid w:val="007A1E73"/>
    <w:rsid w:val="007A311A"/>
    <w:rsid w:val="007A35F3"/>
    <w:rsid w:val="007A36DD"/>
    <w:rsid w:val="007A6307"/>
    <w:rsid w:val="007A69DC"/>
    <w:rsid w:val="007B14EF"/>
    <w:rsid w:val="007B19BC"/>
    <w:rsid w:val="007B1EEE"/>
    <w:rsid w:val="007B4C7C"/>
    <w:rsid w:val="007B51E3"/>
    <w:rsid w:val="007B56E7"/>
    <w:rsid w:val="007B579E"/>
    <w:rsid w:val="007B6D85"/>
    <w:rsid w:val="007B7BF7"/>
    <w:rsid w:val="007C0C59"/>
    <w:rsid w:val="007C19A4"/>
    <w:rsid w:val="007C31F8"/>
    <w:rsid w:val="007C3C2B"/>
    <w:rsid w:val="007C3C78"/>
    <w:rsid w:val="007C3F82"/>
    <w:rsid w:val="007C5E78"/>
    <w:rsid w:val="007D02A6"/>
    <w:rsid w:val="007D0625"/>
    <w:rsid w:val="007D14BA"/>
    <w:rsid w:val="007D185F"/>
    <w:rsid w:val="007D3176"/>
    <w:rsid w:val="007D35F5"/>
    <w:rsid w:val="007D3E0C"/>
    <w:rsid w:val="007D45EF"/>
    <w:rsid w:val="007D5551"/>
    <w:rsid w:val="007D5CAE"/>
    <w:rsid w:val="007D604E"/>
    <w:rsid w:val="007D745B"/>
    <w:rsid w:val="007E10C4"/>
    <w:rsid w:val="007E13CA"/>
    <w:rsid w:val="007E182F"/>
    <w:rsid w:val="007E1D25"/>
    <w:rsid w:val="007E276E"/>
    <w:rsid w:val="007E395D"/>
    <w:rsid w:val="007E474E"/>
    <w:rsid w:val="007E5E9A"/>
    <w:rsid w:val="007E6A0D"/>
    <w:rsid w:val="007F017D"/>
    <w:rsid w:val="007F160B"/>
    <w:rsid w:val="007F1E8F"/>
    <w:rsid w:val="007F4136"/>
    <w:rsid w:val="007F4F91"/>
    <w:rsid w:val="007F50E5"/>
    <w:rsid w:val="007F525C"/>
    <w:rsid w:val="007F681A"/>
    <w:rsid w:val="00801F91"/>
    <w:rsid w:val="00804CB9"/>
    <w:rsid w:val="00805A82"/>
    <w:rsid w:val="00807D3E"/>
    <w:rsid w:val="0081186E"/>
    <w:rsid w:val="00814196"/>
    <w:rsid w:val="00814DA3"/>
    <w:rsid w:val="00815549"/>
    <w:rsid w:val="008161FE"/>
    <w:rsid w:val="00816C3F"/>
    <w:rsid w:val="008171ED"/>
    <w:rsid w:val="00817438"/>
    <w:rsid w:val="00820025"/>
    <w:rsid w:val="00820ECA"/>
    <w:rsid w:val="00820F9B"/>
    <w:rsid w:val="00821B78"/>
    <w:rsid w:val="00822C11"/>
    <w:rsid w:val="00823931"/>
    <w:rsid w:val="00825A58"/>
    <w:rsid w:val="00825F84"/>
    <w:rsid w:val="0082670B"/>
    <w:rsid w:val="00826C7D"/>
    <w:rsid w:val="00826E1D"/>
    <w:rsid w:val="00827412"/>
    <w:rsid w:val="008275B7"/>
    <w:rsid w:val="00830339"/>
    <w:rsid w:val="008322F7"/>
    <w:rsid w:val="008332DD"/>
    <w:rsid w:val="0083392D"/>
    <w:rsid w:val="00833B68"/>
    <w:rsid w:val="00833EB5"/>
    <w:rsid w:val="00835E44"/>
    <w:rsid w:val="008372B3"/>
    <w:rsid w:val="00837A59"/>
    <w:rsid w:val="008400B9"/>
    <w:rsid w:val="0084085E"/>
    <w:rsid w:val="00842957"/>
    <w:rsid w:val="0084320B"/>
    <w:rsid w:val="008432FC"/>
    <w:rsid w:val="00843330"/>
    <w:rsid w:val="00843D2F"/>
    <w:rsid w:val="00844517"/>
    <w:rsid w:val="008446FE"/>
    <w:rsid w:val="00844C0C"/>
    <w:rsid w:val="00850769"/>
    <w:rsid w:val="0085533A"/>
    <w:rsid w:val="00856509"/>
    <w:rsid w:val="008572D1"/>
    <w:rsid w:val="00857347"/>
    <w:rsid w:val="00860D72"/>
    <w:rsid w:val="00860E25"/>
    <w:rsid w:val="00860E50"/>
    <w:rsid w:val="00862B92"/>
    <w:rsid w:val="00864323"/>
    <w:rsid w:val="008646F5"/>
    <w:rsid w:val="008651A8"/>
    <w:rsid w:val="00865AA1"/>
    <w:rsid w:val="008672D1"/>
    <w:rsid w:val="00870A39"/>
    <w:rsid w:val="00871E79"/>
    <w:rsid w:val="00872D6D"/>
    <w:rsid w:val="00875856"/>
    <w:rsid w:val="00876021"/>
    <w:rsid w:val="0088522E"/>
    <w:rsid w:val="00885634"/>
    <w:rsid w:val="00885D0C"/>
    <w:rsid w:val="00885D19"/>
    <w:rsid w:val="008868EE"/>
    <w:rsid w:val="0089029A"/>
    <w:rsid w:val="00890713"/>
    <w:rsid w:val="00892423"/>
    <w:rsid w:val="00892ADF"/>
    <w:rsid w:val="00893282"/>
    <w:rsid w:val="008937F7"/>
    <w:rsid w:val="00893AD2"/>
    <w:rsid w:val="00893BD5"/>
    <w:rsid w:val="00893EE3"/>
    <w:rsid w:val="00895278"/>
    <w:rsid w:val="00895DD8"/>
    <w:rsid w:val="00896E1A"/>
    <w:rsid w:val="00897398"/>
    <w:rsid w:val="008977F0"/>
    <w:rsid w:val="008A0F64"/>
    <w:rsid w:val="008A25ED"/>
    <w:rsid w:val="008A34AA"/>
    <w:rsid w:val="008A38AB"/>
    <w:rsid w:val="008A74B0"/>
    <w:rsid w:val="008B0C8D"/>
    <w:rsid w:val="008B1D17"/>
    <w:rsid w:val="008B20AA"/>
    <w:rsid w:val="008B372B"/>
    <w:rsid w:val="008B39CE"/>
    <w:rsid w:val="008B6824"/>
    <w:rsid w:val="008B7181"/>
    <w:rsid w:val="008B7A03"/>
    <w:rsid w:val="008C0DBE"/>
    <w:rsid w:val="008C17A3"/>
    <w:rsid w:val="008C17F4"/>
    <w:rsid w:val="008C1D9F"/>
    <w:rsid w:val="008C2C95"/>
    <w:rsid w:val="008C2D0B"/>
    <w:rsid w:val="008C2D77"/>
    <w:rsid w:val="008C508A"/>
    <w:rsid w:val="008C6252"/>
    <w:rsid w:val="008C654F"/>
    <w:rsid w:val="008C6E09"/>
    <w:rsid w:val="008C6E50"/>
    <w:rsid w:val="008D1AF7"/>
    <w:rsid w:val="008D2012"/>
    <w:rsid w:val="008D245F"/>
    <w:rsid w:val="008D28DD"/>
    <w:rsid w:val="008D3976"/>
    <w:rsid w:val="008E2216"/>
    <w:rsid w:val="008E252E"/>
    <w:rsid w:val="008E26AF"/>
    <w:rsid w:val="008E31DD"/>
    <w:rsid w:val="008E339A"/>
    <w:rsid w:val="008E36B6"/>
    <w:rsid w:val="008E4779"/>
    <w:rsid w:val="008E4B91"/>
    <w:rsid w:val="008E4DDE"/>
    <w:rsid w:val="008E63CB"/>
    <w:rsid w:val="008E7B64"/>
    <w:rsid w:val="008E7C39"/>
    <w:rsid w:val="008F1089"/>
    <w:rsid w:val="008F208D"/>
    <w:rsid w:val="008F4166"/>
    <w:rsid w:val="008F485A"/>
    <w:rsid w:val="008F6889"/>
    <w:rsid w:val="008F79EF"/>
    <w:rsid w:val="008F7A68"/>
    <w:rsid w:val="00900BD4"/>
    <w:rsid w:val="009010CB"/>
    <w:rsid w:val="00901189"/>
    <w:rsid w:val="009014BB"/>
    <w:rsid w:val="00901532"/>
    <w:rsid w:val="00902C59"/>
    <w:rsid w:val="00903097"/>
    <w:rsid w:val="00905111"/>
    <w:rsid w:val="00906149"/>
    <w:rsid w:val="00906F88"/>
    <w:rsid w:val="00910940"/>
    <w:rsid w:val="009125B5"/>
    <w:rsid w:val="0091446C"/>
    <w:rsid w:val="00914DE2"/>
    <w:rsid w:val="009158BC"/>
    <w:rsid w:val="009165ED"/>
    <w:rsid w:val="00916619"/>
    <w:rsid w:val="00917893"/>
    <w:rsid w:val="009224F5"/>
    <w:rsid w:val="00922C21"/>
    <w:rsid w:val="00923AE7"/>
    <w:rsid w:val="00923BA4"/>
    <w:rsid w:val="00924234"/>
    <w:rsid w:val="00924D1B"/>
    <w:rsid w:val="0092546B"/>
    <w:rsid w:val="00932513"/>
    <w:rsid w:val="00932EF7"/>
    <w:rsid w:val="00934BE6"/>
    <w:rsid w:val="00934EC4"/>
    <w:rsid w:val="00935355"/>
    <w:rsid w:val="0093560C"/>
    <w:rsid w:val="00936426"/>
    <w:rsid w:val="00936733"/>
    <w:rsid w:val="00937243"/>
    <w:rsid w:val="009373BE"/>
    <w:rsid w:val="00941649"/>
    <w:rsid w:val="00941B1A"/>
    <w:rsid w:val="00942B11"/>
    <w:rsid w:val="009434F6"/>
    <w:rsid w:val="009438A8"/>
    <w:rsid w:val="00943B62"/>
    <w:rsid w:val="00944BB8"/>
    <w:rsid w:val="009455CC"/>
    <w:rsid w:val="00946534"/>
    <w:rsid w:val="00947379"/>
    <w:rsid w:val="00947D91"/>
    <w:rsid w:val="00947DB1"/>
    <w:rsid w:val="00950DE0"/>
    <w:rsid w:val="00952B02"/>
    <w:rsid w:val="00953B15"/>
    <w:rsid w:val="00953CFA"/>
    <w:rsid w:val="00953ED7"/>
    <w:rsid w:val="009543EE"/>
    <w:rsid w:val="00954E8C"/>
    <w:rsid w:val="00961459"/>
    <w:rsid w:val="00961502"/>
    <w:rsid w:val="009621BF"/>
    <w:rsid w:val="00963350"/>
    <w:rsid w:val="00963AB5"/>
    <w:rsid w:val="00963DD2"/>
    <w:rsid w:val="00964774"/>
    <w:rsid w:val="00964F65"/>
    <w:rsid w:val="00965891"/>
    <w:rsid w:val="00965C0E"/>
    <w:rsid w:val="00966E7C"/>
    <w:rsid w:val="00970392"/>
    <w:rsid w:val="00970E4E"/>
    <w:rsid w:val="00971D26"/>
    <w:rsid w:val="009725C8"/>
    <w:rsid w:val="00973503"/>
    <w:rsid w:val="00973B85"/>
    <w:rsid w:val="0097445D"/>
    <w:rsid w:val="00974C42"/>
    <w:rsid w:val="0097517E"/>
    <w:rsid w:val="00976CAD"/>
    <w:rsid w:val="00977548"/>
    <w:rsid w:val="0097770C"/>
    <w:rsid w:val="009805A1"/>
    <w:rsid w:val="00982C96"/>
    <w:rsid w:val="00982D1E"/>
    <w:rsid w:val="00983748"/>
    <w:rsid w:val="00984330"/>
    <w:rsid w:val="00984BB2"/>
    <w:rsid w:val="00985758"/>
    <w:rsid w:val="00985C16"/>
    <w:rsid w:val="00985C5E"/>
    <w:rsid w:val="00987648"/>
    <w:rsid w:val="00990455"/>
    <w:rsid w:val="00990947"/>
    <w:rsid w:val="00991315"/>
    <w:rsid w:val="00991D31"/>
    <w:rsid w:val="00993CD6"/>
    <w:rsid w:val="009946C1"/>
    <w:rsid w:val="00995F40"/>
    <w:rsid w:val="00995FA5"/>
    <w:rsid w:val="00996D4F"/>
    <w:rsid w:val="00997A4D"/>
    <w:rsid w:val="009A0E6E"/>
    <w:rsid w:val="009A1DF2"/>
    <w:rsid w:val="009A2915"/>
    <w:rsid w:val="009A6149"/>
    <w:rsid w:val="009A67E1"/>
    <w:rsid w:val="009A6E22"/>
    <w:rsid w:val="009B0086"/>
    <w:rsid w:val="009B1351"/>
    <w:rsid w:val="009B23C3"/>
    <w:rsid w:val="009B2429"/>
    <w:rsid w:val="009B2569"/>
    <w:rsid w:val="009B3130"/>
    <w:rsid w:val="009B33E7"/>
    <w:rsid w:val="009B3EF3"/>
    <w:rsid w:val="009B3FDD"/>
    <w:rsid w:val="009B43D6"/>
    <w:rsid w:val="009B51E4"/>
    <w:rsid w:val="009B5AF5"/>
    <w:rsid w:val="009B6436"/>
    <w:rsid w:val="009B6C3A"/>
    <w:rsid w:val="009B726B"/>
    <w:rsid w:val="009C1700"/>
    <w:rsid w:val="009C1E63"/>
    <w:rsid w:val="009C1FC3"/>
    <w:rsid w:val="009C2076"/>
    <w:rsid w:val="009C24AD"/>
    <w:rsid w:val="009C3D1C"/>
    <w:rsid w:val="009C421C"/>
    <w:rsid w:val="009C5A53"/>
    <w:rsid w:val="009C5B58"/>
    <w:rsid w:val="009C6638"/>
    <w:rsid w:val="009D1323"/>
    <w:rsid w:val="009D1D95"/>
    <w:rsid w:val="009D24A5"/>
    <w:rsid w:val="009D2B42"/>
    <w:rsid w:val="009D30C5"/>
    <w:rsid w:val="009D3B55"/>
    <w:rsid w:val="009D42E8"/>
    <w:rsid w:val="009D54DD"/>
    <w:rsid w:val="009D5C29"/>
    <w:rsid w:val="009D7D1D"/>
    <w:rsid w:val="009E001E"/>
    <w:rsid w:val="009E04AB"/>
    <w:rsid w:val="009E112B"/>
    <w:rsid w:val="009E20E6"/>
    <w:rsid w:val="009E2A57"/>
    <w:rsid w:val="009E4B4A"/>
    <w:rsid w:val="009E5BB8"/>
    <w:rsid w:val="009F0111"/>
    <w:rsid w:val="009F10CC"/>
    <w:rsid w:val="009F1D45"/>
    <w:rsid w:val="009F3AF4"/>
    <w:rsid w:val="009F44C0"/>
    <w:rsid w:val="009F4848"/>
    <w:rsid w:val="009F48FB"/>
    <w:rsid w:val="009F6003"/>
    <w:rsid w:val="009F67E4"/>
    <w:rsid w:val="009F7166"/>
    <w:rsid w:val="00A005E9"/>
    <w:rsid w:val="00A007F2"/>
    <w:rsid w:val="00A0089E"/>
    <w:rsid w:val="00A0243A"/>
    <w:rsid w:val="00A05AB1"/>
    <w:rsid w:val="00A05DEF"/>
    <w:rsid w:val="00A06C55"/>
    <w:rsid w:val="00A0768E"/>
    <w:rsid w:val="00A11474"/>
    <w:rsid w:val="00A127F7"/>
    <w:rsid w:val="00A13371"/>
    <w:rsid w:val="00A1421E"/>
    <w:rsid w:val="00A15634"/>
    <w:rsid w:val="00A158E0"/>
    <w:rsid w:val="00A15C76"/>
    <w:rsid w:val="00A17B41"/>
    <w:rsid w:val="00A208D0"/>
    <w:rsid w:val="00A21872"/>
    <w:rsid w:val="00A22568"/>
    <w:rsid w:val="00A23750"/>
    <w:rsid w:val="00A23BDD"/>
    <w:rsid w:val="00A24179"/>
    <w:rsid w:val="00A2418D"/>
    <w:rsid w:val="00A24957"/>
    <w:rsid w:val="00A25F93"/>
    <w:rsid w:val="00A26C29"/>
    <w:rsid w:val="00A302B8"/>
    <w:rsid w:val="00A30CBA"/>
    <w:rsid w:val="00A31CEE"/>
    <w:rsid w:val="00A332BF"/>
    <w:rsid w:val="00A3472C"/>
    <w:rsid w:val="00A35FDD"/>
    <w:rsid w:val="00A36846"/>
    <w:rsid w:val="00A4176C"/>
    <w:rsid w:val="00A42300"/>
    <w:rsid w:val="00A42E31"/>
    <w:rsid w:val="00A43507"/>
    <w:rsid w:val="00A440D7"/>
    <w:rsid w:val="00A44366"/>
    <w:rsid w:val="00A4540A"/>
    <w:rsid w:val="00A47817"/>
    <w:rsid w:val="00A47F65"/>
    <w:rsid w:val="00A50B48"/>
    <w:rsid w:val="00A50F18"/>
    <w:rsid w:val="00A51CCD"/>
    <w:rsid w:val="00A52949"/>
    <w:rsid w:val="00A52995"/>
    <w:rsid w:val="00A5424F"/>
    <w:rsid w:val="00A54A86"/>
    <w:rsid w:val="00A551E2"/>
    <w:rsid w:val="00A56A82"/>
    <w:rsid w:val="00A56BE6"/>
    <w:rsid w:val="00A56C6E"/>
    <w:rsid w:val="00A60D5C"/>
    <w:rsid w:val="00A61240"/>
    <w:rsid w:val="00A61A84"/>
    <w:rsid w:val="00A646B7"/>
    <w:rsid w:val="00A646C6"/>
    <w:rsid w:val="00A648F9"/>
    <w:rsid w:val="00A65332"/>
    <w:rsid w:val="00A656AC"/>
    <w:rsid w:val="00A66174"/>
    <w:rsid w:val="00A662DE"/>
    <w:rsid w:val="00A67A86"/>
    <w:rsid w:val="00A67D34"/>
    <w:rsid w:val="00A71B18"/>
    <w:rsid w:val="00A722FD"/>
    <w:rsid w:val="00A7254E"/>
    <w:rsid w:val="00A72660"/>
    <w:rsid w:val="00A72F32"/>
    <w:rsid w:val="00A737F4"/>
    <w:rsid w:val="00A73A04"/>
    <w:rsid w:val="00A73F6B"/>
    <w:rsid w:val="00A759A9"/>
    <w:rsid w:val="00A75A46"/>
    <w:rsid w:val="00A76C85"/>
    <w:rsid w:val="00A81D43"/>
    <w:rsid w:val="00A82A89"/>
    <w:rsid w:val="00A84CEC"/>
    <w:rsid w:val="00A84F85"/>
    <w:rsid w:val="00A85028"/>
    <w:rsid w:val="00A8559D"/>
    <w:rsid w:val="00A86049"/>
    <w:rsid w:val="00A868E2"/>
    <w:rsid w:val="00A86A49"/>
    <w:rsid w:val="00A8700C"/>
    <w:rsid w:val="00A9082F"/>
    <w:rsid w:val="00A916A4"/>
    <w:rsid w:val="00A92ABA"/>
    <w:rsid w:val="00A94370"/>
    <w:rsid w:val="00A946B4"/>
    <w:rsid w:val="00A94A4A"/>
    <w:rsid w:val="00A94E7C"/>
    <w:rsid w:val="00A95141"/>
    <w:rsid w:val="00A9533A"/>
    <w:rsid w:val="00A95966"/>
    <w:rsid w:val="00A9596F"/>
    <w:rsid w:val="00A95AFE"/>
    <w:rsid w:val="00AA07CE"/>
    <w:rsid w:val="00AA1D15"/>
    <w:rsid w:val="00AA2CBB"/>
    <w:rsid w:val="00AA4C29"/>
    <w:rsid w:val="00AA6805"/>
    <w:rsid w:val="00AA6C92"/>
    <w:rsid w:val="00AA6FC4"/>
    <w:rsid w:val="00AA733B"/>
    <w:rsid w:val="00AA7B19"/>
    <w:rsid w:val="00AB039C"/>
    <w:rsid w:val="00AB1830"/>
    <w:rsid w:val="00AB202E"/>
    <w:rsid w:val="00AB257C"/>
    <w:rsid w:val="00AB3495"/>
    <w:rsid w:val="00AB5986"/>
    <w:rsid w:val="00AB5C72"/>
    <w:rsid w:val="00AB621E"/>
    <w:rsid w:val="00AC042A"/>
    <w:rsid w:val="00AC1F06"/>
    <w:rsid w:val="00AC35DA"/>
    <w:rsid w:val="00AC3E0F"/>
    <w:rsid w:val="00AC3E17"/>
    <w:rsid w:val="00AC5A27"/>
    <w:rsid w:val="00AC5B9F"/>
    <w:rsid w:val="00AC6111"/>
    <w:rsid w:val="00AC6123"/>
    <w:rsid w:val="00AC6BE7"/>
    <w:rsid w:val="00AC7AD3"/>
    <w:rsid w:val="00AD16EF"/>
    <w:rsid w:val="00AD17F9"/>
    <w:rsid w:val="00AD1A46"/>
    <w:rsid w:val="00AD261F"/>
    <w:rsid w:val="00AD31C3"/>
    <w:rsid w:val="00AD323C"/>
    <w:rsid w:val="00AD3B9A"/>
    <w:rsid w:val="00AD488E"/>
    <w:rsid w:val="00AD6CCB"/>
    <w:rsid w:val="00AE0655"/>
    <w:rsid w:val="00AE07AD"/>
    <w:rsid w:val="00AE1B12"/>
    <w:rsid w:val="00AE3819"/>
    <w:rsid w:val="00AE3964"/>
    <w:rsid w:val="00AE4BF0"/>
    <w:rsid w:val="00AF0A2F"/>
    <w:rsid w:val="00AF2D7A"/>
    <w:rsid w:val="00AF34E9"/>
    <w:rsid w:val="00AF418F"/>
    <w:rsid w:val="00AF501D"/>
    <w:rsid w:val="00AF5731"/>
    <w:rsid w:val="00AF60F6"/>
    <w:rsid w:val="00B00710"/>
    <w:rsid w:val="00B00FA6"/>
    <w:rsid w:val="00B01D63"/>
    <w:rsid w:val="00B0213C"/>
    <w:rsid w:val="00B03004"/>
    <w:rsid w:val="00B035ED"/>
    <w:rsid w:val="00B062D4"/>
    <w:rsid w:val="00B075E0"/>
    <w:rsid w:val="00B10E4B"/>
    <w:rsid w:val="00B112C4"/>
    <w:rsid w:val="00B11CD9"/>
    <w:rsid w:val="00B127FB"/>
    <w:rsid w:val="00B129AD"/>
    <w:rsid w:val="00B14A7B"/>
    <w:rsid w:val="00B14F53"/>
    <w:rsid w:val="00B15E16"/>
    <w:rsid w:val="00B169C6"/>
    <w:rsid w:val="00B16F1E"/>
    <w:rsid w:val="00B1799D"/>
    <w:rsid w:val="00B17F4D"/>
    <w:rsid w:val="00B20A56"/>
    <w:rsid w:val="00B20E32"/>
    <w:rsid w:val="00B22372"/>
    <w:rsid w:val="00B22E31"/>
    <w:rsid w:val="00B25C94"/>
    <w:rsid w:val="00B260EF"/>
    <w:rsid w:val="00B26538"/>
    <w:rsid w:val="00B27614"/>
    <w:rsid w:val="00B30D06"/>
    <w:rsid w:val="00B32405"/>
    <w:rsid w:val="00B33409"/>
    <w:rsid w:val="00B35D10"/>
    <w:rsid w:val="00B3606E"/>
    <w:rsid w:val="00B377EE"/>
    <w:rsid w:val="00B37C34"/>
    <w:rsid w:val="00B405FC"/>
    <w:rsid w:val="00B40BC0"/>
    <w:rsid w:val="00B41676"/>
    <w:rsid w:val="00B41700"/>
    <w:rsid w:val="00B503A1"/>
    <w:rsid w:val="00B54539"/>
    <w:rsid w:val="00B546A7"/>
    <w:rsid w:val="00B62DE8"/>
    <w:rsid w:val="00B62F2D"/>
    <w:rsid w:val="00B63DCD"/>
    <w:rsid w:val="00B64754"/>
    <w:rsid w:val="00B64FED"/>
    <w:rsid w:val="00B658E1"/>
    <w:rsid w:val="00B65CB1"/>
    <w:rsid w:val="00B65E49"/>
    <w:rsid w:val="00B66C47"/>
    <w:rsid w:val="00B678AE"/>
    <w:rsid w:val="00B72428"/>
    <w:rsid w:val="00B734A4"/>
    <w:rsid w:val="00B7373D"/>
    <w:rsid w:val="00B73B5E"/>
    <w:rsid w:val="00B7481B"/>
    <w:rsid w:val="00B7575B"/>
    <w:rsid w:val="00B75E88"/>
    <w:rsid w:val="00B76583"/>
    <w:rsid w:val="00B76B6D"/>
    <w:rsid w:val="00B81723"/>
    <w:rsid w:val="00B818D8"/>
    <w:rsid w:val="00B82283"/>
    <w:rsid w:val="00B8309A"/>
    <w:rsid w:val="00B83A12"/>
    <w:rsid w:val="00B8531E"/>
    <w:rsid w:val="00B85CE5"/>
    <w:rsid w:val="00B86123"/>
    <w:rsid w:val="00B877AE"/>
    <w:rsid w:val="00B90BA8"/>
    <w:rsid w:val="00B91688"/>
    <w:rsid w:val="00B9260B"/>
    <w:rsid w:val="00B92E98"/>
    <w:rsid w:val="00B93AE7"/>
    <w:rsid w:val="00B95352"/>
    <w:rsid w:val="00B95B43"/>
    <w:rsid w:val="00B95B92"/>
    <w:rsid w:val="00B96EF2"/>
    <w:rsid w:val="00B97008"/>
    <w:rsid w:val="00BA025C"/>
    <w:rsid w:val="00BA05C3"/>
    <w:rsid w:val="00BA1AB3"/>
    <w:rsid w:val="00BA2BCB"/>
    <w:rsid w:val="00BA2D15"/>
    <w:rsid w:val="00BA3190"/>
    <w:rsid w:val="00BA5A88"/>
    <w:rsid w:val="00BA5D76"/>
    <w:rsid w:val="00BA6EE8"/>
    <w:rsid w:val="00BA78AE"/>
    <w:rsid w:val="00BA7AE8"/>
    <w:rsid w:val="00BB0F72"/>
    <w:rsid w:val="00BB1611"/>
    <w:rsid w:val="00BB1893"/>
    <w:rsid w:val="00BB694B"/>
    <w:rsid w:val="00BB6BD3"/>
    <w:rsid w:val="00BB6E0A"/>
    <w:rsid w:val="00BB7F10"/>
    <w:rsid w:val="00BC30A4"/>
    <w:rsid w:val="00BC6253"/>
    <w:rsid w:val="00BC6E42"/>
    <w:rsid w:val="00BC7D90"/>
    <w:rsid w:val="00BD003A"/>
    <w:rsid w:val="00BD0A78"/>
    <w:rsid w:val="00BD2DA9"/>
    <w:rsid w:val="00BD2F15"/>
    <w:rsid w:val="00BD317C"/>
    <w:rsid w:val="00BD4012"/>
    <w:rsid w:val="00BD4C7C"/>
    <w:rsid w:val="00BD56EA"/>
    <w:rsid w:val="00BD571A"/>
    <w:rsid w:val="00BD5CBD"/>
    <w:rsid w:val="00BD63F8"/>
    <w:rsid w:val="00BD6CAF"/>
    <w:rsid w:val="00BD7E31"/>
    <w:rsid w:val="00BE153E"/>
    <w:rsid w:val="00BE15F2"/>
    <w:rsid w:val="00BE261A"/>
    <w:rsid w:val="00BE284B"/>
    <w:rsid w:val="00BE505A"/>
    <w:rsid w:val="00BE7807"/>
    <w:rsid w:val="00BF1AF8"/>
    <w:rsid w:val="00BF1B17"/>
    <w:rsid w:val="00BF236B"/>
    <w:rsid w:val="00BF25F9"/>
    <w:rsid w:val="00BF2EC3"/>
    <w:rsid w:val="00BF34E0"/>
    <w:rsid w:val="00BF3950"/>
    <w:rsid w:val="00BF446B"/>
    <w:rsid w:val="00BF4FCC"/>
    <w:rsid w:val="00BF79CD"/>
    <w:rsid w:val="00C00466"/>
    <w:rsid w:val="00C01643"/>
    <w:rsid w:val="00C0345E"/>
    <w:rsid w:val="00C038A5"/>
    <w:rsid w:val="00C04333"/>
    <w:rsid w:val="00C04505"/>
    <w:rsid w:val="00C059B6"/>
    <w:rsid w:val="00C05A89"/>
    <w:rsid w:val="00C13311"/>
    <w:rsid w:val="00C136E6"/>
    <w:rsid w:val="00C13D8D"/>
    <w:rsid w:val="00C144C8"/>
    <w:rsid w:val="00C15A9A"/>
    <w:rsid w:val="00C15AAA"/>
    <w:rsid w:val="00C168DB"/>
    <w:rsid w:val="00C16CFB"/>
    <w:rsid w:val="00C22309"/>
    <w:rsid w:val="00C2241D"/>
    <w:rsid w:val="00C229E0"/>
    <w:rsid w:val="00C23BB2"/>
    <w:rsid w:val="00C2696C"/>
    <w:rsid w:val="00C27D3C"/>
    <w:rsid w:val="00C33A1C"/>
    <w:rsid w:val="00C34369"/>
    <w:rsid w:val="00C37220"/>
    <w:rsid w:val="00C378F1"/>
    <w:rsid w:val="00C37AB3"/>
    <w:rsid w:val="00C41CA4"/>
    <w:rsid w:val="00C43A7F"/>
    <w:rsid w:val="00C43F2E"/>
    <w:rsid w:val="00C45538"/>
    <w:rsid w:val="00C45AC0"/>
    <w:rsid w:val="00C45FC0"/>
    <w:rsid w:val="00C462AC"/>
    <w:rsid w:val="00C466DC"/>
    <w:rsid w:val="00C51B5D"/>
    <w:rsid w:val="00C51DE5"/>
    <w:rsid w:val="00C523A6"/>
    <w:rsid w:val="00C53119"/>
    <w:rsid w:val="00C53DC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226D"/>
    <w:rsid w:val="00C73E6D"/>
    <w:rsid w:val="00C74078"/>
    <w:rsid w:val="00C758B5"/>
    <w:rsid w:val="00C75E2D"/>
    <w:rsid w:val="00C7614F"/>
    <w:rsid w:val="00C76273"/>
    <w:rsid w:val="00C76560"/>
    <w:rsid w:val="00C7673C"/>
    <w:rsid w:val="00C7686A"/>
    <w:rsid w:val="00C76DE9"/>
    <w:rsid w:val="00C76E90"/>
    <w:rsid w:val="00C7749D"/>
    <w:rsid w:val="00C777D3"/>
    <w:rsid w:val="00C81973"/>
    <w:rsid w:val="00C82CE3"/>
    <w:rsid w:val="00C855E6"/>
    <w:rsid w:val="00C86DB6"/>
    <w:rsid w:val="00C86E29"/>
    <w:rsid w:val="00C87E34"/>
    <w:rsid w:val="00C9025C"/>
    <w:rsid w:val="00C91E59"/>
    <w:rsid w:val="00C92E01"/>
    <w:rsid w:val="00C94AB2"/>
    <w:rsid w:val="00C94C99"/>
    <w:rsid w:val="00C9606B"/>
    <w:rsid w:val="00C97E2D"/>
    <w:rsid w:val="00CA1407"/>
    <w:rsid w:val="00CA18D6"/>
    <w:rsid w:val="00CA325A"/>
    <w:rsid w:val="00CA34CA"/>
    <w:rsid w:val="00CA5759"/>
    <w:rsid w:val="00CA5BB7"/>
    <w:rsid w:val="00CA67D4"/>
    <w:rsid w:val="00CA6A16"/>
    <w:rsid w:val="00CA6DDE"/>
    <w:rsid w:val="00CA77DF"/>
    <w:rsid w:val="00CA7888"/>
    <w:rsid w:val="00CB0283"/>
    <w:rsid w:val="00CB0B83"/>
    <w:rsid w:val="00CB1C91"/>
    <w:rsid w:val="00CB3A7D"/>
    <w:rsid w:val="00CB3B5A"/>
    <w:rsid w:val="00CB4CD5"/>
    <w:rsid w:val="00CB6117"/>
    <w:rsid w:val="00CB630B"/>
    <w:rsid w:val="00CB6878"/>
    <w:rsid w:val="00CC07BE"/>
    <w:rsid w:val="00CC0AA9"/>
    <w:rsid w:val="00CC26C6"/>
    <w:rsid w:val="00CC28F3"/>
    <w:rsid w:val="00CC2D1A"/>
    <w:rsid w:val="00CC41EB"/>
    <w:rsid w:val="00CC6F25"/>
    <w:rsid w:val="00CC706E"/>
    <w:rsid w:val="00CD11E2"/>
    <w:rsid w:val="00CD2AE6"/>
    <w:rsid w:val="00CD3014"/>
    <w:rsid w:val="00CD3056"/>
    <w:rsid w:val="00CD4B69"/>
    <w:rsid w:val="00CD5C49"/>
    <w:rsid w:val="00CD7FBD"/>
    <w:rsid w:val="00CE0AB0"/>
    <w:rsid w:val="00CE14FE"/>
    <w:rsid w:val="00CE2137"/>
    <w:rsid w:val="00CE24B5"/>
    <w:rsid w:val="00CE36AA"/>
    <w:rsid w:val="00CE382D"/>
    <w:rsid w:val="00CE3AF5"/>
    <w:rsid w:val="00CE4C78"/>
    <w:rsid w:val="00CE4EFC"/>
    <w:rsid w:val="00CF058B"/>
    <w:rsid w:val="00CF0733"/>
    <w:rsid w:val="00CF282B"/>
    <w:rsid w:val="00CF5055"/>
    <w:rsid w:val="00CF715C"/>
    <w:rsid w:val="00CF7322"/>
    <w:rsid w:val="00D0010E"/>
    <w:rsid w:val="00D00687"/>
    <w:rsid w:val="00D00F45"/>
    <w:rsid w:val="00D00FC4"/>
    <w:rsid w:val="00D01AC5"/>
    <w:rsid w:val="00D02DFE"/>
    <w:rsid w:val="00D03C8E"/>
    <w:rsid w:val="00D04A8E"/>
    <w:rsid w:val="00D063F6"/>
    <w:rsid w:val="00D06B79"/>
    <w:rsid w:val="00D06D5A"/>
    <w:rsid w:val="00D0799D"/>
    <w:rsid w:val="00D1089B"/>
    <w:rsid w:val="00D10B1E"/>
    <w:rsid w:val="00D126AA"/>
    <w:rsid w:val="00D13D16"/>
    <w:rsid w:val="00D155BA"/>
    <w:rsid w:val="00D15819"/>
    <w:rsid w:val="00D15B3C"/>
    <w:rsid w:val="00D16600"/>
    <w:rsid w:val="00D177CB"/>
    <w:rsid w:val="00D245EB"/>
    <w:rsid w:val="00D26305"/>
    <w:rsid w:val="00D26E74"/>
    <w:rsid w:val="00D312D4"/>
    <w:rsid w:val="00D329A9"/>
    <w:rsid w:val="00D32E5E"/>
    <w:rsid w:val="00D33A36"/>
    <w:rsid w:val="00D34DC0"/>
    <w:rsid w:val="00D402FC"/>
    <w:rsid w:val="00D406B0"/>
    <w:rsid w:val="00D4227C"/>
    <w:rsid w:val="00D42BF0"/>
    <w:rsid w:val="00D42C68"/>
    <w:rsid w:val="00D434D2"/>
    <w:rsid w:val="00D43E2F"/>
    <w:rsid w:val="00D45A12"/>
    <w:rsid w:val="00D470A3"/>
    <w:rsid w:val="00D50A3D"/>
    <w:rsid w:val="00D50D1D"/>
    <w:rsid w:val="00D513DF"/>
    <w:rsid w:val="00D5298B"/>
    <w:rsid w:val="00D535DB"/>
    <w:rsid w:val="00D5377E"/>
    <w:rsid w:val="00D544E8"/>
    <w:rsid w:val="00D55853"/>
    <w:rsid w:val="00D559B4"/>
    <w:rsid w:val="00D56E97"/>
    <w:rsid w:val="00D570F9"/>
    <w:rsid w:val="00D5795D"/>
    <w:rsid w:val="00D613C8"/>
    <w:rsid w:val="00D61686"/>
    <w:rsid w:val="00D63119"/>
    <w:rsid w:val="00D63675"/>
    <w:rsid w:val="00D641EA"/>
    <w:rsid w:val="00D64C93"/>
    <w:rsid w:val="00D65B9A"/>
    <w:rsid w:val="00D66E64"/>
    <w:rsid w:val="00D6701C"/>
    <w:rsid w:val="00D672A2"/>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9B7"/>
    <w:rsid w:val="00D97A66"/>
    <w:rsid w:val="00DA0A02"/>
    <w:rsid w:val="00DA1DAD"/>
    <w:rsid w:val="00DA282E"/>
    <w:rsid w:val="00DA32F2"/>
    <w:rsid w:val="00DA4490"/>
    <w:rsid w:val="00DA46BF"/>
    <w:rsid w:val="00DA4775"/>
    <w:rsid w:val="00DA726A"/>
    <w:rsid w:val="00DA764E"/>
    <w:rsid w:val="00DB00CB"/>
    <w:rsid w:val="00DB0471"/>
    <w:rsid w:val="00DB0807"/>
    <w:rsid w:val="00DB1E70"/>
    <w:rsid w:val="00DB3357"/>
    <w:rsid w:val="00DB4284"/>
    <w:rsid w:val="00DB625F"/>
    <w:rsid w:val="00DB7229"/>
    <w:rsid w:val="00DC014C"/>
    <w:rsid w:val="00DC0405"/>
    <w:rsid w:val="00DC091F"/>
    <w:rsid w:val="00DC1D93"/>
    <w:rsid w:val="00DC2094"/>
    <w:rsid w:val="00DC3ED6"/>
    <w:rsid w:val="00DC549D"/>
    <w:rsid w:val="00DC56E7"/>
    <w:rsid w:val="00DC6D98"/>
    <w:rsid w:val="00DC717C"/>
    <w:rsid w:val="00DC77CA"/>
    <w:rsid w:val="00DC7D8A"/>
    <w:rsid w:val="00DD0735"/>
    <w:rsid w:val="00DD2B14"/>
    <w:rsid w:val="00DD2EEC"/>
    <w:rsid w:val="00DD473D"/>
    <w:rsid w:val="00DD531F"/>
    <w:rsid w:val="00DD653A"/>
    <w:rsid w:val="00DD6811"/>
    <w:rsid w:val="00DD7BD2"/>
    <w:rsid w:val="00DD7BEF"/>
    <w:rsid w:val="00DE107D"/>
    <w:rsid w:val="00DE24A1"/>
    <w:rsid w:val="00DE3816"/>
    <w:rsid w:val="00DE4389"/>
    <w:rsid w:val="00DE4FB6"/>
    <w:rsid w:val="00DF296A"/>
    <w:rsid w:val="00DF2ADB"/>
    <w:rsid w:val="00DF327C"/>
    <w:rsid w:val="00DF3B71"/>
    <w:rsid w:val="00DF47BE"/>
    <w:rsid w:val="00DF47D7"/>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3A33"/>
    <w:rsid w:val="00E05674"/>
    <w:rsid w:val="00E075E7"/>
    <w:rsid w:val="00E07CB8"/>
    <w:rsid w:val="00E07F02"/>
    <w:rsid w:val="00E10712"/>
    <w:rsid w:val="00E13763"/>
    <w:rsid w:val="00E17EC8"/>
    <w:rsid w:val="00E21102"/>
    <w:rsid w:val="00E211D9"/>
    <w:rsid w:val="00E214B8"/>
    <w:rsid w:val="00E236D4"/>
    <w:rsid w:val="00E23E58"/>
    <w:rsid w:val="00E24026"/>
    <w:rsid w:val="00E24C8A"/>
    <w:rsid w:val="00E264F9"/>
    <w:rsid w:val="00E26F04"/>
    <w:rsid w:val="00E27548"/>
    <w:rsid w:val="00E27C39"/>
    <w:rsid w:val="00E33043"/>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67CB"/>
    <w:rsid w:val="00E57110"/>
    <w:rsid w:val="00E577D3"/>
    <w:rsid w:val="00E57928"/>
    <w:rsid w:val="00E60FC8"/>
    <w:rsid w:val="00E63BBC"/>
    <w:rsid w:val="00E6437E"/>
    <w:rsid w:val="00E65102"/>
    <w:rsid w:val="00E651A3"/>
    <w:rsid w:val="00E651DE"/>
    <w:rsid w:val="00E666C1"/>
    <w:rsid w:val="00E66C6F"/>
    <w:rsid w:val="00E702BA"/>
    <w:rsid w:val="00E70A5E"/>
    <w:rsid w:val="00E72307"/>
    <w:rsid w:val="00E72EB0"/>
    <w:rsid w:val="00E73D9F"/>
    <w:rsid w:val="00E74B0A"/>
    <w:rsid w:val="00E75BCB"/>
    <w:rsid w:val="00E75CCF"/>
    <w:rsid w:val="00E76174"/>
    <w:rsid w:val="00E7627C"/>
    <w:rsid w:val="00E764C2"/>
    <w:rsid w:val="00E80144"/>
    <w:rsid w:val="00E80584"/>
    <w:rsid w:val="00E810FC"/>
    <w:rsid w:val="00E817A2"/>
    <w:rsid w:val="00E821D8"/>
    <w:rsid w:val="00E82487"/>
    <w:rsid w:val="00E82B03"/>
    <w:rsid w:val="00E83CC8"/>
    <w:rsid w:val="00E84728"/>
    <w:rsid w:val="00E84CB8"/>
    <w:rsid w:val="00E84EE0"/>
    <w:rsid w:val="00E8549C"/>
    <w:rsid w:val="00E8610D"/>
    <w:rsid w:val="00E8692E"/>
    <w:rsid w:val="00E90C78"/>
    <w:rsid w:val="00E9147A"/>
    <w:rsid w:val="00E91C99"/>
    <w:rsid w:val="00E91E27"/>
    <w:rsid w:val="00E92020"/>
    <w:rsid w:val="00E9281F"/>
    <w:rsid w:val="00E9440E"/>
    <w:rsid w:val="00E94945"/>
    <w:rsid w:val="00E94A60"/>
    <w:rsid w:val="00E95868"/>
    <w:rsid w:val="00E96583"/>
    <w:rsid w:val="00E97382"/>
    <w:rsid w:val="00E974A7"/>
    <w:rsid w:val="00E97567"/>
    <w:rsid w:val="00EA22D5"/>
    <w:rsid w:val="00EA33CB"/>
    <w:rsid w:val="00EA5D05"/>
    <w:rsid w:val="00EA5EA9"/>
    <w:rsid w:val="00EA6751"/>
    <w:rsid w:val="00EB083A"/>
    <w:rsid w:val="00EB084D"/>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5E0D"/>
    <w:rsid w:val="00ED61D8"/>
    <w:rsid w:val="00ED645C"/>
    <w:rsid w:val="00ED64F0"/>
    <w:rsid w:val="00ED678E"/>
    <w:rsid w:val="00ED6916"/>
    <w:rsid w:val="00ED72CE"/>
    <w:rsid w:val="00ED7A5F"/>
    <w:rsid w:val="00ED7E34"/>
    <w:rsid w:val="00EE0228"/>
    <w:rsid w:val="00EE1CD9"/>
    <w:rsid w:val="00EE22FB"/>
    <w:rsid w:val="00EE435F"/>
    <w:rsid w:val="00EE5683"/>
    <w:rsid w:val="00EE66E0"/>
    <w:rsid w:val="00EE777A"/>
    <w:rsid w:val="00EE7B54"/>
    <w:rsid w:val="00EF1239"/>
    <w:rsid w:val="00EF12B8"/>
    <w:rsid w:val="00EF1FB2"/>
    <w:rsid w:val="00EF3558"/>
    <w:rsid w:val="00EF5035"/>
    <w:rsid w:val="00F00700"/>
    <w:rsid w:val="00F0204D"/>
    <w:rsid w:val="00F03E8D"/>
    <w:rsid w:val="00F049A0"/>
    <w:rsid w:val="00F0528A"/>
    <w:rsid w:val="00F062AF"/>
    <w:rsid w:val="00F06960"/>
    <w:rsid w:val="00F06D09"/>
    <w:rsid w:val="00F0713D"/>
    <w:rsid w:val="00F077E2"/>
    <w:rsid w:val="00F101F2"/>
    <w:rsid w:val="00F104FE"/>
    <w:rsid w:val="00F10B30"/>
    <w:rsid w:val="00F11144"/>
    <w:rsid w:val="00F11EEB"/>
    <w:rsid w:val="00F12CB3"/>
    <w:rsid w:val="00F12FF6"/>
    <w:rsid w:val="00F14C9B"/>
    <w:rsid w:val="00F2299B"/>
    <w:rsid w:val="00F25C9C"/>
    <w:rsid w:val="00F30031"/>
    <w:rsid w:val="00F312EE"/>
    <w:rsid w:val="00F31615"/>
    <w:rsid w:val="00F34312"/>
    <w:rsid w:val="00F34491"/>
    <w:rsid w:val="00F3464A"/>
    <w:rsid w:val="00F35DCE"/>
    <w:rsid w:val="00F37B3A"/>
    <w:rsid w:val="00F43211"/>
    <w:rsid w:val="00F4336F"/>
    <w:rsid w:val="00F437F0"/>
    <w:rsid w:val="00F44D42"/>
    <w:rsid w:val="00F472CC"/>
    <w:rsid w:val="00F5015C"/>
    <w:rsid w:val="00F5252A"/>
    <w:rsid w:val="00F545F3"/>
    <w:rsid w:val="00F54728"/>
    <w:rsid w:val="00F55025"/>
    <w:rsid w:val="00F55229"/>
    <w:rsid w:val="00F556B7"/>
    <w:rsid w:val="00F5651F"/>
    <w:rsid w:val="00F56F34"/>
    <w:rsid w:val="00F57028"/>
    <w:rsid w:val="00F5769D"/>
    <w:rsid w:val="00F61806"/>
    <w:rsid w:val="00F632BB"/>
    <w:rsid w:val="00F6503B"/>
    <w:rsid w:val="00F65107"/>
    <w:rsid w:val="00F651A0"/>
    <w:rsid w:val="00F6557A"/>
    <w:rsid w:val="00F6592D"/>
    <w:rsid w:val="00F665D4"/>
    <w:rsid w:val="00F72547"/>
    <w:rsid w:val="00F742C9"/>
    <w:rsid w:val="00F75BFF"/>
    <w:rsid w:val="00F8193B"/>
    <w:rsid w:val="00F83188"/>
    <w:rsid w:val="00F837BB"/>
    <w:rsid w:val="00F83E3C"/>
    <w:rsid w:val="00F853BF"/>
    <w:rsid w:val="00F8597D"/>
    <w:rsid w:val="00F85C3F"/>
    <w:rsid w:val="00F86020"/>
    <w:rsid w:val="00F871A3"/>
    <w:rsid w:val="00F92104"/>
    <w:rsid w:val="00F93DEC"/>
    <w:rsid w:val="00F940F4"/>
    <w:rsid w:val="00F97DA6"/>
    <w:rsid w:val="00FA01C6"/>
    <w:rsid w:val="00FA1735"/>
    <w:rsid w:val="00FA449A"/>
    <w:rsid w:val="00FA6BA4"/>
    <w:rsid w:val="00FA7063"/>
    <w:rsid w:val="00FA7135"/>
    <w:rsid w:val="00FA79B3"/>
    <w:rsid w:val="00FB4B87"/>
    <w:rsid w:val="00FB544A"/>
    <w:rsid w:val="00FB7DAD"/>
    <w:rsid w:val="00FC0700"/>
    <w:rsid w:val="00FC0B9A"/>
    <w:rsid w:val="00FC0BB1"/>
    <w:rsid w:val="00FC2784"/>
    <w:rsid w:val="00FC27DF"/>
    <w:rsid w:val="00FC2F6E"/>
    <w:rsid w:val="00FC2FA5"/>
    <w:rsid w:val="00FC36DC"/>
    <w:rsid w:val="00FC3C8B"/>
    <w:rsid w:val="00FC4DB4"/>
    <w:rsid w:val="00FC611D"/>
    <w:rsid w:val="00FC7134"/>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E1D1E"/>
    <w:rsid w:val="00FF03AD"/>
    <w:rsid w:val="00FF2D7D"/>
    <w:rsid w:val="00FF3905"/>
    <w:rsid w:val="00FF4C60"/>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ne.durmaz\Desktop\melike.kokk&#305;z&#305;l@eas.bahcsehir.edu.t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s.soybilgen@bahcesehir.edu.t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zumrut.imamoglu@bahcesehir.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435DE-5727-4098-AC0D-FE18AEC2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lalehan</cp:lastModifiedBy>
  <cp:revision>32</cp:revision>
  <cp:lastPrinted>2015-10-20T12:38:00Z</cp:lastPrinted>
  <dcterms:created xsi:type="dcterms:W3CDTF">2015-10-20T07:40:00Z</dcterms:created>
  <dcterms:modified xsi:type="dcterms:W3CDTF">2015-10-21T06:53:00Z</dcterms:modified>
</cp:coreProperties>
</file>