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ECC" w:rsidRPr="0053729E" w:rsidRDefault="0035310C" w:rsidP="001E4BF5">
      <w:pPr>
        <w:spacing w:line="360" w:lineRule="auto"/>
        <w:ind w:right="-319"/>
        <w:jc w:val="center"/>
        <w:outlineLvl w:val="0"/>
        <w:rPr>
          <w:rFonts w:ascii="Arial" w:hAnsi="Arial" w:cs="Arial"/>
          <w:b/>
          <w:sz w:val="32"/>
          <w:szCs w:val="32"/>
        </w:rPr>
      </w:pPr>
      <w:r>
        <w:rPr>
          <w:rFonts w:ascii="Arial" w:hAnsi="Arial" w:cs="Arial"/>
          <w:b/>
          <w:noProof/>
          <w:sz w:val="32"/>
          <w:szCs w:val="32"/>
          <w:lang w:val="tr-TR"/>
        </w:rPr>
        <w:drawing>
          <wp:anchor distT="0" distB="0" distL="114300" distR="114300" simplePos="0" relativeHeight="251657728" behindDoc="1" locked="0" layoutInCell="1" allowOverlap="1">
            <wp:simplePos x="0" y="0"/>
            <wp:positionH relativeFrom="column">
              <wp:posOffset>-800100</wp:posOffset>
            </wp:positionH>
            <wp:positionV relativeFrom="paragraph">
              <wp:posOffset>-800100</wp:posOffset>
            </wp:positionV>
            <wp:extent cx="7315200" cy="1330325"/>
            <wp:effectExtent l="19050" t="0" r="0" b="0"/>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cstate="print"/>
                    <a:srcRect/>
                    <a:stretch>
                      <a:fillRect/>
                    </a:stretch>
                  </pic:blipFill>
                  <pic:spPr bwMode="auto">
                    <a:xfrm>
                      <a:off x="0" y="0"/>
                      <a:ext cx="7315200" cy="1330325"/>
                    </a:xfrm>
                    <a:prstGeom prst="rect">
                      <a:avLst/>
                    </a:prstGeom>
                    <a:noFill/>
                    <a:ln w="9525">
                      <a:noFill/>
                      <a:miter lim="800000"/>
                      <a:headEnd/>
                      <a:tailEnd/>
                    </a:ln>
                  </pic:spPr>
                </pic:pic>
              </a:graphicData>
            </a:graphic>
          </wp:anchor>
        </w:drawing>
      </w:r>
      <w:r w:rsidR="002918D5">
        <w:rPr>
          <w:rFonts w:ascii="Arial" w:hAnsi="Arial" w:cs="Arial"/>
          <w:b/>
          <w:noProof/>
          <w:sz w:val="32"/>
          <w:szCs w:val="32"/>
          <w:lang w:val="tr-TR"/>
        </w:rPr>
        <mc:AlternateContent>
          <mc:Choice Requires="wps">
            <w:drawing>
              <wp:anchor distT="0" distB="0" distL="114935" distR="114935" simplePos="0" relativeHeight="251655680" behindDoc="0" locked="0" layoutInCell="1" allowOverlap="1">
                <wp:simplePos x="0" y="0"/>
                <wp:positionH relativeFrom="column">
                  <wp:posOffset>1485900</wp:posOffset>
                </wp:positionH>
                <wp:positionV relativeFrom="paragraph">
                  <wp:posOffset>-571500</wp:posOffset>
                </wp:positionV>
                <wp:extent cx="3963670" cy="568960"/>
                <wp:effectExtent l="0" t="0" r="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568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E74" w:rsidRPr="00342E6B" w:rsidRDefault="00900E74" w:rsidP="00024559">
                            <w:pPr>
                              <w:pStyle w:val="Heading1"/>
                              <w:rPr>
                                <w:rFonts w:ascii="Times New Roman" w:hAnsi="Times New Roman"/>
                                <w:sz w:val="40"/>
                                <w:szCs w:val="40"/>
                              </w:rPr>
                            </w:pPr>
                            <w:r>
                              <w:rPr>
                                <w:rFonts w:ascii="Times New Roman" w:hAnsi="Times New Roman"/>
                                <w:sz w:val="40"/>
                                <w:szCs w:val="40"/>
                              </w:rPr>
                              <w:t xml:space="preserve">Economic Outlook and Forecasts: </w:t>
                            </w:r>
                            <w:r w:rsidR="007C54C9">
                              <w:rPr>
                                <w:rFonts w:ascii="Times New Roman" w:hAnsi="Times New Roman"/>
                                <w:sz w:val="40"/>
                                <w:szCs w:val="40"/>
                              </w:rPr>
                              <w:t>July</w:t>
                            </w:r>
                            <w:r w:rsidR="00CE6730">
                              <w:rPr>
                                <w:rFonts w:ascii="Times New Roman" w:hAnsi="Times New Roman"/>
                                <w:sz w:val="40"/>
                                <w:szCs w:val="40"/>
                              </w:rPr>
                              <w:t xml:space="preserve"> 2014</w:t>
                            </w:r>
                          </w:p>
                          <w:p w:rsidR="00900E74" w:rsidRPr="00A75A46" w:rsidRDefault="00900E74" w:rsidP="00024559">
                            <w:pPr>
                              <w:pStyle w:val="Heading2"/>
                              <w:rPr>
                                <w:b w:val="0"/>
                                <w:i w:val="0"/>
                                <w:lang w:val="nl-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17pt;margin-top:-45pt;width:312.1pt;height:44.8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" stroked="f">
                <v:fill opacity="0"/>
                <v:textbox inset="0,0,0,0">
                  <w:txbxContent>
                    <w:p w:rsidR="00900E74" w:rsidRPr="00342E6B" w:rsidRDefault="00900E74" w:rsidP="00024559">
                      <w:pPr>
                        <w:pStyle w:val="Heading1"/>
                        <w:rPr>
                          <w:rFonts w:ascii="Times New Roman" w:hAnsi="Times New Roman"/>
                          <w:sz w:val="40"/>
                          <w:szCs w:val="40"/>
                        </w:rPr>
                      </w:pPr>
                      <w:r>
                        <w:rPr>
                          <w:rFonts w:ascii="Times New Roman" w:hAnsi="Times New Roman"/>
                          <w:sz w:val="40"/>
                          <w:szCs w:val="40"/>
                        </w:rPr>
                        <w:t xml:space="preserve">Economic Outlook and Forecasts: </w:t>
                      </w:r>
                      <w:r w:rsidR="007C54C9">
                        <w:rPr>
                          <w:rFonts w:ascii="Times New Roman" w:hAnsi="Times New Roman"/>
                          <w:sz w:val="40"/>
                          <w:szCs w:val="40"/>
                        </w:rPr>
                        <w:t>July</w:t>
                      </w:r>
                      <w:r w:rsidR="00CE6730">
                        <w:rPr>
                          <w:rFonts w:ascii="Times New Roman" w:hAnsi="Times New Roman"/>
                          <w:sz w:val="40"/>
                          <w:szCs w:val="40"/>
                        </w:rPr>
                        <w:t xml:space="preserve"> 2014</w:t>
                      </w:r>
                    </w:p>
                    <w:p w:rsidR="00900E74" w:rsidRPr="00A75A46" w:rsidRDefault="00900E74" w:rsidP="00024559">
                      <w:pPr>
                        <w:pStyle w:val="Heading2"/>
                        <w:rPr>
                          <w:b w:val="0"/>
                          <w:i w:val="0"/>
                          <w:lang w:val="nl-NL"/>
                        </w:rPr>
                      </w:pPr>
                    </w:p>
                  </w:txbxContent>
                </v:textbox>
              </v:shape>
            </w:pict>
          </mc:Fallback>
        </mc:AlternateContent>
      </w:r>
    </w:p>
    <w:p w:rsidR="00357ECC" w:rsidRPr="0053729E" w:rsidRDefault="002918D5" w:rsidP="001E4BF5">
      <w:pPr>
        <w:spacing w:line="360" w:lineRule="auto"/>
        <w:ind w:right="-319"/>
        <w:jc w:val="center"/>
        <w:outlineLvl w:val="0"/>
        <w:rPr>
          <w:rFonts w:ascii="Arial" w:hAnsi="Arial" w:cs="Arial"/>
          <w:b/>
          <w:sz w:val="32"/>
          <w:szCs w:val="32"/>
        </w:rPr>
      </w:pPr>
      <w:r>
        <w:rPr>
          <w:rFonts w:ascii="Arial" w:hAnsi="Arial" w:cs="Arial"/>
          <w:b/>
          <w:noProof/>
          <w:lang w:val="tr-TR"/>
        </w:rPr>
        <w:lastRenderedPageBreak/>
        <mc:AlternateContent>
          <mc:Choice Requires="wps">
            <w:drawing>
              <wp:anchor distT="0" distB="0" distL="114935" distR="114935" simplePos="0" relativeHeight="251656704" behindDoc="0" locked="0" layoutInCell="1" allowOverlap="1">
                <wp:simplePos x="0" y="0"/>
                <wp:positionH relativeFrom="column">
                  <wp:posOffset>2447290</wp:posOffset>
                </wp:positionH>
                <wp:positionV relativeFrom="paragraph">
                  <wp:posOffset>114300</wp:posOffset>
                </wp:positionV>
                <wp:extent cx="1743710" cy="348615"/>
                <wp:effectExtent l="0" t="0" r="0" b="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3486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E74" w:rsidRPr="0015586B" w:rsidRDefault="007C54C9" w:rsidP="00FA48DD">
                            <w:pPr>
                              <w:pStyle w:val="Heading3"/>
                              <w:tabs>
                                <w:tab w:val="clear" w:pos="720"/>
                              </w:tabs>
                              <w:ind w:left="0" w:firstLine="0"/>
                              <w:rPr>
                                <w:color w:val="FFFFFF"/>
                                <w:sz w:val="22"/>
                                <w:szCs w:val="22"/>
                                <w:lang w:val="tr-TR"/>
                              </w:rPr>
                            </w:pPr>
                            <w:r>
                              <w:rPr>
                                <w:color w:val="FFFFFF"/>
                                <w:sz w:val="22"/>
                                <w:szCs w:val="22"/>
                                <w:lang w:val="tr-TR"/>
                              </w:rPr>
                              <w:t>July</w:t>
                            </w:r>
                            <w:r w:rsidR="0029703E">
                              <w:rPr>
                                <w:color w:val="FFFFFF"/>
                                <w:sz w:val="22"/>
                                <w:szCs w:val="22"/>
                                <w:lang w:val="tr-TR"/>
                              </w:rPr>
                              <w:t xml:space="preserve"> 1</w:t>
                            </w:r>
                            <w:r>
                              <w:rPr>
                                <w:color w:val="FFFFFF"/>
                                <w:sz w:val="22"/>
                                <w:szCs w:val="22"/>
                                <w:lang w:val="tr-TR"/>
                              </w:rPr>
                              <w:t>1</w:t>
                            </w:r>
                            <w:r w:rsidR="00900E74">
                              <w:rPr>
                                <w:color w:val="FFFFFF"/>
                                <w:sz w:val="22"/>
                                <w:szCs w:val="22"/>
                                <w:lang w:val="tr-TR"/>
                              </w:rPr>
                              <w:t>,</w:t>
                            </w:r>
                            <w:r w:rsidR="00D8530B">
                              <w:rPr>
                                <w:color w:val="FFFFFF"/>
                                <w:sz w:val="22"/>
                                <w:szCs w:val="22"/>
                                <w:lang w:val="tr-TR"/>
                              </w:rPr>
                              <w:t xml:space="preserve"> 2014</w:t>
                            </w:r>
                          </w:p>
                          <w:p w:rsidR="00900E74" w:rsidRDefault="00900E74" w:rsidP="000245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192.7pt;margin-top:9pt;width:137.3pt;height:27.4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CsjwIAACQ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" stroked="f">
                <v:fill opacity="0"/>
                <v:textbox inset="0,0,0,0">
                  <w:txbxContent>
                    <w:p w:rsidR="00900E74" w:rsidRPr="0015586B" w:rsidRDefault="007C54C9" w:rsidP="00FA48DD">
                      <w:pPr>
                        <w:pStyle w:val="Heading3"/>
                        <w:tabs>
                          <w:tab w:val="clear" w:pos="720"/>
                        </w:tabs>
                        <w:ind w:left="0" w:firstLine="0"/>
                        <w:rPr>
                          <w:color w:val="FFFFFF"/>
                          <w:sz w:val="22"/>
                          <w:szCs w:val="22"/>
                          <w:lang w:val="tr-TR"/>
                        </w:rPr>
                      </w:pPr>
                      <w:r>
                        <w:rPr>
                          <w:color w:val="FFFFFF"/>
                          <w:sz w:val="22"/>
                          <w:szCs w:val="22"/>
                          <w:lang w:val="tr-TR"/>
                        </w:rPr>
                        <w:t>July</w:t>
                      </w:r>
                      <w:r w:rsidR="0029703E">
                        <w:rPr>
                          <w:color w:val="FFFFFF"/>
                          <w:sz w:val="22"/>
                          <w:szCs w:val="22"/>
                          <w:lang w:val="tr-TR"/>
                        </w:rPr>
                        <w:t xml:space="preserve"> 1</w:t>
                      </w:r>
                      <w:r>
                        <w:rPr>
                          <w:color w:val="FFFFFF"/>
                          <w:sz w:val="22"/>
                          <w:szCs w:val="22"/>
                          <w:lang w:val="tr-TR"/>
                        </w:rPr>
                        <w:t>1</w:t>
                      </w:r>
                      <w:r w:rsidR="00900E74">
                        <w:rPr>
                          <w:color w:val="FFFFFF"/>
                          <w:sz w:val="22"/>
                          <w:szCs w:val="22"/>
                          <w:lang w:val="tr-TR"/>
                        </w:rPr>
                        <w:t>,</w:t>
                      </w:r>
                      <w:r w:rsidR="00D8530B">
                        <w:rPr>
                          <w:color w:val="FFFFFF"/>
                          <w:sz w:val="22"/>
                          <w:szCs w:val="22"/>
                          <w:lang w:val="tr-TR"/>
                        </w:rPr>
                        <w:t xml:space="preserve"> 2014</w:t>
                      </w:r>
                    </w:p>
                    <w:p w:rsidR="00900E74" w:rsidRDefault="00900E74" w:rsidP="00024559"/>
                  </w:txbxContent>
                </v:textbox>
              </v:shape>
            </w:pict>
          </mc:Fallback>
        </mc:AlternateContent>
      </w:r>
    </w:p>
    <w:p w:rsidR="00357ECC" w:rsidRPr="0053729E" w:rsidRDefault="00357ECC" w:rsidP="001E4BF5">
      <w:pPr>
        <w:spacing w:line="360" w:lineRule="auto"/>
        <w:ind w:right="-319"/>
        <w:jc w:val="center"/>
        <w:outlineLvl w:val="0"/>
        <w:rPr>
          <w:rFonts w:ascii="Arial" w:hAnsi="Arial" w:cs="Arial"/>
          <w:b/>
          <w:sz w:val="32"/>
          <w:szCs w:val="32"/>
        </w:rPr>
        <w:sectPr w:rsidR="00357ECC" w:rsidRPr="0053729E" w:rsidSect="00357ECC">
          <w:pgSz w:w="11906" w:h="16838"/>
          <w:pgMar w:top="1417" w:right="1417" w:bottom="1417" w:left="1417" w:header="708" w:footer="708" w:gutter="0"/>
          <w:cols w:num="2" w:space="708" w:equalWidth="0">
            <w:col w:w="4182" w:space="708"/>
            <w:col w:w="4182"/>
          </w:cols>
          <w:docGrid w:linePitch="360"/>
        </w:sectPr>
      </w:pPr>
    </w:p>
    <w:p w:rsidR="00357ECC" w:rsidRPr="0053729E" w:rsidRDefault="00357ECC" w:rsidP="001E4BF5">
      <w:pPr>
        <w:spacing w:line="360" w:lineRule="auto"/>
        <w:ind w:right="-319"/>
        <w:outlineLvl w:val="0"/>
        <w:rPr>
          <w:rFonts w:ascii="Arial" w:hAnsi="Arial" w:cs="Arial"/>
          <w:b/>
          <w:sz w:val="32"/>
          <w:szCs w:val="32"/>
        </w:rPr>
      </w:pPr>
    </w:p>
    <w:p w:rsidR="0029703E" w:rsidRDefault="00C62374" w:rsidP="0029703E">
      <w:pPr>
        <w:ind w:right="-317"/>
        <w:jc w:val="center"/>
        <w:outlineLvl w:val="0"/>
        <w:rPr>
          <w:rFonts w:ascii="Arial" w:hAnsi="Arial" w:cs="Arial"/>
          <w:b/>
          <w:bCs/>
          <w:caps/>
          <w:sz w:val="28"/>
          <w:szCs w:val="28"/>
        </w:rPr>
      </w:pPr>
      <w:r w:rsidRPr="00C62374">
        <w:rPr>
          <w:rFonts w:ascii="Arial" w:hAnsi="Arial" w:cs="Arial"/>
          <w:b/>
          <w:bCs/>
          <w:caps/>
          <w:sz w:val="28"/>
          <w:szCs w:val="28"/>
        </w:rPr>
        <w:t>Rapid</w:t>
      </w:r>
      <w:r w:rsidR="00D55D4B" w:rsidRPr="00D55D4B">
        <w:rPr>
          <w:rFonts w:ascii="Arial" w:hAnsi="Arial" w:cs="Arial"/>
          <w:b/>
          <w:bCs/>
          <w:caps/>
          <w:sz w:val="28"/>
          <w:szCs w:val="28"/>
        </w:rPr>
        <w:t xml:space="preserve"> </w:t>
      </w:r>
      <w:r w:rsidR="00D55D4B">
        <w:rPr>
          <w:rFonts w:ascii="Arial" w:hAnsi="Arial" w:cs="Arial"/>
          <w:b/>
          <w:bCs/>
          <w:caps/>
          <w:sz w:val="28"/>
          <w:szCs w:val="28"/>
        </w:rPr>
        <w:t xml:space="preserve">declıne ın </w:t>
      </w:r>
      <w:r w:rsidR="00D55D4B">
        <w:rPr>
          <w:rFonts w:ascii="Arial" w:hAnsi="Arial" w:cs="Arial"/>
          <w:b/>
          <w:bCs/>
          <w:caps/>
          <w:sz w:val="28"/>
          <w:szCs w:val="28"/>
        </w:rPr>
        <w:t>The Current Account defıcıt</w:t>
      </w:r>
      <w:bookmarkStart w:id="0" w:name="_GoBack"/>
      <w:bookmarkEnd w:id="0"/>
    </w:p>
    <w:p w:rsidR="00FD3A91" w:rsidRDefault="00FD3A91" w:rsidP="00FD3A91">
      <w:pPr>
        <w:ind w:right="-317"/>
        <w:jc w:val="center"/>
        <w:outlineLvl w:val="0"/>
        <w:rPr>
          <w:rFonts w:ascii="Arial" w:hAnsi="Arial" w:cs="Arial"/>
          <w:b/>
          <w:bCs/>
          <w:caps/>
          <w:sz w:val="28"/>
          <w:szCs w:val="28"/>
        </w:rPr>
      </w:pPr>
    </w:p>
    <w:p w:rsidR="002F72AA" w:rsidRDefault="002F72AA" w:rsidP="00FD3A91">
      <w:pPr>
        <w:ind w:right="-317"/>
        <w:jc w:val="center"/>
        <w:outlineLvl w:val="0"/>
        <w:rPr>
          <w:rFonts w:ascii="Arial" w:hAnsi="Arial" w:cs="Arial"/>
          <w:b/>
          <w:bCs/>
          <w:sz w:val="21"/>
          <w:szCs w:val="21"/>
        </w:rPr>
      </w:pPr>
    </w:p>
    <w:p w:rsidR="00FD3A91" w:rsidRPr="00D63675" w:rsidRDefault="00FD3A91" w:rsidP="00FD3A91">
      <w:pPr>
        <w:ind w:right="-317"/>
        <w:jc w:val="center"/>
        <w:outlineLvl w:val="0"/>
        <w:rPr>
          <w:rFonts w:ascii="Arial" w:hAnsi="Arial" w:cs="Arial"/>
          <w:b/>
          <w:bCs/>
          <w:sz w:val="21"/>
          <w:szCs w:val="21"/>
          <w:vertAlign w:val="superscript"/>
        </w:rPr>
      </w:pPr>
      <w:r w:rsidRPr="00D63675">
        <w:rPr>
          <w:rFonts w:ascii="Arial" w:hAnsi="Arial" w:cs="Arial"/>
          <w:b/>
          <w:bCs/>
          <w:sz w:val="21"/>
          <w:szCs w:val="21"/>
        </w:rPr>
        <w:t>Zümrüt</w:t>
      </w:r>
      <w:r w:rsidR="0029703E">
        <w:rPr>
          <w:rFonts w:ascii="Arial" w:hAnsi="Arial" w:cs="Arial"/>
          <w:b/>
          <w:bCs/>
          <w:sz w:val="21"/>
          <w:szCs w:val="21"/>
        </w:rPr>
        <w:t xml:space="preserve"> </w:t>
      </w:r>
      <w:r w:rsidRPr="00D63675">
        <w:rPr>
          <w:rFonts w:ascii="Arial" w:hAnsi="Arial" w:cs="Arial"/>
          <w:b/>
          <w:bCs/>
          <w:sz w:val="21"/>
          <w:szCs w:val="21"/>
        </w:rPr>
        <w:t xml:space="preserve">İmamoğlu* </w:t>
      </w:r>
      <w:proofErr w:type="spellStart"/>
      <w:r w:rsidRPr="00D63675">
        <w:rPr>
          <w:rFonts w:ascii="Arial" w:hAnsi="Arial" w:cs="Arial"/>
          <w:b/>
          <w:bCs/>
          <w:sz w:val="21"/>
          <w:szCs w:val="21"/>
        </w:rPr>
        <w:t>ve</w:t>
      </w:r>
      <w:proofErr w:type="spellEnd"/>
      <w:r w:rsidR="0029703E">
        <w:rPr>
          <w:rFonts w:ascii="Arial" w:hAnsi="Arial" w:cs="Arial"/>
          <w:b/>
          <w:bCs/>
          <w:sz w:val="21"/>
          <w:szCs w:val="21"/>
        </w:rPr>
        <w:t xml:space="preserve"> </w:t>
      </w:r>
      <w:proofErr w:type="spellStart"/>
      <w:r w:rsidRPr="00D63675">
        <w:rPr>
          <w:rFonts w:ascii="Arial" w:hAnsi="Arial" w:cs="Arial"/>
          <w:b/>
          <w:bCs/>
          <w:sz w:val="21"/>
          <w:szCs w:val="21"/>
        </w:rPr>
        <w:t>Barış</w:t>
      </w:r>
      <w:proofErr w:type="spellEnd"/>
      <w:r w:rsidR="0029703E">
        <w:rPr>
          <w:rFonts w:ascii="Arial" w:hAnsi="Arial" w:cs="Arial"/>
          <w:b/>
          <w:bCs/>
          <w:sz w:val="21"/>
          <w:szCs w:val="21"/>
        </w:rPr>
        <w:t xml:space="preserve"> </w:t>
      </w:r>
      <w:r w:rsidRPr="00D63675">
        <w:rPr>
          <w:rFonts w:ascii="Arial" w:hAnsi="Arial" w:cs="Arial"/>
          <w:b/>
          <w:bCs/>
          <w:sz w:val="21"/>
          <w:szCs w:val="21"/>
        </w:rPr>
        <w:t>Soybilgen</w:t>
      </w:r>
      <w:r>
        <w:rPr>
          <w:rFonts w:ascii="Arial" w:hAnsi="Arial" w:cs="Arial"/>
          <w:b/>
          <w:bCs/>
          <w:sz w:val="21"/>
          <w:szCs w:val="21"/>
          <w:vertAlign w:val="superscript"/>
        </w:rPr>
        <w:t>**</w:t>
      </w:r>
    </w:p>
    <w:p w:rsidR="002F72AA" w:rsidRDefault="002F72AA" w:rsidP="00FD3A91">
      <w:pPr>
        <w:spacing w:line="360" w:lineRule="auto"/>
        <w:ind w:right="-319"/>
        <w:jc w:val="center"/>
        <w:outlineLvl w:val="0"/>
        <w:rPr>
          <w:rFonts w:ascii="Arial" w:hAnsi="Arial" w:cs="Arial"/>
          <w:sz w:val="22"/>
          <w:szCs w:val="22"/>
          <w:vertAlign w:val="superscript"/>
        </w:rPr>
      </w:pPr>
    </w:p>
    <w:p w:rsidR="00344278" w:rsidRDefault="00344278" w:rsidP="00FD3A91">
      <w:pPr>
        <w:spacing w:line="360" w:lineRule="auto"/>
        <w:ind w:right="-319"/>
        <w:jc w:val="center"/>
        <w:outlineLvl w:val="0"/>
        <w:rPr>
          <w:rFonts w:ascii="Arial" w:hAnsi="Arial" w:cs="Arial"/>
          <w:sz w:val="22"/>
          <w:szCs w:val="22"/>
          <w:vertAlign w:val="superscript"/>
        </w:rPr>
      </w:pPr>
    </w:p>
    <w:p w:rsidR="00FD3A91" w:rsidRPr="004A7FE6" w:rsidRDefault="00FD3A91" w:rsidP="00FD3A91">
      <w:pPr>
        <w:spacing w:line="360" w:lineRule="auto"/>
        <w:ind w:right="-319"/>
        <w:jc w:val="center"/>
        <w:outlineLvl w:val="0"/>
        <w:rPr>
          <w:rFonts w:ascii="Arial" w:hAnsi="Arial" w:cs="Arial"/>
          <w:sz w:val="22"/>
          <w:szCs w:val="22"/>
          <w:vertAlign w:val="superscript"/>
        </w:rPr>
        <w:sectPr w:rsidR="00FD3A91" w:rsidRPr="004A7FE6" w:rsidSect="008651A8">
          <w:type w:val="continuous"/>
          <w:pgSz w:w="11906" w:h="16838"/>
          <w:pgMar w:top="1417" w:right="1417" w:bottom="1417" w:left="1417" w:header="708" w:footer="708" w:gutter="0"/>
          <w:cols w:space="708"/>
          <w:docGrid w:linePitch="360"/>
        </w:sectPr>
      </w:pPr>
    </w:p>
    <w:p w:rsidR="00FD3A91" w:rsidRDefault="00FD3A91" w:rsidP="00FD3A91">
      <w:pPr>
        <w:spacing w:line="360" w:lineRule="auto"/>
        <w:ind w:left="-360" w:right="42" w:firstLine="360"/>
        <w:jc w:val="center"/>
        <w:rPr>
          <w:b/>
          <w:bCs/>
          <w:sz w:val="22"/>
          <w:szCs w:val="22"/>
        </w:rPr>
      </w:pPr>
      <w:r>
        <w:rPr>
          <w:b/>
          <w:bCs/>
          <w:sz w:val="22"/>
          <w:szCs w:val="22"/>
        </w:rPr>
        <w:lastRenderedPageBreak/>
        <w:t>Executive Summary</w:t>
      </w:r>
    </w:p>
    <w:p w:rsidR="00FD3A91" w:rsidRPr="00D5466C" w:rsidRDefault="00FD3A91" w:rsidP="00FD3A91">
      <w:pPr>
        <w:spacing w:line="360" w:lineRule="auto"/>
        <w:ind w:left="-360" w:right="42" w:firstLine="360"/>
        <w:jc w:val="center"/>
        <w:rPr>
          <w:b/>
          <w:bCs/>
          <w:sz w:val="10"/>
          <w:szCs w:val="10"/>
        </w:rPr>
      </w:pPr>
    </w:p>
    <w:p w:rsidR="0076720A" w:rsidRDefault="00FD3A91" w:rsidP="00FD3A91">
      <w:pPr>
        <w:spacing w:line="360" w:lineRule="auto"/>
        <w:ind w:left="-360" w:right="40"/>
        <w:jc w:val="both"/>
        <w:rPr>
          <w:sz w:val="22"/>
          <w:szCs w:val="22"/>
        </w:rPr>
      </w:pPr>
      <w:r w:rsidRPr="00267AB7">
        <w:rPr>
          <w:sz w:val="22"/>
          <w:szCs w:val="22"/>
        </w:rPr>
        <w:t xml:space="preserve">In </w:t>
      </w:r>
      <w:r w:rsidR="0076720A">
        <w:rPr>
          <w:sz w:val="22"/>
          <w:szCs w:val="22"/>
        </w:rPr>
        <w:t>May</w:t>
      </w:r>
      <w:r w:rsidRPr="00267AB7">
        <w:rPr>
          <w:sz w:val="22"/>
          <w:szCs w:val="22"/>
        </w:rPr>
        <w:t xml:space="preserve">, seasonally adjusted Industrial Production Index (IPI) </w:t>
      </w:r>
      <w:r w:rsidR="001D25D9">
        <w:rPr>
          <w:sz w:val="22"/>
          <w:szCs w:val="22"/>
        </w:rPr>
        <w:t>declined</w:t>
      </w:r>
      <w:r w:rsidRPr="00267AB7">
        <w:rPr>
          <w:sz w:val="22"/>
          <w:szCs w:val="22"/>
        </w:rPr>
        <w:t xml:space="preserve"> by </w:t>
      </w:r>
      <w:r w:rsidR="0076720A">
        <w:rPr>
          <w:sz w:val="22"/>
          <w:szCs w:val="22"/>
        </w:rPr>
        <w:t>1.0</w:t>
      </w:r>
      <w:r w:rsidRPr="00267AB7">
        <w:rPr>
          <w:sz w:val="22"/>
          <w:szCs w:val="22"/>
        </w:rPr>
        <w:t xml:space="preserve"> percent from the previous month. Expo</w:t>
      </w:r>
      <w:r w:rsidR="00A61127" w:rsidRPr="00267AB7">
        <w:rPr>
          <w:sz w:val="22"/>
          <w:szCs w:val="22"/>
        </w:rPr>
        <w:t xml:space="preserve">rt volume index increased by </w:t>
      </w:r>
      <w:r w:rsidR="0076720A">
        <w:rPr>
          <w:sz w:val="22"/>
          <w:szCs w:val="22"/>
        </w:rPr>
        <w:t>0.1</w:t>
      </w:r>
      <w:r w:rsidRPr="00267AB7">
        <w:rPr>
          <w:sz w:val="22"/>
          <w:szCs w:val="22"/>
        </w:rPr>
        <w:t xml:space="preserve"> percent, </w:t>
      </w:r>
      <w:r w:rsidR="0076720A">
        <w:rPr>
          <w:sz w:val="22"/>
          <w:szCs w:val="22"/>
        </w:rPr>
        <w:t>and</w:t>
      </w:r>
      <w:r w:rsidRPr="00267AB7">
        <w:rPr>
          <w:sz w:val="22"/>
          <w:szCs w:val="22"/>
        </w:rPr>
        <w:t xml:space="preserve"> </w:t>
      </w:r>
      <w:r w:rsidR="00044D50">
        <w:rPr>
          <w:sz w:val="22"/>
          <w:szCs w:val="22"/>
        </w:rPr>
        <w:t xml:space="preserve">the </w:t>
      </w:r>
      <w:r w:rsidRPr="00267AB7">
        <w:rPr>
          <w:sz w:val="22"/>
          <w:szCs w:val="22"/>
        </w:rPr>
        <w:t xml:space="preserve">import volume index </w:t>
      </w:r>
      <w:r w:rsidR="0076720A">
        <w:rPr>
          <w:sz w:val="22"/>
          <w:szCs w:val="22"/>
        </w:rPr>
        <w:t>increased</w:t>
      </w:r>
      <w:r w:rsidRPr="00267AB7">
        <w:rPr>
          <w:sz w:val="22"/>
          <w:szCs w:val="22"/>
        </w:rPr>
        <w:t xml:space="preserve"> by</w:t>
      </w:r>
      <w:r w:rsidR="00CE45E3" w:rsidRPr="00267AB7">
        <w:rPr>
          <w:sz w:val="22"/>
          <w:szCs w:val="22"/>
        </w:rPr>
        <w:t xml:space="preserve"> </w:t>
      </w:r>
      <w:r w:rsidR="0076720A">
        <w:rPr>
          <w:sz w:val="22"/>
          <w:szCs w:val="22"/>
        </w:rPr>
        <w:t>2.6</w:t>
      </w:r>
      <w:r w:rsidR="00CE45E3" w:rsidRPr="00267AB7">
        <w:rPr>
          <w:sz w:val="22"/>
          <w:szCs w:val="22"/>
        </w:rPr>
        <w:t xml:space="preserve"> percent. </w:t>
      </w:r>
      <w:r w:rsidR="00D46070" w:rsidRPr="00267AB7">
        <w:rPr>
          <w:sz w:val="22"/>
          <w:szCs w:val="22"/>
        </w:rPr>
        <w:t xml:space="preserve">Indicators show that </w:t>
      </w:r>
      <w:r w:rsidR="0076720A">
        <w:rPr>
          <w:sz w:val="22"/>
          <w:szCs w:val="22"/>
        </w:rPr>
        <w:t>the revival in consumer and investment remained weak in the second quarter</w:t>
      </w:r>
      <w:r w:rsidR="00D46070" w:rsidRPr="00267AB7">
        <w:rPr>
          <w:sz w:val="22"/>
          <w:szCs w:val="22"/>
        </w:rPr>
        <w:t>.</w:t>
      </w:r>
      <w:r w:rsidR="00D40C7D">
        <w:rPr>
          <w:sz w:val="22"/>
          <w:szCs w:val="22"/>
        </w:rPr>
        <w:t xml:space="preserve"> Gold-</w:t>
      </w:r>
      <w:r w:rsidR="0076720A">
        <w:rPr>
          <w:sz w:val="22"/>
          <w:szCs w:val="22"/>
        </w:rPr>
        <w:t>excluded exports and imports increase</w:t>
      </w:r>
      <w:r w:rsidR="00D40C7D">
        <w:rPr>
          <w:sz w:val="22"/>
          <w:szCs w:val="22"/>
        </w:rPr>
        <w:t>d</w:t>
      </w:r>
      <w:r w:rsidR="0076720A">
        <w:rPr>
          <w:sz w:val="22"/>
          <w:szCs w:val="22"/>
        </w:rPr>
        <w:t xml:space="preserve"> </w:t>
      </w:r>
      <w:r w:rsidR="00D40C7D">
        <w:rPr>
          <w:sz w:val="22"/>
          <w:szCs w:val="22"/>
        </w:rPr>
        <w:t xml:space="preserve">almost </w:t>
      </w:r>
      <w:r w:rsidR="0076720A">
        <w:rPr>
          <w:sz w:val="22"/>
          <w:szCs w:val="22"/>
        </w:rPr>
        <w:t xml:space="preserve">at </w:t>
      </w:r>
      <w:r w:rsidR="00D40C7D">
        <w:rPr>
          <w:sz w:val="22"/>
          <w:szCs w:val="22"/>
        </w:rPr>
        <w:t xml:space="preserve">the </w:t>
      </w:r>
      <w:r w:rsidR="0076720A">
        <w:rPr>
          <w:sz w:val="22"/>
          <w:szCs w:val="22"/>
        </w:rPr>
        <w:t xml:space="preserve">same </w:t>
      </w:r>
      <w:proofErr w:type="gramStart"/>
      <w:r w:rsidR="0076720A">
        <w:rPr>
          <w:sz w:val="22"/>
          <w:szCs w:val="22"/>
        </w:rPr>
        <w:t>pace,</w:t>
      </w:r>
      <w:proofErr w:type="gramEnd"/>
      <w:r w:rsidR="0076720A">
        <w:rPr>
          <w:sz w:val="22"/>
          <w:szCs w:val="22"/>
        </w:rPr>
        <w:t xml:space="preserve"> therefore</w:t>
      </w:r>
      <w:r w:rsidR="00D40C7D">
        <w:rPr>
          <w:sz w:val="22"/>
          <w:szCs w:val="22"/>
        </w:rPr>
        <w:t>,</w:t>
      </w:r>
      <w:r w:rsidR="0076720A">
        <w:rPr>
          <w:sz w:val="22"/>
          <w:szCs w:val="22"/>
        </w:rPr>
        <w:t xml:space="preserve"> contribution of net exports remain</w:t>
      </w:r>
      <w:r w:rsidR="00D40C7D">
        <w:rPr>
          <w:sz w:val="22"/>
          <w:szCs w:val="22"/>
        </w:rPr>
        <w:t>s</w:t>
      </w:r>
      <w:r w:rsidR="0076720A">
        <w:rPr>
          <w:sz w:val="22"/>
          <w:szCs w:val="22"/>
        </w:rPr>
        <w:t xml:space="preserve"> limited. </w:t>
      </w:r>
      <w:r w:rsidR="001D25D9">
        <w:rPr>
          <w:sz w:val="22"/>
          <w:szCs w:val="22"/>
        </w:rPr>
        <w:t xml:space="preserve">Due to the fall in the IPI, </w:t>
      </w:r>
      <w:r w:rsidR="0068507F">
        <w:rPr>
          <w:sz w:val="22"/>
          <w:szCs w:val="22"/>
        </w:rPr>
        <w:t>we revise down our forecast for the second quarter. We reduce</w:t>
      </w:r>
      <w:r w:rsidR="0068507F" w:rsidRPr="00267AB7">
        <w:rPr>
          <w:sz w:val="22"/>
          <w:szCs w:val="22"/>
        </w:rPr>
        <w:t xml:space="preserve"> </w:t>
      </w:r>
      <w:r w:rsidR="0068507F">
        <w:rPr>
          <w:sz w:val="22"/>
          <w:szCs w:val="22"/>
        </w:rPr>
        <w:t>our</w:t>
      </w:r>
      <w:r w:rsidR="0068507F" w:rsidRPr="00267AB7">
        <w:rPr>
          <w:sz w:val="22"/>
          <w:szCs w:val="22"/>
        </w:rPr>
        <w:t xml:space="preserve"> </w:t>
      </w:r>
      <w:r w:rsidR="00197CBA">
        <w:rPr>
          <w:sz w:val="22"/>
          <w:szCs w:val="22"/>
        </w:rPr>
        <w:t>quarter on quarter (</w:t>
      </w:r>
      <w:proofErr w:type="spellStart"/>
      <w:r w:rsidR="00197CBA">
        <w:rPr>
          <w:sz w:val="22"/>
          <w:szCs w:val="22"/>
        </w:rPr>
        <w:t>QoQ</w:t>
      </w:r>
      <w:proofErr w:type="spellEnd"/>
      <w:r w:rsidR="00197CBA">
        <w:rPr>
          <w:sz w:val="22"/>
          <w:szCs w:val="22"/>
        </w:rPr>
        <w:t>) growth</w:t>
      </w:r>
      <w:r w:rsidR="0068507F">
        <w:rPr>
          <w:sz w:val="22"/>
          <w:szCs w:val="22"/>
        </w:rPr>
        <w:t xml:space="preserve"> forecast from 0.8 percent to</w:t>
      </w:r>
      <w:r w:rsidR="0068507F" w:rsidRPr="00267AB7">
        <w:rPr>
          <w:sz w:val="22"/>
          <w:szCs w:val="22"/>
        </w:rPr>
        <w:t xml:space="preserve"> 0.4 percent</w:t>
      </w:r>
      <w:r w:rsidR="0068507F">
        <w:rPr>
          <w:sz w:val="22"/>
          <w:szCs w:val="22"/>
        </w:rPr>
        <w:t>, and t</w:t>
      </w:r>
      <w:r w:rsidR="0068507F" w:rsidRPr="00267AB7">
        <w:rPr>
          <w:sz w:val="22"/>
          <w:szCs w:val="22"/>
        </w:rPr>
        <w:t>he corresponding year on year (</w:t>
      </w:r>
      <w:proofErr w:type="spellStart"/>
      <w:r w:rsidR="0068507F" w:rsidRPr="00267AB7">
        <w:rPr>
          <w:sz w:val="22"/>
          <w:szCs w:val="22"/>
        </w:rPr>
        <w:t>YoY</w:t>
      </w:r>
      <w:proofErr w:type="spellEnd"/>
      <w:r w:rsidR="0068507F" w:rsidRPr="00267AB7">
        <w:rPr>
          <w:sz w:val="22"/>
          <w:szCs w:val="22"/>
        </w:rPr>
        <w:t>) forec</w:t>
      </w:r>
      <w:r w:rsidR="0068507F">
        <w:rPr>
          <w:sz w:val="22"/>
          <w:szCs w:val="22"/>
        </w:rPr>
        <w:t xml:space="preserve">ast from 3.8 percent to 3.4 percent. </w:t>
      </w:r>
    </w:p>
    <w:p w:rsidR="00D46070" w:rsidRPr="00A206EE" w:rsidRDefault="00D46070" w:rsidP="00FD3A91">
      <w:pPr>
        <w:spacing w:line="360" w:lineRule="auto"/>
        <w:ind w:left="-360" w:right="40"/>
        <w:jc w:val="both"/>
        <w:rPr>
          <w:sz w:val="16"/>
          <w:szCs w:val="16"/>
        </w:rPr>
      </w:pPr>
    </w:p>
    <w:p w:rsidR="00653B47" w:rsidRDefault="00877065" w:rsidP="00FD3A91">
      <w:pPr>
        <w:spacing w:line="360" w:lineRule="auto"/>
        <w:ind w:left="-360" w:right="40"/>
        <w:jc w:val="both"/>
        <w:rPr>
          <w:sz w:val="22"/>
          <w:szCs w:val="22"/>
        </w:rPr>
      </w:pPr>
      <w:r>
        <w:rPr>
          <w:sz w:val="22"/>
          <w:szCs w:val="22"/>
        </w:rPr>
        <w:t>T</w:t>
      </w:r>
      <w:r w:rsidR="003B23AB" w:rsidRPr="00267AB7">
        <w:rPr>
          <w:sz w:val="22"/>
          <w:szCs w:val="22"/>
        </w:rPr>
        <w:t>he current account deficit continues to fall</w:t>
      </w:r>
      <w:r>
        <w:rPr>
          <w:sz w:val="22"/>
          <w:szCs w:val="22"/>
        </w:rPr>
        <w:t xml:space="preserve"> rapidly due to fall in gold </w:t>
      </w:r>
      <w:r w:rsidR="009227E4">
        <w:rPr>
          <w:sz w:val="22"/>
          <w:szCs w:val="22"/>
        </w:rPr>
        <w:t xml:space="preserve">imports. The current account deficit in May was $3.4 billion. </w:t>
      </w:r>
      <w:r w:rsidR="009227E4" w:rsidRPr="00267AB7">
        <w:rPr>
          <w:sz w:val="22"/>
          <w:szCs w:val="22"/>
        </w:rPr>
        <w:t xml:space="preserve">12-month rolling current account deficit </w:t>
      </w:r>
      <w:r w:rsidR="009227E4">
        <w:rPr>
          <w:sz w:val="22"/>
          <w:szCs w:val="22"/>
        </w:rPr>
        <w:t>declined</w:t>
      </w:r>
      <w:r w:rsidR="009227E4" w:rsidRPr="00267AB7">
        <w:rPr>
          <w:sz w:val="22"/>
          <w:szCs w:val="22"/>
        </w:rPr>
        <w:t xml:space="preserve"> by </w:t>
      </w:r>
      <w:r w:rsidR="009227E4">
        <w:rPr>
          <w:sz w:val="22"/>
          <w:szCs w:val="22"/>
        </w:rPr>
        <w:t>$4.2</w:t>
      </w:r>
      <w:r w:rsidR="009227E4" w:rsidRPr="00267AB7">
        <w:rPr>
          <w:sz w:val="22"/>
          <w:szCs w:val="22"/>
        </w:rPr>
        <w:t xml:space="preserve"> billion</w:t>
      </w:r>
      <w:r w:rsidR="009227E4">
        <w:rPr>
          <w:sz w:val="22"/>
          <w:szCs w:val="22"/>
        </w:rPr>
        <w:t xml:space="preserve"> in May, and fell to </w:t>
      </w:r>
      <w:r w:rsidR="003B18A7">
        <w:rPr>
          <w:sz w:val="22"/>
          <w:szCs w:val="22"/>
        </w:rPr>
        <w:t>$</w:t>
      </w:r>
      <w:r w:rsidR="009227E4">
        <w:rPr>
          <w:sz w:val="22"/>
          <w:szCs w:val="22"/>
        </w:rPr>
        <w:t>52.6</w:t>
      </w:r>
      <w:r w:rsidR="003B18A7">
        <w:rPr>
          <w:sz w:val="22"/>
          <w:szCs w:val="22"/>
        </w:rPr>
        <w:t xml:space="preserve"> billion. </w:t>
      </w:r>
      <w:r w:rsidR="00A206EE">
        <w:rPr>
          <w:sz w:val="22"/>
          <w:szCs w:val="22"/>
        </w:rPr>
        <w:t xml:space="preserve">We expect the current account deficit to GDP ratio to fall to 6.4 percent at the end of the second quarter, and </w:t>
      </w:r>
      <w:r w:rsidR="00A206EE" w:rsidRPr="00267AB7">
        <w:rPr>
          <w:sz w:val="22"/>
          <w:szCs w:val="22"/>
        </w:rPr>
        <w:t>the gold</w:t>
      </w:r>
      <w:r w:rsidR="00A206EE">
        <w:rPr>
          <w:sz w:val="22"/>
          <w:szCs w:val="22"/>
        </w:rPr>
        <w:t>-</w:t>
      </w:r>
      <w:r w:rsidR="00A206EE" w:rsidRPr="00267AB7">
        <w:rPr>
          <w:sz w:val="22"/>
          <w:szCs w:val="22"/>
        </w:rPr>
        <w:t xml:space="preserve">excluded current account deficit to be </w:t>
      </w:r>
      <w:r w:rsidR="00A206EE">
        <w:rPr>
          <w:sz w:val="22"/>
          <w:szCs w:val="22"/>
        </w:rPr>
        <w:t>5.8</w:t>
      </w:r>
      <w:r w:rsidR="00A206EE" w:rsidRPr="00267AB7">
        <w:rPr>
          <w:sz w:val="22"/>
          <w:szCs w:val="22"/>
        </w:rPr>
        <w:t xml:space="preserve"> percent.</w:t>
      </w:r>
    </w:p>
    <w:p w:rsidR="00FD3A91" w:rsidRDefault="002918D5" w:rsidP="00FD3A91">
      <w:pPr>
        <w:spacing w:line="288" w:lineRule="auto"/>
        <w:ind w:right="-318"/>
        <w:jc w:val="both"/>
        <w:rPr>
          <w:rFonts w:ascii="Arial" w:hAnsi="Arial" w:cs="Arial"/>
          <w:sz w:val="16"/>
          <w:szCs w:val="16"/>
        </w:rPr>
      </w:pPr>
      <w:r>
        <w:rPr>
          <w:noProof/>
          <w:lang w:val="tr-TR"/>
        </w:rPr>
        <mc:AlternateContent>
          <mc:Choice Requires="wps">
            <w:drawing>
              <wp:anchor distT="0" distB="0" distL="114300" distR="114300" simplePos="0" relativeHeight="251658752" behindDoc="0" locked="0" layoutInCell="1" allowOverlap="1">
                <wp:simplePos x="0" y="0"/>
                <wp:positionH relativeFrom="column">
                  <wp:posOffset>-219075</wp:posOffset>
                </wp:positionH>
                <wp:positionV relativeFrom="paragraph">
                  <wp:posOffset>67945</wp:posOffset>
                </wp:positionV>
                <wp:extent cx="2514600" cy="635"/>
                <wp:effectExtent l="0" t="0" r="19050" b="3746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5.35pt" to="180.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"/>
            </w:pict>
          </mc:Fallback>
        </mc:AlternateContent>
      </w:r>
      <w:r>
        <w:rPr>
          <w:rFonts w:ascii="Arial" w:hAnsi="Arial" w:cs="Arial"/>
          <w:noProof/>
          <w:sz w:val="16"/>
          <w:szCs w:val="16"/>
          <w:lang w:val="tr-TR"/>
        </w:rPr>
        <mc:AlternateContent>
          <mc:Choice Requires="wpc">
            <w:drawing>
              <wp:inline distT="0" distB="0" distL="0" distR="0">
                <wp:extent cx="2514600" cy="45720"/>
                <wp:effectExtent l="0" t="0" r="0" b="0"/>
                <wp:docPr id="4" name="Canvas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9" o:spid="_x0000_s1026" editas="canvas" style="width:198pt;height:3.6pt;mso-position-horizontal-relative:char;mso-position-vertical-relative:line" coordsize="2514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146;height:457;visibility:visible;mso-wrap-style:square">
                  <v:fill o:detectmouseclick="t"/>
                  <v:path o:connecttype="none"/>
                </v:shape>
                <w10:anchorlock/>
              </v:group>
            </w:pict>
          </mc:Fallback>
        </mc:AlternateContent>
      </w:r>
    </w:p>
    <w:p w:rsidR="000126AE" w:rsidRPr="006F3F45" w:rsidRDefault="000126AE" w:rsidP="000126AE">
      <w:pPr>
        <w:spacing w:line="288" w:lineRule="auto"/>
        <w:ind w:left="-360" w:right="-318"/>
        <w:jc w:val="both"/>
        <w:rPr>
          <w:sz w:val="16"/>
          <w:szCs w:val="16"/>
        </w:rPr>
      </w:pPr>
      <w:r w:rsidRPr="006F3F45">
        <w:rPr>
          <w:sz w:val="16"/>
          <w:szCs w:val="16"/>
        </w:rPr>
        <w:t>* Zümrüt</w:t>
      </w:r>
      <w:r w:rsidR="00B207DC">
        <w:rPr>
          <w:sz w:val="16"/>
          <w:szCs w:val="16"/>
        </w:rPr>
        <w:t xml:space="preserve"> </w:t>
      </w:r>
      <w:r w:rsidRPr="006F3F45">
        <w:rPr>
          <w:sz w:val="16"/>
          <w:szCs w:val="16"/>
        </w:rPr>
        <w:t>İmamoğlu,</w:t>
      </w:r>
      <w:r w:rsidR="00995025">
        <w:rPr>
          <w:sz w:val="16"/>
          <w:szCs w:val="16"/>
        </w:rPr>
        <w:t xml:space="preserve"> </w:t>
      </w:r>
      <w:r w:rsidR="008A4450">
        <w:rPr>
          <w:sz w:val="16"/>
          <w:szCs w:val="16"/>
        </w:rPr>
        <w:t>PhD,</w:t>
      </w:r>
      <w:r w:rsidRPr="006F3F45">
        <w:rPr>
          <w:sz w:val="16"/>
          <w:szCs w:val="16"/>
        </w:rPr>
        <w:t xml:space="preserve"> Research Associate.</w:t>
      </w:r>
    </w:p>
    <w:p w:rsidR="000126AE" w:rsidRPr="006F3F45" w:rsidRDefault="000126AE" w:rsidP="000126AE">
      <w:pPr>
        <w:spacing w:line="288" w:lineRule="auto"/>
        <w:ind w:left="-360" w:right="-318"/>
        <w:jc w:val="both"/>
        <w:rPr>
          <w:sz w:val="16"/>
          <w:szCs w:val="16"/>
        </w:rPr>
      </w:pPr>
      <w:r w:rsidRPr="006F3F45">
        <w:rPr>
          <w:sz w:val="16"/>
          <w:szCs w:val="16"/>
        </w:rPr>
        <w:t xml:space="preserve">  zumrut.imamoglu@</w:t>
      </w:r>
      <w:r w:rsidR="00CF2537">
        <w:rPr>
          <w:sz w:val="16"/>
          <w:szCs w:val="16"/>
        </w:rPr>
        <w:t>eas.</w:t>
      </w:r>
      <w:r w:rsidRPr="006F3F45">
        <w:rPr>
          <w:sz w:val="16"/>
          <w:szCs w:val="16"/>
        </w:rPr>
        <w:t>bahcesehir.edu.tr</w:t>
      </w:r>
    </w:p>
    <w:p w:rsidR="000126AE" w:rsidRPr="006F3F45" w:rsidRDefault="000126AE" w:rsidP="000126AE">
      <w:pPr>
        <w:spacing w:line="288" w:lineRule="auto"/>
        <w:ind w:left="-360" w:right="-318"/>
        <w:jc w:val="both"/>
        <w:rPr>
          <w:sz w:val="16"/>
          <w:szCs w:val="16"/>
        </w:rPr>
      </w:pPr>
      <w:r w:rsidRPr="006F3F45">
        <w:rPr>
          <w:sz w:val="16"/>
          <w:szCs w:val="16"/>
          <w:vertAlign w:val="superscript"/>
        </w:rPr>
        <w:t xml:space="preserve">† </w:t>
      </w:r>
      <w:proofErr w:type="spellStart"/>
      <w:r w:rsidRPr="006F3F45">
        <w:rPr>
          <w:sz w:val="16"/>
          <w:szCs w:val="16"/>
        </w:rPr>
        <w:t>Barış</w:t>
      </w:r>
      <w:proofErr w:type="spellEnd"/>
      <w:r w:rsidR="00B207DC">
        <w:rPr>
          <w:sz w:val="16"/>
          <w:szCs w:val="16"/>
        </w:rPr>
        <w:t xml:space="preserve"> </w:t>
      </w:r>
      <w:r w:rsidR="008A4450">
        <w:rPr>
          <w:sz w:val="16"/>
          <w:szCs w:val="16"/>
        </w:rPr>
        <w:t>Soybilgen,</w:t>
      </w:r>
      <w:r w:rsidRPr="006F3F45">
        <w:rPr>
          <w:sz w:val="16"/>
          <w:szCs w:val="16"/>
        </w:rPr>
        <w:t xml:space="preserve"> Research Assistant,</w:t>
      </w:r>
    </w:p>
    <w:p w:rsidR="000126AE" w:rsidRPr="006F3F45" w:rsidRDefault="000126AE" w:rsidP="000126AE">
      <w:pPr>
        <w:ind w:left="-360"/>
        <w:rPr>
          <w:sz w:val="16"/>
          <w:szCs w:val="16"/>
        </w:rPr>
      </w:pPr>
      <w:r w:rsidRPr="006F3F45">
        <w:rPr>
          <w:sz w:val="16"/>
          <w:szCs w:val="16"/>
        </w:rPr>
        <w:t xml:space="preserve">  baris.soybilgen@</w:t>
      </w:r>
      <w:r w:rsidR="00CF2537">
        <w:rPr>
          <w:sz w:val="16"/>
          <w:szCs w:val="16"/>
        </w:rPr>
        <w:t>eas.</w:t>
      </w:r>
      <w:r w:rsidRPr="006F3F45">
        <w:rPr>
          <w:sz w:val="16"/>
          <w:szCs w:val="16"/>
        </w:rPr>
        <w:t>bahcesehir.edu.tr</w:t>
      </w:r>
    </w:p>
    <w:p w:rsidR="00FD3A91" w:rsidRDefault="00FD3A91" w:rsidP="00FD3A91">
      <w:pPr>
        <w:ind w:right="42"/>
        <w:rPr>
          <w:b/>
          <w:bCs/>
          <w:sz w:val="22"/>
          <w:szCs w:val="22"/>
        </w:rPr>
      </w:pPr>
    </w:p>
    <w:p w:rsidR="003B2DCE" w:rsidRDefault="003B2DCE" w:rsidP="000126AE">
      <w:pPr>
        <w:ind w:left="-284" w:right="-71"/>
        <w:outlineLvl w:val="0"/>
        <w:rPr>
          <w:b/>
          <w:bCs/>
          <w:sz w:val="22"/>
          <w:szCs w:val="22"/>
        </w:rPr>
      </w:pPr>
    </w:p>
    <w:p w:rsidR="00FD3A91" w:rsidRDefault="000126AE" w:rsidP="000126AE">
      <w:pPr>
        <w:ind w:left="-284" w:right="-71"/>
        <w:outlineLvl w:val="0"/>
        <w:rPr>
          <w:b/>
          <w:bCs/>
          <w:sz w:val="22"/>
          <w:szCs w:val="22"/>
        </w:rPr>
      </w:pPr>
      <w:r>
        <w:rPr>
          <w:b/>
          <w:bCs/>
          <w:sz w:val="22"/>
          <w:szCs w:val="22"/>
        </w:rPr>
        <w:t>Table</w:t>
      </w:r>
      <w:r w:rsidR="00FD3A91">
        <w:rPr>
          <w:b/>
          <w:bCs/>
          <w:sz w:val="22"/>
          <w:szCs w:val="22"/>
        </w:rPr>
        <w:t xml:space="preserve"> 1.</w:t>
      </w:r>
      <w:r>
        <w:rPr>
          <w:b/>
          <w:bCs/>
          <w:sz w:val="22"/>
          <w:szCs w:val="22"/>
        </w:rPr>
        <w:t>Betam's quarterly and annual growth rate forecasts</w:t>
      </w:r>
    </w:p>
    <w:tbl>
      <w:tblPr>
        <w:tblpPr w:leftFromText="141" w:rightFromText="141" w:vertAnchor="text" w:horzAnchor="margin" w:tblpXSpec="right" w:tblpY="129"/>
        <w:tblW w:w="4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0"/>
        <w:gridCol w:w="1117"/>
      </w:tblGrid>
      <w:tr w:rsidR="009F08A8" w:rsidRPr="003118F7" w:rsidTr="00BD2888">
        <w:trPr>
          <w:trHeight w:val="986"/>
        </w:trPr>
        <w:tc>
          <w:tcPr>
            <w:tcW w:w="3430" w:type="dxa"/>
            <w:tcMar>
              <w:left w:w="28" w:type="dxa"/>
              <w:right w:w="28" w:type="dxa"/>
            </w:tcMar>
            <w:vAlign w:val="center"/>
          </w:tcPr>
          <w:p w:rsidR="009F08A8" w:rsidRPr="00180C8C" w:rsidRDefault="009F08A8" w:rsidP="00BD2888">
            <w:pPr>
              <w:ind w:right="42"/>
              <w:jc w:val="center"/>
              <w:rPr>
                <w:sz w:val="20"/>
                <w:szCs w:val="20"/>
              </w:rPr>
            </w:pPr>
          </w:p>
        </w:tc>
        <w:tc>
          <w:tcPr>
            <w:tcW w:w="1117" w:type="dxa"/>
            <w:vAlign w:val="center"/>
          </w:tcPr>
          <w:p w:rsidR="009F08A8" w:rsidRPr="00180C8C" w:rsidRDefault="009F08A8" w:rsidP="00BD2888">
            <w:pPr>
              <w:ind w:right="40"/>
              <w:jc w:val="center"/>
              <w:rPr>
                <w:b/>
                <w:bCs/>
                <w:sz w:val="20"/>
                <w:szCs w:val="20"/>
              </w:rPr>
            </w:pPr>
            <w:r w:rsidRPr="00180C8C">
              <w:rPr>
                <w:b/>
                <w:bCs/>
                <w:sz w:val="20"/>
                <w:szCs w:val="20"/>
              </w:rPr>
              <w:t>201</w:t>
            </w:r>
            <w:r>
              <w:rPr>
                <w:b/>
                <w:bCs/>
                <w:sz w:val="20"/>
                <w:szCs w:val="20"/>
              </w:rPr>
              <w:t>4</w:t>
            </w:r>
          </w:p>
          <w:p w:rsidR="009F08A8" w:rsidRPr="00267AB7" w:rsidRDefault="009F6425" w:rsidP="00BD2888">
            <w:pPr>
              <w:ind w:right="40"/>
              <w:jc w:val="center"/>
              <w:rPr>
                <w:b/>
                <w:bCs/>
                <w:sz w:val="18"/>
                <w:szCs w:val="18"/>
              </w:rPr>
            </w:pPr>
            <w:r>
              <w:rPr>
                <w:b/>
                <w:bCs/>
                <w:sz w:val="18"/>
                <w:szCs w:val="18"/>
              </w:rPr>
              <w:t>2</w:t>
            </w:r>
            <w:r w:rsidR="00267AB7" w:rsidRPr="00267AB7">
              <w:rPr>
                <w:b/>
                <w:bCs/>
                <w:sz w:val="18"/>
                <w:szCs w:val="18"/>
              </w:rPr>
              <w:t>.</w:t>
            </w:r>
            <w:r w:rsidR="00267AB7">
              <w:rPr>
                <w:b/>
                <w:bCs/>
                <w:sz w:val="18"/>
                <w:szCs w:val="18"/>
              </w:rPr>
              <w:t xml:space="preserve"> </w:t>
            </w:r>
            <w:r w:rsidR="00267AB7" w:rsidRPr="00267AB7">
              <w:rPr>
                <w:b/>
                <w:bCs/>
                <w:sz w:val="18"/>
                <w:szCs w:val="18"/>
              </w:rPr>
              <w:t>Quarter</w:t>
            </w:r>
          </w:p>
          <w:p w:rsidR="009F08A8" w:rsidRPr="00180C8C" w:rsidRDefault="009F08A8" w:rsidP="00BD2888">
            <w:pPr>
              <w:ind w:right="40"/>
              <w:jc w:val="center"/>
              <w:rPr>
                <w:b/>
                <w:bCs/>
                <w:sz w:val="20"/>
                <w:szCs w:val="20"/>
              </w:rPr>
            </w:pPr>
            <w:r>
              <w:rPr>
                <w:b/>
                <w:bCs/>
                <w:sz w:val="20"/>
                <w:szCs w:val="20"/>
              </w:rPr>
              <w:t>(%)</w:t>
            </w:r>
          </w:p>
        </w:tc>
      </w:tr>
      <w:tr w:rsidR="009F08A8" w:rsidRPr="003118F7" w:rsidTr="00BD2888">
        <w:trPr>
          <w:trHeight w:val="771"/>
        </w:trPr>
        <w:tc>
          <w:tcPr>
            <w:tcW w:w="3430" w:type="dxa"/>
            <w:tcMar>
              <w:left w:w="28" w:type="dxa"/>
              <w:right w:w="28" w:type="dxa"/>
            </w:tcMar>
            <w:vAlign w:val="center"/>
          </w:tcPr>
          <w:p w:rsidR="009F08A8" w:rsidRPr="006F3F45" w:rsidRDefault="009F08A8" w:rsidP="00BD2888">
            <w:pPr>
              <w:spacing w:line="360" w:lineRule="auto"/>
              <w:ind w:right="42"/>
              <w:rPr>
                <w:b/>
                <w:sz w:val="20"/>
                <w:szCs w:val="20"/>
              </w:rPr>
            </w:pPr>
            <w:r w:rsidRPr="006F3F45">
              <w:rPr>
                <w:b/>
                <w:sz w:val="20"/>
                <w:szCs w:val="20"/>
              </w:rPr>
              <w:t xml:space="preserve">Real GDP growth, % </w:t>
            </w:r>
          </w:p>
          <w:p w:rsidR="009F08A8" w:rsidRPr="006F3F45" w:rsidRDefault="009F08A8" w:rsidP="00BD2888">
            <w:pPr>
              <w:ind w:right="42"/>
              <w:rPr>
                <w:sz w:val="20"/>
                <w:szCs w:val="20"/>
              </w:rPr>
            </w:pPr>
            <w:r w:rsidRPr="006F3F45">
              <w:rPr>
                <w:sz w:val="20"/>
                <w:szCs w:val="20"/>
              </w:rPr>
              <w:t xml:space="preserve">(quarter on quarter, </w:t>
            </w:r>
            <w:proofErr w:type="spellStart"/>
            <w:r w:rsidRPr="006F3F45">
              <w:rPr>
                <w:sz w:val="20"/>
                <w:szCs w:val="20"/>
              </w:rPr>
              <w:t>sa</w:t>
            </w:r>
            <w:proofErr w:type="spellEnd"/>
            <w:r w:rsidRPr="006F3F45">
              <w:rPr>
                <w:sz w:val="20"/>
                <w:szCs w:val="20"/>
              </w:rPr>
              <w:t>*)</w:t>
            </w:r>
          </w:p>
        </w:tc>
        <w:tc>
          <w:tcPr>
            <w:tcW w:w="1117" w:type="dxa"/>
            <w:vAlign w:val="center"/>
          </w:tcPr>
          <w:p w:rsidR="009F08A8" w:rsidRPr="00180C8C" w:rsidRDefault="009F6425" w:rsidP="00BD2888">
            <w:pPr>
              <w:ind w:right="42"/>
              <w:jc w:val="center"/>
              <w:rPr>
                <w:sz w:val="20"/>
                <w:szCs w:val="20"/>
              </w:rPr>
            </w:pPr>
            <w:r>
              <w:rPr>
                <w:sz w:val="20"/>
                <w:szCs w:val="20"/>
              </w:rPr>
              <w:t>0.4</w:t>
            </w:r>
          </w:p>
        </w:tc>
      </w:tr>
      <w:tr w:rsidR="009F08A8" w:rsidRPr="003118F7" w:rsidTr="00BD2888">
        <w:trPr>
          <w:trHeight w:val="756"/>
        </w:trPr>
        <w:tc>
          <w:tcPr>
            <w:tcW w:w="3430" w:type="dxa"/>
            <w:tcMar>
              <w:left w:w="28" w:type="dxa"/>
              <w:right w:w="28" w:type="dxa"/>
            </w:tcMar>
            <w:vAlign w:val="center"/>
          </w:tcPr>
          <w:p w:rsidR="009F08A8" w:rsidRPr="006F3F45" w:rsidRDefault="009F08A8" w:rsidP="00BD2888">
            <w:pPr>
              <w:spacing w:line="360" w:lineRule="auto"/>
              <w:ind w:right="42"/>
              <w:rPr>
                <w:sz w:val="20"/>
                <w:szCs w:val="20"/>
              </w:rPr>
            </w:pPr>
            <w:r w:rsidRPr="006F3F45">
              <w:rPr>
                <w:b/>
                <w:sz w:val="20"/>
                <w:szCs w:val="20"/>
              </w:rPr>
              <w:t>Real GDP growth, %</w:t>
            </w:r>
          </w:p>
          <w:p w:rsidR="009F08A8" w:rsidRPr="006F3F45" w:rsidRDefault="009F08A8" w:rsidP="00BD2888">
            <w:pPr>
              <w:ind w:right="42"/>
              <w:rPr>
                <w:sz w:val="20"/>
                <w:szCs w:val="20"/>
              </w:rPr>
            </w:pPr>
            <w:r w:rsidRPr="006F3F45">
              <w:rPr>
                <w:sz w:val="20"/>
                <w:szCs w:val="20"/>
              </w:rPr>
              <w:t xml:space="preserve">(year on year, </w:t>
            </w:r>
            <w:proofErr w:type="spellStart"/>
            <w:r w:rsidRPr="006F3F45">
              <w:rPr>
                <w:sz w:val="20"/>
                <w:szCs w:val="20"/>
              </w:rPr>
              <w:t>ca</w:t>
            </w:r>
            <w:proofErr w:type="spellEnd"/>
            <w:r w:rsidRPr="006F3F45">
              <w:rPr>
                <w:sz w:val="20"/>
                <w:szCs w:val="20"/>
              </w:rPr>
              <w:t>**)</w:t>
            </w:r>
          </w:p>
        </w:tc>
        <w:tc>
          <w:tcPr>
            <w:tcW w:w="1117" w:type="dxa"/>
            <w:vAlign w:val="center"/>
          </w:tcPr>
          <w:p w:rsidR="009F08A8" w:rsidRPr="00180C8C" w:rsidRDefault="009F6425" w:rsidP="00BD2888">
            <w:pPr>
              <w:ind w:right="42"/>
              <w:jc w:val="center"/>
              <w:rPr>
                <w:sz w:val="20"/>
                <w:szCs w:val="20"/>
              </w:rPr>
            </w:pPr>
            <w:r>
              <w:rPr>
                <w:sz w:val="20"/>
                <w:szCs w:val="20"/>
              </w:rPr>
              <w:t>3.4</w:t>
            </w:r>
          </w:p>
        </w:tc>
      </w:tr>
      <w:tr w:rsidR="009F08A8" w:rsidRPr="003118F7" w:rsidTr="00BD2888">
        <w:trPr>
          <w:trHeight w:val="583"/>
        </w:trPr>
        <w:tc>
          <w:tcPr>
            <w:tcW w:w="3430" w:type="dxa"/>
            <w:tcMar>
              <w:left w:w="28" w:type="dxa"/>
              <w:right w:w="28" w:type="dxa"/>
            </w:tcMar>
            <w:vAlign w:val="center"/>
          </w:tcPr>
          <w:p w:rsidR="009F08A8" w:rsidRPr="006F3F45" w:rsidRDefault="009F08A8" w:rsidP="00BD2888">
            <w:pPr>
              <w:spacing w:line="360" w:lineRule="auto"/>
              <w:ind w:right="42"/>
              <w:rPr>
                <w:sz w:val="20"/>
                <w:szCs w:val="20"/>
              </w:rPr>
            </w:pPr>
            <w:r w:rsidRPr="006F3F45">
              <w:rPr>
                <w:b/>
                <w:sz w:val="20"/>
                <w:szCs w:val="20"/>
              </w:rPr>
              <w:t>Current account deficit</w:t>
            </w:r>
          </w:p>
          <w:p w:rsidR="009F08A8" w:rsidRPr="006F3F45" w:rsidRDefault="009F08A8" w:rsidP="00BD2888">
            <w:pPr>
              <w:ind w:right="40"/>
              <w:rPr>
                <w:sz w:val="20"/>
                <w:szCs w:val="20"/>
              </w:rPr>
            </w:pPr>
            <w:r w:rsidRPr="006F3F45">
              <w:rPr>
                <w:sz w:val="20"/>
                <w:szCs w:val="20"/>
              </w:rPr>
              <w:t>(% of GDP, annual)</w:t>
            </w:r>
          </w:p>
        </w:tc>
        <w:tc>
          <w:tcPr>
            <w:tcW w:w="1117" w:type="dxa"/>
            <w:vAlign w:val="center"/>
          </w:tcPr>
          <w:p w:rsidR="009F08A8" w:rsidRPr="00180C8C" w:rsidRDefault="009F6425" w:rsidP="00BD2888">
            <w:pPr>
              <w:ind w:right="40"/>
              <w:jc w:val="center"/>
              <w:rPr>
                <w:sz w:val="20"/>
                <w:szCs w:val="20"/>
              </w:rPr>
            </w:pPr>
            <w:r>
              <w:rPr>
                <w:sz w:val="20"/>
                <w:szCs w:val="20"/>
              </w:rPr>
              <w:t>6.4</w:t>
            </w:r>
          </w:p>
        </w:tc>
      </w:tr>
      <w:tr w:rsidR="009F08A8" w:rsidRPr="003118F7" w:rsidTr="00BD2888">
        <w:trPr>
          <w:trHeight w:val="583"/>
        </w:trPr>
        <w:tc>
          <w:tcPr>
            <w:tcW w:w="3430" w:type="dxa"/>
            <w:tcMar>
              <w:left w:w="28" w:type="dxa"/>
              <w:right w:w="28" w:type="dxa"/>
            </w:tcMar>
            <w:vAlign w:val="center"/>
          </w:tcPr>
          <w:p w:rsidR="009F08A8" w:rsidRPr="006F3F45" w:rsidRDefault="009F08A8" w:rsidP="00BD2888">
            <w:pPr>
              <w:spacing w:line="360" w:lineRule="auto"/>
              <w:ind w:right="42"/>
              <w:rPr>
                <w:sz w:val="20"/>
                <w:szCs w:val="20"/>
              </w:rPr>
            </w:pPr>
            <w:r>
              <w:rPr>
                <w:b/>
                <w:sz w:val="20"/>
                <w:szCs w:val="20"/>
              </w:rPr>
              <w:t>Gold Excluded c</w:t>
            </w:r>
            <w:r w:rsidRPr="006F3F45">
              <w:rPr>
                <w:b/>
                <w:sz w:val="20"/>
                <w:szCs w:val="20"/>
              </w:rPr>
              <w:t>urrent account deficit</w:t>
            </w:r>
          </w:p>
          <w:p w:rsidR="009F08A8" w:rsidRPr="006F3F45" w:rsidRDefault="009F08A8" w:rsidP="00BD2888">
            <w:pPr>
              <w:ind w:right="42"/>
              <w:rPr>
                <w:sz w:val="20"/>
                <w:szCs w:val="20"/>
              </w:rPr>
            </w:pPr>
            <w:r w:rsidRPr="006F3F45">
              <w:rPr>
                <w:sz w:val="20"/>
                <w:szCs w:val="20"/>
              </w:rPr>
              <w:t>(% of GDP, annual)</w:t>
            </w:r>
          </w:p>
        </w:tc>
        <w:tc>
          <w:tcPr>
            <w:tcW w:w="1117" w:type="dxa"/>
            <w:vAlign w:val="center"/>
          </w:tcPr>
          <w:p w:rsidR="009F08A8" w:rsidRPr="00180C8C" w:rsidRDefault="009F6425" w:rsidP="00BD2888">
            <w:pPr>
              <w:ind w:right="40"/>
              <w:jc w:val="center"/>
              <w:rPr>
                <w:sz w:val="20"/>
                <w:szCs w:val="20"/>
              </w:rPr>
            </w:pPr>
            <w:r>
              <w:rPr>
                <w:sz w:val="20"/>
                <w:szCs w:val="20"/>
              </w:rPr>
              <w:t>5.8</w:t>
            </w:r>
          </w:p>
        </w:tc>
      </w:tr>
    </w:tbl>
    <w:p w:rsidR="000126AE" w:rsidRPr="006F3F45" w:rsidRDefault="000126AE" w:rsidP="000126AE">
      <w:pPr>
        <w:ind w:left="-360" w:right="40"/>
        <w:jc w:val="both"/>
        <w:rPr>
          <w:sz w:val="16"/>
          <w:szCs w:val="16"/>
        </w:rPr>
      </w:pPr>
      <w:r w:rsidRPr="006F3F45">
        <w:rPr>
          <w:sz w:val="16"/>
          <w:szCs w:val="16"/>
        </w:rPr>
        <w:t>Source: Betam.*</w:t>
      </w:r>
      <w:proofErr w:type="spellStart"/>
      <w:proofErr w:type="gramStart"/>
      <w:r w:rsidRPr="006F3F45">
        <w:rPr>
          <w:sz w:val="16"/>
          <w:szCs w:val="16"/>
        </w:rPr>
        <w:t>sa</w:t>
      </w:r>
      <w:proofErr w:type="spellEnd"/>
      <w:proofErr w:type="gramEnd"/>
      <w:r w:rsidRPr="006F3F45">
        <w:rPr>
          <w:sz w:val="16"/>
          <w:szCs w:val="16"/>
        </w:rPr>
        <w:t>: seasonally and calendar day adjusted</w:t>
      </w:r>
      <w:r w:rsidR="006A2D33">
        <w:rPr>
          <w:sz w:val="16"/>
          <w:szCs w:val="16"/>
        </w:rPr>
        <w:t xml:space="preserve"> </w:t>
      </w:r>
      <w:r w:rsidRPr="006F3F45">
        <w:rPr>
          <w:sz w:val="16"/>
          <w:szCs w:val="16"/>
        </w:rPr>
        <w:t>**</w:t>
      </w:r>
      <w:proofErr w:type="spellStart"/>
      <w:r w:rsidRPr="006F3F45">
        <w:rPr>
          <w:sz w:val="16"/>
          <w:szCs w:val="16"/>
        </w:rPr>
        <w:t>ca</w:t>
      </w:r>
      <w:proofErr w:type="spellEnd"/>
      <w:r w:rsidRPr="006F3F45">
        <w:rPr>
          <w:sz w:val="16"/>
          <w:szCs w:val="16"/>
        </w:rPr>
        <w:t>: calendar day adjusted</w:t>
      </w:r>
      <w:r>
        <w:rPr>
          <w:sz w:val="16"/>
          <w:szCs w:val="16"/>
        </w:rPr>
        <w:t>.</w:t>
      </w:r>
    </w:p>
    <w:p w:rsidR="009F08A8" w:rsidRDefault="009F08A8" w:rsidP="00FD3A91">
      <w:pPr>
        <w:spacing w:line="360" w:lineRule="auto"/>
        <w:ind w:left="-360"/>
        <w:jc w:val="center"/>
        <w:rPr>
          <w:b/>
          <w:bCs/>
          <w:sz w:val="22"/>
          <w:szCs w:val="22"/>
        </w:rPr>
      </w:pPr>
    </w:p>
    <w:p w:rsidR="00FD3A91" w:rsidRDefault="009F6425" w:rsidP="00FD3A91">
      <w:pPr>
        <w:spacing w:line="360" w:lineRule="auto"/>
        <w:ind w:left="-360"/>
        <w:jc w:val="center"/>
        <w:rPr>
          <w:b/>
          <w:bCs/>
          <w:sz w:val="22"/>
          <w:szCs w:val="22"/>
        </w:rPr>
      </w:pPr>
      <w:r>
        <w:rPr>
          <w:b/>
          <w:bCs/>
          <w:sz w:val="22"/>
          <w:szCs w:val="22"/>
        </w:rPr>
        <w:t>Domestic demand is weak</w:t>
      </w:r>
    </w:p>
    <w:p w:rsidR="00FD3A91" w:rsidRDefault="00FD3A91" w:rsidP="00FD3A91">
      <w:pPr>
        <w:spacing w:line="360" w:lineRule="auto"/>
        <w:ind w:left="-360"/>
        <w:jc w:val="center"/>
        <w:rPr>
          <w:b/>
          <w:bCs/>
          <w:sz w:val="22"/>
          <w:szCs w:val="22"/>
        </w:rPr>
      </w:pPr>
    </w:p>
    <w:p w:rsidR="006926CE" w:rsidRDefault="006926CE" w:rsidP="00FD3A91">
      <w:pPr>
        <w:spacing w:line="360" w:lineRule="auto"/>
        <w:ind w:left="-360" w:right="42"/>
        <w:jc w:val="both"/>
        <w:rPr>
          <w:sz w:val="22"/>
          <w:szCs w:val="22"/>
        </w:rPr>
      </w:pPr>
      <w:r>
        <w:rPr>
          <w:sz w:val="22"/>
          <w:szCs w:val="22"/>
        </w:rPr>
        <w:t xml:space="preserve">In May, industrial production declined by 1 percent and returned to </w:t>
      </w:r>
      <w:r w:rsidR="0025219A">
        <w:rPr>
          <w:sz w:val="22"/>
          <w:szCs w:val="22"/>
        </w:rPr>
        <w:t xml:space="preserve">its </w:t>
      </w:r>
      <w:r>
        <w:rPr>
          <w:sz w:val="22"/>
          <w:szCs w:val="22"/>
        </w:rPr>
        <w:t xml:space="preserve">March level. </w:t>
      </w:r>
      <w:r w:rsidR="0025219A">
        <w:rPr>
          <w:sz w:val="22"/>
          <w:szCs w:val="22"/>
        </w:rPr>
        <w:t>The t</w:t>
      </w:r>
      <w:r>
        <w:rPr>
          <w:sz w:val="22"/>
          <w:szCs w:val="22"/>
        </w:rPr>
        <w:t>wo</w:t>
      </w:r>
      <w:r w:rsidR="0025219A">
        <w:rPr>
          <w:sz w:val="22"/>
          <w:szCs w:val="22"/>
        </w:rPr>
        <w:t>-month average</w:t>
      </w:r>
      <w:r>
        <w:rPr>
          <w:sz w:val="22"/>
          <w:szCs w:val="22"/>
        </w:rPr>
        <w:t xml:space="preserve"> IPI increased </w:t>
      </w:r>
      <w:r w:rsidR="0025219A">
        <w:rPr>
          <w:sz w:val="22"/>
          <w:szCs w:val="22"/>
        </w:rPr>
        <w:t xml:space="preserve">only marginally, </w:t>
      </w:r>
      <w:r>
        <w:rPr>
          <w:sz w:val="22"/>
          <w:szCs w:val="22"/>
        </w:rPr>
        <w:t>by 0.1 percent</w:t>
      </w:r>
      <w:r w:rsidR="0025219A">
        <w:rPr>
          <w:sz w:val="22"/>
          <w:szCs w:val="22"/>
        </w:rPr>
        <w:t>,</w:t>
      </w:r>
      <w:r>
        <w:rPr>
          <w:sz w:val="22"/>
          <w:szCs w:val="22"/>
        </w:rPr>
        <w:t xml:space="preserve"> from the previous quarter. The main cause of the fall in May was the </w:t>
      </w:r>
      <w:r w:rsidR="002F0C82">
        <w:rPr>
          <w:sz w:val="22"/>
          <w:szCs w:val="22"/>
        </w:rPr>
        <w:t>decline</w:t>
      </w:r>
      <w:r>
        <w:rPr>
          <w:sz w:val="22"/>
          <w:szCs w:val="22"/>
        </w:rPr>
        <w:t xml:space="preserve"> in investment goods production. </w:t>
      </w:r>
      <w:r w:rsidR="00243642">
        <w:rPr>
          <w:sz w:val="22"/>
          <w:szCs w:val="22"/>
        </w:rPr>
        <w:t>B</w:t>
      </w:r>
      <w:r w:rsidR="002F0C82">
        <w:rPr>
          <w:sz w:val="22"/>
          <w:szCs w:val="22"/>
        </w:rPr>
        <w:t xml:space="preserve">oth </w:t>
      </w:r>
      <w:r w:rsidR="00243642">
        <w:rPr>
          <w:sz w:val="22"/>
          <w:szCs w:val="22"/>
        </w:rPr>
        <w:t xml:space="preserve">the </w:t>
      </w:r>
      <w:r w:rsidR="002F0C82">
        <w:rPr>
          <w:sz w:val="22"/>
          <w:szCs w:val="22"/>
        </w:rPr>
        <w:t xml:space="preserve">investment goods imports and </w:t>
      </w:r>
      <w:r w:rsidR="00243642">
        <w:rPr>
          <w:sz w:val="22"/>
          <w:szCs w:val="22"/>
        </w:rPr>
        <w:t xml:space="preserve">the </w:t>
      </w:r>
      <w:r w:rsidR="002F0C82">
        <w:rPr>
          <w:sz w:val="22"/>
          <w:szCs w:val="22"/>
        </w:rPr>
        <w:t>capacity utilization rate of investment goods production declined, weaken</w:t>
      </w:r>
      <w:r w:rsidR="00243642">
        <w:rPr>
          <w:sz w:val="22"/>
          <w:szCs w:val="22"/>
        </w:rPr>
        <w:t>ing</w:t>
      </w:r>
      <w:r w:rsidR="002F0C82">
        <w:rPr>
          <w:sz w:val="22"/>
          <w:szCs w:val="22"/>
        </w:rPr>
        <w:t xml:space="preserve"> the </w:t>
      </w:r>
      <w:r w:rsidR="00243642">
        <w:rPr>
          <w:sz w:val="22"/>
          <w:szCs w:val="22"/>
        </w:rPr>
        <w:t>investment</w:t>
      </w:r>
      <w:r w:rsidR="00197CBA">
        <w:rPr>
          <w:sz w:val="22"/>
          <w:szCs w:val="22"/>
        </w:rPr>
        <w:t xml:space="preserve"> outlook.</w:t>
      </w:r>
      <w:r w:rsidR="002F0C82">
        <w:rPr>
          <w:sz w:val="22"/>
          <w:szCs w:val="22"/>
        </w:rPr>
        <w:t xml:space="preserve"> The deceleration in consumer and intermediate goods imports</w:t>
      </w:r>
      <w:r w:rsidR="004A506E">
        <w:rPr>
          <w:sz w:val="22"/>
          <w:szCs w:val="22"/>
        </w:rPr>
        <w:t xml:space="preserve"> and declines in durable goods production for two </w:t>
      </w:r>
      <w:r w:rsidR="004A506E">
        <w:rPr>
          <w:sz w:val="22"/>
          <w:szCs w:val="22"/>
        </w:rPr>
        <w:lastRenderedPageBreak/>
        <w:t xml:space="preserve">consecutive months indicate that private consumption is not strong either. </w:t>
      </w:r>
    </w:p>
    <w:p w:rsidR="004A506E" w:rsidRDefault="004A506E" w:rsidP="00FD3A91">
      <w:pPr>
        <w:spacing w:line="360" w:lineRule="auto"/>
        <w:ind w:left="-360" w:right="42"/>
        <w:jc w:val="both"/>
        <w:rPr>
          <w:sz w:val="22"/>
          <w:szCs w:val="22"/>
        </w:rPr>
      </w:pPr>
    </w:p>
    <w:p w:rsidR="004A506E" w:rsidRDefault="004A506E" w:rsidP="00FD3A91">
      <w:pPr>
        <w:spacing w:line="360" w:lineRule="auto"/>
        <w:ind w:left="-360" w:right="42"/>
        <w:jc w:val="both"/>
        <w:rPr>
          <w:sz w:val="22"/>
          <w:szCs w:val="22"/>
        </w:rPr>
      </w:pPr>
      <w:r>
        <w:rPr>
          <w:sz w:val="22"/>
          <w:szCs w:val="22"/>
        </w:rPr>
        <w:t xml:space="preserve">Exports continue to increase, but </w:t>
      </w:r>
      <w:proofErr w:type="gramStart"/>
      <w:r>
        <w:rPr>
          <w:sz w:val="22"/>
          <w:szCs w:val="22"/>
        </w:rPr>
        <w:t>slow</w:t>
      </w:r>
      <w:r w:rsidR="00A57FE5">
        <w:rPr>
          <w:sz w:val="22"/>
          <w:szCs w:val="22"/>
        </w:rPr>
        <w:t>ing</w:t>
      </w:r>
      <w:r>
        <w:rPr>
          <w:sz w:val="22"/>
          <w:szCs w:val="22"/>
        </w:rPr>
        <w:t xml:space="preserve">  European</w:t>
      </w:r>
      <w:proofErr w:type="gramEnd"/>
      <w:r>
        <w:rPr>
          <w:sz w:val="22"/>
          <w:szCs w:val="22"/>
        </w:rPr>
        <w:t xml:space="preserve"> </w:t>
      </w:r>
      <w:r w:rsidR="00A57FE5">
        <w:rPr>
          <w:sz w:val="22"/>
          <w:szCs w:val="22"/>
        </w:rPr>
        <w:t>economy</w:t>
      </w:r>
      <w:r>
        <w:rPr>
          <w:sz w:val="22"/>
          <w:szCs w:val="22"/>
        </w:rPr>
        <w:t xml:space="preserve"> curbs the increase in exports. Imports</w:t>
      </w:r>
      <w:r w:rsidR="00D23F11">
        <w:rPr>
          <w:sz w:val="22"/>
          <w:szCs w:val="22"/>
        </w:rPr>
        <w:t>, on the other hand,</w:t>
      </w:r>
      <w:r>
        <w:rPr>
          <w:sz w:val="22"/>
          <w:szCs w:val="22"/>
        </w:rPr>
        <w:t xml:space="preserve"> increased mildly. </w:t>
      </w:r>
      <w:r w:rsidR="00D23F11">
        <w:rPr>
          <w:sz w:val="22"/>
          <w:szCs w:val="22"/>
        </w:rPr>
        <w:t>Weaker exports data and s</w:t>
      </w:r>
      <w:r>
        <w:rPr>
          <w:sz w:val="22"/>
          <w:szCs w:val="22"/>
        </w:rPr>
        <w:t xml:space="preserve">tronger imports in the second quarter compared to </w:t>
      </w:r>
      <w:r w:rsidR="00243642">
        <w:rPr>
          <w:sz w:val="22"/>
          <w:szCs w:val="22"/>
        </w:rPr>
        <w:t xml:space="preserve">the </w:t>
      </w:r>
      <w:r>
        <w:rPr>
          <w:sz w:val="22"/>
          <w:szCs w:val="22"/>
        </w:rPr>
        <w:t>previous quarter will reduce the contribution of net exports to growth.</w:t>
      </w:r>
    </w:p>
    <w:p w:rsidR="006926CE" w:rsidRDefault="006926CE" w:rsidP="00FD3A91">
      <w:pPr>
        <w:spacing w:line="360" w:lineRule="auto"/>
        <w:ind w:left="-360" w:right="42"/>
        <w:jc w:val="both"/>
        <w:rPr>
          <w:sz w:val="22"/>
          <w:szCs w:val="22"/>
        </w:rPr>
      </w:pPr>
    </w:p>
    <w:p w:rsidR="0068507F" w:rsidRDefault="00243642" w:rsidP="0068507F">
      <w:pPr>
        <w:spacing w:line="360" w:lineRule="auto"/>
        <w:ind w:left="-360" w:right="40"/>
        <w:jc w:val="both"/>
        <w:rPr>
          <w:sz w:val="22"/>
          <w:szCs w:val="22"/>
        </w:rPr>
      </w:pPr>
      <w:r>
        <w:rPr>
          <w:sz w:val="22"/>
          <w:szCs w:val="22"/>
        </w:rPr>
        <w:t>D</w:t>
      </w:r>
      <w:r w:rsidR="004A506E">
        <w:rPr>
          <w:sz w:val="22"/>
          <w:szCs w:val="22"/>
        </w:rPr>
        <w:t xml:space="preserve">ata </w:t>
      </w:r>
      <w:r w:rsidR="002D03EA">
        <w:rPr>
          <w:sz w:val="22"/>
          <w:szCs w:val="22"/>
        </w:rPr>
        <w:t>released s</w:t>
      </w:r>
      <w:r>
        <w:rPr>
          <w:sz w:val="22"/>
          <w:szCs w:val="22"/>
        </w:rPr>
        <w:t xml:space="preserve">o far </w:t>
      </w:r>
      <w:r w:rsidR="004A506E">
        <w:rPr>
          <w:sz w:val="22"/>
          <w:szCs w:val="22"/>
        </w:rPr>
        <w:t xml:space="preserve">show that the revival in the domestic demand is weak </w:t>
      </w:r>
      <w:r w:rsidR="002D03EA">
        <w:rPr>
          <w:sz w:val="22"/>
          <w:szCs w:val="22"/>
        </w:rPr>
        <w:t xml:space="preserve">in the second quarter </w:t>
      </w:r>
      <w:r w:rsidR="004A506E">
        <w:rPr>
          <w:sz w:val="22"/>
          <w:szCs w:val="22"/>
        </w:rPr>
        <w:t xml:space="preserve">and the contribution of </w:t>
      </w:r>
      <w:r w:rsidR="0068507F">
        <w:rPr>
          <w:sz w:val="22"/>
          <w:szCs w:val="22"/>
        </w:rPr>
        <w:t>net exports is not as strong as the previous quarter. Therefore, we revise down our forecast for the second quarter. We reduce</w:t>
      </w:r>
      <w:r w:rsidR="0068507F" w:rsidRPr="00267AB7">
        <w:rPr>
          <w:sz w:val="22"/>
          <w:szCs w:val="22"/>
        </w:rPr>
        <w:t xml:space="preserve"> </w:t>
      </w:r>
      <w:r w:rsidR="0068507F">
        <w:rPr>
          <w:sz w:val="22"/>
          <w:szCs w:val="22"/>
        </w:rPr>
        <w:t>our</w:t>
      </w:r>
      <w:r w:rsidR="0068507F" w:rsidRPr="00267AB7">
        <w:rPr>
          <w:sz w:val="22"/>
          <w:szCs w:val="22"/>
        </w:rPr>
        <w:t xml:space="preserve"> quarter on quarter (</w:t>
      </w:r>
      <w:proofErr w:type="spellStart"/>
      <w:r w:rsidR="0068507F" w:rsidRPr="00267AB7">
        <w:rPr>
          <w:sz w:val="22"/>
          <w:szCs w:val="22"/>
        </w:rPr>
        <w:t>QoQ</w:t>
      </w:r>
      <w:proofErr w:type="spellEnd"/>
      <w:r w:rsidR="0068507F" w:rsidRPr="00267AB7">
        <w:rPr>
          <w:sz w:val="22"/>
          <w:szCs w:val="22"/>
        </w:rPr>
        <w:t xml:space="preserve">) </w:t>
      </w:r>
      <w:proofErr w:type="gramStart"/>
      <w:r w:rsidR="0068507F" w:rsidRPr="00267AB7">
        <w:rPr>
          <w:sz w:val="22"/>
          <w:szCs w:val="22"/>
        </w:rPr>
        <w:t xml:space="preserve">growth </w:t>
      </w:r>
      <w:r w:rsidR="0068507F">
        <w:rPr>
          <w:sz w:val="22"/>
          <w:szCs w:val="22"/>
        </w:rPr>
        <w:t xml:space="preserve"> forecast</w:t>
      </w:r>
      <w:proofErr w:type="gramEnd"/>
      <w:r w:rsidR="0068507F">
        <w:rPr>
          <w:sz w:val="22"/>
          <w:szCs w:val="22"/>
        </w:rPr>
        <w:t xml:space="preserve"> from 0.8 percent to</w:t>
      </w:r>
      <w:r w:rsidR="0068507F" w:rsidRPr="00267AB7">
        <w:rPr>
          <w:sz w:val="22"/>
          <w:szCs w:val="22"/>
        </w:rPr>
        <w:t xml:space="preserve"> 0.4 percent</w:t>
      </w:r>
      <w:r w:rsidR="0068507F">
        <w:rPr>
          <w:sz w:val="22"/>
          <w:szCs w:val="22"/>
        </w:rPr>
        <w:t>, and t</w:t>
      </w:r>
      <w:r w:rsidR="0068507F" w:rsidRPr="00267AB7">
        <w:rPr>
          <w:sz w:val="22"/>
          <w:szCs w:val="22"/>
        </w:rPr>
        <w:t>he corresponding year on year (</w:t>
      </w:r>
      <w:proofErr w:type="spellStart"/>
      <w:r w:rsidR="0068507F" w:rsidRPr="00267AB7">
        <w:rPr>
          <w:sz w:val="22"/>
          <w:szCs w:val="22"/>
        </w:rPr>
        <w:t>YoY</w:t>
      </w:r>
      <w:proofErr w:type="spellEnd"/>
      <w:r w:rsidR="0068507F" w:rsidRPr="00267AB7">
        <w:rPr>
          <w:sz w:val="22"/>
          <w:szCs w:val="22"/>
        </w:rPr>
        <w:t>) forec</w:t>
      </w:r>
      <w:r w:rsidR="0068507F">
        <w:rPr>
          <w:sz w:val="22"/>
          <w:szCs w:val="22"/>
        </w:rPr>
        <w:t xml:space="preserve">ast from 3.8 percent to 3.4 percent. </w:t>
      </w:r>
    </w:p>
    <w:p w:rsidR="004A506E" w:rsidRDefault="004A506E" w:rsidP="00FD3A91">
      <w:pPr>
        <w:spacing w:line="360" w:lineRule="auto"/>
        <w:ind w:left="-360" w:right="42"/>
        <w:jc w:val="both"/>
        <w:rPr>
          <w:sz w:val="22"/>
          <w:szCs w:val="22"/>
        </w:rPr>
      </w:pPr>
    </w:p>
    <w:p w:rsidR="004835B9" w:rsidRDefault="00CE267D" w:rsidP="00FD3A91">
      <w:pPr>
        <w:spacing w:line="360" w:lineRule="auto"/>
        <w:ind w:left="-360" w:right="42"/>
        <w:jc w:val="both"/>
        <w:rPr>
          <w:sz w:val="22"/>
          <w:szCs w:val="22"/>
        </w:rPr>
      </w:pPr>
      <w:r>
        <w:rPr>
          <w:sz w:val="22"/>
          <w:szCs w:val="22"/>
        </w:rPr>
        <w:t>T</w:t>
      </w:r>
      <w:r w:rsidR="004835B9">
        <w:rPr>
          <w:sz w:val="22"/>
          <w:szCs w:val="22"/>
        </w:rPr>
        <w:t xml:space="preserve">he current account deficit is declining rapidly. One of the major reasons for this </w:t>
      </w:r>
      <w:r w:rsidR="007003EB">
        <w:rPr>
          <w:sz w:val="22"/>
          <w:szCs w:val="22"/>
        </w:rPr>
        <w:t xml:space="preserve">rapid decline is </w:t>
      </w:r>
      <w:r>
        <w:rPr>
          <w:sz w:val="22"/>
          <w:szCs w:val="22"/>
        </w:rPr>
        <w:t>the normalization in</w:t>
      </w:r>
      <w:r w:rsidR="004835B9">
        <w:rPr>
          <w:sz w:val="22"/>
          <w:szCs w:val="22"/>
        </w:rPr>
        <w:t xml:space="preserve"> </w:t>
      </w:r>
      <w:r w:rsidR="007003EB">
        <w:rPr>
          <w:sz w:val="22"/>
          <w:szCs w:val="22"/>
        </w:rPr>
        <w:t>g</w:t>
      </w:r>
      <w:r w:rsidR="004835B9">
        <w:rPr>
          <w:sz w:val="22"/>
          <w:szCs w:val="22"/>
        </w:rPr>
        <w:t>old imports whi</w:t>
      </w:r>
      <w:r>
        <w:rPr>
          <w:sz w:val="22"/>
          <w:szCs w:val="22"/>
        </w:rPr>
        <w:t>ch</w:t>
      </w:r>
      <w:r w:rsidR="004835B9">
        <w:rPr>
          <w:sz w:val="22"/>
          <w:szCs w:val="22"/>
        </w:rPr>
        <w:t xml:space="preserve"> last year</w:t>
      </w:r>
      <w:r>
        <w:rPr>
          <w:sz w:val="22"/>
          <w:szCs w:val="22"/>
        </w:rPr>
        <w:t xml:space="preserve"> had increased to all time high</w:t>
      </w:r>
      <w:r w:rsidR="004835B9">
        <w:rPr>
          <w:sz w:val="22"/>
          <w:szCs w:val="22"/>
        </w:rPr>
        <w:t xml:space="preserve"> level</w:t>
      </w:r>
      <w:r w:rsidR="0034388F">
        <w:rPr>
          <w:sz w:val="22"/>
          <w:szCs w:val="22"/>
        </w:rPr>
        <w:t>s</w:t>
      </w:r>
      <w:r>
        <w:rPr>
          <w:sz w:val="22"/>
          <w:szCs w:val="22"/>
        </w:rPr>
        <w:t>. However, gold-</w:t>
      </w:r>
      <w:r w:rsidR="007003EB">
        <w:rPr>
          <w:sz w:val="22"/>
          <w:szCs w:val="22"/>
        </w:rPr>
        <w:t xml:space="preserve">excluded current account deficit also declined significantly, and this </w:t>
      </w:r>
      <w:r w:rsidR="0034388F">
        <w:rPr>
          <w:sz w:val="22"/>
          <w:szCs w:val="22"/>
        </w:rPr>
        <w:t>was</w:t>
      </w:r>
      <w:r w:rsidR="007003EB">
        <w:rPr>
          <w:sz w:val="22"/>
          <w:szCs w:val="22"/>
        </w:rPr>
        <w:t xml:space="preserve"> caused by the</w:t>
      </w:r>
      <w:r w:rsidR="0034388F">
        <w:rPr>
          <w:sz w:val="22"/>
          <w:szCs w:val="22"/>
        </w:rPr>
        <w:t xml:space="preserve"> ongoing</w:t>
      </w:r>
      <w:r w:rsidR="007003EB">
        <w:rPr>
          <w:sz w:val="22"/>
          <w:szCs w:val="22"/>
        </w:rPr>
        <w:t xml:space="preserve"> weak domestic demand. W</w:t>
      </w:r>
      <w:r w:rsidR="007003EB" w:rsidRPr="005B0913">
        <w:rPr>
          <w:sz w:val="22"/>
          <w:szCs w:val="22"/>
        </w:rPr>
        <w:t>e expect the current account deficit to GDP ratio</w:t>
      </w:r>
      <w:r>
        <w:rPr>
          <w:sz w:val="22"/>
          <w:szCs w:val="22"/>
        </w:rPr>
        <w:t>,</w:t>
      </w:r>
      <w:r w:rsidR="007003EB">
        <w:rPr>
          <w:sz w:val="22"/>
          <w:szCs w:val="22"/>
        </w:rPr>
        <w:t xml:space="preserve"> which was 7.5</w:t>
      </w:r>
      <w:r w:rsidR="007003EB" w:rsidRPr="005B0913">
        <w:rPr>
          <w:sz w:val="22"/>
          <w:szCs w:val="22"/>
        </w:rPr>
        <w:t xml:space="preserve"> percent at the end of </w:t>
      </w:r>
      <w:r w:rsidR="007003EB">
        <w:rPr>
          <w:sz w:val="22"/>
          <w:szCs w:val="22"/>
        </w:rPr>
        <w:t>the first quarter</w:t>
      </w:r>
      <w:r>
        <w:rPr>
          <w:sz w:val="22"/>
          <w:szCs w:val="22"/>
        </w:rPr>
        <w:t>,</w:t>
      </w:r>
      <w:r w:rsidR="007003EB" w:rsidRPr="005B0913">
        <w:rPr>
          <w:sz w:val="22"/>
          <w:szCs w:val="22"/>
        </w:rPr>
        <w:t xml:space="preserve"> to fall to </w:t>
      </w:r>
      <w:r w:rsidR="007003EB">
        <w:rPr>
          <w:sz w:val="22"/>
          <w:szCs w:val="22"/>
        </w:rPr>
        <w:t>6.4</w:t>
      </w:r>
      <w:r w:rsidR="007003EB" w:rsidRPr="005B0913">
        <w:rPr>
          <w:sz w:val="22"/>
          <w:szCs w:val="22"/>
        </w:rPr>
        <w:t xml:space="preserve"> percent at the end of the </w:t>
      </w:r>
      <w:r w:rsidR="007003EB">
        <w:rPr>
          <w:sz w:val="22"/>
          <w:szCs w:val="22"/>
        </w:rPr>
        <w:t>second</w:t>
      </w:r>
      <w:r w:rsidR="007003EB" w:rsidRPr="005B0913">
        <w:rPr>
          <w:sz w:val="22"/>
          <w:szCs w:val="22"/>
        </w:rPr>
        <w:t xml:space="preserve"> quarter.</w:t>
      </w:r>
      <w:r w:rsidR="007003EB">
        <w:rPr>
          <w:sz w:val="22"/>
          <w:szCs w:val="22"/>
        </w:rPr>
        <w:t xml:space="preserve"> Moreover, w</w:t>
      </w:r>
      <w:r w:rsidR="007003EB" w:rsidRPr="005B0913">
        <w:rPr>
          <w:sz w:val="22"/>
          <w:szCs w:val="22"/>
        </w:rPr>
        <w:t>e expect the</w:t>
      </w:r>
      <w:r>
        <w:rPr>
          <w:sz w:val="22"/>
          <w:szCs w:val="22"/>
        </w:rPr>
        <w:t xml:space="preserve"> gold-</w:t>
      </w:r>
      <w:r w:rsidR="007003EB">
        <w:rPr>
          <w:sz w:val="22"/>
          <w:szCs w:val="22"/>
        </w:rPr>
        <w:t>excluded</w:t>
      </w:r>
      <w:r w:rsidR="007003EB" w:rsidRPr="005B0913">
        <w:rPr>
          <w:sz w:val="22"/>
          <w:szCs w:val="22"/>
        </w:rPr>
        <w:t xml:space="preserve"> current account deficit to GDP ratio</w:t>
      </w:r>
      <w:r>
        <w:rPr>
          <w:sz w:val="22"/>
          <w:szCs w:val="22"/>
        </w:rPr>
        <w:t>,</w:t>
      </w:r>
      <w:r w:rsidR="007003EB">
        <w:rPr>
          <w:sz w:val="22"/>
          <w:szCs w:val="22"/>
        </w:rPr>
        <w:t xml:space="preserve"> which was 6.4</w:t>
      </w:r>
      <w:r w:rsidR="007003EB" w:rsidRPr="005B0913">
        <w:rPr>
          <w:sz w:val="22"/>
          <w:szCs w:val="22"/>
        </w:rPr>
        <w:t xml:space="preserve"> percent at the end of </w:t>
      </w:r>
      <w:r w:rsidR="007003EB">
        <w:rPr>
          <w:sz w:val="22"/>
          <w:szCs w:val="22"/>
        </w:rPr>
        <w:t>the first quarter</w:t>
      </w:r>
      <w:r>
        <w:rPr>
          <w:sz w:val="22"/>
          <w:szCs w:val="22"/>
        </w:rPr>
        <w:t>,</w:t>
      </w:r>
      <w:r w:rsidR="007003EB" w:rsidRPr="005B0913">
        <w:rPr>
          <w:sz w:val="22"/>
          <w:szCs w:val="22"/>
        </w:rPr>
        <w:t xml:space="preserve"> to fall to </w:t>
      </w:r>
      <w:r w:rsidR="007003EB">
        <w:rPr>
          <w:sz w:val="22"/>
          <w:szCs w:val="22"/>
        </w:rPr>
        <w:t>5.8</w:t>
      </w:r>
      <w:r w:rsidR="007003EB" w:rsidRPr="005B0913">
        <w:rPr>
          <w:sz w:val="22"/>
          <w:szCs w:val="22"/>
        </w:rPr>
        <w:t xml:space="preserve"> percent at the end of the </w:t>
      </w:r>
      <w:r w:rsidR="007003EB">
        <w:rPr>
          <w:sz w:val="22"/>
          <w:szCs w:val="22"/>
        </w:rPr>
        <w:t>second</w:t>
      </w:r>
      <w:r w:rsidR="007003EB" w:rsidRPr="005B0913">
        <w:rPr>
          <w:sz w:val="22"/>
          <w:szCs w:val="22"/>
        </w:rPr>
        <w:t xml:space="preserve"> quarter.</w:t>
      </w:r>
    </w:p>
    <w:p w:rsidR="00500620" w:rsidRPr="00126490" w:rsidRDefault="00500620" w:rsidP="00FD3A91">
      <w:pPr>
        <w:spacing w:line="360" w:lineRule="auto"/>
        <w:ind w:left="-360" w:right="42"/>
        <w:jc w:val="both"/>
        <w:rPr>
          <w:sz w:val="22"/>
          <w:szCs w:val="22"/>
          <w:highlight w:val="yellow"/>
        </w:rPr>
      </w:pPr>
    </w:p>
    <w:p w:rsidR="0034388F" w:rsidRDefault="0034388F" w:rsidP="008E0D21">
      <w:pPr>
        <w:spacing w:line="360" w:lineRule="auto"/>
        <w:ind w:left="-360" w:right="42"/>
        <w:jc w:val="center"/>
        <w:rPr>
          <w:b/>
          <w:sz w:val="22"/>
          <w:szCs w:val="22"/>
        </w:rPr>
      </w:pPr>
    </w:p>
    <w:p w:rsidR="008E0D21" w:rsidRPr="005B0913" w:rsidRDefault="000F10C3" w:rsidP="008E0D21">
      <w:pPr>
        <w:spacing w:line="360" w:lineRule="auto"/>
        <w:ind w:left="-360" w:right="42"/>
        <w:jc w:val="center"/>
        <w:rPr>
          <w:b/>
          <w:sz w:val="22"/>
          <w:szCs w:val="22"/>
        </w:rPr>
      </w:pPr>
      <w:r>
        <w:rPr>
          <w:b/>
          <w:sz w:val="22"/>
          <w:szCs w:val="22"/>
        </w:rPr>
        <w:lastRenderedPageBreak/>
        <w:t>Risks continue for growth outlook</w:t>
      </w:r>
    </w:p>
    <w:p w:rsidR="008E0D21" w:rsidRPr="00126490" w:rsidRDefault="008E0D21" w:rsidP="00FD3A91">
      <w:pPr>
        <w:spacing w:line="360" w:lineRule="auto"/>
        <w:ind w:left="-360" w:right="42"/>
        <w:jc w:val="both"/>
        <w:rPr>
          <w:sz w:val="22"/>
          <w:szCs w:val="22"/>
          <w:highlight w:val="yellow"/>
        </w:rPr>
      </w:pPr>
    </w:p>
    <w:p w:rsidR="00E1774B" w:rsidRDefault="004508E3" w:rsidP="00FD3A91">
      <w:pPr>
        <w:spacing w:line="360" w:lineRule="auto"/>
        <w:ind w:left="-360" w:right="42"/>
        <w:jc w:val="both"/>
        <w:rPr>
          <w:sz w:val="22"/>
          <w:szCs w:val="22"/>
        </w:rPr>
      </w:pPr>
      <w:r>
        <w:rPr>
          <w:sz w:val="22"/>
          <w:szCs w:val="22"/>
        </w:rPr>
        <w:t>The turmoil in</w:t>
      </w:r>
      <w:r w:rsidR="00415098">
        <w:rPr>
          <w:sz w:val="22"/>
          <w:szCs w:val="22"/>
        </w:rPr>
        <w:t xml:space="preserve"> Iraq continues to pose </w:t>
      </w:r>
      <w:r>
        <w:rPr>
          <w:sz w:val="22"/>
          <w:szCs w:val="22"/>
        </w:rPr>
        <w:t xml:space="preserve">a </w:t>
      </w:r>
      <w:r w:rsidR="00415098">
        <w:rPr>
          <w:sz w:val="22"/>
          <w:szCs w:val="22"/>
        </w:rPr>
        <w:t xml:space="preserve">threat to </w:t>
      </w:r>
      <w:r>
        <w:rPr>
          <w:sz w:val="22"/>
          <w:szCs w:val="22"/>
        </w:rPr>
        <w:t xml:space="preserve">the </w:t>
      </w:r>
      <w:r w:rsidR="00415098">
        <w:rPr>
          <w:sz w:val="22"/>
          <w:szCs w:val="22"/>
        </w:rPr>
        <w:t xml:space="preserve">Turkish economy. </w:t>
      </w:r>
      <w:r>
        <w:rPr>
          <w:sz w:val="22"/>
          <w:szCs w:val="22"/>
        </w:rPr>
        <w:t>T</w:t>
      </w:r>
      <w:r w:rsidR="00415098">
        <w:rPr>
          <w:sz w:val="22"/>
          <w:szCs w:val="22"/>
        </w:rPr>
        <w:t>rade between Turkey and Iraq</w:t>
      </w:r>
      <w:r>
        <w:rPr>
          <w:sz w:val="22"/>
          <w:szCs w:val="22"/>
        </w:rPr>
        <w:t xml:space="preserve"> is affected heavily, Turkish exporter'</w:t>
      </w:r>
      <w:r w:rsidR="00537EA2">
        <w:rPr>
          <w:sz w:val="22"/>
          <w:szCs w:val="22"/>
        </w:rPr>
        <w:t>s council data shows about 2</w:t>
      </w:r>
      <w:r>
        <w:rPr>
          <w:sz w:val="22"/>
          <w:szCs w:val="22"/>
        </w:rPr>
        <w:t xml:space="preserve">0 percent decline in exports to Iraq in </w:t>
      </w:r>
      <w:r w:rsidRPr="00537EA2">
        <w:rPr>
          <w:sz w:val="22"/>
          <w:szCs w:val="22"/>
        </w:rPr>
        <w:t>June</w:t>
      </w:r>
      <w:r w:rsidR="00415098" w:rsidRPr="00537EA2">
        <w:rPr>
          <w:sz w:val="22"/>
          <w:szCs w:val="22"/>
        </w:rPr>
        <w:t>.</w:t>
      </w:r>
      <w:r w:rsidR="00415098">
        <w:rPr>
          <w:sz w:val="22"/>
          <w:szCs w:val="22"/>
        </w:rPr>
        <w:t xml:space="preserve"> </w:t>
      </w:r>
      <w:proofErr w:type="gramStart"/>
      <w:r w:rsidR="00415098">
        <w:rPr>
          <w:sz w:val="22"/>
          <w:szCs w:val="22"/>
        </w:rPr>
        <w:t>Oil prices increased slightly due to Iraq related concerns, but remain</w:t>
      </w:r>
      <w:r>
        <w:rPr>
          <w:sz w:val="22"/>
          <w:szCs w:val="22"/>
        </w:rPr>
        <w:t>s</w:t>
      </w:r>
      <w:proofErr w:type="gramEnd"/>
      <w:r w:rsidR="00415098">
        <w:rPr>
          <w:sz w:val="22"/>
          <w:szCs w:val="22"/>
        </w:rPr>
        <w:t xml:space="preserve"> limited </w:t>
      </w:r>
      <w:r>
        <w:rPr>
          <w:sz w:val="22"/>
          <w:szCs w:val="22"/>
        </w:rPr>
        <w:t>since</w:t>
      </w:r>
      <w:r w:rsidR="00415098">
        <w:rPr>
          <w:sz w:val="22"/>
          <w:szCs w:val="22"/>
        </w:rPr>
        <w:t xml:space="preserve"> </w:t>
      </w:r>
      <w:r w:rsidR="0034388F">
        <w:rPr>
          <w:sz w:val="22"/>
          <w:szCs w:val="22"/>
        </w:rPr>
        <w:t>the conflict</w:t>
      </w:r>
      <w:r w:rsidR="00415098">
        <w:rPr>
          <w:sz w:val="22"/>
          <w:szCs w:val="22"/>
        </w:rPr>
        <w:t xml:space="preserve"> </w:t>
      </w:r>
      <w:r>
        <w:rPr>
          <w:sz w:val="22"/>
          <w:szCs w:val="22"/>
        </w:rPr>
        <w:t>has not</w:t>
      </w:r>
      <w:r w:rsidR="00415098">
        <w:rPr>
          <w:sz w:val="22"/>
          <w:szCs w:val="22"/>
        </w:rPr>
        <w:t xml:space="preserve"> spread to southern Iraq. </w:t>
      </w:r>
    </w:p>
    <w:p w:rsidR="00E1774B" w:rsidRDefault="00E1774B" w:rsidP="00FD3A91">
      <w:pPr>
        <w:spacing w:line="360" w:lineRule="auto"/>
        <w:ind w:left="-360" w:right="42"/>
        <w:jc w:val="both"/>
        <w:rPr>
          <w:sz w:val="22"/>
          <w:szCs w:val="22"/>
        </w:rPr>
      </w:pPr>
    </w:p>
    <w:p w:rsidR="00415098" w:rsidRDefault="00E1774B" w:rsidP="00FD3A91">
      <w:pPr>
        <w:spacing w:line="360" w:lineRule="auto"/>
        <w:ind w:left="-360" w:right="42"/>
        <w:jc w:val="both"/>
        <w:rPr>
          <w:sz w:val="22"/>
          <w:szCs w:val="22"/>
        </w:rPr>
      </w:pPr>
      <w:r>
        <w:rPr>
          <w:sz w:val="22"/>
          <w:szCs w:val="22"/>
        </w:rPr>
        <w:t>Unemployment rate and inflation</w:t>
      </w:r>
      <w:r w:rsidR="004508E3">
        <w:rPr>
          <w:sz w:val="22"/>
          <w:szCs w:val="22"/>
        </w:rPr>
        <w:t xml:space="preserve"> in the US</w:t>
      </w:r>
      <w:r>
        <w:rPr>
          <w:sz w:val="22"/>
          <w:szCs w:val="22"/>
        </w:rPr>
        <w:t xml:space="preserve">, two important indicators that FED follow closely, show </w:t>
      </w:r>
      <w:r w:rsidR="004508E3">
        <w:rPr>
          <w:sz w:val="22"/>
          <w:szCs w:val="22"/>
        </w:rPr>
        <w:t>s</w:t>
      </w:r>
      <w:r>
        <w:rPr>
          <w:sz w:val="22"/>
          <w:szCs w:val="22"/>
        </w:rPr>
        <w:t>igns</w:t>
      </w:r>
      <w:r w:rsidR="004508E3">
        <w:rPr>
          <w:sz w:val="22"/>
          <w:szCs w:val="22"/>
        </w:rPr>
        <w:t xml:space="preserve"> of improvement</w:t>
      </w:r>
      <w:r>
        <w:rPr>
          <w:sz w:val="22"/>
          <w:szCs w:val="22"/>
        </w:rPr>
        <w:t>. Monthly asse</w:t>
      </w:r>
      <w:r w:rsidR="004508E3">
        <w:rPr>
          <w:sz w:val="22"/>
          <w:szCs w:val="22"/>
        </w:rPr>
        <w:t>t purchasing is expected to end</w:t>
      </w:r>
      <w:r>
        <w:rPr>
          <w:sz w:val="22"/>
          <w:szCs w:val="22"/>
        </w:rPr>
        <w:t xml:space="preserve"> in October. </w:t>
      </w:r>
      <w:r w:rsidR="00353266">
        <w:rPr>
          <w:sz w:val="22"/>
          <w:szCs w:val="22"/>
        </w:rPr>
        <w:t xml:space="preserve">If positive </w:t>
      </w:r>
      <w:r w:rsidR="004508E3">
        <w:rPr>
          <w:sz w:val="22"/>
          <w:szCs w:val="22"/>
        </w:rPr>
        <w:t>outlook</w:t>
      </w:r>
      <w:r w:rsidR="00353266">
        <w:rPr>
          <w:sz w:val="22"/>
          <w:szCs w:val="22"/>
        </w:rPr>
        <w:t xml:space="preserve"> continue</w:t>
      </w:r>
      <w:r w:rsidR="004508E3">
        <w:rPr>
          <w:sz w:val="22"/>
          <w:szCs w:val="22"/>
        </w:rPr>
        <w:t>s</w:t>
      </w:r>
      <w:r w:rsidR="00353266">
        <w:rPr>
          <w:sz w:val="22"/>
          <w:szCs w:val="22"/>
        </w:rPr>
        <w:t xml:space="preserve">, discussions </w:t>
      </w:r>
      <w:r w:rsidR="004508E3">
        <w:rPr>
          <w:sz w:val="22"/>
          <w:szCs w:val="22"/>
        </w:rPr>
        <w:t>on timing of</w:t>
      </w:r>
      <w:r w:rsidR="00353266">
        <w:rPr>
          <w:sz w:val="22"/>
          <w:szCs w:val="22"/>
        </w:rPr>
        <w:t xml:space="preserve"> </w:t>
      </w:r>
      <w:r w:rsidR="004508E3">
        <w:rPr>
          <w:sz w:val="22"/>
          <w:szCs w:val="22"/>
        </w:rPr>
        <w:t>interest</w:t>
      </w:r>
      <w:r w:rsidR="00353266">
        <w:rPr>
          <w:sz w:val="22"/>
          <w:szCs w:val="22"/>
        </w:rPr>
        <w:t xml:space="preserve"> rate hikes </w:t>
      </w:r>
      <w:r w:rsidR="004508E3">
        <w:rPr>
          <w:sz w:val="22"/>
          <w:szCs w:val="22"/>
        </w:rPr>
        <w:t>in the US will dominate markets and</w:t>
      </w:r>
      <w:r w:rsidR="00353266">
        <w:rPr>
          <w:sz w:val="22"/>
          <w:szCs w:val="22"/>
        </w:rPr>
        <w:t xml:space="preserve"> </w:t>
      </w:r>
      <w:r w:rsidR="004508E3">
        <w:rPr>
          <w:sz w:val="22"/>
          <w:szCs w:val="22"/>
        </w:rPr>
        <w:t>will probably cause capital outflows from emerging markets. On the European front, f</w:t>
      </w:r>
      <w:r w:rsidR="00353266">
        <w:rPr>
          <w:sz w:val="22"/>
          <w:szCs w:val="22"/>
        </w:rPr>
        <w:t>ollowing interest rate cut</w:t>
      </w:r>
      <w:r w:rsidR="004508E3">
        <w:rPr>
          <w:sz w:val="22"/>
          <w:szCs w:val="22"/>
        </w:rPr>
        <w:t>s</w:t>
      </w:r>
      <w:r w:rsidR="00353266">
        <w:rPr>
          <w:sz w:val="22"/>
          <w:szCs w:val="22"/>
        </w:rPr>
        <w:t xml:space="preserve"> and targeted long-term loan program, ECB will </w:t>
      </w:r>
      <w:r w:rsidR="004508E3">
        <w:rPr>
          <w:sz w:val="22"/>
          <w:szCs w:val="22"/>
        </w:rPr>
        <w:t>not be looking into an</w:t>
      </w:r>
      <w:r w:rsidR="00353266">
        <w:rPr>
          <w:sz w:val="22"/>
          <w:szCs w:val="22"/>
        </w:rPr>
        <w:t xml:space="preserve"> asset purchasing program</w:t>
      </w:r>
      <w:r w:rsidR="004508E3">
        <w:rPr>
          <w:sz w:val="22"/>
          <w:szCs w:val="22"/>
        </w:rPr>
        <w:t xml:space="preserve"> in the near future</w:t>
      </w:r>
      <w:r w:rsidR="00353266">
        <w:rPr>
          <w:sz w:val="22"/>
          <w:szCs w:val="22"/>
        </w:rPr>
        <w:t xml:space="preserve">.  </w:t>
      </w:r>
      <w:r>
        <w:rPr>
          <w:sz w:val="22"/>
          <w:szCs w:val="22"/>
        </w:rPr>
        <w:t xml:space="preserve">Therefore, it's not likely </w:t>
      </w:r>
      <w:r w:rsidR="00762229">
        <w:rPr>
          <w:sz w:val="22"/>
          <w:szCs w:val="22"/>
        </w:rPr>
        <w:t>that</w:t>
      </w:r>
      <w:r>
        <w:rPr>
          <w:sz w:val="22"/>
          <w:szCs w:val="22"/>
        </w:rPr>
        <w:t xml:space="preserve"> </w:t>
      </w:r>
      <w:r w:rsidR="00762229">
        <w:rPr>
          <w:sz w:val="22"/>
          <w:szCs w:val="22"/>
        </w:rPr>
        <w:t xml:space="preserve">the </w:t>
      </w:r>
      <w:r>
        <w:rPr>
          <w:sz w:val="22"/>
          <w:szCs w:val="22"/>
        </w:rPr>
        <w:t xml:space="preserve">ECB </w:t>
      </w:r>
      <w:r w:rsidR="00762229">
        <w:rPr>
          <w:sz w:val="22"/>
          <w:szCs w:val="22"/>
        </w:rPr>
        <w:t>will</w:t>
      </w:r>
      <w:r>
        <w:rPr>
          <w:sz w:val="22"/>
          <w:szCs w:val="22"/>
        </w:rPr>
        <w:t xml:space="preserve"> make a move that can revive capital inflows</w:t>
      </w:r>
      <w:r w:rsidR="0034388F">
        <w:rPr>
          <w:sz w:val="22"/>
          <w:szCs w:val="22"/>
        </w:rPr>
        <w:t xml:space="preserve"> to emerging markets</w:t>
      </w:r>
      <w:r>
        <w:rPr>
          <w:sz w:val="22"/>
          <w:szCs w:val="22"/>
        </w:rPr>
        <w:t>.</w:t>
      </w:r>
      <w:r w:rsidR="004508E3">
        <w:rPr>
          <w:sz w:val="22"/>
          <w:szCs w:val="22"/>
        </w:rPr>
        <w:t xml:space="preserve"> </w:t>
      </w:r>
      <w:r w:rsidR="00353266">
        <w:rPr>
          <w:sz w:val="22"/>
          <w:szCs w:val="22"/>
        </w:rPr>
        <w:t xml:space="preserve"> </w:t>
      </w:r>
      <w:r>
        <w:rPr>
          <w:sz w:val="22"/>
          <w:szCs w:val="22"/>
        </w:rPr>
        <w:t xml:space="preserve">   </w:t>
      </w:r>
      <w:r w:rsidR="00415098">
        <w:rPr>
          <w:sz w:val="22"/>
          <w:szCs w:val="22"/>
        </w:rPr>
        <w:t xml:space="preserve">  </w:t>
      </w:r>
    </w:p>
    <w:p w:rsidR="00415098" w:rsidRDefault="00415098" w:rsidP="00FD3A91">
      <w:pPr>
        <w:spacing w:line="360" w:lineRule="auto"/>
        <w:ind w:left="-360" w:right="42"/>
        <w:jc w:val="both"/>
        <w:rPr>
          <w:sz w:val="22"/>
          <w:szCs w:val="22"/>
        </w:rPr>
      </w:pPr>
    </w:p>
    <w:p w:rsidR="00FD3A91" w:rsidRDefault="00762229" w:rsidP="00FD3A91">
      <w:pPr>
        <w:spacing w:line="360" w:lineRule="auto"/>
        <w:ind w:left="-360" w:right="42"/>
        <w:jc w:val="both"/>
        <w:rPr>
          <w:sz w:val="22"/>
          <w:szCs w:val="22"/>
        </w:rPr>
      </w:pPr>
      <w:r>
        <w:rPr>
          <w:sz w:val="22"/>
          <w:szCs w:val="22"/>
        </w:rPr>
        <w:t xml:space="preserve">Under these conditions, outlook for the </w:t>
      </w:r>
      <w:r w:rsidR="00353266">
        <w:rPr>
          <w:sz w:val="22"/>
          <w:szCs w:val="22"/>
        </w:rPr>
        <w:t>Turkish economy</w:t>
      </w:r>
      <w:r>
        <w:rPr>
          <w:sz w:val="22"/>
          <w:szCs w:val="22"/>
        </w:rPr>
        <w:t xml:space="preserve"> is weak and we believe it is hard to achieve </w:t>
      </w:r>
      <w:r w:rsidR="00353266">
        <w:rPr>
          <w:sz w:val="22"/>
          <w:szCs w:val="22"/>
        </w:rPr>
        <w:t xml:space="preserve">4 percent </w:t>
      </w:r>
      <w:r>
        <w:rPr>
          <w:sz w:val="22"/>
          <w:szCs w:val="22"/>
        </w:rPr>
        <w:t>growth in</w:t>
      </w:r>
      <w:r w:rsidR="00353266">
        <w:rPr>
          <w:sz w:val="22"/>
          <w:szCs w:val="22"/>
        </w:rPr>
        <w:t xml:space="preserve"> the second half of the year.</w:t>
      </w:r>
      <w:r w:rsidR="00B0606E" w:rsidRPr="005B0913">
        <w:rPr>
          <w:sz w:val="22"/>
          <w:szCs w:val="22"/>
        </w:rPr>
        <w:t xml:space="preserve"> </w:t>
      </w:r>
    </w:p>
    <w:p w:rsidR="004B22CC" w:rsidRPr="004C090D" w:rsidRDefault="004B22CC" w:rsidP="00FD3A91">
      <w:pPr>
        <w:spacing w:line="360" w:lineRule="auto"/>
        <w:ind w:left="-360" w:right="42"/>
        <w:jc w:val="both"/>
        <w:rPr>
          <w:sz w:val="22"/>
          <w:szCs w:val="22"/>
        </w:rPr>
      </w:pPr>
    </w:p>
    <w:p w:rsidR="00FD3A91" w:rsidRPr="00F85D4C" w:rsidRDefault="005D4CD5" w:rsidP="00126490">
      <w:pPr>
        <w:spacing w:line="360" w:lineRule="auto"/>
        <w:ind w:left="-360" w:right="42"/>
        <w:jc w:val="center"/>
        <w:rPr>
          <w:b/>
          <w:sz w:val="22"/>
          <w:szCs w:val="22"/>
        </w:rPr>
      </w:pPr>
      <w:r w:rsidRPr="00F85D4C">
        <w:rPr>
          <w:b/>
          <w:sz w:val="22"/>
          <w:szCs w:val="22"/>
        </w:rPr>
        <w:t xml:space="preserve">Private consumption </w:t>
      </w:r>
      <w:r w:rsidR="00703289">
        <w:rPr>
          <w:b/>
          <w:sz w:val="22"/>
          <w:szCs w:val="22"/>
        </w:rPr>
        <w:t>will contribute positively in the second quarter</w:t>
      </w:r>
    </w:p>
    <w:p w:rsidR="00212A2E" w:rsidRPr="00F85D4C" w:rsidRDefault="00212A2E" w:rsidP="00FD3A91">
      <w:pPr>
        <w:spacing w:line="360" w:lineRule="auto"/>
        <w:ind w:left="-360" w:right="42"/>
        <w:jc w:val="both"/>
        <w:rPr>
          <w:sz w:val="22"/>
          <w:szCs w:val="22"/>
        </w:rPr>
      </w:pPr>
    </w:p>
    <w:p w:rsidR="00703289" w:rsidRDefault="00703289" w:rsidP="00FD3A91">
      <w:pPr>
        <w:spacing w:line="360" w:lineRule="auto"/>
        <w:ind w:left="-360" w:right="42"/>
        <w:jc w:val="both"/>
        <w:rPr>
          <w:sz w:val="22"/>
          <w:szCs w:val="22"/>
        </w:rPr>
      </w:pPr>
      <w:r>
        <w:rPr>
          <w:sz w:val="22"/>
          <w:szCs w:val="22"/>
        </w:rPr>
        <w:t>In May from the previous month, c</w:t>
      </w:r>
      <w:r w:rsidR="00212A2E" w:rsidRPr="00F85D4C">
        <w:rPr>
          <w:sz w:val="22"/>
          <w:szCs w:val="22"/>
        </w:rPr>
        <w:t xml:space="preserve">onsumption goods imports and </w:t>
      </w:r>
      <w:r>
        <w:rPr>
          <w:sz w:val="22"/>
          <w:szCs w:val="22"/>
        </w:rPr>
        <w:t>non-</w:t>
      </w:r>
      <w:r w:rsidR="00212A2E" w:rsidRPr="00F85D4C">
        <w:rPr>
          <w:sz w:val="22"/>
          <w:szCs w:val="22"/>
        </w:rPr>
        <w:t xml:space="preserve">durable goods </w:t>
      </w:r>
      <w:r w:rsidR="00F73B17" w:rsidRPr="00F85D4C">
        <w:rPr>
          <w:sz w:val="22"/>
          <w:szCs w:val="22"/>
        </w:rPr>
        <w:t>production</w:t>
      </w:r>
      <w:r w:rsidR="00212A2E" w:rsidRPr="00F85D4C">
        <w:rPr>
          <w:sz w:val="22"/>
          <w:szCs w:val="22"/>
        </w:rPr>
        <w:t xml:space="preserve"> </w:t>
      </w:r>
      <w:r>
        <w:rPr>
          <w:sz w:val="22"/>
          <w:szCs w:val="22"/>
        </w:rPr>
        <w:t>increased</w:t>
      </w:r>
      <w:r w:rsidR="00212A2E" w:rsidRPr="00F85D4C">
        <w:rPr>
          <w:sz w:val="22"/>
          <w:szCs w:val="22"/>
        </w:rPr>
        <w:t xml:space="preserve"> by </w:t>
      </w:r>
      <w:r>
        <w:rPr>
          <w:sz w:val="22"/>
          <w:szCs w:val="22"/>
        </w:rPr>
        <w:t>1.0 percent and 0.6</w:t>
      </w:r>
      <w:r w:rsidR="00212A2E" w:rsidRPr="00F85D4C">
        <w:rPr>
          <w:sz w:val="22"/>
          <w:szCs w:val="22"/>
        </w:rPr>
        <w:t xml:space="preserve"> percent, respectively</w:t>
      </w:r>
      <w:r w:rsidR="00AA219B">
        <w:rPr>
          <w:sz w:val="22"/>
          <w:szCs w:val="22"/>
        </w:rPr>
        <w:t>.</w:t>
      </w:r>
      <w:r>
        <w:rPr>
          <w:sz w:val="22"/>
          <w:szCs w:val="22"/>
        </w:rPr>
        <w:t xml:space="preserve"> However, durable goods production </w:t>
      </w:r>
      <w:r>
        <w:rPr>
          <w:sz w:val="22"/>
          <w:szCs w:val="22"/>
        </w:rPr>
        <w:lastRenderedPageBreak/>
        <w:t>fell by 0.4 percent in the same period. After</w:t>
      </w:r>
      <w:r w:rsidR="00AA219B">
        <w:rPr>
          <w:sz w:val="22"/>
          <w:szCs w:val="22"/>
        </w:rPr>
        <w:t xml:space="preserve"> </w:t>
      </w:r>
      <w:r>
        <w:rPr>
          <w:sz w:val="22"/>
          <w:szCs w:val="22"/>
        </w:rPr>
        <w:t xml:space="preserve">consumer confidence index fell by 3.3 percent in May, it further </w:t>
      </w:r>
      <w:r w:rsidR="00537EA2">
        <w:rPr>
          <w:sz w:val="22"/>
          <w:szCs w:val="22"/>
        </w:rPr>
        <w:t>declined by 2.3 percent in June</w:t>
      </w:r>
      <w:r>
        <w:rPr>
          <w:sz w:val="22"/>
          <w:szCs w:val="22"/>
        </w:rPr>
        <w:t xml:space="preserve">.  </w:t>
      </w:r>
      <w:r w:rsidR="00200459">
        <w:rPr>
          <w:sz w:val="22"/>
          <w:szCs w:val="22"/>
        </w:rPr>
        <w:t>W</w:t>
      </w:r>
      <w:r w:rsidRPr="00F85D4C">
        <w:rPr>
          <w:sz w:val="22"/>
          <w:szCs w:val="22"/>
        </w:rPr>
        <w:t xml:space="preserve">e </w:t>
      </w:r>
      <w:r w:rsidR="00200459">
        <w:rPr>
          <w:sz w:val="22"/>
          <w:szCs w:val="22"/>
        </w:rPr>
        <w:t>believe</w:t>
      </w:r>
      <w:r w:rsidRPr="00F85D4C">
        <w:rPr>
          <w:sz w:val="22"/>
          <w:szCs w:val="22"/>
        </w:rPr>
        <w:t xml:space="preserve"> </w:t>
      </w:r>
      <w:r w:rsidR="00200459">
        <w:rPr>
          <w:sz w:val="22"/>
          <w:szCs w:val="22"/>
        </w:rPr>
        <w:t xml:space="preserve">that contribution of </w:t>
      </w:r>
      <w:r w:rsidRPr="00F85D4C">
        <w:rPr>
          <w:sz w:val="22"/>
          <w:szCs w:val="22"/>
        </w:rPr>
        <w:t xml:space="preserve">private consumption </w:t>
      </w:r>
      <w:proofErr w:type="gramStart"/>
      <w:r w:rsidRPr="00F85D4C">
        <w:rPr>
          <w:sz w:val="22"/>
          <w:szCs w:val="22"/>
        </w:rPr>
        <w:t>expe</w:t>
      </w:r>
      <w:r w:rsidR="00200459">
        <w:rPr>
          <w:sz w:val="22"/>
          <w:szCs w:val="22"/>
        </w:rPr>
        <w:t>nditure  to</w:t>
      </w:r>
      <w:proofErr w:type="gramEnd"/>
      <w:r w:rsidR="00200459">
        <w:rPr>
          <w:sz w:val="22"/>
          <w:szCs w:val="22"/>
        </w:rPr>
        <w:t xml:space="preserve"> growth </w:t>
      </w:r>
      <w:r w:rsidR="00537EA2">
        <w:rPr>
          <w:sz w:val="22"/>
          <w:szCs w:val="22"/>
        </w:rPr>
        <w:t>was positive but</w:t>
      </w:r>
      <w:r w:rsidR="00200459">
        <w:rPr>
          <w:sz w:val="22"/>
          <w:szCs w:val="22"/>
        </w:rPr>
        <w:t xml:space="preserve"> weak in the second quarter.</w:t>
      </w:r>
      <w:r w:rsidRPr="00F85D4C">
        <w:rPr>
          <w:sz w:val="22"/>
          <w:szCs w:val="22"/>
        </w:rPr>
        <w:t xml:space="preserve">  </w:t>
      </w:r>
    </w:p>
    <w:p w:rsidR="005D4CD5" w:rsidRPr="00126490" w:rsidRDefault="005D4CD5" w:rsidP="00FD3A91">
      <w:pPr>
        <w:spacing w:line="360" w:lineRule="auto"/>
        <w:ind w:left="-360" w:right="42"/>
        <w:jc w:val="both"/>
        <w:rPr>
          <w:sz w:val="22"/>
          <w:szCs w:val="22"/>
          <w:highlight w:val="yellow"/>
        </w:rPr>
      </w:pPr>
    </w:p>
    <w:p w:rsidR="00FD3A91" w:rsidRPr="00F85D4C" w:rsidRDefault="002E5F29" w:rsidP="00FD3A91">
      <w:pPr>
        <w:spacing w:line="360" w:lineRule="auto"/>
        <w:ind w:left="-360" w:right="42"/>
        <w:jc w:val="center"/>
        <w:rPr>
          <w:b/>
          <w:bCs/>
          <w:sz w:val="22"/>
          <w:szCs w:val="22"/>
        </w:rPr>
      </w:pPr>
      <w:r>
        <w:rPr>
          <w:b/>
          <w:bCs/>
          <w:sz w:val="22"/>
          <w:szCs w:val="22"/>
        </w:rPr>
        <w:t>Private investment declined in May</w:t>
      </w:r>
    </w:p>
    <w:p w:rsidR="00FD3A91" w:rsidRPr="00F85D4C" w:rsidRDefault="00FD3A91" w:rsidP="00FD3A91">
      <w:pPr>
        <w:spacing w:line="360" w:lineRule="auto"/>
        <w:ind w:left="-360" w:right="42"/>
        <w:jc w:val="both"/>
        <w:rPr>
          <w:sz w:val="22"/>
          <w:szCs w:val="22"/>
        </w:rPr>
      </w:pPr>
    </w:p>
    <w:p w:rsidR="002E5F29" w:rsidRDefault="002E5F29" w:rsidP="00FD3A91">
      <w:pPr>
        <w:spacing w:line="360" w:lineRule="auto"/>
        <w:ind w:left="-360" w:right="42"/>
        <w:jc w:val="both"/>
        <w:rPr>
          <w:sz w:val="22"/>
          <w:szCs w:val="22"/>
        </w:rPr>
      </w:pPr>
      <w:r>
        <w:rPr>
          <w:sz w:val="22"/>
          <w:szCs w:val="22"/>
        </w:rPr>
        <w:t>In May</w:t>
      </w:r>
      <w:r w:rsidR="00200459">
        <w:rPr>
          <w:sz w:val="22"/>
          <w:szCs w:val="22"/>
        </w:rPr>
        <w:t>,</w:t>
      </w:r>
      <w:r>
        <w:rPr>
          <w:sz w:val="22"/>
          <w:szCs w:val="22"/>
        </w:rPr>
        <w:t xml:space="preserve"> from the previous month, investment goods imports and investment goods production declined by 6.1 percent and 5.7 percent, respectively. The IPI fell by 1.0 percent in the same period. The capacity utilization rate (CUR) continue</w:t>
      </w:r>
      <w:r w:rsidR="0034388F">
        <w:rPr>
          <w:sz w:val="22"/>
          <w:szCs w:val="22"/>
        </w:rPr>
        <w:t>s</w:t>
      </w:r>
      <w:r>
        <w:rPr>
          <w:sz w:val="22"/>
          <w:szCs w:val="22"/>
        </w:rPr>
        <w:t xml:space="preserve"> its volatile course. </w:t>
      </w:r>
      <w:r w:rsidR="00E1323F">
        <w:rPr>
          <w:sz w:val="22"/>
          <w:szCs w:val="22"/>
        </w:rPr>
        <w:t>It</w:t>
      </w:r>
      <w:r>
        <w:rPr>
          <w:sz w:val="22"/>
          <w:szCs w:val="22"/>
        </w:rPr>
        <w:t xml:space="preserve"> </w:t>
      </w:r>
      <w:r w:rsidR="00E1323F">
        <w:rPr>
          <w:sz w:val="22"/>
          <w:szCs w:val="22"/>
        </w:rPr>
        <w:t xml:space="preserve">had </w:t>
      </w:r>
      <w:r>
        <w:rPr>
          <w:sz w:val="22"/>
          <w:szCs w:val="22"/>
        </w:rPr>
        <w:t>declined 0.6 percent in May,</w:t>
      </w:r>
      <w:r w:rsidR="00E1323F">
        <w:rPr>
          <w:sz w:val="22"/>
          <w:szCs w:val="22"/>
        </w:rPr>
        <w:t xml:space="preserve"> however,</w:t>
      </w:r>
      <w:r>
        <w:rPr>
          <w:sz w:val="22"/>
          <w:szCs w:val="22"/>
        </w:rPr>
        <w:t xml:space="preserve"> increased by 0.5 percent in June. After a long upward trend, real sector confidence index declined by 0.6 percent in June, but it is still </w:t>
      </w:r>
      <w:r w:rsidR="00200459">
        <w:rPr>
          <w:sz w:val="22"/>
          <w:szCs w:val="22"/>
        </w:rPr>
        <w:t>above the previous quarter level on average</w:t>
      </w:r>
      <w:r>
        <w:rPr>
          <w:sz w:val="22"/>
          <w:szCs w:val="22"/>
        </w:rPr>
        <w:t xml:space="preserve">. Even though investment indicators are negative in May, the </w:t>
      </w:r>
      <w:proofErr w:type="spellStart"/>
      <w:r>
        <w:rPr>
          <w:sz w:val="22"/>
          <w:szCs w:val="22"/>
        </w:rPr>
        <w:t>QoQ</w:t>
      </w:r>
      <w:proofErr w:type="spellEnd"/>
      <w:r>
        <w:rPr>
          <w:sz w:val="22"/>
          <w:szCs w:val="22"/>
        </w:rPr>
        <w:t xml:space="preserve"> increase in investment imports </w:t>
      </w:r>
      <w:r w:rsidR="00537EA2">
        <w:rPr>
          <w:sz w:val="22"/>
          <w:szCs w:val="22"/>
        </w:rPr>
        <w:t>remains high</w:t>
      </w:r>
      <w:r>
        <w:rPr>
          <w:sz w:val="22"/>
          <w:szCs w:val="22"/>
        </w:rPr>
        <w:t xml:space="preserve">. Therefore, we expect private investment to contribute positively to growth. </w:t>
      </w:r>
    </w:p>
    <w:p w:rsidR="002E5F29" w:rsidRDefault="002E5F29" w:rsidP="00FD3A91">
      <w:pPr>
        <w:spacing w:line="360" w:lineRule="auto"/>
        <w:ind w:left="-360" w:right="42"/>
        <w:jc w:val="both"/>
        <w:rPr>
          <w:sz w:val="22"/>
          <w:szCs w:val="22"/>
        </w:rPr>
      </w:pPr>
    </w:p>
    <w:p w:rsidR="00FD3A91" w:rsidRPr="00B638BF" w:rsidRDefault="003D777B" w:rsidP="00FD3A91">
      <w:pPr>
        <w:spacing w:line="360" w:lineRule="auto"/>
        <w:ind w:left="-360" w:right="43"/>
        <w:jc w:val="center"/>
        <w:rPr>
          <w:b/>
          <w:bCs/>
          <w:sz w:val="22"/>
          <w:szCs w:val="22"/>
        </w:rPr>
      </w:pPr>
      <w:r>
        <w:rPr>
          <w:b/>
          <w:bCs/>
          <w:sz w:val="22"/>
          <w:szCs w:val="22"/>
        </w:rPr>
        <w:t xml:space="preserve">The contribution of net exports is weakening in the second quarter </w:t>
      </w:r>
      <w:r w:rsidR="00FD3A91" w:rsidRPr="00B638BF">
        <w:rPr>
          <w:b/>
          <w:bCs/>
          <w:sz w:val="22"/>
          <w:szCs w:val="22"/>
        </w:rPr>
        <w:br/>
      </w:r>
    </w:p>
    <w:p w:rsidR="000A7B8E" w:rsidRDefault="00FD3A91" w:rsidP="000A7B8E">
      <w:pPr>
        <w:spacing w:line="360" w:lineRule="auto"/>
        <w:ind w:left="-360" w:right="43"/>
        <w:jc w:val="both"/>
        <w:rPr>
          <w:sz w:val="22"/>
          <w:szCs w:val="22"/>
        </w:rPr>
      </w:pPr>
      <w:r w:rsidRPr="00B638BF">
        <w:rPr>
          <w:sz w:val="22"/>
          <w:szCs w:val="22"/>
        </w:rPr>
        <w:t xml:space="preserve">Figure 2 shows monthly changes of seasonally adjusted import and export volume indices. </w:t>
      </w:r>
      <w:r w:rsidR="000A7B8E">
        <w:rPr>
          <w:sz w:val="22"/>
          <w:szCs w:val="22"/>
        </w:rPr>
        <w:t>In May from the previous month, export volume index and import volume index increased by 0.1 and 2.6 percent, respectively. In the same period, gold-excluded real exports did</w:t>
      </w:r>
      <w:r w:rsidR="005D4C63">
        <w:rPr>
          <w:sz w:val="22"/>
          <w:szCs w:val="22"/>
        </w:rPr>
        <w:t xml:space="preserve"> not</w:t>
      </w:r>
      <w:r w:rsidR="000A7B8E">
        <w:rPr>
          <w:sz w:val="22"/>
          <w:szCs w:val="22"/>
        </w:rPr>
        <w:t xml:space="preserve"> change, wh</w:t>
      </w:r>
      <w:r w:rsidR="005D4C63">
        <w:rPr>
          <w:sz w:val="22"/>
          <w:szCs w:val="22"/>
        </w:rPr>
        <w:t>ile</w:t>
      </w:r>
      <w:r w:rsidR="000A7B8E">
        <w:rPr>
          <w:sz w:val="22"/>
          <w:szCs w:val="22"/>
        </w:rPr>
        <w:t xml:space="preserve"> gold-excluded real </w:t>
      </w:r>
      <w:r w:rsidR="005D4C63">
        <w:rPr>
          <w:sz w:val="22"/>
          <w:szCs w:val="22"/>
        </w:rPr>
        <w:t xml:space="preserve">imports declined by 3.8 </w:t>
      </w:r>
      <w:r w:rsidR="005D4C63">
        <w:rPr>
          <w:sz w:val="22"/>
          <w:szCs w:val="22"/>
        </w:rPr>
        <w:lastRenderedPageBreak/>
        <w:t>percent</w:t>
      </w:r>
      <w:r w:rsidR="000A7B8E">
        <w:rPr>
          <w:sz w:val="22"/>
          <w:szCs w:val="22"/>
        </w:rPr>
        <w:t>. Due to the fall in</w:t>
      </w:r>
      <w:r w:rsidR="00CF563C">
        <w:rPr>
          <w:sz w:val="22"/>
          <w:szCs w:val="22"/>
        </w:rPr>
        <w:t xml:space="preserve"> gold exports in</w:t>
      </w:r>
      <w:r w:rsidR="000A7B8E">
        <w:rPr>
          <w:sz w:val="22"/>
          <w:szCs w:val="22"/>
        </w:rPr>
        <w:t xml:space="preserve"> April, export volume index seems to decline sharply, </w:t>
      </w:r>
      <w:proofErr w:type="spellStart"/>
      <w:r w:rsidR="000A7B8E">
        <w:rPr>
          <w:sz w:val="22"/>
          <w:szCs w:val="22"/>
        </w:rPr>
        <w:t>QoQ</w:t>
      </w:r>
      <w:proofErr w:type="spellEnd"/>
      <w:r w:rsidR="000A7B8E">
        <w:rPr>
          <w:sz w:val="22"/>
          <w:szCs w:val="22"/>
        </w:rPr>
        <w:t>.</w:t>
      </w:r>
      <w:r w:rsidR="00CF563C">
        <w:rPr>
          <w:sz w:val="22"/>
          <w:szCs w:val="22"/>
        </w:rPr>
        <w:t xml:space="preserve"> However, gold-excluded re</w:t>
      </w:r>
      <w:r w:rsidR="005D4C63">
        <w:rPr>
          <w:sz w:val="22"/>
          <w:szCs w:val="22"/>
        </w:rPr>
        <w:t>al exports continue to increase</w:t>
      </w:r>
      <w:r w:rsidR="00CF563C">
        <w:rPr>
          <w:sz w:val="22"/>
          <w:szCs w:val="22"/>
        </w:rPr>
        <w:t>. We expect the contribution of net exports in the second quarter to be</w:t>
      </w:r>
      <w:r w:rsidR="005D4C63">
        <w:rPr>
          <w:sz w:val="22"/>
          <w:szCs w:val="22"/>
        </w:rPr>
        <w:t xml:space="preserve"> positive but</w:t>
      </w:r>
      <w:r w:rsidR="00CF563C">
        <w:rPr>
          <w:sz w:val="22"/>
          <w:szCs w:val="22"/>
        </w:rPr>
        <w:t xml:space="preserve"> weaker than the previous quarter.</w:t>
      </w:r>
      <w:r w:rsidR="000A7B8E">
        <w:rPr>
          <w:sz w:val="22"/>
          <w:szCs w:val="22"/>
        </w:rPr>
        <w:t xml:space="preserve"> </w:t>
      </w:r>
    </w:p>
    <w:p w:rsidR="000A7B8E" w:rsidRPr="00126490" w:rsidRDefault="000A7B8E" w:rsidP="00D654A2">
      <w:pPr>
        <w:spacing w:line="360" w:lineRule="auto"/>
        <w:ind w:left="-360" w:right="43"/>
        <w:jc w:val="both"/>
        <w:rPr>
          <w:sz w:val="22"/>
          <w:szCs w:val="22"/>
          <w:highlight w:val="yellow"/>
        </w:rPr>
      </w:pPr>
    </w:p>
    <w:p w:rsidR="00FD3A91" w:rsidRPr="00B638BF" w:rsidRDefault="00CF563C" w:rsidP="00D654A2">
      <w:pPr>
        <w:spacing w:line="360" w:lineRule="auto"/>
        <w:ind w:left="-360" w:right="43"/>
        <w:jc w:val="center"/>
        <w:rPr>
          <w:sz w:val="22"/>
          <w:szCs w:val="22"/>
        </w:rPr>
      </w:pPr>
      <w:r>
        <w:rPr>
          <w:b/>
          <w:bCs/>
          <w:sz w:val="22"/>
          <w:szCs w:val="22"/>
        </w:rPr>
        <w:t>Sharp decline in the current account deficit</w:t>
      </w:r>
    </w:p>
    <w:p w:rsidR="00FD3A91" w:rsidRPr="00B638BF" w:rsidRDefault="00FD3A91" w:rsidP="00FD3A91">
      <w:pPr>
        <w:spacing w:line="360" w:lineRule="auto"/>
        <w:ind w:left="-360" w:right="43"/>
        <w:jc w:val="center"/>
        <w:rPr>
          <w:b/>
          <w:bCs/>
          <w:sz w:val="22"/>
          <w:szCs w:val="22"/>
        </w:rPr>
      </w:pPr>
    </w:p>
    <w:p w:rsidR="00344278" w:rsidRDefault="00FD3A91" w:rsidP="00B638BF">
      <w:pPr>
        <w:spacing w:line="360" w:lineRule="auto"/>
        <w:ind w:left="-360" w:right="42"/>
        <w:jc w:val="both"/>
        <w:rPr>
          <w:sz w:val="22"/>
          <w:szCs w:val="22"/>
        </w:rPr>
      </w:pPr>
      <w:r w:rsidRPr="00B638BF">
        <w:rPr>
          <w:sz w:val="22"/>
          <w:szCs w:val="22"/>
        </w:rPr>
        <w:t xml:space="preserve">In </w:t>
      </w:r>
      <w:r w:rsidR="00CF563C">
        <w:rPr>
          <w:sz w:val="22"/>
          <w:szCs w:val="22"/>
        </w:rPr>
        <w:t>May</w:t>
      </w:r>
      <w:r w:rsidRPr="00B638BF">
        <w:rPr>
          <w:sz w:val="22"/>
          <w:szCs w:val="22"/>
        </w:rPr>
        <w:t xml:space="preserve">, the current account deficit was </w:t>
      </w:r>
      <w:r w:rsidR="006E36E6" w:rsidRPr="00B638BF">
        <w:rPr>
          <w:sz w:val="22"/>
          <w:szCs w:val="22"/>
        </w:rPr>
        <w:t>$</w:t>
      </w:r>
      <w:r w:rsidR="00CF563C">
        <w:rPr>
          <w:sz w:val="22"/>
          <w:szCs w:val="22"/>
        </w:rPr>
        <w:t>3.4</w:t>
      </w:r>
      <w:r w:rsidR="004B5E13" w:rsidRPr="00B638BF">
        <w:rPr>
          <w:sz w:val="22"/>
          <w:szCs w:val="22"/>
        </w:rPr>
        <w:t xml:space="preserve"> billion.</w:t>
      </w:r>
      <w:r w:rsidRPr="00B638BF">
        <w:rPr>
          <w:sz w:val="22"/>
          <w:szCs w:val="22"/>
        </w:rPr>
        <w:t xml:space="preserve"> In the same month of the previous year, the current account deficit was </w:t>
      </w:r>
      <w:r w:rsidR="006E36E6" w:rsidRPr="00B638BF">
        <w:rPr>
          <w:sz w:val="22"/>
          <w:szCs w:val="22"/>
        </w:rPr>
        <w:t>$</w:t>
      </w:r>
      <w:r w:rsidR="00CF563C">
        <w:rPr>
          <w:sz w:val="22"/>
          <w:szCs w:val="22"/>
        </w:rPr>
        <w:t>7.6</w:t>
      </w:r>
      <w:r w:rsidRPr="00B638BF">
        <w:rPr>
          <w:sz w:val="22"/>
          <w:szCs w:val="22"/>
        </w:rPr>
        <w:t xml:space="preserve"> billion. The 12-month </w:t>
      </w:r>
      <w:r w:rsidR="00770B73" w:rsidRPr="00B638BF">
        <w:rPr>
          <w:sz w:val="22"/>
          <w:szCs w:val="22"/>
        </w:rPr>
        <w:t xml:space="preserve">rolling </w:t>
      </w:r>
      <w:r w:rsidRPr="00B638BF">
        <w:rPr>
          <w:sz w:val="22"/>
          <w:szCs w:val="22"/>
        </w:rPr>
        <w:t xml:space="preserve">current account deficit declined from </w:t>
      </w:r>
      <w:r w:rsidR="006E36E6" w:rsidRPr="00B638BF">
        <w:rPr>
          <w:sz w:val="22"/>
          <w:szCs w:val="22"/>
        </w:rPr>
        <w:t>$</w:t>
      </w:r>
      <w:r w:rsidR="00CF563C">
        <w:rPr>
          <w:sz w:val="22"/>
          <w:szCs w:val="22"/>
        </w:rPr>
        <w:t>56.8</w:t>
      </w:r>
      <w:r w:rsidRPr="00B638BF">
        <w:rPr>
          <w:sz w:val="22"/>
          <w:szCs w:val="22"/>
        </w:rPr>
        <w:t xml:space="preserve"> billio</w:t>
      </w:r>
      <w:r w:rsidR="0035310C" w:rsidRPr="00B638BF">
        <w:rPr>
          <w:sz w:val="22"/>
          <w:szCs w:val="22"/>
        </w:rPr>
        <w:t xml:space="preserve">n to </w:t>
      </w:r>
      <w:r w:rsidR="006E36E6" w:rsidRPr="00B638BF">
        <w:rPr>
          <w:sz w:val="22"/>
          <w:szCs w:val="22"/>
        </w:rPr>
        <w:t>$</w:t>
      </w:r>
      <w:r w:rsidR="00CF563C">
        <w:rPr>
          <w:sz w:val="22"/>
          <w:szCs w:val="22"/>
        </w:rPr>
        <w:t>52.6</w:t>
      </w:r>
      <w:r w:rsidR="006E36E6" w:rsidRPr="00B638BF">
        <w:rPr>
          <w:sz w:val="22"/>
          <w:szCs w:val="22"/>
        </w:rPr>
        <w:t xml:space="preserve"> billion, and gold-</w:t>
      </w:r>
      <w:r w:rsidRPr="00B638BF">
        <w:rPr>
          <w:sz w:val="22"/>
          <w:szCs w:val="22"/>
        </w:rPr>
        <w:t xml:space="preserve">excluded current account deficit fell from </w:t>
      </w:r>
      <w:r w:rsidR="006E36E6" w:rsidRPr="00B638BF">
        <w:rPr>
          <w:sz w:val="22"/>
          <w:szCs w:val="22"/>
        </w:rPr>
        <w:t>$</w:t>
      </w:r>
      <w:r w:rsidR="00CF563C">
        <w:rPr>
          <w:sz w:val="22"/>
          <w:szCs w:val="22"/>
        </w:rPr>
        <w:t>49.8</w:t>
      </w:r>
      <w:r w:rsidR="006E36E6" w:rsidRPr="00B638BF">
        <w:rPr>
          <w:sz w:val="22"/>
          <w:szCs w:val="22"/>
        </w:rPr>
        <w:t xml:space="preserve"> billion</w:t>
      </w:r>
      <w:r w:rsidRPr="00B638BF">
        <w:rPr>
          <w:sz w:val="22"/>
          <w:szCs w:val="22"/>
        </w:rPr>
        <w:t xml:space="preserve"> to </w:t>
      </w:r>
      <w:r w:rsidR="006E36E6" w:rsidRPr="00B638BF">
        <w:rPr>
          <w:sz w:val="22"/>
          <w:szCs w:val="22"/>
        </w:rPr>
        <w:t>$</w:t>
      </w:r>
      <w:r w:rsidR="00CF563C">
        <w:rPr>
          <w:sz w:val="22"/>
          <w:szCs w:val="22"/>
        </w:rPr>
        <w:t>46.8</w:t>
      </w:r>
      <w:r w:rsidRPr="00B638BF">
        <w:rPr>
          <w:sz w:val="22"/>
          <w:szCs w:val="22"/>
        </w:rPr>
        <w:t xml:space="preserve"> billion. </w:t>
      </w:r>
    </w:p>
    <w:p w:rsidR="00CF563C" w:rsidRDefault="00CF563C" w:rsidP="00B638BF">
      <w:pPr>
        <w:spacing w:line="360" w:lineRule="auto"/>
        <w:ind w:left="-360" w:right="42"/>
        <w:jc w:val="both"/>
        <w:rPr>
          <w:sz w:val="22"/>
          <w:szCs w:val="22"/>
        </w:rPr>
      </w:pPr>
    </w:p>
    <w:p w:rsidR="00CF563C" w:rsidRDefault="00CF563C" w:rsidP="00B638BF">
      <w:pPr>
        <w:spacing w:line="360" w:lineRule="auto"/>
        <w:ind w:left="-360" w:right="42"/>
        <w:jc w:val="both"/>
        <w:rPr>
          <w:sz w:val="22"/>
          <w:szCs w:val="22"/>
        </w:rPr>
      </w:pPr>
      <w:r>
        <w:rPr>
          <w:sz w:val="22"/>
          <w:szCs w:val="22"/>
        </w:rPr>
        <w:t>The significant part of the fall in the current account deficit was caused by the decline in gold imports. In the last year during April-May period, net gold imports was $3.9 billion. In the same period of this year, it was $0.9 billion. Due to the normalization of gold trade, we expect sharp decline</w:t>
      </w:r>
      <w:r w:rsidR="0083047A">
        <w:rPr>
          <w:sz w:val="22"/>
          <w:szCs w:val="22"/>
        </w:rPr>
        <w:t>s</w:t>
      </w:r>
      <w:r>
        <w:rPr>
          <w:sz w:val="22"/>
          <w:szCs w:val="22"/>
        </w:rPr>
        <w:t xml:space="preserve"> in the current account deficit</w:t>
      </w:r>
      <w:r w:rsidR="0083047A">
        <w:rPr>
          <w:sz w:val="22"/>
          <w:szCs w:val="22"/>
        </w:rPr>
        <w:t xml:space="preserve"> to continue through July</w:t>
      </w:r>
      <w:r>
        <w:rPr>
          <w:sz w:val="22"/>
          <w:szCs w:val="22"/>
        </w:rPr>
        <w:t xml:space="preserve">.    </w:t>
      </w:r>
    </w:p>
    <w:p w:rsidR="00344278" w:rsidRDefault="00344278" w:rsidP="00B638BF">
      <w:pPr>
        <w:spacing w:line="360" w:lineRule="auto"/>
        <w:ind w:left="-360" w:right="42"/>
        <w:jc w:val="both"/>
        <w:rPr>
          <w:sz w:val="22"/>
          <w:szCs w:val="22"/>
        </w:rPr>
      </w:pPr>
    </w:p>
    <w:p w:rsidR="004A6059" w:rsidRDefault="00CF563C" w:rsidP="00B638BF">
      <w:pPr>
        <w:spacing w:line="360" w:lineRule="auto"/>
        <w:ind w:left="-360" w:right="42"/>
        <w:jc w:val="both"/>
        <w:rPr>
          <w:sz w:val="22"/>
          <w:szCs w:val="22"/>
        </w:rPr>
      </w:pPr>
      <w:r>
        <w:rPr>
          <w:sz w:val="22"/>
          <w:szCs w:val="22"/>
        </w:rPr>
        <w:t xml:space="preserve">At the end of the first quarter, </w:t>
      </w:r>
      <w:r w:rsidRPr="00B638BF">
        <w:rPr>
          <w:sz w:val="22"/>
          <w:szCs w:val="22"/>
        </w:rPr>
        <w:t>the current account deficit to GDP ratio</w:t>
      </w:r>
      <w:r>
        <w:rPr>
          <w:sz w:val="22"/>
          <w:szCs w:val="22"/>
        </w:rPr>
        <w:t xml:space="preserve"> fell to 7.5 percent from the 7.9 percent (Figure 3)</w:t>
      </w:r>
      <w:r w:rsidR="004A6059">
        <w:rPr>
          <w:sz w:val="22"/>
          <w:szCs w:val="22"/>
        </w:rPr>
        <w:t xml:space="preserve">, and we expect this ratio to be 6.4 percent at the end of the second quarter. We expect </w:t>
      </w:r>
      <w:r w:rsidR="004A6059" w:rsidRPr="00B638BF">
        <w:rPr>
          <w:sz w:val="22"/>
          <w:szCs w:val="22"/>
        </w:rPr>
        <w:t>the</w:t>
      </w:r>
      <w:r w:rsidR="004A6059">
        <w:rPr>
          <w:sz w:val="22"/>
          <w:szCs w:val="22"/>
        </w:rPr>
        <w:t xml:space="preserve"> gold-excluded</w:t>
      </w:r>
      <w:r w:rsidR="004A6059" w:rsidRPr="00B638BF">
        <w:rPr>
          <w:sz w:val="22"/>
          <w:szCs w:val="22"/>
        </w:rPr>
        <w:t xml:space="preserve"> current account deficit to GDP ratio</w:t>
      </w:r>
      <w:r w:rsidR="004A6059">
        <w:rPr>
          <w:sz w:val="22"/>
          <w:szCs w:val="22"/>
        </w:rPr>
        <w:t xml:space="preserve"> fell to 5.8 percent from 6.4 percent at the end of the second quarter.</w:t>
      </w:r>
    </w:p>
    <w:p w:rsidR="00F7696B" w:rsidRPr="0053729E" w:rsidRDefault="00CF563C" w:rsidP="004A6059">
      <w:pPr>
        <w:spacing w:line="360" w:lineRule="auto"/>
        <w:ind w:left="-360" w:right="42"/>
        <w:jc w:val="both"/>
        <w:rPr>
          <w:sz w:val="22"/>
          <w:szCs w:val="22"/>
        </w:rPr>
        <w:sectPr w:rsidR="00F7696B" w:rsidRPr="0053729E" w:rsidSect="00523C58">
          <w:type w:val="continuous"/>
          <w:pgSz w:w="11906" w:h="16838"/>
          <w:pgMar w:top="1417" w:right="1417" w:bottom="1417" w:left="1417" w:header="708" w:footer="708" w:gutter="0"/>
          <w:cols w:num="2" w:space="708" w:equalWidth="0">
            <w:col w:w="4182" w:space="708"/>
            <w:col w:w="4182"/>
          </w:cols>
          <w:docGrid w:linePitch="360"/>
        </w:sectPr>
      </w:pPr>
      <w:r>
        <w:rPr>
          <w:sz w:val="22"/>
          <w:szCs w:val="22"/>
        </w:rPr>
        <w:t xml:space="preserve"> </w:t>
      </w:r>
    </w:p>
    <w:p w:rsidR="00695E7E" w:rsidRDefault="00695E7E" w:rsidP="00801493">
      <w:pPr>
        <w:spacing w:line="360" w:lineRule="auto"/>
        <w:ind w:right="42"/>
        <w:jc w:val="both"/>
        <w:rPr>
          <w:rFonts w:ascii="Arial" w:hAnsi="Arial" w:cs="Arial"/>
          <w:b/>
          <w:sz w:val="20"/>
          <w:szCs w:val="20"/>
        </w:rPr>
      </w:pPr>
    </w:p>
    <w:p w:rsidR="004A6059" w:rsidRDefault="004A6059" w:rsidP="00801493">
      <w:pPr>
        <w:spacing w:line="360" w:lineRule="auto"/>
        <w:ind w:right="42"/>
        <w:jc w:val="both"/>
        <w:rPr>
          <w:b/>
          <w:sz w:val="22"/>
          <w:szCs w:val="22"/>
        </w:rPr>
      </w:pPr>
    </w:p>
    <w:p w:rsidR="004A6059" w:rsidRDefault="004A6059" w:rsidP="00801493">
      <w:pPr>
        <w:spacing w:line="360" w:lineRule="auto"/>
        <w:ind w:right="42"/>
        <w:jc w:val="both"/>
        <w:rPr>
          <w:b/>
          <w:sz w:val="22"/>
          <w:szCs w:val="22"/>
        </w:rPr>
      </w:pPr>
    </w:p>
    <w:p w:rsidR="008C6E50" w:rsidRPr="00F7749B" w:rsidRDefault="00E823E8" w:rsidP="00801493">
      <w:pPr>
        <w:spacing w:line="360" w:lineRule="auto"/>
        <w:ind w:right="42"/>
        <w:jc w:val="both"/>
        <w:rPr>
          <w:sz w:val="22"/>
          <w:szCs w:val="22"/>
        </w:rPr>
      </w:pPr>
      <w:r w:rsidRPr="00F7749B">
        <w:rPr>
          <w:b/>
          <w:sz w:val="22"/>
          <w:szCs w:val="22"/>
        </w:rPr>
        <w:t>Table</w:t>
      </w:r>
      <w:r w:rsidR="00451918" w:rsidRPr="00F7749B">
        <w:rPr>
          <w:b/>
          <w:sz w:val="22"/>
          <w:szCs w:val="22"/>
        </w:rPr>
        <w:t xml:space="preserve"> 2: </w:t>
      </w:r>
      <w:r w:rsidRPr="00F7749B">
        <w:rPr>
          <w:b/>
          <w:sz w:val="22"/>
          <w:szCs w:val="22"/>
        </w:rPr>
        <w:t xml:space="preserve">Monthly and quarterly changes of </w:t>
      </w:r>
      <w:proofErr w:type="spellStart"/>
      <w:r w:rsidRPr="00F7749B">
        <w:rPr>
          <w:b/>
          <w:sz w:val="22"/>
          <w:szCs w:val="22"/>
        </w:rPr>
        <w:t>Betam’s</w:t>
      </w:r>
      <w:proofErr w:type="spellEnd"/>
      <w:r w:rsidRPr="00F7749B">
        <w:rPr>
          <w:b/>
          <w:sz w:val="22"/>
          <w:szCs w:val="22"/>
        </w:rPr>
        <w:t xml:space="preserve"> selected indicators (real </w:t>
      </w:r>
      <w:r w:rsidR="00455777" w:rsidRPr="00F7749B">
        <w:rPr>
          <w:b/>
          <w:sz w:val="22"/>
          <w:szCs w:val="22"/>
        </w:rPr>
        <w:t>and</w:t>
      </w:r>
      <w:r w:rsidR="000219C0">
        <w:rPr>
          <w:b/>
          <w:sz w:val="22"/>
          <w:szCs w:val="22"/>
        </w:rPr>
        <w:t xml:space="preserve"> </w:t>
      </w:r>
      <w:proofErr w:type="spellStart"/>
      <w:proofErr w:type="gramStart"/>
      <w:r w:rsidRPr="00F7749B">
        <w:rPr>
          <w:b/>
          <w:sz w:val="22"/>
          <w:szCs w:val="22"/>
        </w:rPr>
        <w:t>sa</w:t>
      </w:r>
      <w:proofErr w:type="spellEnd"/>
      <w:proofErr w:type="gramEnd"/>
      <w:r w:rsidR="008C6E50" w:rsidRPr="00F7749B">
        <w:rPr>
          <w:b/>
          <w:sz w:val="22"/>
          <w:szCs w:val="22"/>
        </w:rPr>
        <w:t>)</w:t>
      </w:r>
    </w:p>
    <w:p w:rsidR="008C6E50" w:rsidRPr="0053729E" w:rsidRDefault="008C6E50" w:rsidP="001E4BF5">
      <w:pPr>
        <w:spacing w:line="360" w:lineRule="auto"/>
        <w:ind w:left="-360" w:right="42"/>
        <w:jc w:val="both"/>
        <w:rPr>
          <w:rFonts w:ascii="Arial" w:hAnsi="Arial" w:cs="Arial"/>
          <w:sz w:val="20"/>
          <w:szCs w:val="20"/>
        </w:rPr>
        <w:sectPr w:rsidR="008C6E50" w:rsidRPr="0053729E" w:rsidSect="0075074A">
          <w:type w:val="continuous"/>
          <w:pgSz w:w="11906" w:h="16838"/>
          <w:pgMar w:top="1417" w:right="1417" w:bottom="1417" w:left="1417" w:header="708" w:footer="708" w:gutter="0"/>
          <w:cols w:space="708"/>
          <w:docGrid w:linePitch="360"/>
        </w:sect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18"/>
        <w:gridCol w:w="1418"/>
        <w:gridCol w:w="1417"/>
        <w:gridCol w:w="1276"/>
        <w:gridCol w:w="1361"/>
        <w:gridCol w:w="1035"/>
        <w:gridCol w:w="1035"/>
      </w:tblGrid>
      <w:tr w:rsidR="000219C0" w:rsidRPr="0053729E" w:rsidTr="001048C8">
        <w:trPr>
          <w:trHeight w:val="607"/>
        </w:trPr>
        <w:tc>
          <w:tcPr>
            <w:tcW w:w="2718" w:type="dxa"/>
            <w:vAlign w:val="center"/>
          </w:tcPr>
          <w:p w:rsidR="000219C0" w:rsidRPr="0053729E" w:rsidRDefault="000219C0" w:rsidP="00E00B71">
            <w:pPr>
              <w:ind w:right="42"/>
              <w:jc w:val="center"/>
              <w:rPr>
                <w:b/>
                <w:bCs/>
              </w:rPr>
            </w:pPr>
            <w:r w:rsidRPr="0053729E">
              <w:rPr>
                <w:b/>
                <w:bCs/>
              </w:rPr>
              <w:lastRenderedPageBreak/>
              <w:t>Economic Indicators</w:t>
            </w:r>
          </w:p>
        </w:tc>
        <w:tc>
          <w:tcPr>
            <w:tcW w:w="1418" w:type="dxa"/>
            <w:vAlign w:val="center"/>
          </w:tcPr>
          <w:p w:rsidR="000219C0" w:rsidRPr="0053729E" w:rsidRDefault="00922C37" w:rsidP="00BD2888">
            <w:pPr>
              <w:ind w:right="42"/>
              <w:jc w:val="center"/>
              <w:rPr>
                <w:b/>
                <w:bCs/>
              </w:rPr>
            </w:pPr>
            <w:r>
              <w:rPr>
                <w:b/>
                <w:bCs/>
              </w:rPr>
              <w:t>March</w:t>
            </w:r>
          </w:p>
        </w:tc>
        <w:tc>
          <w:tcPr>
            <w:tcW w:w="1417" w:type="dxa"/>
            <w:vAlign w:val="center"/>
          </w:tcPr>
          <w:p w:rsidR="000219C0" w:rsidRPr="0053729E" w:rsidRDefault="00922C37" w:rsidP="00BD2888">
            <w:pPr>
              <w:ind w:right="42"/>
              <w:jc w:val="center"/>
              <w:rPr>
                <w:b/>
                <w:bCs/>
              </w:rPr>
            </w:pPr>
            <w:r>
              <w:rPr>
                <w:b/>
                <w:bCs/>
              </w:rPr>
              <w:t>April</w:t>
            </w:r>
          </w:p>
        </w:tc>
        <w:tc>
          <w:tcPr>
            <w:tcW w:w="1276" w:type="dxa"/>
            <w:vAlign w:val="center"/>
          </w:tcPr>
          <w:p w:rsidR="000219C0" w:rsidRPr="0053729E" w:rsidRDefault="00922C37" w:rsidP="00BD2888">
            <w:pPr>
              <w:ind w:right="42"/>
              <w:jc w:val="center"/>
              <w:rPr>
                <w:b/>
                <w:bCs/>
              </w:rPr>
            </w:pPr>
            <w:r>
              <w:rPr>
                <w:b/>
                <w:bCs/>
              </w:rPr>
              <w:t>May</w:t>
            </w:r>
          </w:p>
        </w:tc>
        <w:tc>
          <w:tcPr>
            <w:tcW w:w="1361" w:type="dxa"/>
            <w:tcBorders>
              <w:right w:val="double" w:sz="4" w:space="0" w:color="auto"/>
            </w:tcBorders>
            <w:vAlign w:val="center"/>
          </w:tcPr>
          <w:p w:rsidR="000219C0" w:rsidRPr="0053729E" w:rsidRDefault="00922C37" w:rsidP="00922C37">
            <w:pPr>
              <w:ind w:right="42"/>
              <w:jc w:val="center"/>
              <w:rPr>
                <w:b/>
                <w:bCs/>
              </w:rPr>
            </w:pPr>
            <w:r>
              <w:rPr>
                <w:b/>
                <w:bCs/>
              </w:rPr>
              <w:t>June</w:t>
            </w:r>
          </w:p>
        </w:tc>
        <w:tc>
          <w:tcPr>
            <w:tcW w:w="1035" w:type="dxa"/>
            <w:tcBorders>
              <w:left w:val="double" w:sz="4" w:space="0" w:color="auto"/>
            </w:tcBorders>
            <w:vAlign w:val="center"/>
          </w:tcPr>
          <w:p w:rsidR="000219C0" w:rsidRPr="0053729E" w:rsidRDefault="00335D74" w:rsidP="00B94CDE">
            <w:pPr>
              <w:ind w:right="42"/>
              <w:jc w:val="center"/>
              <w:rPr>
                <w:b/>
                <w:bCs/>
              </w:rPr>
            </w:pPr>
            <w:r>
              <w:rPr>
                <w:b/>
                <w:bCs/>
                <w:sz w:val="22"/>
                <w:szCs w:val="22"/>
              </w:rPr>
              <w:t>2014</w:t>
            </w:r>
            <w:r w:rsidR="000219C0">
              <w:rPr>
                <w:b/>
                <w:bCs/>
                <w:sz w:val="22"/>
                <w:szCs w:val="22"/>
              </w:rPr>
              <w:t xml:space="preserve"> </w:t>
            </w:r>
            <w:r>
              <w:rPr>
                <w:b/>
                <w:bCs/>
                <w:sz w:val="22"/>
                <w:szCs w:val="22"/>
              </w:rPr>
              <w:t>1</w:t>
            </w:r>
            <w:r>
              <w:rPr>
                <w:b/>
                <w:bCs/>
                <w:sz w:val="22"/>
                <w:szCs w:val="22"/>
                <w:vertAlign w:val="superscript"/>
              </w:rPr>
              <w:t>st</w:t>
            </w:r>
            <w:r w:rsidR="000219C0" w:rsidRPr="0053729E">
              <w:rPr>
                <w:b/>
                <w:bCs/>
                <w:sz w:val="22"/>
                <w:szCs w:val="22"/>
              </w:rPr>
              <w:t xml:space="preserve"> Quarter</w:t>
            </w:r>
          </w:p>
        </w:tc>
        <w:tc>
          <w:tcPr>
            <w:tcW w:w="1035" w:type="dxa"/>
            <w:vAlign w:val="center"/>
          </w:tcPr>
          <w:p w:rsidR="000219C0" w:rsidRPr="0053729E" w:rsidRDefault="000219C0" w:rsidP="00026B51">
            <w:pPr>
              <w:ind w:right="42"/>
              <w:jc w:val="center"/>
              <w:rPr>
                <w:b/>
                <w:bCs/>
              </w:rPr>
            </w:pPr>
            <w:r>
              <w:rPr>
                <w:b/>
                <w:bCs/>
                <w:sz w:val="22"/>
                <w:szCs w:val="22"/>
              </w:rPr>
              <w:t xml:space="preserve">2014 </w:t>
            </w:r>
            <w:r w:rsidR="00335D74">
              <w:rPr>
                <w:b/>
                <w:bCs/>
                <w:sz w:val="22"/>
                <w:szCs w:val="22"/>
              </w:rPr>
              <w:t>2</w:t>
            </w:r>
            <w:r w:rsidR="00335D74">
              <w:rPr>
                <w:b/>
                <w:bCs/>
                <w:sz w:val="22"/>
                <w:szCs w:val="22"/>
                <w:vertAlign w:val="superscript"/>
              </w:rPr>
              <w:t>nd</w:t>
            </w:r>
            <w:r w:rsidRPr="0053729E">
              <w:rPr>
                <w:b/>
                <w:bCs/>
                <w:sz w:val="22"/>
                <w:szCs w:val="22"/>
              </w:rPr>
              <w:t xml:space="preserve"> Quarter</w:t>
            </w:r>
          </w:p>
        </w:tc>
      </w:tr>
      <w:tr w:rsidR="00922C37" w:rsidRPr="0053729E" w:rsidTr="001048C8">
        <w:trPr>
          <w:trHeight w:val="370"/>
        </w:trPr>
        <w:tc>
          <w:tcPr>
            <w:tcW w:w="2718" w:type="dxa"/>
            <w:vAlign w:val="bottom"/>
          </w:tcPr>
          <w:p w:rsidR="00922C37" w:rsidRPr="0053729E" w:rsidRDefault="00922C37" w:rsidP="00E00B71">
            <w:pPr>
              <w:spacing w:line="288" w:lineRule="auto"/>
              <w:ind w:right="77"/>
              <w:rPr>
                <w:b/>
                <w:sz w:val="20"/>
                <w:szCs w:val="20"/>
              </w:rPr>
            </w:pPr>
            <w:r w:rsidRPr="0053729E">
              <w:rPr>
                <w:b/>
                <w:sz w:val="20"/>
                <w:szCs w:val="20"/>
              </w:rPr>
              <w:t>Exports</w:t>
            </w:r>
          </w:p>
        </w:tc>
        <w:tc>
          <w:tcPr>
            <w:tcW w:w="1418" w:type="dxa"/>
            <w:vAlign w:val="center"/>
          </w:tcPr>
          <w:p w:rsidR="00922C37" w:rsidRPr="00261A05" w:rsidRDefault="00922C37" w:rsidP="00D70D69">
            <w:pPr>
              <w:ind w:right="42"/>
              <w:jc w:val="center"/>
              <w:rPr>
                <w:b/>
                <w:bCs/>
              </w:rPr>
            </w:pPr>
            <w:r>
              <w:rPr>
                <w:b/>
                <w:bCs/>
              </w:rPr>
              <w:t>1.5</w:t>
            </w:r>
          </w:p>
        </w:tc>
        <w:tc>
          <w:tcPr>
            <w:tcW w:w="1417" w:type="dxa"/>
            <w:vAlign w:val="center"/>
          </w:tcPr>
          <w:p w:rsidR="00922C37" w:rsidRPr="00261A05" w:rsidRDefault="00922C37" w:rsidP="00D70D69">
            <w:pPr>
              <w:ind w:right="42"/>
              <w:jc w:val="center"/>
              <w:rPr>
                <w:b/>
                <w:bCs/>
              </w:rPr>
            </w:pPr>
            <w:r>
              <w:rPr>
                <w:b/>
                <w:bCs/>
              </w:rPr>
              <w:t>-8.3</w:t>
            </w:r>
          </w:p>
        </w:tc>
        <w:tc>
          <w:tcPr>
            <w:tcW w:w="1276" w:type="dxa"/>
            <w:vAlign w:val="center"/>
          </w:tcPr>
          <w:p w:rsidR="00922C37" w:rsidRPr="00261A05" w:rsidRDefault="00922C37" w:rsidP="00D70D69">
            <w:pPr>
              <w:ind w:right="42"/>
              <w:jc w:val="center"/>
              <w:rPr>
                <w:b/>
                <w:bCs/>
              </w:rPr>
            </w:pPr>
            <w:r>
              <w:rPr>
                <w:b/>
                <w:bCs/>
              </w:rPr>
              <w:t>0.1</w:t>
            </w:r>
          </w:p>
        </w:tc>
        <w:tc>
          <w:tcPr>
            <w:tcW w:w="1361" w:type="dxa"/>
            <w:tcBorders>
              <w:right w:val="double" w:sz="4" w:space="0" w:color="auto"/>
            </w:tcBorders>
            <w:vAlign w:val="center"/>
          </w:tcPr>
          <w:p w:rsidR="00922C37" w:rsidRPr="00261A05" w:rsidRDefault="00922C37" w:rsidP="00D70D69">
            <w:pPr>
              <w:ind w:right="42"/>
              <w:jc w:val="center"/>
              <w:rPr>
                <w:b/>
                <w:bCs/>
              </w:rPr>
            </w:pPr>
            <w:r>
              <w:rPr>
                <w:b/>
                <w:bCs/>
              </w:rPr>
              <w:t>**</w:t>
            </w:r>
          </w:p>
        </w:tc>
        <w:tc>
          <w:tcPr>
            <w:tcW w:w="1035" w:type="dxa"/>
            <w:tcBorders>
              <w:left w:val="double" w:sz="4" w:space="0" w:color="auto"/>
            </w:tcBorders>
            <w:vAlign w:val="center"/>
          </w:tcPr>
          <w:p w:rsidR="00922C37" w:rsidRPr="00261A05" w:rsidRDefault="00922C37" w:rsidP="00D70D69">
            <w:pPr>
              <w:ind w:right="42"/>
              <w:jc w:val="center"/>
              <w:rPr>
                <w:b/>
                <w:bCs/>
              </w:rPr>
            </w:pPr>
            <w:r>
              <w:rPr>
                <w:b/>
                <w:bCs/>
              </w:rPr>
              <w:t>4.6</w:t>
            </w:r>
          </w:p>
        </w:tc>
        <w:tc>
          <w:tcPr>
            <w:tcW w:w="1035" w:type="dxa"/>
            <w:vAlign w:val="center"/>
          </w:tcPr>
          <w:p w:rsidR="00922C37" w:rsidRPr="00261A05" w:rsidRDefault="00922C37" w:rsidP="00D70D69">
            <w:pPr>
              <w:ind w:right="42"/>
              <w:jc w:val="center"/>
              <w:rPr>
                <w:b/>
                <w:bCs/>
              </w:rPr>
            </w:pPr>
            <w:r>
              <w:rPr>
                <w:b/>
                <w:bCs/>
              </w:rPr>
              <w:t>-6.4</w:t>
            </w:r>
          </w:p>
        </w:tc>
      </w:tr>
      <w:tr w:rsidR="00922C37" w:rsidRPr="0053729E" w:rsidTr="001048C8">
        <w:trPr>
          <w:trHeight w:val="370"/>
        </w:trPr>
        <w:tc>
          <w:tcPr>
            <w:tcW w:w="2718" w:type="dxa"/>
            <w:tcBorders>
              <w:bottom w:val="nil"/>
            </w:tcBorders>
            <w:vAlign w:val="bottom"/>
          </w:tcPr>
          <w:p w:rsidR="00922C37" w:rsidRPr="0053729E" w:rsidRDefault="00922C37" w:rsidP="00E00B71">
            <w:pPr>
              <w:spacing w:line="288" w:lineRule="auto"/>
              <w:ind w:right="77"/>
              <w:rPr>
                <w:b/>
                <w:sz w:val="20"/>
                <w:szCs w:val="20"/>
              </w:rPr>
            </w:pPr>
            <w:r w:rsidRPr="0053729E">
              <w:rPr>
                <w:b/>
                <w:sz w:val="20"/>
                <w:szCs w:val="20"/>
              </w:rPr>
              <w:t>Imports</w:t>
            </w:r>
          </w:p>
        </w:tc>
        <w:tc>
          <w:tcPr>
            <w:tcW w:w="1418" w:type="dxa"/>
            <w:tcBorders>
              <w:bottom w:val="nil"/>
            </w:tcBorders>
            <w:vAlign w:val="center"/>
          </w:tcPr>
          <w:p w:rsidR="00922C37" w:rsidRPr="00261A05" w:rsidRDefault="00922C37" w:rsidP="00D70D69">
            <w:pPr>
              <w:ind w:right="42"/>
              <w:jc w:val="center"/>
              <w:rPr>
                <w:b/>
                <w:bCs/>
              </w:rPr>
            </w:pPr>
            <w:r>
              <w:rPr>
                <w:b/>
                <w:bCs/>
              </w:rPr>
              <w:t>-1.5</w:t>
            </w:r>
          </w:p>
        </w:tc>
        <w:tc>
          <w:tcPr>
            <w:tcW w:w="1417" w:type="dxa"/>
            <w:tcBorders>
              <w:bottom w:val="nil"/>
            </w:tcBorders>
            <w:vAlign w:val="center"/>
          </w:tcPr>
          <w:p w:rsidR="00922C37" w:rsidRPr="00261A05" w:rsidRDefault="00922C37" w:rsidP="00D70D69">
            <w:pPr>
              <w:ind w:right="42"/>
              <w:jc w:val="center"/>
              <w:rPr>
                <w:b/>
                <w:bCs/>
              </w:rPr>
            </w:pPr>
            <w:r>
              <w:rPr>
                <w:b/>
                <w:bCs/>
              </w:rPr>
              <w:t>0.7</w:t>
            </w:r>
          </w:p>
        </w:tc>
        <w:tc>
          <w:tcPr>
            <w:tcW w:w="1276" w:type="dxa"/>
            <w:tcBorders>
              <w:bottom w:val="nil"/>
            </w:tcBorders>
            <w:vAlign w:val="center"/>
          </w:tcPr>
          <w:p w:rsidR="00922C37" w:rsidRPr="00261A05" w:rsidRDefault="00922C37" w:rsidP="00D70D69">
            <w:pPr>
              <w:ind w:right="42"/>
              <w:jc w:val="center"/>
              <w:rPr>
                <w:b/>
                <w:bCs/>
              </w:rPr>
            </w:pPr>
            <w:r>
              <w:rPr>
                <w:b/>
                <w:bCs/>
              </w:rPr>
              <w:t>2.6</w:t>
            </w:r>
          </w:p>
        </w:tc>
        <w:tc>
          <w:tcPr>
            <w:tcW w:w="1361" w:type="dxa"/>
            <w:tcBorders>
              <w:bottom w:val="nil"/>
              <w:right w:val="double" w:sz="4" w:space="0" w:color="auto"/>
            </w:tcBorders>
            <w:vAlign w:val="center"/>
          </w:tcPr>
          <w:p w:rsidR="00922C37" w:rsidRPr="00261A05" w:rsidRDefault="00922C37" w:rsidP="00D70D69">
            <w:pPr>
              <w:ind w:right="42"/>
              <w:jc w:val="center"/>
              <w:rPr>
                <w:b/>
                <w:bCs/>
              </w:rPr>
            </w:pPr>
            <w:r>
              <w:rPr>
                <w:b/>
                <w:bCs/>
              </w:rPr>
              <w:t>**</w:t>
            </w:r>
          </w:p>
        </w:tc>
        <w:tc>
          <w:tcPr>
            <w:tcW w:w="1035" w:type="dxa"/>
            <w:tcBorders>
              <w:left w:val="double" w:sz="4" w:space="0" w:color="auto"/>
              <w:bottom w:val="nil"/>
            </w:tcBorders>
            <w:vAlign w:val="center"/>
          </w:tcPr>
          <w:p w:rsidR="00922C37" w:rsidRPr="00261A05" w:rsidRDefault="00922C37" w:rsidP="00D70D69">
            <w:pPr>
              <w:ind w:right="42"/>
              <w:jc w:val="center"/>
              <w:rPr>
                <w:b/>
                <w:bCs/>
              </w:rPr>
            </w:pPr>
            <w:r>
              <w:rPr>
                <w:b/>
                <w:bCs/>
              </w:rPr>
              <w:t>-4.1</w:t>
            </w:r>
          </w:p>
        </w:tc>
        <w:tc>
          <w:tcPr>
            <w:tcW w:w="1035" w:type="dxa"/>
            <w:tcBorders>
              <w:bottom w:val="nil"/>
            </w:tcBorders>
            <w:vAlign w:val="center"/>
          </w:tcPr>
          <w:p w:rsidR="00922C37" w:rsidRPr="00261A05" w:rsidRDefault="00922C37" w:rsidP="00D70D69">
            <w:pPr>
              <w:ind w:right="42"/>
              <w:jc w:val="center"/>
              <w:rPr>
                <w:b/>
                <w:bCs/>
              </w:rPr>
            </w:pPr>
            <w:r>
              <w:rPr>
                <w:b/>
                <w:bCs/>
              </w:rPr>
              <w:t>-0.5</w:t>
            </w:r>
          </w:p>
        </w:tc>
      </w:tr>
      <w:tr w:rsidR="00922C37" w:rsidRPr="0053729E" w:rsidTr="001048C8">
        <w:trPr>
          <w:trHeight w:val="370"/>
        </w:trPr>
        <w:tc>
          <w:tcPr>
            <w:tcW w:w="2718" w:type="dxa"/>
            <w:tcBorders>
              <w:top w:val="nil"/>
              <w:bottom w:val="nil"/>
            </w:tcBorders>
            <w:vAlign w:val="bottom"/>
          </w:tcPr>
          <w:p w:rsidR="00922C37" w:rsidRPr="0053729E" w:rsidRDefault="00922C37" w:rsidP="00E00B71">
            <w:pPr>
              <w:spacing w:line="288" w:lineRule="auto"/>
              <w:ind w:right="77"/>
              <w:rPr>
                <w:sz w:val="20"/>
                <w:szCs w:val="20"/>
              </w:rPr>
            </w:pPr>
            <w:r w:rsidRPr="0053729E">
              <w:rPr>
                <w:sz w:val="20"/>
                <w:szCs w:val="20"/>
              </w:rPr>
              <w:t>Intermediate goods import</w:t>
            </w:r>
          </w:p>
        </w:tc>
        <w:tc>
          <w:tcPr>
            <w:tcW w:w="1418" w:type="dxa"/>
            <w:tcBorders>
              <w:top w:val="nil"/>
              <w:bottom w:val="nil"/>
            </w:tcBorders>
            <w:vAlign w:val="center"/>
          </w:tcPr>
          <w:p w:rsidR="00922C37" w:rsidRPr="00261A05" w:rsidRDefault="00922C37" w:rsidP="00D70D69">
            <w:pPr>
              <w:ind w:right="42"/>
              <w:jc w:val="center"/>
            </w:pPr>
            <w:r>
              <w:t>-1.0</w:t>
            </w:r>
          </w:p>
        </w:tc>
        <w:tc>
          <w:tcPr>
            <w:tcW w:w="1417" w:type="dxa"/>
            <w:tcBorders>
              <w:top w:val="nil"/>
              <w:bottom w:val="nil"/>
            </w:tcBorders>
            <w:vAlign w:val="center"/>
          </w:tcPr>
          <w:p w:rsidR="00922C37" w:rsidRPr="00261A05" w:rsidRDefault="00922C37" w:rsidP="00D70D69">
            <w:pPr>
              <w:ind w:right="42"/>
              <w:jc w:val="center"/>
            </w:pPr>
            <w:r>
              <w:t>3.2</w:t>
            </w:r>
          </w:p>
        </w:tc>
        <w:tc>
          <w:tcPr>
            <w:tcW w:w="1276" w:type="dxa"/>
            <w:tcBorders>
              <w:top w:val="nil"/>
              <w:bottom w:val="nil"/>
            </w:tcBorders>
            <w:vAlign w:val="center"/>
          </w:tcPr>
          <w:p w:rsidR="00922C37" w:rsidRPr="00261A05" w:rsidRDefault="00922C37" w:rsidP="00D70D69">
            <w:pPr>
              <w:ind w:right="42"/>
              <w:jc w:val="center"/>
            </w:pPr>
            <w:r>
              <w:t>1.5</w:t>
            </w:r>
          </w:p>
        </w:tc>
        <w:tc>
          <w:tcPr>
            <w:tcW w:w="1361" w:type="dxa"/>
            <w:tcBorders>
              <w:top w:val="nil"/>
              <w:bottom w:val="nil"/>
              <w:right w:val="double" w:sz="4" w:space="0" w:color="auto"/>
            </w:tcBorders>
            <w:vAlign w:val="center"/>
          </w:tcPr>
          <w:p w:rsidR="00922C37" w:rsidRPr="00261A05" w:rsidRDefault="00922C37" w:rsidP="00D70D69">
            <w:pPr>
              <w:ind w:right="42"/>
              <w:jc w:val="center"/>
            </w:pPr>
            <w:r>
              <w:t>**</w:t>
            </w:r>
          </w:p>
        </w:tc>
        <w:tc>
          <w:tcPr>
            <w:tcW w:w="1035" w:type="dxa"/>
            <w:tcBorders>
              <w:top w:val="nil"/>
              <w:left w:val="double" w:sz="4" w:space="0" w:color="auto"/>
              <w:bottom w:val="nil"/>
            </w:tcBorders>
            <w:vAlign w:val="center"/>
          </w:tcPr>
          <w:p w:rsidR="00922C37" w:rsidRPr="00261A05" w:rsidRDefault="00922C37" w:rsidP="00D70D69">
            <w:pPr>
              <w:ind w:right="42"/>
              <w:jc w:val="center"/>
            </w:pPr>
            <w:r>
              <w:t>-4.2</w:t>
            </w:r>
          </w:p>
        </w:tc>
        <w:tc>
          <w:tcPr>
            <w:tcW w:w="1035" w:type="dxa"/>
            <w:tcBorders>
              <w:top w:val="nil"/>
              <w:bottom w:val="nil"/>
            </w:tcBorders>
            <w:vAlign w:val="center"/>
          </w:tcPr>
          <w:p w:rsidR="00922C37" w:rsidRPr="00261A05" w:rsidRDefault="00922C37" w:rsidP="00D70D69">
            <w:pPr>
              <w:ind w:right="42"/>
              <w:jc w:val="center"/>
            </w:pPr>
            <w:r>
              <w:t>1.8</w:t>
            </w:r>
          </w:p>
        </w:tc>
      </w:tr>
      <w:tr w:rsidR="00922C37" w:rsidRPr="0053729E" w:rsidTr="001048C8">
        <w:trPr>
          <w:trHeight w:val="370"/>
        </w:trPr>
        <w:tc>
          <w:tcPr>
            <w:tcW w:w="2718" w:type="dxa"/>
            <w:tcBorders>
              <w:top w:val="nil"/>
              <w:bottom w:val="nil"/>
            </w:tcBorders>
            <w:vAlign w:val="bottom"/>
          </w:tcPr>
          <w:p w:rsidR="00922C37" w:rsidRPr="0053729E" w:rsidRDefault="00922C37" w:rsidP="00E00B71">
            <w:pPr>
              <w:spacing w:line="288" w:lineRule="auto"/>
              <w:ind w:right="77"/>
              <w:rPr>
                <w:sz w:val="20"/>
                <w:szCs w:val="20"/>
              </w:rPr>
            </w:pPr>
            <w:r w:rsidRPr="0053729E">
              <w:rPr>
                <w:sz w:val="20"/>
                <w:szCs w:val="20"/>
              </w:rPr>
              <w:t>Consumer goods import</w:t>
            </w:r>
          </w:p>
        </w:tc>
        <w:tc>
          <w:tcPr>
            <w:tcW w:w="1418" w:type="dxa"/>
            <w:tcBorders>
              <w:top w:val="nil"/>
              <w:bottom w:val="nil"/>
            </w:tcBorders>
            <w:vAlign w:val="center"/>
          </w:tcPr>
          <w:p w:rsidR="00922C37" w:rsidRPr="00611D03" w:rsidRDefault="00922C37" w:rsidP="00D70D69">
            <w:pPr>
              <w:ind w:right="42"/>
              <w:jc w:val="center"/>
              <w:rPr>
                <w:bCs/>
              </w:rPr>
            </w:pPr>
            <w:r>
              <w:rPr>
                <w:bCs/>
              </w:rPr>
              <w:t>-4.8</w:t>
            </w:r>
          </w:p>
        </w:tc>
        <w:tc>
          <w:tcPr>
            <w:tcW w:w="1417" w:type="dxa"/>
            <w:tcBorders>
              <w:top w:val="nil"/>
              <w:bottom w:val="nil"/>
            </w:tcBorders>
            <w:vAlign w:val="center"/>
          </w:tcPr>
          <w:p w:rsidR="00922C37" w:rsidRPr="00611D03" w:rsidRDefault="00922C37" w:rsidP="00D70D69">
            <w:pPr>
              <w:ind w:right="42"/>
              <w:jc w:val="center"/>
              <w:rPr>
                <w:bCs/>
              </w:rPr>
            </w:pPr>
            <w:r>
              <w:rPr>
                <w:bCs/>
              </w:rPr>
              <w:t>5.1</w:t>
            </w:r>
          </w:p>
        </w:tc>
        <w:tc>
          <w:tcPr>
            <w:tcW w:w="1276" w:type="dxa"/>
            <w:tcBorders>
              <w:top w:val="nil"/>
              <w:bottom w:val="nil"/>
            </w:tcBorders>
            <w:vAlign w:val="center"/>
          </w:tcPr>
          <w:p w:rsidR="00922C37" w:rsidRPr="00611D03" w:rsidRDefault="00922C37" w:rsidP="00D70D69">
            <w:pPr>
              <w:ind w:right="42"/>
              <w:jc w:val="center"/>
              <w:rPr>
                <w:bCs/>
              </w:rPr>
            </w:pPr>
            <w:r>
              <w:rPr>
                <w:bCs/>
              </w:rPr>
              <w:t>1.0</w:t>
            </w:r>
          </w:p>
        </w:tc>
        <w:tc>
          <w:tcPr>
            <w:tcW w:w="1361" w:type="dxa"/>
            <w:tcBorders>
              <w:top w:val="nil"/>
              <w:bottom w:val="nil"/>
              <w:right w:val="double" w:sz="4" w:space="0" w:color="auto"/>
            </w:tcBorders>
            <w:vAlign w:val="center"/>
          </w:tcPr>
          <w:p w:rsidR="00922C37" w:rsidRPr="00611D03" w:rsidRDefault="00922C37" w:rsidP="00D70D69">
            <w:pPr>
              <w:ind w:right="42"/>
              <w:jc w:val="center"/>
            </w:pPr>
            <w:r>
              <w:t>**</w:t>
            </w:r>
          </w:p>
        </w:tc>
        <w:tc>
          <w:tcPr>
            <w:tcW w:w="1035" w:type="dxa"/>
            <w:tcBorders>
              <w:top w:val="nil"/>
              <w:left w:val="double" w:sz="4" w:space="0" w:color="auto"/>
              <w:bottom w:val="nil"/>
            </w:tcBorders>
            <w:vAlign w:val="center"/>
          </w:tcPr>
          <w:p w:rsidR="00922C37" w:rsidRPr="00261A05" w:rsidRDefault="00922C37" w:rsidP="00D70D69">
            <w:pPr>
              <w:ind w:right="42"/>
              <w:jc w:val="center"/>
            </w:pPr>
            <w:r>
              <w:t>-7.8</w:t>
            </w:r>
          </w:p>
        </w:tc>
        <w:tc>
          <w:tcPr>
            <w:tcW w:w="1035" w:type="dxa"/>
            <w:tcBorders>
              <w:top w:val="nil"/>
              <w:bottom w:val="nil"/>
            </w:tcBorders>
            <w:vAlign w:val="center"/>
          </w:tcPr>
          <w:p w:rsidR="00922C37" w:rsidRPr="00261A05" w:rsidRDefault="00922C37" w:rsidP="00D70D69">
            <w:pPr>
              <w:ind w:right="42"/>
              <w:jc w:val="center"/>
            </w:pPr>
            <w:r>
              <w:t>0.8</w:t>
            </w:r>
          </w:p>
        </w:tc>
      </w:tr>
      <w:tr w:rsidR="00922C37" w:rsidRPr="0053729E" w:rsidTr="001048C8">
        <w:trPr>
          <w:trHeight w:val="370"/>
        </w:trPr>
        <w:tc>
          <w:tcPr>
            <w:tcW w:w="2718" w:type="dxa"/>
            <w:tcBorders>
              <w:top w:val="nil"/>
            </w:tcBorders>
            <w:vAlign w:val="bottom"/>
          </w:tcPr>
          <w:p w:rsidR="00922C37" w:rsidRPr="0053729E" w:rsidRDefault="00922C37" w:rsidP="00E00B71">
            <w:pPr>
              <w:spacing w:line="288" w:lineRule="auto"/>
              <w:ind w:right="77"/>
              <w:rPr>
                <w:sz w:val="20"/>
                <w:szCs w:val="20"/>
              </w:rPr>
            </w:pPr>
            <w:r w:rsidRPr="0053729E">
              <w:rPr>
                <w:sz w:val="20"/>
                <w:szCs w:val="20"/>
              </w:rPr>
              <w:t>Investment goods import</w:t>
            </w:r>
          </w:p>
        </w:tc>
        <w:tc>
          <w:tcPr>
            <w:tcW w:w="1418" w:type="dxa"/>
            <w:tcBorders>
              <w:top w:val="nil"/>
            </w:tcBorders>
            <w:vAlign w:val="center"/>
          </w:tcPr>
          <w:p w:rsidR="00922C37" w:rsidRPr="00261A05" w:rsidRDefault="00922C37" w:rsidP="00D70D69">
            <w:pPr>
              <w:ind w:right="42"/>
              <w:jc w:val="center"/>
            </w:pPr>
            <w:r>
              <w:t>3.5</w:t>
            </w:r>
          </w:p>
        </w:tc>
        <w:tc>
          <w:tcPr>
            <w:tcW w:w="1417" w:type="dxa"/>
            <w:tcBorders>
              <w:top w:val="nil"/>
            </w:tcBorders>
            <w:vAlign w:val="center"/>
          </w:tcPr>
          <w:p w:rsidR="00922C37" w:rsidRPr="00261A05" w:rsidRDefault="00922C37" w:rsidP="00D70D69">
            <w:pPr>
              <w:ind w:right="42"/>
              <w:jc w:val="center"/>
            </w:pPr>
            <w:r>
              <w:t>5.8</w:t>
            </w:r>
          </w:p>
        </w:tc>
        <w:tc>
          <w:tcPr>
            <w:tcW w:w="1276" w:type="dxa"/>
            <w:tcBorders>
              <w:top w:val="nil"/>
            </w:tcBorders>
            <w:vAlign w:val="center"/>
          </w:tcPr>
          <w:p w:rsidR="00922C37" w:rsidRPr="00261A05" w:rsidRDefault="00922C37" w:rsidP="00D70D69">
            <w:pPr>
              <w:ind w:right="42"/>
              <w:jc w:val="center"/>
            </w:pPr>
            <w:r>
              <w:t>-6.1</w:t>
            </w:r>
          </w:p>
        </w:tc>
        <w:tc>
          <w:tcPr>
            <w:tcW w:w="1361" w:type="dxa"/>
            <w:tcBorders>
              <w:top w:val="nil"/>
              <w:right w:val="double" w:sz="4" w:space="0" w:color="auto"/>
            </w:tcBorders>
            <w:vAlign w:val="center"/>
          </w:tcPr>
          <w:p w:rsidR="00922C37" w:rsidRPr="00261A05" w:rsidRDefault="00922C37" w:rsidP="00D70D69">
            <w:pPr>
              <w:ind w:right="42"/>
              <w:jc w:val="center"/>
            </w:pPr>
            <w:r>
              <w:t>**</w:t>
            </w:r>
          </w:p>
        </w:tc>
        <w:tc>
          <w:tcPr>
            <w:tcW w:w="1035" w:type="dxa"/>
            <w:tcBorders>
              <w:top w:val="nil"/>
              <w:left w:val="double" w:sz="4" w:space="0" w:color="auto"/>
            </w:tcBorders>
            <w:vAlign w:val="center"/>
          </w:tcPr>
          <w:p w:rsidR="00922C37" w:rsidRPr="00261A05" w:rsidRDefault="00922C37" w:rsidP="00D70D69">
            <w:pPr>
              <w:ind w:right="42"/>
              <w:jc w:val="center"/>
            </w:pPr>
            <w:r>
              <w:t>3.7</w:t>
            </w:r>
          </w:p>
        </w:tc>
        <w:tc>
          <w:tcPr>
            <w:tcW w:w="1035" w:type="dxa"/>
            <w:tcBorders>
              <w:top w:val="nil"/>
            </w:tcBorders>
            <w:vAlign w:val="center"/>
          </w:tcPr>
          <w:p w:rsidR="00922C37" w:rsidRPr="00261A05" w:rsidRDefault="00922C37" w:rsidP="00D70D69">
            <w:pPr>
              <w:ind w:right="42"/>
              <w:jc w:val="center"/>
            </w:pPr>
            <w:r>
              <w:t>3.0</w:t>
            </w:r>
          </w:p>
        </w:tc>
      </w:tr>
      <w:tr w:rsidR="00922C37" w:rsidRPr="0053729E" w:rsidTr="001048C8">
        <w:trPr>
          <w:trHeight w:val="370"/>
        </w:trPr>
        <w:tc>
          <w:tcPr>
            <w:tcW w:w="2718" w:type="dxa"/>
            <w:vAlign w:val="bottom"/>
          </w:tcPr>
          <w:p w:rsidR="00922C37" w:rsidRPr="0053729E" w:rsidRDefault="00922C37" w:rsidP="00BD1FA0">
            <w:pPr>
              <w:spacing w:line="288" w:lineRule="auto"/>
              <w:ind w:right="77"/>
              <w:rPr>
                <w:b/>
                <w:sz w:val="20"/>
                <w:szCs w:val="20"/>
              </w:rPr>
            </w:pPr>
            <w:r w:rsidRPr="0053729E">
              <w:rPr>
                <w:b/>
                <w:sz w:val="20"/>
                <w:szCs w:val="20"/>
              </w:rPr>
              <w:t xml:space="preserve">Exports </w:t>
            </w:r>
            <w:r>
              <w:rPr>
                <w:b/>
                <w:sz w:val="20"/>
                <w:szCs w:val="20"/>
              </w:rPr>
              <w:t>excluding</w:t>
            </w:r>
            <w:r w:rsidRPr="0053729E">
              <w:rPr>
                <w:b/>
                <w:sz w:val="20"/>
                <w:szCs w:val="20"/>
              </w:rPr>
              <w:t xml:space="preserve"> gold***</w:t>
            </w:r>
          </w:p>
        </w:tc>
        <w:tc>
          <w:tcPr>
            <w:tcW w:w="1418" w:type="dxa"/>
            <w:vAlign w:val="center"/>
          </w:tcPr>
          <w:p w:rsidR="00922C37" w:rsidRPr="00261A05" w:rsidRDefault="00922C37" w:rsidP="00D70D69">
            <w:pPr>
              <w:ind w:right="42"/>
              <w:jc w:val="center"/>
              <w:rPr>
                <w:b/>
                <w:bCs/>
              </w:rPr>
            </w:pPr>
            <w:r>
              <w:rPr>
                <w:b/>
                <w:bCs/>
              </w:rPr>
              <w:t>0.4</w:t>
            </w:r>
          </w:p>
        </w:tc>
        <w:tc>
          <w:tcPr>
            <w:tcW w:w="1417" w:type="dxa"/>
            <w:vAlign w:val="center"/>
          </w:tcPr>
          <w:p w:rsidR="00922C37" w:rsidRPr="00261A05" w:rsidRDefault="00922C37" w:rsidP="00D70D69">
            <w:pPr>
              <w:ind w:right="42"/>
              <w:jc w:val="center"/>
              <w:rPr>
                <w:b/>
                <w:bCs/>
              </w:rPr>
            </w:pPr>
            <w:r>
              <w:rPr>
                <w:b/>
                <w:bCs/>
              </w:rPr>
              <w:t>2.5</w:t>
            </w:r>
          </w:p>
        </w:tc>
        <w:tc>
          <w:tcPr>
            <w:tcW w:w="1276" w:type="dxa"/>
            <w:vAlign w:val="center"/>
          </w:tcPr>
          <w:p w:rsidR="00922C37" w:rsidRPr="00261A05" w:rsidRDefault="00922C37" w:rsidP="00D70D69">
            <w:pPr>
              <w:ind w:right="42"/>
              <w:jc w:val="center"/>
              <w:rPr>
                <w:b/>
                <w:bCs/>
              </w:rPr>
            </w:pPr>
            <w:r>
              <w:rPr>
                <w:b/>
                <w:bCs/>
              </w:rPr>
              <w:t>0.0</w:t>
            </w:r>
          </w:p>
        </w:tc>
        <w:tc>
          <w:tcPr>
            <w:tcW w:w="1361" w:type="dxa"/>
            <w:tcBorders>
              <w:right w:val="double" w:sz="4" w:space="0" w:color="auto"/>
            </w:tcBorders>
            <w:vAlign w:val="center"/>
          </w:tcPr>
          <w:p w:rsidR="00922C37" w:rsidRPr="00261A05" w:rsidRDefault="00922C37" w:rsidP="00D70D69">
            <w:pPr>
              <w:ind w:right="42"/>
              <w:jc w:val="center"/>
            </w:pPr>
            <w:r>
              <w:t>**</w:t>
            </w:r>
          </w:p>
        </w:tc>
        <w:tc>
          <w:tcPr>
            <w:tcW w:w="1035" w:type="dxa"/>
            <w:tcBorders>
              <w:left w:val="double" w:sz="4" w:space="0" w:color="auto"/>
            </w:tcBorders>
            <w:vAlign w:val="center"/>
          </w:tcPr>
          <w:p w:rsidR="00922C37" w:rsidRPr="00261A05" w:rsidRDefault="00922C37" w:rsidP="00D70D69">
            <w:pPr>
              <w:ind w:right="42"/>
              <w:jc w:val="center"/>
              <w:rPr>
                <w:b/>
                <w:bCs/>
              </w:rPr>
            </w:pPr>
            <w:r>
              <w:rPr>
                <w:b/>
                <w:bCs/>
              </w:rPr>
              <w:t>2.3</w:t>
            </w:r>
          </w:p>
        </w:tc>
        <w:tc>
          <w:tcPr>
            <w:tcW w:w="1035" w:type="dxa"/>
            <w:vAlign w:val="center"/>
          </w:tcPr>
          <w:p w:rsidR="00922C37" w:rsidRPr="00261A05" w:rsidRDefault="00922C37" w:rsidP="00D70D69">
            <w:pPr>
              <w:ind w:right="42"/>
              <w:jc w:val="center"/>
              <w:rPr>
                <w:b/>
                <w:bCs/>
              </w:rPr>
            </w:pPr>
            <w:r>
              <w:rPr>
                <w:b/>
                <w:bCs/>
              </w:rPr>
              <w:t>2.4</w:t>
            </w:r>
          </w:p>
        </w:tc>
      </w:tr>
      <w:tr w:rsidR="00922C37" w:rsidRPr="0053729E" w:rsidTr="001048C8">
        <w:trPr>
          <w:trHeight w:val="370"/>
        </w:trPr>
        <w:tc>
          <w:tcPr>
            <w:tcW w:w="2718" w:type="dxa"/>
            <w:vAlign w:val="bottom"/>
          </w:tcPr>
          <w:p w:rsidR="00922C37" w:rsidRPr="0053729E" w:rsidRDefault="00922C37" w:rsidP="00BD1FA0">
            <w:pPr>
              <w:spacing w:line="288" w:lineRule="auto"/>
              <w:ind w:right="77"/>
              <w:rPr>
                <w:b/>
                <w:sz w:val="20"/>
                <w:szCs w:val="20"/>
              </w:rPr>
            </w:pPr>
            <w:r w:rsidRPr="0053729E">
              <w:rPr>
                <w:b/>
                <w:sz w:val="20"/>
                <w:szCs w:val="20"/>
              </w:rPr>
              <w:t xml:space="preserve">Imports </w:t>
            </w:r>
            <w:r>
              <w:rPr>
                <w:b/>
                <w:sz w:val="20"/>
                <w:szCs w:val="20"/>
              </w:rPr>
              <w:t>excluding</w:t>
            </w:r>
            <w:r w:rsidRPr="0053729E">
              <w:rPr>
                <w:b/>
                <w:sz w:val="20"/>
                <w:szCs w:val="20"/>
              </w:rPr>
              <w:t xml:space="preserve"> gold***</w:t>
            </w:r>
          </w:p>
        </w:tc>
        <w:tc>
          <w:tcPr>
            <w:tcW w:w="1418" w:type="dxa"/>
            <w:vAlign w:val="center"/>
          </w:tcPr>
          <w:p w:rsidR="00922C37" w:rsidRPr="00261A05" w:rsidRDefault="00922C37" w:rsidP="00D70D69">
            <w:pPr>
              <w:ind w:right="42"/>
              <w:jc w:val="center"/>
              <w:rPr>
                <w:b/>
                <w:bCs/>
              </w:rPr>
            </w:pPr>
            <w:r>
              <w:rPr>
                <w:b/>
                <w:bCs/>
              </w:rPr>
              <w:t>-2.4</w:t>
            </w:r>
          </w:p>
        </w:tc>
        <w:tc>
          <w:tcPr>
            <w:tcW w:w="1417" w:type="dxa"/>
            <w:vAlign w:val="center"/>
          </w:tcPr>
          <w:p w:rsidR="00922C37" w:rsidRPr="00261A05" w:rsidRDefault="00922C37" w:rsidP="00D70D69">
            <w:pPr>
              <w:ind w:right="42"/>
              <w:jc w:val="center"/>
              <w:rPr>
                <w:b/>
                <w:bCs/>
              </w:rPr>
            </w:pPr>
            <w:r>
              <w:rPr>
                <w:b/>
                <w:bCs/>
              </w:rPr>
              <w:t>8.1</w:t>
            </w:r>
          </w:p>
        </w:tc>
        <w:tc>
          <w:tcPr>
            <w:tcW w:w="1276" w:type="dxa"/>
            <w:vAlign w:val="center"/>
          </w:tcPr>
          <w:p w:rsidR="00922C37" w:rsidRPr="00261A05" w:rsidRDefault="00922C37" w:rsidP="00D70D69">
            <w:pPr>
              <w:ind w:right="42"/>
              <w:jc w:val="center"/>
              <w:rPr>
                <w:b/>
                <w:bCs/>
              </w:rPr>
            </w:pPr>
            <w:r>
              <w:rPr>
                <w:b/>
                <w:bCs/>
              </w:rPr>
              <w:t>-3.8</w:t>
            </w:r>
          </w:p>
        </w:tc>
        <w:tc>
          <w:tcPr>
            <w:tcW w:w="1361" w:type="dxa"/>
            <w:tcBorders>
              <w:right w:val="double" w:sz="4" w:space="0" w:color="auto"/>
            </w:tcBorders>
            <w:vAlign w:val="center"/>
          </w:tcPr>
          <w:p w:rsidR="00922C37" w:rsidRPr="00261A05" w:rsidRDefault="00922C37" w:rsidP="00D70D69">
            <w:pPr>
              <w:ind w:right="42"/>
              <w:jc w:val="center"/>
            </w:pPr>
            <w:r>
              <w:t>**</w:t>
            </w:r>
          </w:p>
        </w:tc>
        <w:tc>
          <w:tcPr>
            <w:tcW w:w="1035" w:type="dxa"/>
            <w:tcBorders>
              <w:left w:val="double" w:sz="4" w:space="0" w:color="auto"/>
            </w:tcBorders>
            <w:vAlign w:val="center"/>
          </w:tcPr>
          <w:p w:rsidR="00922C37" w:rsidRPr="00261A05" w:rsidRDefault="00922C37" w:rsidP="00D70D69">
            <w:pPr>
              <w:ind w:right="42"/>
              <w:jc w:val="center"/>
              <w:rPr>
                <w:b/>
                <w:bCs/>
              </w:rPr>
            </w:pPr>
            <w:r>
              <w:rPr>
                <w:b/>
                <w:bCs/>
              </w:rPr>
              <w:t>-1.9</w:t>
            </w:r>
          </w:p>
        </w:tc>
        <w:tc>
          <w:tcPr>
            <w:tcW w:w="1035" w:type="dxa"/>
            <w:vAlign w:val="center"/>
          </w:tcPr>
          <w:p w:rsidR="00922C37" w:rsidRPr="00261A05" w:rsidRDefault="00922C37" w:rsidP="00D70D69">
            <w:pPr>
              <w:ind w:right="42"/>
              <w:jc w:val="center"/>
              <w:rPr>
                <w:b/>
                <w:bCs/>
              </w:rPr>
            </w:pPr>
            <w:r>
              <w:rPr>
                <w:b/>
                <w:bCs/>
              </w:rPr>
              <w:t>2.4</w:t>
            </w:r>
          </w:p>
        </w:tc>
      </w:tr>
      <w:tr w:rsidR="00922C37" w:rsidRPr="0053729E" w:rsidTr="001048C8">
        <w:trPr>
          <w:trHeight w:val="370"/>
        </w:trPr>
        <w:tc>
          <w:tcPr>
            <w:tcW w:w="2718" w:type="dxa"/>
            <w:tcBorders>
              <w:bottom w:val="nil"/>
            </w:tcBorders>
            <w:vAlign w:val="bottom"/>
          </w:tcPr>
          <w:p w:rsidR="00922C37" w:rsidRPr="0053729E" w:rsidRDefault="00922C37" w:rsidP="008040FF">
            <w:pPr>
              <w:spacing w:line="288" w:lineRule="auto"/>
              <w:ind w:right="77"/>
              <w:rPr>
                <w:b/>
                <w:sz w:val="20"/>
                <w:szCs w:val="20"/>
              </w:rPr>
            </w:pPr>
            <w:r w:rsidRPr="0053729E">
              <w:rPr>
                <w:b/>
                <w:sz w:val="20"/>
                <w:szCs w:val="20"/>
              </w:rPr>
              <w:t xml:space="preserve">Industrial Production Index </w:t>
            </w:r>
          </w:p>
        </w:tc>
        <w:tc>
          <w:tcPr>
            <w:tcW w:w="1418" w:type="dxa"/>
            <w:tcBorders>
              <w:bottom w:val="nil"/>
            </w:tcBorders>
            <w:vAlign w:val="center"/>
          </w:tcPr>
          <w:p w:rsidR="00922C37" w:rsidRPr="00261A05" w:rsidRDefault="00922C37" w:rsidP="00D70D69">
            <w:pPr>
              <w:ind w:right="42"/>
              <w:jc w:val="center"/>
              <w:rPr>
                <w:b/>
                <w:bCs/>
              </w:rPr>
            </w:pPr>
            <w:r>
              <w:rPr>
                <w:b/>
                <w:bCs/>
              </w:rPr>
              <w:t>-0.3</w:t>
            </w:r>
          </w:p>
        </w:tc>
        <w:tc>
          <w:tcPr>
            <w:tcW w:w="1417" w:type="dxa"/>
            <w:tcBorders>
              <w:bottom w:val="nil"/>
            </w:tcBorders>
            <w:vAlign w:val="center"/>
          </w:tcPr>
          <w:p w:rsidR="00922C37" w:rsidRPr="00261A05" w:rsidRDefault="00922C37" w:rsidP="00D70D69">
            <w:pPr>
              <w:ind w:right="42"/>
              <w:jc w:val="center"/>
              <w:rPr>
                <w:b/>
                <w:bCs/>
              </w:rPr>
            </w:pPr>
            <w:r>
              <w:rPr>
                <w:b/>
                <w:bCs/>
              </w:rPr>
              <w:t>0.9</w:t>
            </w:r>
          </w:p>
        </w:tc>
        <w:tc>
          <w:tcPr>
            <w:tcW w:w="1276" w:type="dxa"/>
            <w:tcBorders>
              <w:bottom w:val="nil"/>
            </w:tcBorders>
            <w:vAlign w:val="center"/>
          </w:tcPr>
          <w:p w:rsidR="00922C37" w:rsidRPr="00261A05" w:rsidRDefault="00922C37" w:rsidP="00D70D69">
            <w:pPr>
              <w:ind w:right="42"/>
              <w:jc w:val="center"/>
              <w:rPr>
                <w:b/>
                <w:bCs/>
              </w:rPr>
            </w:pPr>
            <w:r>
              <w:rPr>
                <w:b/>
                <w:bCs/>
              </w:rPr>
              <w:t>-1.0</w:t>
            </w:r>
          </w:p>
        </w:tc>
        <w:tc>
          <w:tcPr>
            <w:tcW w:w="1361" w:type="dxa"/>
            <w:tcBorders>
              <w:bottom w:val="nil"/>
              <w:right w:val="double" w:sz="4" w:space="0" w:color="auto"/>
            </w:tcBorders>
            <w:vAlign w:val="center"/>
          </w:tcPr>
          <w:p w:rsidR="00922C37" w:rsidRPr="00261A05" w:rsidRDefault="00922C37" w:rsidP="00D70D69">
            <w:pPr>
              <w:ind w:right="42"/>
              <w:jc w:val="center"/>
            </w:pPr>
            <w:r>
              <w:t>**</w:t>
            </w:r>
          </w:p>
        </w:tc>
        <w:tc>
          <w:tcPr>
            <w:tcW w:w="1035" w:type="dxa"/>
            <w:tcBorders>
              <w:left w:val="double" w:sz="4" w:space="0" w:color="auto"/>
              <w:bottom w:val="nil"/>
            </w:tcBorders>
            <w:vAlign w:val="center"/>
          </w:tcPr>
          <w:p w:rsidR="00922C37" w:rsidRPr="00261A05" w:rsidRDefault="00922C37" w:rsidP="00D70D69">
            <w:pPr>
              <w:ind w:right="42"/>
              <w:jc w:val="center"/>
              <w:rPr>
                <w:b/>
                <w:bCs/>
              </w:rPr>
            </w:pPr>
            <w:r>
              <w:rPr>
                <w:b/>
                <w:bCs/>
              </w:rPr>
              <w:t>1.4</w:t>
            </w:r>
          </w:p>
        </w:tc>
        <w:tc>
          <w:tcPr>
            <w:tcW w:w="1035" w:type="dxa"/>
            <w:tcBorders>
              <w:bottom w:val="nil"/>
            </w:tcBorders>
            <w:vAlign w:val="center"/>
          </w:tcPr>
          <w:p w:rsidR="00922C37" w:rsidRPr="00261A05" w:rsidRDefault="00922C37" w:rsidP="00D70D69">
            <w:pPr>
              <w:ind w:right="42"/>
              <w:jc w:val="center"/>
              <w:rPr>
                <w:b/>
                <w:bCs/>
              </w:rPr>
            </w:pPr>
            <w:r>
              <w:rPr>
                <w:b/>
                <w:bCs/>
              </w:rPr>
              <w:t>0.1</w:t>
            </w:r>
          </w:p>
        </w:tc>
      </w:tr>
      <w:tr w:rsidR="00922C37" w:rsidRPr="0053729E" w:rsidTr="001048C8">
        <w:trPr>
          <w:trHeight w:val="370"/>
        </w:trPr>
        <w:tc>
          <w:tcPr>
            <w:tcW w:w="2718" w:type="dxa"/>
            <w:tcBorders>
              <w:top w:val="nil"/>
              <w:bottom w:val="nil"/>
            </w:tcBorders>
            <w:vAlign w:val="bottom"/>
          </w:tcPr>
          <w:p w:rsidR="00922C37" w:rsidRPr="0053729E" w:rsidRDefault="00922C37" w:rsidP="00E00B71">
            <w:pPr>
              <w:spacing w:line="288" w:lineRule="auto"/>
              <w:ind w:right="77"/>
              <w:rPr>
                <w:sz w:val="20"/>
                <w:szCs w:val="20"/>
              </w:rPr>
            </w:pPr>
            <w:r w:rsidRPr="0053729E">
              <w:rPr>
                <w:sz w:val="20"/>
                <w:szCs w:val="20"/>
              </w:rPr>
              <w:t>Nondurable consumer goods</w:t>
            </w:r>
          </w:p>
        </w:tc>
        <w:tc>
          <w:tcPr>
            <w:tcW w:w="1418" w:type="dxa"/>
            <w:tcBorders>
              <w:top w:val="nil"/>
              <w:bottom w:val="nil"/>
            </w:tcBorders>
            <w:vAlign w:val="center"/>
          </w:tcPr>
          <w:p w:rsidR="00922C37" w:rsidRPr="00261A05" w:rsidRDefault="00922C37" w:rsidP="00D70D69">
            <w:pPr>
              <w:ind w:right="42"/>
              <w:jc w:val="center"/>
            </w:pPr>
            <w:r>
              <w:t>1.2</w:t>
            </w:r>
          </w:p>
        </w:tc>
        <w:tc>
          <w:tcPr>
            <w:tcW w:w="1417" w:type="dxa"/>
            <w:tcBorders>
              <w:top w:val="nil"/>
              <w:bottom w:val="nil"/>
            </w:tcBorders>
            <w:vAlign w:val="center"/>
          </w:tcPr>
          <w:p w:rsidR="00922C37" w:rsidRPr="00261A05" w:rsidRDefault="00922C37" w:rsidP="00D70D69">
            <w:pPr>
              <w:ind w:right="42"/>
              <w:jc w:val="center"/>
            </w:pPr>
            <w:r>
              <w:t>0.1</w:t>
            </w:r>
          </w:p>
        </w:tc>
        <w:tc>
          <w:tcPr>
            <w:tcW w:w="1276" w:type="dxa"/>
            <w:tcBorders>
              <w:top w:val="nil"/>
              <w:bottom w:val="nil"/>
            </w:tcBorders>
            <w:vAlign w:val="center"/>
          </w:tcPr>
          <w:p w:rsidR="00922C37" w:rsidRPr="00261A05" w:rsidRDefault="00922C37" w:rsidP="00D70D69">
            <w:pPr>
              <w:ind w:right="42"/>
              <w:jc w:val="center"/>
            </w:pPr>
            <w:r>
              <w:t>0.6</w:t>
            </w:r>
          </w:p>
        </w:tc>
        <w:tc>
          <w:tcPr>
            <w:tcW w:w="1361" w:type="dxa"/>
            <w:tcBorders>
              <w:top w:val="nil"/>
              <w:bottom w:val="nil"/>
              <w:right w:val="double" w:sz="4" w:space="0" w:color="auto"/>
            </w:tcBorders>
            <w:vAlign w:val="center"/>
          </w:tcPr>
          <w:p w:rsidR="00922C37" w:rsidRPr="00261A05" w:rsidRDefault="00922C37" w:rsidP="00D70D69">
            <w:pPr>
              <w:ind w:right="42"/>
              <w:jc w:val="center"/>
            </w:pPr>
            <w:r>
              <w:t>**</w:t>
            </w:r>
          </w:p>
        </w:tc>
        <w:tc>
          <w:tcPr>
            <w:tcW w:w="1035" w:type="dxa"/>
            <w:tcBorders>
              <w:top w:val="nil"/>
              <w:left w:val="double" w:sz="4" w:space="0" w:color="auto"/>
              <w:bottom w:val="nil"/>
            </w:tcBorders>
            <w:vAlign w:val="center"/>
          </w:tcPr>
          <w:p w:rsidR="00922C37" w:rsidRPr="00261A05" w:rsidRDefault="00922C37" w:rsidP="00D70D69">
            <w:pPr>
              <w:ind w:right="42"/>
              <w:jc w:val="center"/>
            </w:pPr>
            <w:r>
              <w:t>2.4</w:t>
            </w:r>
          </w:p>
        </w:tc>
        <w:tc>
          <w:tcPr>
            <w:tcW w:w="1035" w:type="dxa"/>
            <w:tcBorders>
              <w:top w:val="nil"/>
              <w:bottom w:val="nil"/>
            </w:tcBorders>
            <w:vAlign w:val="center"/>
          </w:tcPr>
          <w:p w:rsidR="00922C37" w:rsidRPr="00261A05" w:rsidRDefault="00922C37" w:rsidP="00D70D69">
            <w:pPr>
              <w:ind w:right="42"/>
              <w:jc w:val="center"/>
            </w:pPr>
            <w:r>
              <w:t>0.4</w:t>
            </w:r>
          </w:p>
        </w:tc>
      </w:tr>
      <w:tr w:rsidR="00922C37" w:rsidRPr="0053729E" w:rsidTr="001048C8">
        <w:trPr>
          <w:trHeight w:val="370"/>
        </w:trPr>
        <w:tc>
          <w:tcPr>
            <w:tcW w:w="2718" w:type="dxa"/>
            <w:tcBorders>
              <w:top w:val="nil"/>
              <w:bottom w:val="nil"/>
            </w:tcBorders>
            <w:vAlign w:val="bottom"/>
          </w:tcPr>
          <w:p w:rsidR="00922C37" w:rsidRPr="0053729E" w:rsidRDefault="00922C37" w:rsidP="00E00B71">
            <w:pPr>
              <w:spacing w:line="288" w:lineRule="auto"/>
              <w:ind w:right="77"/>
              <w:rPr>
                <w:sz w:val="20"/>
                <w:szCs w:val="20"/>
              </w:rPr>
            </w:pPr>
            <w:r w:rsidRPr="0053729E">
              <w:rPr>
                <w:sz w:val="20"/>
                <w:szCs w:val="20"/>
              </w:rPr>
              <w:t>Durable consumer goods</w:t>
            </w:r>
          </w:p>
        </w:tc>
        <w:tc>
          <w:tcPr>
            <w:tcW w:w="1418" w:type="dxa"/>
            <w:tcBorders>
              <w:top w:val="nil"/>
              <w:bottom w:val="nil"/>
            </w:tcBorders>
            <w:vAlign w:val="center"/>
          </w:tcPr>
          <w:p w:rsidR="00922C37" w:rsidRPr="00261A05" w:rsidRDefault="00922C37" w:rsidP="00D70D69">
            <w:pPr>
              <w:ind w:right="42"/>
              <w:jc w:val="center"/>
            </w:pPr>
            <w:r>
              <w:t>2.0</w:t>
            </w:r>
          </w:p>
        </w:tc>
        <w:tc>
          <w:tcPr>
            <w:tcW w:w="1417" w:type="dxa"/>
            <w:tcBorders>
              <w:top w:val="nil"/>
              <w:bottom w:val="nil"/>
            </w:tcBorders>
            <w:vAlign w:val="center"/>
          </w:tcPr>
          <w:p w:rsidR="00922C37" w:rsidRPr="00261A05" w:rsidRDefault="00922C37" w:rsidP="00D70D69">
            <w:pPr>
              <w:ind w:right="42"/>
              <w:jc w:val="center"/>
            </w:pPr>
            <w:r>
              <w:t>-0.3</w:t>
            </w:r>
          </w:p>
        </w:tc>
        <w:tc>
          <w:tcPr>
            <w:tcW w:w="1276" w:type="dxa"/>
            <w:tcBorders>
              <w:top w:val="nil"/>
              <w:bottom w:val="nil"/>
            </w:tcBorders>
            <w:vAlign w:val="center"/>
          </w:tcPr>
          <w:p w:rsidR="00922C37" w:rsidRPr="00261A05" w:rsidRDefault="00922C37" w:rsidP="00D70D69">
            <w:pPr>
              <w:ind w:right="42"/>
              <w:jc w:val="center"/>
            </w:pPr>
            <w:r>
              <w:t>-0.4</w:t>
            </w:r>
          </w:p>
        </w:tc>
        <w:tc>
          <w:tcPr>
            <w:tcW w:w="1361" w:type="dxa"/>
            <w:tcBorders>
              <w:top w:val="nil"/>
              <w:bottom w:val="nil"/>
              <w:right w:val="double" w:sz="4" w:space="0" w:color="auto"/>
            </w:tcBorders>
            <w:vAlign w:val="center"/>
          </w:tcPr>
          <w:p w:rsidR="00922C37" w:rsidRPr="00261A05" w:rsidRDefault="00922C37" w:rsidP="00D70D69">
            <w:pPr>
              <w:ind w:right="42"/>
              <w:jc w:val="center"/>
            </w:pPr>
            <w:r>
              <w:t>**</w:t>
            </w:r>
          </w:p>
        </w:tc>
        <w:tc>
          <w:tcPr>
            <w:tcW w:w="1035" w:type="dxa"/>
            <w:tcBorders>
              <w:top w:val="nil"/>
              <w:left w:val="double" w:sz="4" w:space="0" w:color="auto"/>
              <w:bottom w:val="nil"/>
            </w:tcBorders>
            <w:vAlign w:val="center"/>
          </w:tcPr>
          <w:p w:rsidR="00922C37" w:rsidRPr="00261A05" w:rsidRDefault="00922C37" w:rsidP="00D70D69">
            <w:pPr>
              <w:ind w:right="42"/>
              <w:jc w:val="center"/>
            </w:pPr>
            <w:r>
              <w:t>-0.4</w:t>
            </w:r>
          </w:p>
        </w:tc>
        <w:tc>
          <w:tcPr>
            <w:tcW w:w="1035" w:type="dxa"/>
            <w:tcBorders>
              <w:top w:val="nil"/>
              <w:bottom w:val="nil"/>
            </w:tcBorders>
            <w:vAlign w:val="center"/>
          </w:tcPr>
          <w:p w:rsidR="00922C37" w:rsidRPr="00261A05" w:rsidRDefault="00922C37" w:rsidP="00D70D69">
            <w:pPr>
              <w:ind w:right="42"/>
              <w:jc w:val="center"/>
            </w:pPr>
            <w:r>
              <w:t>1.8</w:t>
            </w:r>
          </w:p>
        </w:tc>
      </w:tr>
      <w:tr w:rsidR="00922C37" w:rsidRPr="0053729E" w:rsidTr="001048C8">
        <w:trPr>
          <w:trHeight w:val="370"/>
        </w:trPr>
        <w:tc>
          <w:tcPr>
            <w:tcW w:w="2718" w:type="dxa"/>
            <w:tcBorders>
              <w:top w:val="nil"/>
              <w:bottom w:val="nil"/>
            </w:tcBorders>
            <w:vAlign w:val="bottom"/>
          </w:tcPr>
          <w:p w:rsidR="00922C37" w:rsidRPr="0053729E" w:rsidRDefault="00922C37" w:rsidP="00E00B71">
            <w:pPr>
              <w:spacing w:line="288" w:lineRule="auto"/>
              <w:ind w:right="77"/>
              <w:rPr>
                <w:sz w:val="20"/>
                <w:szCs w:val="20"/>
              </w:rPr>
            </w:pPr>
            <w:r w:rsidRPr="0053729E">
              <w:rPr>
                <w:sz w:val="20"/>
                <w:szCs w:val="20"/>
              </w:rPr>
              <w:t>Intermediate goods</w:t>
            </w:r>
          </w:p>
        </w:tc>
        <w:tc>
          <w:tcPr>
            <w:tcW w:w="1418" w:type="dxa"/>
            <w:tcBorders>
              <w:top w:val="nil"/>
              <w:bottom w:val="nil"/>
            </w:tcBorders>
            <w:vAlign w:val="center"/>
          </w:tcPr>
          <w:p w:rsidR="00922C37" w:rsidRPr="00261A05" w:rsidRDefault="00922C37" w:rsidP="00D70D69">
            <w:pPr>
              <w:ind w:right="42"/>
              <w:jc w:val="center"/>
            </w:pPr>
            <w:r>
              <w:t>-0.4</w:t>
            </w:r>
          </w:p>
        </w:tc>
        <w:tc>
          <w:tcPr>
            <w:tcW w:w="1417" w:type="dxa"/>
            <w:tcBorders>
              <w:top w:val="nil"/>
              <w:bottom w:val="nil"/>
            </w:tcBorders>
            <w:vAlign w:val="center"/>
          </w:tcPr>
          <w:p w:rsidR="00922C37" w:rsidRPr="00261A05" w:rsidRDefault="00922C37" w:rsidP="00D70D69">
            <w:pPr>
              <w:ind w:right="42"/>
              <w:jc w:val="center"/>
            </w:pPr>
            <w:r>
              <w:t>0.7</w:t>
            </w:r>
          </w:p>
        </w:tc>
        <w:tc>
          <w:tcPr>
            <w:tcW w:w="1276" w:type="dxa"/>
            <w:tcBorders>
              <w:top w:val="nil"/>
              <w:bottom w:val="nil"/>
            </w:tcBorders>
            <w:vAlign w:val="center"/>
          </w:tcPr>
          <w:p w:rsidR="00922C37" w:rsidRPr="00261A05" w:rsidRDefault="00922C37" w:rsidP="00D70D69">
            <w:pPr>
              <w:ind w:right="42"/>
              <w:jc w:val="center"/>
            </w:pPr>
            <w:r>
              <w:t>0.1</w:t>
            </w:r>
          </w:p>
        </w:tc>
        <w:tc>
          <w:tcPr>
            <w:tcW w:w="1361" w:type="dxa"/>
            <w:tcBorders>
              <w:top w:val="nil"/>
              <w:bottom w:val="nil"/>
              <w:right w:val="double" w:sz="4" w:space="0" w:color="auto"/>
            </w:tcBorders>
            <w:vAlign w:val="center"/>
          </w:tcPr>
          <w:p w:rsidR="00922C37" w:rsidRPr="00261A05" w:rsidRDefault="00922C37" w:rsidP="00D70D69">
            <w:pPr>
              <w:ind w:right="42"/>
              <w:jc w:val="center"/>
            </w:pPr>
            <w:r>
              <w:t>**</w:t>
            </w:r>
          </w:p>
        </w:tc>
        <w:tc>
          <w:tcPr>
            <w:tcW w:w="1035" w:type="dxa"/>
            <w:tcBorders>
              <w:top w:val="nil"/>
              <w:left w:val="double" w:sz="4" w:space="0" w:color="auto"/>
              <w:bottom w:val="nil"/>
            </w:tcBorders>
            <w:vAlign w:val="center"/>
          </w:tcPr>
          <w:p w:rsidR="00922C37" w:rsidRPr="00261A05" w:rsidRDefault="00922C37" w:rsidP="00D70D69">
            <w:pPr>
              <w:ind w:right="42"/>
              <w:jc w:val="center"/>
            </w:pPr>
            <w:r>
              <w:t>2.4</w:t>
            </w:r>
          </w:p>
        </w:tc>
        <w:tc>
          <w:tcPr>
            <w:tcW w:w="1035" w:type="dxa"/>
            <w:tcBorders>
              <w:top w:val="nil"/>
              <w:bottom w:val="nil"/>
            </w:tcBorders>
            <w:vAlign w:val="center"/>
          </w:tcPr>
          <w:p w:rsidR="00922C37" w:rsidRPr="00261A05" w:rsidRDefault="00922C37" w:rsidP="00D70D69">
            <w:pPr>
              <w:ind w:right="42"/>
              <w:jc w:val="center"/>
            </w:pPr>
            <w:r>
              <w:t>0.2</w:t>
            </w:r>
          </w:p>
        </w:tc>
      </w:tr>
      <w:tr w:rsidR="00922C37" w:rsidRPr="0053729E" w:rsidTr="001048C8">
        <w:trPr>
          <w:trHeight w:val="370"/>
        </w:trPr>
        <w:tc>
          <w:tcPr>
            <w:tcW w:w="2718" w:type="dxa"/>
            <w:tcBorders>
              <w:top w:val="nil"/>
            </w:tcBorders>
            <w:vAlign w:val="bottom"/>
          </w:tcPr>
          <w:p w:rsidR="00922C37" w:rsidRPr="0053729E" w:rsidRDefault="00922C37" w:rsidP="00E00B71">
            <w:pPr>
              <w:spacing w:line="288" w:lineRule="auto"/>
              <w:ind w:right="77"/>
              <w:rPr>
                <w:sz w:val="20"/>
                <w:szCs w:val="20"/>
              </w:rPr>
            </w:pPr>
            <w:r w:rsidRPr="0053729E">
              <w:rPr>
                <w:sz w:val="20"/>
                <w:szCs w:val="20"/>
              </w:rPr>
              <w:t>Investment goods</w:t>
            </w:r>
          </w:p>
        </w:tc>
        <w:tc>
          <w:tcPr>
            <w:tcW w:w="1418" w:type="dxa"/>
            <w:tcBorders>
              <w:top w:val="nil"/>
            </w:tcBorders>
            <w:vAlign w:val="center"/>
          </w:tcPr>
          <w:p w:rsidR="00922C37" w:rsidRPr="00261A05" w:rsidRDefault="00922C37" w:rsidP="00D70D69">
            <w:pPr>
              <w:ind w:right="42"/>
              <w:jc w:val="center"/>
            </w:pPr>
            <w:r>
              <w:t>-3.6</w:t>
            </w:r>
          </w:p>
        </w:tc>
        <w:tc>
          <w:tcPr>
            <w:tcW w:w="1417" w:type="dxa"/>
            <w:tcBorders>
              <w:top w:val="nil"/>
            </w:tcBorders>
            <w:vAlign w:val="center"/>
          </w:tcPr>
          <w:p w:rsidR="00922C37" w:rsidRPr="00261A05" w:rsidRDefault="00922C37" w:rsidP="00D70D69">
            <w:pPr>
              <w:ind w:right="42"/>
              <w:jc w:val="center"/>
            </w:pPr>
            <w:r>
              <w:t>2.0</w:t>
            </w:r>
          </w:p>
        </w:tc>
        <w:tc>
          <w:tcPr>
            <w:tcW w:w="1276" w:type="dxa"/>
            <w:tcBorders>
              <w:top w:val="nil"/>
            </w:tcBorders>
            <w:vAlign w:val="center"/>
          </w:tcPr>
          <w:p w:rsidR="00922C37" w:rsidRPr="00261A05" w:rsidRDefault="00922C37" w:rsidP="00D70D69">
            <w:pPr>
              <w:ind w:right="42"/>
              <w:jc w:val="center"/>
            </w:pPr>
            <w:r>
              <w:t>-5.7</w:t>
            </w:r>
          </w:p>
        </w:tc>
        <w:tc>
          <w:tcPr>
            <w:tcW w:w="1361" w:type="dxa"/>
            <w:tcBorders>
              <w:top w:val="nil"/>
              <w:right w:val="double" w:sz="4" w:space="0" w:color="auto"/>
            </w:tcBorders>
            <w:vAlign w:val="center"/>
          </w:tcPr>
          <w:p w:rsidR="00922C37" w:rsidRPr="00261A05" w:rsidRDefault="00922C37" w:rsidP="00D70D69">
            <w:pPr>
              <w:ind w:right="42"/>
              <w:jc w:val="center"/>
            </w:pPr>
            <w:r>
              <w:t>**</w:t>
            </w:r>
          </w:p>
        </w:tc>
        <w:tc>
          <w:tcPr>
            <w:tcW w:w="1035" w:type="dxa"/>
            <w:tcBorders>
              <w:top w:val="nil"/>
              <w:left w:val="double" w:sz="4" w:space="0" w:color="auto"/>
            </w:tcBorders>
            <w:vAlign w:val="center"/>
          </w:tcPr>
          <w:p w:rsidR="00922C37" w:rsidRPr="00261A05" w:rsidRDefault="00922C37" w:rsidP="00D70D69">
            <w:pPr>
              <w:ind w:right="42"/>
              <w:jc w:val="center"/>
            </w:pPr>
            <w:r>
              <w:t>-2.0</w:t>
            </w:r>
          </w:p>
        </w:tc>
        <w:tc>
          <w:tcPr>
            <w:tcW w:w="1035" w:type="dxa"/>
            <w:tcBorders>
              <w:top w:val="nil"/>
            </w:tcBorders>
            <w:vAlign w:val="center"/>
          </w:tcPr>
          <w:p w:rsidR="00922C37" w:rsidRPr="00261A05" w:rsidRDefault="00922C37" w:rsidP="00D70D69">
            <w:pPr>
              <w:ind w:right="42"/>
              <w:jc w:val="center"/>
            </w:pPr>
            <w:r>
              <w:t>-2.7</w:t>
            </w:r>
          </w:p>
        </w:tc>
      </w:tr>
      <w:tr w:rsidR="00922C37" w:rsidRPr="0053729E" w:rsidTr="001048C8">
        <w:trPr>
          <w:trHeight w:val="370"/>
        </w:trPr>
        <w:tc>
          <w:tcPr>
            <w:tcW w:w="2718" w:type="dxa"/>
            <w:tcBorders>
              <w:bottom w:val="nil"/>
            </w:tcBorders>
            <w:vAlign w:val="bottom"/>
          </w:tcPr>
          <w:p w:rsidR="00922C37" w:rsidRPr="0053729E" w:rsidRDefault="00922C37" w:rsidP="008040FF">
            <w:pPr>
              <w:spacing w:line="288" w:lineRule="auto"/>
              <w:ind w:right="77"/>
              <w:rPr>
                <w:b/>
                <w:sz w:val="20"/>
                <w:szCs w:val="20"/>
              </w:rPr>
            </w:pPr>
            <w:r w:rsidRPr="0053729E">
              <w:rPr>
                <w:b/>
                <w:sz w:val="20"/>
                <w:szCs w:val="20"/>
              </w:rPr>
              <w:t xml:space="preserve">Capacity Utilization Rate </w:t>
            </w:r>
          </w:p>
        </w:tc>
        <w:tc>
          <w:tcPr>
            <w:tcW w:w="1418" w:type="dxa"/>
            <w:tcBorders>
              <w:bottom w:val="nil"/>
            </w:tcBorders>
            <w:vAlign w:val="center"/>
          </w:tcPr>
          <w:p w:rsidR="00922C37" w:rsidRPr="00261A05" w:rsidRDefault="00922C37" w:rsidP="00D70D69">
            <w:pPr>
              <w:ind w:right="42"/>
              <w:jc w:val="center"/>
              <w:rPr>
                <w:b/>
                <w:bCs/>
              </w:rPr>
            </w:pPr>
            <w:r>
              <w:rPr>
                <w:b/>
                <w:bCs/>
              </w:rPr>
              <w:t>-0.2</w:t>
            </w:r>
          </w:p>
        </w:tc>
        <w:tc>
          <w:tcPr>
            <w:tcW w:w="1417" w:type="dxa"/>
            <w:tcBorders>
              <w:bottom w:val="nil"/>
            </w:tcBorders>
            <w:vAlign w:val="center"/>
          </w:tcPr>
          <w:p w:rsidR="00922C37" w:rsidRPr="00261A05" w:rsidRDefault="00922C37" w:rsidP="00D70D69">
            <w:pPr>
              <w:ind w:right="42"/>
              <w:jc w:val="center"/>
              <w:rPr>
                <w:b/>
                <w:bCs/>
              </w:rPr>
            </w:pPr>
            <w:r>
              <w:rPr>
                <w:b/>
                <w:bCs/>
              </w:rPr>
              <w:t>0.3</w:t>
            </w:r>
          </w:p>
        </w:tc>
        <w:tc>
          <w:tcPr>
            <w:tcW w:w="1276" w:type="dxa"/>
            <w:tcBorders>
              <w:bottom w:val="nil"/>
            </w:tcBorders>
            <w:vAlign w:val="center"/>
          </w:tcPr>
          <w:p w:rsidR="00922C37" w:rsidRPr="00261A05" w:rsidRDefault="00922C37" w:rsidP="00D70D69">
            <w:pPr>
              <w:ind w:right="42"/>
              <w:jc w:val="center"/>
              <w:rPr>
                <w:b/>
                <w:bCs/>
              </w:rPr>
            </w:pPr>
            <w:r>
              <w:rPr>
                <w:b/>
                <w:bCs/>
              </w:rPr>
              <w:t>-0.6</w:t>
            </w:r>
          </w:p>
        </w:tc>
        <w:tc>
          <w:tcPr>
            <w:tcW w:w="1361" w:type="dxa"/>
            <w:tcBorders>
              <w:bottom w:val="nil"/>
              <w:right w:val="double" w:sz="4" w:space="0" w:color="auto"/>
            </w:tcBorders>
            <w:vAlign w:val="center"/>
          </w:tcPr>
          <w:p w:rsidR="00922C37" w:rsidRPr="00261A05" w:rsidRDefault="00922C37" w:rsidP="00D70D69">
            <w:pPr>
              <w:ind w:right="42"/>
              <w:jc w:val="center"/>
              <w:rPr>
                <w:b/>
                <w:bCs/>
              </w:rPr>
            </w:pPr>
            <w:r>
              <w:rPr>
                <w:b/>
                <w:bCs/>
              </w:rPr>
              <w:t>0.5</w:t>
            </w:r>
          </w:p>
        </w:tc>
        <w:tc>
          <w:tcPr>
            <w:tcW w:w="1035" w:type="dxa"/>
            <w:tcBorders>
              <w:left w:val="double" w:sz="4" w:space="0" w:color="auto"/>
              <w:bottom w:val="nil"/>
            </w:tcBorders>
            <w:vAlign w:val="center"/>
          </w:tcPr>
          <w:p w:rsidR="00922C37" w:rsidRPr="00261A05" w:rsidRDefault="00922C37" w:rsidP="00D70D69">
            <w:pPr>
              <w:ind w:right="42"/>
              <w:jc w:val="center"/>
              <w:rPr>
                <w:b/>
                <w:bCs/>
              </w:rPr>
            </w:pPr>
            <w:r>
              <w:rPr>
                <w:b/>
                <w:bCs/>
              </w:rPr>
              <w:t>-0.6</w:t>
            </w:r>
          </w:p>
        </w:tc>
        <w:tc>
          <w:tcPr>
            <w:tcW w:w="1035" w:type="dxa"/>
            <w:tcBorders>
              <w:bottom w:val="nil"/>
            </w:tcBorders>
            <w:vAlign w:val="center"/>
          </w:tcPr>
          <w:p w:rsidR="00922C37" w:rsidRPr="00261A05" w:rsidRDefault="00922C37" w:rsidP="00D70D69">
            <w:pPr>
              <w:ind w:right="42"/>
              <w:jc w:val="center"/>
              <w:rPr>
                <w:b/>
                <w:bCs/>
              </w:rPr>
            </w:pPr>
            <w:r>
              <w:rPr>
                <w:b/>
                <w:bCs/>
              </w:rPr>
              <w:t>-0.1</w:t>
            </w:r>
          </w:p>
        </w:tc>
      </w:tr>
      <w:tr w:rsidR="00922C37" w:rsidRPr="0053729E" w:rsidTr="001048C8">
        <w:trPr>
          <w:trHeight w:val="370"/>
        </w:trPr>
        <w:tc>
          <w:tcPr>
            <w:tcW w:w="2718" w:type="dxa"/>
            <w:tcBorders>
              <w:top w:val="nil"/>
              <w:bottom w:val="nil"/>
            </w:tcBorders>
            <w:vAlign w:val="bottom"/>
          </w:tcPr>
          <w:p w:rsidR="00922C37" w:rsidRPr="0053729E" w:rsidRDefault="00922C37" w:rsidP="00E00B71">
            <w:pPr>
              <w:spacing w:line="288" w:lineRule="auto"/>
              <w:ind w:right="77"/>
              <w:rPr>
                <w:sz w:val="20"/>
                <w:szCs w:val="20"/>
              </w:rPr>
            </w:pPr>
            <w:r w:rsidRPr="0053729E">
              <w:rPr>
                <w:sz w:val="20"/>
                <w:szCs w:val="20"/>
              </w:rPr>
              <w:t>Nondurable consumer goods</w:t>
            </w:r>
          </w:p>
        </w:tc>
        <w:tc>
          <w:tcPr>
            <w:tcW w:w="1418" w:type="dxa"/>
            <w:tcBorders>
              <w:top w:val="nil"/>
              <w:bottom w:val="nil"/>
            </w:tcBorders>
            <w:vAlign w:val="center"/>
          </w:tcPr>
          <w:p w:rsidR="00922C37" w:rsidRPr="00261A05" w:rsidRDefault="00922C37" w:rsidP="00D70D69">
            <w:pPr>
              <w:ind w:right="42"/>
              <w:jc w:val="center"/>
            </w:pPr>
            <w:r>
              <w:t>-0.5</w:t>
            </w:r>
          </w:p>
        </w:tc>
        <w:tc>
          <w:tcPr>
            <w:tcW w:w="1417" w:type="dxa"/>
            <w:tcBorders>
              <w:top w:val="nil"/>
              <w:bottom w:val="nil"/>
            </w:tcBorders>
            <w:vAlign w:val="center"/>
          </w:tcPr>
          <w:p w:rsidR="00922C37" w:rsidRPr="00261A05" w:rsidRDefault="00922C37" w:rsidP="00D70D69">
            <w:pPr>
              <w:ind w:right="42"/>
              <w:jc w:val="center"/>
            </w:pPr>
            <w:r>
              <w:t>0.4</w:t>
            </w:r>
          </w:p>
        </w:tc>
        <w:tc>
          <w:tcPr>
            <w:tcW w:w="1276" w:type="dxa"/>
            <w:tcBorders>
              <w:top w:val="nil"/>
              <w:bottom w:val="nil"/>
            </w:tcBorders>
            <w:vAlign w:val="center"/>
          </w:tcPr>
          <w:p w:rsidR="00922C37" w:rsidRPr="00261A05" w:rsidRDefault="00922C37" w:rsidP="00D70D69">
            <w:pPr>
              <w:ind w:right="42"/>
              <w:jc w:val="center"/>
            </w:pPr>
            <w:r>
              <w:t>0.1</w:t>
            </w:r>
          </w:p>
        </w:tc>
        <w:tc>
          <w:tcPr>
            <w:tcW w:w="1361" w:type="dxa"/>
            <w:tcBorders>
              <w:top w:val="nil"/>
              <w:bottom w:val="nil"/>
              <w:right w:val="double" w:sz="4" w:space="0" w:color="auto"/>
            </w:tcBorders>
            <w:vAlign w:val="center"/>
          </w:tcPr>
          <w:p w:rsidR="00922C37" w:rsidRPr="00261A05" w:rsidRDefault="00922C37" w:rsidP="00D70D69">
            <w:pPr>
              <w:ind w:right="42"/>
              <w:jc w:val="center"/>
            </w:pPr>
            <w:r>
              <w:t>-0.3</w:t>
            </w:r>
          </w:p>
        </w:tc>
        <w:tc>
          <w:tcPr>
            <w:tcW w:w="1035" w:type="dxa"/>
            <w:tcBorders>
              <w:top w:val="nil"/>
              <w:left w:val="double" w:sz="4" w:space="0" w:color="auto"/>
              <w:bottom w:val="nil"/>
            </w:tcBorders>
            <w:vAlign w:val="center"/>
          </w:tcPr>
          <w:p w:rsidR="00922C37" w:rsidRPr="00261A05" w:rsidRDefault="00922C37" w:rsidP="00D70D69">
            <w:pPr>
              <w:ind w:right="42"/>
              <w:jc w:val="center"/>
            </w:pPr>
            <w:r>
              <w:t>0.8</w:t>
            </w:r>
          </w:p>
        </w:tc>
        <w:tc>
          <w:tcPr>
            <w:tcW w:w="1035" w:type="dxa"/>
            <w:tcBorders>
              <w:top w:val="nil"/>
              <w:bottom w:val="nil"/>
            </w:tcBorders>
            <w:vAlign w:val="center"/>
          </w:tcPr>
          <w:p w:rsidR="00922C37" w:rsidRPr="00261A05" w:rsidRDefault="00922C37" w:rsidP="00D70D69">
            <w:pPr>
              <w:ind w:right="42"/>
              <w:jc w:val="center"/>
            </w:pPr>
            <w:r>
              <w:t>0.3</w:t>
            </w:r>
          </w:p>
        </w:tc>
      </w:tr>
      <w:tr w:rsidR="00922C37" w:rsidRPr="0053729E" w:rsidTr="001048C8">
        <w:trPr>
          <w:trHeight w:val="370"/>
        </w:trPr>
        <w:tc>
          <w:tcPr>
            <w:tcW w:w="2718" w:type="dxa"/>
            <w:tcBorders>
              <w:top w:val="nil"/>
              <w:bottom w:val="nil"/>
            </w:tcBorders>
            <w:vAlign w:val="bottom"/>
          </w:tcPr>
          <w:p w:rsidR="00922C37" w:rsidRPr="0053729E" w:rsidRDefault="00922C37" w:rsidP="00E00B71">
            <w:pPr>
              <w:spacing w:line="288" w:lineRule="auto"/>
              <w:ind w:right="77"/>
              <w:rPr>
                <w:sz w:val="20"/>
                <w:szCs w:val="20"/>
              </w:rPr>
            </w:pPr>
            <w:r w:rsidRPr="0053729E">
              <w:rPr>
                <w:sz w:val="20"/>
                <w:szCs w:val="20"/>
              </w:rPr>
              <w:t>Durable consumer goods</w:t>
            </w:r>
          </w:p>
        </w:tc>
        <w:tc>
          <w:tcPr>
            <w:tcW w:w="1418" w:type="dxa"/>
            <w:tcBorders>
              <w:top w:val="nil"/>
              <w:bottom w:val="nil"/>
            </w:tcBorders>
            <w:vAlign w:val="center"/>
          </w:tcPr>
          <w:p w:rsidR="00922C37" w:rsidRPr="00261A05" w:rsidRDefault="00922C37" w:rsidP="00D70D69">
            <w:pPr>
              <w:ind w:right="42"/>
              <w:jc w:val="center"/>
            </w:pPr>
            <w:r>
              <w:t>-0.1</w:t>
            </w:r>
          </w:p>
        </w:tc>
        <w:tc>
          <w:tcPr>
            <w:tcW w:w="1417" w:type="dxa"/>
            <w:tcBorders>
              <w:top w:val="nil"/>
              <w:bottom w:val="nil"/>
            </w:tcBorders>
            <w:vAlign w:val="center"/>
          </w:tcPr>
          <w:p w:rsidR="00922C37" w:rsidRPr="00261A05" w:rsidRDefault="00922C37" w:rsidP="00D70D69">
            <w:pPr>
              <w:ind w:right="42"/>
              <w:jc w:val="center"/>
            </w:pPr>
            <w:r>
              <w:t>3.3</w:t>
            </w:r>
          </w:p>
        </w:tc>
        <w:tc>
          <w:tcPr>
            <w:tcW w:w="1276" w:type="dxa"/>
            <w:tcBorders>
              <w:top w:val="nil"/>
              <w:bottom w:val="nil"/>
            </w:tcBorders>
            <w:vAlign w:val="center"/>
          </w:tcPr>
          <w:p w:rsidR="00922C37" w:rsidRPr="00261A05" w:rsidRDefault="00922C37" w:rsidP="00D70D69">
            <w:pPr>
              <w:ind w:right="42"/>
              <w:jc w:val="center"/>
            </w:pPr>
            <w:r>
              <w:t>-1.3</w:t>
            </w:r>
          </w:p>
        </w:tc>
        <w:tc>
          <w:tcPr>
            <w:tcW w:w="1361" w:type="dxa"/>
            <w:tcBorders>
              <w:top w:val="nil"/>
              <w:bottom w:val="nil"/>
              <w:right w:val="double" w:sz="4" w:space="0" w:color="auto"/>
            </w:tcBorders>
            <w:vAlign w:val="center"/>
          </w:tcPr>
          <w:p w:rsidR="00922C37" w:rsidRPr="00261A05" w:rsidRDefault="00922C37" w:rsidP="00D70D69">
            <w:pPr>
              <w:ind w:right="42"/>
              <w:jc w:val="center"/>
            </w:pPr>
            <w:r>
              <w:t>1.4</w:t>
            </w:r>
          </w:p>
        </w:tc>
        <w:tc>
          <w:tcPr>
            <w:tcW w:w="1035" w:type="dxa"/>
            <w:tcBorders>
              <w:top w:val="nil"/>
              <w:left w:val="double" w:sz="4" w:space="0" w:color="auto"/>
              <w:bottom w:val="nil"/>
            </w:tcBorders>
            <w:vAlign w:val="center"/>
          </w:tcPr>
          <w:p w:rsidR="00922C37" w:rsidRPr="00261A05" w:rsidRDefault="00922C37" w:rsidP="00D70D69">
            <w:pPr>
              <w:ind w:right="42"/>
              <w:jc w:val="center"/>
            </w:pPr>
            <w:r>
              <w:t>-0.6</w:t>
            </w:r>
          </w:p>
        </w:tc>
        <w:tc>
          <w:tcPr>
            <w:tcW w:w="1035" w:type="dxa"/>
            <w:tcBorders>
              <w:top w:val="nil"/>
              <w:bottom w:val="nil"/>
            </w:tcBorders>
            <w:vAlign w:val="center"/>
          </w:tcPr>
          <w:p w:rsidR="00922C37" w:rsidRPr="00261A05" w:rsidRDefault="00922C37" w:rsidP="00D70D69">
            <w:pPr>
              <w:ind w:right="42"/>
              <w:jc w:val="center"/>
            </w:pPr>
            <w:r>
              <w:t>3.1</w:t>
            </w:r>
          </w:p>
        </w:tc>
      </w:tr>
      <w:tr w:rsidR="00922C37" w:rsidRPr="0053729E" w:rsidTr="001048C8">
        <w:trPr>
          <w:trHeight w:val="370"/>
        </w:trPr>
        <w:tc>
          <w:tcPr>
            <w:tcW w:w="2718" w:type="dxa"/>
            <w:tcBorders>
              <w:top w:val="nil"/>
              <w:bottom w:val="nil"/>
            </w:tcBorders>
            <w:vAlign w:val="bottom"/>
          </w:tcPr>
          <w:p w:rsidR="00922C37" w:rsidRPr="0053729E" w:rsidRDefault="00922C37" w:rsidP="00E00B71">
            <w:pPr>
              <w:spacing w:line="288" w:lineRule="auto"/>
              <w:ind w:right="77"/>
              <w:rPr>
                <w:sz w:val="20"/>
                <w:szCs w:val="20"/>
              </w:rPr>
            </w:pPr>
            <w:r w:rsidRPr="0053729E">
              <w:rPr>
                <w:sz w:val="20"/>
                <w:szCs w:val="20"/>
              </w:rPr>
              <w:t>Intermediate goods</w:t>
            </w:r>
          </w:p>
        </w:tc>
        <w:tc>
          <w:tcPr>
            <w:tcW w:w="1418" w:type="dxa"/>
            <w:tcBorders>
              <w:top w:val="nil"/>
              <w:bottom w:val="nil"/>
            </w:tcBorders>
            <w:vAlign w:val="center"/>
          </w:tcPr>
          <w:p w:rsidR="00922C37" w:rsidRPr="00261A05" w:rsidRDefault="00922C37" w:rsidP="00D70D69">
            <w:pPr>
              <w:ind w:right="42"/>
              <w:jc w:val="center"/>
            </w:pPr>
            <w:r>
              <w:t>-0.1</w:t>
            </w:r>
          </w:p>
        </w:tc>
        <w:tc>
          <w:tcPr>
            <w:tcW w:w="1417" w:type="dxa"/>
            <w:tcBorders>
              <w:top w:val="nil"/>
              <w:bottom w:val="nil"/>
            </w:tcBorders>
            <w:vAlign w:val="center"/>
          </w:tcPr>
          <w:p w:rsidR="00922C37" w:rsidRPr="00261A05" w:rsidRDefault="00922C37" w:rsidP="00D70D69">
            <w:pPr>
              <w:ind w:right="42"/>
              <w:jc w:val="center"/>
            </w:pPr>
            <w:r>
              <w:t>-1.2</w:t>
            </w:r>
          </w:p>
        </w:tc>
        <w:tc>
          <w:tcPr>
            <w:tcW w:w="1276" w:type="dxa"/>
            <w:tcBorders>
              <w:top w:val="nil"/>
              <w:bottom w:val="nil"/>
            </w:tcBorders>
            <w:vAlign w:val="center"/>
          </w:tcPr>
          <w:p w:rsidR="00922C37" w:rsidRPr="00261A05" w:rsidRDefault="00922C37" w:rsidP="00D70D69">
            <w:pPr>
              <w:ind w:right="42"/>
              <w:jc w:val="center"/>
            </w:pPr>
            <w:r>
              <w:t>0.0</w:t>
            </w:r>
          </w:p>
        </w:tc>
        <w:tc>
          <w:tcPr>
            <w:tcW w:w="1361" w:type="dxa"/>
            <w:tcBorders>
              <w:top w:val="nil"/>
              <w:bottom w:val="nil"/>
              <w:right w:val="double" w:sz="4" w:space="0" w:color="auto"/>
            </w:tcBorders>
            <w:vAlign w:val="center"/>
          </w:tcPr>
          <w:p w:rsidR="00922C37" w:rsidRPr="00261A05" w:rsidRDefault="00922C37" w:rsidP="00D70D69">
            <w:pPr>
              <w:ind w:right="42"/>
              <w:jc w:val="center"/>
            </w:pPr>
            <w:r>
              <w:t>0.4</w:t>
            </w:r>
          </w:p>
        </w:tc>
        <w:tc>
          <w:tcPr>
            <w:tcW w:w="1035" w:type="dxa"/>
            <w:tcBorders>
              <w:top w:val="nil"/>
              <w:left w:val="double" w:sz="4" w:space="0" w:color="auto"/>
              <w:bottom w:val="nil"/>
            </w:tcBorders>
            <w:vAlign w:val="center"/>
          </w:tcPr>
          <w:p w:rsidR="00922C37" w:rsidRPr="00261A05" w:rsidRDefault="00922C37" w:rsidP="00D70D69">
            <w:pPr>
              <w:ind w:right="42"/>
              <w:jc w:val="center"/>
            </w:pPr>
            <w:r>
              <w:t>-0.1</w:t>
            </w:r>
          </w:p>
        </w:tc>
        <w:tc>
          <w:tcPr>
            <w:tcW w:w="1035" w:type="dxa"/>
            <w:tcBorders>
              <w:top w:val="nil"/>
              <w:bottom w:val="nil"/>
            </w:tcBorders>
            <w:vAlign w:val="center"/>
          </w:tcPr>
          <w:p w:rsidR="00922C37" w:rsidRPr="00261A05" w:rsidRDefault="00922C37" w:rsidP="00D70D69">
            <w:pPr>
              <w:ind w:right="42"/>
              <w:jc w:val="center"/>
            </w:pPr>
            <w:r>
              <w:t>-1.0</w:t>
            </w:r>
          </w:p>
        </w:tc>
      </w:tr>
      <w:tr w:rsidR="00922C37" w:rsidRPr="0053729E" w:rsidTr="001048C8">
        <w:trPr>
          <w:trHeight w:val="370"/>
        </w:trPr>
        <w:tc>
          <w:tcPr>
            <w:tcW w:w="2718" w:type="dxa"/>
            <w:tcBorders>
              <w:top w:val="nil"/>
            </w:tcBorders>
            <w:vAlign w:val="bottom"/>
          </w:tcPr>
          <w:p w:rsidR="00922C37" w:rsidRPr="0053729E" w:rsidRDefault="00922C37" w:rsidP="00E00B71">
            <w:pPr>
              <w:spacing w:line="288" w:lineRule="auto"/>
              <w:ind w:right="77"/>
              <w:rPr>
                <w:sz w:val="20"/>
                <w:szCs w:val="20"/>
              </w:rPr>
            </w:pPr>
            <w:r w:rsidRPr="0053729E">
              <w:rPr>
                <w:sz w:val="20"/>
                <w:szCs w:val="20"/>
              </w:rPr>
              <w:t>Investment goods</w:t>
            </w:r>
          </w:p>
        </w:tc>
        <w:tc>
          <w:tcPr>
            <w:tcW w:w="1418" w:type="dxa"/>
            <w:tcBorders>
              <w:top w:val="nil"/>
            </w:tcBorders>
            <w:vAlign w:val="center"/>
          </w:tcPr>
          <w:p w:rsidR="00922C37" w:rsidRPr="00261A05" w:rsidRDefault="00922C37" w:rsidP="00D70D69">
            <w:pPr>
              <w:ind w:right="42"/>
              <w:jc w:val="center"/>
            </w:pPr>
            <w:r>
              <w:t>-0.2</w:t>
            </w:r>
          </w:p>
        </w:tc>
        <w:tc>
          <w:tcPr>
            <w:tcW w:w="1417" w:type="dxa"/>
            <w:tcBorders>
              <w:top w:val="nil"/>
            </w:tcBorders>
            <w:vAlign w:val="center"/>
          </w:tcPr>
          <w:p w:rsidR="00922C37" w:rsidRPr="00261A05" w:rsidRDefault="00922C37" w:rsidP="00D70D69">
            <w:pPr>
              <w:ind w:right="42"/>
              <w:jc w:val="center"/>
            </w:pPr>
            <w:r>
              <w:t>0.6</w:t>
            </w:r>
          </w:p>
        </w:tc>
        <w:tc>
          <w:tcPr>
            <w:tcW w:w="1276" w:type="dxa"/>
            <w:tcBorders>
              <w:top w:val="nil"/>
            </w:tcBorders>
            <w:vAlign w:val="center"/>
          </w:tcPr>
          <w:p w:rsidR="00922C37" w:rsidRPr="00261A05" w:rsidRDefault="00922C37" w:rsidP="00D70D69">
            <w:pPr>
              <w:ind w:right="42"/>
              <w:jc w:val="center"/>
            </w:pPr>
            <w:r>
              <w:t>-1.8</w:t>
            </w:r>
          </w:p>
        </w:tc>
        <w:tc>
          <w:tcPr>
            <w:tcW w:w="1361" w:type="dxa"/>
            <w:tcBorders>
              <w:top w:val="nil"/>
              <w:right w:val="double" w:sz="4" w:space="0" w:color="auto"/>
            </w:tcBorders>
            <w:vAlign w:val="center"/>
          </w:tcPr>
          <w:p w:rsidR="00922C37" w:rsidRPr="00261A05" w:rsidRDefault="00922C37" w:rsidP="00D70D69">
            <w:pPr>
              <w:ind w:right="42"/>
              <w:jc w:val="center"/>
            </w:pPr>
            <w:r>
              <w:t>0.5</w:t>
            </w:r>
          </w:p>
        </w:tc>
        <w:tc>
          <w:tcPr>
            <w:tcW w:w="1035" w:type="dxa"/>
            <w:tcBorders>
              <w:top w:val="nil"/>
              <w:left w:val="double" w:sz="4" w:space="0" w:color="auto"/>
            </w:tcBorders>
            <w:vAlign w:val="center"/>
          </w:tcPr>
          <w:p w:rsidR="00922C37" w:rsidRPr="00261A05" w:rsidRDefault="00922C37" w:rsidP="00D70D69">
            <w:pPr>
              <w:ind w:right="42"/>
              <w:jc w:val="center"/>
            </w:pPr>
            <w:r>
              <w:t>-1.2</w:t>
            </w:r>
          </w:p>
        </w:tc>
        <w:tc>
          <w:tcPr>
            <w:tcW w:w="1035" w:type="dxa"/>
            <w:tcBorders>
              <w:top w:val="nil"/>
            </w:tcBorders>
            <w:vAlign w:val="center"/>
          </w:tcPr>
          <w:p w:rsidR="00922C37" w:rsidRPr="00261A05" w:rsidRDefault="00922C37" w:rsidP="00D70D69">
            <w:pPr>
              <w:ind w:right="42"/>
              <w:jc w:val="center"/>
            </w:pPr>
            <w:r>
              <w:t>-1.5</w:t>
            </w:r>
          </w:p>
        </w:tc>
      </w:tr>
      <w:tr w:rsidR="00922C37" w:rsidRPr="0053729E" w:rsidTr="001048C8">
        <w:trPr>
          <w:trHeight w:val="370"/>
        </w:trPr>
        <w:tc>
          <w:tcPr>
            <w:tcW w:w="2718" w:type="dxa"/>
            <w:tcBorders>
              <w:bottom w:val="nil"/>
            </w:tcBorders>
            <w:vAlign w:val="bottom"/>
          </w:tcPr>
          <w:p w:rsidR="00922C37" w:rsidRPr="0053729E" w:rsidRDefault="00922C37" w:rsidP="00E00B71">
            <w:pPr>
              <w:spacing w:line="288" w:lineRule="auto"/>
              <w:ind w:right="77"/>
              <w:rPr>
                <w:b/>
                <w:sz w:val="20"/>
                <w:szCs w:val="20"/>
              </w:rPr>
            </w:pPr>
            <w:r w:rsidRPr="0053729E">
              <w:rPr>
                <w:b/>
                <w:sz w:val="20"/>
                <w:szCs w:val="20"/>
              </w:rPr>
              <w:t>Soft Data</w:t>
            </w:r>
          </w:p>
        </w:tc>
        <w:tc>
          <w:tcPr>
            <w:tcW w:w="1418" w:type="dxa"/>
            <w:tcBorders>
              <w:bottom w:val="nil"/>
            </w:tcBorders>
            <w:vAlign w:val="center"/>
          </w:tcPr>
          <w:p w:rsidR="00922C37" w:rsidRPr="00261A05" w:rsidRDefault="00922C37" w:rsidP="00D70D69">
            <w:pPr>
              <w:ind w:right="42"/>
              <w:jc w:val="center"/>
              <w:rPr>
                <w:b/>
                <w:bCs/>
              </w:rPr>
            </w:pPr>
          </w:p>
        </w:tc>
        <w:tc>
          <w:tcPr>
            <w:tcW w:w="1417" w:type="dxa"/>
            <w:tcBorders>
              <w:bottom w:val="nil"/>
            </w:tcBorders>
            <w:vAlign w:val="center"/>
          </w:tcPr>
          <w:p w:rsidR="00922C37" w:rsidRPr="00261A05" w:rsidRDefault="00922C37" w:rsidP="00D70D69">
            <w:pPr>
              <w:ind w:right="42"/>
              <w:jc w:val="center"/>
              <w:rPr>
                <w:b/>
                <w:bCs/>
              </w:rPr>
            </w:pPr>
          </w:p>
        </w:tc>
        <w:tc>
          <w:tcPr>
            <w:tcW w:w="1276" w:type="dxa"/>
            <w:tcBorders>
              <w:bottom w:val="nil"/>
            </w:tcBorders>
            <w:vAlign w:val="center"/>
          </w:tcPr>
          <w:p w:rsidR="00922C37" w:rsidRPr="00261A05" w:rsidRDefault="00922C37" w:rsidP="00D70D69">
            <w:pPr>
              <w:ind w:right="42"/>
              <w:jc w:val="center"/>
              <w:rPr>
                <w:b/>
                <w:bCs/>
              </w:rPr>
            </w:pPr>
          </w:p>
        </w:tc>
        <w:tc>
          <w:tcPr>
            <w:tcW w:w="1361" w:type="dxa"/>
            <w:tcBorders>
              <w:bottom w:val="nil"/>
              <w:right w:val="double" w:sz="4" w:space="0" w:color="auto"/>
            </w:tcBorders>
            <w:vAlign w:val="center"/>
          </w:tcPr>
          <w:p w:rsidR="00922C37" w:rsidRPr="00261A05" w:rsidRDefault="00922C37" w:rsidP="00D70D69">
            <w:pPr>
              <w:ind w:right="42"/>
              <w:jc w:val="center"/>
              <w:rPr>
                <w:b/>
                <w:bCs/>
              </w:rPr>
            </w:pPr>
          </w:p>
        </w:tc>
        <w:tc>
          <w:tcPr>
            <w:tcW w:w="1035" w:type="dxa"/>
            <w:tcBorders>
              <w:left w:val="double" w:sz="4" w:space="0" w:color="auto"/>
              <w:bottom w:val="nil"/>
            </w:tcBorders>
            <w:vAlign w:val="center"/>
          </w:tcPr>
          <w:p w:rsidR="00922C37" w:rsidRPr="00261A05" w:rsidRDefault="00922C37" w:rsidP="00D70D69">
            <w:pPr>
              <w:ind w:right="42"/>
              <w:jc w:val="center"/>
              <w:rPr>
                <w:b/>
                <w:bCs/>
              </w:rPr>
            </w:pPr>
          </w:p>
        </w:tc>
        <w:tc>
          <w:tcPr>
            <w:tcW w:w="1035" w:type="dxa"/>
            <w:tcBorders>
              <w:bottom w:val="nil"/>
            </w:tcBorders>
            <w:vAlign w:val="center"/>
          </w:tcPr>
          <w:p w:rsidR="00922C37" w:rsidRPr="00261A05" w:rsidRDefault="00922C37" w:rsidP="00D70D69">
            <w:pPr>
              <w:ind w:right="42"/>
              <w:jc w:val="center"/>
              <w:rPr>
                <w:b/>
                <w:bCs/>
              </w:rPr>
            </w:pPr>
          </w:p>
        </w:tc>
      </w:tr>
      <w:tr w:rsidR="00922C37" w:rsidRPr="0053729E" w:rsidTr="001048C8">
        <w:trPr>
          <w:trHeight w:val="370"/>
        </w:trPr>
        <w:tc>
          <w:tcPr>
            <w:tcW w:w="2718" w:type="dxa"/>
            <w:tcBorders>
              <w:top w:val="nil"/>
              <w:bottom w:val="nil"/>
            </w:tcBorders>
            <w:vAlign w:val="bottom"/>
          </w:tcPr>
          <w:p w:rsidR="00922C37" w:rsidRPr="0053729E" w:rsidRDefault="00922C37" w:rsidP="00E00B71">
            <w:pPr>
              <w:spacing w:line="288" w:lineRule="auto"/>
              <w:ind w:right="77"/>
              <w:rPr>
                <w:sz w:val="20"/>
                <w:szCs w:val="20"/>
              </w:rPr>
            </w:pPr>
            <w:r w:rsidRPr="0053729E">
              <w:rPr>
                <w:sz w:val="20"/>
                <w:szCs w:val="20"/>
              </w:rPr>
              <w:t>Consumer confidence index (</w:t>
            </w:r>
            <w:proofErr w:type="spellStart"/>
            <w:r w:rsidRPr="0053729E">
              <w:rPr>
                <w:sz w:val="20"/>
                <w:szCs w:val="20"/>
              </w:rPr>
              <w:t>Turkstat</w:t>
            </w:r>
            <w:proofErr w:type="spellEnd"/>
            <w:r w:rsidRPr="0053729E">
              <w:rPr>
                <w:sz w:val="20"/>
                <w:szCs w:val="20"/>
              </w:rPr>
              <w:t>)</w:t>
            </w:r>
          </w:p>
        </w:tc>
        <w:tc>
          <w:tcPr>
            <w:tcW w:w="1418" w:type="dxa"/>
            <w:tcBorders>
              <w:top w:val="nil"/>
              <w:bottom w:val="nil"/>
            </w:tcBorders>
            <w:vAlign w:val="center"/>
          </w:tcPr>
          <w:p w:rsidR="00922C37" w:rsidRPr="00261A05" w:rsidRDefault="00922C37" w:rsidP="00D70D69">
            <w:pPr>
              <w:ind w:right="42"/>
              <w:jc w:val="center"/>
            </w:pPr>
            <w:r>
              <w:t>5.6</w:t>
            </w:r>
          </w:p>
        </w:tc>
        <w:tc>
          <w:tcPr>
            <w:tcW w:w="1417" w:type="dxa"/>
            <w:tcBorders>
              <w:top w:val="nil"/>
              <w:bottom w:val="nil"/>
            </w:tcBorders>
            <w:vAlign w:val="center"/>
          </w:tcPr>
          <w:p w:rsidR="00922C37" w:rsidRPr="00261A05" w:rsidRDefault="00922C37" w:rsidP="00D70D69">
            <w:pPr>
              <w:ind w:right="42"/>
              <w:jc w:val="center"/>
            </w:pPr>
            <w:r>
              <w:t>6.9</w:t>
            </w:r>
          </w:p>
        </w:tc>
        <w:tc>
          <w:tcPr>
            <w:tcW w:w="1276" w:type="dxa"/>
            <w:tcBorders>
              <w:top w:val="nil"/>
              <w:bottom w:val="nil"/>
            </w:tcBorders>
            <w:vAlign w:val="center"/>
          </w:tcPr>
          <w:p w:rsidR="00922C37" w:rsidRPr="00261A05" w:rsidRDefault="00922C37" w:rsidP="00D70D69">
            <w:pPr>
              <w:ind w:right="42"/>
              <w:jc w:val="center"/>
            </w:pPr>
            <w:r>
              <w:t>-3.3</w:t>
            </w:r>
          </w:p>
        </w:tc>
        <w:tc>
          <w:tcPr>
            <w:tcW w:w="1361" w:type="dxa"/>
            <w:tcBorders>
              <w:top w:val="nil"/>
              <w:bottom w:val="nil"/>
              <w:right w:val="double" w:sz="4" w:space="0" w:color="auto"/>
            </w:tcBorders>
            <w:vAlign w:val="center"/>
          </w:tcPr>
          <w:p w:rsidR="00922C37" w:rsidRPr="00261A05" w:rsidRDefault="00922C37" w:rsidP="00D70D69">
            <w:pPr>
              <w:ind w:right="42"/>
              <w:jc w:val="center"/>
            </w:pPr>
            <w:r>
              <w:t>-2.3</w:t>
            </w:r>
          </w:p>
        </w:tc>
        <w:tc>
          <w:tcPr>
            <w:tcW w:w="1035" w:type="dxa"/>
            <w:tcBorders>
              <w:top w:val="nil"/>
              <w:left w:val="double" w:sz="4" w:space="0" w:color="auto"/>
              <w:bottom w:val="nil"/>
            </w:tcBorders>
            <w:vAlign w:val="center"/>
          </w:tcPr>
          <w:p w:rsidR="00922C37" w:rsidRPr="00261A05" w:rsidRDefault="00922C37" w:rsidP="00D70D69">
            <w:pPr>
              <w:ind w:right="42"/>
              <w:jc w:val="center"/>
            </w:pPr>
            <w:r>
              <w:t>-7.2</w:t>
            </w:r>
          </w:p>
        </w:tc>
        <w:tc>
          <w:tcPr>
            <w:tcW w:w="1035" w:type="dxa"/>
            <w:tcBorders>
              <w:top w:val="nil"/>
              <w:bottom w:val="nil"/>
            </w:tcBorders>
            <w:vAlign w:val="center"/>
          </w:tcPr>
          <w:p w:rsidR="00922C37" w:rsidRPr="00261A05" w:rsidRDefault="00922C37" w:rsidP="00D70D69">
            <w:pPr>
              <w:ind w:right="42"/>
              <w:jc w:val="center"/>
            </w:pPr>
            <w:r>
              <w:t>5.8</w:t>
            </w:r>
          </w:p>
        </w:tc>
      </w:tr>
      <w:tr w:rsidR="00922C37" w:rsidRPr="0053729E" w:rsidTr="001048C8">
        <w:trPr>
          <w:trHeight w:val="370"/>
        </w:trPr>
        <w:tc>
          <w:tcPr>
            <w:tcW w:w="2718" w:type="dxa"/>
            <w:tcBorders>
              <w:top w:val="nil"/>
            </w:tcBorders>
            <w:vAlign w:val="bottom"/>
          </w:tcPr>
          <w:p w:rsidR="00922C37" w:rsidRPr="0053729E" w:rsidRDefault="00922C37" w:rsidP="00E00B71">
            <w:pPr>
              <w:spacing w:line="288" w:lineRule="auto"/>
              <w:ind w:right="77"/>
              <w:rPr>
                <w:sz w:val="20"/>
                <w:szCs w:val="20"/>
              </w:rPr>
            </w:pPr>
            <w:r>
              <w:rPr>
                <w:sz w:val="20"/>
                <w:szCs w:val="20"/>
              </w:rPr>
              <w:t>Rea</w:t>
            </w:r>
            <w:r w:rsidRPr="0053729E">
              <w:rPr>
                <w:sz w:val="20"/>
                <w:szCs w:val="20"/>
              </w:rPr>
              <w:t>l sector confidence index</w:t>
            </w:r>
          </w:p>
        </w:tc>
        <w:tc>
          <w:tcPr>
            <w:tcW w:w="1418" w:type="dxa"/>
            <w:tcBorders>
              <w:top w:val="nil"/>
            </w:tcBorders>
            <w:vAlign w:val="center"/>
          </w:tcPr>
          <w:p w:rsidR="00922C37" w:rsidRPr="00261A05" w:rsidRDefault="00922C37" w:rsidP="00D70D69">
            <w:pPr>
              <w:ind w:right="42"/>
              <w:jc w:val="center"/>
            </w:pPr>
            <w:r>
              <w:t>0.5</w:t>
            </w:r>
          </w:p>
        </w:tc>
        <w:tc>
          <w:tcPr>
            <w:tcW w:w="1417" w:type="dxa"/>
            <w:tcBorders>
              <w:top w:val="nil"/>
            </w:tcBorders>
            <w:vAlign w:val="center"/>
          </w:tcPr>
          <w:p w:rsidR="00922C37" w:rsidRPr="00261A05" w:rsidRDefault="00922C37" w:rsidP="00D70D69">
            <w:pPr>
              <w:ind w:right="42"/>
              <w:jc w:val="center"/>
            </w:pPr>
            <w:r>
              <w:t>1.3</w:t>
            </w:r>
          </w:p>
        </w:tc>
        <w:tc>
          <w:tcPr>
            <w:tcW w:w="1276" w:type="dxa"/>
            <w:tcBorders>
              <w:top w:val="nil"/>
            </w:tcBorders>
            <w:vAlign w:val="center"/>
          </w:tcPr>
          <w:p w:rsidR="00922C37" w:rsidRPr="00261A05" w:rsidRDefault="00922C37" w:rsidP="00D70D69">
            <w:pPr>
              <w:ind w:right="42"/>
              <w:jc w:val="center"/>
            </w:pPr>
            <w:r>
              <w:t>1.0</w:t>
            </w:r>
          </w:p>
        </w:tc>
        <w:tc>
          <w:tcPr>
            <w:tcW w:w="1361" w:type="dxa"/>
            <w:tcBorders>
              <w:top w:val="nil"/>
              <w:right w:val="double" w:sz="4" w:space="0" w:color="auto"/>
            </w:tcBorders>
            <w:vAlign w:val="center"/>
          </w:tcPr>
          <w:p w:rsidR="00922C37" w:rsidRPr="00261A05" w:rsidRDefault="00922C37" w:rsidP="00D70D69">
            <w:pPr>
              <w:ind w:right="42"/>
              <w:jc w:val="center"/>
            </w:pPr>
            <w:r>
              <w:t>-0.6</w:t>
            </w:r>
          </w:p>
        </w:tc>
        <w:tc>
          <w:tcPr>
            <w:tcW w:w="1035" w:type="dxa"/>
            <w:tcBorders>
              <w:top w:val="nil"/>
              <w:left w:val="double" w:sz="4" w:space="0" w:color="auto"/>
            </w:tcBorders>
            <w:vAlign w:val="center"/>
          </w:tcPr>
          <w:p w:rsidR="00922C37" w:rsidRPr="00261A05" w:rsidRDefault="00922C37" w:rsidP="00D70D69">
            <w:pPr>
              <w:ind w:right="42"/>
              <w:jc w:val="center"/>
            </w:pPr>
            <w:r>
              <w:t>-5.0</w:t>
            </w:r>
          </w:p>
        </w:tc>
        <w:tc>
          <w:tcPr>
            <w:tcW w:w="1035" w:type="dxa"/>
            <w:tcBorders>
              <w:top w:val="nil"/>
            </w:tcBorders>
            <w:vAlign w:val="center"/>
          </w:tcPr>
          <w:p w:rsidR="00922C37" w:rsidRPr="00261A05" w:rsidRDefault="00922C37" w:rsidP="00D70D69">
            <w:pPr>
              <w:ind w:right="42"/>
              <w:jc w:val="center"/>
            </w:pPr>
            <w:r>
              <w:t>2.3</w:t>
            </w:r>
          </w:p>
        </w:tc>
      </w:tr>
      <w:tr w:rsidR="00922C37" w:rsidRPr="0053729E" w:rsidTr="001048C8">
        <w:trPr>
          <w:trHeight w:val="370"/>
        </w:trPr>
        <w:tc>
          <w:tcPr>
            <w:tcW w:w="2718" w:type="dxa"/>
            <w:tcBorders>
              <w:bottom w:val="nil"/>
            </w:tcBorders>
            <w:vAlign w:val="bottom"/>
          </w:tcPr>
          <w:p w:rsidR="00922C37" w:rsidRPr="0053729E" w:rsidRDefault="00922C37" w:rsidP="00E00B71">
            <w:pPr>
              <w:spacing w:line="288" w:lineRule="auto"/>
              <w:ind w:right="77"/>
              <w:rPr>
                <w:b/>
                <w:sz w:val="20"/>
                <w:szCs w:val="20"/>
              </w:rPr>
            </w:pPr>
            <w:r w:rsidRPr="0053729E">
              <w:rPr>
                <w:b/>
                <w:sz w:val="20"/>
                <w:szCs w:val="20"/>
              </w:rPr>
              <w:t>Financial Data</w:t>
            </w:r>
          </w:p>
        </w:tc>
        <w:tc>
          <w:tcPr>
            <w:tcW w:w="1418" w:type="dxa"/>
            <w:tcBorders>
              <w:bottom w:val="nil"/>
            </w:tcBorders>
            <w:vAlign w:val="center"/>
          </w:tcPr>
          <w:p w:rsidR="00922C37" w:rsidRPr="00261A05" w:rsidRDefault="00922C37" w:rsidP="00D70D69">
            <w:pPr>
              <w:ind w:right="42"/>
              <w:jc w:val="center"/>
              <w:rPr>
                <w:b/>
                <w:bCs/>
              </w:rPr>
            </w:pPr>
          </w:p>
        </w:tc>
        <w:tc>
          <w:tcPr>
            <w:tcW w:w="1417" w:type="dxa"/>
            <w:tcBorders>
              <w:bottom w:val="nil"/>
            </w:tcBorders>
            <w:vAlign w:val="center"/>
          </w:tcPr>
          <w:p w:rsidR="00922C37" w:rsidRPr="00261A05" w:rsidRDefault="00922C37" w:rsidP="00D70D69">
            <w:pPr>
              <w:ind w:right="42"/>
              <w:jc w:val="center"/>
              <w:rPr>
                <w:b/>
                <w:bCs/>
              </w:rPr>
            </w:pPr>
          </w:p>
        </w:tc>
        <w:tc>
          <w:tcPr>
            <w:tcW w:w="1276" w:type="dxa"/>
            <w:tcBorders>
              <w:bottom w:val="nil"/>
            </w:tcBorders>
            <w:vAlign w:val="center"/>
          </w:tcPr>
          <w:p w:rsidR="00922C37" w:rsidRPr="00261A05" w:rsidRDefault="00922C37" w:rsidP="00D70D69">
            <w:pPr>
              <w:ind w:right="42"/>
              <w:jc w:val="center"/>
              <w:rPr>
                <w:b/>
                <w:bCs/>
              </w:rPr>
            </w:pPr>
          </w:p>
        </w:tc>
        <w:tc>
          <w:tcPr>
            <w:tcW w:w="1361" w:type="dxa"/>
            <w:tcBorders>
              <w:bottom w:val="nil"/>
              <w:right w:val="double" w:sz="4" w:space="0" w:color="auto"/>
            </w:tcBorders>
            <w:vAlign w:val="center"/>
          </w:tcPr>
          <w:p w:rsidR="00922C37" w:rsidRPr="00261A05" w:rsidRDefault="00922C37" w:rsidP="00D70D69">
            <w:pPr>
              <w:ind w:right="42"/>
              <w:jc w:val="center"/>
              <w:rPr>
                <w:b/>
                <w:bCs/>
              </w:rPr>
            </w:pPr>
          </w:p>
        </w:tc>
        <w:tc>
          <w:tcPr>
            <w:tcW w:w="1035" w:type="dxa"/>
            <w:tcBorders>
              <w:left w:val="double" w:sz="4" w:space="0" w:color="auto"/>
              <w:bottom w:val="nil"/>
            </w:tcBorders>
            <w:vAlign w:val="center"/>
          </w:tcPr>
          <w:p w:rsidR="00922C37" w:rsidRPr="00261A05" w:rsidRDefault="00922C37" w:rsidP="00D70D69">
            <w:pPr>
              <w:ind w:right="42"/>
              <w:jc w:val="center"/>
              <w:rPr>
                <w:b/>
                <w:bCs/>
              </w:rPr>
            </w:pPr>
          </w:p>
        </w:tc>
        <w:tc>
          <w:tcPr>
            <w:tcW w:w="1035" w:type="dxa"/>
            <w:tcBorders>
              <w:bottom w:val="nil"/>
            </w:tcBorders>
            <w:vAlign w:val="center"/>
          </w:tcPr>
          <w:p w:rsidR="00922C37" w:rsidRPr="00261A05" w:rsidRDefault="00922C37" w:rsidP="00D70D69">
            <w:pPr>
              <w:ind w:right="42"/>
              <w:jc w:val="center"/>
              <w:rPr>
                <w:b/>
                <w:bCs/>
              </w:rPr>
            </w:pPr>
          </w:p>
        </w:tc>
      </w:tr>
      <w:tr w:rsidR="00922C37" w:rsidRPr="0053729E" w:rsidTr="001048C8">
        <w:trPr>
          <w:trHeight w:val="370"/>
        </w:trPr>
        <w:tc>
          <w:tcPr>
            <w:tcW w:w="2718" w:type="dxa"/>
            <w:tcBorders>
              <w:top w:val="nil"/>
            </w:tcBorders>
            <w:vAlign w:val="bottom"/>
          </w:tcPr>
          <w:p w:rsidR="00922C37" w:rsidRPr="0053729E" w:rsidRDefault="00922C37" w:rsidP="00E00B71">
            <w:pPr>
              <w:spacing w:line="288" w:lineRule="auto"/>
              <w:ind w:right="77"/>
              <w:rPr>
                <w:sz w:val="20"/>
                <w:szCs w:val="20"/>
              </w:rPr>
            </w:pPr>
            <w:r w:rsidRPr="0053729E">
              <w:rPr>
                <w:sz w:val="20"/>
                <w:szCs w:val="20"/>
              </w:rPr>
              <w:t>IMKB 100 (Stock Exchange)</w:t>
            </w:r>
          </w:p>
        </w:tc>
        <w:tc>
          <w:tcPr>
            <w:tcW w:w="1418" w:type="dxa"/>
            <w:tcBorders>
              <w:top w:val="nil"/>
            </w:tcBorders>
            <w:vAlign w:val="center"/>
          </w:tcPr>
          <w:p w:rsidR="00922C37" w:rsidRPr="00261A05" w:rsidRDefault="00922C37" w:rsidP="00D70D69">
            <w:pPr>
              <w:ind w:right="42"/>
              <w:jc w:val="center"/>
            </w:pPr>
            <w:r>
              <w:t>1.4</w:t>
            </w:r>
          </w:p>
        </w:tc>
        <w:tc>
          <w:tcPr>
            <w:tcW w:w="1417" w:type="dxa"/>
            <w:tcBorders>
              <w:top w:val="nil"/>
            </w:tcBorders>
            <w:vAlign w:val="center"/>
          </w:tcPr>
          <w:p w:rsidR="00922C37" w:rsidRPr="00261A05" w:rsidRDefault="00922C37" w:rsidP="00D70D69">
            <w:pPr>
              <w:ind w:right="42"/>
              <w:jc w:val="center"/>
            </w:pPr>
            <w:r>
              <w:t>5.8</w:t>
            </w:r>
          </w:p>
        </w:tc>
        <w:tc>
          <w:tcPr>
            <w:tcW w:w="1276" w:type="dxa"/>
            <w:tcBorders>
              <w:top w:val="nil"/>
            </w:tcBorders>
            <w:vAlign w:val="center"/>
          </w:tcPr>
          <w:p w:rsidR="00922C37" w:rsidRPr="00261A05" w:rsidRDefault="00922C37" w:rsidP="00D70D69">
            <w:pPr>
              <w:ind w:right="42"/>
              <w:jc w:val="center"/>
            </w:pPr>
            <w:r>
              <w:t>4.7</w:t>
            </w:r>
          </w:p>
        </w:tc>
        <w:tc>
          <w:tcPr>
            <w:tcW w:w="1361" w:type="dxa"/>
            <w:tcBorders>
              <w:top w:val="nil"/>
              <w:right w:val="double" w:sz="4" w:space="0" w:color="auto"/>
            </w:tcBorders>
            <w:vAlign w:val="center"/>
          </w:tcPr>
          <w:p w:rsidR="00922C37" w:rsidRPr="00261A05" w:rsidRDefault="00922C37" w:rsidP="00D70D69">
            <w:pPr>
              <w:ind w:right="42"/>
              <w:jc w:val="center"/>
            </w:pPr>
            <w:r>
              <w:t>7.1</w:t>
            </w:r>
          </w:p>
        </w:tc>
        <w:tc>
          <w:tcPr>
            <w:tcW w:w="1035" w:type="dxa"/>
            <w:tcBorders>
              <w:top w:val="nil"/>
              <w:left w:val="double" w:sz="4" w:space="0" w:color="auto"/>
            </w:tcBorders>
            <w:vAlign w:val="center"/>
          </w:tcPr>
          <w:p w:rsidR="00922C37" w:rsidRPr="00261A05" w:rsidRDefault="00922C37" w:rsidP="00D70D69">
            <w:pPr>
              <w:ind w:right="42"/>
              <w:jc w:val="center"/>
            </w:pPr>
            <w:r>
              <w:t>-13.6</w:t>
            </w:r>
          </w:p>
        </w:tc>
        <w:tc>
          <w:tcPr>
            <w:tcW w:w="1035" w:type="dxa"/>
            <w:tcBorders>
              <w:top w:val="nil"/>
            </w:tcBorders>
            <w:vAlign w:val="center"/>
          </w:tcPr>
          <w:p w:rsidR="00922C37" w:rsidRPr="00261A05" w:rsidRDefault="00922C37" w:rsidP="00D70D69">
            <w:pPr>
              <w:ind w:right="42"/>
              <w:jc w:val="center"/>
            </w:pPr>
            <w:r>
              <w:t>11.8</w:t>
            </w:r>
          </w:p>
        </w:tc>
      </w:tr>
      <w:tr w:rsidR="00922C37" w:rsidRPr="0053729E" w:rsidTr="001048C8">
        <w:trPr>
          <w:trHeight w:val="370"/>
        </w:trPr>
        <w:tc>
          <w:tcPr>
            <w:tcW w:w="2718" w:type="dxa"/>
            <w:tcBorders>
              <w:bottom w:val="nil"/>
            </w:tcBorders>
            <w:vAlign w:val="bottom"/>
          </w:tcPr>
          <w:p w:rsidR="00922C37" w:rsidRPr="0053729E" w:rsidRDefault="00922C37" w:rsidP="00E00B71">
            <w:pPr>
              <w:spacing w:line="288" w:lineRule="auto"/>
              <w:ind w:right="77"/>
              <w:rPr>
                <w:b/>
                <w:sz w:val="20"/>
                <w:szCs w:val="20"/>
              </w:rPr>
            </w:pPr>
            <w:r w:rsidRPr="0053729E">
              <w:rPr>
                <w:b/>
                <w:sz w:val="20"/>
                <w:szCs w:val="20"/>
              </w:rPr>
              <w:t>Other</w:t>
            </w:r>
          </w:p>
        </w:tc>
        <w:tc>
          <w:tcPr>
            <w:tcW w:w="1418" w:type="dxa"/>
            <w:tcBorders>
              <w:bottom w:val="nil"/>
            </w:tcBorders>
            <w:vAlign w:val="center"/>
          </w:tcPr>
          <w:p w:rsidR="00922C37" w:rsidRPr="00261A05" w:rsidRDefault="00922C37" w:rsidP="00D70D69">
            <w:pPr>
              <w:ind w:right="42"/>
              <w:jc w:val="center"/>
            </w:pPr>
          </w:p>
        </w:tc>
        <w:tc>
          <w:tcPr>
            <w:tcW w:w="1417" w:type="dxa"/>
            <w:tcBorders>
              <w:bottom w:val="nil"/>
            </w:tcBorders>
            <w:vAlign w:val="center"/>
          </w:tcPr>
          <w:p w:rsidR="00922C37" w:rsidRPr="00261A05" w:rsidRDefault="00922C37" w:rsidP="00D70D69">
            <w:pPr>
              <w:ind w:right="42"/>
              <w:jc w:val="center"/>
            </w:pPr>
          </w:p>
        </w:tc>
        <w:tc>
          <w:tcPr>
            <w:tcW w:w="1276" w:type="dxa"/>
            <w:tcBorders>
              <w:bottom w:val="nil"/>
            </w:tcBorders>
            <w:vAlign w:val="center"/>
          </w:tcPr>
          <w:p w:rsidR="00922C37" w:rsidRPr="00261A05" w:rsidRDefault="00922C37" w:rsidP="00D70D69">
            <w:pPr>
              <w:ind w:right="42"/>
              <w:jc w:val="center"/>
            </w:pPr>
          </w:p>
        </w:tc>
        <w:tc>
          <w:tcPr>
            <w:tcW w:w="1361" w:type="dxa"/>
            <w:tcBorders>
              <w:bottom w:val="nil"/>
              <w:right w:val="double" w:sz="4" w:space="0" w:color="auto"/>
            </w:tcBorders>
            <w:vAlign w:val="center"/>
          </w:tcPr>
          <w:p w:rsidR="00922C37" w:rsidRPr="00261A05" w:rsidRDefault="00922C37" w:rsidP="00D70D69">
            <w:pPr>
              <w:ind w:right="42"/>
              <w:jc w:val="center"/>
            </w:pPr>
          </w:p>
        </w:tc>
        <w:tc>
          <w:tcPr>
            <w:tcW w:w="1035" w:type="dxa"/>
            <w:tcBorders>
              <w:left w:val="double" w:sz="4" w:space="0" w:color="auto"/>
              <w:bottom w:val="nil"/>
            </w:tcBorders>
            <w:vAlign w:val="center"/>
          </w:tcPr>
          <w:p w:rsidR="00922C37" w:rsidRPr="00261A05" w:rsidRDefault="00922C37" w:rsidP="00D70D69">
            <w:pPr>
              <w:ind w:right="42"/>
              <w:jc w:val="center"/>
            </w:pPr>
          </w:p>
        </w:tc>
        <w:tc>
          <w:tcPr>
            <w:tcW w:w="1035" w:type="dxa"/>
            <w:tcBorders>
              <w:bottom w:val="nil"/>
            </w:tcBorders>
            <w:vAlign w:val="center"/>
          </w:tcPr>
          <w:p w:rsidR="00922C37" w:rsidRPr="00261A05" w:rsidRDefault="00922C37" w:rsidP="00D70D69">
            <w:pPr>
              <w:ind w:right="42"/>
              <w:jc w:val="center"/>
            </w:pPr>
          </w:p>
        </w:tc>
      </w:tr>
      <w:tr w:rsidR="00922C37" w:rsidRPr="0053729E" w:rsidTr="001048C8">
        <w:trPr>
          <w:trHeight w:val="370"/>
        </w:trPr>
        <w:tc>
          <w:tcPr>
            <w:tcW w:w="2718" w:type="dxa"/>
            <w:tcBorders>
              <w:top w:val="nil"/>
              <w:bottom w:val="nil"/>
            </w:tcBorders>
            <w:vAlign w:val="bottom"/>
          </w:tcPr>
          <w:p w:rsidR="00922C37" w:rsidRPr="0053729E" w:rsidRDefault="00922C37" w:rsidP="00E00B71">
            <w:pPr>
              <w:spacing w:line="288" w:lineRule="auto"/>
              <w:ind w:right="77"/>
              <w:rPr>
                <w:sz w:val="20"/>
                <w:szCs w:val="20"/>
              </w:rPr>
            </w:pPr>
            <w:r w:rsidRPr="0053729E">
              <w:rPr>
                <w:sz w:val="20"/>
                <w:szCs w:val="20"/>
              </w:rPr>
              <w:t>Special consumption tax* (SCT)</w:t>
            </w:r>
          </w:p>
        </w:tc>
        <w:tc>
          <w:tcPr>
            <w:tcW w:w="1418" w:type="dxa"/>
            <w:tcBorders>
              <w:top w:val="nil"/>
              <w:bottom w:val="nil"/>
            </w:tcBorders>
            <w:vAlign w:val="center"/>
          </w:tcPr>
          <w:p w:rsidR="00922C37" w:rsidRPr="00261A05" w:rsidRDefault="00922C37" w:rsidP="00D70D69">
            <w:pPr>
              <w:ind w:right="42"/>
              <w:jc w:val="center"/>
            </w:pPr>
            <w:r>
              <w:t>-12.2</w:t>
            </w:r>
          </w:p>
        </w:tc>
        <w:tc>
          <w:tcPr>
            <w:tcW w:w="1417" w:type="dxa"/>
            <w:tcBorders>
              <w:top w:val="nil"/>
              <w:bottom w:val="nil"/>
            </w:tcBorders>
            <w:vAlign w:val="center"/>
          </w:tcPr>
          <w:p w:rsidR="00922C37" w:rsidRPr="00261A05" w:rsidRDefault="00922C37" w:rsidP="00D70D69">
            <w:pPr>
              <w:ind w:right="42"/>
              <w:jc w:val="center"/>
            </w:pPr>
            <w:r>
              <w:t>9.2</w:t>
            </w:r>
          </w:p>
        </w:tc>
        <w:tc>
          <w:tcPr>
            <w:tcW w:w="1276" w:type="dxa"/>
            <w:tcBorders>
              <w:top w:val="nil"/>
              <w:bottom w:val="nil"/>
            </w:tcBorders>
            <w:vAlign w:val="center"/>
          </w:tcPr>
          <w:p w:rsidR="00922C37" w:rsidRPr="00261A05" w:rsidRDefault="00922C37" w:rsidP="00D70D69">
            <w:pPr>
              <w:ind w:right="42"/>
              <w:jc w:val="center"/>
            </w:pPr>
            <w:r>
              <w:t>-3.4</w:t>
            </w:r>
          </w:p>
        </w:tc>
        <w:tc>
          <w:tcPr>
            <w:tcW w:w="1361" w:type="dxa"/>
            <w:tcBorders>
              <w:top w:val="nil"/>
              <w:bottom w:val="nil"/>
              <w:right w:val="double" w:sz="4" w:space="0" w:color="auto"/>
            </w:tcBorders>
            <w:vAlign w:val="center"/>
          </w:tcPr>
          <w:p w:rsidR="00922C37" w:rsidRPr="00261A05" w:rsidRDefault="00922C37" w:rsidP="00D70D69">
            <w:pPr>
              <w:ind w:right="42"/>
              <w:jc w:val="center"/>
            </w:pPr>
            <w:r>
              <w:t>**</w:t>
            </w:r>
          </w:p>
        </w:tc>
        <w:tc>
          <w:tcPr>
            <w:tcW w:w="1035" w:type="dxa"/>
            <w:tcBorders>
              <w:top w:val="nil"/>
              <w:left w:val="double" w:sz="4" w:space="0" w:color="auto"/>
              <w:bottom w:val="nil"/>
            </w:tcBorders>
            <w:vAlign w:val="center"/>
          </w:tcPr>
          <w:p w:rsidR="00922C37" w:rsidRPr="00261A05" w:rsidRDefault="00922C37" w:rsidP="00D70D69">
            <w:pPr>
              <w:ind w:right="42"/>
              <w:jc w:val="center"/>
            </w:pPr>
            <w:r>
              <w:t>-1.9</w:t>
            </w:r>
          </w:p>
        </w:tc>
        <w:tc>
          <w:tcPr>
            <w:tcW w:w="1035" w:type="dxa"/>
            <w:tcBorders>
              <w:top w:val="nil"/>
              <w:bottom w:val="nil"/>
            </w:tcBorders>
            <w:vAlign w:val="center"/>
          </w:tcPr>
          <w:p w:rsidR="00922C37" w:rsidRPr="00261A05" w:rsidRDefault="00922C37" w:rsidP="00D70D69">
            <w:pPr>
              <w:ind w:right="42"/>
              <w:jc w:val="center"/>
            </w:pPr>
            <w:r>
              <w:t>-0.7</w:t>
            </w:r>
          </w:p>
        </w:tc>
      </w:tr>
      <w:tr w:rsidR="00922C37" w:rsidRPr="0053729E" w:rsidTr="001048C8">
        <w:trPr>
          <w:trHeight w:val="370"/>
        </w:trPr>
        <w:tc>
          <w:tcPr>
            <w:tcW w:w="2718" w:type="dxa"/>
            <w:tcBorders>
              <w:top w:val="nil"/>
              <w:bottom w:val="nil"/>
            </w:tcBorders>
            <w:vAlign w:val="bottom"/>
          </w:tcPr>
          <w:p w:rsidR="00922C37" w:rsidRPr="0053729E" w:rsidRDefault="00922C37" w:rsidP="00E00B71">
            <w:pPr>
              <w:spacing w:line="288" w:lineRule="auto"/>
              <w:ind w:right="77"/>
              <w:rPr>
                <w:sz w:val="20"/>
                <w:szCs w:val="20"/>
              </w:rPr>
            </w:pPr>
            <w:r w:rsidRPr="0053729E">
              <w:rPr>
                <w:sz w:val="20"/>
                <w:szCs w:val="20"/>
              </w:rPr>
              <w:t>Passenger Cars</w:t>
            </w:r>
          </w:p>
        </w:tc>
        <w:tc>
          <w:tcPr>
            <w:tcW w:w="1418" w:type="dxa"/>
            <w:tcBorders>
              <w:top w:val="nil"/>
              <w:bottom w:val="nil"/>
            </w:tcBorders>
            <w:vAlign w:val="center"/>
          </w:tcPr>
          <w:p w:rsidR="00922C37" w:rsidRPr="00261A05" w:rsidRDefault="00922C37" w:rsidP="00D70D69">
            <w:pPr>
              <w:ind w:right="42"/>
              <w:jc w:val="center"/>
            </w:pPr>
            <w:r>
              <w:t>2.7</w:t>
            </w:r>
          </w:p>
        </w:tc>
        <w:tc>
          <w:tcPr>
            <w:tcW w:w="1417" w:type="dxa"/>
            <w:tcBorders>
              <w:top w:val="nil"/>
              <w:bottom w:val="nil"/>
            </w:tcBorders>
            <w:vAlign w:val="center"/>
          </w:tcPr>
          <w:p w:rsidR="00922C37" w:rsidRPr="00261A05" w:rsidRDefault="00922C37" w:rsidP="00D70D69">
            <w:pPr>
              <w:ind w:right="42"/>
              <w:jc w:val="center"/>
            </w:pPr>
            <w:r>
              <w:t>7.4</w:t>
            </w:r>
          </w:p>
        </w:tc>
        <w:tc>
          <w:tcPr>
            <w:tcW w:w="1276" w:type="dxa"/>
            <w:tcBorders>
              <w:top w:val="nil"/>
              <w:bottom w:val="nil"/>
            </w:tcBorders>
            <w:vAlign w:val="center"/>
          </w:tcPr>
          <w:p w:rsidR="00922C37" w:rsidRPr="00261A05" w:rsidRDefault="00922C37" w:rsidP="00D70D69">
            <w:pPr>
              <w:ind w:right="42"/>
              <w:jc w:val="center"/>
            </w:pPr>
            <w:r>
              <w:t>-4.1</w:t>
            </w:r>
          </w:p>
        </w:tc>
        <w:tc>
          <w:tcPr>
            <w:tcW w:w="1361" w:type="dxa"/>
            <w:tcBorders>
              <w:top w:val="nil"/>
              <w:bottom w:val="nil"/>
              <w:right w:val="double" w:sz="4" w:space="0" w:color="auto"/>
            </w:tcBorders>
            <w:vAlign w:val="center"/>
          </w:tcPr>
          <w:p w:rsidR="00922C37" w:rsidRPr="00261A05" w:rsidRDefault="00922C37" w:rsidP="00D70D69">
            <w:pPr>
              <w:ind w:right="42"/>
              <w:jc w:val="center"/>
            </w:pPr>
            <w:r>
              <w:t>**</w:t>
            </w:r>
          </w:p>
        </w:tc>
        <w:tc>
          <w:tcPr>
            <w:tcW w:w="1035" w:type="dxa"/>
            <w:tcBorders>
              <w:top w:val="nil"/>
              <w:left w:val="double" w:sz="4" w:space="0" w:color="auto"/>
              <w:bottom w:val="nil"/>
            </w:tcBorders>
            <w:vAlign w:val="center"/>
          </w:tcPr>
          <w:p w:rsidR="00922C37" w:rsidRPr="00261A05" w:rsidRDefault="00922C37" w:rsidP="00D70D69">
            <w:pPr>
              <w:ind w:right="42"/>
              <w:jc w:val="center"/>
            </w:pPr>
            <w:r>
              <w:t>1.4</w:t>
            </w:r>
          </w:p>
        </w:tc>
        <w:tc>
          <w:tcPr>
            <w:tcW w:w="1035" w:type="dxa"/>
            <w:tcBorders>
              <w:top w:val="nil"/>
              <w:bottom w:val="nil"/>
            </w:tcBorders>
            <w:vAlign w:val="center"/>
          </w:tcPr>
          <w:p w:rsidR="00922C37" w:rsidRPr="00261A05" w:rsidRDefault="00922C37" w:rsidP="00D70D69">
            <w:pPr>
              <w:ind w:right="42"/>
              <w:jc w:val="center"/>
            </w:pPr>
            <w:r>
              <w:t>5.2</w:t>
            </w:r>
          </w:p>
        </w:tc>
      </w:tr>
      <w:tr w:rsidR="00922C37" w:rsidRPr="0053729E" w:rsidTr="001048C8">
        <w:trPr>
          <w:trHeight w:val="370"/>
        </w:trPr>
        <w:tc>
          <w:tcPr>
            <w:tcW w:w="2718" w:type="dxa"/>
            <w:tcBorders>
              <w:top w:val="nil"/>
            </w:tcBorders>
            <w:vAlign w:val="bottom"/>
          </w:tcPr>
          <w:p w:rsidR="00922C37" w:rsidRPr="0053729E" w:rsidRDefault="00922C37" w:rsidP="00E00B71">
            <w:pPr>
              <w:spacing w:line="288" w:lineRule="auto"/>
              <w:ind w:right="77"/>
              <w:rPr>
                <w:sz w:val="20"/>
                <w:szCs w:val="20"/>
              </w:rPr>
            </w:pPr>
            <w:r w:rsidRPr="0053729E">
              <w:rPr>
                <w:sz w:val="20"/>
                <w:szCs w:val="20"/>
              </w:rPr>
              <w:t>Commercial Vehicles</w:t>
            </w:r>
          </w:p>
        </w:tc>
        <w:tc>
          <w:tcPr>
            <w:tcW w:w="1418" w:type="dxa"/>
            <w:tcBorders>
              <w:top w:val="nil"/>
            </w:tcBorders>
            <w:vAlign w:val="center"/>
          </w:tcPr>
          <w:p w:rsidR="00922C37" w:rsidRPr="00261A05" w:rsidRDefault="00922C37" w:rsidP="00D70D69">
            <w:pPr>
              <w:ind w:right="42"/>
              <w:jc w:val="center"/>
            </w:pPr>
            <w:r>
              <w:t>1.6</w:t>
            </w:r>
          </w:p>
        </w:tc>
        <w:tc>
          <w:tcPr>
            <w:tcW w:w="1417" w:type="dxa"/>
            <w:tcBorders>
              <w:top w:val="nil"/>
            </w:tcBorders>
            <w:vAlign w:val="center"/>
          </w:tcPr>
          <w:p w:rsidR="00922C37" w:rsidRPr="00261A05" w:rsidRDefault="00922C37" w:rsidP="00D70D69">
            <w:pPr>
              <w:ind w:right="42"/>
              <w:jc w:val="center"/>
            </w:pPr>
            <w:r>
              <w:t>4.2</w:t>
            </w:r>
          </w:p>
        </w:tc>
        <w:tc>
          <w:tcPr>
            <w:tcW w:w="1276" w:type="dxa"/>
            <w:tcBorders>
              <w:top w:val="nil"/>
            </w:tcBorders>
            <w:vAlign w:val="center"/>
          </w:tcPr>
          <w:p w:rsidR="00922C37" w:rsidRPr="00261A05" w:rsidRDefault="00922C37" w:rsidP="00D70D69">
            <w:pPr>
              <w:ind w:right="42"/>
              <w:jc w:val="center"/>
            </w:pPr>
            <w:r>
              <w:t>-1.1</w:t>
            </w:r>
          </w:p>
        </w:tc>
        <w:tc>
          <w:tcPr>
            <w:tcW w:w="1361" w:type="dxa"/>
            <w:tcBorders>
              <w:top w:val="nil"/>
              <w:right w:val="double" w:sz="4" w:space="0" w:color="auto"/>
            </w:tcBorders>
            <w:vAlign w:val="center"/>
          </w:tcPr>
          <w:p w:rsidR="00922C37" w:rsidRPr="00261A05" w:rsidRDefault="00922C37" w:rsidP="00D70D69">
            <w:pPr>
              <w:ind w:right="42"/>
              <w:jc w:val="center"/>
            </w:pPr>
            <w:r>
              <w:t>**</w:t>
            </w:r>
          </w:p>
        </w:tc>
        <w:tc>
          <w:tcPr>
            <w:tcW w:w="1035" w:type="dxa"/>
            <w:tcBorders>
              <w:top w:val="nil"/>
              <w:left w:val="double" w:sz="4" w:space="0" w:color="auto"/>
            </w:tcBorders>
            <w:vAlign w:val="center"/>
          </w:tcPr>
          <w:p w:rsidR="00922C37" w:rsidRPr="00261A05" w:rsidRDefault="00922C37" w:rsidP="00D70D69">
            <w:pPr>
              <w:ind w:right="42"/>
              <w:jc w:val="center"/>
            </w:pPr>
            <w:r>
              <w:t>-4.3</w:t>
            </w:r>
          </w:p>
        </w:tc>
        <w:tc>
          <w:tcPr>
            <w:tcW w:w="1035" w:type="dxa"/>
            <w:tcBorders>
              <w:top w:val="nil"/>
            </w:tcBorders>
            <w:vAlign w:val="center"/>
          </w:tcPr>
          <w:p w:rsidR="00922C37" w:rsidRPr="00261A05" w:rsidRDefault="00922C37" w:rsidP="00D70D69">
            <w:pPr>
              <w:ind w:right="42"/>
              <w:jc w:val="center"/>
            </w:pPr>
            <w:r>
              <w:t>5.3</w:t>
            </w:r>
          </w:p>
        </w:tc>
      </w:tr>
    </w:tbl>
    <w:p w:rsidR="008C6E50" w:rsidRPr="0053729E" w:rsidRDefault="00E823E8" w:rsidP="008D71E7">
      <w:pPr>
        <w:spacing w:line="276" w:lineRule="auto"/>
        <w:ind w:left="-540" w:right="42"/>
        <w:jc w:val="both"/>
        <w:rPr>
          <w:sz w:val="16"/>
          <w:szCs w:val="16"/>
        </w:rPr>
      </w:pPr>
      <w:r w:rsidRPr="0053729E">
        <w:rPr>
          <w:sz w:val="16"/>
          <w:szCs w:val="16"/>
        </w:rPr>
        <w:t xml:space="preserve">Source: </w:t>
      </w:r>
      <w:proofErr w:type="spellStart"/>
      <w:r w:rsidRPr="0053729E">
        <w:rPr>
          <w:sz w:val="16"/>
          <w:szCs w:val="16"/>
        </w:rPr>
        <w:t>TurkStat</w:t>
      </w:r>
      <w:proofErr w:type="spellEnd"/>
      <w:r w:rsidR="00AD6CE3">
        <w:rPr>
          <w:sz w:val="16"/>
          <w:szCs w:val="16"/>
        </w:rPr>
        <w:t xml:space="preserve">, </w:t>
      </w:r>
      <w:r w:rsidR="00E03485" w:rsidRPr="0053729E">
        <w:rPr>
          <w:sz w:val="16"/>
          <w:szCs w:val="16"/>
        </w:rPr>
        <w:t>CBRT</w:t>
      </w:r>
      <w:r w:rsidR="00AD6CE3">
        <w:rPr>
          <w:sz w:val="16"/>
          <w:szCs w:val="16"/>
        </w:rPr>
        <w:t xml:space="preserve">, </w:t>
      </w:r>
      <w:r w:rsidRPr="0053729E">
        <w:rPr>
          <w:sz w:val="16"/>
          <w:szCs w:val="16"/>
        </w:rPr>
        <w:t>Treasury</w:t>
      </w:r>
      <w:r w:rsidR="00AD6CE3">
        <w:rPr>
          <w:sz w:val="16"/>
          <w:szCs w:val="16"/>
        </w:rPr>
        <w:t xml:space="preserve">, </w:t>
      </w:r>
      <w:r w:rsidR="00E03485" w:rsidRPr="0053729E">
        <w:rPr>
          <w:sz w:val="16"/>
          <w:szCs w:val="16"/>
        </w:rPr>
        <w:t>ISE</w:t>
      </w:r>
      <w:r w:rsidR="00AD6CE3">
        <w:rPr>
          <w:sz w:val="16"/>
          <w:szCs w:val="16"/>
        </w:rPr>
        <w:t xml:space="preserve">, </w:t>
      </w:r>
      <w:r w:rsidRPr="0053729E">
        <w:rPr>
          <w:sz w:val="16"/>
          <w:szCs w:val="16"/>
        </w:rPr>
        <w:t>Betam. All series are real (or inflation adjusted) wherever necessary and seasonally adjusted.</w:t>
      </w:r>
    </w:p>
    <w:p w:rsidR="00E823E8" w:rsidRPr="0053729E" w:rsidRDefault="00E823E8" w:rsidP="008D71E7">
      <w:pPr>
        <w:spacing w:line="276" w:lineRule="auto"/>
        <w:ind w:left="-540" w:right="42"/>
        <w:jc w:val="both"/>
        <w:rPr>
          <w:sz w:val="16"/>
          <w:szCs w:val="16"/>
        </w:rPr>
      </w:pPr>
      <w:r w:rsidRPr="0053729E">
        <w:rPr>
          <w:sz w:val="16"/>
          <w:szCs w:val="16"/>
        </w:rPr>
        <w:t>*This tax is collected on sales of goods such as gas</w:t>
      </w:r>
      <w:r w:rsidR="00922C37">
        <w:rPr>
          <w:sz w:val="16"/>
          <w:szCs w:val="16"/>
        </w:rPr>
        <w:t xml:space="preserve">, </w:t>
      </w:r>
      <w:r w:rsidRPr="0053729E">
        <w:rPr>
          <w:sz w:val="16"/>
          <w:szCs w:val="16"/>
        </w:rPr>
        <w:t>fuel oils</w:t>
      </w:r>
      <w:r w:rsidR="00922C37">
        <w:rPr>
          <w:sz w:val="16"/>
          <w:szCs w:val="16"/>
        </w:rPr>
        <w:t xml:space="preserve">, </w:t>
      </w:r>
      <w:r w:rsidRPr="0053729E">
        <w:rPr>
          <w:sz w:val="16"/>
          <w:szCs w:val="16"/>
        </w:rPr>
        <w:t>alcohol</w:t>
      </w:r>
      <w:r w:rsidR="00922C37">
        <w:rPr>
          <w:sz w:val="16"/>
          <w:szCs w:val="16"/>
        </w:rPr>
        <w:t xml:space="preserve">, </w:t>
      </w:r>
      <w:r w:rsidRPr="0053729E">
        <w:rPr>
          <w:sz w:val="16"/>
          <w:szCs w:val="16"/>
        </w:rPr>
        <w:t>tobacco products and automobiles.</w:t>
      </w:r>
    </w:p>
    <w:p w:rsidR="00E823E8" w:rsidRPr="0053729E" w:rsidRDefault="00E823E8" w:rsidP="008D71E7">
      <w:pPr>
        <w:spacing w:line="276" w:lineRule="auto"/>
        <w:ind w:left="-540" w:right="42"/>
        <w:jc w:val="both"/>
        <w:rPr>
          <w:sz w:val="16"/>
          <w:szCs w:val="16"/>
        </w:rPr>
      </w:pPr>
      <w:r w:rsidRPr="0053729E">
        <w:rPr>
          <w:sz w:val="16"/>
          <w:szCs w:val="16"/>
        </w:rPr>
        <w:t>**Data not yet released</w:t>
      </w:r>
      <w:r w:rsidR="00544439" w:rsidRPr="0053729E">
        <w:rPr>
          <w:sz w:val="16"/>
          <w:szCs w:val="16"/>
        </w:rPr>
        <w:t>.</w:t>
      </w:r>
    </w:p>
    <w:p w:rsidR="00544439" w:rsidRPr="0053729E" w:rsidRDefault="00544439" w:rsidP="008D71E7">
      <w:pPr>
        <w:spacing w:line="276" w:lineRule="auto"/>
        <w:ind w:left="-540" w:right="42"/>
        <w:jc w:val="both"/>
        <w:rPr>
          <w:sz w:val="16"/>
          <w:szCs w:val="16"/>
        </w:rPr>
      </w:pPr>
      <w:r w:rsidRPr="0053729E">
        <w:rPr>
          <w:sz w:val="16"/>
          <w:szCs w:val="16"/>
        </w:rPr>
        <w:t>***</w:t>
      </w:r>
      <w:proofErr w:type="spellStart"/>
      <w:r w:rsidRPr="0053729E">
        <w:rPr>
          <w:sz w:val="16"/>
          <w:szCs w:val="16"/>
        </w:rPr>
        <w:t>Betam’s</w:t>
      </w:r>
      <w:proofErr w:type="spellEnd"/>
      <w:r w:rsidRPr="0053729E">
        <w:rPr>
          <w:sz w:val="16"/>
          <w:szCs w:val="16"/>
        </w:rPr>
        <w:t xml:space="preserve"> calculations: Nominal exports (imports) minus non-monetary </w:t>
      </w:r>
      <w:proofErr w:type="gramStart"/>
      <w:r w:rsidRPr="0053729E">
        <w:rPr>
          <w:sz w:val="16"/>
          <w:szCs w:val="16"/>
        </w:rPr>
        <w:t>gold</w:t>
      </w:r>
      <w:r w:rsidR="00922C37">
        <w:rPr>
          <w:sz w:val="16"/>
          <w:szCs w:val="16"/>
        </w:rPr>
        <w:t>,</w:t>
      </w:r>
      <w:proofErr w:type="gramEnd"/>
      <w:r w:rsidR="00922C37">
        <w:rPr>
          <w:sz w:val="16"/>
          <w:szCs w:val="16"/>
        </w:rPr>
        <w:t xml:space="preserve"> </w:t>
      </w:r>
      <w:r w:rsidRPr="0053729E">
        <w:rPr>
          <w:sz w:val="16"/>
          <w:szCs w:val="16"/>
        </w:rPr>
        <w:t>deflated</w:t>
      </w:r>
      <w:r w:rsidR="00922C37">
        <w:rPr>
          <w:sz w:val="16"/>
          <w:szCs w:val="16"/>
        </w:rPr>
        <w:t xml:space="preserve"> </w:t>
      </w:r>
      <w:r w:rsidR="008D71E7" w:rsidRPr="0053729E">
        <w:rPr>
          <w:sz w:val="16"/>
          <w:szCs w:val="16"/>
        </w:rPr>
        <w:t>using</w:t>
      </w:r>
      <w:r w:rsidRPr="0053729E">
        <w:rPr>
          <w:sz w:val="16"/>
          <w:szCs w:val="16"/>
        </w:rPr>
        <w:t xml:space="preserve"> the export (import) unit value index.</w:t>
      </w:r>
    </w:p>
    <w:p w:rsidR="00E03485" w:rsidRPr="0053729E" w:rsidRDefault="00E03485" w:rsidP="00150B84">
      <w:pPr>
        <w:ind w:right="42"/>
        <w:jc w:val="both"/>
        <w:rPr>
          <w:rFonts w:ascii="Arial" w:hAnsi="Arial" w:cs="Arial"/>
          <w:b/>
          <w:sz w:val="20"/>
          <w:szCs w:val="20"/>
        </w:rPr>
        <w:sectPr w:rsidR="00E03485" w:rsidRPr="0053729E" w:rsidSect="001E7720">
          <w:type w:val="continuous"/>
          <w:pgSz w:w="11906" w:h="16838"/>
          <w:pgMar w:top="1417" w:right="1417" w:bottom="1417" w:left="1417" w:header="708" w:footer="708" w:gutter="0"/>
          <w:cols w:space="708"/>
          <w:docGrid w:linePitch="360"/>
        </w:sectPr>
      </w:pPr>
    </w:p>
    <w:p w:rsidR="00706AE1" w:rsidRPr="0053729E" w:rsidRDefault="00706AE1" w:rsidP="000B3D82">
      <w:pPr>
        <w:ind w:right="42"/>
        <w:jc w:val="both"/>
        <w:rPr>
          <w:rFonts w:ascii="Arial" w:hAnsi="Arial" w:cs="Arial"/>
          <w:b/>
          <w:sz w:val="20"/>
          <w:szCs w:val="20"/>
        </w:rPr>
      </w:pPr>
    </w:p>
    <w:p w:rsidR="00167CA4" w:rsidRDefault="00167CA4" w:rsidP="006B60DC">
      <w:pPr>
        <w:ind w:left="-360" w:right="42"/>
        <w:jc w:val="both"/>
        <w:rPr>
          <w:b/>
          <w:sz w:val="20"/>
          <w:szCs w:val="20"/>
        </w:rPr>
      </w:pPr>
    </w:p>
    <w:p w:rsidR="00167CA4" w:rsidRDefault="00167CA4" w:rsidP="006B60DC">
      <w:pPr>
        <w:ind w:left="-360" w:right="42"/>
        <w:jc w:val="both"/>
        <w:rPr>
          <w:b/>
          <w:sz w:val="20"/>
          <w:szCs w:val="20"/>
        </w:rPr>
      </w:pPr>
    </w:p>
    <w:p w:rsidR="00167CA4" w:rsidRDefault="00167CA4" w:rsidP="006B60DC">
      <w:pPr>
        <w:ind w:left="-360" w:right="42"/>
        <w:jc w:val="both"/>
        <w:rPr>
          <w:b/>
          <w:sz w:val="20"/>
          <w:szCs w:val="20"/>
        </w:rPr>
      </w:pPr>
    </w:p>
    <w:p w:rsidR="00167CA4" w:rsidRDefault="00167CA4" w:rsidP="006B60DC">
      <w:pPr>
        <w:ind w:left="-360" w:right="42"/>
        <w:jc w:val="both"/>
        <w:rPr>
          <w:b/>
          <w:sz w:val="20"/>
          <w:szCs w:val="20"/>
        </w:rPr>
      </w:pPr>
    </w:p>
    <w:p w:rsidR="00167CA4" w:rsidRDefault="00167CA4" w:rsidP="006B60DC">
      <w:pPr>
        <w:ind w:left="-360" w:right="42"/>
        <w:jc w:val="both"/>
        <w:rPr>
          <w:b/>
          <w:sz w:val="20"/>
          <w:szCs w:val="20"/>
        </w:rPr>
      </w:pPr>
    </w:p>
    <w:p w:rsidR="00695E7E" w:rsidRDefault="00695E7E" w:rsidP="006B60DC">
      <w:pPr>
        <w:ind w:left="-360" w:right="42"/>
        <w:jc w:val="both"/>
        <w:rPr>
          <w:b/>
          <w:sz w:val="20"/>
          <w:szCs w:val="20"/>
        </w:rPr>
      </w:pPr>
    </w:p>
    <w:p w:rsidR="002F72AA" w:rsidRDefault="002F72AA" w:rsidP="006B60DC">
      <w:pPr>
        <w:ind w:left="-360" w:right="42"/>
        <w:jc w:val="both"/>
        <w:rPr>
          <w:b/>
          <w:sz w:val="20"/>
          <w:szCs w:val="20"/>
        </w:rPr>
      </w:pPr>
    </w:p>
    <w:p w:rsidR="00695E7E" w:rsidRDefault="00695E7E" w:rsidP="006B60DC">
      <w:pPr>
        <w:ind w:left="-360" w:right="42"/>
        <w:jc w:val="both"/>
        <w:rPr>
          <w:b/>
          <w:sz w:val="20"/>
          <w:szCs w:val="20"/>
        </w:rPr>
      </w:pPr>
    </w:p>
    <w:p w:rsidR="00695E7E" w:rsidRDefault="00695E7E" w:rsidP="006B60DC">
      <w:pPr>
        <w:ind w:left="-360" w:right="42"/>
        <w:jc w:val="both"/>
        <w:rPr>
          <w:b/>
          <w:sz w:val="20"/>
          <w:szCs w:val="20"/>
        </w:rPr>
      </w:pPr>
    </w:p>
    <w:p w:rsidR="004A6059" w:rsidRDefault="004A6059" w:rsidP="006B60DC">
      <w:pPr>
        <w:ind w:left="-360" w:right="42"/>
        <w:jc w:val="both"/>
        <w:rPr>
          <w:b/>
          <w:sz w:val="20"/>
          <w:szCs w:val="20"/>
        </w:rPr>
      </w:pPr>
    </w:p>
    <w:p w:rsidR="004A6059" w:rsidRDefault="004A6059" w:rsidP="006B60DC">
      <w:pPr>
        <w:ind w:left="-360" w:right="42"/>
        <w:jc w:val="both"/>
        <w:rPr>
          <w:b/>
          <w:sz w:val="20"/>
          <w:szCs w:val="20"/>
        </w:rPr>
      </w:pPr>
    </w:p>
    <w:p w:rsidR="004A6059" w:rsidRDefault="004A6059" w:rsidP="006B60DC">
      <w:pPr>
        <w:ind w:left="-360" w:right="42"/>
        <w:jc w:val="both"/>
        <w:rPr>
          <w:b/>
          <w:sz w:val="20"/>
          <w:szCs w:val="20"/>
        </w:rPr>
      </w:pPr>
    </w:p>
    <w:p w:rsidR="004A6059" w:rsidRDefault="004A6059" w:rsidP="006B60DC">
      <w:pPr>
        <w:ind w:left="-360" w:right="42"/>
        <w:jc w:val="both"/>
        <w:rPr>
          <w:b/>
          <w:sz w:val="20"/>
          <w:szCs w:val="20"/>
        </w:rPr>
      </w:pPr>
    </w:p>
    <w:p w:rsidR="004A6059" w:rsidRDefault="004A6059" w:rsidP="006B60DC">
      <w:pPr>
        <w:ind w:left="-360" w:right="42"/>
        <w:jc w:val="both"/>
        <w:rPr>
          <w:b/>
          <w:sz w:val="20"/>
          <w:szCs w:val="20"/>
        </w:rPr>
      </w:pPr>
    </w:p>
    <w:p w:rsidR="003A3575" w:rsidRPr="0053729E" w:rsidRDefault="00AC630B" w:rsidP="006B60DC">
      <w:pPr>
        <w:ind w:left="-360" w:right="42"/>
        <w:jc w:val="both"/>
        <w:rPr>
          <w:b/>
          <w:sz w:val="20"/>
          <w:szCs w:val="20"/>
        </w:rPr>
      </w:pPr>
      <w:r w:rsidRPr="0053729E">
        <w:rPr>
          <w:b/>
          <w:sz w:val="20"/>
          <w:szCs w:val="20"/>
        </w:rPr>
        <w:t>Figure</w:t>
      </w:r>
      <w:r w:rsidR="003A3575" w:rsidRPr="0053729E">
        <w:rPr>
          <w:b/>
          <w:sz w:val="20"/>
          <w:szCs w:val="20"/>
        </w:rPr>
        <w:t xml:space="preserve"> 1: </w:t>
      </w:r>
      <w:r w:rsidRPr="0053729E">
        <w:rPr>
          <w:b/>
          <w:sz w:val="20"/>
          <w:szCs w:val="20"/>
        </w:rPr>
        <w:t>Capacity utilization rate and industrial production index</w:t>
      </w:r>
      <w:r w:rsidR="003A3575" w:rsidRPr="0053729E">
        <w:rPr>
          <w:b/>
          <w:sz w:val="20"/>
          <w:szCs w:val="20"/>
        </w:rPr>
        <w:t xml:space="preserve"> (</w:t>
      </w:r>
      <w:proofErr w:type="spellStart"/>
      <w:proofErr w:type="gramStart"/>
      <w:r w:rsidRPr="0053729E">
        <w:rPr>
          <w:b/>
          <w:sz w:val="20"/>
          <w:szCs w:val="20"/>
        </w:rPr>
        <w:t>s</w:t>
      </w:r>
      <w:r w:rsidR="00F65107" w:rsidRPr="0053729E">
        <w:rPr>
          <w:b/>
          <w:sz w:val="20"/>
          <w:szCs w:val="20"/>
        </w:rPr>
        <w:t>a</w:t>
      </w:r>
      <w:proofErr w:type="spellEnd"/>
      <w:proofErr w:type="gramEnd"/>
      <w:r w:rsidR="00223638">
        <w:rPr>
          <w:b/>
          <w:sz w:val="20"/>
          <w:szCs w:val="20"/>
        </w:rPr>
        <w:t>,</w:t>
      </w:r>
      <w:r w:rsidRPr="0053729E">
        <w:rPr>
          <w:b/>
          <w:sz w:val="20"/>
          <w:szCs w:val="20"/>
        </w:rPr>
        <w:t xml:space="preserve"> left axis for CUR and right axis for IPI</w:t>
      </w:r>
      <w:r w:rsidR="003A3575" w:rsidRPr="0053729E">
        <w:rPr>
          <w:b/>
          <w:sz w:val="20"/>
          <w:szCs w:val="20"/>
        </w:rPr>
        <w:t>)</w:t>
      </w:r>
    </w:p>
    <w:p w:rsidR="003A3575" w:rsidRPr="0053729E" w:rsidRDefault="0034388F" w:rsidP="008944FC">
      <w:pPr>
        <w:ind w:left="-360" w:right="42"/>
        <w:jc w:val="both"/>
        <w:rPr>
          <w:szCs w:val="20"/>
        </w:rPr>
      </w:pPr>
      <w:r w:rsidRPr="0034388F">
        <w:rPr>
          <w:noProof/>
          <w:szCs w:val="20"/>
          <w:lang w:val="tr-TR"/>
        </w:rPr>
        <w:drawing>
          <wp:inline distT="0" distB="0" distL="0" distR="0">
            <wp:extent cx="2655570" cy="2231814"/>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655570" cy="2231814"/>
                    </a:xfrm>
                    <a:prstGeom prst="rect">
                      <a:avLst/>
                    </a:prstGeom>
                    <a:noFill/>
                    <a:ln w="9525">
                      <a:noFill/>
                      <a:miter lim="800000"/>
                      <a:headEnd/>
                      <a:tailEnd/>
                    </a:ln>
                  </pic:spPr>
                </pic:pic>
              </a:graphicData>
            </a:graphic>
          </wp:inline>
        </w:drawing>
      </w:r>
    </w:p>
    <w:p w:rsidR="00486239" w:rsidRPr="00F7696B" w:rsidRDefault="00AC630B" w:rsidP="008944FC">
      <w:pPr>
        <w:ind w:left="-360" w:right="42"/>
        <w:jc w:val="both"/>
        <w:rPr>
          <w:sz w:val="16"/>
          <w:szCs w:val="16"/>
        </w:rPr>
      </w:pPr>
      <w:r w:rsidRPr="0053729E">
        <w:rPr>
          <w:sz w:val="16"/>
          <w:szCs w:val="16"/>
        </w:rPr>
        <w:t>Source</w:t>
      </w:r>
      <w:r w:rsidR="003A3575" w:rsidRPr="0053729E">
        <w:rPr>
          <w:sz w:val="16"/>
          <w:szCs w:val="16"/>
        </w:rPr>
        <w:t>:</w:t>
      </w:r>
      <w:r w:rsidR="0067663A">
        <w:rPr>
          <w:sz w:val="16"/>
          <w:szCs w:val="16"/>
        </w:rPr>
        <w:t xml:space="preserve"> </w:t>
      </w:r>
      <w:proofErr w:type="spellStart"/>
      <w:r w:rsidRPr="0053729E">
        <w:rPr>
          <w:sz w:val="16"/>
          <w:szCs w:val="16"/>
        </w:rPr>
        <w:t>TurkStat</w:t>
      </w:r>
      <w:proofErr w:type="spellEnd"/>
      <w:r w:rsidR="00AD6CE3">
        <w:rPr>
          <w:sz w:val="16"/>
          <w:szCs w:val="16"/>
        </w:rPr>
        <w:t>,</w:t>
      </w:r>
      <w:r w:rsidR="0067663A">
        <w:rPr>
          <w:sz w:val="16"/>
          <w:szCs w:val="16"/>
        </w:rPr>
        <w:t xml:space="preserve"> </w:t>
      </w:r>
      <w:r w:rsidR="003A3575" w:rsidRPr="0053729E">
        <w:rPr>
          <w:sz w:val="16"/>
          <w:szCs w:val="16"/>
        </w:rPr>
        <w:t>Betam</w:t>
      </w:r>
      <w:r w:rsidR="00544439" w:rsidRPr="0053729E">
        <w:rPr>
          <w:sz w:val="16"/>
          <w:szCs w:val="16"/>
        </w:rPr>
        <w:t>.</w:t>
      </w:r>
    </w:p>
    <w:p w:rsidR="00F7696B" w:rsidRDefault="00F7696B" w:rsidP="008944FC">
      <w:pPr>
        <w:ind w:left="-360" w:right="42"/>
        <w:jc w:val="both"/>
        <w:rPr>
          <w:b/>
          <w:sz w:val="20"/>
          <w:szCs w:val="20"/>
        </w:rPr>
      </w:pPr>
    </w:p>
    <w:p w:rsidR="00F7696B" w:rsidRDefault="00F7696B" w:rsidP="008944FC">
      <w:pPr>
        <w:ind w:left="-360" w:right="42"/>
        <w:jc w:val="both"/>
        <w:rPr>
          <w:b/>
          <w:sz w:val="20"/>
          <w:szCs w:val="20"/>
        </w:rPr>
      </w:pPr>
    </w:p>
    <w:p w:rsidR="00F7696B" w:rsidRDefault="00F7696B" w:rsidP="008944FC">
      <w:pPr>
        <w:ind w:left="-360" w:right="42"/>
        <w:jc w:val="both"/>
        <w:rPr>
          <w:b/>
          <w:sz w:val="20"/>
          <w:szCs w:val="20"/>
        </w:rPr>
      </w:pPr>
    </w:p>
    <w:p w:rsidR="00F7696B" w:rsidRDefault="00F7696B" w:rsidP="008944FC">
      <w:pPr>
        <w:ind w:left="-360" w:right="42"/>
        <w:jc w:val="both"/>
        <w:rPr>
          <w:b/>
          <w:sz w:val="20"/>
          <w:szCs w:val="20"/>
        </w:rPr>
      </w:pPr>
    </w:p>
    <w:p w:rsidR="00C3029B" w:rsidRPr="0053729E" w:rsidRDefault="00AC630B" w:rsidP="008944FC">
      <w:pPr>
        <w:ind w:left="-360" w:right="42"/>
        <w:jc w:val="both"/>
        <w:rPr>
          <w:b/>
          <w:sz w:val="20"/>
          <w:szCs w:val="20"/>
        </w:rPr>
      </w:pPr>
      <w:r w:rsidRPr="0053729E">
        <w:rPr>
          <w:b/>
          <w:sz w:val="20"/>
          <w:szCs w:val="20"/>
        </w:rPr>
        <w:t>Figure</w:t>
      </w:r>
      <w:r w:rsidR="007067F4" w:rsidRPr="0053729E">
        <w:rPr>
          <w:b/>
          <w:sz w:val="20"/>
          <w:szCs w:val="20"/>
        </w:rPr>
        <w:t xml:space="preserve"> 2: </w:t>
      </w:r>
      <w:r w:rsidRPr="0053729E">
        <w:rPr>
          <w:b/>
          <w:sz w:val="20"/>
          <w:szCs w:val="20"/>
        </w:rPr>
        <w:t>Volume indices of exports and imports</w:t>
      </w:r>
      <w:r w:rsidR="007067F4" w:rsidRPr="0053729E">
        <w:rPr>
          <w:b/>
          <w:sz w:val="20"/>
          <w:szCs w:val="20"/>
        </w:rPr>
        <w:t xml:space="preserve"> (</w:t>
      </w:r>
      <w:proofErr w:type="spellStart"/>
      <w:proofErr w:type="gramStart"/>
      <w:r w:rsidRPr="0053729E">
        <w:rPr>
          <w:b/>
          <w:sz w:val="20"/>
          <w:szCs w:val="20"/>
        </w:rPr>
        <w:t>sa</w:t>
      </w:r>
      <w:proofErr w:type="spellEnd"/>
      <w:proofErr w:type="gramEnd"/>
      <w:r w:rsidR="007067F4" w:rsidRPr="0053729E">
        <w:rPr>
          <w:b/>
          <w:sz w:val="20"/>
          <w:szCs w:val="20"/>
        </w:rPr>
        <w:t>)</w:t>
      </w:r>
    </w:p>
    <w:p w:rsidR="007067F4" w:rsidRPr="00311464" w:rsidRDefault="00486239" w:rsidP="00311464">
      <w:pPr>
        <w:ind w:left="-360" w:right="42"/>
        <w:rPr>
          <w:sz w:val="16"/>
          <w:szCs w:val="16"/>
        </w:rPr>
        <w:sectPr w:rsidR="007067F4" w:rsidRPr="00311464" w:rsidSect="007067F4">
          <w:type w:val="continuous"/>
          <w:pgSz w:w="11906" w:h="16838"/>
          <w:pgMar w:top="1417" w:right="1417" w:bottom="1417" w:left="1417" w:header="708" w:footer="708" w:gutter="0"/>
          <w:cols w:num="2" w:space="708" w:equalWidth="0">
            <w:col w:w="4182" w:space="708"/>
            <w:col w:w="4182"/>
          </w:cols>
          <w:docGrid w:linePitch="360"/>
        </w:sectPr>
      </w:pPr>
      <w:r w:rsidRPr="0053729E">
        <w:rPr>
          <w:sz w:val="20"/>
          <w:szCs w:val="20"/>
        </w:rPr>
        <w:br/>
      </w:r>
      <w:r w:rsidR="00D4205B" w:rsidRPr="0053729E">
        <w:rPr>
          <w:sz w:val="16"/>
          <w:szCs w:val="16"/>
        </w:rPr>
        <w:br/>
      </w:r>
      <w:r w:rsidR="00403A03" w:rsidRPr="00403A03">
        <w:rPr>
          <w:noProof/>
          <w:szCs w:val="16"/>
          <w:lang w:val="tr-TR"/>
        </w:rPr>
        <w:drawing>
          <wp:inline distT="0" distB="0" distL="0" distR="0">
            <wp:extent cx="2655570" cy="2296130"/>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655570" cy="2296130"/>
                    </a:xfrm>
                    <a:prstGeom prst="rect">
                      <a:avLst/>
                    </a:prstGeom>
                    <a:noFill/>
                    <a:ln w="9525">
                      <a:noFill/>
                      <a:miter lim="800000"/>
                      <a:headEnd/>
                      <a:tailEnd/>
                    </a:ln>
                  </pic:spPr>
                </pic:pic>
              </a:graphicData>
            </a:graphic>
          </wp:inline>
        </w:drawing>
      </w:r>
      <w:r w:rsidR="00D4205B" w:rsidRPr="0053729E">
        <w:rPr>
          <w:sz w:val="16"/>
          <w:szCs w:val="16"/>
        </w:rPr>
        <w:br/>
        <w:t xml:space="preserve">Source: </w:t>
      </w:r>
      <w:proofErr w:type="spellStart"/>
      <w:r w:rsidR="00D4205B" w:rsidRPr="0053729E">
        <w:rPr>
          <w:sz w:val="16"/>
          <w:szCs w:val="16"/>
        </w:rPr>
        <w:t>Turkstat</w:t>
      </w:r>
      <w:proofErr w:type="spellEnd"/>
      <w:r w:rsidR="00AD6CE3">
        <w:rPr>
          <w:sz w:val="16"/>
          <w:szCs w:val="16"/>
        </w:rPr>
        <w:t>,</w:t>
      </w:r>
      <w:r w:rsidR="00311464">
        <w:rPr>
          <w:sz w:val="16"/>
          <w:szCs w:val="16"/>
        </w:rPr>
        <w:t xml:space="preserve"> Betam.</w:t>
      </w:r>
    </w:p>
    <w:p w:rsidR="006878EA" w:rsidRDefault="006878EA" w:rsidP="001E4BF5">
      <w:pPr>
        <w:spacing w:line="360" w:lineRule="auto"/>
        <w:ind w:left="-360" w:right="42"/>
        <w:jc w:val="both"/>
        <w:rPr>
          <w:b/>
          <w:sz w:val="20"/>
          <w:szCs w:val="20"/>
        </w:rPr>
      </w:pPr>
    </w:p>
    <w:p w:rsidR="00311464" w:rsidRDefault="00311464" w:rsidP="001E4BF5">
      <w:pPr>
        <w:spacing w:line="360" w:lineRule="auto"/>
        <w:ind w:left="-360" w:right="42"/>
        <w:jc w:val="both"/>
        <w:rPr>
          <w:b/>
          <w:sz w:val="20"/>
          <w:szCs w:val="20"/>
        </w:rPr>
        <w:sectPr w:rsidR="00311464" w:rsidSect="001E7720">
          <w:type w:val="continuous"/>
          <w:pgSz w:w="11906" w:h="16838"/>
          <w:pgMar w:top="1417" w:right="1417" w:bottom="1417" w:left="1417" w:header="708" w:footer="708" w:gutter="0"/>
          <w:cols w:space="708"/>
          <w:docGrid w:linePitch="360"/>
        </w:sectPr>
      </w:pPr>
    </w:p>
    <w:p w:rsidR="00311464" w:rsidRPr="0053729E" w:rsidRDefault="00311464" w:rsidP="00311464">
      <w:pPr>
        <w:ind w:left="-360" w:right="42"/>
        <w:jc w:val="both"/>
        <w:rPr>
          <w:b/>
          <w:sz w:val="20"/>
          <w:szCs w:val="20"/>
        </w:rPr>
      </w:pPr>
      <w:r w:rsidRPr="0053729E">
        <w:rPr>
          <w:b/>
          <w:sz w:val="20"/>
          <w:szCs w:val="20"/>
        </w:rPr>
        <w:lastRenderedPageBreak/>
        <w:t>Figure</w:t>
      </w:r>
      <w:r>
        <w:rPr>
          <w:b/>
          <w:sz w:val="20"/>
          <w:szCs w:val="20"/>
        </w:rPr>
        <w:t xml:space="preserve"> 3</w:t>
      </w:r>
      <w:r w:rsidRPr="0053729E">
        <w:rPr>
          <w:b/>
          <w:sz w:val="20"/>
          <w:szCs w:val="20"/>
        </w:rPr>
        <w:t xml:space="preserve">: </w:t>
      </w:r>
      <w:r>
        <w:rPr>
          <w:b/>
          <w:sz w:val="20"/>
          <w:szCs w:val="20"/>
        </w:rPr>
        <w:t>Gold included current account deficit to GDP ratio, 12 months</w:t>
      </w:r>
    </w:p>
    <w:p w:rsidR="00311464" w:rsidRPr="0053729E" w:rsidRDefault="00403A03" w:rsidP="00311464">
      <w:pPr>
        <w:ind w:left="-360" w:right="42"/>
        <w:jc w:val="both"/>
        <w:rPr>
          <w:szCs w:val="20"/>
        </w:rPr>
      </w:pPr>
      <w:r w:rsidRPr="00403A03">
        <w:rPr>
          <w:noProof/>
          <w:szCs w:val="20"/>
          <w:lang w:val="tr-TR"/>
        </w:rPr>
        <w:drawing>
          <wp:inline distT="0" distB="0" distL="0" distR="0">
            <wp:extent cx="2655570" cy="2227184"/>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655570" cy="2227184"/>
                    </a:xfrm>
                    <a:prstGeom prst="rect">
                      <a:avLst/>
                    </a:prstGeom>
                    <a:noFill/>
                    <a:ln w="9525">
                      <a:noFill/>
                      <a:miter lim="800000"/>
                      <a:headEnd/>
                      <a:tailEnd/>
                    </a:ln>
                  </pic:spPr>
                </pic:pic>
              </a:graphicData>
            </a:graphic>
          </wp:inline>
        </w:drawing>
      </w:r>
    </w:p>
    <w:p w:rsidR="00311464" w:rsidRPr="00F7696B" w:rsidRDefault="00311464" w:rsidP="00311464">
      <w:pPr>
        <w:ind w:left="-360" w:right="42"/>
        <w:jc w:val="both"/>
        <w:rPr>
          <w:sz w:val="16"/>
          <w:szCs w:val="16"/>
        </w:rPr>
      </w:pPr>
      <w:proofErr w:type="spellStart"/>
      <w:r w:rsidRPr="0053729E">
        <w:rPr>
          <w:sz w:val="16"/>
          <w:szCs w:val="16"/>
        </w:rPr>
        <w:t>Source</w:t>
      </w:r>
      <w:proofErr w:type="gramStart"/>
      <w:r w:rsidRPr="0053729E">
        <w:rPr>
          <w:sz w:val="16"/>
          <w:szCs w:val="16"/>
        </w:rPr>
        <w:t>:TurkStat</w:t>
      </w:r>
      <w:proofErr w:type="spellEnd"/>
      <w:proofErr w:type="gramEnd"/>
      <w:r w:rsidR="00AD6CE3">
        <w:rPr>
          <w:sz w:val="16"/>
          <w:szCs w:val="16"/>
        </w:rPr>
        <w:t xml:space="preserve">, </w:t>
      </w:r>
      <w:proofErr w:type="spellStart"/>
      <w:r w:rsidR="00AD6CE3">
        <w:rPr>
          <w:sz w:val="16"/>
          <w:szCs w:val="16"/>
        </w:rPr>
        <w:t>TCMB,</w:t>
      </w:r>
      <w:r w:rsidRPr="0053729E">
        <w:rPr>
          <w:sz w:val="16"/>
          <w:szCs w:val="16"/>
        </w:rPr>
        <w:t>Betam</w:t>
      </w:r>
      <w:proofErr w:type="spellEnd"/>
      <w:r w:rsidRPr="0053729E">
        <w:rPr>
          <w:sz w:val="16"/>
          <w:szCs w:val="16"/>
        </w:rPr>
        <w:t>.</w:t>
      </w:r>
    </w:p>
    <w:p w:rsidR="00311464" w:rsidRDefault="00311464" w:rsidP="00311464">
      <w:pPr>
        <w:ind w:left="-360" w:right="42"/>
        <w:jc w:val="both"/>
        <w:rPr>
          <w:b/>
          <w:sz w:val="20"/>
          <w:szCs w:val="20"/>
        </w:rPr>
      </w:pPr>
    </w:p>
    <w:p w:rsidR="00311464" w:rsidRDefault="00311464" w:rsidP="00311464">
      <w:pPr>
        <w:ind w:left="-360" w:right="42"/>
        <w:jc w:val="both"/>
        <w:rPr>
          <w:b/>
          <w:sz w:val="20"/>
          <w:szCs w:val="20"/>
        </w:rPr>
      </w:pPr>
    </w:p>
    <w:p w:rsidR="00311464" w:rsidRDefault="00311464" w:rsidP="00311464">
      <w:pPr>
        <w:ind w:left="-360" w:right="42"/>
        <w:jc w:val="both"/>
        <w:rPr>
          <w:b/>
          <w:sz w:val="20"/>
          <w:szCs w:val="20"/>
        </w:rPr>
      </w:pPr>
    </w:p>
    <w:p w:rsidR="00311464" w:rsidRDefault="00311464" w:rsidP="00311464">
      <w:pPr>
        <w:ind w:left="-360" w:right="42"/>
        <w:jc w:val="both"/>
        <w:rPr>
          <w:b/>
          <w:sz w:val="20"/>
          <w:szCs w:val="20"/>
        </w:rPr>
      </w:pPr>
    </w:p>
    <w:p w:rsidR="00311464" w:rsidRPr="00311464" w:rsidRDefault="00311464" w:rsidP="00311464">
      <w:pPr>
        <w:ind w:left="-360" w:right="42"/>
        <w:rPr>
          <w:b/>
          <w:sz w:val="20"/>
          <w:szCs w:val="20"/>
        </w:rPr>
        <w:sectPr w:rsidR="00311464" w:rsidRPr="00311464" w:rsidSect="007067F4">
          <w:type w:val="continuous"/>
          <w:pgSz w:w="11906" w:h="16838"/>
          <w:pgMar w:top="1417" w:right="1417" w:bottom="1417" w:left="1417" w:header="708" w:footer="708" w:gutter="0"/>
          <w:cols w:num="2" w:space="708" w:equalWidth="0">
            <w:col w:w="4182" w:space="708"/>
            <w:col w:w="4182"/>
          </w:cols>
          <w:docGrid w:linePitch="360"/>
        </w:sectPr>
      </w:pPr>
      <w:r w:rsidRPr="0053729E">
        <w:rPr>
          <w:b/>
          <w:sz w:val="20"/>
          <w:szCs w:val="20"/>
        </w:rPr>
        <w:lastRenderedPageBreak/>
        <w:t>Figure</w:t>
      </w:r>
      <w:r>
        <w:rPr>
          <w:b/>
          <w:sz w:val="20"/>
          <w:szCs w:val="20"/>
        </w:rPr>
        <w:t xml:space="preserve"> 4</w:t>
      </w:r>
      <w:r w:rsidRPr="0053729E">
        <w:rPr>
          <w:b/>
          <w:sz w:val="20"/>
          <w:szCs w:val="20"/>
        </w:rPr>
        <w:t xml:space="preserve">: </w:t>
      </w:r>
      <w:r w:rsidRPr="00311464">
        <w:rPr>
          <w:b/>
          <w:sz w:val="20"/>
          <w:szCs w:val="20"/>
        </w:rPr>
        <w:t xml:space="preserve">Gold </w:t>
      </w:r>
      <w:r w:rsidR="00AD6CE3">
        <w:rPr>
          <w:b/>
          <w:sz w:val="20"/>
          <w:szCs w:val="20"/>
        </w:rPr>
        <w:t>excluded</w:t>
      </w:r>
      <w:r w:rsidRPr="00311464">
        <w:rPr>
          <w:b/>
          <w:sz w:val="20"/>
          <w:szCs w:val="20"/>
        </w:rPr>
        <w:t xml:space="preserve"> current account deficit to GDP ratio, 12 month</w:t>
      </w:r>
      <w:r>
        <w:rPr>
          <w:b/>
          <w:sz w:val="20"/>
          <w:szCs w:val="20"/>
        </w:rPr>
        <w:t>s</w:t>
      </w:r>
      <w:r w:rsidRPr="0053729E">
        <w:rPr>
          <w:sz w:val="16"/>
          <w:szCs w:val="16"/>
        </w:rPr>
        <w:br/>
      </w:r>
      <w:r w:rsidR="00403A03" w:rsidRPr="00403A03">
        <w:rPr>
          <w:noProof/>
          <w:szCs w:val="16"/>
          <w:lang w:val="tr-TR"/>
        </w:rPr>
        <w:drawing>
          <wp:inline distT="0" distB="0" distL="0" distR="0">
            <wp:extent cx="2655570" cy="2250528"/>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2655570" cy="2250528"/>
                    </a:xfrm>
                    <a:prstGeom prst="rect">
                      <a:avLst/>
                    </a:prstGeom>
                    <a:noFill/>
                    <a:ln w="9525">
                      <a:noFill/>
                      <a:miter lim="800000"/>
                      <a:headEnd/>
                      <a:tailEnd/>
                    </a:ln>
                  </pic:spPr>
                </pic:pic>
              </a:graphicData>
            </a:graphic>
          </wp:inline>
        </w:drawing>
      </w:r>
      <w:r w:rsidRPr="0053729E">
        <w:rPr>
          <w:sz w:val="16"/>
          <w:szCs w:val="16"/>
        </w:rPr>
        <w:br/>
        <w:t xml:space="preserve">Source: </w:t>
      </w:r>
      <w:proofErr w:type="spellStart"/>
      <w:r w:rsidRPr="0053729E">
        <w:rPr>
          <w:sz w:val="16"/>
          <w:szCs w:val="16"/>
        </w:rPr>
        <w:t>Turkstat</w:t>
      </w:r>
      <w:proofErr w:type="spellEnd"/>
      <w:r w:rsidR="00AD6CE3">
        <w:rPr>
          <w:sz w:val="16"/>
          <w:szCs w:val="16"/>
        </w:rPr>
        <w:t xml:space="preserve">, </w:t>
      </w:r>
      <w:proofErr w:type="spellStart"/>
      <w:r w:rsidR="00AD6CE3">
        <w:rPr>
          <w:sz w:val="16"/>
          <w:szCs w:val="16"/>
        </w:rPr>
        <w:t>TCMB</w:t>
      </w:r>
      <w:proofErr w:type="gramStart"/>
      <w:r w:rsidR="00AD6CE3">
        <w:rPr>
          <w:sz w:val="16"/>
          <w:szCs w:val="16"/>
        </w:rPr>
        <w:t>,</w:t>
      </w:r>
      <w:r>
        <w:rPr>
          <w:sz w:val="16"/>
          <w:szCs w:val="16"/>
        </w:rPr>
        <w:t>Betam</w:t>
      </w:r>
      <w:proofErr w:type="spellEnd"/>
      <w:proofErr w:type="gramEnd"/>
      <w:r>
        <w:rPr>
          <w:sz w:val="16"/>
          <w:szCs w:val="16"/>
        </w:rPr>
        <w:t>.</w:t>
      </w:r>
    </w:p>
    <w:p w:rsidR="00311464" w:rsidRDefault="00311464" w:rsidP="001E4BF5">
      <w:pPr>
        <w:spacing w:line="360" w:lineRule="auto"/>
        <w:ind w:left="-360" w:right="42"/>
        <w:jc w:val="both"/>
        <w:rPr>
          <w:b/>
          <w:sz w:val="20"/>
          <w:szCs w:val="20"/>
        </w:rPr>
      </w:pPr>
    </w:p>
    <w:p w:rsidR="00AD6CE3" w:rsidRDefault="00AD6CE3" w:rsidP="001E4BF5">
      <w:pPr>
        <w:spacing w:line="360" w:lineRule="auto"/>
        <w:ind w:left="-360" w:right="42"/>
        <w:jc w:val="both"/>
        <w:rPr>
          <w:b/>
          <w:sz w:val="20"/>
          <w:szCs w:val="20"/>
        </w:rPr>
      </w:pPr>
    </w:p>
    <w:p w:rsidR="00AD6CE3" w:rsidRDefault="00AD6CE3" w:rsidP="001E4BF5">
      <w:pPr>
        <w:spacing w:line="360" w:lineRule="auto"/>
        <w:ind w:left="-360" w:right="42"/>
        <w:jc w:val="both"/>
        <w:rPr>
          <w:b/>
          <w:sz w:val="20"/>
          <w:szCs w:val="20"/>
        </w:rPr>
      </w:pPr>
    </w:p>
    <w:p w:rsidR="00AD6CE3" w:rsidRDefault="00AD6CE3" w:rsidP="001E4BF5">
      <w:pPr>
        <w:spacing w:line="360" w:lineRule="auto"/>
        <w:ind w:left="-360" w:right="42"/>
        <w:jc w:val="both"/>
        <w:rPr>
          <w:b/>
          <w:sz w:val="20"/>
          <w:szCs w:val="20"/>
        </w:rPr>
      </w:pPr>
    </w:p>
    <w:p w:rsidR="00AD6CE3" w:rsidRDefault="00AD6CE3" w:rsidP="001E4BF5">
      <w:pPr>
        <w:spacing w:line="360" w:lineRule="auto"/>
        <w:ind w:left="-360" w:right="42"/>
        <w:jc w:val="both"/>
        <w:rPr>
          <w:b/>
          <w:sz w:val="20"/>
          <w:szCs w:val="20"/>
        </w:rPr>
      </w:pPr>
    </w:p>
    <w:p w:rsidR="00AD6CE3" w:rsidRDefault="00AD6CE3" w:rsidP="001E4BF5">
      <w:pPr>
        <w:spacing w:line="360" w:lineRule="auto"/>
        <w:ind w:left="-360" w:right="42"/>
        <w:jc w:val="both"/>
        <w:rPr>
          <w:b/>
          <w:sz w:val="20"/>
          <w:szCs w:val="20"/>
        </w:rPr>
      </w:pPr>
    </w:p>
    <w:p w:rsidR="00AD6CE3" w:rsidRDefault="00AD6CE3" w:rsidP="001E4BF5">
      <w:pPr>
        <w:spacing w:line="360" w:lineRule="auto"/>
        <w:ind w:left="-360" w:right="42"/>
        <w:jc w:val="both"/>
        <w:rPr>
          <w:b/>
          <w:sz w:val="20"/>
          <w:szCs w:val="20"/>
        </w:rPr>
      </w:pPr>
    </w:p>
    <w:p w:rsidR="00AD6CE3" w:rsidRDefault="00AD6CE3" w:rsidP="001E4BF5">
      <w:pPr>
        <w:spacing w:line="360" w:lineRule="auto"/>
        <w:ind w:left="-360" w:right="42"/>
        <w:jc w:val="both"/>
        <w:rPr>
          <w:b/>
          <w:sz w:val="20"/>
          <w:szCs w:val="20"/>
        </w:rPr>
      </w:pPr>
    </w:p>
    <w:p w:rsidR="00AD6CE3" w:rsidRDefault="00AD6CE3" w:rsidP="001E4BF5">
      <w:pPr>
        <w:spacing w:line="360" w:lineRule="auto"/>
        <w:ind w:left="-360" w:right="42"/>
        <w:jc w:val="both"/>
        <w:rPr>
          <w:b/>
          <w:sz w:val="20"/>
          <w:szCs w:val="20"/>
        </w:rPr>
      </w:pPr>
    </w:p>
    <w:p w:rsidR="00C30DC1" w:rsidRPr="0053729E" w:rsidRDefault="00451918" w:rsidP="001E4BF5">
      <w:pPr>
        <w:spacing w:line="360" w:lineRule="auto"/>
        <w:ind w:left="-360" w:right="42"/>
        <w:jc w:val="both"/>
        <w:rPr>
          <w:b/>
          <w:sz w:val="20"/>
          <w:szCs w:val="20"/>
        </w:rPr>
      </w:pPr>
      <w:r w:rsidRPr="0053729E">
        <w:rPr>
          <w:b/>
          <w:sz w:val="20"/>
          <w:szCs w:val="20"/>
        </w:rPr>
        <w:lastRenderedPageBreak/>
        <w:t xml:space="preserve">Figure </w:t>
      </w:r>
      <w:r w:rsidR="008C491D">
        <w:rPr>
          <w:b/>
          <w:sz w:val="20"/>
          <w:szCs w:val="20"/>
        </w:rPr>
        <w:t>5</w:t>
      </w:r>
      <w:r w:rsidRPr="0053729E">
        <w:rPr>
          <w:b/>
          <w:sz w:val="20"/>
          <w:szCs w:val="20"/>
        </w:rPr>
        <w:t xml:space="preserve">: </w:t>
      </w:r>
      <w:r w:rsidR="00C30DC1" w:rsidRPr="0053729E">
        <w:rPr>
          <w:b/>
          <w:sz w:val="20"/>
          <w:szCs w:val="20"/>
        </w:rPr>
        <w:t>W</w:t>
      </w:r>
      <w:r w:rsidR="00042C84" w:rsidRPr="0053729E">
        <w:rPr>
          <w:b/>
          <w:sz w:val="20"/>
          <w:szCs w:val="20"/>
        </w:rPr>
        <w:t>eighted Average Interest Rates f</w:t>
      </w:r>
      <w:r w:rsidR="00C30DC1" w:rsidRPr="0053729E">
        <w:rPr>
          <w:b/>
          <w:sz w:val="20"/>
          <w:szCs w:val="20"/>
        </w:rPr>
        <w:t>or Turkish Lira Banks' Loans (%)</w:t>
      </w:r>
    </w:p>
    <w:p w:rsidR="00C30DC1" w:rsidRPr="0053729E" w:rsidRDefault="00403A03" w:rsidP="00D4205B">
      <w:pPr>
        <w:ind w:left="-360" w:right="42"/>
        <w:jc w:val="both"/>
        <w:rPr>
          <w:b/>
          <w:sz w:val="20"/>
          <w:szCs w:val="20"/>
        </w:rPr>
      </w:pPr>
      <w:r w:rsidRPr="00403A03">
        <w:rPr>
          <w:noProof/>
          <w:szCs w:val="20"/>
          <w:lang w:val="tr-TR"/>
        </w:rPr>
        <w:drawing>
          <wp:inline distT="0" distB="0" distL="0" distR="0">
            <wp:extent cx="5760720" cy="2812523"/>
            <wp:effectExtent l="1905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5760720" cy="2812523"/>
                    </a:xfrm>
                    <a:prstGeom prst="rect">
                      <a:avLst/>
                    </a:prstGeom>
                    <a:noFill/>
                    <a:ln w="9525">
                      <a:noFill/>
                      <a:miter lim="800000"/>
                      <a:headEnd/>
                      <a:tailEnd/>
                    </a:ln>
                  </pic:spPr>
                </pic:pic>
              </a:graphicData>
            </a:graphic>
          </wp:inline>
        </w:drawing>
      </w:r>
    </w:p>
    <w:p w:rsidR="00D4205B" w:rsidRPr="0053729E" w:rsidRDefault="00C30DC1" w:rsidP="00D4205B">
      <w:pPr>
        <w:ind w:left="-360" w:right="42"/>
        <w:jc w:val="both"/>
        <w:rPr>
          <w:sz w:val="16"/>
          <w:szCs w:val="16"/>
        </w:rPr>
      </w:pPr>
      <w:r w:rsidRPr="0053729E">
        <w:rPr>
          <w:sz w:val="16"/>
          <w:szCs w:val="16"/>
        </w:rPr>
        <w:t xml:space="preserve">Source: </w:t>
      </w:r>
      <w:r w:rsidR="00E03485" w:rsidRPr="0053729E">
        <w:rPr>
          <w:sz w:val="16"/>
          <w:szCs w:val="16"/>
        </w:rPr>
        <w:t>CBRT</w:t>
      </w:r>
      <w:r w:rsidR="00D4205B" w:rsidRPr="0053729E">
        <w:rPr>
          <w:sz w:val="16"/>
          <w:szCs w:val="16"/>
        </w:rPr>
        <w:t>.</w:t>
      </w:r>
    </w:p>
    <w:p w:rsidR="00D4205B" w:rsidRPr="0053729E" w:rsidRDefault="00D4205B" w:rsidP="000B3D82">
      <w:pPr>
        <w:spacing w:line="360" w:lineRule="auto"/>
        <w:ind w:left="-360" w:right="42"/>
        <w:jc w:val="both"/>
        <w:rPr>
          <w:sz w:val="16"/>
          <w:szCs w:val="16"/>
        </w:rPr>
      </w:pPr>
    </w:p>
    <w:sectPr w:rsidR="00D4205B" w:rsidRPr="0053729E" w:rsidSect="001E772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E70" w:rsidRDefault="00213E70">
      <w:r>
        <w:separator/>
      </w:r>
    </w:p>
  </w:endnote>
  <w:endnote w:type="continuationSeparator" w:id="0">
    <w:p w:rsidR="00213E70" w:rsidRDefault="00213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E70" w:rsidRDefault="00213E70">
      <w:r>
        <w:separator/>
      </w:r>
    </w:p>
  </w:footnote>
  <w:footnote w:type="continuationSeparator" w:id="0">
    <w:p w:rsidR="00213E70" w:rsidRDefault="00213E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ECC"/>
    <w:rsid w:val="000003F0"/>
    <w:rsid w:val="00001050"/>
    <w:rsid w:val="00003567"/>
    <w:rsid w:val="00003E34"/>
    <w:rsid w:val="0000434B"/>
    <w:rsid w:val="00004745"/>
    <w:rsid w:val="00004C0B"/>
    <w:rsid w:val="00007B8D"/>
    <w:rsid w:val="00010DD1"/>
    <w:rsid w:val="0001109A"/>
    <w:rsid w:val="000126AE"/>
    <w:rsid w:val="00013406"/>
    <w:rsid w:val="00013EE7"/>
    <w:rsid w:val="00017F2E"/>
    <w:rsid w:val="000219C0"/>
    <w:rsid w:val="00024559"/>
    <w:rsid w:val="000247C6"/>
    <w:rsid w:val="00024B55"/>
    <w:rsid w:val="00026210"/>
    <w:rsid w:val="0002627E"/>
    <w:rsid w:val="00026B51"/>
    <w:rsid w:val="00031B4E"/>
    <w:rsid w:val="0003258C"/>
    <w:rsid w:val="00032789"/>
    <w:rsid w:val="00033490"/>
    <w:rsid w:val="00034421"/>
    <w:rsid w:val="00035AB5"/>
    <w:rsid w:val="0003608C"/>
    <w:rsid w:val="00037357"/>
    <w:rsid w:val="000374C0"/>
    <w:rsid w:val="00037CE9"/>
    <w:rsid w:val="00041479"/>
    <w:rsid w:val="00042C84"/>
    <w:rsid w:val="00044D50"/>
    <w:rsid w:val="00047B99"/>
    <w:rsid w:val="00050118"/>
    <w:rsid w:val="00050DCF"/>
    <w:rsid w:val="00050EC0"/>
    <w:rsid w:val="00051119"/>
    <w:rsid w:val="00051CD0"/>
    <w:rsid w:val="00055814"/>
    <w:rsid w:val="00055A3E"/>
    <w:rsid w:val="00057E6D"/>
    <w:rsid w:val="00057FC2"/>
    <w:rsid w:val="0006043D"/>
    <w:rsid w:val="000625E8"/>
    <w:rsid w:val="0006304A"/>
    <w:rsid w:val="00063758"/>
    <w:rsid w:val="00065B3C"/>
    <w:rsid w:val="00067DF6"/>
    <w:rsid w:val="000715CA"/>
    <w:rsid w:val="000717B5"/>
    <w:rsid w:val="00073915"/>
    <w:rsid w:val="00074038"/>
    <w:rsid w:val="000743ED"/>
    <w:rsid w:val="00074EEE"/>
    <w:rsid w:val="0007515D"/>
    <w:rsid w:val="000773A1"/>
    <w:rsid w:val="00077492"/>
    <w:rsid w:val="000820D2"/>
    <w:rsid w:val="0008367E"/>
    <w:rsid w:val="0008450A"/>
    <w:rsid w:val="00084ED0"/>
    <w:rsid w:val="000854F8"/>
    <w:rsid w:val="00085572"/>
    <w:rsid w:val="00086F46"/>
    <w:rsid w:val="000871F8"/>
    <w:rsid w:val="000912F3"/>
    <w:rsid w:val="00091D4B"/>
    <w:rsid w:val="00093515"/>
    <w:rsid w:val="00094FAA"/>
    <w:rsid w:val="000966DF"/>
    <w:rsid w:val="00097481"/>
    <w:rsid w:val="000A1E16"/>
    <w:rsid w:val="000A383B"/>
    <w:rsid w:val="000A3D92"/>
    <w:rsid w:val="000A4357"/>
    <w:rsid w:val="000A45BE"/>
    <w:rsid w:val="000A6429"/>
    <w:rsid w:val="000A6472"/>
    <w:rsid w:val="000A6E24"/>
    <w:rsid w:val="000A701D"/>
    <w:rsid w:val="000A7B8E"/>
    <w:rsid w:val="000B0553"/>
    <w:rsid w:val="000B09E4"/>
    <w:rsid w:val="000B0D88"/>
    <w:rsid w:val="000B3D82"/>
    <w:rsid w:val="000B4CC5"/>
    <w:rsid w:val="000B5E0B"/>
    <w:rsid w:val="000B669B"/>
    <w:rsid w:val="000C3022"/>
    <w:rsid w:val="000C5B7E"/>
    <w:rsid w:val="000C6B6C"/>
    <w:rsid w:val="000D029B"/>
    <w:rsid w:val="000D0DA7"/>
    <w:rsid w:val="000D0ECE"/>
    <w:rsid w:val="000D50D1"/>
    <w:rsid w:val="000D546F"/>
    <w:rsid w:val="000D5E8A"/>
    <w:rsid w:val="000D6420"/>
    <w:rsid w:val="000D6CCA"/>
    <w:rsid w:val="000D7F65"/>
    <w:rsid w:val="000E0388"/>
    <w:rsid w:val="000E0BD1"/>
    <w:rsid w:val="000E10A3"/>
    <w:rsid w:val="000E4231"/>
    <w:rsid w:val="000E4C57"/>
    <w:rsid w:val="000E5826"/>
    <w:rsid w:val="000E5D7B"/>
    <w:rsid w:val="000E6B5D"/>
    <w:rsid w:val="000E75BF"/>
    <w:rsid w:val="000E7CC8"/>
    <w:rsid w:val="000F0BB8"/>
    <w:rsid w:val="000F10C3"/>
    <w:rsid w:val="000F219F"/>
    <w:rsid w:val="000F3017"/>
    <w:rsid w:val="000F396D"/>
    <w:rsid w:val="000F4941"/>
    <w:rsid w:val="000F68F9"/>
    <w:rsid w:val="000F6D02"/>
    <w:rsid w:val="00100665"/>
    <w:rsid w:val="00100750"/>
    <w:rsid w:val="0010086D"/>
    <w:rsid w:val="00101EB7"/>
    <w:rsid w:val="00102C87"/>
    <w:rsid w:val="00102FC6"/>
    <w:rsid w:val="001048C8"/>
    <w:rsid w:val="00104ACC"/>
    <w:rsid w:val="00105095"/>
    <w:rsid w:val="00106127"/>
    <w:rsid w:val="00106639"/>
    <w:rsid w:val="001105B2"/>
    <w:rsid w:val="00111156"/>
    <w:rsid w:val="001116C3"/>
    <w:rsid w:val="00111825"/>
    <w:rsid w:val="00114BC7"/>
    <w:rsid w:val="0012219C"/>
    <w:rsid w:val="0012225B"/>
    <w:rsid w:val="0012238B"/>
    <w:rsid w:val="00124929"/>
    <w:rsid w:val="00126490"/>
    <w:rsid w:val="00127B4E"/>
    <w:rsid w:val="00127BA7"/>
    <w:rsid w:val="0013046D"/>
    <w:rsid w:val="00131702"/>
    <w:rsid w:val="00133054"/>
    <w:rsid w:val="00133571"/>
    <w:rsid w:val="001357C1"/>
    <w:rsid w:val="00135FEE"/>
    <w:rsid w:val="00137054"/>
    <w:rsid w:val="00137F02"/>
    <w:rsid w:val="00137F90"/>
    <w:rsid w:val="00141719"/>
    <w:rsid w:val="00141B93"/>
    <w:rsid w:val="0014254A"/>
    <w:rsid w:val="00142837"/>
    <w:rsid w:val="00143828"/>
    <w:rsid w:val="00144234"/>
    <w:rsid w:val="001454AC"/>
    <w:rsid w:val="00147192"/>
    <w:rsid w:val="0015045A"/>
    <w:rsid w:val="00150B84"/>
    <w:rsid w:val="0015141F"/>
    <w:rsid w:val="00154DC3"/>
    <w:rsid w:val="00157DC2"/>
    <w:rsid w:val="00161297"/>
    <w:rsid w:val="00163520"/>
    <w:rsid w:val="00163E33"/>
    <w:rsid w:val="001648A8"/>
    <w:rsid w:val="00164EDE"/>
    <w:rsid w:val="00165B20"/>
    <w:rsid w:val="001661B0"/>
    <w:rsid w:val="00166FE5"/>
    <w:rsid w:val="00167408"/>
    <w:rsid w:val="00167CA4"/>
    <w:rsid w:val="00167D69"/>
    <w:rsid w:val="00170085"/>
    <w:rsid w:val="00170DE7"/>
    <w:rsid w:val="00171355"/>
    <w:rsid w:val="00171EEC"/>
    <w:rsid w:val="00174745"/>
    <w:rsid w:val="00177F4E"/>
    <w:rsid w:val="00177FE3"/>
    <w:rsid w:val="00184678"/>
    <w:rsid w:val="00184BBA"/>
    <w:rsid w:val="00186544"/>
    <w:rsid w:val="001916DD"/>
    <w:rsid w:val="0019538C"/>
    <w:rsid w:val="00195EC6"/>
    <w:rsid w:val="0019618E"/>
    <w:rsid w:val="0019733C"/>
    <w:rsid w:val="00197ACB"/>
    <w:rsid w:val="00197CBA"/>
    <w:rsid w:val="001A0237"/>
    <w:rsid w:val="001A189F"/>
    <w:rsid w:val="001A2051"/>
    <w:rsid w:val="001A3CDC"/>
    <w:rsid w:val="001A62FE"/>
    <w:rsid w:val="001A6CE1"/>
    <w:rsid w:val="001A7136"/>
    <w:rsid w:val="001A787F"/>
    <w:rsid w:val="001A7C0B"/>
    <w:rsid w:val="001B0683"/>
    <w:rsid w:val="001B0861"/>
    <w:rsid w:val="001B1CFE"/>
    <w:rsid w:val="001B34B5"/>
    <w:rsid w:val="001B4FC6"/>
    <w:rsid w:val="001B6256"/>
    <w:rsid w:val="001B6836"/>
    <w:rsid w:val="001B6AFA"/>
    <w:rsid w:val="001C295F"/>
    <w:rsid w:val="001C4576"/>
    <w:rsid w:val="001C457D"/>
    <w:rsid w:val="001C667E"/>
    <w:rsid w:val="001C6AAB"/>
    <w:rsid w:val="001C750C"/>
    <w:rsid w:val="001D0853"/>
    <w:rsid w:val="001D09B1"/>
    <w:rsid w:val="001D11F7"/>
    <w:rsid w:val="001D1F1B"/>
    <w:rsid w:val="001D25D9"/>
    <w:rsid w:val="001D3C27"/>
    <w:rsid w:val="001D478F"/>
    <w:rsid w:val="001D4B8B"/>
    <w:rsid w:val="001E0274"/>
    <w:rsid w:val="001E192B"/>
    <w:rsid w:val="001E318F"/>
    <w:rsid w:val="001E4122"/>
    <w:rsid w:val="001E4BF5"/>
    <w:rsid w:val="001E56F5"/>
    <w:rsid w:val="001E7720"/>
    <w:rsid w:val="001E7DE1"/>
    <w:rsid w:val="001F1052"/>
    <w:rsid w:val="001F1361"/>
    <w:rsid w:val="001F275D"/>
    <w:rsid w:val="001F4CFB"/>
    <w:rsid w:val="001F5435"/>
    <w:rsid w:val="001F6E7D"/>
    <w:rsid w:val="001F707E"/>
    <w:rsid w:val="001F7216"/>
    <w:rsid w:val="00200459"/>
    <w:rsid w:val="0020115E"/>
    <w:rsid w:val="0020184F"/>
    <w:rsid w:val="00203CD9"/>
    <w:rsid w:val="00204364"/>
    <w:rsid w:val="00204D99"/>
    <w:rsid w:val="002058EC"/>
    <w:rsid w:val="00207185"/>
    <w:rsid w:val="00207E31"/>
    <w:rsid w:val="00212A2E"/>
    <w:rsid w:val="00213E70"/>
    <w:rsid w:val="00214A6C"/>
    <w:rsid w:val="002151FC"/>
    <w:rsid w:val="002158BC"/>
    <w:rsid w:val="002166A1"/>
    <w:rsid w:val="002176C5"/>
    <w:rsid w:val="00217C73"/>
    <w:rsid w:val="0022179E"/>
    <w:rsid w:val="002220B5"/>
    <w:rsid w:val="002231B5"/>
    <w:rsid w:val="00223638"/>
    <w:rsid w:val="00225215"/>
    <w:rsid w:val="00226140"/>
    <w:rsid w:val="00227263"/>
    <w:rsid w:val="002303D1"/>
    <w:rsid w:val="00230856"/>
    <w:rsid w:val="00230A81"/>
    <w:rsid w:val="00235E37"/>
    <w:rsid w:val="00236A19"/>
    <w:rsid w:val="00236F07"/>
    <w:rsid w:val="00243642"/>
    <w:rsid w:val="002451C2"/>
    <w:rsid w:val="00245E19"/>
    <w:rsid w:val="0025219A"/>
    <w:rsid w:val="0025445E"/>
    <w:rsid w:val="0025612D"/>
    <w:rsid w:val="002577DA"/>
    <w:rsid w:val="002604B6"/>
    <w:rsid w:val="00260693"/>
    <w:rsid w:val="002639C0"/>
    <w:rsid w:val="00264000"/>
    <w:rsid w:val="00264FCA"/>
    <w:rsid w:val="002663F7"/>
    <w:rsid w:val="00267AB7"/>
    <w:rsid w:val="00271168"/>
    <w:rsid w:val="00272C27"/>
    <w:rsid w:val="002751F5"/>
    <w:rsid w:val="00275C4E"/>
    <w:rsid w:val="0027608D"/>
    <w:rsid w:val="002773DA"/>
    <w:rsid w:val="00277459"/>
    <w:rsid w:val="00280897"/>
    <w:rsid w:val="00280B55"/>
    <w:rsid w:val="00281BCA"/>
    <w:rsid w:val="00281FFC"/>
    <w:rsid w:val="00283EE6"/>
    <w:rsid w:val="00284896"/>
    <w:rsid w:val="00287ACE"/>
    <w:rsid w:val="002902DE"/>
    <w:rsid w:val="002918D5"/>
    <w:rsid w:val="00293554"/>
    <w:rsid w:val="00293BAB"/>
    <w:rsid w:val="00294CF8"/>
    <w:rsid w:val="00294E8C"/>
    <w:rsid w:val="0029703E"/>
    <w:rsid w:val="00297733"/>
    <w:rsid w:val="002A0155"/>
    <w:rsid w:val="002A27C0"/>
    <w:rsid w:val="002A3272"/>
    <w:rsid w:val="002A4F26"/>
    <w:rsid w:val="002A5E74"/>
    <w:rsid w:val="002A66ED"/>
    <w:rsid w:val="002A7800"/>
    <w:rsid w:val="002B015D"/>
    <w:rsid w:val="002B1FC3"/>
    <w:rsid w:val="002B294F"/>
    <w:rsid w:val="002B3644"/>
    <w:rsid w:val="002B460F"/>
    <w:rsid w:val="002B4D99"/>
    <w:rsid w:val="002B6036"/>
    <w:rsid w:val="002B748C"/>
    <w:rsid w:val="002C01BB"/>
    <w:rsid w:val="002C0475"/>
    <w:rsid w:val="002C0560"/>
    <w:rsid w:val="002C0954"/>
    <w:rsid w:val="002C0C55"/>
    <w:rsid w:val="002C17BC"/>
    <w:rsid w:val="002C1DEF"/>
    <w:rsid w:val="002C1FFF"/>
    <w:rsid w:val="002C28A4"/>
    <w:rsid w:val="002C2FAB"/>
    <w:rsid w:val="002C3757"/>
    <w:rsid w:val="002C391B"/>
    <w:rsid w:val="002C3E54"/>
    <w:rsid w:val="002C6F7E"/>
    <w:rsid w:val="002D03EA"/>
    <w:rsid w:val="002D101A"/>
    <w:rsid w:val="002D7743"/>
    <w:rsid w:val="002D7D04"/>
    <w:rsid w:val="002E1EA4"/>
    <w:rsid w:val="002E5892"/>
    <w:rsid w:val="002E5D1D"/>
    <w:rsid w:val="002E5F29"/>
    <w:rsid w:val="002E6BB4"/>
    <w:rsid w:val="002E6BD6"/>
    <w:rsid w:val="002F0BDE"/>
    <w:rsid w:val="002F0C82"/>
    <w:rsid w:val="002F1C42"/>
    <w:rsid w:val="002F2CD1"/>
    <w:rsid w:val="002F30D3"/>
    <w:rsid w:val="002F30F9"/>
    <w:rsid w:val="002F5134"/>
    <w:rsid w:val="002F56EC"/>
    <w:rsid w:val="002F72AA"/>
    <w:rsid w:val="002F79C0"/>
    <w:rsid w:val="00301758"/>
    <w:rsid w:val="00303166"/>
    <w:rsid w:val="0030414A"/>
    <w:rsid w:val="00304BD3"/>
    <w:rsid w:val="0030689B"/>
    <w:rsid w:val="00306FA7"/>
    <w:rsid w:val="00307D51"/>
    <w:rsid w:val="0031043B"/>
    <w:rsid w:val="00311195"/>
    <w:rsid w:val="00311464"/>
    <w:rsid w:val="00311E57"/>
    <w:rsid w:val="0031201B"/>
    <w:rsid w:val="003123B4"/>
    <w:rsid w:val="003124B6"/>
    <w:rsid w:val="003134B5"/>
    <w:rsid w:val="0031360B"/>
    <w:rsid w:val="003142BA"/>
    <w:rsid w:val="0031587F"/>
    <w:rsid w:val="00316CE9"/>
    <w:rsid w:val="00316DB4"/>
    <w:rsid w:val="00317125"/>
    <w:rsid w:val="00321318"/>
    <w:rsid w:val="00322134"/>
    <w:rsid w:val="003223B0"/>
    <w:rsid w:val="00322EBE"/>
    <w:rsid w:val="003239F8"/>
    <w:rsid w:val="0032553E"/>
    <w:rsid w:val="003269F7"/>
    <w:rsid w:val="0033349F"/>
    <w:rsid w:val="00333B98"/>
    <w:rsid w:val="00333C4C"/>
    <w:rsid w:val="003345C8"/>
    <w:rsid w:val="00335D74"/>
    <w:rsid w:val="00336381"/>
    <w:rsid w:val="003375A1"/>
    <w:rsid w:val="00337824"/>
    <w:rsid w:val="00337AE5"/>
    <w:rsid w:val="003410B9"/>
    <w:rsid w:val="00341195"/>
    <w:rsid w:val="00341E70"/>
    <w:rsid w:val="0034232E"/>
    <w:rsid w:val="0034388F"/>
    <w:rsid w:val="00344070"/>
    <w:rsid w:val="00344278"/>
    <w:rsid w:val="003443FB"/>
    <w:rsid w:val="00345308"/>
    <w:rsid w:val="003453E9"/>
    <w:rsid w:val="0034543C"/>
    <w:rsid w:val="00345CDD"/>
    <w:rsid w:val="0034600A"/>
    <w:rsid w:val="00346332"/>
    <w:rsid w:val="00347145"/>
    <w:rsid w:val="003474D9"/>
    <w:rsid w:val="0035310C"/>
    <w:rsid w:val="00353266"/>
    <w:rsid w:val="00353B31"/>
    <w:rsid w:val="003552A4"/>
    <w:rsid w:val="00356765"/>
    <w:rsid w:val="00357ECC"/>
    <w:rsid w:val="00360133"/>
    <w:rsid w:val="00360F5D"/>
    <w:rsid w:val="00361D56"/>
    <w:rsid w:val="00362436"/>
    <w:rsid w:val="00363520"/>
    <w:rsid w:val="00364686"/>
    <w:rsid w:val="00366F2D"/>
    <w:rsid w:val="00367DBD"/>
    <w:rsid w:val="00371EF6"/>
    <w:rsid w:val="003729BF"/>
    <w:rsid w:val="00372C3E"/>
    <w:rsid w:val="003731F3"/>
    <w:rsid w:val="00374618"/>
    <w:rsid w:val="00375FA4"/>
    <w:rsid w:val="00375FD1"/>
    <w:rsid w:val="00376AC1"/>
    <w:rsid w:val="003813FF"/>
    <w:rsid w:val="00381853"/>
    <w:rsid w:val="0038308B"/>
    <w:rsid w:val="00383A6E"/>
    <w:rsid w:val="00384212"/>
    <w:rsid w:val="0038488E"/>
    <w:rsid w:val="00386146"/>
    <w:rsid w:val="003866F7"/>
    <w:rsid w:val="00386866"/>
    <w:rsid w:val="003872AE"/>
    <w:rsid w:val="003919FD"/>
    <w:rsid w:val="00394358"/>
    <w:rsid w:val="00395C47"/>
    <w:rsid w:val="00396E44"/>
    <w:rsid w:val="00397518"/>
    <w:rsid w:val="00397C86"/>
    <w:rsid w:val="003A01BC"/>
    <w:rsid w:val="003A048F"/>
    <w:rsid w:val="003A12C4"/>
    <w:rsid w:val="003A219A"/>
    <w:rsid w:val="003A2B60"/>
    <w:rsid w:val="003A31B2"/>
    <w:rsid w:val="003A3575"/>
    <w:rsid w:val="003A5AD9"/>
    <w:rsid w:val="003B0F7E"/>
    <w:rsid w:val="003B109E"/>
    <w:rsid w:val="003B143C"/>
    <w:rsid w:val="003B18A7"/>
    <w:rsid w:val="003B199A"/>
    <w:rsid w:val="003B1C3A"/>
    <w:rsid w:val="003B237B"/>
    <w:rsid w:val="003B23AB"/>
    <w:rsid w:val="003B2454"/>
    <w:rsid w:val="003B2720"/>
    <w:rsid w:val="003B2DCE"/>
    <w:rsid w:val="003B472B"/>
    <w:rsid w:val="003B5209"/>
    <w:rsid w:val="003B76F5"/>
    <w:rsid w:val="003B797F"/>
    <w:rsid w:val="003C38F5"/>
    <w:rsid w:val="003C3D0A"/>
    <w:rsid w:val="003C5112"/>
    <w:rsid w:val="003C640D"/>
    <w:rsid w:val="003D0BE4"/>
    <w:rsid w:val="003D142F"/>
    <w:rsid w:val="003D31C5"/>
    <w:rsid w:val="003D777B"/>
    <w:rsid w:val="003D7E7F"/>
    <w:rsid w:val="003E14C7"/>
    <w:rsid w:val="003E15C4"/>
    <w:rsid w:val="003E488A"/>
    <w:rsid w:val="003E4FBD"/>
    <w:rsid w:val="003E5C49"/>
    <w:rsid w:val="003E6795"/>
    <w:rsid w:val="003F0632"/>
    <w:rsid w:val="003F347E"/>
    <w:rsid w:val="003F63B4"/>
    <w:rsid w:val="003F7D4C"/>
    <w:rsid w:val="00401183"/>
    <w:rsid w:val="00402158"/>
    <w:rsid w:val="00403A03"/>
    <w:rsid w:val="00403B8D"/>
    <w:rsid w:val="0040449F"/>
    <w:rsid w:val="0040568A"/>
    <w:rsid w:val="00405F8D"/>
    <w:rsid w:val="00406615"/>
    <w:rsid w:val="0041351B"/>
    <w:rsid w:val="00413700"/>
    <w:rsid w:val="004137E6"/>
    <w:rsid w:val="004149F4"/>
    <w:rsid w:val="00415098"/>
    <w:rsid w:val="004155A8"/>
    <w:rsid w:val="004164BB"/>
    <w:rsid w:val="004178EE"/>
    <w:rsid w:val="004205D6"/>
    <w:rsid w:val="0042063E"/>
    <w:rsid w:val="00422832"/>
    <w:rsid w:val="00422E05"/>
    <w:rsid w:val="00422F8A"/>
    <w:rsid w:val="004300C1"/>
    <w:rsid w:val="00434587"/>
    <w:rsid w:val="00437C99"/>
    <w:rsid w:val="0044201D"/>
    <w:rsid w:val="004475F5"/>
    <w:rsid w:val="00447740"/>
    <w:rsid w:val="004508E3"/>
    <w:rsid w:val="004514A8"/>
    <w:rsid w:val="00451918"/>
    <w:rsid w:val="00451FEA"/>
    <w:rsid w:val="00452B69"/>
    <w:rsid w:val="00455777"/>
    <w:rsid w:val="00455E44"/>
    <w:rsid w:val="0045793D"/>
    <w:rsid w:val="00460BEC"/>
    <w:rsid w:val="0046347B"/>
    <w:rsid w:val="00463BBF"/>
    <w:rsid w:val="0046518E"/>
    <w:rsid w:val="00467ACF"/>
    <w:rsid w:val="00470CB6"/>
    <w:rsid w:val="004716A6"/>
    <w:rsid w:val="00472FEC"/>
    <w:rsid w:val="0047385A"/>
    <w:rsid w:val="0047433A"/>
    <w:rsid w:val="0047789D"/>
    <w:rsid w:val="004814F0"/>
    <w:rsid w:val="0048329E"/>
    <w:rsid w:val="004835B9"/>
    <w:rsid w:val="00485884"/>
    <w:rsid w:val="00486239"/>
    <w:rsid w:val="00486DB9"/>
    <w:rsid w:val="00487146"/>
    <w:rsid w:val="00487303"/>
    <w:rsid w:val="00487A9A"/>
    <w:rsid w:val="0049067B"/>
    <w:rsid w:val="00490FC2"/>
    <w:rsid w:val="00491BE6"/>
    <w:rsid w:val="00493AC5"/>
    <w:rsid w:val="0049613B"/>
    <w:rsid w:val="00496378"/>
    <w:rsid w:val="004969FB"/>
    <w:rsid w:val="0049737A"/>
    <w:rsid w:val="00497C25"/>
    <w:rsid w:val="004A2E8D"/>
    <w:rsid w:val="004A3CB8"/>
    <w:rsid w:val="004A4DD6"/>
    <w:rsid w:val="004A506E"/>
    <w:rsid w:val="004A6059"/>
    <w:rsid w:val="004A6333"/>
    <w:rsid w:val="004A6537"/>
    <w:rsid w:val="004A70D1"/>
    <w:rsid w:val="004A724E"/>
    <w:rsid w:val="004A7343"/>
    <w:rsid w:val="004A76EF"/>
    <w:rsid w:val="004A7FE6"/>
    <w:rsid w:val="004B22CC"/>
    <w:rsid w:val="004B2D26"/>
    <w:rsid w:val="004B358D"/>
    <w:rsid w:val="004B5E13"/>
    <w:rsid w:val="004B7C7A"/>
    <w:rsid w:val="004C090D"/>
    <w:rsid w:val="004C56D6"/>
    <w:rsid w:val="004C6A82"/>
    <w:rsid w:val="004C7FD0"/>
    <w:rsid w:val="004D0590"/>
    <w:rsid w:val="004D23D3"/>
    <w:rsid w:val="004D24B6"/>
    <w:rsid w:val="004D4B99"/>
    <w:rsid w:val="004D5CF2"/>
    <w:rsid w:val="004D60DE"/>
    <w:rsid w:val="004D67C5"/>
    <w:rsid w:val="004D7A57"/>
    <w:rsid w:val="004E07D3"/>
    <w:rsid w:val="004E2D21"/>
    <w:rsid w:val="004E341E"/>
    <w:rsid w:val="004E40D1"/>
    <w:rsid w:val="004E4109"/>
    <w:rsid w:val="004E4961"/>
    <w:rsid w:val="004E4C5E"/>
    <w:rsid w:val="004E5779"/>
    <w:rsid w:val="004E6DFD"/>
    <w:rsid w:val="004E7CBD"/>
    <w:rsid w:val="004E7DBE"/>
    <w:rsid w:val="004F08D3"/>
    <w:rsid w:val="004F1286"/>
    <w:rsid w:val="004F1E07"/>
    <w:rsid w:val="004F4717"/>
    <w:rsid w:val="0050049B"/>
    <w:rsid w:val="00500620"/>
    <w:rsid w:val="00500C2E"/>
    <w:rsid w:val="005024EF"/>
    <w:rsid w:val="00502586"/>
    <w:rsid w:val="00502793"/>
    <w:rsid w:val="005030BD"/>
    <w:rsid w:val="0050414E"/>
    <w:rsid w:val="0050568A"/>
    <w:rsid w:val="00505B95"/>
    <w:rsid w:val="00506264"/>
    <w:rsid w:val="00515398"/>
    <w:rsid w:val="005155AC"/>
    <w:rsid w:val="0051750C"/>
    <w:rsid w:val="00522ED0"/>
    <w:rsid w:val="00523C58"/>
    <w:rsid w:val="00526541"/>
    <w:rsid w:val="005356B3"/>
    <w:rsid w:val="00536648"/>
    <w:rsid w:val="00536C48"/>
    <w:rsid w:val="0053729E"/>
    <w:rsid w:val="00537DAA"/>
    <w:rsid w:val="00537EA2"/>
    <w:rsid w:val="005425FA"/>
    <w:rsid w:val="00542728"/>
    <w:rsid w:val="00542834"/>
    <w:rsid w:val="00543E56"/>
    <w:rsid w:val="00544439"/>
    <w:rsid w:val="00546373"/>
    <w:rsid w:val="0055050D"/>
    <w:rsid w:val="00551E19"/>
    <w:rsid w:val="00552C4F"/>
    <w:rsid w:val="00552D5D"/>
    <w:rsid w:val="00552E21"/>
    <w:rsid w:val="00555A4D"/>
    <w:rsid w:val="00556328"/>
    <w:rsid w:val="00556F7E"/>
    <w:rsid w:val="0056278D"/>
    <w:rsid w:val="005631CE"/>
    <w:rsid w:val="00563B28"/>
    <w:rsid w:val="005655A1"/>
    <w:rsid w:val="00567E14"/>
    <w:rsid w:val="00571B47"/>
    <w:rsid w:val="00572778"/>
    <w:rsid w:val="00573338"/>
    <w:rsid w:val="00574203"/>
    <w:rsid w:val="00574E21"/>
    <w:rsid w:val="005757E1"/>
    <w:rsid w:val="005758D1"/>
    <w:rsid w:val="00585800"/>
    <w:rsid w:val="00586493"/>
    <w:rsid w:val="0058662D"/>
    <w:rsid w:val="005871D8"/>
    <w:rsid w:val="0058799A"/>
    <w:rsid w:val="00592676"/>
    <w:rsid w:val="0059284D"/>
    <w:rsid w:val="00593B80"/>
    <w:rsid w:val="005951DA"/>
    <w:rsid w:val="005A03EE"/>
    <w:rsid w:val="005A06D3"/>
    <w:rsid w:val="005A0AF8"/>
    <w:rsid w:val="005A2B2E"/>
    <w:rsid w:val="005A3159"/>
    <w:rsid w:val="005A5144"/>
    <w:rsid w:val="005B0913"/>
    <w:rsid w:val="005B19CA"/>
    <w:rsid w:val="005B2CF3"/>
    <w:rsid w:val="005B5D93"/>
    <w:rsid w:val="005B63A2"/>
    <w:rsid w:val="005C2A9D"/>
    <w:rsid w:val="005C42DE"/>
    <w:rsid w:val="005C4CC3"/>
    <w:rsid w:val="005C571D"/>
    <w:rsid w:val="005C59F0"/>
    <w:rsid w:val="005C7783"/>
    <w:rsid w:val="005C7AFF"/>
    <w:rsid w:val="005D451C"/>
    <w:rsid w:val="005D4C63"/>
    <w:rsid w:val="005D4CD5"/>
    <w:rsid w:val="005D5D43"/>
    <w:rsid w:val="005D7C6B"/>
    <w:rsid w:val="005D7E62"/>
    <w:rsid w:val="005E0781"/>
    <w:rsid w:val="005E0E66"/>
    <w:rsid w:val="005E2461"/>
    <w:rsid w:val="005E2983"/>
    <w:rsid w:val="005E4164"/>
    <w:rsid w:val="005E45BB"/>
    <w:rsid w:val="005E67AF"/>
    <w:rsid w:val="005E680D"/>
    <w:rsid w:val="005E6ECC"/>
    <w:rsid w:val="005F1277"/>
    <w:rsid w:val="005F1C44"/>
    <w:rsid w:val="005F2A5B"/>
    <w:rsid w:val="005F2ECA"/>
    <w:rsid w:val="005F31BE"/>
    <w:rsid w:val="005F5800"/>
    <w:rsid w:val="005F62CB"/>
    <w:rsid w:val="005F79D9"/>
    <w:rsid w:val="00600A02"/>
    <w:rsid w:val="00602EB0"/>
    <w:rsid w:val="00606989"/>
    <w:rsid w:val="00610482"/>
    <w:rsid w:val="00611049"/>
    <w:rsid w:val="00613B72"/>
    <w:rsid w:val="00617866"/>
    <w:rsid w:val="00620E28"/>
    <w:rsid w:val="00621E46"/>
    <w:rsid w:val="006221AA"/>
    <w:rsid w:val="00623B31"/>
    <w:rsid w:val="00624D79"/>
    <w:rsid w:val="006274E1"/>
    <w:rsid w:val="0062776E"/>
    <w:rsid w:val="006305E4"/>
    <w:rsid w:val="00631163"/>
    <w:rsid w:val="00631270"/>
    <w:rsid w:val="00632044"/>
    <w:rsid w:val="006360F2"/>
    <w:rsid w:val="00636B7A"/>
    <w:rsid w:val="00640DF7"/>
    <w:rsid w:val="0064166B"/>
    <w:rsid w:val="006419AA"/>
    <w:rsid w:val="00644C74"/>
    <w:rsid w:val="006454DC"/>
    <w:rsid w:val="006461CC"/>
    <w:rsid w:val="0064691A"/>
    <w:rsid w:val="00646E08"/>
    <w:rsid w:val="00653B47"/>
    <w:rsid w:val="00655C49"/>
    <w:rsid w:val="00656560"/>
    <w:rsid w:val="00656983"/>
    <w:rsid w:val="00657119"/>
    <w:rsid w:val="006601EB"/>
    <w:rsid w:val="00662C10"/>
    <w:rsid w:val="00663B47"/>
    <w:rsid w:val="00664C1C"/>
    <w:rsid w:val="0066576D"/>
    <w:rsid w:val="0066619A"/>
    <w:rsid w:val="00667305"/>
    <w:rsid w:val="00670CDF"/>
    <w:rsid w:val="006713C0"/>
    <w:rsid w:val="00671CB6"/>
    <w:rsid w:val="0067212C"/>
    <w:rsid w:val="00672830"/>
    <w:rsid w:val="00672CA0"/>
    <w:rsid w:val="006730A2"/>
    <w:rsid w:val="00674758"/>
    <w:rsid w:val="0067663A"/>
    <w:rsid w:val="006810C3"/>
    <w:rsid w:val="00682DF3"/>
    <w:rsid w:val="006836A7"/>
    <w:rsid w:val="006837F6"/>
    <w:rsid w:val="00683A24"/>
    <w:rsid w:val="00683B0E"/>
    <w:rsid w:val="00684541"/>
    <w:rsid w:val="0068507F"/>
    <w:rsid w:val="006878EA"/>
    <w:rsid w:val="00691365"/>
    <w:rsid w:val="00691D96"/>
    <w:rsid w:val="006926CE"/>
    <w:rsid w:val="0069442E"/>
    <w:rsid w:val="006956B3"/>
    <w:rsid w:val="00695727"/>
    <w:rsid w:val="00695E7E"/>
    <w:rsid w:val="0069686F"/>
    <w:rsid w:val="006A06A9"/>
    <w:rsid w:val="006A157C"/>
    <w:rsid w:val="006A292F"/>
    <w:rsid w:val="006A2D33"/>
    <w:rsid w:val="006A3F76"/>
    <w:rsid w:val="006A507F"/>
    <w:rsid w:val="006A7446"/>
    <w:rsid w:val="006A745C"/>
    <w:rsid w:val="006B08B4"/>
    <w:rsid w:val="006B1779"/>
    <w:rsid w:val="006B22D6"/>
    <w:rsid w:val="006B2D6A"/>
    <w:rsid w:val="006B3B9F"/>
    <w:rsid w:val="006B4BD8"/>
    <w:rsid w:val="006B54D7"/>
    <w:rsid w:val="006B560C"/>
    <w:rsid w:val="006B60DC"/>
    <w:rsid w:val="006B618E"/>
    <w:rsid w:val="006B69D2"/>
    <w:rsid w:val="006B6F5B"/>
    <w:rsid w:val="006B7B76"/>
    <w:rsid w:val="006C0D52"/>
    <w:rsid w:val="006C162B"/>
    <w:rsid w:val="006C1A9E"/>
    <w:rsid w:val="006C231A"/>
    <w:rsid w:val="006C2BFE"/>
    <w:rsid w:val="006C4278"/>
    <w:rsid w:val="006C4642"/>
    <w:rsid w:val="006C67D9"/>
    <w:rsid w:val="006C6C6F"/>
    <w:rsid w:val="006D00CF"/>
    <w:rsid w:val="006D13C9"/>
    <w:rsid w:val="006D6AB8"/>
    <w:rsid w:val="006E2D48"/>
    <w:rsid w:val="006E36E6"/>
    <w:rsid w:val="006E3FCF"/>
    <w:rsid w:val="006F0116"/>
    <w:rsid w:val="006F09E7"/>
    <w:rsid w:val="006F1A82"/>
    <w:rsid w:val="006F2049"/>
    <w:rsid w:val="006F2AF1"/>
    <w:rsid w:val="006F309B"/>
    <w:rsid w:val="006F3C21"/>
    <w:rsid w:val="006F3F45"/>
    <w:rsid w:val="006F6A80"/>
    <w:rsid w:val="006F730B"/>
    <w:rsid w:val="006F7C8D"/>
    <w:rsid w:val="0070004A"/>
    <w:rsid w:val="007003EB"/>
    <w:rsid w:val="007008D1"/>
    <w:rsid w:val="007031E0"/>
    <w:rsid w:val="00703289"/>
    <w:rsid w:val="00704765"/>
    <w:rsid w:val="007067F4"/>
    <w:rsid w:val="00706AE1"/>
    <w:rsid w:val="0071290B"/>
    <w:rsid w:val="0071337D"/>
    <w:rsid w:val="00714FBF"/>
    <w:rsid w:val="0071687F"/>
    <w:rsid w:val="00717236"/>
    <w:rsid w:val="00720289"/>
    <w:rsid w:val="00720303"/>
    <w:rsid w:val="0072169E"/>
    <w:rsid w:val="0072379E"/>
    <w:rsid w:val="0072465E"/>
    <w:rsid w:val="00724CF0"/>
    <w:rsid w:val="007267C7"/>
    <w:rsid w:val="00726C38"/>
    <w:rsid w:val="007320A1"/>
    <w:rsid w:val="00733AE3"/>
    <w:rsid w:val="007361F6"/>
    <w:rsid w:val="0073685F"/>
    <w:rsid w:val="00736C84"/>
    <w:rsid w:val="007415EE"/>
    <w:rsid w:val="007456DA"/>
    <w:rsid w:val="0075074A"/>
    <w:rsid w:val="007533D7"/>
    <w:rsid w:val="00755B7B"/>
    <w:rsid w:val="007567DC"/>
    <w:rsid w:val="0075696F"/>
    <w:rsid w:val="00761F9C"/>
    <w:rsid w:val="00762229"/>
    <w:rsid w:val="0076324E"/>
    <w:rsid w:val="007633AD"/>
    <w:rsid w:val="007637C2"/>
    <w:rsid w:val="00764404"/>
    <w:rsid w:val="00765414"/>
    <w:rsid w:val="007670E1"/>
    <w:rsid w:val="0076720A"/>
    <w:rsid w:val="00770832"/>
    <w:rsid w:val="00770B73"/>
    <w:rsid w:val="00770BBA"/>
    <w:rsid w:val="00770E2D"/>
    <w:rsid w:val="00771203"/>
    <w:rsid w:val="0077295E"/>
    <w:rsid w:val="00774EA6"/>
    <w:rsid w:val="00774F2C"/>
    <w:rsid w:val="007754EC"/>
    <w:rsid w:val="0078192F"/>
    <w:rsid w:val="00782D82"/>
    <w:rsid w:val="007834AF"/>
    <w:rsid w:val="007900FC"/>
    <w:rsid w:val="00790380"/>
    <w:rsid w:val="007924A5"/>
    <w:rsid w:val="00794F2B"/>
    <w:rsid w:val="00797035"/>
    <w:rsid w:val="0079752F"/>
    <w:rsid w:val="007975F4"/>
    <w:rsid w:val="007A0897"/>
    <w:rsid w:val="007A35F3"/>
    <w:rsid w:val="007A64EE"/>
    <w:rsid w:val="007A6702"/>
    <w:rsid w:val="007A7008"/>
    <w:rsid w:val="007B208E"/>
    <w:rsid w:val="007B2CF6"/>
    <w:rsid w:val="007B6D46"/>
    <w:rsid w:val="007B724A"/>
    <w:rsid w:val="007C21C4"/>
    <w:rsid w:val="007C28AB"/>
    <w:rsid w:val="007C35EB"/>
    <w:rsid w:val="007C4271"/>
    <w:rsid w:val="007C4EAE"/>
    <w:rsid w:val="007C543A"/>
    <w:rsid w:val="007C54C9"/>
    <w:rsid w:val="007C56C1"/>
    <w:rsid w:val="007D002A"/>
    <w:rsid w:val="007D04CC"/>
    <w:rsid w:val="007D08AB"/>
    <w:rsid w:val="007D1C70"/>
    <w:rsid w:val="007D27EB"/>
    <w:rsid w:val="007D3176"/>
    <w:rsid w:val="007D4F28"/>
    <w:rsid w:val="007D513C"/>
    <w:rsid w:val="007E041E"/>
    <w:rsid w:val="007E0C5C"/>
    <w:rsid w:val="007E16B9"/>
    <w:rsid w:val="007E182F"/>
    <w:rsid w:val="007E3D0F"/>
    <w:rsid w:val="007E4F5D"/>
    <w:rsid w:val="007E51AB"/>
    <w:rsid w:val="007E5E9A"/>
    <w:rsid w:val="007F1E8F"/>
    <w:rsid w:val="007F2156"/>
    <w:rsid w:val="007F50E5"/>
    <w:rsid w:val="007F76EC"/>
    <w:rsid w:val="00801493"/>
    <w:rsid w:val="00803E59"/>
    <w:rsid w:val="008040FF"/>
    <w:rsid w:val="00804794"/>
    <w:rsid w:val="00807202"/>
    <w:rsid w:val="0080748E"/>
    <w:rsid w:val="008129C1"/>
    <w:rsid w:val="00814665"/>
    <w:rsid w:val="00814DF4"/>
    <w:rsid w:val="008158D2"/>
    <w:rsid w:val="00817438"/>
    <w:rsid w:val="00817E78"/>
    <w:rsid w:val="00817FBF"/>
    <w:rsid w:val="00817FD1"/>
    <w:rsid w:val="00820714"/>
    <w:rsid w:val="00820814"/>
    <w:rsid w:val="008226C9"/>
    <w:rsid w:val="008239FD"/>
    <w:rsid w:val="00827013"/>
    <w:rsid w:val="0083047A"/>
    <w:rsid w:val="00831E42"/>
    <w:rsid w:val="00831E59"/>
    <w:rsid w:val="008332DD"/>
    <w:rsid w:val="00833C7C"/>
    <w:rsid w:val="00833D58"/>
    <w:rsid w:val="00834691"/>
    <w:rsid w:val="00837B20"/>
    <w:rsid w:val="00837F15"/>
    <w:rsid w:val="00840650"/>
    <w:rsid w:val="00841063"/>
    <w:rsid w:val="00841898"/>
    <w:rsid w:val="008423B7"/>
    <w:rsid w:val="00842EA5"/>
    <w:rsid w:val="00845505"/>
    <w:rsid w:val="00846685"/>
    <w:rsid w:val="008467AF"/>
    <w:rsid w:val="008476B4"/>
    <w:rsid w:val="008477A3"/>
    <w:rsid w:val="00847ADC"/>
    <w:rsid w:val="00847BD0"/>
    <w:rsid w:val="00851738"/>
    <w:rsid w:val="00852304"/>
    <w:rsid w:val="00852961"/>
    <w:rsid w:val="00852D1A"/>
    <w:rsid w:val="0085713D"/>
    <w:rsid w:val="008572C9"/>
    <w:rsid w:val="00861348"/>
    <w:rsid w:val="00861740"/>
    <w:rsid w:val="008629EE"/>
    <w:rsid w:val="00862B92"/>
    <w:rsid w:val="008631DD"/>
    <w:rsid w:val="0086333C"/>
    <w:rsid w:val="00863A8E"/>
    <w:rsid w:val="008665DB"/>
    <w:rsid w:val="008672F6"/>
    <w:rsid w:val="0087056B"/>
    <w:rsid w:val="00871E2A"/>
    <w:rsid w:val="008721A8"/>
    <w:rsid w:val="008729A3"/>
    <w:rsid w:val="00872BE1"/>
    <w:rsid w:val="00875229"/>
    <w:rsid w:val="00877065"/>
    <w:rsid w:val="00882F75"/>
    <w:rsid w:val="008865B7"/>
    <w:rsid w:val="00887060"/>
    <w:rsid w:val="008876FB"/>
    <w:rsid w:val="00892423"/>
    <w:rsid w:val="00893782"/>
    <w:rsid w:val="00893936"/>
    <w:rsid w:val="008944FC"/>
    <w:rsid w:val="008954D6"/>
    <w:rsid w:val="00895541"/>
    <w:rsid w:val="00895566"/>
    <w:rsid w:val="00895E6C"/>
    <w:rsid w:val="00896E61"/>
    <w:rsid w:val="008A1E29"/>
    <w:rsid w:val="008A26B6"/>
    <w:rsid w:val="008A29CB"/>
    <w:rsid w:val="008A38AB"/>
    <w:rsid w:val="008A4450"/>
    <w:rsid w:val="008A4ABD"/>
    <w:rsid w:val="008A6B57"/>
    <w:rsid w:val="008A6C67"/>
    <w:rsid w:val="008B09D0"/>
    <w:rsid w:val="008B1046"/>
    <w:rsid w:val="008B2149"/>
    <w:rsid w:val="008B4FA9"/>
    <w:rsid w:val="008B63A1"/>
    <w:rsid w:val="008B6B91"/>
    <w:rsid w:val="008B74EE"/>
    <w:rsid w:val="008C0759"/>
    <w:rsid w:val="008C0F43"/>
    <w:rsid w:val="008C14F4"/>
    <w:rsid w:val="008C1509"/>
    <w:rsid w:val="008C15FD"/>
    <w:rsid w:val="008C17F4"/>
    <w:rsid w:val="008C2826"/>
    <w:rsid w:val="008C2C8C"/>
    <w:rsid w:val="008C38E5"/>
    <w:rsid w:val="008C491D"/>
    <w:rsid w:val="008C6E50"/>
    <w:rsid w:val="008D2F2C"/>
    <w:rsid w:val="008D3484"/>
    <w:rsid w:val="008D34BB"/>
    <w:rsid w:val="008D3976"/>
    <w:rsid w:val="008D3ACA"/>
    <w:rsid w:val="008D5D64"/>
    <w:rsid w:val="008D71E7"/>
    <w:rsid w:val="008D739C"/>
    <w:rsid w:val="008E09A5"/>
    <w:rsid w:val="008E0D21"/>
    <w:rsid w:val="008E0E3C"/>
    <w:rsid w:val="008E1151"/>
    <w:rsid w:val="008E32CB"/>
    <w:rsid w:val="008E460E"/>
    <w:rsid w:val="008E4FCE"/>
    <w:rsid w:val="008E63CB"/>
    <w:rsid w:val="008E7436"/>
    <w:rsid w:val="008F1CBB"/>
    <w:rsid w:val="008F1DCC"/>
    <w:rsid w:val="008F391E"/>
    <w:rsid w:val="008F5ED9"/>
    <w:rsid w:val="00900E74"/>
    <w:rsid w:val="00901754"/>
    <w:rsid w:val="00903A15"/>
    <w:rsid w:val="0090421E"/>
    <w:rsid w:val="00904332"/>
    <w:rsid w:val="00904436"/>
    <w:rsid w:val="00904A5E"/>
    <w:rsid w:val="00904AF2"/>
    <w:rsid w:val="0090604F"/>
    <w:rsid w:val="00906476"/>
    <w:rsid w:val="009120F8"/>
    <w:rsid w:val="009125B5"/>
    <w:rsid w:val="009128F9"/>
    <w:rsid w:val="00912976"/>
    <w:rsid w:val="0091302D"/>
    <w:rsid w:val="0091403E"/>
    <w:rsid w:val="0091587A"/>
    <w:rsid w:val="00915CF1"/>
    <w:rsid w:val="00916E57"/>
    <w:rsid w:val="009174AD"/>
    <w:rsid w:val="00917702"/>
    <w:rsid w:val="009178BB"/>
    <w:rsid w:val="00920786"/>
    <w:rsid w:val="00922269"/>
    <w:rsid w:val="009227E4"/>
    <w:rsid w:val="00922C37"/>
    <w:rsid w:val="00923AE7"/>
    <w:rsid w:val="00924E54"/>
    <w:rsid w:val="009260AC"/>
    <w:rsid w:val="0092617A"/>
    <w:rsid w:val="00926328"/>
    <w:rsid w:val="009316E7"/>
    <w:rsid w:val="00931B8C"/>
    <w:rsid w:val="00931D18"/>
    <w:rsid w:val="00932093"/>
    <w:rsid w:val="0093300D"/>
    <w:rsid w:val="00934BE6"/>
    <w:rsid w:val="0093780A"/>
    <w:rsid w:val="00942357"/>
    <w:rsid w:val="00942492"/>
    <w:rsid w:val="009441DB"/>
    <w:rsid w:val="00944AFC"/>
    <w:rsid w:val="00944BC4"/>
    <w:rsid w:val="00945ABA"/>
    <w:rsid w:val="009465C9"/>
    <w:rsid w:val="009478EE"/>
    <w:rsid w:val="00953C28"/>
    <w:rsid w:val="00953CF5"/>
    <w:rsid w:val="00955ABF"/>
    <w:rsid w:val="00957C93"/>
    <w:rsid w:val="0096210F"/>
    <w:rsid w:val="00964B29"/>
    <w:rsid w:val="009652E9"/>
    <w:rsid w:val="00965AA7"/>
    <w:rsid w:val="00967365"/>
    <w:rsid w:val="00967E92"/>
    <w:rsid w:val="00971D26"/>
    <w:rsid w:val="009730C2"/>
    <w:rsid w:val="00973386"/>
    <w:rsid w:val="00973503"/>
    <w:rsid w:val="00973AE1"/>
    <w:rsid w:val="00974030"/>
    <w:rsid w:val="009743FB"/>
    <w:rsid w:val="0097528A"/>
    <w:rsid w:val="00976449"/>
    <w:rsid w:val="009801EB"/>
    <w:rsid w:val="0098063D"/>
    <w:rsid w:val="00980799"/>
    <w:rsid w:val="00981D6D"/>
    <w:rsid w:val="00983473"/>
    <w:rsid w:val="009842DF"/>
    <w:rsid w:val="009848D3"/>
    <w:rsid w:val="00984D79"/>
    <w:rsid w:val="009853AB"/>
    <w:rsid w:val="00985B72"/>
    <w:rsid w:val="0098721A"/>
    <w:rsid w:val="00990226"/>
    <w:rsid w:val="00990EB4"/>
    <w:rsid w:val="00992B27"/>
    <w:rsid w:val="00992BC5"/>
    <w:rsid w:val="009930E8"/>
    <w:rsid w:val="00993679"/>
    <w:rsid w:val="00993957"/>
    <w:rsid w:val="00995025"/>
    <w:rsid w:val="00995E1B"/>
    <w:rsid w:val="00995F40"/>
    <w:rsid w:val="00996ECD"/>
    <w:rsid w:val="00997046"/>
    <w:rsid w:val="00997733"/>
    <w:rsid w:val="00997927"/>
    <w:rsid w:val="00997CB0"/>
    <w:rsid w:val="009A302B"/>
    <w:rsid w:val="009A480A"/>
    <w:rsid w:val="009A4CB8"/>
    <w:rsid w:val="009A4CBF"/>
    <w:rsid w:val="009A6149"/>
    <w:rsid w:val="009B2569"/>
    <w:rsid w:val="009B39A4"/>
    <w:rsid w:val="009B43D6"/>
    <w:rsid w:val="009B4E4D"/>
    <w:rsid w:val="009B5407"/>
    <w:rsid w:val="009B6635"/>
    <w:rsid w:val="009C1CFB"/>
    <w:rsid w:val="009C2397"/>
    <w:rsid w:val="009C53F9"/>
    <w:rsid w:val="009C59AC"/>
    <w:rsid w:val="009C6716"/>
    <w:rsid w:val="009C70BB"/>
    <w:rsid w:val="009C76B3"/>
    <w:rsid w:val="009D1323"/>
    <w:rsid w:val="009D1C37"/>
    <w:rsid w:val="009D3B55"/>
    <w:rsid w:val="009D4079"/>
    <w:rsid w:val="009D4275"/>
    <w:rsid w:val="009D4FE7"/>
    <w:rsid w:val="009D6690"/>
    <w:rsid w:val="009D77CC"/>
    <w:rsid w:val="009D7880"/>
    <w:rsid w:val="009E0464"/>
    <w:rsid w:val="009E2A57"/>
    <w:rsid w:val="009E42C2"/>
    <w:rsid w:val="009E6C01"/>
    <w:rsid w:val="009E73C4"/>
    <w:rsid w:val="009E7B53"/>
    <w:rsid w:val="009F00D8"/>
    <w:rsid w:val="009F0111"/>
    <w:rsid w:val="009F0550"/>
    <w:rsid w:val="009F08A8"/>
    <w:rsid w:val="009F1B4D"/>
    <w:rsid w:val="009F2088"/>
    <w:rsid w:val="009F29F3"/>
    <w:rsid w:val="009F47B5"/>
    <w:rsid w:val="009F5032"/>
    <w:rsid w:val="009F50C3"/>
    <w:rsid w:val="009F6425"/>
    <w:rsid w:val="009F6583"/>
    <w:rsid w:val="009F6890"/>
    <w:rsid w:val="00A01223"/>
    <w:rsid w:val="00A0243A"/>
    <w:rsid w:val="00A03166"/>
    <w:rsid w:val="00A05DEF"/>
    <w:rsid w:val="00A06678"/>
    <w:rsid w:val="00A0725A"/>
    <w:rsid w:val="00A0768E"/>
    <w:rsid w:val="00A11CB3"/>
    <w:rsid w:val="00A1473F"/>
    <w:rsid w:val="00A1493B"/>
    <w:rsid w:val="00A1561F"/>
    <w:rsid w:val="00A15760"/>
    <w:rsid w:val="00A158E0"/>
    <w:rsid w:val="00A1775E"/>
    <w:rsid w:val="00A206EE"/>
    <w:rsid w:val="00A208D0"/>
    <w:rsid w:val="00A217FD"/>
    <w:rsid w:val="00A21B51"/>
    <w:rsid w:val="00A229EA"/>
    <w:rsid w:val="00A22AF3"/>
    <w:rsid w:val="00A24957"/>
    <w:rsid w:val="00A25773"/>
    <w:rsid w:val="00A265E2"/>
    <w:rsid w:val="00A2686F"/>
    <w:rsid w:val="00A32CC6"/>
    <w:rsid w:val="00A35FDD"/>
    <w:rsid w:val="00A4399E"/>
    <w:rsid w:val="00A441DE"/>
    <w:rsid w:val="00A45926"/>
    <w:rsid w:val="00A47F2D"/>
    <w:rsid w:val="00A50451"/>
    <w:rsid w:val="00A50B01"/>
    <w:rsid w:val="00A522BD"/>
    <w:rsid w:val="00A52A30"/>
    <w:rsid w:val="00A540B6"/>
    <w:rsid w:val="00A55C1E"/>
    <w:rsid w:val="00A56E94"/>
    <w:rsid w:val="00A57FE5"/>
    <w:rsid w:val="00A60202"/>
    <w:rsid w:val="00A60C01"/>
    <w:rsid w:val="00A61127"/>
    <w:rsid w:val="00A613CE"/>
    <w:rsid w:val="00A64100"/>
    <w:rsid w:val="00A648DA"/>
    <w:rsid w:val="00A6642E"/>
    <w:rsid w:val="00A67A86"/>
    <w:rsid w:val="00A704DD"/>
    <w:rsid w:val="00A71B18"/>
    <w:rsid w:val="00A726B4"/>
    <w:rsid w:val="00A74D70"/>
    <w:rsid w:val="00A757FF"/>
    <w:rsid w:val="00A75A46"/>
    <w:rsid w:val="00A75A6A"/>
    <w:rsid w:val="00A77BC7"/>
    <w:rsid w:val="00A8069D"/>
    <w:rsid w:val="00A80C2F"/>
    <w:rsid w:val="00A81B93"/>
    <w:rsid w:val="00A82A89"/>
    <w:rsid w:val="00A82F2C"/>
    <w:rsid w:val="00A83BDC"/>
    <w:rsid w:val="00A83CAB"/>
    <w:rsid w:val="00A844C6"/>
    <w:rsid w:val="00A84B9A"/>
    <w:rsid w:val="00A86049"/>
    <w:rsid w:val="00A878F4"/>
    <w:rsid w:val="00A87DE1"/>
    <w:rsid w:val="00A917AD"/>
    <w:rsid w:val="00A93175"/>
    <w:rsid w:val="00A9385F"/>
    <w:rsid w:val="00A93A56"/>
    <w:rsid w:val="00A94086"/>
    <w:rsid w:val="00A9596F"/>
    <w:rsid w:val="00A96EF6"/>
    <w:rsid w:val="00A977CF"/>
    <w:rsid w:val="00A97896"/>
    <w:rsid w:val="00AA0B7F"/>
    <w:rsid w:val="00AA179B"/>
    <w:rsid w:val="00AA2044"/>
    <w:rsid w:val="00AA219B"/>
    <w:rsid w:val="00AA2704"/>
    <w:rsid w:val="00AA2962"/>
    <w:rsid w:val="00AA3845"/>
    <w:rsid w:val="00AA50EA"/>
    <w:rsid w:val="00AA59EF"/>
    <w:rsid w:val="00AA76E6"/>
    <w:rsid w:val="00AB31A8"/>
    <w:rsid w:val="00AB4B5B"/>
    <w:rsid w:val="00AB501A"/>
    <w:rsid w:val="00AB5DB5"/>
    <w:rsid w:val="00AB717C"/>
    <w:rsid w:val="00AB7515"/>
    <w:rsid w:val="00AB7D0C"/>
    <w:rsid w:val="00AB7E39"/>
    <w:rsid w:val="00AC1A14"/>
    <w:rsid w:val="00AC1C97"/>
    <w:rsid w:val="00AC4805"/>
    <w:rsid w:val="00AC4B72"/>
    <w:rsid w:val="00AC50AA"/>
    <w:rsid w:val="00AC595F"/>
    <w:rsid w:val="00AC630B"/>
    <w:rsid w:val="00AD1D7E"/>
    <w:rsid w:val="00AD2AAA"/>
    <w:rsid w:val="00AD4568"/>
    <w:rsid w:val="00AD4BA5"/>
    <w:rsid w:val="00AD58BA"/>
    <w:rsid w:val="00AD5A12"/>
    <w:rsid w:val="00AD63AE"/>
    <w:rsid w:val="00AD6873"/>
    <w:rsid w:val="00AD6CE3"/>
    <w:rsid w:val="00AD6D9C"/>
    <w:rsid w:val="00AD6E7B"/>
    <w:rsid w:val="00AD78F5"/>
    <w:rsid w:val="00AE06D6"/>
    <w:rsid w:val="00AE1FE6"/>
    <w:rsid w:val="00AE3A6E"/>
    <w:rsid w:val="00AE4A9A"/>
    <w:rsid w:val="00AE5F4F"/>
    <w:rsid w:val="00AE7542"/>
    <w:rsid w:val="00AF0503"/>
    <w:rsid w:val="00AF1ADE"/>
    <w:rsid w:val="00AF2D7A"/>
    <w:rsid w:val="00AF34E9"/>
    <w:rsid w:val="00AF44EB"/>
    <w:rsid w:val="00AF501D"/>
    <w:rsid w:val="00AF5338"/>
    <w:rsid w:val="00AF6051"/>
    <w:rsid w:val="00AF6500"/>
    <w:rsid w:val="00AF6783"/>
    <w:rsid w:val="00AF7076"/>
    <w:rsid w:val="00AF76F9"/>
    <w:rsid w:val="00B01B40"/>
    <w:rsid w:val="00B0281D"/>
    <w:rsid w:val="00B02E94"/>
    <w:rsid w:val="00B050DE"/>
    <w:rsid w:val="00B05AA6"/>
    <w:rsid w:val="00B0606E"/>
    <w:rsid w:val="00B062A2"/>
    <w:rsid w:val="00B07677"/>
    <w:rsid w:val="00B10F74"/>
    <w:rsid w:val="00B115D5"/>
    <w:rsid w:val="00B1164D"/>
    <w:rsid w:val="00B1244F"/>
    <w:rsid w:val="00B12FD3"/>
    <w:rsid w:val="00B132D9"/>
    <w:rsid w:val="00B13662"/>
    <w:rsid w:val="00B14F53"/>
    <w:rsid w:val="00B1612F"/>
    <w:rsid w:val="00B1619A"/>
    <w:rsid w:val="00B16743"/>
    <w:rsid w:val="00B169C6"/>
    <w:rsid w:val="00B16EB3"/>
    <w:rsid w:val="00B17E8D"/>
    <w:rsid w:val="00B207DC"/>
    <w:rsid w:val="00B21AB3"/>
    <w:rsid w:val="00B240EE"/>
    <w:rsid w:val="00B24220"/>
    <w:rsid w:val="00B24355"/>
    <w:rsid w:val="00B24E50"/>
    <w:rsid w:val="00B25028"/>
    <w:rsid w:val="00B25C21"/>
    <w:rsid w:val="00B270E0"/>
    <w:rsid w:val="00B31973"/>
    <w:rsid w:val="00B320C7"/>
    <w:rsid w:val="00B34B81"/>
    <w:rsid w:val="00B34C83"/>
    <w:rsid w:val="00B3543A"/>
    <w:rsid w:val="00B35AFD"/>
    <w:rsid w:val="00B377EE"/>
    <w:rsid w:val="00B37FEB"/>
    <w:rsid w:val="00B40675"/>
    <w:rsid w:val="00B42B18"/>
    <w:rsid w:val="00B44D8D"/>
    <w:rsid w:val="00B46671"/>
    <w:rsid w:val="00B47161"/>
    <w:rsid w:val="00B510B9"/>
    <w:rsid w:val="00B51417"/>
    <w:rsid w:val="00B51DCC"/>
    <w:rsid w:val="00B52D16"/>
    <w:rsid w:val="00B55EDE"/>
    <w:rsid w:val="00B56611"/>
    <w:rsid w:val="00B60E39"/>
    <w:rsid w:val="00B614F6"/>
    <w:rsid w:val="00B638BF"/>
    <w:rsid w:val="00B66F3D"/>
    <w:rsid w:val="00B677BF"/>
    <w:rsid w:val="00B67CD4"/>
    <w:rsid w:val="00B70239"/>
    <w:rsid w:val="00B71BC1"/>
    <w:rsid w:val="00B734D3"/>
    <w:rsid w:val="00B73649"/>
    <w:rsid w:val="00B7481B"/>
    <w:rsid w:val="00B7575B"/>
    <w:rsid w:val="00B76E7C"/>
    <w:rsid w:val="00B77886"/>
    <w:rsid w:val="00B800C0"/>
    <w:rsid w:val="00B80469"/>
    <w:rsid w:val="00B80B22"/>
    <w:rsid w:val="00B83EED"/>
    <w:rsid w:val="00B8531E"/>
    <w:rsid w:val="00B869FB"/>
    <w:rsid w:val="00B86CC0"/>
    <w:rsid w:val="00B878CC"/>
    <w:rsid w:val="00B9123C"/>
    <w:rsid w:val="00B91C8D"/>
    <w:rsid w:val="00B9215F"/>
    <w:rsid w:val="00B9376A"/>
    <w:rsid w:val="00B94CDE"/>
    <w:rsid w:val="00B95352"/>
    <w:rsid w:val="00B95373"/>
    <w:rsid w:val="00B96E66"/>
    <w:rsid w:val="00B97F6C"/>
    <w:rsid w:val="00BA47FF"/>
    <w:rsid w:val="00BA53CE"/>
    <w:rsid w:val="00BA61D0"/>
    <w:rsid w:val="00BA7D6B"/>
    <w:rsid w:val="00BB009C"/>
    <w:rsid w:val="00BB0877"/>
    <w:rsid w:val="00BB08BD"/>
    <w:rsid w:val="00BB16D1"/>
    <w:rsid w:val="00BB186F"/>
    <w:rsid w:val="00BB1874"/>
    <w:rsid w:val="00BB4CA7"/>
    <w:rsid w:val="00BB53AD"/>
    <w:rsid w:val="00BB5C35"/>
    <w:rsid w:val="00BB7CE9"/>
    <w:rsid w:val="00BC17C0"/>
    <w:rsid w:val="00BC44F3"/>
    <w:rsid w:val="00BC50EF"/>
    <w:rsid w:val="00BD0DAF"/>
    <w:rsid w:val="00BD1FA0"/>
    <w:rsid w:val="00BD4ADF"/>
    <w:rsid w:val="00BD5E4D"/>
    <w:rsid w:val="00BD7514"/>
    <w:rsid w:val="00BE4CDD"/>
    <w:rsid w:val="00BE505A"/>
    <w:rsid w:val="00BE51A7"/>
    <w:rsid w:val="00BE56E0"/>
    <w:rsid w:val="00BE61FB"/>
    <w:rsid w:val="00BE7353"/>
    <w:rsid w:val="00BF059A"/>
    <w:rsid w:val="00BF07F5"/>
    <w:rsid w:val="00BF14F1"/>
    <w:rsid w:val="00BF17E5"/>
    <w:rsid w:val="00BF22C5"/>
    <w:rsid w:val="00BF37B8"/>
    <w:rsid w:val="00BF409F"/>
    <w:rsid w:val="00BF49D0"/>
    <w:rsid w:val="00BF5712"/>
    <w:rsid w:val="00BF60D3"/>
    <w:rsid w:val="00BF79CD"/>
    <w:rsid w:val="00C00438"/>
    <w:rsid w:val="00C02085"/>
    <w:rsid w:val="00C02556"/>
    <w:rsid w:val="00C05D67"/>
    <w:rsid w:val="00C071B8"/>
    <w:rsid w:val="00C07953"/>
    <w:rsid w:val="00C11348"/>
    <w:rsid w:val="00C142EC"/>
    <w:rsid w:val="00C15156"/>
    <w:rsid w:val="00C15757"/>
    <w:rsid w:val="00C15A9A"/>
    <w:rsid w:val="00C16CFB"/>
    <w:rsid w:val="00C171D9"/>
    <w:rsid w:val="00C172E1"/>
    <w:rsid w:val="00C17D57"/>
    <w:rsid w:val="00C22DC8"/>
    <w:rsid w:val="00C2420F"/>
    <w:rsid w:val="00C24330"/>
    <w:rsid w:val="00C24665"/>
    <w:rsid w:val="00C25007"/>
    <w:rsid w:val="00C2528A"/>
    <w:rsid w:val="00C25495"/>
    <w:rsid w:val="00C2555C"/>
    <w:rsid w:val="00C25959"/>
    <w:rsid w:val="00C26A64"/>
    <w:rsid w:val="00C26F26"/>
    <w:rsid w:val="00C3029B"/>
    <w:rsid w:val="00C30485"/>
    <w:rsid w:val="00C309DF"/>
    <w:rsid w:val="00C30DC1"/>
    <w:rsid w:val="00C317F7"/>
    <w:rsid w:val="00C31C55"/>
    <w:rsid w:val="00C322D2"/>
    <w:rsid w:val="00C32A34"/>
    <w:rsid w:val="00C34B55"/>
    <w:rsid w:val="00C3642A"/>
    <w:rsid w:val="00C3674A"/>
    <w:rsid w:val="00C369DA"/>
    <w:rsid w:val="00C37220"/>
    <w:rsid w:val="00C37AB3"/>
    <w:rsid w:val="00C410CC"/>
    <w:rsid w:val="00C41E7A"/>
    <w:rsid w:val="00C426A2"/>
    <w:rsid w:val="00C4382B"/>
    <w:rsid w:val="00C43E1F"/>
    <w:rsid w:val="00C44A6C"/>
    <w:rsid w:val="00C45821"/>
    <w:rsid w:val="00C45FC0"/>
    <w:rsid w:val="00C52787"/>
    <w:rsid w:val="00C527FE"/>
    <w:rsid w:val="00C54FB9"/>
    <w:rsid w:val="00C56B96"/>
    <w:rsid w:val="00C56CA3"/>
    <w:rsid w:val="00C56E8D"/>
    <w:rsid w:val="00C60595"/>
    <w:rsid w:val="00C605FF"/>
    <w:rsid w:val="00C61305"/>
    <w:rsid w:val="00C61472"/>
    <w:rsid w:val="00C61DF0"/>
    <w:rsid w:val="00C62374"/>
    <w:rsid w:val="00C62404"/>
    <w:rsid w:val="00C6427A"/>
    <w:rsid w:val="00C643D3"/>
    <w:rsid w:val="00C6514D"/>
    <w:rsid w:val="00C652C0"/>
    <w:rsid w:val="00C6542A"/>
    <w:rsid w:val="00C6608D"/>
    <w:rsid w:val="00C67EFE"/>
    <w:rsid w:val="00C70E3C"/>
    <w:rsid w:val="00C71DD6"/>
    <w:rsid w:val="00C74078"/>
    <w:rsid w:val="00C745CE"/>
    <w:rsid w:val="00C76273"/>
    <w:rsid w:val="00C7637B"/>
    <w:rsid w:val="00C80F88"/>
    <w:rsid w:val="00C82107"/>
    <w:rsid w:val="00C825F5"/>
    <w:rsid w:val="00C8408E"/>
    <w:rsid w:val="00C8451F"/>
    <w:rsid w:val="00C84C95"/>
    <w:rsid w:val="00C854A3"/>
    <w:rsid w:val="00C875DE"/>
    <w:rsid w:val="00C905C0"/>
    <w:rsid w:val="00C91E59"/>
    <w:rsid w:val="00C93ABC"/>
    <w:rsid w:val="00C944BB"/>
    <w:rsid w:val="00C9569C"/>
    <w:rsid w:val="00C97958"/>
    <w:rsid w:val="00CA0E59"/>
    <w:rsid w:val="00CA17D7"/>
    <w:rsid w:val="00CA1BEA"/>
    <w:rsid w:val="00CA3FDA"/>
    <w:rsid w:val="00CA604D"/>
    <w:rsid w:val="00CA650F"/>
    <w:rsid w:val="00CA6DDE"/>
    <w:rsid w:val="00CA7E1D"/>
    <w:rsid w:val="00CB4CC5"/>
    <w:rsid w:val="00CB6431"/>
    <w:rsid w:val="00CB7096"/>
    <w:rsid w:val="00CC23AA"/>
    <w:rsid w:val="00CC26C6"/>
    <w:rsid w:val="00CC41EB"/>
    <w:rsid w:val="00CC4C8D"/>
    <w:rsid w:val="00CC5ACD"/>
    <w:rsid w:val="00CC6200"/>
    <w:rsid w:val="00CD09EB"/>
    <w:rsid w:val="00CD21C4"/>
    <w:rsid w:val="00CD3014"/>
    <w:rsid w:val="00CD3056"/>
    <w:rsid w:val="00CD3D19"/>
    <w:rsid w:val="00CD4535"/>
    <w:rsid w:val="00CD47C9"/>
    <w:rsid w:val="00CD56CE"/>
    <w:rsid w:val="00CD64C8"/>
    <w:rsid w:val="00CD6716"/>
    <w:rsid w:val="00CE0AE4"/>
    <w:rsid w:val="00CE15C2"/>
    <w:rsid w:val="00CE267D"/>
    <w:rsid w:val="00CE3983"/>
    <w:rsid w:val="00CE3E30"/>
    <w:rsid w:val="00CE45E3"/>
    <w:rsid w:val="00CE482F"/>
    <w:rsid w:val="00CE6730"/>
    <w:rsid w:val="00CE6C1E"/>
    <w:rsid w:val="00CE75B1"/>
    <w:rsid w:val="00CF1326"/>
    <w:rsid w:val="00CF2537"/>
    <w:rsid w:val="00CF3257"/>
    <w:rsid w:val="00CF3DE8"/>
    <w:rsid w:val="00CF4040"/>
    <w:rsid w:val="00CF51B2"/>
    <w:rsid w:val="00CF563C"/>
    <w:rsid w:val="00CF56A6"/>
    <w:rsid w:val="00CF7B69"/>
    <w:rsid w:val="00D002D6"/>
    <w:rsid w:val="00D01964"/>
    <w:rsid w:val="00D039D1"/>
    <w:rsid w:val="00D052FD"/>
    <w:rsid w:val="00D067E1"/>
    <w:rsid w:val="00D0799D"/>
    <w:rsid w:val="00D1092D"/>
    <w:rsid w:val="00D11B9C"/>
    <w:rsid w:val="00D126AA"/>
    <w:rsid w:val="00D1410B"/>
    <w:rsid w:val="00D1434F"/>
    <w:rsid w:val="00D15819"/>
    <w:rsid w:val="00D15D49"/>
    <w:rsid w:val="00D16045"/>
    <w:rsid w:val="00D22D58"/>
    <w:rsid w:val="00D22E78"/>
    <w:rsid w:val="00D23F11"/>
    <w:rsid w:val="00D26378"/>
    <w:rsid w:val="00D264F2"/>
    <w:rsid w:val="00D271E9"/>
    <w:rsid w:val="00D312DB"/>
    <w:rsid w:val="00D40C7D"/>
    <w:rsid w:val="00D4205B"/>
    <w:rsid w:val="00D43831"/>
    <w:rsid w:val="00D43E2F"/>
    <w:rsid w:val="00D446CF"/>
    <w:rsid w:val="00D46070"/>
    <w:rsid w:val="00D50670"/>
    <w:rsid w:val="00D509B0"/>
    <w:rsid w:val="00D50D78"/>
    <w:rsid w:val="00D51F05"/>
    <w:rsid w:val="00D52D84"/>
    <w:rsid w:val="00D535DB"/>
    <w:rsid w:val="00D538A4"/>
    <w:rsid w:val="00D5466C"/>
    <w:rsid w:val="00D54D53"/>
    <w:rsid w:val="00D55327"/>
    <w:rsid w:val="00D55759"/>
    <w:rsid w:val="00D55D4B"/>
    <w:rsid w:val="00D61432"/>
    <w:rsid w:val="00D62A48"/>
    <w:rsid w:val="00D62EB2"/>
    <w:rsid w:val="00D63012"/>
    <w:rsid w:val="00D645E9"/>
    <w:rsid w:val="00D64E8A"/>
    <w:rsid w:val="00D654A2"/>
    <w:rsid w:val="00D65F4C"/>
    <w:rsid w:val="00D674E0"/>
    <w:rsid w:val="00D71B1A"/>
    <w:rsid w:val="00D72039"/>
    <w:rsid w:val="00D72318"/>
    <w:rsid w:val="00D74A5F"/>
    <w:rsid w:val="00D7539A"/>
    <w:rsid w:val="00D77152"/>
    <w:rsid w:val="00D7792C"/>
    <w:rsid w:val="00D80EA5"/>
    <w:rsid w:val="00D82349"/>
    <w:rsid w:val="00D83206"/>
    <w:rsid w:val="00D83262"/>
    <w:rsid w:val="00D8530B"/>
    <w:rsid w:val="00D91644"/>
    <w:rsid w:val="00D93574"/>
    <w:rsid w:val="00D93A03"/>
    <w:rsid w:val="00D94406"/>
    <w:rsid w:val="00D959C2"/>
    <w:rsid w:val="00D95A95"/>
    <w:rsid w:val="00D96D24"/>
    <w:rsid w:val="00D97A35"/>
    <w:rsid w:val="00DA20E5"/>
    <w:rsid w:val="00DA40A8"/>
    <w:rsid w:val="00DA6778"/>
    <w:rsid w:val="00DB16F5"/>
    <w:rsid w:val="00DB1A44"/>
    <w:rsid w:val="00DB209F"/>
    <w:rsid w:val="00DB2CA8"/>
    <w:rsid w:val="00DB38FF"/>
    <w:rsid w:val="00DB4089"/>
    <w:rsid w:val="00DB6B1A"/>
    <w:rsid w:val="00DB7121"/>
    <w:rsid w:val="00DC0405"/>
    <w:rsid w:val="00DC0504"/>
    <w:rsid w:val="00DC064C"/>
    <w:rsid w:val="00DC1D93"/>
    <w:rsid w:val="00DC2F45"/>
    <w:rsid w:val="00DC3ABC"/>
    <w:rsid w:val="00DC6BE9"/>
    <w:rsid w:val="00DC6F7B"/>
    <w:rsid w:val="00DC72CD"/>
    <w:rsid w:val="00DD0F50"/>
    <w:rsid w:val="00DD3C93"/>
    <w:rsid w:val="00DD6027"/>
    <w:rsid w:val="00DD6B4B"/>
    <w:rsid w:val="00DD7436"/>
    <w:rsid w:val="00DD78E4"/>
    <w:rsid w:val="00DE22D8"/>
    <w:rsid w:val="00DE24A1"/>
    <w:rsid w:val="00DE2C07"/>
    <w:rsid w:val="00DE2EC9"/>
    <w:rsid w:val="00DE427E"/>
    <w:rsid w:val="00DE69E3"/>
    <w:rsid w:val="00DF0CD9"/>
    <w:rsid w:val="00DF11EE"/>
    <w:rsid w:val="00DF379E"/>
    <w:rsid w:val="00DF5061"/>
    <w:rsid w:val="00DF5067"/>
    <w:rsid w:val="00E00B71"/>
    <w:rsid w:val="00E02037"/>
    <w:rsid w:val="00E0221A"/>
    <w:rsid w:val="00E030DE"/>
    <w:rsid w:val="00E03485"/>
    <w:rsid w:val="00E035E9"/>
    <w:rsid w:val="00E0426E"/>
    <w:rsid w:val="00E06ADA"/>
    <w:rsid w:val="00E1274E"/>
    <w:rsid w:val="00E1323F"/>
    <w:rsid w:val="00E13AF0"/>
    <w:rsid w:val="00E13B16"/>
    <w:rsid w:val="00E147E3"/>
    <w:rsid w:val="00E16A20"/>
    <w:rsid w:val="00E1729A"/>
    <w:rsid w:val="00E1774B"/>
    <w:rsid w:val="00E20C98"/>
    <w:rsid w:val="00E21A09"/>
    <w:rsid w:val="00E246B9"/>
    <w:rsid w:val="00E24F8C"/>
    <w:rsid w:val="00E27296"/>
    <w:rsid w:val="00E272FC"/>
    <w:rsid w:val="00E2796E"/>
    <w:rsid w:val="00E34375"/>
    <w:rsid w:val="00E3595D"/>
    <w:rsid w:val="00E36093"/>
    <w:rsid w:val="00E36595"/>
    <w:rsid w:val="00E401E1"/>
    <w:rsid w:val="00E41099"/>
    <w:rsid w:val="00E426EB"/>
    <w:rsid w:val="00E4542C"/>
    <w:rsid w:val="00E47055"/>
    <w:rsid w:val="00E50C36"/>
    <w:rsid w:val="00E54780"/>
    <w:rsid w:val="00E56A97"/>
    <w:rsid w:val="00E57FF6"/>
    <w:rsid w:val="00E60FC8"/>
    <w:rsid w:val="00E6151B"/>
    <w:rsid w:val="00E63C04"/>
    <w:rsid w:val="00E63FD3"/>
    <w:rsid w:val="00E64197"/>
    <w:rsid w:val="00E64338"/>
    <w:rsid w:val="00E64518"/>
    <w:rsid w:val="00E646F1"/>
    <w:rsid w:val="00E651A3"/>
    <w:rsid w:val="00E71111"/>
    <w:rsid w:val="00E7237D"/>
    <w:rsid w:val="00E727AD"/>
    <w:rsid w:val="00E73B4F"/>
    <w:rsid w:val="00E74B0A"/>
    <w:rsid w:val="00E75900"/>
    <w:rsid w:val="00E75979"/>
    <w:rsid w:val="00E8064F"/>
    <w:rsid w:val="00E80B9E"/>
    <w:rsid w:val="00E80EEC"/>
    <w:rsid w:val="00E812D4"/>
    <w:rsid w:val="00E81CDD"/>
    <w:rsid w:val="00E823E8"/>
    <w:rsid w:val="00E83844"/>
    <w:rsid w:val="00E83E7D"/>
    <w:rsid w:val="00E84728"/>
    <w:rsid w:val="00E86B67"/>
    <w:rsid w:val="00E906D5"/>
    <w:rsid w:val="00E918FC"/>
    <w:rsid w:val="00E91947"/>
    <w:rsid w:val="00E92434"/>
    <w:rsid w:val="00E933DE"/>
    <w:rsid w:val="00E94945"/>
    <w:rsid w:val="00E95006"/>
    <w:rsid w:val="00E95FDB"/>
    <w:rsid w:val="00E96583"/>
    <w:rsid w:val="00EA009A"/>
    <w:rsid w:val="00EA057D"/>
    <w:rsid w:val="00EA13F9"/>
    <w:rsid w:val="00EA194C"/>
    <w:rsid w:val="00EA3353"/>
    <w:rsid w:val="00EA6E74"/>
    <w:rsid w:val="00EA7980"/>
    <w:rsid w:val="00EB2553"/>
    <w:rsid w:val="00EB30E8"/>
    <w:rsid w:val="00EB3B6F"/>
    <w:rsid w:val="00EB5E9B"/>
    <w:rsid w:val="00EB631A"/>
    <w:rsid w:val="00EB65F5"/>
    <w:rsid w:val="00EB6BA3"/>
    <w:rsid w:val="00EB7CE3"/>
    <w:rsid w:val="00EC1A1C"/>
    <w:rsid w:val="00EC3360"/>
    <w:rsid w:val="00EC4C96"/>
    <w:rsid w:val="00EC4E87"/>
    <w:rsid w:val="00EC55AF"/>
    <w:rsid w:val="00EC5A13"/>
    <w:rsid w:val="00EC6782"/>
    <w:rsid w:val="00ED0629"/>
    <w:rsid w:val="00ED33B1"/>
    <w:rsid w:val="00ED3E42"/>
    <w:rsid w:val="00ED54E7"/>
    <w:rsid w:val="00ED55B0"/>
    <w:rsid w:val="00ED7A5F"/>
    <w:rsid w:val="00EE040C"/>
    <w:rsid w:val="00EE06E0"/>
    <w:rsid w:val="00EE075B"/>
    <w:rsid w:val="00EE1EA9"/>
    <w:rsid w:val="00EE5E3F"/>
    <w:rsid w:val="00EE636D"/>
    <w:rsid w:val="00EF0790"/>
    <w:rsid w:val="00EF1B11"/>
    <w:rsid w:val="00EF1FB9"/>
    <w:rsid w:val="00EF2A9C"/>
    <w:rsid w:val="00EF340E"/>
    <w:rsid w:val="00EF3EDA"/>
    <w:rsid w:val="00EF4259"/>
    <w:rsid w:val="00EF4E53"/>
    <w:rsid w:val="00EF53E3"/>
    <w:rsid w:val="00EF6AB5"/>
    <w:rsid w:val="00EF73CF"/>
    <w:rsid w:val="00F066F8"/>
    <w:rsid w:val="00F06742"/>
    <w:rsid w:val="00F06AA9"/>
    <w:rsid w:val="00F118BD"/>
    <w:rsid w:val="00F12CB3"/>
    <w:rsid w:val="00F12FF6"/>
    <w:rsid w:val="00F157DD"/>
    <w:rsid w:val="00F159D7"/>
    <w:rsid w:val="00F17A65"/>
    <w:rsid w:val="00F201AE"/>
    <w:rsid w:val="00F202C4"/>
    <w:rsid w:val="00F206C3"/>
    <w:rsid w:val="00F20742"/>
    <w:rsid w:val="00F21905"/>
    <w:rsid w:val="00F238EE"/>
    <w:rsid w:val="00F23B51"/>
    <w:rsid w:val="00F23DE0"/>
    <w:rsid w:val="00F25D52"/>
    <w:rsid w:val="00F2622C"/>
    <w:rsid w:val="00F26382"/>
    <w:rsid w:val="00F2732E"/>
    <w:rsid w:val="00F2778C"/>
    <w:rsid w:val="00F30EEA"/>
    <w:rsid w:val="00F3115B"/>
    <w:rsid w:val="00F31A75"/>
    <w:rsid w:val="00F31BBB"/>
    <w:rsid w:val="00F31D13"/>
    <w:rsid w:val="00F331D8"/>
    <w:rsid w:val="00F35B19"/>
    <w:rsid w:val="00F36281"/>
    <w:rsid w:val="00F400F2"/>
    <w:rsid w:val="00F41D89"/>
    <w:rsid w:val="00F42218"/>
    <w:rsid w:val="00F446CE"/>
    <w:rsid w:val="00F44E76"/>
    <w:rsid w:val="00F454A9"/>
    <w:rsid w:val="00F46A4B"/>
    <w:rsid w:val="00F52101"/>
    <w:rsid w:val="00F527C0"/>
    <w:rsid w:val="00F5479B"/>
    <w:rsid w:val="00F55AC6"/>
    <w:rsid w:val="00F55BB2"/>
    <w:rsid w:val="00F55DEA"/>
    <w:rsid w:val="00F55F47"/>
    <w:rsid w:val="00F56976"/>
    <w:rsid w:val="00F56BF3"/>
    <w:rsid w:val="00F56DAB"/>
    <w:rsid w:val="00F574D7"/>
    <w:rsid w:val="00F57527"/>
    <w:rsid w:val="00F5758D"/>
    <w:rsid w:val="00F642A3"/>
    <w:rsid w:val="00F65107"/>
    <w:rsid w:val="00F6520C"/>
    <w:rsid w:val="00F6527A"/>
    <w:rsid w:val="00F6592D"/>
    <w:rsid w:val="00F65FFE"/>
    <w:rsid w:val="00F66313"/>
    <w:rsid w:val="00F71E13"/>
    <w:rsid w:val="00F73B17"/>
    <w:rsid w:val="00F7616A"/>
    <w:rsid w:val="00F7696B"/>
    <w:rsid w:val="00F76B3A"/>
    <w:rsid w:val="00F7749B"/>
    <w:rsid w:val="00F85D4C"/>
    <w:rsid w:val="00F86020"/>
    <w:rsid w:val="00F91693"/>
    <w:rsid w:val="00F948F3"/>
    <w:rsid w:val="00F979E9"/>
    <w:rsid w:val="00F97D27"/>
    <w:rsid w:val="00F97DA6"/>
    <w:rsid w:val="00FA01C6"/>
    <w:rsid w:val="00FA06EF"/>
    <w:rsid w:val="00FA0BA3"/>
    <w:rsid w:val="00FA0CCC"/>
    <w:rsid w:val="00FA215A"/>
    <w:rsid w:val="00FA2446"/>
    <w:rsid w:val="00FA48DD"/>
    <w:rsid w:val="00FA4987"/>
    <w:rsid w:val="00FA61C6"/>
    <w:rsid w:val="00FA6289"/>
    <w:rsid w:val="00FB153E"/>
    <w:rsid w:val="00FB160F"/>
    <w:rsid w:val="00FB193A"/>
    <w:rsid w:val="00FB2EB1"/>
    <w:rsid w:val="00FB3515"/>
    <w:rsid w:val="00FB408A"/>
    <w:rsid w:val="00FB4824"/>
    <w:rsid w:val="00FB495B"/>
    <w:rsid w:val="00FB6EDD"/>
    <w:rsid w:val="00FC2C33"/>
    <w:rsid w:val="00FC2F6E"/>
    <w:rsid w:val="00FC36DC"/>
    <w:rsid w:val="00FC4CA0"/>
    <w:rsid w:val="00FC75A8"/>
    <w:rsid w:val="00FD0678"/>
    <w:rsid w:val="00FD213A"/>
    <w:rsid w:val="00FD37B4"/>
    <w:rsid w:val="00FD3A91"/>
    <w:rsid w:val="00FD531E"/>
    <w:rsid w:val="00FD5332"/>
    <w:rsid w:val="00FE0BA8"/>
    <w:rsid w:val="00FE0BEA"/>
    <w:rsid w:val="00FE2D6C"/>
    <w:rsid w:val="00FE2FFA"/>
    <w:rsid w:val="00FE6A90"/>
    <w:rsid w:val="00FE7F40"/>
    <w:rsid w:val="00FF0CBC"/>
    <w:rsid w:val="00FF3219"/>
    <w:rsid w:val="00FF5CBB"/>
    <w:rsid w:val="00FF621B"/>
    <w:rsid w:val="00FF6266"/>
    <w:rsid w:val="00FF6389"/>
    <w:rsid w:val="00FF7022"/>
    <w:rsid w:val="00FF759F"/>
    <w:rsid w:val="00FF765A"/>
    <w:rsid w:val="00FF79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ECC"/>
    <w:rPr>
      <w:sz w:val="24"/>
      <w:szCs w:val="24"/>
      <w:lang w:val="en-US"/>
    </w:rPr>
  </w:style>
  <w:style w:type="paragraph" w:styleId="Heading1">
    <w:name w:val="heading 1"/>
    <w:basedOn w:val="Normal"/>
    <w:next w:val="Normal"/>
    <w:qFormat/>
    <w:rsid w:val="00024559"/>
    <w:pPr>
      <w:keepNext/>
      <w:tabs>
        <w:tab w:val="num" w:pos="432"/>
      </w:tabs>
      <w:suppressAutoHyphens/>
      <w:ind w:left="432" w:hanging="432"/>
      <w:jc w:val="center"/>
      <w:outlineLvl w:val="0"/>
    </w:pPr>
    <w:rPr>
      <w:rFonts w:ascii="Arial" w:hAnsi="Arial"/>
      <w:b/>
      <w:iCs/>
      <w:sz w:val="18"/>
      <w:szCs w:val="18"/>
      <w:lang w:eastAsia="ar-SA"/>
    </w:rPr>
  </w:style>
  <w:style w:type="paragraph" w:styleId="Heading2">
    <w:name w:val="heading 2"/>
    <w:basedOn w:val="Normal"/>
    <w:next w:val="Normal"/>
    <w:qFormat/>
    <w:rsid w:val="00024559"/>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qFormat/>
    <w:rsid w:val="00024559"/>
    <w:pPr>
      <w:keepNext/>
      <w:tabs>
        <w:tab w:val="num" w:pos="720"/>
      </w:tabs>
      <w:suppressAutoHyphens/>
      <w:spacing w:before="240" w:after="60"/>
      <w:ind w:left="720" w:hanging="720"/>
      <w:outlineLvl w:val="2"/>
    </w:pPr>
    <w:rPr>
      <w:rFonts w:ascii="Arial" w:hAnsi="Arial" w:cs="Arial"/>
      <w:b/>
      <w:bCs/>
      <w:sz w:val="26"/>
      <w:szCs w:val="26"/>
      <w:lang w:val="en-GB"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7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0799D"/>
    <w:rPr>
      <w:sz w:val="20"/>
      <w:szCs w:val="20"/>
    </w:rPr>
  </w:style>
  <w:style w:type="character" w:styleId="FootnoteReference">
    <w:name w:val="footnote reference"/>
    <w:uiPriority w:val="99"/>
    <w:semiHidden/>
    <w:rsid w:val="00D0799D"/>
    <w:rPr>
      <w:vertAlign w:val="superscript"/>
    </w:rPr>
  </w:style>
  <w:style w:type="paragraph" w:styleId="BalloonText">
    <w:name w:val="Balloon Text"/>
    <w:basedOn w:val="Normal"/>
    <w:semiHidden/>
    <w:rsid w:val="00BF17E5"/>
    <w:rPr>
      <w:rFonts w:ascii="Tahoma" w:hAnsi="Tahoma" w:cs="Tahoma"/>
      <w:sz w:val="16"/>
      <w:szCs w:val="16"/>
    </w:rPr>
  </w:style>
  <w:style w:type="character" w:styleId="Hyperlink">
    <w:name w:val="Hyperlink"/>
    <w:uiPriority w:val="99"/>
    <w:rsid w:val="00E81CDD"/>
    <w:rPr>
      <w:color w:val="0000FF"/>
      <w:u w:val="single"/>
    </w:rPr>
  </w:style>
  <w:style w:type="character" w:customStyle="1" w:styleId="FootnoteTextChar">
    <w:name w:val="Footnote Text Char"/>
    <w:link w:val="FootnoteText"/>
    <w:uiPriority w:val="99"/>
    <w:semiHidden/>
    <w:locked/>
    <w:rsid w:val="001F275D"/>
    <w:rPr>
      <w:lang w:eastAsia="tr-TR"/>
    </w:rPr>
  </w:style>
  <w:style w:type="paragraph" w:styleId="EndnoteText">
    <w:name w:val="endnote text"/>
    <w:basedOn w:val="Normal"/>
    <w:link w:val="EndnoteTextChar"/>
    <w:rsid w:val="0022179E"/>
    <w:rPr>
      <w:sz w:val="20"/>
      <w:szCs w:val="20"/>
    </w:rPr>
  </w:style>
  <w:style w:type="character" w:customStyle="1" w:styleId="EndnoteTextChar">
    <w:name w:val="Endnote Text Char"/>
    <w:link w:val="EndnoteText"/>
    <w:rsid w:val="0022179E"/>
    <w:rPr>
      <w:lang w:eastAsia="tr-TR"/>
    </w:rPr>
  </w:style>
  <w:style w:type="character" w:styleId="EndnoteReference">
    <w:name w:val="endnote reference"/>
    <w:rsid w:val="002217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ECC"/>
    <w:rPr>
      <w:sz w:val="24"/>
      <w:szCs w:val="24"/>
      <w:lang w:val="en-US"/>
    </w:rPr>
  </w:style>
  <w:style w:type="paragraph" w:styleId="Heading1">
    <w:name w:val="heading 1"/>
    <w:basedOn w:val="Normal"/>
    <w:next w:val="Normal"/>
    <w:qFormat/>
    <w:rsid w:val="00024559"/>
    <w:pPr>
      <w:keepNext/>
      <w:tabs>
        <w:tab w:val="num" w:pos="432"/>
      </w:tabs>
      <w:suppressAutoHyphens/>
      <w:ind w:left="432" w:hanging="432"/>
      <w:jc w:val="center"/>
      <w:outlineLvl w:val="0"/>
    </w:pPr>
    <w:rPr>
      <w:rFonts w:ascii="Arial" w:hAnsi="Arial"/>
      <w:b/>
      <w:iCs/>
      <w:sz w:val="18"/>
      <w:szCs w:val="18"/>
      <w:lang w:eastAsia="ar-SA"/>
    </w:rPr>
  </w:style>
  <w:style w:type="paragraph" w:styleId="Heading2">
    <w:name w:val="heading 2"/>
    <w:basedOn w:val="Normal"/>
    <w:next w:val="Normal"/>
    <w:qFormat/>
    <w:rsid w:val="00024559"/>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qFormat/>
    <w:rsid w:val="00024559"/>
    <w:pPr>
      <w:keepNext/>
      <w:tabs>
        <w:tab w:val="num" w:pos="720"/>
      </w:tabs>
      <w:suppressAutoHyphens/>
      <w:spacing w:before="240" w:after="60"/>
      <w:ind w:left="720" w:hanging="720"/>
      <w:outlineLvl w:val="2"/>
    </w:pPr>
    <w:rPr>
      <w:rFonts w:ascii="Arial" w:hAnsi="Arial" w:cs="Arial"/>
      <w:b/>
      <w:bCs/>
      <w:sz w:val="26"/>
      <w:szCs w:val="26"/>
      <w:lang w:val="en-GB"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7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0799D"/>
    <w:rPr>
      <w:sz w:val="20"/>
      <w:szCs w:val="20"/>
    </w:rPr>
  </w:style>
  <w:style w:type="character" w:styleId="FootnoteReference">
    <w:name w:val="footnote reference"/>
    <w:uiPriority w:val="99"/>
    <w:semiHidden/>
    <w:rsid w:val="00D0799D"/>
    <w:rPr>
      <w:vertAlign w:val="superscript"/>
    </w:rPr>
  </w:style>
  <w:style w:type="paragraph" w:styleId="BalloonText">
    <w:name w:val="Balloon Text"/>
    <w:basedOn w:val="Normal"/>
    <w:semiHidden/>
    <w:rsid w:val="00BF17E5"/>
    <w:rPr>
      <w:rFonts w:ascii="Tahoma" w:hAnsi="Tahoma" w:cs="Tahoma"/>
      <w:sz w:val="16"/>
      <w:szCs w:val="16"/>
    </w:rPr>
  </w:style>
  <w:style w:type="character" w:styleId="Hyperlink">
    <w:name w:val="Hyperlink"/>
    <w:uiPriority w:val="99"/>
    <w:rsid w:val="00E81CDD"/>
    <w:rPr>
      <w:color w:val="0000FF"/>
      <w:u w:val="single"/>
    </w:rPr>
  </w:style>
  <w:style w:type="character" w:customStyle="1" w:styleId="FootnoteTextChar">
    <w:name w:val="Footnote Text Char"/>
    <w:link w:val="FootnoteText"/>
    <w:uiPriority w:val="99"/>
    <w:semiHidden/>
    <w:locked/>
    <w:rsid w:val="001F275D"/>
    <w:rPr>
      <w:lang w:eastAsia="tr-TR"/>
    </w:rPr>
  </w:style>
  <w:style w:type="paragraph" w:styleId="EndnoteText">
    <w:name w:val="endnote text"/>
    <w:basedOn w:val="Normal"/>
    <w:link w:val="EndnoteTextChar"/>
    <w:rsid w:val="0022179E"/>
    <w:rPr>
      <w:sz w:val="20"/>
      <w:szCs w:val="20"/>
    </w:rPr>
  </w:style>
  <w:style w:type="character" w:customStyle="1" w:styleId="EndnoteTextChar">
    <w:name w:val="Endnote Text Char"/>
    <w:link w:val="EndnoteText"/>
    <w:rsid w:val="0022179E"/>
    <w:rPr>
      <w:lang w:eastAsia="tr-TR"/>
    </w:rPr>
  </w:style>
  <w:style w:type="character" w:styleId="EndnoteReference">
    <w:name w:val="endnote reference"/>
    <w:rsid w:val="002217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393025">
      <w:bodyDiv w:val="1"/>
      <w:marLeft w:val="0"/>
      <w:marRight w:val="0"/>
      <w:marTop w:val="0"/>
      <w:marBottom w:val="0"/>
      <w:divBdr>
        <w:top w:val="none" w:sz="0" w:space="0" w:color="auto"/>
        <w:left w:val="none" w:sz="0" w:space="0" w:color="auto"/>
        <w:bottom w:val="none" w:sz="0" w:space="0" w:color="auto"/>
        <w:right w:val="none" w:sz="0" w:space="0" w:color="auto"/>
      </w:divBdr>
    </w:div>
    <w:div w:id="1038817145">
      <w:bodyDiv w:val="1"/>
      <w:marLeft w:val="0"/>
      <w:marRight w:val="0"/>
      <w:marTop w:val="375"/>
      <w:marBottom w:val="0"/>
      <w:divBdr>
        <w:top w:val="none" w:sz="0" w:space="0" w:color="auto"/>
        <w:left w:val="none" w:sz="0" w:space="0" w:color="auto"/>
        <w:bottom w:val="none" w:sz="0" w:space="0" w:color="auto"/>
        <w:right w:val="none" w:sz="0" w:space="0" w:color="auto"/>
      </w:divBdr>
    </w:div>
    <w:div w:id="1229417040">
      <w:bodyDiv w:val="1"/>
      <w:marLeft w:val="0"/>
      <w:marRight w:val="0"/>
      <w:marTop w:val="0"/>
      <w:marBottom w:val="0"/>
      <w:divBdr>
        <w:top w:val="none" w:sz="0" w:space="0" w:color="auto"/>
        <w:left w:val="none" w:sz="0" w:space="0" w:color="auto"/>
        <w:bottom w:val="none" w:sz="0" w:space="0" w:color="auto"/>
        <w:right w:val="none" w:sz="0" w:space="0" w:color="auto"/>
      </w:divBdr>
    </w:div>
    <w:div w:id="1271354726">
      <w:bodyDiv w:val="1"/>
      <w:marLeft w:val="0"/>
      <w:marRight w:val="0"/>
      <w:marTop w:val="0"/>
      <w:marBottom w:val="0"/>
      <w:divBdr>
        <w:top w:val="none" w:sz="0" w:space="0" w:color="auto"/>
        <w:left w:val="none" w:sz="0" w:space="0" w:color="auto"/>
        <w:bottom w:val="none" w:sz="0" w:space="0" w:color="auto"/>
        <w:right w:val="none" w:sz="0" w:space="0" w:color="auto"/>
      </w:divBdr>
      <w:divsChild>
        <w:div w:id="1387685193">
          <w:marLeft w:val="0"/>
          <w:marRight w:val="0"/>
          <w:marTop w:val="0"/>
          <w:marBottom w:val="0"/>
          <w:divBdr>
            <w:top w:val="none" w:sz="0" w:space="0" w:color="auto"/>
            <w:left w:val="none" w:sz="0" w:space="0" w:color="auto"/>
            <w:bottom w:val="none" w:sz="0" w:space="0" w:color="auto"/>
            <w:right w:val="none" w:sz="0" w:space="0" w:color="auto"/>
          </w:divBdr>
          <w:divsChild>
            <w:div w:id="159916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01CEA-40BC-483D-9FC5-D7D6EA4C3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1521</Words>
  <Characters>8674</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vt:lpstr>
      <vt:lpstr/>
      <vt:lpstr/>
      <vt:lpstr/>
      <vt:lpstr>The Current Account defıcıt ıs declınıng Fast</vt:lpstr>
      <vt:lpstr/>
      <vt:lpstr/>
      <vt:lpstr>Zümrüt İmamoğlu* ve Barış Soybilgen**</vt:lpstr>
      <vt:lpstr/>
      <vt:lpstr/>
      <vt:lpstr/>
      <vt:lpstr/>
      <vt:lpstr>Table 1.Betam's quarterly and annual growth rate forecasts</vt:lpstr>
    </vt:vector>
  </TitlesOfParts>
  <Company/>
  <LinksUpToDate>false</LinksUpToDate>
  <CharactersWithSpaces>10175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baris.soybilgen</dc:creator>
  <cp:lastModifiedBy>merve.akgul</cp:lastModifiedBy>
  <cp:revision>4</cp:revision>
  <cp:lastPrinted>2014-08-11T11:23:00Z</cp:lastPrinted>
  <dcterms:created xsi:type="dcterms:W3CDTF">2014-08-11T09:25:00Z</dcterms:created>
  <dcterms:modified xsi:type="dcterms:W3CDTF">2014-08-11T11:24:00Z</dcterms:modified>
</cp:coreProperties>
</file>