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CC" w:rsidRPr="0053729E" w:rsidRDefault="0035310C" w:rsidP="001E4BF5">
      <w:pPr>
        <w:spacing w:line="360" w:lineRule="auto"/>
        <w:ind w:right="-319"/>
        <w:jc w:val="center"/>
        <w:outlineLvl w:val="0"/>
        <w:rPr>
          <w:rFonts w:ascii="Arial" w:hAnsi="Arial" w:cs="Arial"/>
          <w:b/>
          <w:sz w:val="32"/>
          <w:szCs w:val="32"/>
        </w:rPr>
      </w:pPr>
      <w:bookmarkStart w:id="0" w:name="_GoBack"/>
      <w:bookmarkEnd w:id="0"/>
      <w:r>
        <w:rPr>
          <w:rFonts w:ascii="Arial" w:hAnsi="Arial" w:cs="Arial"/>
          <w:b/>
          <w:noProof/>
          <w:sz w:val="32"/>
          <w:szCs w:val="32"/>
          <w:lang w:val="tr-TR"/>
        </w:rPr>
        <w:drawing>
          <wp:anchor distT="0" distB="0" distL="114300" distR="114300" simplePos="0" relativeHeight="251657728"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AD4BA5">
        <w:rPr>
          <w:rFonts w:ascii="Arial" w:hAnsi="Arial" w:cs="Arial"/>
          <w:b/>
          <w:noProof/>
          <w:sz w:val="32"/>
          <w:szCs w:val="32"/>
          <w:lang w:val="tr-TR"/>
        </w:rPr>
        <mc:AlternateContent>
          <mc:Choice Requires="wps">
            <w:drawing>
              <wp:anchor distT="0" distB="0" distL="114935" distR="114935" simplePos="0" relativeHeight="251655680" behindDoc="0" locked="0" layoutInCell="1" allowOverlap="1">
                <wp:simplePos x="0" y="0"/>
                <wp:positionH relativeFrom="column">
                  <wp:posOffset>1485900</wp:posOffset>
                </wp:positionH>
                <wp:positionV relativeFrom="paragraph">
                  <wp:posOffset>-571500</wp:posOffset>
                </wp:positionV>
                <wp:extent cx="3963670" cy="56896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 xml:space="preserve">Economic Outlook and Forecasts: </w:t>
                            </w:r>
                            <w:r w:rsidR="0029703E">
                              <w:rPr>
                                <w:rFonts w:ascii="Times New Roman" w:hAnsi="Times New Roman"/>
                                <w:sz w:val="40"/>
                                <w:szCs w:val="40"/>
                              </w:rPr>
                              <w:t>May</w:t>
                            </w:r>
                            <w:r w:rsidR="00CE6730">
                              <w:rPr>
                                <w:rFonts w:ascii="Times New Roman" w:hAnsi="Times New Roman"/>
                                <w:sz w:val="40"/>
                                <w:szCs w:val="40"/>
                              </w:rPr>
                              <w:t xml:space="preserve"> 2014</w:t>
                            </w:r>
                          </w:p>
                          <w:p w:rsidR="00900E74" w:rsidRPr="00A75A46" w:rsidRDefault="00900E74" w:rsidP="00024559">
                            <w:pPr>
                              <w:pStyle w:val="Heading2"/>
                              <w:rPr>
                                <w:b w:val="0"/>
                                <w:i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" stroked="f">
                <v:fill opacity="0"/>
                <v:textbox inset="0,0,0,0">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 xml:space="preserve">Economic Outlook and Forecasts: </w:t>
                      </w:r>
                      <w:r w:rsidR="0029703E">
                        <w:rPr>
                          <w:rFonts w:ascii="Times New Roman" w:hAnsi="Times New Roman"/>
                          <w:sz w:val="40"/>
                          <w:szCs w:val="40"/>
                        </w:rPr>
                        <w:t>May</w:t>
                      </w:r>
                      <w:r w:rsidR="00CE6730">
                        <w:rPr>
                          <w:rFonts w:ascii="Times New Roman" w:hAnsi="Times New Roman"/>
                          <w:sz w:val="40"/>
                          <w:szCs w:val="40"/>
                        </w:rPr>
                        <w:t xml:space="preserve"> 2014</w:t>
                      </w:r>
                    </w:p>
                    <w:p w:rsidR="00900E74" w:rsidRPr="00A75A46" w:rsidRDefault="00900E74" w:rsidP="00024559">
                      <w:pPr>
                        <w:pStyle w:val="Heading2"/>
                        <w:rPr>
                          <w:b w:val="0"/>
                          <w:i w:val="0"/>
                          <w:lang w:val="nl-NL"/>
                        </w:rPr>
                      </w:pPr>
                    </w:p>
                  </w:txbxContent>
                </v:textbox>
              </v:shape>
            </w:pict>
          </mc:Fallback>
        </mc:AlternateContent>
      </w:r>
    </w:p>
    <w:p w:rsidR="00357ECC" w:rsidRPr="0053729E" w:rsidRDefault="00AD4BA5" w:rsidP="001E4BF5">
      <w:pPr>
        <w:spacing w:line="360" w:lineRule="auto"/>
        <w:ind w:right="-319"/>
        <w:jc w:val="center"/>
        <w:outlineLvl w:val="0"/>
        <w:rPr>
          <w:rFonts w:ascii="Arial" w:hAnsi="Arial" w:cs="Arial"/>
          <w:b/>
          <w:sz w:val="32"/>
          <w:szCs w:val="32"/>
        </w:rPr>
      </w:pPr>
      <w:r>
        <w:rPr>
          <w:rFonts w:ascii="Arial" w:hAnsi="Arial" w:cs="Arial"/>
          <w:b/>
          <w:noProof/>
          <w:lang w:val="tr-TR"/>
        </w:rPr>
        <w:lastRenderedPageBreak/>
        <mc:AlternateContent>
          <mc:Choice Requires="wps">
            <w:drawing>
              <wp:anchor distT="0" distB="0" distL="114935" distR="114935" simplePos="0" relativeHeight="251656704" behindDoc="0" locked="0" layoutInCell="1" allowOverlap="1">
                <wp:simplePos x="0" y="0"/>
                <wp:positionH relativeFrom="column">
                  <wp:posOffset>2063750</wp:posOffset>
                </wp:positionH>
                <wp:positionV relativeFrom="paragraph">
                  <wp:posOffset>114300</wp:posOffset>
                </wp:positionV>
                <wp:extent cx="1743710" cy="348615"/>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E74" w:rsidRPr="0015586B" w:rsidRDefault="0029703E" w:rsidP="00FA48DD">
                            <w:pPr>
                              <w:pStyle w:val="Heading3"/>
                              <w:tabs>
                                <w:tab w:val="clear" w:pos="720"/>
                              </w:tabs>
                              <w:ind w:left="0" w:firstLine="0"/>
                              <w:rPr>
                                <w:color w:val="FFFFFF"/>
                                <w:sz w:val="22"/>
                                <w:szCs w:val="22"/>
                                <w:lang w:val="tr-TR"/>
                              </w:rPr>
                            </w:pPr>
                            <w:r>
                              <w:rPr>
                                <w:color w:val="FFFFFF"/>
                                <w:sz w:val="22"/>
                                <w:szCs w:val="22"/>
                                <w:lang w:val="tr-TR"/>
                              </w:rPr>
                              <w:t>May 14</w:t>
                            </w:r>
                            <w:r w:rsidR="00900E74">
                              <w:rPr>
                                <w:color w:val="FFFFFF"/>
                                <w:sz w:val="22"/>
                                <w:szCs w:val="22"/>
                                <w:lang w:val="tr-TR"/>
                              </w:rPr>
                              <w:t>,</w:t>
                            </w:r>
                            <w:r w:rsidR="00D8530B">
                              <w:rPr>
                                <w:color w:val="FFFFFF"/>
                                <w:sz w:val="22"/>
                                <w:szCs w:val="22"/>
                                <w:lang w:val="tr-TR"/>
                              </w:rPr>
                              <w:t xml:space="preserve"> 2014</w:t>
                            </w:r>
                          </w:p>
                          <w:p w:rsidR="00900E74" w:rsidRDefault="00900E74" w:rsidP="00024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62.5pt;margin-top:9pt;width:137.3pt;height:27.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CsjwIAACQ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" stroked="f">
                <v:fill opacity="0"/>
                <v:textbox inset="0,0,0,0">
                  <w:txbxContent>
                    <w:p w:rsidR="00900E74" w:rsidRPr="0015586B" w:rsidRDefault="0029703E" w:rsidP="00FA48DD">
                      <w:pPr>
                        <w:pStyle w:val="Heading3"/>
                        <w:tabs>
                          <w:tab w:val="clear" w:pos="720"/>
                        </w:tabs>
                        <w:ind w:left="0" w:firstLine="0"/>
                        <w:rPr>
                          <w:color w:val="FFFFFF"/>
                          <w:sz w:val="22"/>
                          <w:szCs w:val="22"/>
                          <w:lang w:val="tr-TR"/>
                        </w:rPr>
                      </w:pPr>
                      <w:r>
                        <w:rPr>
                          <w:color w:val="FFFFFF"/>
                          <w:sz w:val="22"/>
                          <w:szCs w:val="22"/>
                          <w:lang w:val="tr-TR"/>
                        </w:rPr>
                        <w:t>May 14</w:t>
                      </w:r>
                      <w:r w:rsidR="00900E74">
                        <w:rPr>
                          <w:color w:val="FFFFFF"/>
                          <w:sz w:val="22"/>
                          <w:szCs w:val="22"/>
                          <w:lang w:val="tr-TR"/>
                        </w:rPr>
                        <w:t>,</w:t>
                      </w:r>
                      <w:r w:rsidR="00D8530B">
                        <w:rPr>
                          <w:color w:val="FFFFFF"/>
                          <w:sz w:val="22"/>
                          <w:szCs w:val="22"/>
                          <w:lang w:val="tr-TR"/>
                        </w:rPr>
                        <w:t xml:space="preserve"> 2014</w:t>
                      </w:r>
                    </w:p>
                    <w:p w:rsidR="00900E74" w:rsidRDefault="00900E74" w:rsidP="00024559"/>
                  </w:txbxContent>
                </v:textbox>
              </v:shape>
            </w:pict>
          </mc:Fallback>
        </mc:AlternateContent>
      </w:r>
    </w:p>
    <w:p w:rsidR="00357ECC" w:rsidRPr="0053729E" w:rsidRDefault="00357ECC" w:rsidP="001E4BF5">
      <w:pPr>
        <w:spacing w:line="360" w:lineRule="auto"/>
        <w:ind w:right="-319"/>
        <w:jc w:val="center"/>
        <w:outlineLvl w:val="0"/>
        <w:rPr>
          <w:rFonts w:ascii="Arial" w:hAnsi="Arial" w:cs="Arial"/>
          <w:b/>
          <w:sz w:val="32"/>
          <w:szCs w:val="32"/>
        </w:rPr>
        <w:sectPr w:rsidR="00357ECC" w:rsidRPr="0053729E" w:rsidSect="00357ECC">
          <w:pgSz w:w="11906" w:h="16838"/>
          <w:pgMar w:top="1417" w:right="1417" w:bottom="1417" w:left="1417" w:header="708" w:footer="708" w:gutter="0"/>
          <w:cols w:num="2" w:space="708" w:equalWidth="0">
            <w:col w:w="4182" w:space="708"/>
            <w:col w:w="4182"/>
          </w:cols>
          <w:docGrid w:linePitch="360"/>
        </w:sectPr>
      </w:pPr>
    </w:p>
    <w:p w:rsidR="00357ECC" w:rsidRPr="0053729E" w:rsidRDefault="00357ECC" w:rsidP="001E4BF5">
      <w:pPr>
        <w:spacing w:line="360" w:lineRule="auto"/>
        <w:ind w:right="-319"/>
        <w:outlineLvl w:val="0"/>
        <w:rPr>
          <w:rFonts w:ascii="Arial" w:hAnsi="Arial" w:cs="Arial"/>
          <w:b/>
          <w:sz w:val="32"/>
          <w:szCs w:val="32"/>
        </w:rPr>
      </w:pPr>
    </w:p>
    <w:p w:rsidR="0029703E" w:rsidRDefault="006F09E7" w:rsidP="0029703E">
      <w:pPr>
        <w:ind w:right="-317"/>
        <w:jc w:val="center"/>
        <w:outlineLvl w:val="0"/>
        <w:rPr>
          <w:rFonts w:ascii="Arial" w:hAnsi="Arial" w:cs="Arial"/>
          <w:b/>
          <w:bCs/>
          <w:caps/>
          <w:sz w:val="28"/>
          <w:szCs w:val="28"/>
        </w:rPr>
      </w:pPr>
      <w:r>
        <w:rPr>
          <w:rFonts w:ascii="Arial" w:hAnsi="Arial" w:cs="Arial"/>
          <w:b/>
          <w:bCs/>
          <w:caps/>
          <w:sz w:val="28"/>
          <w:szCs w:val="28"/>
        </w:rPr>
        <w:t>Foreign demand drıven growth</w:t>
      </w:r>
      <w:r w:rsidR="0029703E">
        <w:rPr>
          <w:rFonts w:ascii="Arial" w:hAnsi="Arial" w:cs="Arial"/>
          <w:b/>
          <w:bCs/>
          <w:caps/>
          <w:sz w:val="28"/>
          <w:szCs w:val="28"/>
        </w:rPr>
        <w:t xml:space="preserve"> IN THE FIRST QUARTER</w:t>
      </w:r>
    </w:p>
    <w:p w:rsidR="00FD3A91" w:rsidRDefault="00FD3A91" w:rsidP="00FD3A91">
      <w:pPr>
        <w:ind w:right="-317"/>
        <w:jc w:val="center"/>
        <w:outlineLvl w:val="0"/>
        <w:rPr>
          <w:rFonts w:ascii="Arial" w:hAnsi="Arial" w:cs="Arial"/>
          <w:b/>
          <w:bCs/>
          <w:caps/>
          <w:sz w:val="28"/>
          <w:szCs w:val="28"/>
        </w:rPr>
      </w:pPr>
    </w:p>
    <w:p w:rsidR="002F72AA" w:rsidRDefault="002F72AA" w:rsidP="00FD3A91">
      <w:pPr>
        <w:ind w:right="-317"/>
        <w:jc w:val="center"/>
        <w:outlineLvl w:val="0"/>
        <w:rPr>
          <w:rFonts w:ascii="Arial" w:hAnsi="Arial" w:cs="Arial"/>
          <w:b/>
          <w:bCs/>
          <w:sz w:val="21"/>
          <w:szCs w:val="21"/>
        </w:rPr>
      </w:pPr>
    </w:p>
    <w:p w:rsidR="00FD3A91" w:rsidRPr="00D63675" w:rsidRDefault="00FD3A91" w:rsidP="00FD3A91">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w:t>
      </w:r>
      <w:r w:rsidR="0029703E">
        <w:rPr>
          <w:rFonts w:ascii="Arial" w:hAnsi="Arial" w:cs="Arial"/>
          <w:b/>
          <w:bCs/>
          <w:sz w:val="21"/>
          <w:szCs w:val="21"/>
        </w:rPr>
        <w:t xml:space="preserve"> </w:t>
      </w:r>
      <w:r w:rsidRPr="00D63675">
        <w:rPr>
          <w:rFonts w:ascii="Arial" w:hAnsi="Arial" w:cs="Arial"/>
          <w:b/>
          <w:bCs/>
          <w:sz w:val="21"/>
          <w:szCs w:val="21"/>
        </w:rPr>
        <w:t>İmamoğlu* ve</w:t>
      </w:r>
      <w:r w:rsidR="0029703E">
        <w:rPr>
          <w:rFonts w:ascii="Arial" w:hAnsi="Arial" w:cs="Arial"/>
          <w:b/>
          <w:bCs/>
          <w:sz w:val="21"/>
          <w:szCs w:val="21"/>
        </w:rPr>
        <w:t xml:space="preserve"> </w:t>
      </w:r>
      <w:r w:rsidRPr="00D63675">
        <w:rPr>
          <w:rFonts w:ascii="Arial" w:hAnsi="Arial" w:cs="Arial"/>
          <w:b/>
          <w:bCs/>
          <w:sz w:val="21"/>
          <w:szCs w:val="21"/>
        </w:rPr>
        <w:t>Barış</w:t>
      </w:r>
      <w:r w:rsidR="0029703E">
        <w:rPr>
          <w:rFonts w:ascii="Arial" w:hAnsi="Arial" w:cs="Arial"/>
          <w:b/>
          <w:bCs/>
          <w:sz w:val="21"/>
          <w:szCs w:val="21"/>
        </w:rPr>
        <w:t xml:space="preserve"> </w:t>
      </w:r>
      <w:r w:rsidRPr="00D63675">
        <w:rPr>
          <w:rFonts w:ascii="Arial" w:hAnsi="Arial" w:cs="Arial"/>
          <w:b/>
          <w:bCs/>
          <w:sz w:val="21"/>
          <w:szCs w:val="21"/>
        </w:rPr>
        <w:t>Soybilgen</w:t>
      </w:r>
      <w:r>
        <w:rPr>
          <w:rFonts w:ascii="Arial" w:hAnsi="Arial" w:cs="Arial"/>
          <w:b/>
          <w:bCs/>
          <w:sz w:val="21"/>
          <w:szCs w:val="21"/>
          <w:vertAlign w:val="superscript"/>
        </w:rPr>
        <w:t>**</w:t>
      </w:r>
    </w:p>
    <w:p w:rsidR="002F72AA" w:rsidRDefault="002F72AA" w:rsidP="00FD3A91">
      <w:pPr>
        <w:spacing w:line="360" w:lineRule="auto"/>
        <w:ind w:right="-319"/>
        <w:jc w:val="center"/>
        <w:outlineLvl w:val="0"/>
        <w:rPr>
          <w:rFonts w:ascii="Arial" w:hAnsi="Arial" w:cs="Arial"/>
          <w:sz w:val="22"/>
          <w:szCs w:val="22"/>
          <w:vertAlign w:val="superscript"/>
        </w:rPr>
      </w:pPr>
    </w:p>
    <w:p w:rsidR="00344278" w:rsidRDefault="00344278" w:rsidP="00FD3A91">
      <w:pPr>
        <w:spacing w:line="360" w:lineRule="auto"/>
        <w:ind w:right="-319"/>
        <w:jc w:val="center"/>
        <w:outlineLvl w:val="0"/>
        <w:rPr>
          <w:rFonts w:ascii="Arial" w:hAnsi="Arial" w:cs="Arial"/>
          <w:sz w:val="22"/>
          <w:szCs w:val="22"/>
          <w:vertAlign w:val="superscript"/>
        </w:rPr>
      </w:pPr>
    </w:p>
    <w:p w:rsidR="00FD3A91" w:rsidRPr="004A7FE6" w:rsidRDefault="00FD3A91" w:rsidP="00FD3A91">
      <w:pPr>
        <w:spacing w:line="360" w:lineRule="auto"/>
        <w:ind w:right="-319"/>
        <w:jc w:val="center"/>
        <w:outlineLvl w:val="0"/>
        <w:rPr>
          <w:rFonts w:ascii="Arial" w:hAnsi="Arial" w:cs="Arial"/>
          <w:sz w:val="22"/>
          <w:szCs w:val="22"/>
          <w:vertAlign w:val="superscript"/>
        </w:rPr>
        <w:sectPr w:rsidR="00FD3A91" w:rsidRPr="004A7FE6" w:rsidSect="008651A8">
          <w:type w:val="continuous"/>
          <w:pgSz w:w="11906" w:h="16838"/>
          <w:pgMar w:top="1417" w:right="1417" w:bottom="1417" w:left="1417" w:header="708" w:footer="708" w:gutter="0"/>
          <w:cols w:space="708"/>
          <w:docGrid w:linePitch="360"/>
        </w:sectPr>
      </w:pPr>
    </w:p>
    <w:p w:rsidR="00FD3A91" w:rsidRDefault="00FD3A91" w:rsidP="00FD3A91">
      <w:pPr>
        <w:spacing w:line="360" w:lineRule="auto"/>
        <w:ind w:left="-360" w:right="42" w:firstLine="360"/>
        <w:jc w:val="center"/>
        <w:rPr>
          <w:b/>
          <w:bCs/>
          <w:sz w:val="22"/>
          <w:szCs w:val="22"/>
        </w:rPr>
      </w:pPr>
      <w:r>
        <w:rPr>
          <w:b/>
          <w:bCs/>
          <w:sz w:val="22"/>
          <w:szCs w:val="22"/>
        </w:rPr>
        <w:lastRenderedPageBreak/>
        <w:t>Executive Summary</w:t>
      </w:r>
    </w:p>
    <w:p w:rsidR="00FD3A91" w:rsidRPr="00D5466C" w:rsidRDefault="00FD3A91" w:rsidP="00FD3A91">
      <w:pPr>
        <w:spacing w:line="360" w:lineRule="auto"/>
        <w:ind w:left="-360" w:right="42" w:firstLine="360"/>
        <w:jc w:val="center"/>
        <w:rPr>
          <w:b/>
          <w:bCs/>
          <w:sz w:val="10"/>
          <w:szCs w:val="10"/>
        </w:rPr>
      </w:pPr>
    </w:p>
    <w:p w:rsidR="00D46070" w:rsidRPr="00267AB7" w:rsidRDefault="00FD3A91" w:rsidP="00FD3A91">
      <w:pPr>
        <w:spacing w:line="360" w:lineRule="auto"/>
        <w:ind w:left="-360" w:right="40"/>
        <w:jc w:val="both"/>
        <w:rPr>
          <w:sz w:val="22"/>
          <w:szCs w:val="22"/>
        </w:rPr>
      </w:pPr>
      <w:r w:rsidRPr="00267AB7">
        <w:rPr>
          <w:sz w:val="22"/>
          <w:szCs w:val="22"/>
        </w:rPr>
        <w:t xml:space="preserve">In </w:t>
      </w:r>
      <w:r w:rsidR="0029703E" w:rsidRPr="00267AB7">
        <w:rPr>
          <w:sz w:val="22"/>
          <w:szCs w:val="22"/>
        </w:rPr>
        <w:t>March</w:t>
      </w:r>
      <w:r w:rsidRPr="00267AB7">
        <w:rPr>
          <w:sz w:val="22"/>
          <w:szCs w:val="22"/>
        </w:rPr>
        <w:t xml:space="preserve">, seasonally adjusted Industrial Production Index (IPI) </w:t>
      </w:r>
      <w:r w:rsidR="00A61127" w:rsidRPr="00267AB7">
        <w:rPr>
          <w:sz w:val="22"/>
          <w:szCs w:val="22"/>
        </w:rPr>
        <w:t>declined</w:t>
      </w:r>
      <w:r w:rsidRPr="00267AB7">
        <w:rPr>
          <w:sz w:val="22"/>
          <w:szCs w:val="22"/>
        </w:rPr>
        <w:t xml:space="preserve"> by </w:t>
      </w:r>
      <w:r w:rsidR="00A61127" w:rsidRPr="00267AB7">
        <w:rPr>
          <w:sz w:val="22"/>
          <w:szCs w:val="22"/>
        </w:rPr>
        <w:t>0.4</w:t>
      </w:r>
      <w:r w:rsidRPr="00267AB7">
        <w:rPr>
          <w:sz w:val="22"/>
          <w:szCs w:val="22"/>
        </w:rPr>
        <w:t xml:space="preserve"> percent from the previous month. Expo</w:t>
      </w:r>
      <w:r w:rsidR="00A61127" w:rsidRPr="00267AB7">
        <w:rPr>
          <w:sz w:val="22"/>
          <w:szCs w:val="22"/>
        </w:rPr>
        <w:t>rt volume index increased by 1.4</w:t>
      </w:r>
      <w:r w:rsidRPr="00267AB7">
        <w:rPr>
          <w:sz w:val="22"/>
          <w:szCs w:val="22"/>
        </w:rPr>
        <w:t xml:space="preserve"> percent, whereas </w:t>
      </w:r>
      <w:r w:rsidR="00044D50">
        <w:rPr>
          <w:sz w:val="22"/>
          <w:szCs w:val="22"/>
        </w:rPr>
        <w:t xml:space="preserve">the </w:t>
      </w:r>
      <w:r w:rsidRPr="00267AB7">
        <w:rPr>
          <w:sz w:val="22"/>
          <w:szCs w:val="22"/>
        </w:rPr>
        <w:t>import volume index decreased by</w:t>
      </w:r>
      <w:r w:rsidR="00CE45E3" w:rsidRPr="00267AB7">
        <w:rPr>
          <w:sz w:val="22"/>
          <w:szCs w:val="22"/>
        </w:rPr>
        <w:t xml:space="preserve"> </w:t>
      </w:r>
      <w:r w:rsidR="00A61127" w:rsidRPr="00267AB7">
        <w:rPr>
          <w:sz w:val="22"/>
          <w:szCs w:val="22"/>
        </w:rPr>
        <w:t>1.5</w:t>
      </w:r>
      <w:r w:rsidR="00CE45E3" w:rsidRPr="00267AB7">
        <w:rPr>
          <w:sz w:val="22"/>
          <w:szCs w:val="22"/>
        </w:rPr>
        <w:t xml:space="preserve"> percent. </w:t>
      </w:r>
      <w:r w:rsidR="00D46070" w:rsidRPr="00267AB7">
        <w:rPr>
          <w:sz w:val="22"/>
          <w:szCs w:val="22"/>
        </w:rPr>
        <w:t xml:space="preserve">Indicators show that private consumption and investment declined in the first quarter. The increase in exports </w:t>
      </w:r>
      <w:r w:rsidR="00044D50">
        <w:rPr>
          <w:sz w:val="22"/>
          <w:szCs w:val="22"/>
        </w:rPr>
        <w:t xml:space="preserve">though continues to </w:t>
      </w:r>
      <w:r w:rsidR="00D46070" w:rsidRPr="00267AB7">
        <w:rPr>
          <w:sz w:val="22"/>
          <w:szCs w:val="22"/>
        </w:rPr>
        <w:t>support growth. However,</w:t>
      </w:r>
      <w:r w:rsidR="0073685F">
        <w:rPr>
          <w:sz w:val="22"/>
          <w:szCs w:val="22"/>
        </w:rPr>
        <w:t xml:space="preserve"> the</w:t>
      </w:r>
      <w:r w:rsidR="00D46070" w:rsidRPr="00267AB7">
        <w:rPr>
          <w:sz w:val="22"/>
          <w:szCs w:val="22"/>
        </w:rPr>
        <w:t xml:space="preserve"> IPI </w:t>
      </w:r>
      <w:r w:rsidR="0073685F">
        <w:rPr>
          <w:sz w:val="22"/>
          <w:szCs w:val="22"/>
        </w:rPr>
        <w:t>has been declining</w:t>
      </w:r>
      <w:r w:rsidR="00D46070" w:rsidRPr="00267AB7">
        <w:rPr>
          <w:sz w:val="22"/>
          <w:szCs w:val="22"/>
        </w:rPr>
        <w:t xml:space="preserve"> </w:t>
      </w:r>
      <w:r w:rsidR="00BE7353">
        <w:rPr>
          <w:sz w:val="22"/>
          <w:szCs w:val="22"/>
        </w:rPr>
        <w:t>for</w:t>
      </w:r>
      <w:r w:rsidR="00D46070" w:rsidRPr="00267AB7">
        <w:rPr>
          <w:sz w:val="22"/>
          <w:szCs w:val="22"/>
        </w:rPr>
        <w:t xml:space="preserve"> two months</w:t>
      </w:r>
      <w:r w:rsidR="00BE7353">
        <w:rPr>
          <w:sz w:val="22"/>
          <w:szCs w:val="22"/>
        </w:rPr>
        <w:t>, consecutively</w:t>
      </w:r>
      <w:r w:rsidR="00D46070" w:rsidRPr="00267AB7">
        <w:rPr>
          <w:sz w:val="22"/>
          <w:szCs w:val="22"/>
        </w:rPr>
        <w:t xml:space="preserve">. Therefore, we </w:t>
      </w:r>
      <w:r w:rsidR="00BE7353">
        <w:rPr>
          <w:sz w:val="22"/>
          <w:szCs w:val="22"/>
        </w:rPr>
        <w:t>revised our growth forecast down slightly</w:t>
      </w:r>
      <w:r w:rsidR="00D46070" w:rsidRPr="00267AB7">
        <w:rPr>
          <w:sz w:val="22"/>
          <w:szCs w:val="22"/>
        </w:rPr>
        <w:t xml:space="preserve">. </w:t>
      </w:r>
      <w:r w:rsidR="00BE7353">
        <w:rPr>
          <w:sz w:val="22"/>
          <w:szCs w:val="22"/>
        </w:rPr>
        <w:t>We expect</w:t>
      </w:r>
      <w:r w:rsidR="00D46070" w:rsidRPr="00267AB7">
        <w:rPr>
          <w:sz w:val="22"/>
          <w:szCs w:val="22"/>
        </w:rPr>
        <w:t xml:space="preserve"> the quarter on quarter</w:t>
      </w:r>
      <w:r w:rsidR="006730A2" w:rsidRPr="00267AB7">
        <w:rPr>
          <w:sz w:val="22"/>
          <w:szCs w:val="22"/>
        </w:rPr>
        <w:t xml:space="preserve"> (QoQ)</w:t>
      </w:r>
      <w:r w:rsidR="00D46070" w:rsidRPr="00267AB7">
        <w:rPr>
          <w:sz w:val="22"/>
          <w:szCs w:val="22"/>
        </w:rPr>
        <w:t xml:space="preserve"> growth to be 0.4 percent. The corresponding year on year (YoY) forecast for the first quarter is 3.7 percent.</w:t>
      </w:r>
    </w:p>
    <w:p w:rsidR="00D46070" w:rsidRPr="00267AB7" w:rsidRDefault="00D46070" w:rsidP="00FD3A91">
      <w:pPr>
        <w:spacing w:line="360" w:lineRule="auto"/>
        <w:ind w:left="-360" w:right="40"/>
        <w:jc w:val="both"/>
        <w:rPr>
          <w:sz w:val="22"/>
          <w:szCs w:val="22"/>
        </w:rPr>
      </w:pPr>
    </w:p>
    <w:p w:rsidR="003B23AB" w:rsidRDefault="003B23AB" w:rsidP="00FD3A91">
      <w:pPr>
        <w:spacing w:line="360" w:lineRule="auto"/>
        <w:ind w:left="-360" w:right="40"/>
        <w:jc w:val="both"/>
        <w:rPr>
          <w:sz w:val="22"/>
          <w:szCs w:val="22"/>
        </w:rPr>
      </w:pPr>
      <w:r w:rsidRPr="00267AB7">
        <w:rPr>
          <w:sz w:val="22"/>
          <w:szCs w:val="22"/>
        </w:rPr>
        <w:t xml:space="preserve">On the other hand, the current account deficit continues to fall. 12-month rolling current account deficit fell by </w:t>
      </w:r>
      <w:r w:rsidR="000A4357">
        <w:rPr>
          <w:sz w:val="22"/>
          <w:szCs w:val="22"/>
        </w:rPr>
        <w:t>$</w:t>
      </w:r>
      <w:r w:rsidRPr="00267AB7">
        <w:rPr>
          <w:sz w:val="22"/>
          <w:szCs w:val="22"/>
        </w:rPr>
        <w:t>2.5 billion</w:t>
      </w:r>
      <w:r w:rsidR="00230856">
        <w:rPr>
          <w:sz w:val="22"/>
          <w:szCs w:val="22"/>
        </w:rPr>
        <w:t xml:space="preserve"> in March</w:t>
      </w:r>
      <w:r w:rsidR="005C7AFF">
        <w:rPr>
          <w:sz w:val="22"/>
          <w:szCs w:val="22"/>
        </w:rPr>
        <w:t>, and ended up the first quarter at</w:t>
      </w:r>
      <w:r w:rsidRPr="00267AB7">
        <w:rPr>
          <w:sz w:val="22"/>
          <w:szCs w:val="22"/>
        </w:rPr>
        <w:t xml:space="preserve"> </w:t>
      </w:r>
      <w:r w:rsidR="000A4357">
        <w:rPr>
          <w:sz w:val="22"/>
          <w:szCs w:val="22"/>
        </w:rPr>
        <w:t>$</w:t>
      </w:r>
      <w:r w:rsidRPr="00267AB7">
        <w:rPr>
          <w:sz w:val="22"/>
          <w:szCs w:val="22"/>
        </w:rPr>
        <w:t xml:space="preserve">59.9 billion. </w:t>
      </w:r>
      <w:r w:rsidR="00B207DC" w:rsidRPr="00267AB7">
        <w:rPr>
          <w:sz w:val="22"/>
          <w:szCs w:val="22"/>
        </w:rPr>
        <w:t>We expect the current account deficit to GDP ratio</w:t>
      </w:r>
      <w:r w:rsidR="008E0D21" w:rsidRPr="00267AB7">
        <w:rPr>
          <w:sz w:val="22"/>
          <w:szCs w:val="22"/>
        </w:rPr>
        <w:t xml:space="preserve"> </w:t>
      </w:r>
      <w:r w:rsidR="00B207DC" w:rsidRPr="00267AB7">
        <w:rPr>
          <w:sz w:val="22"/>
          <w:szCs w:val="22"/>
        </w:rPr>
        <w:t xml:space="preserve">to </w:t>
      </w:r>
      <w:r w:rsidR="008E0D21" w:rsidRPr="00267AB7">
        <w:rPr>
          <w:sz w:val="22"/>
          <w:szCs w:val="22"/>
        </w:rPr>
        <w:t>fall to</w:t>
      </w:r>
      <w:r w:rsidR="00B207DC" w:rsidRPr="00267AB7">
        <w:rPr>
          <w:sz w:val="22"/>
          <w:szCs w:val="22"/>
        </w:rPr>
        <w:t xml:space="preserve"> 7.</w:t>
      </w:r>
      <w:r w:rsidR="009C70BB">
        <w:rPr>
          <w:sz w:val="22"/>
          <w:szCs w:val="22"/>
        </w:rPr>
        <w:t>5</w:t>
      </w:r>
      <w:r w:rsidR="00B207DC" w:rsidRPr="00267AB7">
        <w:rPr>
          <w:sz w:val="22"/>
          <w:szCs w:val="22"/>
        </w:rPr>
        <w:t xml:space="preserve"> percent </w:t>
      </w:r>
      <w:r w:rsidR="008E0D21" w:rsidRPr="00267AB7">
        <w:rPr>
          <w:sz w:val="22"/>
          <w:szCs w:val="22"/>
        </w:rPr>
        <w:t>at the end of the</w:t>
      </w:r>
      <w:r w:rsidR="00B207DC" w:rsidRPr="00267AB7">
        <w:rPr>
          <w:sz w:val="22"/>
          <w:szCs w:val="22"/>
        </w:rPr>
        <w:t xml:space="preserve"> first quarter and</w:t>
      </w:r>
      <w:r w:rsidR="00267AB7" w:rsidRPr="00267AB7">
        <w:rPr>
          <w:sz w:val="22"/>
          <w:szCs w:val="22"/>
        </w:rPr>
        <w:t xml:space="preserve"> the</w:t>
      </w:r>
      <w:r w:rsidR="00B207DC" w:rsidRPr="00267AB7">
        <w:rPr>
          <w:sz w:val="22"/>
          <w:szCs w:val="22"/>
        </w:rPr>
        <w:t xml:space="preserve"> gold</w:t>
      </w:r>
      <w:r w:rsidR="00F6520C">
        <w:rPr>
          <w:sz w:val="22"/>
          <w:szCs w:val="22"/>
        </w:rPr>
        <w:t>-</w:t>
      </w:r>
      <w:r w:rsidR="00B207DC" w:rsidRPr="00267AB7">
        <w:rPr>
          <w:sz w:val="22"/>
          <w:szCs w:val="22"/>
        </w:rPr>
        <w:t>excluded current account deficit to be 6.4 percent.</w:t>
      </w:r>
    </w:p>
    <w:p w:rsidR="00653B47" w:rsidRDefault="00653B47" w:rsidP="00FD3A91">
      <w:pPr>
        <w:spacing w:line="360" w:lineRule="auto"/>
        <w:ind w:left="-360" w:right="40"/>
        <w:jc w:val="both"/>
        <w:rPr>
          <w:sz w:val="22"/>
          <w:szCs w:val="22"/>
        </w:rPr>
      </w:pPr>
    </w:p>
    <w:p w:rsidR="00653B47" w:rsidRDefault="00653B47" w:rsidP="00FD3A91">
      <w:pPr>
        <w:spacing w:line="360" w:lineRule="auto"/>
        <w:ind w:left="-360" w:right="40"/>
        <w:jc w:val="both"/>
        <w:rPr>
          <w:sz w:val="22"/>
          <w:szCs w:val="22"/>
        </w:rPr>
      </w:pPr>
    </w:p>
    <w:p w:rsidR="00FD3A91" w:rsidRDefault="00AD4BA5" w:rsidP="00FD3A91">
      <w:pPr>
        <w:spacing w:line="288" w:lineRule="auto"/>
        <w:ind w:right="-318"/>
        <w:jc w:val="both"/>
        <w:rPr>
          <w:rFonts w:ascii="Arial" w:hAnsi="Arial" w:cs="Arial"/>
          <w:sz w:val="16"/>
          <w:szCs w:val="16"/>
        </w:rPr>
      </w:pPr>
      <w:r>
        <w:rPr>
          <w:noProof/>
          <w:lang w:val="tr-TR"/>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RVFQ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UUZEVR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lang w:val="tr-TR"/>
        </w:rPr>
        <mc:AlternateContent>
          <mc:Choice Requires="wpc">
            <w:drawing>
              <wp:inline distT="0" distB="0" distL="0" distR="0">
                <wp:extent cx="2514600" cy="45720"/>
                <wp:effectExtent l="0" t="0" r="0" b="0"/>
                <wp:docPr id="3"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0126AE" w:rsidRPr="006F3F45" w:rsidRDefault="000126AE" w:rsidP="000126AE">
      <w:pPr>
        <w:spacing w:line="288" w:lineRule="auto"/>
        <w:ind w:left="-360" w:right="-318"/>
        <w:jc w:val="both"/>
        <w:rPr>
          <w:sz w:val="16"/>
          <w:szCs w:val="16"/>
        </w:rPr>
      </w:pPr>
      <w:r w:rsidRPr="006F3F45">
        <w:rPr>
          <w:sz w:val="16"/>
          <w:szCs w:val="16"/>
        </w:rPr>
        <w:t>* Dr. Zümrüt</w:t>
      </w:r>
      <w:r w:rsidR="00B207DC">
        <w:rPr>
          <w:sz w:val="16"/>
          <w:szCs w:val="16"/>
        </w:rPr>
        <w:t xml:space="preserve"> </w:t>
      </w:r>
      <w:r w:rsidRPr="006F3F45">
        <w:rPr>
          <w:sz w:val="16"/>
          <w:szCs w:val="16"/>
        </w:rPr>
        <w:t>İmamoğlu, Betam, Research Associate.</w:t>
      </w:r>
    </w:p>
    <w:p w:rsidR="000126AE" w:rsidRPr="006F3F45" w:rsidRDefault="000126AE" w:rsidP="000126AE">
      <w:pPr>
        <w:spacing w:line="288" w:lineRule="auto"/>
        <w:ind w:left="-360" w:right="-318"/>
        <w:jc w:val="both"/>
        <w:rPr>
          <w:sz w:val="16"/>
          <w:szCs w:val="16"/>
        </w:rPr>
      </w:pPr>
      <w:r w:rsidRPr="006F3F45">
        <w:rPr>
          <w:sz w:val="16"/>
          <w:szCs w:val="16"/>
        </w:rPr>
        <w:t xml:space="preserve">  zumrut.imamoglu@bahcesehir.edu.tr</w:t>
      </w:r>
    </w:p>
    <w:p w:rsidR="000126AE" w:rsidRPr="006F3F45" w:rsidRDefault="000126AE" w:rsidP="000126AE">
      <w:pPr>
        <w:spacing w:line="288" w:lineRule="auto"/>
        <w:ind w:left="-360" w:right="-318"/>
        <w:jc w:val="both"/>
        <w:rPr>
          <w:sz w:val="16"/>
          <w:szCs w:val="16"/>
        </w:rPr>
      </w:pPr>
      <w:r w:rsidRPr="006F3F45">
        <w:rPr>
          <w:sz w:val="16"/>
          <w:szCs w:val="16"/>
          <w:vertAlign w:val="superscript"/>
        </w:rPr>
        <w:t xml:space="preserve">† </w:t>
      </w:r>
      <w:r w:rsidRPr="006F3F45">
        <w:rPr>
          <w:sz w:val="16"/>
          <w:szCs w:val="16"/>
        </w:rPr>
        <w:t>Barış</w:t>
      </w:r>
      <w:r w:rsidR="00B207DC">
        <w:rPr>
          <w:sz w:val="16"/>
          <w:szCs w:val="16"/>
        </w:rPr>
        <w:t xml:space="preserve"> </w:t>
      </w:r>
      <w:r w:rsidRPr="006F3F45">
        <w:rPr>
          <w:sz w:val="16"/>
          <w:szCs w:val="16"/>
        </w:rPr>
        <w:t>Soybilgen, Betam, Research Assistant,</w:t>
      </w:r>
    </w:p>
    <w:p w:rsidR="000126AE" w:rsidRPr="006F3F45" w:rsidRDefault="000126AE" w:rsidP="000126AE">
      <w:pPr>
        <w:ind w:left="-360"/>
        <w:rPr>
          <w:sz w:val="16"/>
          <w:szCs w:val="16"/>
        </w:rPr>
      </w:pPr>
      <w:r w:rsidRPr="006F3F45">
        <w:rPr>
          <w:sz w:val="16"/>
          <w:szCs w:val="16"/>
        </w:rPr>
        <w:t xml:space="preserve">  baris.soybilgen@bahcesehir.edu.tr</w:t>
      </w:r>
    </w:p>
    <w:p w:rsidR="00FD3A91" w:rsidRDefault="00FD3A91" w:rsidP="00FD3A91">
      <w:pPr>
        <w:ind w:right="42"/>
        <w:rPr>
          <w:b/>
          <w:bCs/>
          <w:sz w:val="22"/>
          <w:szCs w:val="22"/>
        </w:rPr>
      </w:pPr>
    </w:p>
    <w:p w:rsidR="00FD3A91" w:rsidRDefault="00FD3A91" w:rsidP="00FD3A91">
      <w:pPr>
        <w:outlineLvl w:val="0"/>
        <w:rPr>
          <w:b/>
          <w:bCs/>
          <w:sz w:val="22"/>
          <w:szCs w:val="22"/>
        </w:rPr>
      </w:pPr>
    </w:p>
    <w:p w:rsidR="003B2DCE" w:rsidRDefault="003B2DCE" w:rsidP="000126AE">
      <w:pPr>
        <w:ind w:left="-284" w:right="-71"/>
        <w:outlineLvl w:val="0"/>
        <w:rPr>
          <w:b/>
          <w:bCs/>
          <w:sz w:val="22"/>
          <w:szCs w:val="22"/>
        </w:rPr>
      </w:pPr>
    </w:p>
    <w:p w:rsidR="00FD3A91" w:rsidRDefault="000126AE" w:rsidP="000126AE">
      <w:pPr>
        <w:ind w:left="-284" w:right="-71"/>
        <w:outlineLvl w:val="0"/>
        <w:rPr>
          <w:b/>
          <w:bCs/>
          <w:sz w:val="22"/>
          <w:szCs w:val="22"/>
        </w:rPr>
      </w:pPr>
      <w:r>
        <w:rPr>
          <w:b/>
          <w:bCs/>
          <w:sz w:val="22"/>
          <w:szCs w:val="22"/>
        </w:rPr>
        <w:t>Table</w:t>
      </w:r>
      <w:r w:rsidR="00FD3A91">
        <w:rPr>
          <w:b/>
          <w:bCs/>
          <w:sz w:val="22"/>
          <w:szCs w:val="22"/>
        </w:rPr>
        <w:t xml:space="preserve"> 1.</w:t>
      </w:r>
      <w:r>
        <w:rPr>
          <w:b/>
          <w:bCs/>
          <w:sz w:val="22"/>
          <w:szCs w:val="22"/>
        </w:rPr>
        <w:t>Betam's quarterly and annual growth rate forecasts</w:t>
      </w:r>
    </w:p>
    <w:tbl>
      <w:tblPr>
        <w:tblpPr w:leftFromText="141" w:rightFromText="141" w:vertAnchor="text" w:horzAnchor="margin" w:tblpXSpec="right" w:tblpY="129"/>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0"/>
        <w:gridCol w:w="1117"/>
      </w:tblGrid>
      <w:tr w:rsidR="009F08A8" w:rsidRPr="003118F7" w:rsidTr="00BD2888">
        <w:trPr>
          <w:trHeight w:val="986"/>
        </w:trPr>
        <w:tc>
          <w:tcPr>
            <w:tcW w:w="3430" w:type="dxa"/>
            <w:tcMar>
              <w:left w:w="28" w:type="dxa"/>
              <w:right w:w="28" w:type="dxa"/>
            </w:tcMar>
            <w:vAlign w:val="center"/>
          </w:tcPr>
          <w:p w:rsidR="009F08A8" w:rsidRPr="00180C8C" w:rsidRDefault="009F08A8" w:rsidP="00BD2888">
            <w:pPr>
              <w:ind w:right="42"/>
              <w:jc w:val="center"/>
              <w:rPr>
                <w:sz w:val="20"/>
                <w:szCs w:val="20"/>
              </w:rPr>
            </w:pPr>
          </w:p>
        </w:tc>
        <w:tc>
          <w:tcPr>
            <w:tcW w:w="1117" w:type="dxa"/>
            <w:vAlign w:val="center"/>
          </w:tcPr>
          <w:p w:rsidR="009F08A8" w:rsidRPr="00180C8C" w:rsidRDefault="009F08A8" w:rsidP="00BD2888">
            <w:pPr>
              <w:ind w:right="40"/>
              <w:jc w:val="center"/>
              <w:rPr>
                <w:b/>
                <w:bCs/>
                <w:sz w:val="20"/>
                <w:szCs w:val="20"/>
              </w:rPr>
            </w:pPr>
            <w:r w:rsidRPr="00180C8C">
              <w:rPr>
                <w:b/>
                <w:bCs/>
                <w:sz w:val="20"/>
                <w:szCs w:val="20"/>
              </w:rPr>
              <w:t>201</w:t>
            </w:r>
            <w:r>
              <w:rPr>
                <w:b/>
                <w:bCs/>
                <w:sz w:val="20"/>
                <w:szCs w:val="20"/>
              </w:rPr>
              <w:t>4</w:t>
            </w:r>
          </w:p>
          <w:p w:rsidR="009F08A8" w:rsidRPr="00267AB7" w:rsidRDefault="00267AB7" w:rsidP="00BD2888">
            <w:pPr>
              <w:ind w:right="40"/>
              <w:jc w:val="center"/>
              <w:rPr>
                <w:b/>
                <w:bCs/>
                <w:sz w:val="18"/>
                <w:szCs w:val="18"/>
              </w:rPr>
            </w:pPr>
            <w:r w:rsidRPr="00267AB7">
              <w:rPr>
                <w:b/>
                <w:bCs/>
                <w:sz w:val="18"/>
                <w:szCs w:val="18"/>
              </w:rPr>
              <w:t>1.</w:t>
            </w:r>
            <w:r>
              <w:rPr>
                <w:b/>
                <w:bCs/>
                <w:sz w:val="18"/>
                <w:szCs w:val="18"/>
              </w:rPr>
              <w:t xml:space="preserve"> </w:t>
            </w:r>
            <w:r w:rsidRPr="00267AB7">
              <w:rPr>
                <w:b/>
                <w:bCs/>
                <w:sz w:val="18"/>
                <w:szCs w:val="18"/>
              </w:rPr>
              <w:t>Quarter</w:t>
            </w:r>
          </w:p>
          <w:p w:rsidR="009F08A8" w:rsidRPr="00180C8C" w:rsidRDefault="009F08A8" w:rsidP="00BD2888">
            <w:pPr>
              <w:ind w:right="40"/>
              <w:jc w:val="center"/>
              <w:rPr>
                <w:b/>
                <w:bCs/>
                <w:sz w:val="20"/>
                <w:szCs w:val="20"/>
              </w:rPr>
            </w:pPr>
            <w:r>
              <w:rPr>
                <w:b/>
                <w:bCs/>
                <w:sz w:val="20"/>
                <w:szCs w:val="20"/>
              </w:rPr>
              <w:t>(%)</w:t>
            </w:r>
          </w:p>
        </w:tc>
      </w:tr>
      <w:tr w:rsidR="009F08A8" w:rsidRPr="003118F7" w:rsidTr="00BD2888">
        <w:trPr>
          <w:trHeight w:val="771"/>
        </w:trPr>
        <w:tc>
          <w:tcPr>
            <w:tcW w:w="3430" w:type="dxa"/>
            <w:tcMar>
              <w:left w:w="28" w:type="dxa"/>
              <w:right w:w="28" w:type="dxa"/>
            </w:tcMar>
            <w:vAlign w:val="center"/>
          </w:tcPr>
          <w:p w:rsidR="009F08A8" w:rsidRPr="006F3F45" w:rsidRDefault="009F08A8" w:rsidP="00BD2888">
            <w:pPr>
              <w:spacing w:line="360" w:lineRule="auto"/>
              <w:ind w:right="42"/>
              <w:rPr>
                <w:b/>
                <w:sz w:val="20"/>
                <w:szCs w:val="20"/>
              </w:rPr>
            </w:pPr>
            <w:r w:rsidRPr="006F3F45">
              <w:rPr>
                <w:b/>
                <w:sz w:val="20"/>
                <w:szCs w:val="20"/>
              </w:rPr>
              <w:t xml:space="preserve">Real GDP growth, % </w:t>
            </w:r>
          </w:p>
          <w:p w:rsidR="009F08A8" w:rsidRPr="006F3F45" w:rsidRDefault="009F08A8" w:rsidP="00BD2888">
            <w:pPr>
              <w:ind w:right="42"/>
              <w:rPr>
                <w:sz w:val="20"/>
                <w:szCs w:val="20"/>
              </w:rPr>
            </w:pPr>
            <w:r w:rsidRPr="006F3F45">
              <w:rPr>
                <w:sz w:val="20"/>
                <w:szCs w:val="20"/>
              </w:rPr>
              <w:t>(quarter on quarter, sa*)</w:t>
            </w:r>
          </w:p>
        </w:tc>
        <w:tc>
          <w:tcPr>
            <w:tcW w:w="1117" w:type="dxa"/>
            <w:vAlign w:val="center"/>
          </w:tcPr>
          <w:p w:rsidR="009F08A8" w:rsidRPr="00180C8C" w:rsidRDefault="009F08A8" w:rsidP="00BD2888">
            <w:pPr>
              <w:ind w:right="42"/>
              <w:jc w:val="center"/>
              <w:rPr>
                <w:sz w:val="20"/>
                <w:szCs w:val="20"/>
              </w:rPr>
            </w:pPr>
            <w:r w:rsidRPr="00180C8C">
              <w:rPr>
                <w:sz w:val="20"/>
                <w:szCs w:val="20"/>
              </w:rPr>
              <w:t>0,</w:t>
            </w:r>
            <w:r>
              <w:rPr>
                <w:sz w:val="20"/>
                <w:szCs w:val="20"/>
              </w:rPr>
              <w:t>4</w:t>
            </w:r>
          </w:p>
        </w:tc>
      </w:tr>
      <w:tr w:rsidR="009F08A8" w:rsidRPr="003118F7" w:rsidTr="00BD2888">
        <w:trPr>
          <w:trHeight w:val="756"/>
        </w:trPr>
        <w:tc>
          <w:tcPr>
            <w:tcW w:w="3430" w:type="dxa"/>
            <w:tcMar>
              <w:left w:w="28" w:type="dxa"/>
              <w:right w:w="28" w:type="dxa"/>
            </w:tcMar>
            <w:vAlign w:val="center"/>
          </w:tcPr>
          <w:p w:rsidR="009F08A8" w:rsidRPr="006F3F45" w:rsidRDefault="009F08A8" w:rsidP="00BD2888">
            <w:pPr>
              <w:spacing w:line="360" w:lineRule="auto"/>
              <w:ind w:right="42"/>
              <w:rPr>
                <w:sz w:val="20"/>
                <w:szCs w:val="20"/>
              </w:rPr>
            </w:pPr>
            <w:r w:rsidRPr="006F3F45">
              <w:rPr>
                <w:b/>
                <w:sz w:val="20"/>
                <w:szCs w:val="20"/>
              </w:rPr>
              <w:t>Real GDP growth, %</w:t>
            </w:r>
          </w:p>
          <w:p w:rsidR="009F08A8" w:rsidRPr="006F3F45" w:rsidRDefault="009F08A8" w:rsidP="00BD2888">
            <w:pPr>
              <w:ind w:right="42"/>
              <w:rPr>
                <w:sz w:val="20"/>
                <w:szCs w:val="20"/>
              </w:rPr>
            </w:pPr>
            <w:r w:rsidRPr="006F3F45">
              <w:rPr>
                <w:sz w:val="20"/>
                <w:szCs w:val="20"/>
              </w:rPr>
              <w:t>(year on year, ca**)</w:t>
            </w:r>
          </w:p>
        </w:tc>
        <w:tc>
          <w:tcPr>
            <w:tcW w:w="1117" w:type="dxa"/>
            <w:vAlign w:val="center"/>
          </w:tcPr>
          <w:p w:rsidR="009F08A8" w:rsidRPr="00180C8C" w:rsidRDefault="009F08A8" w:rsidP="00BD2888">
            <w:pPr>
              <w:ind w:right="42"/>
              <w:jc w:val="center"/>
              <w:rPr>
                <w:sz w:val="20"/>
                <w:szCs w:val="20"/>
              </w:rPr>
            </w:pPr>
            <w:r>
              <w:rPr>
                <w:sz w:val="20"/>
                <w:szCs w:val="20"/>
              </w:rPr>
              <w:t>3</w:t>
            </w:r>
            <w:r w:rsidRPr="00180C8C">
              <w:rPr>
                <w:sz w:val="20"/>
                <w:szCs w:val="20"/>
              </w:rPr>
              <w:t>,</w:t>
            </w:r>
            <w:r>
              <w:rPr>
                <w:sz w:val="20"/>
                <w:szCs w:val="20"/>
              </w:rPr>
              <w:t>7</w:t>
            </w:r>
          </w:p>
        </w:tc>
      </w:tr>
      <w:tr w:rsidR="009F08A8" w:rsidRPr="003118F7" w:rsidTr="00BD2888">
        <w:trPr>
          <w:trHeight w:val="583"/>
        </w:trPr>
        <w:tc>
          <w:tcPr>
            <w:tcW w:w="3430" w:type="dxa"/>
            <w:tcMar>
              <w:left w:w="28" w:type="dxa"/>
              <w:right w:w="28" w:type="dxa"/>
            </w:tcMar>
            <w:vAlign w:val="center"/>
          </w:tcPr>
          <w:p w:rsidR="009F08A8" w:rsidRPr="006F3F45" w:rsidRDefault="009F08A8" w:rsidP="00BD2888">
            <w:pPr>
              <w:spacing w:line="360" w:lineRule="auto"/>
              <w:ind w:right="42"/>
              <w:rPr>
                <w:sz w:val="20"/>
                <w:szCs w:val="20"/>
              </w:rPr>
            </w:pPr>
            <w:r w:rsidRPr="006F3F45">
              <w:rPr>
                <w:b/>
                <w:sz w:val="20"/>
                <w:szCs w:val="20"/>
              </w:rPr>
              <w:t>Current account deficit</w:t>
            </w:r>
          </w:p>
          <w:p w:rsidR="009F08A8" w:rsidRPr="006F3F45" w:rsidRDefault="009F08A8" w:rsidP="00BD2888">
            <w:pPr>
              <w:ind w:right="40"/>
              <w:rPr>
                <w:sz w:val="20"/>
                <w:szCs w:val="20"/>
              </w:rPr>
            </w:pPr>
            <w:r w:rsidRPr="006F3F45">
              <w:rPr>
                <w:sz w:val="20"/>
                <w:szCs w:val="20"/>
              </w:rPr>
              <w:t>(% of GDP, annual)</w:t>
            </w:r>
          </w:p>
        </w:tc>
        <w:tc>
          <w:tcPr>
            <w:tcW w:w="1117" w:type="dxa"/>
            <w:vAlign w:val="center"/>
          </w:tcPr>
          <w:p w:rsidR="009F08A8" w:rsidRPr="00180C8C" w:rsidRDefault="009F08A8" w:rsidP="00BD2888">
            <w:pPr>
              <w:ind w:right="40"/>
              <w:jc w:val="center"/>
              <w:rPr>
                <w:sz w:val="20"/>
                <w:szCs w:val="20"/>
              </w:rPr>
            </w:pPr>
            <w:r w:rsidRPr="00180C8C">
              <w:rPr>
                <w:sz w:val="20"/>
                <w:szCs w:val="20"/>
              </w:rPr>
              <w:t>7,</w:t>
            </w:r>
            <w:r>
              <w:rPr>
                <w:sz w:val="20"/>
                <w:szCs w:val="20"/>
              </w:rPr>
              <w:t>5</w:t>
            </w:r>
          </w:p>
        </w:tc>
      </w:tr>
      <w:tr w:rsidR="009F08A8" w:rsidRPr="003118F7" w:rsidTr="00BD2888">
        <w:trPr>
          <w:trHeight w:val="583"/>
        </w:trPr>
        <w:tc>
          <w:tcPr>
            <w:tcW w:w="3430" w:type="dxa"/>
            <w:tcMar>
              <w:left w:w="28" w:type="dxa"/>
              <w:right w:w="28" w:type="dxa"/>
            </w:tcMar>
            <w:vAlign w:val="center"/>
          </w:tcPr>
          <w:p w:rsidR="009F08A8" w:rsidRPr="006F3F45" w:rsidRDefault="009F08A8" w:rsidP="00BD2888">
            <w:pPr>
              <w:spacing w:line="360" w:lineRule="auto"/>
              <w:ind w:right="42"/>
              <w:rPr>
                <w:sz w:val="20"/>
                <w:szCs w:val="20"/>
              </w:rPr>
            </w:pPr>
            <w:r>
              <w:rPr>
                <w:b/>
                <w:sz w:val="20"/>
                <w:szCs w:val="20"/>
              </w:rPr>
              <w:t>Gold Excluded c</w:t>
            </w:r>
            <w:r w:rsidRPr="006F3F45">
              <w:rPr>
                <w:b/>
                <w:sz w:val="20"/>
                <w:szCs w:val="20"/>
              </w:rPr>
              <w:t>urrent account deficit</w:t>
            </w:r>
          </w:p>
          <w:p w:rsidR="009F08A8" w:rsidRPr="006F3F45" w:rsidRDefault="009F08A8" w:rsidP="00BD2888">
            <w:pPr>
              <w:ind w:right="42"/>
              <w:rPr>
                <w:sz w:val="20"/>
                <w:szCs w:val="20"/>
              </w:rPr>
            </w:pPr>
            <w:r w:rsidRPr="006F3F45">
              <w:rPr>
                <w:sz w:val="20"/>
                <w:szCs w:val="20"/>
              </w:rPr>
              <w:t>(% of GDP, annual)</w:t>
            </w:r>
          </w:p>
        </w:tc>
        <w:tc>
          <w:tcPr>
            <w:tcW w:w="1117" w:type="dxa"/>
            <w:vAlign w:val="center"/>
          </w:tcPr>
          <w:p w:rsidR="009F08A8" w:rsidRPr="00180C8C" w:rsidRDefault="009F08A8" w:rsidP="00BD2888">
            <w:pPr>
              <w:ind w:right="40"/>
              <w:jc w:val="center"/>
              <w:rPr>
                <w:sz w:val="20"/>
                <w:szCs w:val="20"/>
              </w:rPr>
            </w:pPr>
            <w:r>
              <w:rPr>
                <w:sz w:val="20"/>
                <w:szCs w:val="20"/>
              </w:rPr>
              <w:t>6,4</w:t>
            </w:r>
          </w:p>
        </w:tc>
      </w:tr>
    </w:tbl>
    <w:p w:rsidR="000126AE" w:rsidRPr="006F3F45" w:rsidRDefault="000126AE" w:rsidP="000126AE">
      <w:pPr>
        <w:ind w:left="-360" w:right="40"/>
        <w:jc w:val="both"/>
        <w:rPr>
          <w:sz w:val="16"/>
          <w:szCs w:val="16"/>
        </w:rPr>
      </w:pPr>
      <w:r w:rsidRPr="006F3F45">
        <w:rPr>
          <w:sz w:val="16"/>
          <w:szCs w:val="16"/>
        </w:rPr>
        <w:t>Source: Betam.*sa: seasonally and calendar day adjusted</w:t>
      </w:r>
      <w:r w:rsidR="006A2D33">
        <w:rPr>
          <w:sz w:val="16"/>
          <w:szCs w:val="16"/>
        </w:rPr>
        <w:t xml:space="preserve"> </w:t>
      </w:r>
      <w:r w:rsidRPr="006F3F45">
        <w:rPr>
          <w:sz w:val="16"/>
          <w:szCs w:val="16"/>
        </w:rPr>
        <w:t>**ca: calendar day adjusted</w:t>
      </w:r>
      <w:r>
        <w:rPr>
          <w:sz w:val="16"/>
          <w:szCs w:val="16"/>
        </w:rPr>
        <w:t>.</w:t>
      </w:r>
    </w:p>
    <w:p w:rsidR="009F08A8" w:rsidRDefault="009F08A8" w:rsidP="00FD3A91">
      <w:pPr>
        <w:spacing w:line="360" w:lineRule="auto"/>
        <w:ind w:left="-360"/>
        <w:jc w:val="center"/>
        <w:rPr>
          <w:b/>
          <w:bCs/>
          <w:sz w:val="22"/>
          <w:szCs w:val="22"/>
        </w:rPr>
      </w:pPr>
    </w:p>
    <w:p w:rsidR="00FD3A91" w:rsidRDefault="009C70BB" w:rsidP="00FD3A91">
      <w:pPr>
        <w:spacing w:line="360" w:lineRule="auto"/>
        <w:ind w:left="-360"/>
        <w:jc w:val="center"/>
        <w:rPr>
          <w:b/>
          <w:bCs/>
          <w:sz w:val="22"/>
          <w:szCs w:val="22"/>
        </w:rPr>
      </w:pPr>
      <w:r>
        <w:rPr>
          <w:b/>
          <w:bCs/>
          <w:sz w:val="22"/>
          <w:szCs w:val="22"/>
        </w:rPr>
        <w:t>Downward t</w:t>
      </w:r>
      <w:r w:rsidR="00EB2553">
        <w:rPr>
          <w:b/>
          <w:bCs/>
          <w:sz w:val="22"/>
          <w:szCs w:val="22"/>
        </w:rPr>
        <w:t xml:space="preserve">rend in </w:t>
      </w:r>
      <w:r>
        <w:rPr>
          <w:b/>
          <w:bCs/>
          <w:sz w:val="22"/>
          <w:szCs w:val="22"/>
        </w:rPr>
        <w:t xml:space="preserve">the </w:t>
      </w:r>
      <w:r w:rsidR="00EB2553">
        <w:rPr>
          <w:b/>
          <w:bCs/>
          <w:sz w:val="22"/>
          <w:szCs w:val="22"/>
        </w:rPr>
        <w:t>IPI</w:t>
      </w:r>
    </w:p>
    <w:p w:rsidR="00FD3A91" w:rsidRDefault="00FD3A91" w:rsidP="00FD3A91">
      <w:pPr>
        <w:spacing w:line="360" w:lineRule="auto"/>
        <w:ind w:left="-360"/>
        <w:jc w:val="center"/>
        <w:rPr>
          <w:b/>
          <w:bCs/>
          <w:sz w:val="22"/>
          <w:szCs w:val="22"/>
        </w:rPr>
      </w:pPr>
    </w:p>
    <w:p w:rsidR="00EB2553" w:rsidRDefault="009C70BB" w:rsidP="00FD3A91">
      <w:pPr>
        <w:spacing w:line="360" w:lineRule="auto"/>
        <w:ind w:left="-360" w:right="42"/>
        <w:jc w:val="both"/>
        <w:rPr>
          <w:sz w:val="22"/>
          <w:szCs w:val="22"/>
        </w:rPr>
      </w:pPr>
      <w:r>
        <w:rPr>
          <w:sz w:val="22"/>
          <w:szCs w:val="22"/>
        </w:rPr>
        <w:t xml:space="preserve">The </w:t>
      </w:r>
      <w:r w:rsidR="00EB2553" w:rsidRPr="00267AB7">
        <w:rPr>
          <w:sz w:val="22"/>
          <w:szCs w:val="22"/>
        </w:rPr>
        <w:t xml:space="preserve">IPI </w:t>
      </w:r>
      <w:r>
        <w:rPr>
          <w:sz w:val="22"/>
          <w:szCs w:val="22"/>
        </w:rPr>
        <w:t>fell</w:t>
      </w:r>
      <w:r w:rsidR="00EB2553" w:rsidRPr="00267AB7">
        <w:rPr>
          <w:sz w:val="22"/>
          <w:szCs w:val="22"/>
        </w:rPr>
        <w:t xml:space="preserve"> by 0.4 percent in March from the previou</w:t>
      </w:r>
      <w:r w:rsidR="006730A2" w:rsidRPr="00267AB7">
        <w:rPr>
          <w:sz w:val="22"/>
          <w:szCs w:val="22"/>
        </w:rPr>
        <w:t>s month. After data revisions, i</w:t>
      </w:r>
      <w:r w:rsidR="00EB2553" w:rsidRPr="00267AB7">
        <w:rPr>
          <w:sz w:val="22"/>
          <w:szCs w:val="22"/>
        </w:rPr>
        <w:t xml:space="preserve">t is seen that </w:t>
      </w:r>
      <w:r>
        <w:rPr>
          <w:sz w:val="22"/>
          <w:szCs w:val="22"/>
        </w:rPr>
        <w:t xml:space="preserve">the </w:t>
      </w:r>
      <w:r w:rsidR="00EB2553" w:rsidRPr="00267AB7">
        <w:rPr>
          <w:sz w:val="22"/>
          <w:szCs w:val="22"/>
        </w:rPr>
        <w:t xml:space="preserve">IPI </w:t>
      </w:r>
      <w:r w:rsidR="006730A2" w:rsidRPr="00267AB7">
        <w:rPr>
          <w:sz w:val="22"/>
          <w:szCs w:val="22"/>
        </w:rPr>
        <w:t xml:space="preserve">also fell in February by 0.3 percent. On the other hand, QoQ industrial production is still strong. It increased by 1.4 percent </w:t>
      </w:r>
      <w:r w:rsidR="00267AB7" w:rsidRPr="00267AB7">
        <w:rPr>
          <w:sz w:val="22"/>
          <w:szCs w:val="22"/>
        </w:rPr>
        <w:t>in the first quarter from the previous quarter</w:t>
      </w:r>
      <w:r w:rsidR="006730A2" w:rsidRPr="00267AB7">
        <w:rPr>
          <w:sz w:val="22"/>
          <w:szCs w:val="22"/>
        </w:rPr>
        <w:t>. However</w:t>
      </w:r>
      <w:r>
        <w:rPr>
          <w:sz w:val="22"/>
          <w:szCs w:val="22"/>
        </w:rPr>
        <w:t>,</w:t>
      </w:r>
      <w:r w:rsidR="006730A2" w:rsidRPr="00267AB7">
        <w:rPr>
          <w:sz w:val="22"/>
          <w:szCs w:val="22"/>
        </w:rPr>
        <w:t xml:space="preserve"> ongoing monthl</w:t>
      </w:r>
      <w:r w:rsidR="00267AB7" w:rsidRPr="00267AB7">
        <w:rPr>
          <w:sz w:val="22"/>
          <w:szCs w:val="22"/>
        </w:rPr>
        <w:t>y declines since January imply</w:t>
      </w:r>
      <w:r w:rsidR="006730A2" w:rsidRPr="00267AB7">
        <w:rPr>
          <w:sz w:val="22"/>
          <w:szCs w:val="22"/>
        </w:rPr>
        <w:t xml:space="preserve"> that exports decelerated along with the domestic demand.</w:t>
      </w:r>
      <w:r w:rsidR="00B25028">
        <w:rPr>
          <w:sz w:val="22"/>
          <w:szCs w:val="22"/>
        </w:rPr>
        <w:t xml:space="preserve"> Deceleration in exports ha</w:t>
      </w:r>
      <w:r w:rsidR="00AB7515" w:rsidRPr="00267AB7">
        <w:rPr>
          <w:sz w:val="22"/>
          <w:szCs w:val="22"/>
        </w:rPr>
        <w:t>s also manifested itself in export numbers.</w:t>
      </w:r>
      <w:r w:rsidR="006730A2" w:rsidRPr="00267AB7">
        <w:rPr>
          <w:sz w:val="22"/>
          <w:szCs w:val="22"/>
        </w:rPr>
        <w:t xml:space="preserve"> </w:t>
      </w:r>
      <w:r w:rsidR="00AB7515" w:rsidRPr="00267AB7">
        <w:rPr>
          <w:sz w:val="22"/>
          <w:szCs w:val="22"/>
        </w:rPr>
        <w:t>Gold</w:t>
      </w:r>
      <w:r w:rsidR="00F6520C">
        <w:rPr>
          <w:sz w:val="22"/>
          <w:szCs w:val="22"/>
        </w:rPr>
        <w:t>-</w:t>
      </w:r>
      <w:r w:rsidR="00AB7515" w:rsidRPr="00267AB7">
        <w:rPr>
          <w:sz w:val="22"/>
          <w:szCs w:val="22"/>
        </w:rPr>
        <w:t>excluded exports declined slightly both in February and March.</w:t>
      </w:r>
      <w:r w:rsidR="006A2D33" w:rsidRPr="00267AB7">
        <w:rPr>
          <w:sz w:val="22"/>
          <w:szCs w:val="22"/>
        </w:rPr>
        <w:t xml:space="preserve"> We expect</w:t>
      </w:r>
      <w:r w:rsidR="00267AB7" w:rsidRPr="00267AB7">
        <w:rPr>
          <w:sz w:val="22"/>
          <w:szCs w:val="22"/>
        </w:rPr>
        <w:t xml:space="preserve"> the</w:t>
      </w:r>
      <w:r w:rsidR="006A2D33" w:rsidRPr="00267AB7">
        <w:rPr>
          <w:sz w:val="22"/>
          <w:szCs w:val="22"/>
        </w:rPr>
        <w:t xml:space="preserve"> domestic </w:t>
      </w:r>
      <w:r w:rsidR="006A2D33" w:rsidRPr="00267AB7">
        <w:rPr>
          <w:sz w:val="22"/>
          <w:szCs w:val="22"/>
        </w:rPr>
        <w:lastRenderedPageBreak/>
        <w:t>demand</w:t>
      </w:r>
      <w:r>
        <w:rPr>
          <w:sz w:val="22"/>
          <w:szCs w:val="22"/>
        </w:rPr>
        <w:t>,</w:t>
      </w:r>
      <w:r w:rsidR="006A2D33" w:rsidRPr="00267AB7">
        <w:rPr>
          <w:sz w:val="22"/>
          <w:szCs w:val="22"/>
        </w:rPr>
        <w:t xml:space="preserve"> which shows signs of recovery</w:t>
      </w:r>
      <w:r>
        <w:rPr>
          <w:sz w:val="22"/>
          <w:szCs w:val="22"/>
        </w:rPr>
        <w:t>,</w:t>
      </w:r>
      <w:r w:rsidR="006A2D33" w:rsidRPr="00267AB7">
        <w:rPr>
          <w:sz w:val="22"/>
          <w:szCs w:val="22"/>
        </w:rPr>
        <w:t xml:space="preserve"> </w:t>
      </w:r>
      <w:r w:rsidR="00B25028">
        <w:rPr>
          <w:sz w:val="22"/>
          <w:szCs w:val="22"/>
        </w:rPr>
        <w:t>to</w:t>
      </w:r>
      <w:r w:rsidR="006A2D33" w:rsidRPr="00267AB7">
        <w:rPr>
          <w:sz w:val="22"/>
          <w:szCs w:val="22"/>
        </w:rPr>
        <w:t xml:space="preserve"> offset the fall in exports in the second quarter.</w:t>
      </w:r>
      <w:r w:rsidR="00AB7515">
        <w:rPr>
          <w:sz w:val="22"/>
          <w:szCs w:val="22"/>
        </w:rPr>
        <w:t xml:space="preserve"> </w:t>
      </w:r>
    </w:p>
    <w:p w:rsidR="008B09D0" w:rsidRDefault="008B09D0" w:rsidP="00FD3A91">
      <w:pPr>
        <w:spacing w:line="360" w:lineRule="auto"/>
        <w:ind w:left="-360" w:right="42"/>
        <w:jc w:val="both"/>
        <w:rPr>
          <w:sz w:val="22"/>
          <w:szCs w:val="22"/>
        </w:rPr>
      </w:pPr>
    </w:p>
    <w:p w:rsidR="00FB408A" w:rsidRDefault="00FB408A" w:rsidP="00FD3A91">
      <w:pPr>
        <w:spacing w:line="360" w:lineRule="auto"/>
        <w:ind w:left="-360" w:right="42"/>
        <w:jc w:val="both"/>
        <w:rPr>
          <w:sz w:val="22"/>
          <w:szCs w:val="22"/>
        </w:rPr>
      </w:pPr>
      <w:r w:rsidRPr="00267AB7">
        <w:rPr>
          <w:sz w:val="22"/>
          <w:szCs w:val="22"/>
        </w:rPr>
        <w:t>On the other hand, the decline in imports continues. Even though the bulk of the decline is caused by</w:t>
      </w:r>
      <w:r w:rsidR="00F6520C">
        <w:rPr>
          <w:sz w:val="22"/>
          <w:szCs w:val="22"/>
        </w:rPr>
        <w:t xml:space="preserve"> the fall in gold imports, gold-</w:t>
      </w:r>
      <w:r w:rsidRPr="00267AB7">
        <w:rPr>
          <w:sz w:val="22"/>
          <w:szCs w:val="22"/>
        </w:rPr>
        <w:t>excluded imports decline</w:t>
      </w:r>
      <w:r w:rsidR="00F6520C">
        <w:rPr>
          <w:sz w:val="22"/>
          <w:szCs w:val="22"/>
        </w:rPr>
        <w:t>d as well</w:t>
      </w:r>
      <w:r w:rsidRPr="00267AB7">
        <w:rPr>
          <w:sz w:val="22"/>
          <w:szCs w:val="22"/>
        </w:rPr>
        <w:t>. Consumer and intermediate goods imports d</w:t>
      </w:r>
      <w:r w:rsidR="00F6520C">
        <w:rPr>
          <w:sz w:val="22"/>
          <w:szCs w:val="22"/>
        </w:rPr>
        <w:t>ecreased</w:t>
      </w:r>
      <w:r w:rsidRPr="00267AB7">
        <w:rPr>
          <w:sz w:val="22"/>
          <w:szCs w:val="22"/>
        </w:rPr>
        <w:t xml:space="preserve"> sharply both </w:t>
      </w:r>
      <w:r w:rsidR="00F6520C">
        <w:rPr>
          <w:sz w:val="22"/>
          <w:szCs w:val="22"/>
        </w:rPr>
        <w:t xml:space="preserve">on </w:t>
      </w:r>
      <w:r w:rsidRPr="00267AB7">
        <w:rPr>
          <w:sz w:val="22"/>
          <w:szCs w:val="22"/>
        </w:rPr>
        <w:t>monthly and quarterly</w:t>
      </w:r>
      <w:r w:rsidR="00F6520C">
        <w:rPr>
          <w:sz w:val="22"/>
          <w:szCs w:val="22"/>
        </w:rPr>
        <w:t xml:space="preserve"> terms</w:t>
      </w:r>
      <w:r w:rsidRPr="00267AB7">
        <w:rPr>
          <w:sz w:val="22"/>
          <w:szCs w:val="22"/>
        </w:rPr>
        <w:t xml:space="preserve">. Investment goods imports recovered slightly in March, but fell QoQ. </w:t>
      </w:r>
      <w:r w:rsidR="0092617A">
        <w:rPr>
          <w:sz w:val="22"/>
          <w:szCs w:val="22"/>
        </w:rPr>
        <w:t>The decrease</w:t>
      </w:r>
      <w:r w:rsidRPr="00267AB7">
        <w:rPr>
          <w:sz w:val="22"/>
          <w:szCs w:val="22"/>
        </w:rPr>
        <w:t xml:space="preserve"> in imports in the last three months indicate a </w:t>
      </w:r>
      <w:r w:rsidR="0092617A">
        <w:rPr>
          <w:sz w:val="22"/>
          <w:szCs w:val="22"/>
        </w:rPr>
        <w:t xml:space="preserve">clear </w:t>
      </w:r>
      <w:r w:rsidRPr="00267AB7">
        <w:rPr>
          <w:sz w:val="22"/>
          <w:szCs w:val="22"/>
        </w:rPr>
        <w:t>contraction in domestic demand.</w:t>
      </w:r>
      <w:r>
        <w:rPr>
          <w:sz w:val="22"/>
          <w:szCs w:val="22"/>
        </w:rPr>
        <w:t xml:space="preserve">    </w:t>
      </w:r>
    </w:p>
    <w:p w:rsidR="00FB408A" w:rsidRDefault="00FB408A" w:rsidP="00FD3A91">
      <w:pPr>
        <w:spacing w:line="360" w:lineRule="auto"/>
        <w:ind w:left="-360" w:right="42"/>
        <w:jc w:val="both"/>
        <w:rPr>
          <w:sz w:val="22"/>
          <w:szCs w:val="22"/>
        </w:rPr>
      </w:pPr>
    </w:p>
    <w:p w:rsidR="00470CB6" w:rsidRDefault="00EC4E87" w:rsidP="00FD3A91">
      <w:pPr>
        <w:spacing w:line="360" w:lineRule="auto"/>
        <w:ind w:left="-360" w:right="42"/>
        <w:jc w:val="both"/>
        <w:rPr>
          <w:sz w:val="22"/>
          <w:szCs w:val="22"/>
        </w:rPr>
      </w:pPr>
      <w:r w:rsidRPr="00E727AD">
        <w:rPr>
          <w:sz w:val="22"/>
          <w:szCs w:val="22"/>
        </w:rPr>
        <w:t xml:space="preserve">Other economic indicators </w:t>
      </w:r>
      <w:r w:rsidR="00E727AD" w:rsidRPr="00E727AD">
        <w:rPr>
          <w:sz w:val="22"/>
          <w:szCs w:val="22"/>
        </w:rPr>
        <w:t>for</w:t>
      </w:r>
      <w:r w:rsidRPr="00E727AD">
        <w:rPr>
          <w:sz w:val="22"/>
          <w:szCs w:val="22"/>
        </w:rPr>
        <w:t xml:space="preserve"> consumption and investment</w:t>
      </w:r>
      <w:r w:rsidR="00E727AD" w:rsidRPr="00E727AD">
        <w:rPr>
          <w:sz w:val="22"/>
          <w:szCs w:val="22"/>
        </w:rPr>
        <w:t xml:space="preserve"> also indicate</w:t>
      </w:r>
      <w:r w:rsidRPr="00E727AD">
        <w:rPr>
          <w:sz w:val="22"/>
          <w:szCs w:val="22"/>
        </w:rPr>
        <w:t xml:space="preserve"> a decline. Compared to the last quarter of 2013, consumer and real sector</w:t>
      </w:r>
      <w:r w:rsidR="00A15760">
        <w:rPr>
          <w:sz w:val="22"/>
          <w:szCs w:val="22"/>
        </w:rPr>
        <w:t xml:space="preserve"> confidence</w:t>
      </w:r>
      <w:r w:rsidRPr="00E727AD">
        <w:rPr>
          <w:sz w:val="22"/>
          <w:szCs w:val="22"/>
        </w:rPr>
        <w:t xml:space="preserve"> indices fell sharply</w:t>
      </w:r>
      <w:r w:rsidR="00E727AD" w:rsidRPr="00E727AD">
        <w:rPr>
          <w:sz w:val="22"/>
          <w:szCs w:val="22"/>
        </w:rPr>
        <w:t xml:space="preserve"> in the first quarter</w:t>
      </w:r>
      <w:r w:rsidRPr="00E727AD">
        <w:rPr>
          <w:sz w:val="22"/>
          <w:szCs w:val="22"/>
        </w:rPr>
        <w:t>. Capacit</w:t>
      </w:r>
      <w:r w:rsidR="00E727AD" w:rsidRPr="00E727AD">
        <w:rPr>
          <w:sz w:val="22"/>
          <w:szCs w:val="22"/>
        </w:rPr>
        <w:t>y utilization rate also declined</w:t>
      </w:r>
      <w:r w:rsidRPr="00E727AD">
        <w:rPr>
          <w:sz w:val="22"/>
          <w:szCs w:val="22"/>
        </w:rPr>
        <w:t xml:space="preserve"> by 1.1 percent</w:t>
      </w:r>
      <w:r w:rsidR="00A15760">
        <w:rPr>
          <w:sz w:val="22"/>
          <w:szCs w:val="22"/>
        </w:rPr>
        <w:t>age points</w:t>
      </w:r>
      <w:r w:rsidRPr="00E727AD">
        <w:rPr>
          <w:sz w:val="22"/>
          <w:szCs w:val="22"/>
        </w:rPr>
        <w:t xml:space="preserve"> </w:t>
      </w:r>
      <w:r w:rsidR="00E727AD" w:rsidRPr="00E727AD">
        <w:rPr>
          <w:sz w:val="22"/>
          <w:szCs w:val="22"/>
        </w:rPr>
        <w:t>in the same period</w:t>
      </w:r>
      <w:r w:rsidRPr="00E727AD">
        <w:rPr>
          <w:sz w:val="22"/>
          <w:szCs w:val="22"/>
        </w:rPr>
        <w:t>.</w:t>
      </w:r>
      <w:r w:rsidR="00E727AD" w:rsidRPr="00E727AD">
        <w:rPr>
          <w:sz w:val="22"/>
          <w:szCs w:val="22"/>
        </w:rPr>
        <w:t xml:space="preserve"> </w:t>
      </w:r>
      <w:r w:rsidR="00A15760">
        <w:rPr>
          <w:sz w:val="22"/>
          <w:szCs w:val="22"/>
        </w:rPr>
        <w:t>Furthermore</w:t>
      </w:r>
      <w:r w:rsidR="00E727AD" w:rsidRPr="00E727AD">
        <w:rPr>
          <w:sz w:val="22"/>
          <w:szCs w:val="22"/>
        </w:rPr>
        <w:t>,</w:t>
      </w:r>
      <w:r w:rsidRPr="00E727AD">
        <w:rPr>
          <w:sz w:val="22"/>
          <w:szCs w:val="22"/>
        </w:rPr>
        <w:t xml:space="preserve"> </w:t>
      </w:r>
      <w:r w:rsidR="0059284D" w:rsidRPr="00E727AD">
        <w:rPr>
          <w:sz w:val="22"/>
          <w:szCs w:val="22"/>
        </w:rPr>
        <w:t>BIST</w:t>
      </w:r>
      <w:r w:rsidR="00A15760">
        <w:rPr>
          <w:sz w:val="22"/>
          <w:szCs w:val="22"/>
        </w:rPr>
        <w:t>,</w:t>
      </w:r>
      <w:r w:rsidR="0059284D" w:rsidRPr="00E727AD">
        <w:rPr>
          <w:sz w:val="22"/>
          <w:szCs w:val="22"/>
        </w:rPr>
        <w:t xml:space="preserve"> in real terms</w:t>
      </w:r>
      <w:r w:rsidR="00A15760">
        <w:rPr>
          <w:sz w:val="22"/>
          <w:szCs w:val="22"/>
        </w:rPr>
        <w:t>,</w:t>
      </w:r>
      <w:r w:rsidR="0059284D" w:rsidRPr="00E727AD">
        <w:rPr>
          <w:sz w:val="22"/>
          <w:szCs w:val="22"/>
        </w:rPr>
        <w:t xml:space="preserve"> </w:t>
      </w:r>
      <w:r w:rsidR="00F23DE0">
        <w:rPr>
          <w:sz w:val="22"/>
          <w:szCs w:val="22"/>
        </w:rPr>
        <w:t>have fallen</w:t>
      </w:r>
      <w:r w:rsidR="0059284D" w:rsidRPr="00E727AD">
        <w:rPr>
          <w:sz w:val="22"/>
          <w:szCs w:val="22"/>
        </w:rPr>
        <w:t xml:space="preserve"> in the last two quarters.</w:t>
      </w:r>
      <w:r>
        <w:rPr>
          <w:sz w:val="22"/>
          <w:szCs w:val="22"/>
        </w:rPr>
        <w:t xml:space="preserve">  </w:t>
      </w:r>
    </w:p>
    <w:p w:rsidR="00470CB6" w:rsidRDefault="00470CB6" w:rsidP="00FD3A91">
      <w:pPr>
        <w:spacing w:line="360" w:lineRule="auto"/>
        <w:ind w:left="-360" w:right="42"/>
        <w:jc w:val="both"/>
        <w:rPr>
          <w:sz w:val="22"/>
          <w:szCs w:val="22"/>
        </w:rPr>
      </w:pPr>
    </w:p>
    <w:p w:rsidR="00AF44EB" w:rsidRDefault="00500620" w:rsidP="00AF44EB">
      <w:pPr>
        <w:spacing w:line="360" w:lineRule="auto"/>
        <w:ind w:left="-360" w:right="40"/>
        <w:jc w:val="both"/>
        <w:rPr>
          <w:sz w:val="22"/>
          <w:szCs w:val="22"/>
        </w:rPr>
      </w:pPr>
      <w:r w:rsidRPr="005B0913">
        <w:rPr>
          <w:sz w:val="22"/>
          <w:szCs w:val="22"/>
        </w:rPr>
        <w:t xml:space="preserve">Indicators for the first quarter show that the growth </w:t>
      </w:r>
      <w:r w:rsidR="006F2AF1">
        <w:rPr>
          <w:sz w:val="22"/>
          <w:szCs w:val="22"/>
        </w:rPr>
        <w:t>wa</w:t>
      </w:r>
      <w:r w:rsidRPr="005B0913">
        <w:rPr>
          <w:sz w:val="22"/>
          <w:szCs w:val="22"/>
        </w:rPr>
        <w:t>s mainly export-led. Even though domestic demand contra</w:t>
      </w:r>
      <w:r w:rsidR="000871F8">
        <w:rPr>
          <w:sz w:val="22"/>
          <w:szCs w:val="22"/>
        </w:rPr>
        <w:t>cted</w:t>
      </w:r>
      <w:r w:rsidR="006F2AF1">
        <w:rPr>
          <w:sz w:val="22"/>
          <w:szCs w:val="22"/>
        </w:rPr>
        <w:t>, we believe that net exports we</w:t>
      </w:r>
      <w:r w:rsidRPr="005B0913">
        <w:rPr>
          <w:sz w:val="22"/>
          <w:szCs w:val="22"/>
        </w:rPr>
        <w:t xml:space="preserve">re strong enough to offset </w:t>
      </w:r>
      <w:r w:rsidR="00487303">
        <w:rPr>
          <w:sz w:val="22"/>
          <w:szCs w:val="22"/>
        </w:rPr>
        <w:t>its effect on growth</w:t>
      </w:r>
      <w:r w:rsidRPr="005B0913">
        <w:rPr>
          <w:sz w:val="22"/>
          <w:szCs w:val="22"/>
        </w:rPr>
        <w:t xml:space="preserve">. </w:t>
      </w:r>
      <w:r w:rsidR="00AF44EB" w:rsidRPr="005B0913">
        <w:rPr>
          <w:sz w:val="22"/>
          <w:szCs w:val="22"/>
        </w:rPr>
        <w:t>However</w:t>
      </w:r>
      <w:r w:rsidR="00487303">
        <w:rPr>
          <w:sz w:val="22"/>
          <w:szCs w:val="22"/>
        </w:rPr>
        <w:t>,</w:t>
      </w:r>
      <w:r w:rsidR="00AF44EB" w:rsidRPr="005B0913">
        <w:rPr>
          <w:sz w:val="22"/>
          <w:szCs w:val="22"/>
        </w:rPr>
        <w:t xml:space="preserve"> we cut our growth forecast by 0.1 percentage points due to </w:t>
      </w:r>
      <w:r w:rsidR="00487303">
        <w:rPr>
          <w:sz w:val="22"/>
          <w:szCs w:val="22"/>
        </w:rPr>
        <w:t>the decline</w:t>
      </w:r>
      <w:r w:rsidR="00AF44EB" w:rsidRPr="005B0913">
        <w:rPr>
          <w:sz w:val="22"/>
          <w:szCs w:val="22"/>
        </w:rPr>
        <w:t xml:space="preserve"> in industrial production</w:t>
      </w:r>
      <w:r w:rsidR="00487303">
        <w:rPr>
          <w:sz w:val="22"/>
          <w:szCs w:val="22"/>
        </w:rPr>
        <w:t>,</w:t>
      </w:r>
      <w:r w:rsidR="00AF44EB" w:rsidRPr="005B0913">
        <w:rPr>
          <w:sz w:val="22"/>
          <w:szCs w:val="22"/>
        </w:rPr>
        <w:t xml:space="preserve"> both in Feb</w:t>
      </w:r>
      <w:r w:rsidR="00617866" w:rsidRPr="005B0913">
        <w:rPr>
          <w:sz w:val="22"/>
          <w:szCs w:val="22"/>
        </w:rPr>
        <w:t>ruary and March. Therefore, our</w:t>
      </w:r>
      <w:r w:rsidRPr="005B0913">
        <w:rPr>
          <w:sz w:val="22"/>
          <w:szCs w:val="22"/>
        </w:rPr>
        <w:t xml:space="preserve"> </w:t>
      </w:r>
      <w:r w:rsidR="00AF44EB" w:rsidRPr="005B0913">
        <w:rPr>
          <w:sz w:val="22"/>
          <w:szCs w:val="22"/>
        </w:rPr>
        <w:t>QoQ growth forecast for the first quarter is 0.4 percent, and the corresponding YoY forecast is 3.7 percent.</w:t>
      </w:r>
    </w:p>
    <w:p w:rsidR="00500620" w:rsidRDefault="00500620" w:rsidP="00FD3A91">
      <w:pPr>
        <w:spacing w:line="360" w:lineRule="auto"/>
        <w:ind w:left="-360" w:right="42"/>
        <w:jc w:val="both"/>
        <w:rPr>
          <w:sz w:val="22"/>
          <w:szCs w:val="22"/>
        </w:rPr>
      </w:pPr>
    </w:p>
    <w:p w:rsidR="00AF44EB" w:rsidRPr="005B0913" w:rsidRDefault="00AF44EB" w:rsidP="00FD3A91">
      <w:pPr>
        <w:spacing w:line="360" w:lineRule="auto"/>
        <w:ind w:left="-360" w:right="42"/>
        <w:jc w:val="both"/>
        <w:rPr>
          <w:sz w:val="22"/>
          <w:szCs w:val="22"/>
        </w:rPr>
      </w:pPr>
      <w:r w:rsidRPr="005B0913">
        <w:rPr>
          <w:sz w:val="22"/>
          <w:szCs w:val="22"/>
        </w:rPr>
        <w:t xml:space="preserve">Due to the fast decline </w:t>
      </w:r>
      <w:r w:rsidR="00487303">
        <w:rPr>
          <w:sz w:val="22"/>
          <w:szCs w:val="22"/>
        </w:rPr>
        <w:t>in</w:t>
      </w:r>
      <w:r w:rsidRPr="005B0913">
        <w:rPr>
          <w:sz w:val="22"/>
          <w:szCs w:val="22"/>
        </w:rPr>
        <w:t xml:space="preserve"> gold imports, we expect the current account deficit to GDP ratio</w:t>
      </w:r>
      <w:r w:rsidR="008E0D21" w:rsidRPr="005B0913">
        <w:rPr>
          <w:sz w:val="22"/>
          <w:szCs w:val="22"/>
        </w:rPr>
        <w:t xml:space="preserve"> which was 7.9 percent at the end of 2013</w:t>
      </w:r>
      <w:r w:rsidRPr="005B0913">
        <w:rPr>
          <w:sz w:val="22"/>
          <w:szCs w:val="22"/>
        </w:rPr>
        <w:t xml:space="preserve"> to fall to 7.5</w:t>
      </w:r>
      <w:r w:rsidR="00C02085" w:rsidRPr="005B0913">
        <w:rPr>
          <w:sz w:val="22"/>
          <w:szCs w:val="22"/>
        </w:rPr>
        <w:t xml:space="preserve"> percent</w:t>
      </w:r>
      <w:r w:rsidR="008E0D21" w:rsidRPr="005B0913">
        <w:rPr>
          <w:sz w:val="22"/>
          <w:szCs w:val="22"/>
        </w:rPr>
        <w:t xml:space="preserve"> at the end of the first quarter</w:t>
      </w:r>
      <w:r w:rsidR="00C02085" w:rsidRPr="005B0913">
        <w:rPr>
          <w:sz w:val="22"/>
          <w:szCs w:val="22"/>
        </w:rPr>
        <w:t xml:space="preserve">. </w:t>
      </w:r>
      <w:r w:rsidR="00487303">
        <w:rPr>
          <w:sz w:val="22"/>
          <w:szCs w:val="22"/>
        </w:rPr>
        <w:t>G</w:t>
      </w:r>
      <w:r w:rsidR="00C02085" w:rsidRPr="005B0913">
        <w:rPr>
          <w:sz w:val="22"/>
          <w:szCs w:val="22"/>
        </w:rPr>
        <w:t>old</w:t>
      </w:r>
      <w:r w:rsidR="00487303">
        <w:rPr>
          <w:sz w:val="22"/>
          <w:szCs w:val="22"/>
        </w:rPr>
        <w:t>-</w:t>
      </w:r>
      <w:r w:rsidR="00C02085" w:rsidRPr="005B0913">
        <w:rPr>
          <w:sz w:val="22"/>
          <w:szCs w:val="22"/>
        </w:rPr>
        <w:t xml:space="preserve">excluded </w:t>
      </w:r>
      <w:r w:rsidR="00C02085" w:rsidRPr="005B0913">
        <w:rPr>
          <w:sz w:val="22"/>
          <w:szCs w:val="22"/>
        </w:rPr>
        <w:lastRenderedPageBreak/>
        <w:t>current account deficit continues to decline slowly.</w:t>
      </w:r>
      <w:r w:rsidR="00901754">
        <w:rPr>
          <w:sz w:val="22"/>
          <w:szCs w:val="22"/>
        </w:rPr>
        <w:t xml:space="preserve"> We expect the gold-</w:t>
      </w:r>
      <w:r w:rsidR="008E0D21" w:rsidRPr="005B0913">
        <w:rPr>
          <w:sz w:val="22"/>
          <w:szCs w:val="22"/>
        </w:rPr>
        <w:t>excluded current account deficit</w:t>
      </w:r>
      <w:r w:rsidR="00487303">
        <w:rPr>
          <w:sz w:val="22"/>
          <w:szCs w:val="22"/>
        </w:rPr>
        <w:t xml:space="preserve">, </w:t>
      </w:r>
      <w:r w:rsidR="008E0D21" w:rsidRPr="005B0913">
        <w:rPr>
          <w:sz w:val="22"/>
          <w:szCs w:val="22"/>
        </w:rPr>
        <w:t>which was 6.5 percent at the end of 2013</w:t>
      </w:r>
      <w:r w:rsidR="00487303">
        <w:rPr>
          <w:sz w:val="22"/>
          <w:szCs w:val="22"/>
        </w:rPr>
        <w:t>,</w:t>
      </w:r>
      <w:r w:rsidR="008E0D21" w:rsidRPr="005B0913">
        <w:rPr>
          <w:sz w:val="22"/>
          <w:szCs w:val="22"/>
        </w:rPr>
        <w:t xml:space="preserve"> to fall to 6.4 percent at the end of the first quarter.</w:t>
      </w:r>
    </w:p>
    <w:p w:rsidR="00500620" w:rsidRPr="00126490" w:rsidRDefault="00500620" w:rsidP="00FD3A91">
      <w:pPr>
        <w:spacing w:line="360" w:lineRule="auto"/>
        <w:ind w:left="-360" w:right="42"/>
        <w:jc w:val="both"/>
        <w:rPr>
          <w:sz w:val="22"/>
          <w:szCs w:val="22"/>
          <w:highlight w:val="yellow"/>
        </w:rPr>
      </w:pPr>
    </w:p>
    <w:p w:rsidR="008E0D21" w:rsidRPr="005B0913" w:rsidRDefault="008E0D21" w:rsidP="008E0D21">
      <w:pPr>
        <w:spacing w:line="360" w:lineRule="auto"/>
        <w:ind w:left="-360" w:right="42"/>
        <w:jc w:val="center"/>
        <w:rPr>
          <w:b/>
          <w:sz w:val="22"/>
          <w:szCs w:val="22"/>
        </w:rPr>
      </w:pPr>
      <w:r w:rsidRPr="005B0913">
        <w:rPr>
          <w:b/>
          <w:sz w:val="22"/>
          <w:szCs w:val="22"/>
        </w:rPr>
        <w:t>The decision of European Central Bank is critical</w:t>
      </w:r>
    </w:p>
    <w:p w:rsidR="008E0D21" w:rsidRPr="00126490" w:rsidRDefault="008E0D21" w:rsidP="00FD3A91">
      <w:pPr>
        <w:spacing w:line="360" w:lineRule="auto"/>
        <w:ind w:left="-360" w:right="42"/>
        <w:jc w:val="both"/>
        <w:rPr>
          <w:sz w:val="22"/>
          <w:szCs w:val="22"/>
          <w:highlight w:val="yellow"/>
        </w:rPr>
      </w:pPr>
    </w:p>
    <w:p w:rsidR="008E0D21" w:rsidRPr="005B0913" w:rsidRDefault="008E0D21" w:rsidP="00FD3A91">
      <w:pPr>
        <w:spacing w:line="360" w:lineRule="auto"/>
        <w:ind w:left="-360" w:right="42"/>
        <w:jc w:val="both"/>
        <w:rPr>
          <w:sz w:val="22"/>
          <w:szCs w:val="22"/>
        </w:rPr>
      </w:pPr>
      <w:r w:rsidRPr="005B0913">
        <w:rPr>
          <w:sz w:val="22"/>
          <w:szCs w:val="22"/>
        </w:rPr>
        <w:t xml:space="preserve">The appreciation of TRL and the decline in interest rates after elections </w:t>
      </w:r>
      <w:r w:rsidR="0093300D" w:rsidRPr="005B0913">
        <w:rPr>
          <w:sz w:val="22"/>
          <w:szCs w:val="22"/>
        </w:rPr>
        <w:t xml:space="preserve">raised the question </w:t>
      </w:r>
      <w:r w:rsidR="004A76EF">
        <w:rPr>
          <w:sz w:val="22"/>
          <w:szCs w:val="22"/>
        </w:rPr>
        <w:t xml:space="preserve">whether </w:t>
      </w:r>
      <w:r w:rsidR="0093300D" w:rsidRPr="005B0913">
        <w:rPr>
          <w:sz w:val="22"/>
          <w:szCs w:val="22"/>
        </w:rPr>
        <w:t xml:space="preserve">the </w:t>
      </w:r>
      <w:r w:rsidR="008C0759" w:rsidRPr="005B0913">
        <w:rPr>
          <w:sz w:val="22"/>
          <w:szCs w:val="22"/>
        </w:rPr>
        <w:t xml:space="preserve">Turkish </w:t>
      </w:r>
      <w:r w:rsidR="0093300D" w:rsidRPr="005B0913">
        <w:rPr>
          <w:sz w:val="22"/>
          <w:szCs w:val="22"/>
        </w:rPr>
        <w:t>Central Bank</w:t>
      </w:r>
      <w:r w:rsidR="00953CF5">
        <w:rPr>
          <w:sz w:val="22"/>
          <w:szCs w:val="22"/>
        </w:rPr>
        <w:t xml:space="preserve"> (CBRT</w:t>
      </w:r>
      <w:r w:rsidR="008C0759" w:rsidRPr="005B0913">
        <w:rPr>
          <w:sz w:val="22"/>
          <w:szCs w:val="22"/>
        </w:rPr>
        <w:t>)</w:t>
      </w:r>
      <w:r w:rsidR="00F206C3" w:rsidRPr="005B0913">
        <w:rPr>
          <w:sz w:val="22"/>
          <w:szCs w:val="22"/>
        </w:rPr>
        <w:t xml:space="preserve"> will</w:t>
      </w:r>
      <w:r w:rsidR="0093300D" w:rsidRPr="005B0913">
        <w:rPr>
          <w:sz w:val="22"/>
          <w:szCs w:val="22"/>
        </w:rPr>
        <w:t xml:space="preserve"> </w:t>
      </w:r>
      <w:r w:rsidR="004A76EF">
        <w:rPr>
          <w:sz w:val="22"/>
          <w:szCs w:val="22"/>
        </w:rPr>
        <w:t xml:space="preserve">also </w:t>
      </w:r>
      <w:r w:rsidR="0093300D" w:rsidRPr="005B0913">
        <w:rPr>
          <w:sz w:val="22"/>
          <w:szCs w:val="22"/>
        </w:rPr>
        <w:t>cut interest rates.</w:t>
      </w:r>
      <w:r w:rsidRPr="005B0913">
        <w:rPr>
          <w:sz w:val="22"/>
          <w:szCs w:val="22"/>
        </w:rPr>
        <w:t xml:space="preserve"> </w:t>
      </w:r>
      <w:r w:rsidR="004A76EF">
        <w:rPr>
          <w:sz w:val="22"/>
          <w:szCs w:val="22"/>
        </w:rPr>
        <w:t>P</w:t>
      </w:r>
      <w:r w:rsidRPr="005B0913">
        <w:rPr>
          <w:sz w:val="22"/>
          <w:szCs w:val="22"/>
        </w:rPr>
        <w:t xml:space="preserve">olitical </w:t>
      </w:r>
      <w:r w:rsidR="004A76EF">
        <w:rPr>
          <w:sz w:val="22"/>
          <w:szCs w:val="22"/>
        </w:rPr>
        <w:t>tens</w:t>
      </w:r>
      <w:r w:rsidRPr="005B0913">
        <w:rPr>
          <w:sz w:val="22"/>
          <w:szCs w:val="22"/>
        </w:rPr>
        <w:t>ion and uncertainty</w:t>
      </w:r>
      <w:r w:rsidR="004A76EF">
        <w:rPr>
          <w:sz w:val="22"/>
          <w:szCs w:val="22"/>
        </w:rPr>
        <w:t xml:space="preserve"> eased</w:t>
      </w:r>
      <w:r w:rsidRPr="005B0913">
        <w:rPr>
          <w:sz w:val="22"/>
          <w:szCs w:val="22"/>
        </w:rPr>
        <w:t xml:space="preserve"> after </w:t>
      </w:r>
      <w:r w:rsidR="004A76EF">
        <w:rPr>
          <w:sz w:val="22"/>
          <w:szCs w:val="22"/>
        </w:rPr>
        <w:t xml:space="preserve">the </w:t>
      </w:r>
      <w:r w:rsidRPr="005B0913">
        <w:rPr>
          <w:sz w:val="22"/>
          <w:szCs w:val="22"/>
        </w:rPr>
        <w:t>elections</w:t>
      </w:r>
      <w:r w:rsidR="004A76EF">
        <w:rPr>
          <w:sz w:val="22"/>
          <w:szCs w:val="22"/>
        </w:rPr>
        <w:t>.</w:t>
      </w:r>
      <w:r w:rsidRPr="005B0913">
        <w:rPr>
          <w:sz w:val="22"/>
          <w:szCs w:val="22"/>
        </w:rPr>
        <w:t xml:space="preserve"> </w:t>
      </w:r>
      <w:r w:rsidR="007D1C70">
        <w:rPr>
          <w:sz w:val="22"/>
          <w:szCs w:val="22"/>
        </w:rPr>
        <w:t xml:space="preserve">Expectations on </w:t>
      </w:r>
      <w:r w:rsidRPr="005B0913">
        <w:rPr>
          <w:sz w:val="22"/>
          <w:szCs w:val="22"/>
        </w:rPr>
        <w:t xml:space="preserve">monetary expansion by </w:t>
      </w:r>
      <w:r w:rsidR="007D1C70">
        <w:rPr>
          <w:sz w:val="22"/>
          <w:szCs w:val="22"/>
        </w:rPr>
        <w:t xml:space="preserve">the </w:t>
      </w:r>
      <w:r w:rsidRPr="005B0913">
        <w:rPr>
          <w:sz w:val="22"/>
          <w:szCs w:val="22"/>
        </w:rPr>
        <w:t>European Central Bank (ECB) increased capital inflows</w:t>
      </w:r>
      <w:r w:rsidR="007D1C70">
        <w:rPr>
          <w:sz w:val="22"/>
          <w:szCs w:val="22"/>
        </w:rPr>
        <w:t xml:space="preserve">. </w:t>
      </w:r>
      <w:r w:rsidR="007D1C70" w:rsidRPr="005B0913">
        <w:rPr>
          <w:sz w:val="22"/>
          <w:szCs w:val="22"/>
        </w:rPr>
        <w:t xml:space="preserve">TRL </w:t>
      </w:r>
      <w:r w:rsidR="007D1C70">
        <w:rPr>
          <w:sz w:val="22"/>
          <w:szCs w:val="22"/>
        </w:rPr>
        <w:t>appreciated</w:t>
      </w:r>
      <w:r w:rsidR="007D1C70" w:rsidRPr="005B0913">
        <w:rPr>
          <w:sz w:val="22"/>
          <w:szCs w:val="22"/>
        </w:rPr>
        <w:t xml:space="preserve"> 6 percent compared to March </w:t>
      </w:r>
      <w:r w:rsidR="007D1C70">
        <w:rPr>
          <w:sz w:val="22"/>
          <w:szCs w:val="22"/>
        </w:rPr>
        <w:t xml:space="preserve">on </w:t>
      </w:r>
      <w:r w:rsidR="007D1C70" w:rsidRPr="005B0913">
        <w:rPr>
          <w:sz w:val="22"/>
          <w:szCs w:val="22"/>
        </w:rPr>
        <w:t>average</w:t>
      </w:r>
      <w:r w:rsidR="007D1C70">
        <w:rPr>
          <w:sz w:val="22"/>
          <w:szCs w:val="22"/>
        </w:rPr>
        <w:t xml:space="preserve"> and the benchmark interest rate on 2 year bonds eased below 9 percent</w:t>
      </w:r>
      <w:r w:rsidR="007D1C70" w:rsidRPr="005B0913">
        <w:rPr>
          <w:sz w:val="22"/>
          <w:szCs w:val="22"/>
        </w:rPr>
        <w:t>.</w:t>
      </w:r>
      <w:r w:rsidR="007D1C70">
        <w:rPr>
          <w:sz w:val="22"/>
          <w:szCs w:val="22"/>
        </w:rPr>
        <w:t xml:space="preserve"> </w:t>
      </w:r>
    </w:p>
    <w:p w:rsidR="008E0D21" w:rsidRPr="00126490" w:rsidRDefault="008E0D21" w:rsidP="00FD3A91">
      <w:pPr>
        <w:spacing w:line="360" w:lineRule="auto"/>
        <w:ind w:left="-360" w:right="42"/>
        <w:jc w:val="both"/>
        <w:rPr>
          <w:sz w:val="22"/>
          <w:szCs w:val="22"/>
          <w:highlight w:val="yellow"/>
        </w:rPr>
      </w:pPr>
    </w:p>
    <w:p w:rsidR="00F206C3" w:rsidRPr="005B0913" w:rsidRDefault="00F206C3" w:rsidP="00FD3A91">
      <w:pPr>
        <w:spacing w:line="360" w:lineRule="auto"/>
        <w:ind w:left="-360" w:right="42"/>
        <w:jc w:val="both"/>
        <w:rPr>
          <w:sz w:val="22"/>
          <w:szCs w:val="22"/>
        </w:rPr>
      </w:pPr>
      <w:r w:rsidRPr="005B0913">
        <w:rPr>
          <w:sz w:val="22"/>
          <w:szCs w:val="22"/>
        </w:rPr>
        <w:t xml:space="preserve">Inflation in Europe declined sharply </w:t>
      </w:r>
      <w:r w:rsidR="00B24220">
        <w:rPr>
          <w:sz w:val="22"/>
          <w:szCs w:val="22"/>
        </w:rPr>
        <w:t>at</w:t>
      </w:r>
      <w:r w:rsidRPr="005B0913">
        <w:rPr>
          <w:sz w:val="22"/>
          <w:szCs w:val="22"/>
        </w:rPr>
        <w:t xml:space="preserve"> the beginning of 2013.</w:t>
      </w:r>
      <w:r w:rsidR="002C01BB" w:rsidRPr="005B0913">
        <w:rPr>
          <w:sz w:val="22"/>
          <w:szCs w:val="22"/>
        </w:rPr>
        <w:t xml:space="preserve"> Even though interest rates were already low in Europe,</w:t>
      </w:r>
      <w:r w:rsidRPr="005B0913">
        <w:rPr>
          <w:sz w:val="22"/>
          <w:szCs w:val="22"/>
        </w:rPr>
        <w:t xml:space="preserve"> </w:t>
      </w:r>
      <w:r w:rsidR="002C01BB" w:rsidRPr="005B0913">
        <w:rPr>
          <w:sz w:val="22"/>
          <w:szCs w:val="22"/>
        </w:rPr>
        <w:t>ECB further cut interest rate to 0.25 percent. However</w:t>
      </w:r>
      <w:r w:rsidR="007D1C70">
        <w:rPr>
          <w:sz w:val="22"/>
          <w:szCs w:val="22"/>
        </w:rPr>
        <w:t>,</w:t>
      </w:r>
      <w:r w:rsidR="002C01BB" w:rsidRPr="005B0913">
        <w:rPr>
          <w:sz w:val="22"/>
          <w:szCs w:val="22"/>
        </w:rPr>
        <w:t xml:space="preserve"> inflation </w:t>
      </w:r>
      <w:r w:rsidR="00333C4C">
        <w:rPr>
          <w:sz w:val="22"/>
          <w:szCs w:val="22"/>
        </w:rPr>
        <w:t xml:space="preserve">persistently </w:t>
      </w:r>
      <w:r w:rsidR="00B24220">
        <w:rPr>
          <w:sz w:val="22"/>
          <w:szCs w:val="22"/>
        </w:rPr>
        <w:t>remained</w:t>
      </w:r>
      <w:r w:rsidR="002C01BB" w:rsidRPr="005B0913">
        <w:rPr>
          <w:sz w:val="22"/>
          <w:szCs w:val="22"/>
        </w:rPr>
        <w:t xml:space="preserve"> below the targeted inflation of 2 percent. </w:t>
      </w:r>
      <w:r w:rsidR="006956B3" w:rsidRPr="005B0913">
        <w:rPr>
          <w:sz w:val="22"/>
          <w:szCs w:val="22"/>
        </w:rPr>
        <w:t xml:space="preserve">Draghi's statements in the last monetary policy committee implies that in June further actions </w:t>
      </w:r>
      <w:r w:rsidR="00901754">
        <w:rPr>
          <w:sz w:val="22"/>
          <w:szCs w:val="22"/>
        </w:rPr>
        <w:t>will</w:t>
      </w:r>
      <w:r w:rsidR="006956B3" w:rsidRPr="005B0913">
        <w:rPr>
          <w:sz w:val="22"/>
          <w:szCs w:val="22"/>
        </w:rPr>
        <w:t xml:space="preserve"> be taken to loosen the monetary policy. In </w:t>
      </w:r>
      <w:r w:rsidR="00953CF5">
        <w:rPr>
          <w:sz w:val="22"/>
          <w:szCs w:val="22"/>
        </w:rPr>
        <w:t>that case</w:t>
      </w:r>
      <w:r w:rsidR="006956B3" w:rsidRPr="005B0913">
        <w:rPr>
          <w:sz w:val="22"/>
          <w:szCs w:val="22"/>
        </w:rPr>
        <w:t xml:space="preserve">, </w:t>
      </w:r>
      <w:r w:rsidR="00953CF5">
        <w:rPr>
          <w:sz w:val="22"/>
          <w:szCs w:val="22"/>
        </w:rPr>
        <w:t>CBRT</w:t>
      </w:r>
      <w:r w:rsidR="008C0759" w:rsidRPr="005B0913">
        <w:rPr>
          <w:sz w:val="22"/>
          <w:szCs w:val="22"/>
        </w:rPr>
        <w:t xml:space="preserve"> </w:t>
      </w:r>
      <w:r w:rsidR="00953CF5">
        <w:rPr>
          <w:sz w:val="22"/>
          <w:szCs w:val="22"/>
        </w:rPr>
        <w:t xml:space="preserve">can easily </w:t>
      </w:r>
      <w:r w:rsidR="008C0759" w:rsidRPr="005B0913">
        <w:rPr>
          <w:sz w:val="22"/>
          <w:szCs w:val="22"/>
        </w:rPr>
        <w:t xml:space="preserve">lower the policy rate to stop </w:t>
      </w:r>
      <w:r w:rsidR="004B2D26">
        <w:rPr>
          <w:sz w:val="22"/>
          <w:szCs w:val="22"/>
        </w:rPr>
        <w:t xml:space="preserve">the </w:t>
      </w:r>
      <w:r w:rsidR="008C0759" w:rsidRPr="005B0913">
        <w:rPr>
          <w:sz w:val="22"/>
          <w:szCs w:val="22"/>
        </w:rPr>
        <w:t xml:space="preserve">appreciation </w:t>
      </w:r>
      <w:r w:rsidR="00953CF5">
        <w:rPr>
          <w:sz w:val="22"/>
          <w:szCs w:val="22"/>
        </w:rPr>
        <w:t>in</w:t>
      </w:r>
      <w:r w:rsidR="008C0759" w:rsidRPr="005B0913">
        <w:rPr>
          <w:sz w:val="22"/>
          <w:szCs w:val="22"/>
        </w:rPr>
        <w:t xml:space="preserve"> TRL</w:t>
      </w:r>
      <w:r w:rsidR="00901754">
        <w:rPr>
          <w:sz w:val="22"/>
          <w:szCs w:val="22"/>
        </w:rPr>
        <w:t>,</w:t>
      </w:r>
      <w:r w:rsidR="004B2D26">
        <w:rPr>
          <w:sz w:val="22"/>
          <w:szCs w:val="22"/>
        </w:rPr>
        <w:t xml:space="preserve"> without putting pressure on the already high interest rate</w:t>
      </w:r>
      <w:r w:rsidR="008C0759" w:rsidRPr="005B0913">
        <w:rPr>
          <w:sz w:val="22"/>
          <w:szCs w:val="22"/>
        </w:rPr>
        <w:t>.</w:t>
      </w:r>
      <w:r w:rsidR="006956B3" w:rsidRPr="005B0913">
        <w:rPr>
          <w:sz w:val="22"/>
          <w:szCs w:val="22"/>
        </w:rPr>
        <w:t xml:space="preserve"> </w:t>
      </w:r>
    </w:p>
    <w:p w:rsidR="008C0759" w:rsidRPr="005B0913" w:rsidRDefault="008C0759" w:rsidP="00FD3A91">
      <w:pPr>
        <w:spacing w:line="360" w:lineRule="auto"/>
        <w:ind w:left="-360" w:right="42"/>
        <w:jc w:val="both"/>
        <w:rPr>
          <w:sz w:val="22"/>
          <w:szCs w:val="22"/>
        </w:rPr>
      </w:pPr>
    </w:p>
    <w:p w:rsidR="00FD3A91" w:rsidRDefault="00B0606E" w:rsidP="00FD3A91">
      <w:pPr>
        <w:spacing w:line="360" w:lineRule="auto"/>
        <w:ind w:left="-360" w:right="42"/>
        <w:jc w:val="both"/>
        <w:rPr>
          <w:sz w:val="22"/>
          <w:szCs w:val="22"/>
        </w:rPr>
      </w:pPr>
      <w:r w:rsidRPr="005B0913">
        <w:rPr>
          <w:sz w:val="22"/>
          <w:szCs w:val="22"/>
        </w:rPr>
        <w:t>In regard</w:t>
      </w:r>
      <w:r w:rsidR="004B22CC">
        <w:rPr>
          <w:sz w:val="22"/>
          <w:szCs w:val="22"/>
        </w:rPr>
        <w:t>s</w:t>
      </w:r>
      <w:r w:rsidRPr="005B0913">
        <w:rPr>
          <w:sz w:val="22"/>
          <w:szCs w:val="22"/>
        </w:rPr>
        <w:t xml:space="preserve"> to </w:t>
      </w:r>
      <w:r w:rsidR="00901754">
        <w:rPr>
          <w:sz w:val="22"/>
          <w:szCs w:val="22"/>
        </w:rPr>
        <w:t>growth, an</w:t>
      </w:r>
      <w:r w:rsidRPr="005B0913">
        <w:rPr>
          <w:sz w:val="22"/>
          <w:szCs w:val="22"/>
        </w:rPr>
        <w:t xml:space="preserve"> interest r</w:t>
      </w:r>
      <w:r w:rsidR="00901754">
        <w:rPr>
          <w:sz w:val="22"/>
          <w:szCs w:val="22"/>
        </w:rPr>
        <w:t xml:space="preserve">ate cut </w:t>
      </w:r>
      <w:r w:rsidR="004B22CC">
        <w:rPr>
          <w:sz w:val="22"/>
          <w:szCs w:val="22"/>
        </w:rPr>
        <w:t>would support</w:t>
      </w:r>
      <w:r w:rsidR="00901754">
        <w:rPr>
          <w:sz w:val="22"/>
          <w:szCs w:val="22"/>
        </w:rPr>
        <w:t xml:space="preserve"> domestic demand and</w:t>
      </w:r>
      <w:r w:rsidRPr="005B0913">
        <w:rPr>
          <w:sz w:val="22"/>
          <w:szCs w:val="22"/>
        </w:rPr>
        <w:t xml:space="preserve"> </w:t>
      </w:r>
      <w:r w:rsidR="00901754">
        <w:rPr>
          <w:sz w:val="22"/>
          <w:szCs w:val="22"/>
        </w:rPr>
        <w:t>unless there are</w:t>
      </w:r>
      <w:r w:rsidRPr="005B0913">
        <w:rPr>
          <w:sz w:val="22"/>
          <w:szCs w:val="22"/>
        </w:rPr>
        <w:t xml:space="preserve"> major fluctuations in </w:t>
      </w:r>
      <w:r w:rsidR="00901754">
        <w:rPr>
          <w:sz w:val="22"/>
          <w:szCs w:val="22"/>
        </w:rPr>
        <w:t xml:space="preserve">the </w:t>
      </w:r>
      <w:r w:rsidRPr="005B0913">
        <w:rPr>
          <w:sz w:val="22"/>
          <w:szCs w:val="22"/>
        </w:rPr>
        <w:t>exchange rate, limited interest rate</w:t>
      </w:r>
      <w:r w:rsidR="009F5032" w:rsidRPr="005B0913">
        <w:rPr>
          <w:sz w:val="22"/>
          <w:szCs w:val="22"/>
        </w:rPr>
        <w:t xml:space="preserve"> cut</w:t>
      </w:r>
      <w:r w:rsidR="004B22CC">
        <w:rPr>
          <w:sz w:val="22"/>
          <w:szCs w:val="22"/>
        </w:rPr>
        <w:t>s</w:t>
      </w:r>
      <w:r w:rsidRPr="005B0913">
        <w:rPr>
          <w:sz w:val="22"/>
          <w:szCs w:val="22"/>
        </w:rPr>
        <w:t xml:space="preserve"> may not have</w:t>
      </w:r>
      <w:r w:rsidR="002C0560">
        <w:rPr>
          <w:sz w:val="22"/>
          <w:szCs w:val="22"/>
        </w:rPr>
        <w:t xml:space="preserve"> a negative effect on inflation, although it certainly would remain well </w:t>
      </w:r>
      <w:r w:rsidR="002C0560">
        <w:rPr>
          <w:sz w:val="22"/>
          <w:szCs w:val="22"/>
        </w:rPr>
        <w:lastRenderedPageBreak/>
        <w:t>above the target.</w:t>
      </w:r>
      <w:r w:rsidRPr="005B0913">
        <w:rPr>
          <w:sz w:val="22"/>
          <w:szCs w:val="22"/>
        </w:rPr>
        <w:t xml:space="preserve"> </w:t>
      </w:r>
      <w:r w:rsidR="004B22CC">
        <w:rPr>
          <w:sz w:val="22"/>
          <w:szCs w:val="22"/>
        </w:rPr>
        <w:t>Furthermore,</w:t>
      </w:r>
      <w:r w:rsidRPr="005B0913">
        <w:rPr>
          <w:sz w:val="22"/>
          <w:szCs w:val="22"/>
        </w:rPr>
        <w:t xml:space="preserve"> if </w:t>
      </w:r>
      <w:r w:rsidR="004B22CC">
        <w:rPr>
          <w:sz w:val="22"/>
          <w:szCs w:val="22"/>
        </w:rPr>
        <w:t>the ECB</w:t>
      </w:r>
      <w:r w:rsidRPr="005B0913">
        <w:rPr>
          <w:sz w:val="22"/>
          <w:szCs w:val="22"/>
        </w:rPr>
        <w:t xml:space="preserve"> loosen</w:t>
      </w:r>
      <w:r w:rsidR="004B22CC">
        <w:rPr>
          <w:sz w:val="22"/>
          <w:szCs w:val="22"/>
        </w:rPr>
        <w:t>s</w:t>
      </w:r>
      <w:r w:rsidRPr="005B0913">
        <w:rPr>
          <w:sz w:val="22"/>
          <w:szCs w:val="22"/>
        </w:rPr>
        <w:t xml:space="preserve"> monetary policy</w:t>
      </w:r>
      <w:r w:rsidR="004B22CC">
        <w:rPr>
          <w:sz w:val="22"/>
          <w:szCs w:val="22"/>
        </w:rPr>
        <w:t xml:space="preserve"> beyond expectations for a long period</w:t>
      </w:r>
      <w:r w:rsidRPr="005B0913">
        <w:rPr>
          <w:sz w:val="22"/>
          <w:szCs w:val="22"/>
        </w:rPr>
        <w:t xml:space="preserve">, it </w:t>
      </w:r>
      <w:r w:rsidR="00840650">
        <w:rPr>
          <w:sz w:val="22"/>
          <w:szCs w:val="22"/>
        </w:rPr>
        <w:t>might</w:t>
      </w:r>
      <w:r w:rsidR="009F5032" w:rsidRPr="005B0913">
        <w:rPr>
          <w:sz w:val="22"/>
          <w:szCs w:val="22"/>
        </w:rPr>
        <w:t xml:space="preserve"> somewhat offset the negative effect of </w:t>
      </w:r>
      <w:r w:rsidR="00901754">
        <w:rPr>
          <w:sz w:val="22"/>
          <w:szCs w:val="22"/>
        </w:rPr>
        <w:t xml:space="preserve">expected </w:t>
      </w:r>
      <w:r w:rsidR="009F5032" w:rsidRPr="005B0913">
        <w:rPr>
          <w:sz w:val="22"/>
          <w:szCs w:val="22"/>
        </w:rPr>
        <w:t>US</w:t>
      </w:r>
      <w:r w:rsidR="004B22CC">
        <w:rPr>
          <w:sz w:val="22"/>
          <w:szCs w:val="22"/>
        </w:rPr>
        <w:t xml:space="preserve"> tightening next year</w:t>
      </w:r>
      <w:r w:rsidR="009F5032" w:rsidRPr="005B0913">
        <w:rPr>
          <w:sz w:val="22"/>
          <w:szCs w:val="22"/>
        </w:rPr>
        <w:t>.</w:t>
      </w:r>
      <w:r w:rsidRPr="005B0913">
        <w:rPr>
          <w:sz w:val="22"/>
          <w:szCs w:val="22"/>
        </w:rPr>
        <w:t xml:space="preserve"> </w:t>
      </w:r>
    </w:p>
    <w:p w:rsidR="004B22CC" w:rsidRPr="004C090D" w:rsidRDefault="004B22CC" w:rsidP="00FD3A91">
      <w:pPr>
        <w:spacing w:line="360" w:lineRule="auto"/>
        <w:ind w:left="-360" w:right="42"/>
        <w:jc w:val="both"/>
        <w:rPr>
          <w:sz w:val="22"/>
          <w:szCs w:val="22"/>
        </w:rPr>
      </w:pPr>
    </w:p>
    <w:p w:rsidR="00FD3A91" w:rsidRPr="00F85D4C" w:rsidRDefault="005D4CD5" w:rsidP="00126490">
      <w:pPr>
        <w:spacing w:line="360" w:lineRule="auto"/>
        <w:ind w:left="-360" w:right="42"/>
        <w:jc w:val="center"/>
        <w:rPr>
          <w:b/>
          <w:sz w:val="22"/>
          <w:szCs w:val="22"/>
        </w:rPr>
      </w:pPr>
      <w:r w:rsidRPr="00F85D4C">
        <w:rPr>
          <w:b/>
          <w:sz w:val="22"/>
          <w:szCs w:val="22"/>
        </w:rPr>
        <w:t xml:space="preserve">Private consumption </w:t>
      </w:r>
      <w:r w:rsidR="002D7D04">
        <w:rPr>
          <w:b/>
          <w:sz w:val="22"/>
          <w:szCs w:val="22"/>
        </w:rPr>
        <w:t>decreased</w:t>
      </w:r>
    </w:p>
    <w:p w:rsidR="00212A2E" w:rsidRPr="00F85D4C" w:rsidRDefault="00212A2E" w:rsidP="00FD3A91">
      <w:pPr>
        <w:spacing w:line="360" w:lineRule="auto"/>
        <w:ind w:left="-360" w:right="42"/>
        <w:jc w:val="both"/>
        <w:rPr>
          <w:sz w:val="22"/>
          <w:szCs w:val="22"/>
        </w:rPr>
      </w:pPr>
    </w:p>
    <w:p w:rsidR="00212A2E" w:rsidRPr="00F85D4C" w:rsidRDefault="00212A2E" w:rsidP="00FD3A91">
      <w:pPr>
        <w:spacing w:line="360" w:lineRule="auto"/>
        <w:ind w:left="-360" w:right="42"/>
        <w:jc w:val="both"/>
        <w:rPr>
          <w:sz w:val="22"/>
          <w:szCs w:val="22"/>
        </w:rPr>
      </w:pPr>
      <w:r w:rsidRPr="00F85D4C">
        <w:rPr>
          <w:sz w:val="22"/>
          <w:szCs w:val="22"/>
        </w:rPr>
        <w:t xml:space="preserve">Most of </w:t>
      </w:r>
      <w:r w:rsidR="00F85D4C" w:rsidRPr="00F85D4C">
        <w:rPr>
          <w:sz w:val="22"/>
          <w:szCs w:val="22"/>
        </w:rPr>
        <w:t xml:space="preserve">the </w:t>
      </w:r>
      <w:r w:rsidRPr="00F85D4C">
        <w:rPr>
          <w:sz w:val="22"/>
          <w:szCs w:val="22"/>
        </w:rPr>
        <w:t xml:space="preserve">indicators that help us to forecast the private consumption expenditure fell in the first quarter of 2014 from the last quarter of 2013. Consumption goods imports and durable goods </w:t>
      </w:r>
      <w:r w:rsidR="00F73B17" w:rsidRPr="00F85D4C">
        <w:rPr>
          <w:sz w:val="22"/>
          <w:szCs w:val="22"/>
        </w:rPr>
        <w:t>production</w:t>
      </w:r>
      <w:r w:rsidRPr="00F85D4C">
        <w:rPr>
          <w:sz w:val="22"/>
          <w:szCs w:val="22"/>
        </w:rPr>
        <w:t xml:space="preserve"> fell by 8.2 percent and 0.2 percent, respectively</w:t>
      </w:r>
      <w:r w:rsidR="00AA219B">
        <w:rPr>
          <w:sz w:val="22"/>
          <w:szCs w:val="22"/>
        </w:rPr>
        <w:t xml:space="preserve">. </w:t>
      </w:r>
      <w:r w:rsidRPr="00F85D4C">
        <w:rPr>
          <w:sz w:val="22"/>
          <w:szCs w:val="22"/>
        </w:rPr>
        <w:t xml:space="preserve">In the same period, consumer </w:t>
      </w:r>
      <w:r w:rsidR="00AA219B">
        <w:rPr>
          <w:sz w:val="22"/>
          <w:szCs w:val="22"/>
        </w:rPr>
        <w:t>confidence</w:t>
      </w:r>
      <w:r w:rsidRPr="00F85D4C">
        <w:rPr>
          <w:sz w:val="22"/>
          <w:szCs w:val="22"/>
        </w:rPr>
        <w:t xml:space="preserve"> index declined by 6.8 percent.</w:t>
      </w:r>
      <w:r w:rsidR="00F73B17" w:rsidRPr="00F85D4C">
        <w:rPr>
          <w:sz w:val="22"/>
          <w:szCs w:val="22"/>
        </w:rPr>
        <w:t xml:space="preserve"> On the other hand, special consumption tax income and non-durable goods production increased by 1.1 percent and 2.5 percent, respectively</w:t>
      </w:r>
      <w:r w:rsidR="00840650">
        <w:rPr>
          <w:sz w:val="22"/>
          <w:szCs w:val="22"/>
        </w:rPr>
        <w:t>,</w:t>
      </w:r>
      <w:r w:rsidR="00F73B17" w:rsidRPr="00F85D4C">
        <w:rPr>
          <w:sz w:val="22"/>
          <w:szCs w:val="22"/>
        </w:rPr>
        <w:t xml:space="preserve"> in the first quarter. </w:t>
      </w:r>
      <w:r w:rsidR="005D4CD5" w:rsidRPr="00F85D4C">
        <w:rPr>
          <w:sz w:val="22"/>
          <w:szCs w:val="22"/>
        </w:rPr>
        <w:t>According to these figures, we expect private consumption expe</w:t>
      </w:r>
      <w:r w:rsidR="00B44D8D">
        <w:rPr>
          <w:sz w:val="22"/>
          <w:szCs w:val="22"/>
        </w:rPr>
        <w:t xml:space="preserve">nditure to subtract from </w:t>
      </w:r>
      <w:r w:rsidR="005D4CD5" w:rsidRPr="00F85D4C">
        <w:rPr>
          <w:sz w:val="22"/>
          <w:szCs w:val="22"/>
        </w:rPr>
        <w:t>GDP</w:t>
      </w:r>
      <w:r w:rsidR="003F0632">
        <w:rPr>
          <w:sz w:val="22"/>
          <w:szCs w:val="22"/>
        </w:rPr>
        <w:t xml:space="preserve"> growth</w:t>
      </w:r>
      <w:r w:rsidR="005D4CD5" w:rsidRPr="00F85D4C">
        <w:rPr>
          <w:sz w:val="22"/>
          <w:szCs w:val="22"/>
        </w:rPr>
        <w:t>.</w:t>
      </w:r>
      <w:r w:rsidR="00F73B17" w:rsidRPr="00F85D4C">
        <w:rPr>
          <w:sz w:val="22"/>
          <w:szCs w:val="22"/>
        </w:rPr>
        <w:t xml:space="preserve">  </w:t>
      </w:r>
    </w:p>
    <w:p w:rsidR="00212A2E" w:rsidRPr="00F85D4C" w:rsidRDefault="00212A2E" w:rsidP="00FD3A91">
      <w:pPr>
        <w:spacing w:line="360" w:lineRule="auto"/>
        <w:ind w:left="-360" w:right="42"/>
        <w:jc w:val="both"/>
        <w:rPr>
          <w:sz w:val="22"/>
          <w:szCs w:val="22"/>
        </w:rPr>
      </w:pPr>
    </w:p>
    <w:p w:rsidR="00FD3A91" w:rsidRPr="00F85D4C" w:rsidRDefault="005D4CD5" w:rsidP="00FD3A91">
      <w:pPr>
        <w:spacing w:line="360" w:lineRule="auto"/>
        <w:ind w:left="-360" w:right="42"/>
        <w:jc w:val="both"/>
        <w:rPr>
          <w:sz w:val="22"/>
          <w:szCs w:val="22"/>
        </w:rPr>
      </w:pPr>
      <w:r w:rsidRPr="00F85D4C">
        <w:rPr>
          <w:sz w:val="22"/>
          <w:szCs w:val="22"/>
        </w:rPr>
        <w:t>Even though consumer confidence index fell in the first quarter from the previous one, in March and April, it increased by 5.4 percent and 6.7 percent</w:t>
      </w:r>
      <w:r w:rsidR="000E75BF">
        <w:rPr>
          <w:sz w:val="22"/>
          <w:szCs w:val="22"/>
        </w:rPr>
        <w:t>,</w:t>
      </w:r>
      <w:r w:rsidRPr="00F85D4C">
        <w:rPr>
          <w:sz w:val="22"/>
          <w:szCs w:val="22"/>
        </w:rPr>
        <w:t xml:space="preserve"> respectively.</w:t>
      </w:r>
      <w:r w:rsidR="00904A5E" w:rsidRPr="00F85D4C">
        <w:rPr>
          <w:sz w:val="22"/>
          <w:szCs w:val="22"/>
        </w:rPr>
        <w:t xml:space="preserve"> These increases may imply that private consumption expenditure will recover in the second quarter.</w:t>
      </w:r>
    </w:p>
    <w:p w:rsidR="005D4CD5" w:rsidRPr="00126490" w:rsidRDefault="005D4CD5" w:rsidP="00FD3A91">
      <w:pPr>
        <w:spacing w:line="360" w:lineRule="auto"/>
        <w:ind w:left="-360" w:right="42"/>
        <w:jc w:val="both"/>
        <w:rPr>
          <w:sz w:val="22"/>
          <w:szCs w:val="22"/>
          <w:highlight w:val="yellow"/>
        </w:rPr>
      </w:pPr>
    </w:p>
    <w:p w:rsidR="00FD3A91" w:rsidRPr="00F85D4C" w:rsidRDefault="002D7D04" w:rsidP="00FD3A91">
      <w:pPr>
        <w:spacing w:line="360" w:lineRule="auto"/>
        <w:ind w:left="-360" w:right="42"/>
        <w:jc w:val="center"/>
        <w:rPr>
          <w:b/>
          <w:bCs/>
          <w:sz w:val="22"/>
          <w:szCs w:val="22"/>
        </w:rPr>
      </w:pPr>
      <w:r>
        <w:rPr>
          <w:b/>
          <w:bCs/>
          <w:sz w:val="22"/>
          <w:szCs w:val="22"/>
        </w:rPr>
        <w:t>Weak p</w:t>
      </w:r>
      <w:r w:rsidR="00371EF6" w:rsidRPr="00F85D4C">
        <w:rPr>
          <w:b/>
          <w:bCs/>
          <w:sz w:val="22"/>
          <w:szCs w:val="22"/>
        </w:rPr>
        <w:t xml:space="preserve">rivate investment </w:t>
      </w:r>
    </w:p>
    <w:p w:rsidR="00FD3A91" w:rsidRPr="00F85D4C" w:rsidRDefault="00FD3A91" w:rsidP="00FD3A91">
      <w:pPr>
        <w:spacing w:line="360" w:lineRule="auto"/>
        <w:ind w:left="-360" w:right="42"/>
        <w:jc w:val="both"/>
        <w:rPr>
          <w:sz w:val="22"/>
          <w:szCs w:val="22"/>
        </w:rPr>
      </w:pPr>
    </w:p>
    <w:p w:rsidR="00371EF6" w:rsidRPr="00F85D4C" w:rsidRDefault="002D7D04" w:rsidP="00FD3A91">
      <w:pPr>
        <w:spacing w:line="360" w:lineRule="auto"/>
        <w:ind w:left="-360" w:right="42"/>
        <w:jc w:val="both"/>
        <w:rPr>
          <w:sz w:val="22"/>
          <w:szCs w:val="22"/>
        </w:rPr>
      </w:pPr>
      <w:r>
        <w:rPr>
          <w:sz w:val="22"/>
          <w:szCs w:val="22"/>
        </w:rPr>
        <w:t>Private investment seems to have</w:t>
      </w:r>
      <w:r w:rsidR="00371EF6" w:rsidRPr="00F85D4C">
        <w:rPr>
          <w:sz w:val="22"/>
          <w:szCs w:val="22"/>
        </w:rPr>
        <w:t xml:space="preserve"> decline</w:t>
      </w:r>
      <w:r>
        <w:rPr>
          <w:sz w:val="22"/>
          <w:szCs w:val="22"/>
        </w:rPr>
        <w:t>d</w:t>
      </w:r>
      <w:r w:rsidR="00371EF6" w:rsidRPr="00F85D4C">
        <w:rPr>
          <w:sz w:val="22"/>
          <w:szCs w:val="22"/>
        </w:rPr>
        <w:t xml:space="preserve"> in the first quarter. </w:t>
      </w:r>
      <w:r>
        <w:rPr>
          <w:sz w:val="22"/>
          <w:szCs w:val="22"/>
        </w:rPr>
        <w:t>F</w:t>
      </w:r>
      <w:r w:rsidR="00371EF6" w:rsidRPr="00F85D4C">
        <w:rPr>
          <w:sz w:val="22"/>
          <w:szCs w:val="22"/>
        </w:rPr>
        <w:t>rom the previous quarter, investment goods imports and investment goods production declined by 2.4 percent and 2.1 percent, respectively. In the same period, real sector confidence index fell by 5.6 percent.</w:t>
      </w:r>
      <w:r w:rsidR="0025612D" w:rsidRPr="00F85D4C">
        <w:rPr>
          <w:sz w:val="22"/>
          <w:szCs w:val="22"/>
        </w:rPr>
        <w:t xml:space="preserve"> </w:t>
      </w:r>
      <w:r>
        <w:rPr>
          <w:sz w:val="22"/>
          <w:szCs w:val="22"/>
        </w:rPr>
        <w:t>W</w:t>
      </w:r>
      <w:r w:rsidR="0025612D" w:rsidRPr="00F85D4C">
        <w:rPr>
          <w:sz w:val="22"/>
          <w:szCs w:val="22"/>
        </w:rPr>
        <w:t xml:space="preserve">e expect private investment expenditure to subtract </w:t>
      </w:r>
      <w:r w:rsidR="0025612D" w:rsidRPr="00F85D4C">
        <w:rPr>
          <w:sz w:val="22"/>
          <w:szCs w:val="22"/>
        </w:rPr>
        <w:lastRenderedPageBreak/>
        <w:t>from the real GDP growth in the first quarter of 2014.</w:t>
      </w:r>
    </w:p>
    <w:p w:rsidR="00B1164D" w:rsidRPr="00126490" w:rsidRDefault="00B1164D" w:rsidP="00FD3A91">
      <w:pPr>
        <w:spacing w:line="360" w:lineRule="auto"/>
        <w:ind w:left="-360" w:right="42"/>
        <w:jc w:val="both"/>
        <w:rPr>
          <w:sz w:val="22"/>
          <w:szCs w:val="22"/>
          <w:highlight w:val="yellow"/>
        </w:rPr>
      </w:pPr>
    </w:p>
    <w:p w:rsidR="002F72AA" w:rsidRPr="00F85D4C" w:rsidRDefault="002D7D04" w:rsidP="00904A5E">
      <w:pPr>
        <w:spacing w:line="360" w:lineRule="auto"/>
        <w:ind w:left="-360" w:right="42"/>
        <w:jc w:val="both"/>
        <w:rPr>
          <w:sz w:val="22"/>
          <w:szCs w:val="22"/>
        </w:rPr>
      </w:pPr>
      <w:r>
        <w:rPr>
          <w:sz w:val="22"/>
          <w:szCs w:val="22"/>
        </w:rPr>
        <w:t>The r</w:t>
      </w:r>
      <w:r w:rsidR="00904A5E" w:rsidRPr="00F85D4C">
        <w:rPr>
          <w:sz w:val="22"/>
          <w:szCs w:val="22"/>
        </w:rPr>
        <w:t>eal sector confidence index</w:t>
      </w:r>
      <w:r w:rsidR="001E318F">
        <w:rPr>
          <w:sz w:val="22"/>
          <w:szCs w:val="22"/>
        </w:rPr>
        <w:t>, up three consecutive months since its large fall in January, increased</w:t>
      </w:r>
      <w:r w:rsidR="001E318F" w:rsidRPr="00F85D4C">
        <w:rPr>
          <w:sz w:val="22"/>
          <w:szCs w:val="22"/>
        </w:rPr>
        <w:t xml:space="preserve"> 1.2 percent</w:t>
      </w:r>
      <w:r>
        <w:rPr>
          <w:sz w:val="22"/>
          <w:szCs w:val="22"/>
        </w:rPr>
        <w:t xml:space="preserve"> in April, </w:t>
      </w:r>
      <w:r w:rsidR="00904A5E" w:rsidRPr="00F85D4C">
        <w:rPr>
          <w:sz w:val="22"/>
          <w:szCs w:val="22"/>
        </w:rPr>
        <w:t xml:space="preserve">a </w:t>
      </w:r>
      <w:r w:rsidR="001E318F">
        <w:rPr>
          <w:sz w:val="22"/>
          <w:szCs w:val="22"/>
        </w:rPr>
        <w:t>positive</w:t>
      </w:r>
      <w:r w:rsidR="00904A5E" w:rsidRPr="00F85D4C">
        <w:rPr>
          <w:sz w:val="22"/>
          <w:szCs w:val="22"/>
        </w:rPr>
        <w:t xml:space="preserve"> signal for the second quarter private investment expenditure.</w:t>
      </w:r>
    </w:p>
    <w:p w:rsidR="00FD3A91" w:rsidRPr="00B638BF" w:rsidRDefault="00FD3A91" w:rsidP="00FD3A91">
      <w:pPr>
        <w:spacing w:line="360" w:lineRule="auto"/>
        <w:ind w:left="-360" w:right="43"/>
        <w:jc w:val="both"/>
        <w:rPr>
          <w:bCs/>
          <w:sz w:val="22"/>
          <w:szCs w:val="22"/>
        </w:rPr>
      </w:pPr>
    </w:p>
    <w:p w:rsidR="00FD3A91" w:rsidRPr="00B638BF" w:rsidRDefault="00A52A30" w:rsidP="00FD3A91">
      <w:pPr>
        <w:spacing w:line="360" w:lineRule="auto"/>
        <w:ind w:left="-360" w:right="43"/>
        <w:jc w:val="center"/>
        <w:rPr>
          <w:b/>
          <w:bCs/>
          <w:sz w:val="22"/>
          <w:szCs w:val="22"/>
        </w:rPr>
      </w:pPr>
      <w:r w:rsidRPr="00B638BF">
        <w:rPr>
          <w:b/>
          <w:bCs/>
          <w:sz w:val="22"/>
          <w:szCs w:val="22"/>
        </w:rPr>
        <w:t>The main engine of the growth is exports</w:t>
      </w:r>
      <w:r w:rsidR="00FD3A91" w:rsidRPr="00B638BF">
        <w:rPr>
          <w:b/>
          <w:bCs/>
          <w:sz w:val="22"/>
          <w:szCs w:val="22"/>
        </w:rPr>
        <w:br/>
      </w:r>
    </w:p>
    <w:p w:rsidR="00D654A2" w:rsidRPr="00B638BF" w:rsidRDefault="00FD3A91" w:rsidP="00D654A2">
      <w:pPr>
        <w:spacing w:line="360" w:lineRule="auto"/>
        <w:ind w:left="-360" w:right="43"/>
        <w:jc w:val="both"/>
        <w:rPr>
          <w:sz w:val="22"/>
          <w:szCs w:val="22"/>
        </w:rPr>
      </w:pPr>
      <w:r w:rsidRPr="00B638BF">
        <w:rPr>
          <w:sz w:val="22"/>
          <w:szCs w:val="22"/>
        </w:rPr>
        <w:t xml:space="preserve">Figure 2 shows monthly changes of seasonally adjusted import and export volume indices. </w:t>
      </w:r>
      <w:r w:rsidR="006A157C">
        <w:rPr>
          <w:sz w:val="22"/>
          <w:szCs w:val="22"/>
        </w:rPr>
        <w:t xml:space="preserve">An emerging gap between the two indices is evident in the figure, implying a fast improving trade deficit. Indeed, </w:t>
      </w:r>
      <w:r w:rsidRPr="00B638BF">
        <w:rPr>
          <w:sz w:val="22"/>
          <w:szCs w:val="22"/>
        </w:rPr>
        <w:t xml:space="preserve">from the previous </w:t>
      </w:r>
      <w:r w:rsidR="00497C25" w:rsidRPr="00B638BF">
        <w:rPr>
          <w:sz w:val="22"/>
          <w:szCs w:val="22"/>
        </w:rPr>
        <w:t>quarter</w:t>
      </w:r>
      <w:r w:rsidRPr="00B638BF">
        <w:rPr>
          <w:sz w:val="22"/>
          <w:szCs w:val="22"/>
        </w:rPr>
        <w:t>, ex</w:t>
      </w:r>
      <w:r w:rsidR="00505B95" w:rsidRPr="00B638BF">
        <w:rPr>
          <w:sz w:val="22"/>
          <w:szCs w:val="22"/>
        </w:rPr>
        <w:t>port volume index increased by 4</w:t>
      </w:r>
      <w:r w:rsidRPr="00B638BF">
        <w:rPr>
          <w:sz w:val="22"/>
          <w:szCs w:val="22"/>
        </w:rPr>
        <w:t xml:space="preserve">.8 percent, and import volume index declined by </w:t>
      </w:r>
      <w:r w:rsidR="00505B95" w:rsidRPr="00B638BF">
        <w:rPr>
          <w:sz w:val="22"/>
          <w:szCs w:val="22"/>
        </w:rPr>
        <w:t>4.1</w:t>
      </w:r>
      <w:r w:rsidRPr="00B638BF">
        <w:rPr>
          <w:sz w:val="22"/>
          <w:szCs w:val="22"/>
        </w:rPr>
        <w:t xml:space="preserve"> percent. </w:t>
      </w:r>
      <w:r w:rsidR="00F66313">
        <w:rPr>
          <w:sz w:val="22"/>
          <w:szCs w:val="22"/>
        </w:rPr>
        <w:t xml:space="preserve">The </w:t>
      </w:r>
      <w:r w:rsidR="00840650">
        <w:rPr>
          <w:sz w:val="22"/>
          <w:szCs w:val="22"/>
        </w:rPr>
        <w:t>deficit</w:t>
      </w:r>
      <w:r w:rsidR="00F66313">
        <w:rPr>
          <w:sz w:val="22"/>
          <w:szCs w:val="22"/>
        </w:rPr>
        <w:t xml:space="preserve"> decreased less dramatically when gold trade is excluded.</w:t>
      </w:r>
      <w:r w:rsidR="00B91C8D">
        <w:rPr>
          <w:sz w:val="22"/>
          <w:szCs w:val="22"/>
        </w:rPr>
        <w:t xml:space="preserve"> </w:t>
      </w:r>
      <w:r w:rsidR="00F66313">
        <w:rPr>
          <w:sz w:val="22"/>
          <w:szCs w:val="22"/>
        </w:rPr>
        <w:t>G</w:t>
      </w:r>
      <w:r w:rsidR="00B91C8D">
        <w:rPr>
          <w:sz w:val="22"/>
          <w:szCs w:val="22"/>
        </w:rPr>
        <w:t>old-</w:t>
      </w:r>
      <w:r w:rsidR="00505B95" w:rsidRPr="00B638BF">
        <w:rPr>
          <w:sz w:val="22"/>
          <w:szCs w:val="22"/>
        </w:rPr>
        <w:t xml:space="preserve">excluded exports increased by 1.5 percent and </w:t>
      </w:r>
      <w:r w:rsidR="00B91C8D">
        <w:rPr>
          <w:sz w:val="22"/>
          <w:szCs w:val="22"/>
        </w:rPr>
        <w:t>gold-</w:t>
      </w:r>
      <w:r w:rsidR="00B91C8D" w:rsidRPr="00B638BF">
        <w:rPr>
          <w:sz w:val="22"/>
          <w:szCs w:val="22"/>
        </w:rPr>
        <w:t xml:space="preserve">excluded </w:t>
      </w:r>
      <w:r w:rsidR="00B91C8D">
        <w:rPr>
          <w:sz w:val="22"/>
          <w:szCs w:val="22"/>
        </w:rPr>
        <w:t xml:space="preserve">imports </w:t>
      </w:r>
      <w:r w:rsidR="0030689B">
        <w:rPr>
          <w:sz w:val="22"/>
          <w:szCs w:val="22"/>
        </w:rPr>
        <w:t xml:space="preserve">declined by </w:t>
      </w:r>
      <w:r w:rsidR="00B91C8D">
        <w:rPr>
          <w:sz w:val="22"/>
          <w:szCs w:val="22"/>
        </w:rPr>
        <w:t>0.9 percent</w:t>
      </w:r>
      <w:r w:rsidR="00505B95" w:rsidRPr="00B638BF">
        <w:rPr>
          <w:sz w:val="22"/>
          <w:szCs w:val="22"/>
        </w:rPr>
        <w:t>.</w:t>
      </w:r>
      <w:r w:rsidR="007C4271" w:rsidRPr="00B638BF">
        <w:rPr>
          <w:sz w:val="22"/>
          <w:szCs w:val="22"/>
        </w:rPr>
        <w:t xml:space="preserve"> </w:t>
      </w:r>
      <w:r w:rsidR="000C6B6C">
        <w:rPr>
          <w:sz w:val="22"/>
          <w:szCs w:val="22"/>
        </w:rPr>
        <w:t>W</w:t>
      </w:r>
      <w:r w:rsidRPr="00B638BF">
        <w:rPr>
          <w:sz w:val="22"/>
          <w:szCs w:val="22"/>
        </w:rPr>
        <w:t xml:space="preserve">e expect net exports to </w:t>
      </w:r>
      <w:r w:rsidR="007C4271" w:rsidRPr="00B638BF">
        <w:rPr>
          <w:sz w:val="22"/>
          <w:szCs w:val="22"/>
        </w:rPr>
        <w:t xml:space="preserve">be the main engine of </w:t>
      </w:r>
      <w:r w:rsidR="003A01BC">
        <w:rPr>
          <w:sz w:val="22"/>
          <w:szCs w:val="22"/>
        </w:rPr>
        <w:t>g</w:t>
      </w:r>
      <w:r w:rsidR="007C4271" w:rsidRPr="00B638BF">
        <w:rPr>
          <w:sz w:val="22"/>
          <w:szCs w:val="22"/>
        </w:rPr>
        <w:t>rowth</w:t>
      </w:r>
      <w:r w:rsidR="00D654A2" w:rsidRPr="00B638BF">
        <w:rPr>
          <w:sz w:val="22"/>
          <w:szCs w:val="22"/>
        </w:rPr>
        <w:t xml:space="preserve"> in the first quarter</w:t>
      </w:r>
      <w:r w:rsidRPr="00B638BF">
        <w:rPr>
          <w:sz w:val="22"/>
          <w:szCs w:val="22"/>
        </w:rPr>
        <w:t>.</w:t>
      </w:r>
    </w:p>
    <w:p w:rsidR="00D654A2" w:rsidRPr="00126490" w:rsidRDefault="00D654A2" w:rsidP="00D654A2">
      <w:pPr>
        <w:spacing w:line="360" w:lineRule="auto"/>
        <w:ind w:left="-360" w:right="43"/>
        <w:jc w:val="both"/>
        <w:rPr>
          <w:sz w:val="22"/>
          <w:szCs w:val="22"/>
          <w:highlight w:val="yellow"/>
        </w:rPr>
      </w:pPr>
    </w:p>
    <w:p w:rsidR="00FD3A91" w:rsidRPr="00B638BF" w:rsidRDefault="004B5E13" w:rsidP="00D654A2">
      <w:pPr>
        <w:spacing w:line="360" w:lineRule="auto"/>
        <w:ind w:left="-360" w:right="43"/>
        <w:jc w:val="center"/>
        <w:rPr>
          <w:sz w:val="22"/>
          <w:szCs w:val="22"/>
        </w:rPr>
      </w:pPr>
      <w:r w:rsidRPr="00B638BF">
        <w:rPr>
          <w:b/>
          <w:bCs/>
          <w:sz w:val="22"/>
          <w:szCs w:val="22"/>
        </w:rPr>
        <w:t>The current account deficit continues to decline</w:t>
      </w:r>
    </w:p>
    <w:p w:rsidR="00FD3A91" w:rsidRPr="00B638BF" w:rsidRDefault="00FD3A91" w:rsidP="00FD3A91">
      <w:pPr>
        <w:spacing w:line="360" w:lineRule="auto"/>
        <w:ind w:left="-360" w:right="43"/>
        <w:jc w:val="center"/>
        <w:rPr>
          <w:b/>
          <w:bCs/>
          <w:sz w:val="22"/>
          <w:szCs w:val="22"/>
        </w:rPr>
      </w:pPr>
    </w:p>
    <w:p w:rsidR="00344278" w:rsidRDefault="00FD3A91" w:rsidP="00B638BF">
      <w:pPr>
        <w:spacing w:line="360" w:lineRule="auto"/>
        <w:ind w:left="-360" w:right="42"/>
        <w:jc w:val="both"/>
        <w:rPr>
          <w:sz w:val="22"/>
          <w:szCs w:val="22"/>
        </w:rPr>
      </w:pPr>
      <w:r w:rsidRPr="00B638BF">
        <w:rPr>
          <w:sz w:val="22"/>
          <w:szCs w:val="22"/>
        </w:rPr>
        <w:t xml:space="preserve">In </w:t>
      </w:r>
      <w:r w:rsidR="007031E0">
        <w:rPr>
          <w:sz w:val="22"/>
          <w:szCs w:val="22"/>
        </w:rPr>
        <w:t>March</w:t>
      </w:r>
      <w:r w:rsidRPr="00B638BF">
        <w:rPr>
          <w:sz w:val="22"/>
          <w:szCs w:val="22"/>
        </w:rPr>
        <w:t xml:space="preserve">, the current account deficit was </w:t>
      </w:r>
      <w:r w:rsidR="006E36E6" w:rsidRPr="00B638BF">
        <w:rPr>
          <w:sz w:val="22"/>
          <w:szCs w:val="22"/>
        </w:rPr>
        <w:t>$</w:t>
      </w:r>
      <w:r w:rsidR="004B5E13" w:rsidRPr="00B638BF">
        <w:rPr>
          <w:sz w:val="22"/>
          <w:szCs w:val="22"/>
        </w:rPr>
        <w:t>3.2 billion.</w:t>
      </w:r>
      <w:r w:rsidRPr="00B638BF">
        <w:rPr>
          <w:sz w:val="22"/>
          <w:szCs w:val="22"/>
        </w:rPr>
        <w:t xml:space="preserve"> In the same month of the previous year, the current account deficit was </w:t>
      </w:r>
      <w:r w:rsidR="006E36E6" w:rsidRPr="00B638BF">
        <w:rPr>
          <w:sz w:val="22"/>
          <w:szCs w:val="22"/>
        </w:rPr>
        <w:t>$</w:t>
      </w:r>
      <w:r w:rsidR="004B5E13" w:rsidRPr="00B638BF">
        <w:rPr>
          <w:sz w:val="22"/>
          <w:szCs w:val="22"/>
        </w:rPr>
        <w:t>5.6</w:t>
      </w:r>
      <w:r w:rsidRPr="00B638BF">
        <w:rPr>
          <w:sz w:val="22"/>
          <w:szCs w:val="22"/>
        </w:rPr>
        <w:t xml:space="preserve"> billion. The 12-month </w:t>
      </w:r>
      <w:r w:rsidR="00770B73" w:rsidRPr="00B638BF">
        <w:rPr>
          <w:sz w:val="22"/>
          <w:szCs w:val="22"/>
        </w:rPr>
        <w:t xml:space="preserve">rolling </w:t>
      </w:r>
      <w:r w:rsidRPr="00B638BF">
        <w:rPr>
          <w:sz w:val="22"/>
          <w:szCs w:val="22"/>
        </w:rPr>
        <w:t xml:space="preserve">current account deficit declined from </w:t>
      </w:r>
      <w:r w:rsidR="006E36E6" w:rsidRPr="00B638BF">
        <w:rPr>
          <w:sz w:val="22"/>
          <w:szCs w:val="22"/>
        </w:rPr>
        <w:t>$</w:t>
      </w:r>
      <w:r w:rsidR="004B5E13" w:rsidRPr="00B638BF">
        <w:rPr>
          <w:sz w:val="22"/>
          <w:szCs w:val="22"/>
        </w:rPr>
        <w:t>62.4</w:t>
      </w:r>
      <w:r w:rsidRPr="00B638BF">
        <w:rPr>
          <w:sz w:val="22"/>
          <w:szCs w:val="22"/>
        </w:rPr>
        <w:t xml:space="preserve"> billio</w:t>
      </w:r>
      <w:r w:rsidR="0035310C" w:rsidRPr="00B638BF">
        <w:rPr>
          <w:sz w:val="22"/>
          <w:szCs w:val="22"/>
        </w:rPr>
        <w:t xml:space="preserve">n to </w:t>
      </w:r>
      <w:r w:rsidR="006E36E6" w:rsidRPr="00B638BF">
        <w:rPr>
          <w:sz w:val="22"/>
          <w:szCs w:val="22"/>
        </w:rPr>
        <w:t>$</w:t>
      </w:r>
      <w:r w:rsidR="004B5E13" w:rsidRPr="00B638BF">
        <w:rPr>
          <w:sz w:val="22"/>
          <w:szCs w:val="22"/>
        </w:rPr>
        <w:t>59.9</w:t>
      </w:r>
      <w:r w:rsidR="006E36E6" w:rsidRPr="00B638BF">
        <w:rPr>
          <w:sz w:val="22"/>
          <w:szCs w:val="22"/>
        </w:rPr>
        <w:t xml:space="preserve"> billion, and gold-</w:t>
      </w:r>
      <w:r w:rsidRPr="00B638BF">
        <w:rPr>
          <w:sz w:val="22"/>
          <w:szCs w:val="22"/>
        </w:rPr>
        <w:t xml:space="preserve">excluded current account deficit fell from </w:t>
      </w:r>
      <w:r w:rsidR="006E36E6" w:rsidRPr="00B638BF">
        <w:rPr>
          <w:sz w:val="22"/>
          <w:szCs w:val="22"/>
        </w:rPr>
        <w:t>$</w:t>
      </w:r>
      <w:r w:rsidR="004B5E13" w:rsidRPr="00B638BF">
        <w:rPr>
          <w:sz w:val="22"/>
          <w:szCs w:val="22"/>
        </w:rPr>
        <w:t>51.8</w:t>
      </w:r>
      <w:r w:rsidR="006E36E6" w:rsidRPr="00B638BF">
        <w:rPr>
          <w:sz w:val="22"/>
          <w:szCs w:val="22"/>
        </w:rPr>
        <w:t xml:space="preserve"> billion</w:t>
      </w:r>
      <w:r w:rsidRPr="00B638BF">
        <w:rPr>
          <w:sz w:val="22"/>
          <w:szCs w:val="22"/>
        </w:rPr>
        <w:t xml:space="preserve"> to </w:t>
      </w:r>
      <w:r w:rsidR="006E36E6" w:rsidRPr="00B638BF">
        <w:rPr>
          <w:sz w:val="22"/>
          <w:szCs w:val="22"/>
        </w:rPr>
        <w:t>$</w:t>
      </w:r>
      <w:r w:rsidR="004B5E13" w:rsidRPr="00B638BF">
        <w:rPr>
          <w:sz w:val="22"/>
          <w:szCs w:val="22"/>
        </w:rPr>
        <w:t>51.2</w:t>
      </w:r>
      <w:r w:rsidRPr="00B638BF">
        <w:rPr>
          <w:sz w:val="22"/>
          <w:szCs w:val="22"/>
        </w:rPr>
        <w:t xml:space="preserve"> billion. </w:t>
      </w:r>
    </w:p>
    <w:p w:rsidR="00344278" w:rsidRDefault="00344278" w:rsidP="00B638BF">
      <w:pPr>
        <w:spacing w:line="360" w:lineRule="auto"/>
        <w:ind w:left="-360" w:right="42"/>
        <w:jc w:val="both"/>
        <w:rPr>
          <w:sz w:val="22"/>
          <w:szCs w:val="22"/>
        </w:rPr>
      </w:pPr>
    </w:p>
    <w:p w:rsidR="00F7696B" w:rsidRPr="0053729E" w:rsidRDefault="00617866" w:rsidP="00B638BF">
      <w:pPr>
        <w:spacing w:line="360" w:lineRule="auto"/>
        <w:ind w:left="-360" w:right="42"/>
        <w:jc w:val="both"/>
        <w:rPr>
          <w:sz w:val="22"/>
          <w:szCs w:val="22"/>
        </w:rPr>
        <w:sectPr w:rsidR="00F7696B" w:rsidRPr="0053729E" w:rsidSect="00523C58">
          <w:type w:val="continuous"/>
          <w:pgSz w:w="11906" w:h="16838"/>
          <w:pgMar w:top="1417" w:right="1417" w:bottom="1417" w:left="1417" w:header="708" w:footer="708" w:gutter="0"/>
          <w:cols w:num="2" w:space="708" w:equalWidth="0">
            <w:col w:w="4182" w:space="708"/>
            <w:col w:w="4182"/>
          </w:cols>
          <w:docGrid w:linePitch="360"/>
        </w:sectPr>
      </w:pPr>
      <w:r w:rsidRPr="00B638BF">
        <w:rPr>
          <w:sz w:val="22"/>
          <w:szCs w:val="22"/>
        </w:rPr>
        <w:t>We expect the current account deficit to GDP ratio</w:t>
      </w:r>
      <w:r w:rsidR="00344278">
        <w:rPr>
          <w:sz w:val="22"/>
          <w:szCs w:val="22"/>
        </w:rPr>
        <w:t>,</w:t>
      </w:r>
      <w:r w:rsidRPr="00B638BF">
        <w:rPr>
          <w:sz w:val="22"/>
          <w:szCs w:val="22"/>
        </w:rPr>
        <w:t xml:space="preserve"> which was 7.9 percent at the end of 2013</w:t>
      </w:r>
      <w:r w:rsidR="00344278">
        <w:rPr>
          <w:sz w:val="22"/>
          <w:szCs w:val="22"/>
        </w:rPr>
        <w:t>,</w:t>
      </w:r>
      <w:r w:rsidRPr="00B638BF">
        <w:rPr>
          <w:sz w:val="22"/>
          <w:szCs w:val="22"/>
        </w:rPr>
        <w:t xml:space="preserve"> to fall to 7.5 percent at the end of the first quarter. We expect the gold excluded current account </w:t>
      </w:r>
      <w:r w:rsidRPr="00B638BF">
        <w:rPr>
          <w:sz w:val="22"/>
          <w:szCs w:val="22"/>
        </w:rPr>
        <w:lastRenderedPageBreak/>
        <w:t xml:space="preserve">deficit which was 6.5 percent at the end of 2013 to </w:t>
      </w:r>
      <w:r w:rsidRPr="00B638BF">
        <w:rPr>
          <w:sz w:val="22"/>
          <w:szCs w:val="22"/>
        </w:rPr>
        <w:lastRenderedPageBreak/>
        <w:t>fall to 6.4 percent at the end of the first quarter.</w:t>
      </w:r>
    </w:p>
    <w:p w:rsidR="00695E7E" w:rsidRDefault="00695E7E" w:rsidP="00801493">
      <w:pPr>
        <w:spacing w:line="360" w:lineRule="auto"/>
        <w:ind w:right="42"/>
        <w:jc w:val="both"/>
        <w:rPr>
          <w:rFonts w:ascii="Arial" w:hAnsi="Arial" w:cs="Arial"/>
          <w:b/>
          <w:sz w:val="20"/>
          <w:szCs w:val="20"/>
        </w:rPr>
      </w:pPr>
    </w:p>
    <w:p w:rsidR="008C6E50" w:rsidRPr="00F7749B" w:rsidRDefault="00E823E8" w:rsidP="00801493">
      <w:pPr>
        <w:spacing w:line="360" w:lineRule="auto"/>
        <w:ind w:right="42"/>
        <w:jc w:val="both"/>
        <w:rPr>
          <w:sz w:val="22"/>
          <w:szCs w:val="22"/>
        </w:rPr>
      </w:pPr>
      <w:r w:rsidRPr="00F7749B">
        <w:rPr>
          <w:b/>
          <w:sz w:val="22"/>
          <w:szCs w:val="22"/>
        </w:rPr>
        <w:t>Table</w:t>
      </w:r>
      <w:r w:rsidR="00451918" w:rsidRPr="00F7749B">
        <w:rPr>
          <w:b/>
          <w:sz w:val="22"/>
          <w:szCs w:val="22"/>
        </w:rPr>
        <w:t xml:space="preserve"> 2: </w:t>
      </w:r>
      <w:r w:rsidRPr="00F7749B">
        <w:rPr>
          <w:b/>
          <w:sz w:val="22"/>
          <w:szCs w:val="22"/>
        </w:rPr>
        <w:t xml:space="preserve">Monthly and quarterly changes of Betam’s selected indicators (real </w:t>
      </w:r>
      <w:r w:rsidR="00455777" w:rsidRPr="00F7749B">
        <w:rPr>
          <w:b/>
          <w:sz w:val="22"/>
          <w:szCs w:val="22"/>
        </w:rPr>
        <w:t>and</w:t>
      </w:r>
      <w:r w:rsidR="000219C0">
        <w:rPr>
          <w:b/>
          <w:sz w:val="22"/>
          <w:szCs w:val="22"/>
        </w:rPr>
        <w:t xml:space="preserve"> </w:t>
      </w:r>
      <w:r w:rsidRPr="00F7749B">
        <w:rPr>
          <w:b/>
          <w:sz w:val="22"/>
          <w:szCs w:val="22"/>
        </w:rPr>
        <w:t>sa</w:t>
      </w:r>
      <w:r w:rsidR="008C6E50" w:rsidRPr="00F7749B">
        <w:rPr>
          <w:b/>
          <w:sz w:val="22"/>
          <w:szCs w:val="22"/>
        </w:rPr>
        <w:t>)</w:t>
      </w:r>
    </w:p>
    <w:p w:rsidR="008C6E50" w:rsidRPr="0053729E" w:rsidRDefault="008C6E50" w:rsidP="001E4BF5">
      <w:pPr>
        <w:spacing w:line="360" w:lineRule="auto"/>
        <w:ind w:left="-360" w:right="42"/>
        <w:jc w:val="both"/>
        <w:rPr>
          <w:rFonts w:ascii="Arial" w:hAnsi="Arial" w:cs="Arial"/>
          <w:sz w:val="20"/>
          <w:szCs w:val="20"/>
        </w:rPr>
        <w:sectPr w:rsidR="008C6E50" w:rsidRPr="0053729E" w:rsidSect="0075074A">
          <w:type w:val="continuous"/>
          <w:pgSz w:w="11906" w:h="16838"/>
          <w:pgMar w:top="1417" w:right="1417" w:bottom="1417" w:left="1417" w:header="708" w:footer="708" w:gutter="0"/>
          <w:cols w:space="708"/>
          <w:docGrid w:linePitch="360"/>
        </w:sect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1418"/>
        <w:gridCol w:w="1417"/>
        <w:gridCol w:w="1276"/>
        <w:gridCol w:w="1361"/>
        <w:gridCol w:w="1035"/>
        <w:gridCol w:w="1035"/>
      </w:tblGrid>
      <w:tr w:rsidR="000219C0" w:rsidRPr="0053729E" w:rsidTr="001048C8">
        <w:trPr>
          <w:trHeight w:val="607"/>
        </w:trPr>
        <w:tc>
          <w:tcPr>
            <w:tcW w:w="2718" w:type="dxa"/>
            <w:vAlign w:val="center"/>
          </w:tcPr>
          <w:p w:rsidR="000219C0" w:rsidRPr="0053729E" w:rsidRDefault="000219C0" w:rsidP="00E00B71">
            <w:pPr>
              <w:ind w:right="42"/>
              <w:jc w:val="center"/>
              <w:rPr>
                <w:b/>
                <w:bCs/>
              </w:rPr>
            </w:pPr>
            <w:r w:rsidRPr="0053729E">
              <w:rPr>
                <w:b/>
                <w:bCs/>
              </w:rPr>
              <w:lastRenderedPageBreak/>
              <w:t>Economic Indicators</w:t>
            </w:r>
          </w:p>
        </w:tc>
        <w:tc>
          <w:tcPr>
            <w:tcW w:w="1418" w:type="dxa"/>
            <w:vAlign w:val="center"/>
          </w:tcPr>
          <w:p w:rsidR="000219C0" w:rsidRPr="0053729E" w:rsidRDefault="000219C0" w:rsidP="00BD2888">
            <w:pPr>
              <w:ind w:right="42"/>
              <w:jc w:val="center"/>
              <w:rPr>
                <w:b/>
                <w:bCs/>
              </w:rPr>
            </w:pPr>
            <w:r>
              <w:rPr>
                <w:b/>
                <w:bCs/>
              </w:rPr>
              <w:t>December</w:t>
            </w:r>
          </w:p>
        </w:tc>
        <w:tc>
          <w:tcPr>
            <w:tcW w:w="1417" w:type="dxa"/>
            <w:vAlign w:val="center"/>
          </w:tcPr>
          <w:p w:rsidR="000219C0" w:rsidRPr="0053729E" w:rsidRDefault="000219C0" w:rsidP="00BD2888">
            <w:pPr>
              <w:ind w:right="42"/>
              <w:jc w:val="center"/>
              <w:rPr>
                <w:b/>
                <w:bCs/>
              </w:rPr>
            </w:pPr>
            <w:r>
              <w:rPr>
                <w:b/>
                <w:bCs/>
              </w:rPr>
              <w:t>January</w:t>
            </w:r>
          </w:p>
        </w:tc>
        <w:tc>
          <w:tcPr>
            <w:tcW w:w="1276" w:type="dxa"/>
            <w:vAlign w:val="center"/>
          </w:tcPr>
          <w:p w:rsidR="000219C0" w:rsidRPr="0053729E" w:rsidRDefault="000219C0" w:rsidP="00BD2888">
            <w:pPr>
              <w:ind w:right="42"/>
              <w:jc w:val="center"/>
              <w:rPr>
                <w:b/>
                <w:bCs/>
              </w:rPr>
            </w:pPr>
            <w:r>
              <w:rPr>
                <w:b/>
                <w:bCs/>
              </w:rPr>
              <w:t>February</w:t>
            </w:r>
          </w:p>
        </w:tc>
        <w:tc>
          <w:tcPr>
            <w:tcW w:w="1361" w:type="dxa"/>
            <w:tcBorders>
              <w:right w:val="double" w:sz="4" w:space="0" w:color="auto"/>
            </w:tcBorders>
            <w:vAlign w:val="center"/>
          </w:tcPr>
          <w:p w:rsidR="000219C0" w:rsidRPr="0053729E" w:rsidRDefault="000219C0" w:rsidP="00E00B71">
            <w:pPr>
              <w:ind w:right="42"/>
              <w:jc w:val="center"/>
              <w:rPr>
                <w:b/>
                <w:bCs/>
              </w:rPr>
            </w:pPr>
            <w:r>
              <w:rPr>
                <w:b/>
                <w:bCs/>
              </w:rPr>
              <w:t>March</w:t>
            </w:r>
          </w:p>
        </w:tc>
        <w:tc>
          <w:tcPr>
            <w:tcW w:w="1035" w:type="dxa"/>
            <w:tcBorders>
              <w:left w:val="double" w:sz="4" w:space="0" w:color="auto"/>
            </w:tcBorders>
            <w:vAlign w:val="center"/>
          </w:tcPr>
          <w:p w:rsidR="000219C0" w:rsidRPr="0053729E" w:rsidRDefault="000219C0" w:rsidP="00B94CDE">
            <w:pPr>
              <w:ind w:right="42"/>
              <w:jc w:val="center"/>
              <w:rPr>
                <w:b/>
                <w:bCs/>
              </w:rPr>
            </w:pPr>
            <w:r>
              <w:rPr>
                <w:b/>
                <w:bCs/>
                <w:sz w:val="22"/>
                <w:szCs w:val="22"/>
              </w:rPr>
              <w:t>2013 4</w:t>
            </w:r>
            <w:r>
              <w:rPr>
                <w:b/>
                <w:bCs/>
                <w:sz w:val="22"/>
                <w:szCs w:val="22"/>
                <w:vertAlign w:val="superscript"/>
              </w:rPr>
              <w:t>th</w:t>
            </w:r>
            <w:r w:rsidRPr="0053729E">
              <w:rPr>
                <w:b/>
                <w:bCs/>
                <w:sz w:val="22"/>
                <w:szCs w:val="22"/>
              </w:rPr>
              <w:t xml:space="preserve"> Quarter</w:t>
            </w:r>
          </w:p>
        </w:tc>
        <w:tc>
          <w:tcPr>
            <w:tcW w:w="1035" w:type="dxa"/>
            <w:vAlign w:val="center"/>
          </w:tcPr>
          <w:p w:rsidR="000219C0" w:rsidRPr="0053729E" w:rsidRDefault="000219C0" w:rsidP="00026B51">
            <w:pPr>
              <w:ind w:right="42"/>
              <w:jc w:val="center"/>
              <w:rPr>
                <w:b/>
                <w:bCs/>
              </w:rPr>
            </w:pPr>
            <w:r>
              <w:rPr>
                <w:b/>
                <w:bCs/>
                <w:sz w:val="22"/>
                <w:szCs w:val="22"/>
              </w:rPr>
              <w:t>2014 1</w:t>
            </w:r>
            <w:r>
              <w:rPr>
                <w:b/>
                <w:bCs/>
                <w:sz w:val="22"/>
                <w:szCs w:val="22"/>
                <w:vertAlign w:val="superscript"/>
              </w:rPr>
              <w:t>st</w:t>
            </w:r>
            <w:r w:rsidRPr="0053729E">
              <w:rPr>
                <w:b/>
                <w:bCs/>
                <w:sz w:val="22"/>
                <w:szCs w:val="22"/>
              </w:rPr>
              <w:t xml:space="preserve"> Quarter</w:t>
            </w:r>
          </w:p>
        </w:tc>
      </w:tr>
      <w:tr w:rsidR="000219C0" w:rsidRPr="0053729E" w:rsidTr="001048C8">
        <w:trPr>
          <w:trHeight w:val="370"/>
        </w:trPr>
        <w:tc>
          <w:tcPr>
            <w:tcW w:w="2718" w:type="dxa"/>
            <w:vAlign w:val="bottom"/>
          </w:tcPr>
          <w:p w:rsidR="000219C0" w:rsidRPr="0053729E" w:rsidRDefault="000219C0" w:rsidP="00E00B71">
            <w:pPr>
              <w:spacing w:line="288" w:lineRule="auto"/>
              <w:ind w:right="77"/>
              <w:rPr>
                <w:b/>
                <w:sz w:val="20"/>
                <w:szCs w:val="20"/>
              </w:rPr>
            </w:pPr>
            <w:r w:rsidRPr="0053729E">
              <w:rPr>
                <w:b/>
                <w:sz w:val="20"/>
                <w:szCs w:val="20"/>
              </w:rPr>
              <w:t>Exports</w:t>
            </w:r>
          </w:p>
        </w:tc>
        <w:tc>
          <w:tcPr>
            <w:tcW w:w="1418" w:type="dxa"/>
            <w:vAlign w:val="center"/>
          </w:tcPr>
          <w:p w:rsidR="000219C0" w:rsidRPr="00261A05" w:rsidRDefault="000219C0" w:rsidP="00BD2888">
            <w:pPr>
              <w:ind w:right="42"/>
              <w:jc w:val="center"/>
              <w:rPr>
                <w:b/>
                <w:bCs/>
              </w:rPr>
            </w:pPr>
            <w:r>
              <w:rPr>
                <w:b/>
                <w:bCs/>
              </w:rPr>
              <w:t>2,0</w:t>
            </w:r>
          </w:p>
        </w:tc>
        <w:tc>
          <w:tcPr>
            <w:tcW w:w="1417" w:type="dxa"/>
            <w:vAlign w:val="center"/>
          </w:tcPr>
          <w:p w:rsidR="000219C0" w:rsidRPr="00261A05" w:rsidRDefault="000219C0" w:rsidP="00BD2888">
            <w:pPr>
              <w:ind w:right="42"/>
              <w:jc w:val="center"/>
              <w:rPr>
                <w:b/>
                <w:bCs/>
              </w:rPr>
            </w:pPr>
            <w:r>
              <w:rPr>
                <w:b/>
                <w:bCs/>
              </w:rPr>
              <w:t>3,8</w:t>
            </w:r>
          </w:p>
        </w:tc>
        <w:tc>
          <w:tcPr>
            <w:tcW w:w="1276" w:type="dxa"/>
            <w:vAlign w:val="center"/>
          </w:tcPr>
          <w:p w:rsidR="000219C0" w:rsidRPr="00261A05" w:rsidRDefault="000219C0" w:rsidP="00BD2888">
            <w:pPr>
              <w:ind w:right="42"/>
              <w:jc w:val="center"/>
              <w:rPr>
                <w:b/>
                <w:bCs/>
              </w:rPr>
            </w:pPr>
            <w:r>
              <w:rPr>
                <w:b/>
                <w:bCs/>
              </w:rPr>
              <w:t>1,4</w:t>
            </w:r>
          </w:p>
        </w:tc>
        <w:tc>
          <w:tcPr>
            <w:tcW w:w="1361" w:type="dxa"/>
            <w:tcBorders>
              <w:right w:val="double" w:sz="4" w:space="0" w:color="auto"/>
            </w:tcBorders>
            <w:vAlign w:val="center"/>
          </w:tcPr>
          <w:p w:rsidR="000219C0" w:rsidRPr="00261A05" w:rsidRDefault="000219C0" w:rsidP="00BD2888">
            <w:pPr>
              <w:ind w:right="42"/>
              <w:jc w:val="center"/>
            </w:pPr>
            <w:r>
              <w:t>**</w:t>
            </w:r>
          </w:p>
        </w:tc>
        <w:tc>
          <w:tcPr>
            <w:tcW w:w="1035" w:type="dxa"/>
            <w:tcBorders>
              <w:left w:val="double" w:sz="4" w:space="0" w:color="auto"/>
            </w:tcBorders>
            <w:vAlign w:val="center"/>
          </w:tcPr>
          <w:p w:rsidR="000219C0" w:rsidRPr="00261A05" w:rsidRDefault="000219C0" w:rsidP="00BD2888">
            <w:pPr>
              <w:ind w:right="42"/>
              <w:jc w:val="center"/>
              <w:rPr>
                <w:b/>
                <w:bCs/>
              </w:rPr>
            </w:pPr>
            <w:r>
              <w:rPr>
                <w:b/>
                <w:bCs/>
              </w:rPr>
              <w:t>5,1</w:t>
            </w:r>
          </w:p>
        </w:tc>
        <w:tc>
          <w:tcPr>
            <w:tcW w:w="1035" w:type="dxa"/>
            <w:vAlign w:val="center"/>
          </w:tcPr>
          <w:p w:rsidR="000219C0" w:rsidRPr="00261A05" w:rsidRDefault="000219C0" w:rsidP="00BD2888">
            <w:pPr>
              <w:ind w:right="42"/>
              <w:jc w:val="center"/>
              <w:rPr>
                <w:b/>
                <w:bCs/>
              </w:rPr>
            </w:pPr>
            <w:r>
              <w:rPr>
                <w:b/>
                <w:bCs/>
              </w:rPr>
              <w:t>4,8</w:t>
            </w:r>
          </w:p>
        </w:tc>
      </w:tr>
      <w:tr w:rsidR="000219C0" w:rsidRPr="0053729E" w:rsidTr="001048C8">
        <w:trPr>
          <w:trHeight w:val="370"/>
        </w:trPr>
        <w:tc>
          <w:tcPr>
            <w:tcW w:w="2718" w:type="dxa"/>
            <w:tcBorders>
              <w:bottom w:val="nil"/>
            </w:tcBorders>
            <w:vAlign w:val="bottom"/>
          </w:tcPr>
          <w:p w:rsidR="000219C0" w:rsidRPr="0053729E" w:rsidRDefault="000219C0" w:rsidP="00E00B71">
            <w:pPr>
              <w:spacing w:line="288" w:lineRule="auto"/>
              <w:ind w:right="77"/>
              <w:rPr>
                <w:b/>
                <w:sz w:val="20"/>
                <w:szCs w:val="20"/>
              </w:rPr>
            </w:pPr>
            <w:r w:rsidRPr="0053729E">
              <w:rPr>
                <w:b/>
                <w:sz w:val="20"/>
                <w:szCs w:val="20"/>
              </w:rPr>
              <w:t>Imports</w:t>
            </w:r>
          </w:p>
        </w:tc>
        <w:tc>
          <w:tcPr>
            <w:tcW w:w="1418" w:type="dxa"/>
            <w:tcBorders>
              <w:bottom w:val="nil"/>
            </w:tcBorders>
            <w:vAlign w:val="center"/>
          </w:tcPr>
          <w:p w:rsidR="000219C0" w:rsidRPr="00261A05" w:rsidRDefault="000219C0" w:rsidP="00BD2888">
            <w:pPr>
              <w:ind w:right="42"/>
              <w:jc w:val="center"/>
              <w:rPr>
                <w:b/>
                <w:bCs/>
              </w:rPr>
            </w:pPr>
            <w:r>
              <w:rPr>
                <w:b/>
                <w:bCs/>
              </w:rPr>
              <w:t>-0,8</w:t>
            </w:r>
          </w:p>
        </w:tc>
        <w:tc>
          <w:tcPr>
            <w:tcW w:w="1417" w:type="dxa"/>
            <w:tcBorders>
              <w:bottom w:val="nil"/>
            </w:tcBorders>
            <w:vAlign w:val="center"/>
          </w:tcPr>
          <w:p w:rsidR="000219C0" w:rsidRPr="00261A05" w:rsidRDefault="000219C0" w:rsidP="00BD2888">
            <w:pPr>
              <w:ind w:right="42"/>
              <w:jc w:val="center"/>
              <w:rPr>
                <w:b/>
                <w:bCs/>
              </w:rPr>
            </w:pPr>
            <w:r>
              <w:rPr>
                <w:b/>
                <w:bCs/>
              </w:rPr>
              <w:t>-4,2</w:t>
            </w:r>
          </w:p>
        </w:tc>
        <w:tc>
          <w:tcPr>
            <w:tcW w:w="1276" w:type="dxa"/>
            <w:tcBorders>
              <w:bottom w:val="nil"/>
            </w:tcBorders>
            <w:vAlign w:val="center"/>
          </w:tcPr>
          <w:p w:rsidR="000219C0" w:rsidRPr="00261A05" w:rsidRDefault="000219C0" w:rsidP="00BD2888">
            <w:pPr>
              <w:ind w:right="42"/>
              <w:jc w:val="center"/>
              <w:rPr>
                <w:b/>
                <w:bCs/>
              </w:rPr>
            </w:pPr>
            <w:r>
              <w:rPr>
                <w:b/>
                <w:bCs/>
              </w:rPr>
              <w:t>-1,5</w:t>
            </w:r>
          </w:p>
        </w:tc>
        <w:tc>
          <w:tcPr>
            <w:tcW w:w="1361" w:type="dxa"/>
            <w:tcBorders>
              <w:bottom w:val="nil"/>
              <w:right w:val="double" w:sz="4" w:space="0" w:color="auto"/>
            </w:tcBorders>
            <w:vAlign w:val="center"/>
          </w:tcPr>
          <w:p w:rsidR="000219C0" w:rsidRPr="00261A05" w:rsidRDefault="000219C0" w:rsidP="00BD2888">
            <w:pPr>
              <w:ind w:right="42"/>
              <w:jc w:val="center"/>
            </w:pPr>
            <w:r>
              <w:t>**</w:t>
            </w:r>
          </w:p>
        </w:tc>
        <w:tc>
          <w:tcPr>
            <w:tcW w:w="1035" w:type="dxa"/>
            <w:tcBorders>
              <w:left w:val="double" w:sz="4" w:space="0" w:color="auto"/>
              <w:bottom w:val="nil"/>
            </w:tcBorders>
            <w:vAlign w:val="center"/>
          </w:tcPr>
          <w:p w:rsidR="000219C0" w:rsidRPr="00261A05" w:rsidRDefault="000219C0" w:rsidP="00BD2888">
            <w:pPr>
              <w:ind w:right="42"/>
              <w:jc w:val="center"/>
              <w:rPr>
                <w:b/>
                <w:bCs/>
              </w:rPr>
            </w:pPr>
            <w:r>
              <w:rPr>
                <w:b/>
                <w:bCs/>
              </w:rPr>
              <w:t>5,2</w:t>
            </w:r>
          </w:p>
        </w:tc>
        <w:tc>
          <w:tcPr>
            <w:tcW w:w="1035" w:type="dxa"/>
            <w:tcBorders>
              <w:bottom w:val="nil"/>
            </w:tcBorders>
            <w:vAlign w:val="center"/>
          </w:tcPr>
          <w:p w:rsidR="000219C0" w:rsidRPr="00261A05" w:rsidRDefault="000219C0" w:rsidP="00BD2888">
            <w:pPr>
              <w:ind w:right="42"/>
              <w:jc w:val="center"/>
              <w:rPr>
                <w:b/>
                <w:bCs/>
              </w:rPr>
            </w:pPr>
            <w:r>
              <w:rPr>
                <w:b/>
                <w:bCs/>
              </w:rPr>
              <w:t>-4,1</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Intermediate goods import</w:t>
            </w:r>
          </w:p>
        </w:tc>
        <w:tc>
          <w:tcPr>
            <w:tcW w:w="1418" w:type="dxa"/>
            <w:tcBorders>
              <w:top w:val="nil"/>
              <w:bottom w:val="nil"/>
            </w:tcBorders>
            <w:vAlign w:val="center"/>
          </w:tcPr>
          <w:p w:rsidR="000219C0" w:rsidRPr="00261A05" w:rsidRDefault="000219C0" w:rsidP="00BD2888">
            <w:pPr>
              <w:ind w:right="42"/>
              <w:jc w:val="center"/>
            </w:pPr>
            <w:r>
              <w:t>-3,3</w:t>
            </w:r>
          </w:p>
        </w:tc>
        <w:tc>
          <w:tcPr>
            <w:tcW w:w="1417" w:type="dxa"/>
            <w:tcBorders>
              <w:top w:val="nil"/>
              <w:bottom w:val="nil"/>
            </w:tcBorders>
            <w:vAlign w:val="center"/>
          </w:tcPr>
          <w:p w:rsidR="000219C0" w:rsidRPr="00261A05" w:rsidRDefault="000219C0" w:rsidP="00BD2888">
            <w:pPr>
              <w:ind w:right="42"/>
              <w:jc w:val="center"/>
            </w:pPr>
            <w:r>
              <w:t>-5,2</w:t>
            </w:r>
          </w:p>
        </w:tc>
        <w:tc>
          <w:tcPr>
            <w:tcW w:w="1276" w:type="dxa"/>
            <w:tcBorders>
              <w:top w:val="nil"/>
              <w:bottom w:val="nil"/>
            </w:tcBorders>
            <w:vAlign w:val="center"/>
          </w:tcPr>
          <w:p w:rsidR="000219C0" w:rsidRPr="00261A05" w:rsidRDefault="000219C0" w:rsidP="00BD2888">
            <w:pPr>
              <w:ind w:right="42"/>
              <w:jc w:val="center"/>
            </w:pPr>
            <w:r>
              <w:t>-3,2</w:t>
            </w:r>
          </w:p>
        </w:tc>
        <w:tc>
          <w:tcPr>
            <w:tcW w:w="1361" w:type="dxa"/>
            <w:tcBorders>
              <w:top w:val="nil"/>
              <w:bottom w:val="nil"/>
              <w:right w:val="double" w:sz="4" w:space="0" w:color="auto"/>
            </w:tcBorders>
            <w:vAlign w:val="center"/>
          </w:tcPr>
          <w:p w:rsidR="000219C0" w:rsidRPr="00261A05" w:rsidRDefault="000219C0" w:rsidP="00BD2888">
            <w:pPr>
              <w:ind w:right="42"/>
              <w:jc w:val="center"/>
            </w:pPr>
            <w:r>
              <w:t>**</w:t>
            </w:r>
          </w:p>
        </w:tc>
        <w:tc>
          <w:tcPr>
            <w:tcW w:w="1035" w:type="dxa"/>
            <w:tcBorders>
              <w:top w:val="nil"/>
              <w:left w:val="double" w:sz="4" w:space="0" w:color="auto"/>
              <w:bottom w:val="nil"/>
            </w:tcBorders>
            <w:vAlign w:val="center"/>
          </w:tcPr>
          <w:p w:rsidR="000219C0" w:rsidRPr="00261A05" w:rsidRDefault="000219C0" w:rsidP="00BD2888">
            <w:pPr>
              <w:ind w:right="42"/>
              <w:jc w:val="center"/>
            </w:pPr>
            <w:r>
              <w:t>3,2</w:t>
            </w:r>
          </w:p>
        </w:tc>
        <w:tc>
          <w:tcPr>
            <w:tcW w:w="1035" w:type="dxa"/>
            <w:tcBorders>
              <w:top w:val="nil"/>
              <w:bottom w:val="nil"/>
            </w:tcBorders>
            <w:vAlign w:val="center"/>
          </w:tcPr>
          <w:p w:rsidR="000219C0" w:rsidRPr="00261A05" w:rsidRDefault="000219C0" w:rsidP="00BD2888">
            <w:pPr>
              <w:ind w:right="42"/>
              <w:jc w:val="center"/>
            </w:pPr>
            <w:r>
              <w:t>-4,6</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Consumer goods import</w:t>
            </w:r>
          </w:p>
        </w:tc>
        <w:tc>
          <w:tcPr>
            <w:tcW w:w="1418" w:type="dxa"/>
            <w:tcBorders>
              <w:top w:val="nil"/>
              <w:bottom w:val="nil"/>
            </w:tcBorders>
            <w:vAlign w:val="center"/>
          </w:tcPr>
          <w:p w:rsidR="000219C0" w:rsidRPr="00611D03" w:rsidRDefault="000219C0" w:rsidP="00BD2888">
            <w:pPr>
              <w:ind w:right="42"/>
              <w:jc w:val="center"/>
              <w:rPr>
                <w:bCs/>
              </w:rPr>
            </w:pPr>
            <w:r>
              <w:rPr>
                <w:bCs/>
              </w:rPr>
              <w:t>-2,0</w:t>
            </w:r>
          </w:p>
        </w:tc>
        <w:tc>
          <w:tcPr>
            <w:tcW w:w="1417" w:type="dxa"/>
            <w:tcBorders>
              <w:top w:val="nil"/>
              <w:bottom w:val="nil"/>
            </w:tcBorders>
            <w:vAlign w:val="center"/>
          </w:tcPr>
          <w:p w:rsidR="000219C0" w:rsidRPr="00611D03" w:rsidRDefault="000219C0" w:rsidP="00BD2888">
            <w:pPr>
              <w:ind w:right="42"/>
              <w:jc w:val="center"/>
              <w:rPr>
                <w:bCs/>
              </w:rPr>
            </w:pPr>
            <w:r>
              <w:rPr>
                <w:bCs/>
              </w:rPr>
              <w:t>-5,1</w:t>
            </w:r>
          </w:p>
        </w:tc>
        <w:tc>
          <w:tcPr>
            <w:tcW w:w="1276" w:type="dxa"/>
            <w:tcBorders>
              <w:top w:val="nil"/>
              <w:bottom w:val="nil"/>
            </w:tcBorders>
            <w:vAlign w:val="center"/>
          </w:tcPr>
          <w:p w:rsidR="000219C0" w:rsidRPr="00611D03" w:rsidRDefault="000219C0" w:rsidP="00BD2888">
            <w:pPr>
              <w:ind w:right="42"/>
              <w:jc w:val="center"/>
              <w:rPr>
                <w:bCs/>
              </w:rPr>
            </w:pPr>
            <w:r>
              <w:rPr>
                <w:bCs/>
              </w:rPr>
              <w:t>-6,7</w:t>
            </w:r>
          </w:p>
        </w:tc>
        <w:tc>
          <w:tcPr>
            <w:tcW w:w="1361" w:type="dxa"/>
            <w:tcBorders>
              <w:top w:val="nil"/>
              <w:bottom w:val="nil"/>
              <w:right w:val="double" w:sz="4" w:space="0" w:color="auto"/>
            </w:tcBorders>
            <w:vAlign w:val="center"/>
          </w:tcPr>
          <w:p w:rsidR="000219C0" w:rsidRPr="00611D03" w:rsidRDefault="000219C0" w:rsidP="00BD2888">
            <w:pPr>
              <w:ind w:right="42"/>
              <w:jc w:val="center"/>
            </w:pPr>
            <w:r>
              <w:t>**</w:t>
            </w:r>
          </w:p>
        </w:tc>
        <w:tc>
          <w:tcPr>
            <w:tcW w:w="1035" w:type="dxa"/>
            <w:tcBorders>
              <w:top w:val="nil"/>
              <w:left w:val="double" w:sz="4" w:space="0" w:color="auto"/>
              <w:bottom w:val="nil"/>
            </w:tcBorders>
            <w:vAlign w:val="center"/>
          </w:tcPr>
          <w:p w:rsidR="000219C0" w:rsidRPr="00261A05" w:rsidRDefault="000219C0" w:rsidP="00BD2888">
            <w:pPr>
              <w:ind w:right="42"/>
              <w:jc w:val="center"/>
            </w:pPr>
            <w:r>
              <w:t>0,4</w:t>
            </w:r>
          </w:p>
        </w:tc>
        <w:tc>
          <w:tcPr>
            <w:tcW w:w="1035" w:type="dxa"/>
            <w:tcBorders>
              <w:top w:val="nil"/>
              <w:bottom w:val="nil"/>
            </w:tcBorders>
            <w:vAlign w:val="center"/>
          </w:tcPr>
          <w:p w:rsidR="000219C0" w:rsidRPr="00261A05" w:rsidRDefault="000219C0" w:rsidP="00BD2888">
            <w:pPr>
              <w:ind w:right="42"/>
              <w:jc w:val="center"/>
            </w:pPr>
            <w:r>
              <w:t>-8,2</w:t>
            </w:r>
          </w:p>
        </w:tc>
      </w:tr>
      <w:tr w:rsidR="000219C0" w:rsidRPr="0053729E" w:rsidTr="001048C8">
        <w:trPr>
          <w:trHeight w:val="370"/>
        </w:trPr>
        <w:tc>
          <w:tcPr>
            <w:tcW w:w="2718" w:type="dxa"/>
            <w:tcBorders>
              <w:top w:val="nil"/>
            </w:tcBorders>
            <w:vAlign w:val="bottom"/>
          </w:tcPr>
          <w:p w:rsidR="000219C0" w:rsidRPr="0053729E" w:rsidRDefault="000219C0" w:rsidP="00E00B71">
            <w:pPr>
              <w:spacing w:line="288" w:lineRule="auto"/>
              <w:ind w:right="77"/>
              <w:rPr>
                <w:sz w:val="20"/>
                <w:szCs w:val="20"/>
              </w:rPr>
            </w:pPr>
            <w:r w:rsidRPr="0053729E">
              <w:rPr>
                <w:sz w:val="20"/>
                <w:szCs w:val="20"/>
              </w:rPr>
              <w:t>Investment goods import</w:t>
            </w:r>
          </w:p>
        </w:tc>
        <w:tc>
          <w:tcPr>
            <w:tcW w:w="1418" w:type="dxa"/>
            <w:tcBorders>
              <w:top w:val="nil"/>
            </w:tcBorders>
            <w:vAlign w:val="center"/>
          </w:tcPr>
          <w:p w:rsidR="000219C0" w:rsidRPr="00261A05" w:rsidRDefault="000219C0" w:rsidP="00BD2888">
            <w:pPr>
              <w:ind w:right="42"/>
              <w:jc w:val="center"/>
            </w:pPr>
            <w:r>
              <w:t>-3,7</w:t>
            </w:r>
          </w:p>
        </w:tc>
        <w:tc>
          <w:tcPr>
            <w:tcW w:w="1417" w:type="dxa"/>
            <w:tcBorders>
              <w:top w:val="nil"/>
            </w:tcBorders>
            <w:vAlign w:val="center"/>
          </w:tcPr>
          <w:p w:rsidR="000219C0" w:rsidRPr="00261A05" w:rsidRDefault="000219C0" w:rsidP="00BD2888">
            <w:pPr>
              <w:ind w:right="42"/>
              <w:jc w:val="center"/>
            </w:pPr>
            <w:r>
              <w:t>-5,1</w:t>
            </w:r>
          </w:p>
        </w:tc>
        <w:tc>
          <w:tcPr>
            <w:tcW w:w="1276" w:type="dxa"/>
            <w:tcBorders>
              <w:top w:val="nil"/>
            </w:tcBorders>
            <w:vAlign w:val="center"/>
          </w:tcPr>
          <w:p w:rsidR="000219C0" w:rsidRPr="00261A05" w:rsidRDefault="000219C0" w:rsidP="00BD2888">
            <w:pPr>
              <w:ind w:right="42"/>
              <w:jc w:val="center"/>
            </w:pPr>
            <w:r>
              <w:t>2,4</w:t>
            </w:r>
          </w:p>
        </w:tc>
        <w:tc>
          <w:tcPr>
            <w:tcW w:w="1361" w:type="dxa"/>
            <w:tcBorders>
              <w:top w:val="nil"/>
              <w:right w:val="double" w:sz="4" w:space="0" w:color="auto"/>
            </w:tcBorders>
            <w:vAlign w:val="center"/>
          </w:tcPr>
          <w:p w:rsidR="000219C0" w:rsidRPr="00261A05" w:rsidRDefault="000219C0" w:rsidP="00BD2888">
            <w:pPr>
              <w:ind w:right="42"/>
              <w:jc w:val="center"/>
            </w:pPr>
            <w:r>
              <w:t>**</w:t>
            </w:r>
          </w:p>
        </w:tc>
        <w:tc>
          <w:tcPr>
            <w:tcW w:w="1035" w:type="dxa"/>
            <w:tcBorders>
              <w:top w:val="nil"/>
              <w:left w:val="double" w:sz="4" w:space="0" w:color="auto"/>
            </w:tcBorders>
            <w:vAlign w:val="center"/>
          </w:tcPr>
          <w:p w:rsidR="000219C0" w:rsidRPr="00261A05" w:rsidRDefault="000219C0" w:rsidP="00BD2888">
            <w:pPr>
              <w:ind w:right="42"/>
              <w:jc w:val="center"/>
            </w:pPr>
            <w:r>
              <w:t>0,5</w:t>
            </w:r>
          </w:p>
        </w:tc>
        <w:tc>
          <w:tcPr>
            <w:tcW w:w="1035" w:type="dxa"/>
            <w:tcBorders>
              <w:top w:val="nil"/>
            </w:tcBorders>
            <w:vAlign w:val="center"/>
          </w:tcPr>
          <w:p w:rsidR="000219C0" w:rsidRPr="00261A05" w:rsidRDefault="000219C0" w:rsidP="00BD2888">
            <w:pPr>
              <w:ind w:right="42"/>
              <w:jc w:val="center"/>
            </w:pPr>
            <w:r>
              <w:t>-2,4</w:t>
            </w:r>
          </w:p>
        </w:tc>
      </w:tr>
      <w:tr w:rsidR="000219C0" w:rsidRPr="0053729E" w:rsidTr="001048C8">
        <w:trPr>
          <w:trHeight w:val="370"/>
        </w:trPr>
        <w:tc>
          <w:tcPr>
            <w:tcW w:w="2718" w:type="dxa"/>
            <w:vAlign w:val="bottom"/>
          </w:tcPr>
          <w:p w:rsidR="000219C0" w:rsidRPr="0053729E" w:rsidRDefault="000219C0" w:rsidP="00BD1FA0">
            <w:pPr>
              <w:spacing w:line="288" w:lineRule="auto"/>
              <w:ind w:right="77"/>
              <w:rPr>
                <w:b/>
                <w:sz w:val="20"/>
                <w:szCs w:val="20"/>
              </w:rPr>
            </w:pPr>
            <w:r w:rsidRPr="0053729E">
              <w:rPr>
                <w:b/>
                <w:sz w:val="20"/>
                <w:szCs w:val="20"/>
              </w:rPr>
              <w:t xml:space="preserve">Exports </w:t>
            </w:r>
            <w:r>
              <w:rPr>
                <w:b/>
                <w:sz w:val="20"/>
                <w:szCs w:val="20"/>
              </w:rPr>
              <w:t>excluding</w:t>
            </w:r>
            <w:r w:rsidRPr="0053729E">
              <w:rPr>
                <w:b/>
                <w:sz w:val="20"/>
                <w:szCs w:val="20"/>
              </w:rPr>
              <w:t xml:space="preserve"> gold***</w:t>
            </w:r>
          </w:p>
        </w:tc>
        <w:tc>
          <w:tcPr>
            <w:tcW w:w="1418" w:type="dxa"/>
            <w:vAlign w:val="center"/>
          </w:tcPr>
          <w:p w:rsidR="000219C0" w:rsidRPr="00261A05" w:rsidRDefault="000219C0" w:rsidP="00BD2888">
            <w:pPr>
              <w:ind w:right="42"/>
              <w:jc w:val="center"/>
              <w:rPr>
                <w:b/>
                <w:bCs/>
              </w:rPr>
            </w:pPr>
            <w:r>
              <w:rPr>
                <w:b/>
                <w:bCs/>
              </w:rPr>
              <w:t>3,8</w:t>
            </w:r>
          </w:p>
        </w:tc>
        <w:tc>
          <w:tcPr>
            <w:tcW w:w="1417" w:type="dxa"/>
            <w:vAlign w:val="center"/>
          </w:tcPr>
          <w:p w:rsidR="000219C0" w:rsidRPr="00261A05" w:rsidRDefault="000219C0" w:rsidP="00BD2888">
            <w:pPr>
              <w:ind w:right="42"/>
              <w:jc w:val="center"/>
              <w:rPr>
                <w:b/>
                <w:bCs/>
              </w:rPr>
            </w:pPr>
            <w:r>
              <w:rPr>
                <w:b/>
                <w:bCs/>
              </w:rPr>
              <w:t>-2,3</w:t>
            </w:r>
          </w:p>
        </w:tc>
        <w:tc>
          <w:tcPr>
            <w:tcW w:w="1276" w:type="dxa"/>
            <w:vAlign w:val="center"/>
          </w:tcPr>
          <w:p w:rsidR="000219C0" w:rsidRPr="00261A05" w:rsidRDefault="000219C0" w:rsidP="00BD2888">
            <w:pPr>
              <w:ind w:right="42"/>
              <w:jc w:val="center"/>
              <w:rPr>
                <w:b/>
                <w:bCs/>
              </w:rPr>
            </w:pPr>
            <w:r>
              <w:rPr>
                <w:b/>
                <w:bCs/>
              </w:rPr>
              <w:t>-0,9</w:t>
            </w:r>
          </w:p>
        </w:tc>
        <w:tc>
          <w:tcPr>
            <w:tcW w:w="1361" w:type="dxa"/>
            <w:tcBorders>
              <w:right w:val="double" w:sz="4" w:space="0" w:color="auto"/>
            </w:tcBorders>
            <w:vAlign w:val="center"/>
          </w:tcPr>
          <w:p w:rsidR="000219C0" w:rsidRPr="00261A05" w:rsidRDefault="000219C0" w:rsidP="00BD2888">
            <w:pPr>
              <w:ind w:right="42"/>
              <w:jc w:val="center"/>
            </w:pPr>
            <w:r>
              <w:t>**</w:t>
            </w:r>
          </w:p>
        </w:tc>
        <w:tc>
          <w:tcPr>
            <w:tcW w:w="1035" w:type="dxa"/>
            <w:tcBorders>
              <w:left w:val="double" w:sz="4" w:space="0" w:color="auto"/>
            </w:tcBorders>
            <w:vAlign w:val="center"/>
          </w:tcPr>
          <w:p w:rsidR="000219C0" w:rsidRPr="00261A05" w:rsidRDefault="000219C0" w:rsidP="00BD2888">
            <w:pPr>
              <w:ind w:right="42"/>
              <w:jc w:val="center"/>
              <w:rPr>
                <w:b/>
                <w:bCs/>
              </w:rPr>
            </w:pPr>
            <w:r>
              <w:rPr>
                <w:b/>
                <w:bCs/>
              </w:rPr>
              <w:t>1,2</w:t>
            </w:r>
          </w:p>
        </w:tc>
        <w:tc>
          <w:tcPr>
            <w:tcW w:w="1035" w:type="dxa"/>
            <w:vAlign w:val="center"/>
          </w:tcPr>
          <w:p w:rsidR="000219C0" w:rsidRPr="00261A05" w:rsidRDefault="000219C0" w:rsidP="00BD2888">
            <w:pPr>
              <w:ind w:right="42"/>
              <w:jc w:val="center"/>
              <w:rPr>
                <w:b/>
                <w:bCs/>
              </w:rPr>
            </w:pPr>
            <w:r>
              <w:rPr>
                <w:b/>
                <w:bCs/>
              </w:rPr>
              <w:t>1,5</w:t>
            </w:r>
          </w:p>
        </w:tc>
      </w:tr>
      <w:tr w:rsidR="000219C0" w:rsidRPr="0053729E" w:rsidTr="001048C8">
        <w:trPr>
          <w:trHeight w:val="370"/>
        </w:trPr>
        <w:tc>
          <w:tcPr>
            <w:tcW w:w="2718" w:type="dxa"/>
            <w:vAlign w:val="bottom"/>
          </w:tcPr>
          <w:p w:rsidR="000219C0" w:rsidRPr="0053729E" w:rsidRDefault="000219C0" w:rsidP="00BD1FA0">
            <w:pPr>
              <w:spacing w:line="288" w:lineRule="auto"/>
              <w:ind w:right="77"/>
              <w:rPr>
                <w:b/>
                <w:sz w:val="20"/>
                <w:szCs w:val="20"/>
              </w:rPr>
            </w:pPr>
            <w:r w:rsidRPr="0053729E">
              <w:rPr>
                <w:b/>
                <w:sz w:val="20"/>
                <w:szCs w:val="20"/>
              </w:rPr>
              <w:t xml:space="preserve">Imports </w:t>
            </w:r>
            <w:r>
              <w:rPr>
                <w:b/>
                <w:sz w:val="20"/>
                <w:szCs w:val="20"/>
              </w:rPr>
              <w:t>excluding</w:t>
            </w:r>
            <w:r w:rsidRPr="0053729E">
              <w:rPr>
                <w:b/>
                <w:sz w:val="20"/>
                <w:szCs w:val="20"/>
              </w:rPr>
              <w:t xml:space="preserve"> gold***</w:t>
            </w:r>
          </w:p>
        </w:tc>
        <w:tc>
          <w:tcPr>
            <w:tcW w:w="1418" w:type="dxa"/>
            <w:vAlign w:val="center"/>
          </w:tcPr>
          <w:p w:rsidR="000219C0" w:rsidRPr="00261A05" w:rsidRDefault="000219C0" w:rsidP="00BD2888">
            <w:pPr>
              <w:ind w:right="42"/>
              <w:jc w:val="center"/>
              <w:rPr>
                <w:b/>
                <w:bCs/>
              </w:rPr>
            </w:pPr>
            <w:r>
              <w:rPr>
                <w:b/>
                <w:bCs/>
              </w:rPr>
              <w:t>2,9</w:t>
            </w:r>
          </w:p>
        </w:tc>
        <w:tc>
          <w:tcPr>
            <w:tcW w:w="1417" w:type="dxa"/>
            <w:vAlign w:val="center"/>
          </w:tcPr>
          <w:p w:rsidR="000219C0" w:rsidRPr="00261A05" w:rsidRDefault="000219C0" w:rsidP="00BD2888">
            <w:pPr>
              <w:ind w:right="42"/>
              <w:jc w:val="center"/>
              <w:rPr>
                <w:b/>
                <w:bCs/>
              </w:rPr>
            </w:pPr>
            <w:r>
              <w:rPr>
                <w:b/>
                <w:bCs/>
              </w:rPr>
              <w:t>-4,8</w:t>
            </w:r>
          </w:p>
        </w:tc>
        <w:tc>
          <w:tcPr>
            <w:tcW w:w="1276" w:type="dxa"/>
            <w:vAlign w:val="center"/>
          </w:tcPr>
          <w:p w:rsidR="000219C0" w:rsidRPr="00261A05" w:rsidRDefault="000219C0" w:rsidP="00BD2888">
            <w:pPr>
              <w:ind w:right="42"/>
              <w:jc w:val="center"/>
              <w:rPr>
                <w:b/>
                <w:bCs/>
              </w:rPr>
            </w:pPr>
            <w:r>
              <w:rPr>
                <w:b/>
                <w:bCs/>
              </w:rPr>
              <w:t>-2,7</w:t>
            </w:r>
          </w:p>
        </w:tc>
        <w:tc>
          <w:tcPr>
            <w:tcW w:w="1361" w:type="dxa"/>
            <w:tcBorders>
              <w:right w:val="double" w:sz="4" w:space="0" w:color="auto"/>
            </w:tcBorders>
            <w:vAlign w:val="center"/>
          </w:tcPr>
          <w:p w:rsidR="000219C0" w:rsidRPr="00261A05" w:rsidRDefault="000219C0" w:rsidP="00BD2888">
            <w:pPr>
              <w:ind w:right="42"/>
              <w:jc w:val="center"/>
            </w:pPr>
            <w:r>
              <w:t>**</w:t>
            </w:r>
          </w:p>
        </w:tc>
        <w:tc>
          <w:tcPr>
            <w:tcW w:w="1035" w:type="dxa"/>
            <w:tcBorders>
              <w:left w:val="double" w:sz="4" w:space="0" w:color="auto"/>
            </w:tcBorders>
            <w:vAlign w:val="center"/>
          </w:tcPr>
          <w:p w:rsidR="000219C0" w:rsidRPr="00261A05" w:rsidRDefault="000219C0" w:rsidP="00BD2888">
            <w:pPr>
              <w:ind w:right="42"/>
              <w:jc w:val="center"/>
              <w:rPr>
                <w:b/>
                <w:bCs/>
              </w:rPr>
            </w:pPr>
            <w:r>
              <w:rPr>
                <w:b/>
                <w:bCs/>
              </w:rPr>
              <w:t>-0,2</w:t>
            </w:r>
          </w:p>
        </w:tc>
        <w:tc>
          <w:tcPr>
            <w:tcW w:w="1035" w:type="dxa"/>
            <w:vAlign w:val="center"/>
          </w:tcPr>
          <w:p w:rsidR="000219C0" w:rsidRPr="00261A05" w:rsidRDefault="000219C0" w:rsidP="00BD2888">
            <w:pPr>
              <w:ind w:right="42"/>
              <w:jc w:val="center"/>
              <w:rPr>
                <w:b/>
                <w:bCs/>
              </w:rPr>
            </w:pPr>
            <w:r>
              <w:rPr>
                <w:b/>
                <w:bCs/>
              </w:rPr>
              <w:t>-0,9</w:t>
            </w:r>
          </w:p>
        </w:tc>
      </w:tr>
      <w:tr w:rsidR="000219C0" w:rsidRPr="0053729E" w:rsidTr="001048C8">
        <w:trPr>
          <w:trHeight w:val="370"/>
        </w:trPr>
        <w:tc>
          <w:tcPr>
            <w:tcW w:w="2718" w:type="dxa"/>
            <w:tcBorders>
              <w:bottom w:val="nil"/>
            </w:tcBorders>
            <w:vAlign w:val="bottom"/>
          </w:tcPr>
          <w:p w:rsidR="000219C0" w:rsidRPr="0053729E" w:rsidRDefault="000219C0" w:rsidP="008040FF">
            <w:pPr>
              <w:spacing w:line="288" w:lineRule="auto"/>
              <w:ind w:right="77"/>
              <w:rPr>
                <w:b/>
                <w:sz w:val="20"/>
                <w:szCs w:val="20"/>
              </w:rPr>
            </w:pPr>
            <w:r w:rsidRPr="0053729E">
              <w:rPr>
                <w:b/>
                <w:sz w:val="20"/>
                <w:szCs w:val="20"/>
              </w:rPr>
              <w:t xml:space="preserve">Industrial Production Index </w:t>
            </w:r>
          </w:p>
        </w:tc>
        <w:tc>
          <w:tcPr>
            <w:tcW w:w="1418" w:type="dxa"/>
            <w:tcBorders>
              <w:bottom w:val="nil"/>
            </w:tcBorders>
            <w:vAlign w:val="center"/>
          </w:tcPr>
          <w:p w:rsidR="000219C0" w:rsidRPr="00261A05" w:rsidRDefault="000219C0" w:rsidP="00BD2888">
            <w:pPr>
              <w:ind w:right="42"/>
              <w:jc w:val="center"/>
              <w:rPr>
                <w:b/>
                <w:bCs/>
              </w:rPr>
            </w:pPr>
            <w:r>
              <w:rPr>
                <w:b/>
                <w:bCs/>
              </w:rPr>
              <w:t>1,0</w:t>
            </w:r>
          </w:p>
        </w:tc>
        <w:tc>
          <w:tcPr>
            <w:tcW w:w="1417" w:type="dxa"/>
            <w:tcBorders>
              <w:bottom w:val="nil"/>
            </w:tcBorders>
            <w:vAlign w:val="center"/>
          </w:tcPr>
          <w:p w:rsidR="000219C0" w:rsidRPr="00261A05" w:rsidRDefault="000219C0" w:rsidP="00BD2888">
            <w:pPr>
              <w:ind w:right="42"/>
              <w:jc w:val="center"/>
              <w:rPr>
                <w:b/>
                <w:bCs/>
              </w:rPr>
            </w:pPr>
            <w:r>
              <w:rPr>
                <w:b/>
                <w:bCs/>
              </w:rPr>
              <w:t>-0,3</w:t>
            </w:r>
          </w:p>
        </w:tc>
        <w:tc>
          <w:tcPr>
            <w:tcW w:w="1276" w:type="dxa"/>
            <w:tcBorders>
              <w:bottom w:val="nil"/>
            </w:tcBorders>
            <w:vAlign w:val="center"/>
          </w:tcPr>
          <w:p w:rsidR="000219C0" w:rsidRPr="00261A05" w:rsidRDefault="000219C0" w:rsidP="00BD2888">
            <w:pPr>
              <w:ind w:right="42"/>
              <w:jc w:val="center"/>
              <w:rPr>
                <w:b/>
                <w:bCs/>
              </w:rPr>
            </w:pPr>
            <w:r>
              <w:rPr>
                <w:b/>
                <w:bCs/>
              </w:rPr>
              <w:t>-0,4</w:t>
            </w:r>
          </w:p>
        </w:tc>
        <w:tc>
          <w:tcPr>
            <w:tcW w:w="1361" w:type="dxa"/>
            <w:tcBorders>
              <w:bottom w:val="nil"/>
              <w:right w:val="double" w:sz="4" w:space="0" w:color="auto"/>
            </w:tcBorders>
            <w:vAlign w:val="center"/>
          </w:tcPr>
          <w:p w:rsidR="000219C0" w:rsidRPr="00261A05" w:rsidRDefault="000219C0" w:rsidP="00BD2888">
            <w:pPr>
              <w:ind w:right="42"/>
              <w:jc w:val="center"/>
            </w:pPr>
            <w:r>
              <w:t>**</w:t>
            </w:r>
          </w:p>
        </w:tc>
        <w:tc>
          <w:tcPr>
            <w:tcW w:w="1035" w:type="dxa"/>
            <w:tcBorders>
              <w:left w:val="double" w:sz="4" w:space="0" w:color="auto"/>
              <w:bottom w:val="nil"/>
            </w:tcBorders>
            <w:vAlign w:val="center"/>
          </w:tcPr>
          <w:p w:rsidR="000219C0" w:rsidRPr="00261A05" w:rsidRDefault="000219C0" w:rsidP="00BD2888">
            <w:pPr>
              <w:ind w:right="42"/>
              <w:jc w:val="center"/>
              <w:rPr>
                <w:b/>
                <w:bCs/>
              </w:rPr>
            </w:pPr>
            <w:r>
              <w:rPr>
                <w:b/>
                <w:bCs/>
              </w:rPr>
              <w:t>1,0</w:t>
            </w:r>
          </w:p>
        </w:tc>
        <w:tc>
          <w:tcPr>
            <w:tcW w:w="1035" w:type="dxa"/>
            <w:tcBorders>
              <w:bottom w:val="nil"/>
            </w:tcBorders>
            <w:vAlign w:val="center"/>
          </w:tcPr>
          <w:p w:rsidR="000219C0" w:rsidRPr="00261A05" w:rsidRDefault="000219C0" w:rsidP="00BD2888">
            <w:pPr>
              <w:ind w:right="42"/>
              <w:jc w:val="center"/>
              <w:rPr>
                <w:b/>
                <w:bCs/>
              </w:rPr>
            </w:pPr>
            <w:r>
              <w:rPr>
                <w:b/>
                <w:bCs/>
              </w:rPr>
              <w:t>1,4</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Nondurable consumer goods</w:t>
            </w:r>
          </w:p>
        </w:tc>
        <w:tc>
          <w:tcPr>
            <w:tcW w:w="1418" w:type="dxa"/>
            <w:tcBorders>
              <w:top w:val="nil"/>
              <w:bottom w:val="nil"/>
            </w:tcBorders>
            <w:vAlign w:val="center"/>
          </w:tcPr>
          <w:p w:rsidR="000219C0" w:rsidRPr="00261A05" w:rsidRDefault="000219C0" w:rsidP="00BD2888">
            <w:pPr>
              <w:ind w:right="42"/>
              <w:jc w:val="center"/>
            </w:pPr>
            <w:r>
              <w:t>1,8</w:t>
            </w:r>
          </w:p>
        </w:tc>
        <w:tc>
          <w:tcPr>
            <w:tcW w:w="1417" w:type="dxa"/>
            <w:tcBorders>
              <w:top w:val="nil"/>
              <w:bottom w:val="nil"/>
            </w:tcBorders>
            <w:vAlign w:val="center"/>
          </w:tcPr>
          <w:p w:rsidR="000219C0" w:rsidRPr="00261A05" w:rsidRDefault="000219C0" w:rsidP="00BD2888">
            <w:pPr>
              <w:ind w:right="42"/>
              <w:jc w:val="center"/>
            </w:pPr>
            <w:r>
              <w:t>-2,0</w:t>
            </w:r>
          </w:p>
        </w:tc>
        <w:tc>
          <w:tcPr>
            <w:tcW w:w="1276" w:type="dxa"/>
            <w:tcBorders>
              <w:top w:val="nil"/>
              <w:bottom w:val="nil"/>
            </w:tcBorders>
            <w:vAlign w:val="center"/>
          </w:tcPr>
          <w:p w:rsidR="000219C0" w:rsidRPr="00261A05" w:rsidRDefault="000219C0" w:rsidP="00BD2888">
            <w:pPr>
              <w:ind w:right="42"/>
              <w:jc w:val="center"/>
            </w:pPr>
            <w:r>
              <w:t>1,3</w:t>
            </w:r>
          </w:p>
        </w:tc>
        <w:tc>
          <w:tcPr>
            <w:tcW w:w="1361" w:type="dxa"/>
            <w:tcBorders>
              <w:top w:val="nil"/>
              <w:bottom w:val="nil"/>
              <w:right w:val="double" w:sz="4" w:space="0" w:color="auto"/>
            </w:tcBorders>
            <w:vAlign w:val="center"/>
          </w:tcPr>
          <w:p w:rsidR="000219C0" w:rsidRPr="00261A05" w:rsidRDefault="000219C0" w:rsidP="00BD2888">
            <w:pPr>
              <w:ind w:right="42"/>
              <w:jc w:val="center"/>
            </w:pPr>
            <w:r>
              <w:t>**</w:t>
            </w:r>
          </w:p>
        </w:tc>
        <w:tc>
          <w:tcPr>
            <w:tcW w:w="1035" w:type="dxa"/>
            <w:tcBorders>
              <w:top w:val="nil"/>
              <w:left w:val="double" w:sz="4" w:space="0" w:color="auto"/>
              <w:bottom w:val="nil"/>
            </w:tcBorders>
            <w:vAlign w:val="center"/>
          </w:tcPr>
          <w:p w:rsidR="000219C0" w:rsidRPr="00261A05" w:rsidRDefault="000219C0" w:rsidP="00BD2888">
            <w:pPr>
              <w:ind w:right="42"/>
              <w:jc w:val="center"/>
            </w:pPr>
            <w:r>
              <w:t>0,5</w:t>
            </w:r>
          </w:p>
        </w:tc>
        <w:tc>
          <w:tcPr>
            <w:tcW w:w="1035" w:type="dxa"/>
            <w:tcBorders>
              <w:top w:val="nil"/>
              <w:bottom w:val="nil"/>
            </w:tcBorders>
            <w:vAlign w:val="center"/>
          </w:tcPr>
          <w:p w:rsidR="000219C0" w:rsidRPr="00261A05" w:rsidRDefault="000219C0" w:rsidP="00BD2888">
            <w:pPr>
              <w:ind w:right="42"/>
              <w:jc w:val="center"/>
            </w:pPr>
            <w:r>
              <w:t>2,5</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Durable consumer goods</w:t>
            </w:r>
          </w:p>
        </w:tc>
        <w:tc>
          <w:tcPr>
            <w:tcW w:w="1418" w:type="dxa"/>
            <w:tcBorders>
              <w:top w:val="nil"/>
              <w:bottom w:val="nil"/>
            </w:tcBorders>
            <w:vAlign w:val="center"/>
          </w:tcPr>
          <w:p w:rsidR="000219C0" w:rsidRPr="00261A05" w:rsidRDefault="000219C0" w:rsidP="00BD2888">
            <w:pPr>
              <w:ind w:right="42"/>
              <w:jc w:val="center"/>
            </w:pPr>
            <w:r>
              <w:t>-3,5</w:t>
            </w:r>
          </w:p>
        </w:tc>
        <w:tc>
          <w:tcPr>
            <w:tcW w:w="1417" w:type="dxa"/>
            <w:tcBorders>
              <w:top w:val="nil"/>
              <w:bottom w:val="nil"/>
            </w:tcBorders>
            <w:vAlign w:val="center"/>
          </w:tcPr>
          <w:p w:rsidR="000219C0" w:rsidRPr="00261A05" w:rsidRDefault="000219C0" w:rsidP="00BD2888">
            <w:pPr>
              <w:ind w:right="42"/>
              <w:jc w:val="center"/>
            </w:pPr>
            <w:r>
              <w:t>3,1</w:t>
            </w:r>
          </w:p>
        </w:tc>
        <w:tc>
          <w:tcPr>
            <w:tcW w:w="1276" w:type="dxa"/>
            <w:tcBorders>
              <w:top w:val="nil"/>
              <w:bottom w:val="nil"/>
            </w:tcBorders>
            <w:vAlign w:val="center"/>
          </w:tcPr>
          <w:p w:rsidR="000219C0" w:rsidRPr="00261A05" w:rsidRDefault="000219C0" w:rsidP="00BD2888">
            <w:pPr>
              <w:ind w:right="42"/>
              <w:jc w:val="center"/>
            </w:pPr>
            <w:r>
              <w:t>1,9</w:t>
            </w:r>
          </w:p>
        </w:tc>
        <w:tc>
          <w:tcPr>
            <w:tcW w:w="1361" w:type="dxa"/>
            <w:tcBorders>
              <w:top w:val="nil"/>
              <w:bottom w:val="nil"/>
              <w:right w:val="double" w:sz="4" w:space="0" w:color="auto"/>
            </w:tcBorders>
            <w:vAlign w:val="center"/>
          </w:tcPr>
          <w:p w:rsidR="000219C0" w:rsidRPr="00261A05" w:rsidRDefault="000219C0" w:rsidP="00BD2888">
            <w:pPr>
              <w:ind w:right="42"/>
              <w:jc w:val="center"/>
            </w:pPr>
            <w:r>
              <w:t>**</w:t>
            </w:r>
          </w:p>
        </w:tc>
        <w:tc>
          <w:tcPr>
            <w:tcW w:w="1035" w:type="dxa"/>
            <w:tcBorders>
              <w:top w:val="nil"/>
              <w:left w:val="double" w:sz="4" w:space="0" w:color="auto"/>
              <w:bottom w:val="nil"/>
            </w:tcBorders>
            <w:vAlign w:val="center"/>
          </w:tcPr>
          <w:p w:rsidR="000219C0" w:rsidRPr="00261A05" w:rsidRDefault="000219C0" w:rsidP="00BD2888">
            <w:pPr>
              <w:ind w:right="42"/>
              <w:jc w:val="center"/>
            </w:pPr>
            <w:r>
              <w:t>-0,6</w:t>
            </w:r>
          </w:p>
        </w:tc>
        <w:tc>
          <w:tcPr>
            <w:tcW w:w="1035" w:type="dxa"/>
            <w:tcBorders>
              <w:top w:val="nil"/>
              <w:bottom w:val="nil"/>
            </w:tcBorders>
            <w:vAlign w:val="center"/>
          </w:tcPr>
          <w:p w:rsidR="000219C0" w:rsidRPr="00261A05" w:rsidRDefault="000219C0" w:rsidP="00BD2888">
            <w:pPr>
              <w:ind w:right="42"/>
              <w:jc w:val="center"/>
            </w:pPr>
            <w:r>
              <w:t>-0,3</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Intermediate goods</w:t>
            </w:r>
          </w:p>
        </w:tc>
        <w:tc>
          <w:tcPr>
            <w:tcW w:w="1418" w:type="dxa"/>
            <w:tcBorders>
              <w:top w:val="nil"/>
              <w:bottom w:val="nil"/>
            </w:tcBorders>
            <w:vAlign w:val="center"/>
          </w:tcPr>
          <w:p w:rsidR="000219C0" w:rsidRPr="00261A05" w:rsidRDefault="000219C0" w:rsidP="00BD2888">
            <w:pPr>
              <w:ind w:right="42"/>
              <w:jc w:val="center"/>
            </w:pPr>
            <w:r>
              <w:t>3,4</w:t>
            </w:r>
          </w:p>
        </w:tc>
        <w:tc>
          <w:tcPr>
            <w:tcW w:w="1417" w:type="dxa"/>
            <w:tcBorders>
              <w:top w:val="nil"/>
              <w:bottom w:val="nil"/>
            </w:tcBorders>
            <w:vAlign w:val="center"/>
          </w:tcPr>
          <w:p w:rsidR="000219C0" w:rsidRPr="00261A05" w:rsidRDefault="000219C0" w:rsidP="00BD2888">
            <w:pPr>
              <w:ind w:right="42"/>
              <w:jc w:val="center"/>
            </w:pPr>
            <w:r>
              <w:t>-1,0</w:t>
            </w:r>
          </w:p>
        </w:tc>
        <w:tc>
          <w:tcPr>
            <w:tcW w:w="1276" w:type="dxa"/>
            <w:tcBorders>
              <w:top w:val="nil"/>
              <w:bottom w:val="nil"/>
            </w:tcBorders>
            <w:vAlign w:val="center"/>
          </w:tcPr>
          <w:p w:rsidR="000219C0" w:rsidRPr="00261A05" w:rsidRDefault="000219C0" w:rsidP="00BD2888">
            <w:pPr>
              <w:ind w:right="42"/>
              <w:jc w:val="center"/>
            </w:pPr>
            <w:r>
              <w:t>-0,4</w:t>
            </w:r>
          </w:p>
        </w:tc>
        <w:tc>
          <w:tcPr>
            <w:tcW w:w="1361" w:type="dxa"/>
            <w:tcBorders>
              <w:top w:val="nil"/>
              <w:bottom w:val="nil"/>
              <w:right w:val="double" w:sz="4" w:space="0" w:color="auto"/>
            </w:tcBorders>
            <w:vAlign w:val="center"/>
          </w:tcPr>
          <w:p w:rsidR="000219C0" w:rsidRPr="00261A05" w:rsidRDefault="000219C0" w:rsidP="00BD2888">
            <w:pPr>
              <w:ind w:right="42"/>
              <w:jc w:val="center"/>
            </w:pPr>
            <w:r>
              <w:t>**</w:t>
            </w:r>
          </w:p>
        </w:tc>
        <w:tc>
          <w:tcPr>
            <w:tcW w:w="1035" w:type="dxa"/>
            <w:tcBorders>
              <w:top w:val="nil"/>
              <w:left w:val="double" w:sz="4" w:space="0" w:color="auto"/>
              <w:bottom w:val="nil"/>
            </w:tcBorders>
            <w:vAlign w:val="center"/>
          </w:tcPr>
          <w:p w:rsidR="000219C0" w:rsidRPr="00261A05" w:rsidRDefault="000219C0" w:rsidP="00BD2888">
            <w:pPr>
              <w:ind w:right="42"/>
              <w:jc w:val="center"/>
            </w:pPr>
            <w:r>
              <w:t>1,6</w:t>
            </w:r>
          </w:p>
        </w:tc>
        <w:tc>
          <w:tcPr>
            <w:tcW w:w="1035" w:type="dxa"/>
            <w:tcBorders>
              <w:top w:val="nil"/>
              <w:bottom w:val="nil"/>
            </w:tcBorders>
            <w:vAlign w:val="center"/>
          </w:tcPr>
          <w:p w:rsidR="000219C0" w:rsidRPr="00261A05" w:rsidRDefault="000219C0" w:rsidP="00BD2888">
            <w:pPr>
              <w:ind w:right="42"/>
              <w:jc w:val="center"/>
            </w:pPr>
            <w:r>
              <w:t>2,4</w:t>
            </w:r>
          </w:p>
        </w:tc>
      </w:tr>
      <w:tr w:rsidR="000219C0" w:rsidRPr="0053729E" w:rsidTr="001048C8">
        <w:trPr>
          <w:trHeight w:val="370"/>
        </w:trPr>
        <w:tc>
          <w:tcPr>
            <w:tcW w:w="2718" w:type="dxa"/>
            <w:tcBorders>
              <w:top w:val="nil"/>
            </w:tcBorders>
            <w:vAlign w:val="bottom"/>
          </w:tcPr>
          <w:p w:rsidR="000219C0" w:rsidRPr="0053729E" w:rsidRDefault="000219C0" w:rsidP="00E00B71">
            <w:pPr>
              <w:spacing w:line="288" w:lineRule="auto"/>
              <w:ind w:right="77"/>
              <w:rPr>
                <w:sz w:val="20"/>
                <w:szCs w:val="20"/>
              </w:rPr>
            </w:pPr>
            <w:r w:rsidRPr="0053729E">
              <w:rPr>
                <w:sz w:val="20"/>
                <w:szCs w:val="20"/>
              </w:rPr>
              <w:t>Investment goods</w:t>
            </w:r>
          </w:p>
        </w:tc>
        <w:tc>
          <w:tcPr>
            <w:tcW w:w="1418" w:type="dxa"/>
            <w:tcBorders>
              <w:top w:val="nil"/>
            </w:tcBorders>
            <w:vAlign w:val="center"/>
          </w:tcPr>
          <w:p w:rsidR="000219C0" w:rsidRPr="00261A05" w:rsidRDefault="000219C0" w:rsidP="00BD2888">
            <w:pPr>
              <w:ind w:right="42"/>
              <w:jc w:val="center"/>
            </w:pPr>
            <w:r>
              <w:t>-2,6</w:t>
            </w:r>
          </w:p>
        </w:tc>
        <w:tc>
          <w:tcPr>
            <w:tcW w:w="1417" w:type="dxa"/>
            <w:tcBorders>
              <w:top w:val="nil"/>
            </w:tcBorders>
            <w:vAlign w:val="center"/>
          </w:tcPr>
          <w:p w:rsidR="000219C0" w:rsidRPr="00261A05" w:rsidRDefault="000219C0" w:rsidP="00BD2888">
            <w:pPr>
              <w:ind w:right="42"/>
              <w:jc w:val="center"/>
            </w:pPr>
            <w:r>
              <w:t>1,7</w:t>
            </w:r>
          </w:p>
        </w:tc>
        <w:tc>
          <w:tcPr>
            <w:tcW w:w="1276" w:type="dxa"/>
            <w:tcBorders>
              <w:top w:val="nil"/>
            </w:tcBorders>
            <w:vAlign w:val="center"/>
          </w:tcPr>
          <w:p w:rsidR="000219C0" w:rsidRPr="00261A05" w:rsidRDefault="000219C0" w:rsidP="00BD2888">
            <w:pPr>
              <w:ind w:right="42"/>
              <w:jc w:val="center"/>
            </w:pPr>
            <w:r>
              <w:t>-3,9</w:t>
            </w:r>
          </w:p>
        </w:tc>
        <w:tc>
          <w:tcPr>
            <w:tcW w:w="1361" w:type="dxa"/>
            <w:tcBorders>
              <w:top w:val="nil"/>
              <w:right w:val="double" w:sz="4" w:space="0" w:color="auto"/>
            </w:tcBorders>
            <w:vAlign w:val="center"/>
          </w:tcPr>
          <w:p w:rsidR="000219C0" w:rsidRPr="00261A05" w:rsidRDefault="000219C0" w:rsidP="00BD2888">
            <w:pPr>
              <w:ind w:right="42"/>
              <w:jc w:val="center"/>
            </w:pPr>
            <w:r>
              <w:t>**</w:t>
            </w:r>
          </w:p>
        </w:tc>
        <w:tc>
          <w:tcPr>
            <w:tcW w:w="1035" w:type="dxa"/>
            <w:tcBorders>
              <w:top w:val="nil"/>
              <w:left w:val="double" w:sz="4" w:space="0" w:color="auto"/>
            </w:tcBorders>
            <w:vAlign w:val="center"/>
          </w:tcPr>
          <w:p w:rsidR="000219C0" w:rsidRPr="00261A05" w:rsidRDefault="000219C0" w:rsidP="00BD2888">
            <w:pPr>
              <w:ind w:right="42"/>
              <w:jc w:val="center"/>
            </w:pPr>
            <w:r>
              <w:t>0,7</w:t>
            </w:r>
          </w:p>
        </w:tc>
        <w:tc>
          <w:tcPr>
            <w:tcW w:w="1035" w:type="dxa"/>
            <w:tcBorders>
              <w:top w:val="nil"/>
            </w:tcBorders>
            <w:vAlign w:val="center"/>
          </w:tcPr>
          <w:p w:rsidR="000219C0" w:rsidRPr="00261A05" w:rsidRDefault="000219C0" w:rsidP="00BD2888">
            <w:pPr>
              <w:ind w:right="42"/>
              <w:jc w:val="center"/>
            </w:pPr>
            <w:r>
              <w:t>-2,1</w:t>
            </w:r>
          </w:p>
        </w:tc>
      </w:tr>
      <w:tr w:rsidR="000219C0" w:rsidRPr="0053729E" w:rsidTr="001048C8">
        <w:trPr>
          <w:trHeight w:val="370"/>
        </w:trPr>
        <w:tc>
          <w:tcPr>
            <w:tcW w:w="2718" w:type="dxa"/>
            <w:tcBorders>
              <w:bottom w:val="nil"/>
            </w:tcBorders>
            <w:vAlign w:val="bottom"/>
          </w:tcPr>
          <w:p w:rsidR="000219C0" w:rsidRPr="0053729E" w:rsidRDefault="000219C0" w:rsidP="008040FF">
            <w:pPr>
              <w:spacing w:line="288" w:lineRule="auto"/>
              <w:ind w:right="77"/>
              <w:rPr>
                <w:b/>
                <w:sz w:val="20"/>
                <w:szCs w:val="20"/>
              </w:rPr>
            </w:pPr>
            <w:r w:rsidRPr="0053729E">
              <w:rPr>
                <w:b/>
                <w:sz w:val="20"/>
                <w:szCs w:val="20"/>
              </w:rPr>
              <w:t xml:space="preserve">Capacity Utilization Rate </w:t>
            </w:r>
          </w:p>
        </w:tc>
        <w:tc>
          <w:tcPr>
            <w:tcW w:w="1418" w:type="dxa"/>
            <w:tcBorders>
              <w:bottom w:val="nil"/>
            </w:tcBorders>
            <w:vAlign w:val="center"/>
          </w:tcPr>
          <w:p w:rsidR="000219C0" w:rsidRPr="00261A05" w:rsidRDefault="000219C0" w:rsidP="00BD2888">
            <w:pPr>
              <w:ind w:right="42"/>
              <w:jc w:val="center"/>
              <w:rPr>
                <w:b/>
                <w:bCs/>
              </w:rPr>
            </w:pPr>
            <w:r>
              <w:rPr>
                <w:b/>
                <w:bCs/>
              </w:rPr>
              <w:t>-1,3</w:t>
            </w:r>
          </w:p>
        </w:tc>
        <w:tc>
          <w:tcPr>
            <w:tcW w:w="1417" w:type="dxa"/>
            <w:tcBorders>
              <w:bottom w:val="nil"/>
            </w:tcBorders>
            <w:vAlign w:val="center"/>
          </w:tcPr>
          <w:p w:rsidR="000219C0" w:rsidRPr="00261A05" w:rsidRDefault="000219C0" w:rsidP="00BD2888">
            <w:pPr>
              <w:ind w:right="42"/>
              <w:jc w:val="center"/>
              <w:rPr>
                <w:b/>
                <w:bCs/>
              </w:rPr>
            </w:pPr>
            <w:r>
              <w:rPr>
                <w:b/>
                <w:bCs/>
              </w:rPr>
              <w:t>-0,2</w:t>
            </w:r>
          </w:p>
        </w:tc>
        <w:tc>
          <w:tcPr>
            <w:tcW w:w="1276" w:type="dxa"/>
            <w:tcBorders>
              <w:bottom w:val="nil"/>
            </w:tcBorders>
            <w:vAlign w:val="center"/>
          </w:tcPr>
          <w:p w:rsidR="000219C0" w:rsidRPr="00261A05" w:rsidRDefault="000219C0" w:rsidP="00BD2888">
            <w:pPr>
              <w:ind w:right="42"/>
              <w:jc w:val="center"/>
              <w:rPr>
                <w:b/>
                <w:bCs/>
              </w:rPr>
            </w:pPr>
            <w:r>
              <w:rPr>
                <w:b/>
                <w:bCs/>
              </w:rPr>
              <w:t>-0,1</w:t>
            </w:r>
          </w:p>
        </w:tc>
        <w:tc>
          <w:tcPr>
            <w:tcW w:w="1361" w:type="dxa"/>
            <w:tcBorders>
              <w:bottom w:val="nil"/>
              <w:right w:val="double" w:sz="4" w:space="0" w:color="auto"/>
            </w:tcBorders>
            <w:vAlign w:val="center"/>
          </w:tcPr>
          <w:p w:rsidR="000219C0" w:rsidRPr="00261A05" w:rsidRDefault="000219C0" w:rsidP="00BD2888">
            <w:pPr>
              <w:ind w:right="42"/>
              <w:jc w:val="center"/>
              <w:rPr>
                <w:b/>
                <w:bCs/>
              </w:rPr>
            </w:pPr>
            <w:r>
              <w:rPr>
                <w:b/>
                <w:bCs/>
              </w:rPr>
              <w:t>0,7</w:t>
            </w:r>
          </w:p>
        </w:tc>
        <w:tc>
          <w:tcPr>
            <w:tcW w:w="1035" w:type="dxa"/>
            <w:tcBorders>
              <w:left w:val="double" w:sz="4" w:space="0" w:color="auto"/>
              <w:bottom w:val="nil"/>
            </w:tcBorders>
            <w:vAlign w:val="center"/>
          </w:tcPr>
          <w:p w:rsidR="000219C0" w:rsidRPr="00261A05" w:rsidRDefault="000219C0" w:rsidP="00BD2888">
            <w:pPr>
              <w:ind w:right="42"/>
              <w:jc w:val="center"/>
              <w:rPr>
                <w:b/>
                <w:bCs/>
              </w:rPr>
            </w:pPr>
            <w:r>
              <w:rPr>
                <w:b/>
                <w:bCs/>
              </w:rPr>
              <w:t>0,6</w:t>
            </w:r>
          </w:p>
        </w:tc>
        <w:tc>
          <w:tcPr>
            <w:tcW w:w="1035" w:type="dxa"/>
            <w:tcBorders>
              <w:bottom w:val="nil"/>
            </w:tcBorders>
            <w:vAlign w:val="center"/>
          </w:tcPr>
          <w:p w:rsidR="000219C0" w:rsidRPr="00261A05" w:rsidRDefault="000219C0" w:rsidP="00BD2888">
            <w:pPr>
              <w:ind w:right="42"/>
              <w:jc w:val="center"/>
              <w:rPr>
                <w:b/>
                <w:bCs/>
              </w:rPr>
            </w:pPr>
            <w:r>
              <w:rPr>
                <w:b/>
                <w:bCs/>
              </w:rPr>
              <w:t>-1,1</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Nondurable consumer goods</w:t>
            </w:r>
          </w:p>
        </w:tc>
        <w:tc>
          <w:tcPr>
            <w:tcW w:w="1418" w:type="dxa"/>
            <w:tcBorders>
              <w:top w:val="nil"/>
              <w:bottom w:val="nil"/>
            </w:tcBorders>
            <w:vAlign w:val="center"/>
          </w:tcPr>
          <w:p w:rsidR="000219C0" w:rsidRPr="00261A05" w:rsidRDefault="000219C0" w:rsidP="00BD2888">
            <w:pPr>
              <w:ind w:right="42"/>
              <w:jc w:val="center"/>
            </w:pPr>
            <w:r>
              <w:t>0,1</w:t>
            </w:r>
          </w:p>
        </w:tc>
        <w:tc>
          <w:tcPr>
            <w:tcW w:w="1417" w:type="dxa"/>
            <w:tcBorders>
              <w:top w:val="nil"/>
              <w:bottom w:val="nil"/>
            </w:tcBorders>
            <w:vAlign w:val="center"/>
          </w:tcPr>
          <w:p w:rsidR="000219C0" w:rsidRPr="00261A05" w:rsidRDefault="000219C0" w:rsidP="00BD2888">
            <w:pPr>
              <w:ind w:right="42"/>
              <w:jc w:val="center"/>
            </w:pPr>
            <w:r>
              <w:t>0,8</w:t>
            </w:r>
          </w:p>
        </w:tc>
        <w:tc>
          <w:tcPr>
            <w:tcW w:w="1276" w:type="dxa"/>
            <w:tcBorders>
              <w:top w:val="nil"/>
              <w:bottom w:val="nil"/>
            </w:tcBorders>
            <w:vAlign w:val="center"/>
          </w:tcPr>
          <w:p w:rsidR="000219C0" w:rsidRPr="00261A05" w:rsidRDefault="000219C0" w:rsidP="00BD2888">
            <w:pPr>
              <w:ind w:right="42"/>
              <w:jc w:val="center"/>
            </w:pPr>
            <w:r>
              <w:t>-0,5</w:t>
            </w:r>
          </w:p>
        </w:tc>
        <w:tc>
          <w:tcPr>
            <w:tcW w:w="1361" w:type="dxa"/>
            <w:tcBorders>
              <w:top w:val="nil"/>
              <w:bottom w:val="nil"/>
              <w:right w:val="double" w:sz="4" w:space="0" w:color="auto"/>
            </w:tcBorders>
            <w:vAlign w:val="center"/>
          </w:tcPr>
          <w:p w:rsidR="000219C0" w:rsidRPr="00261A05" w:rsidRDefault="000219C0" w:rsidP="00BD2888">
            <w:pPr>
              <w:ind w:right="42"/>
              <w:jc w:val="center"/>
            </w:pPr>
            <w:r>
              <w:t>0,4</w:t>
            </w:r>
          </w:p>
        </w:tc>
        <w:tc>
          <w:tcPr>
            <w:tcW w:w="1035" w:type="dxa"/>
            <w:tcBorders>
              <w:top w:val="nil"/>
              <w:left w:val="double" w:sz="4" w:space="0" w:color="auto"/>
              <w:bottom w:val="nil"/>
            </w:tcBorders>
            <w:vAlign w:val="center"/>
          </w:tcPr>
          <w:p w:rsidR="000219C0" w:rsidRPr="00261A05" w:rsidRDefault="000219C0" w:rsidP="00BD2888">
            <w:pPr>
              <w:ind w:right="42"/>
              <w:jc w:val="center"/>
            </w:pPr>
            <w:r>
              <w:t>0,2</w:t>
            </w:r>
          </w:p>
        </w:tc>
        <w:tc>
          <w:tcPr>
            <w:tcW w:w="1035" w:type="dxa"/>
            <w:tcBorders>
              <w:top w:val="nil"/>
              <w:bottom w:val="nil"/>
            </w:tcBorders>
            <w:vAlign w:val="center"/>
          </w:tcPr>
          <w:p w:rsidR="000219C0" w:rsidRPr="00261A05" w:rsidRDefault="000219C0" w:rsidP="00BD2888">
            <w:pPr>
              <w:ind w:right="42"/>
              <w:jc w:val="center"/>
            </w:pPr>
            <w:r>
              <w:t>0,8</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Durable consumer goods</w:t>
            </w:r>
          </w:p>
        </w:tc>
        <w:tc>
          <w:tcPr>
            <w:tcW w:w="1418" w:type="dxa"/>
            <w:tcBorders>
              <w:top w:val="nil"/>
              <w:bottom w:val="nil"/>
            </w:tcBorders>
            <w:vAlign w:val="center"/>
          </w:tcPr>
          <w:p w:rsidR="000219C0" w:rsidRPr="00261A05" w:rsidRDefault="000219C0" w:rsidP="00BD2888">
            <w:pPr>
              <w:ind w:right="42"/>
              <w:jc w:val="center"/>
            </w:pPr>
            <w:r>
              <w:t>-1,3</w:t>
            </w:r>
          </w:p>
        </w:tc>
        <w:tc>
          <w:tcPr>
            <w:tcW w:w="1417" w:type="dxa"/>
            <w:tcBorders>
              <w:top w:val="nil"/>
              <w:bottom w:val="nil"/>
            </w:tcBorders>
            <w:vAlign w:val="center"/>
          </w:tcPr>
          <w:p w:rsidR="000219C0" w:rsidRPr="00261A05" w:rsidRDefault="000219C0" w:rsidP="00BD2888">
            <w:pPr>
              <w:ind w:right="42"/>
              <w:jc w:val="center"/>
            </w:pPr>
            <w:r>
              <w:t>0,6</w:t>
            </w:r>
          </w:p>
        </w:tc>
        <w:tc>
          <w:tcPr>
            <w:tcW w:w="1276" w:type="dxa"/>
            <w:tcBorders>
              <w:top w:val="nil"/>
              <w:bottom w:val="nil"/>
            </w:tcBorders>
            <w:vAlign w:val="center"/>
          </w:tcPr>
          <w:p w:rsidR="000219C0" w:rsidRPr="00261A05" w:rsidRDefault="000219C0" w:rsidP="00BD2888">
            <w:pPr>
              <w:ind w:right="42"/>
              <w:jc w:val="center"/>
            </w:pPr>
            <w:r>
              <w:t>-0,3</w:t>
            </w:r>
          </w:p>
        </w:tc>
        <w:tc>
          <w:tcPr>
            <w:tcW w:w="1361" w:type="dxa"/>
            <w:tcBorders>
              <w:top w:val="nil"/>
              <w:bottom w:val="nil"/>
              <w:right w:val="double" w:sz="4" w:space="0" w:color="auto"/>
            </w:tcBorders>
            <w:vAlign w:val="center"/>
          </w:tcPr>
          <w:p w:rsidR="000219C0" w:rsidRPr="00261A05" w:rsidRDefault="000219C0" w:rsidP="00BD2888">
            <w:pPr>
              <w:ind w:right="42"/>
              <w:jc w:val="center"/>
            </w:pPr>
            <w:r>
              <w:t>3,3</w:t>
            </w:r>
          </w:p>
        </w:tc>
        <w:tc>
          <w:tcPr>
            <w:tcW w:w="1035" w:type="dxa"/>
            <w:tcBorders>
              <w:top w:val="nil"/>
              <w:left w:val="double" w:sz="4" w:space="0" w:color="auto"/>
              <w:bottom w:val="nil"/>
            </w:tcBorders>
            <w:vAlign w:val="center"/>
          </w:tcPr>
          <w:p w:rsidR="000219C0" w:rsidRPr="00261A05" w:rsidRDefault="000219C0" w:rsidP="00BD2888">
            <w:pPr>
              <w:ind w:right="42"/>
              <w:jc w:val="center"/>
            </w:pPr>
            <w:r>
              <w:t>0,3</w:t>
            </w:r>
          </w:p>
        </w:tc>
        <w:tc>
          <w:tcPr>
            <w:tcW w:w="1035" w:type="dxa"/>
            <w:tcBorders>
              <w:top w:val="nil"/>
              <w:bottom w:val="nil"/>
            </w:tcBorders>
            <w:vAlign w:val="center"/>
          </w:tcPr>
          <w:p w:rsidR="000219C0" w:rsidRPr="00261A05" w:rsidRDefault="000219C0" w:rsidP="00BD2888">
            <w:pPr>
              <w:ind w:right="42"/>
              <w:jc w:val="center"/>
            </w:pPr>
            <w:r>
              <w:t>-0,8</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Intermediate goods</w:t>
            </w:r>
          </w:p>
        </w:tc>
        <w:tc>
          <w:tcPr>
            <w:tcW w:w="1418" w:type="dxa"/>
            <w:tcBorders>
              <w:top w:val="nil"/>
              <w:bottom w:val="nil"/>
            </w:tcBorders>
            <w:vAlign w:val="center"/>
          </w:tcPr>
          <w:p w:rsidR="000219C0" w:rsidRPr="00261A05" w:rsidRDefault="000219C0" w:rsidP="00BD2888">
            <w:pPr>
              <w:ind w:right="42"/>
              <w:jc w:val="center"/>
            </w:pPr>
            <w:r>
              <w:t>-1,3</w:t>
            </w:r>
          </w:p>
        </w:tc>
        <w:tc>
          <w:tcPr>
            <w:tcW w:w="1417" w:type="dxa"/>
            <w:tcBorders>
              <w:top w:val="nil"/>
              <w:bottom w:val="nil"/>
            </w:tcBorders>
            <w:vAlign w:val="center"/>
          </w:tcPr>
          <w:p w:rsidR="000219C0" w:rsidRPr="00261A05" w:rsidRDefault="000219C0" w:rsidP="00BD2888">
            <w:pPr>
              <w:ind w:right="42"/>
              <w:jc w:val="center"/>
            </w:pPr>
            <w:r>
              <w:t>0,5</w:t>
            </w:r>
          </w:p>
        </w:tc>
        <w:tc>
          <w:tcPr>
            <w:tcW w:w="1276" w:type="dxa"/>
            <w:tcBorders>
              <w:top w:val="nil"/>
              <w:bottom w:val="nil"/>
            </w:tcBorders>
            <w:vAlign w:val="center"/>
          </w:tcPr>
          <w:p w:rsidR="000219C0" w:rsidRPr="00261A05" w:rsidRDefault="000219C0" w:rsidP="00BD2888">
            <w:pPr>
              <w:ind w:right="42"/>
              <w:jc w:val="center"/>
            </w:pPr>
            <w:r>
              <w:t>-0,1</w:t>
            </w:r>
          </w:p>
        </w:tc>
        <w:tc>
          <w:tcPr>
            <w:tcW w:w="1361" w:type="dxa"/>
            <w:tcBorders>
              <w:top w:val="nil"/>
              <w:bottom w:val="nil"/>
              <w:right w:val="double" w:sz="4" w:space="0" w:color="auto"/>
            </w:tcBorders>
            <w:vAlign w:val="center"/>
          </w:tcPr>
          <w:p w:rsidR="000219C0" w:rsidRPr="00261A05" w:rsidRDefault="000219C0" w:rsidP="00BD2888">
            <w:pPr>
              <w:ind w:right="42"/>
              <w:jc w:val="center"/>
            </w:pPr>
            <w:r>
              <w:t>-1,3</w:t>
            </w:r>
          </w:p>
        </w:tc>
        <w:tc>
          <w:tcPr>
            <w:tcW w:w="1035" w:type="dxa"/>
            <w:tcBorders>
              <w:top w:val="nil"/>
              <w:left w:val="double" w:sz="4" w:space="0" w:color="auto"/>
              <w:bottom w:val="nil"/>
            </w:tcBorders>
            <w:vAlign w:val="center"/>
          </w:tcPr>
          <w:p w:rsidR="000219C0" w:rsidRPr="00261A05" w:rsidRDefault="000219C0" w:rsidP="00BD2888">
            <w:pPr>
              <w:ind w:right="42"/>
              <w:jc w:val="center"/>
            </w:pPr>
            <w:r>
              <w:t>0,9</w:t>
            </w:r>
          </w:p>
        </w:tc>
        <w:tc>
          <w:tcPr>
            <w:tcW w:w="1035" w:type="dxa"/>
            <w:tcBorders>
              <w:top w:val="nil"/>
              <w:bottom w:val="nil"/>
            </w:tcBorders>
            <w:vAlign w:val="center"/>
          </w:tcPr>
          <w:p w:rsidR="000219C0" w:rsidRPr="00261A05" w:rsidRDefault="000219C0" w:rsidP="00BD2888">
            <w:pPr>
              <w:ind w:right="42"/>
              <w:jc w:val="center"/>
            </w:pPr>
            <w:r>
              <w:t>-0,2</w:t>
            </w:r>
          </w:p>
        </w:tc>
      </w:tr>
      <w:tr w:rsidR="000219C0" w:rsidRPr="0053729E" w:rsidTr="001048C8">
        <w:trPr>
          <w:trHeight w:val="370"/>
        </w:trPr>
        <w:tc>
          <w:tcPr>
            <w:tcW w:w="2718" w:type="dxa"/>
            <w:tcBorders>
              <w:top w:val="nil"/>
            </w:tcBorders>
            <w:vAlign w:val="bottom"/>
          </w:tcPr>
          <w:p w:rsidR="000219C0" w:rsidRPr="0053729E" w:rsidRDefault="000219C0" w:rsidP="00E00B71">
            <w:pPr>
              <w:spacing w:line="288" w:lineRule="auto"/>
              <w:ind w:right="77"/>
              <w:rPr>
                <w:sz w:val="20"/>
                <w:szCs w:val="20"/>
              </w:rPr>
            </w:pPr>
            <w:r w:rsidRPr="0053729E">
              <w:rPr>
                <w:sz w:val="20"/>
                <w:szCs w:val="20"/>
              </w:rPr>
              <w:t>Investment goods</w:t>
            </w:r>
          </w:p>
        </w:tc>
        <w:tc>
          <w:tcPr>
            <w:tcW w:w="1418" w:type="dxa"/>
            <w:tcBorders>
              <w:top w:val="nil"/>
            </w:tcBorders>
            <w:vAlign w:val="center"/>
          </w:tcPr>
          <w:p w:rsidR="000219C0" w:rsidRPr="00261A05" w:rsidRDefault="000219C0" w:rsidP="00BD2888">
            <w:pPr>
              <w:ind w:right="42"/>
              <w:jc w:val="center"/>
            </w:pPr>
            <w:r>
              <w:t>-1,2</w:t>
            </w:r>
          </w:p>
        </w:tc>
        <w:tc>
          <w:tcPr>
            <w:tcW w:w="1417" w:type="dxa"/>
            <w:tcBorders>
              <w:top w:val="nil"/>
            </w:tcBorders>
            <w:vAlign w:val="center"/>
          </w:tcPr>
          <w:p w:rsidR="000219C0" w:rsidRPr="00261A05" w:rsidRDefault="000219C0" w:rsidP="00BD2888">
            <w:pPr>
              <w:ind w:right="42"/>
              <w:jc w:val="center"/>
            </w:pPr>
            <w:r>
              <w:t>-2,2</w:t>
            </w:r>
          </w:p>
        </w:tc>
        <w:tc>
          <w:tcPr>
            <w:tcW w:w="1276" w:type="dxa"/>
            <w:tcBorders>
              <w:top w:val="nil"/>
            </w:tcBorders>
            <w:vAlign w:val="center"/>
          </w:tcPr>
          <w:p w:rsidR="000219C0" w:rsidRPr="00261A05" w:rsidRDefault="000219C0" w:rsidP="00BD2888">
            <w:pPr>
              <w:ind w:right="42"/>
              <w:jc w:val="center"/>
            </w:pPr>
            <w:r>
              <w:t>-0,2</w:t>
            </w:r>
          </w:p>
        </w:tc>
        <w:tc>
          <w:tcPr>
            <w:tcW w:w="1361" w:type="dxa"/>
            <w:tcBorders>
              <w:top w:val="nil"/>
              <w:right w:val="double" w:sz="4" w:space="0" w:color="auto"/>
            </w:tcBorders>
            <w:vAlign w:val="center"/>
          </w:tcPr>
          <w:p w:rsidR="000219C0" w:rsidRPr="00261A05" w:rsidRDefault="000219C0" w:rsidP="00BD2888">
            <w:pPr>
              <w:ind w:right="42"/>
              <w:jc w:val="center"/>
            </w:pPr>
            <w:r>
              <w:t>0,7</w:t>
            </w:r>
          </w:p>
        </w:tc>
        <w:tc>
          <w:tcPr>
            <w:tcW w:w="1035" w:type="dxa"/>
            <w:tcBorders>
              <w:top w:val="nil"/>
              <w:left w:val="double" w:sz="4" w:space="0" w:color="auto"/>
            </w:tcBorders>
            <w:vAlign w:val="center"/>
          </w:tcPr>
          <w:p w:rsidR="000219C0" w:rsidRPr="00261A05" w:rsidRDefault="000219C0" w:rsidP="00BD2888">
            <w:pPr>
              <w:ind w:right="42"/>
              <w:jc w:val="center"/>
            </w:pPr>
            <w:r>
              <w:t>0,2</w:t>
            </w:r>
          </w:p>
        </w:tc>
        <w:tc>
          <w:tcPr>
            <w:tcW w:w="1035" w:type="dxa"/>
            <w:tcBorders>
              <w:top w:val="nil"/>
            </w:tcBorders>
            <w:vAlign w:val="center"/>
          </w:tcPr>
          <w:p w:rsidR="000219C0" w:rsidRPr="00261A05" w:rsidRDefault="000219C0" w:rsidP="00BD2888">
            <w:pPr>
              <w:ind w:right="42"/>
              <w:jc w:val="center"/>
            </w:pPr>
            <w:r>
              <w:t>-1,4</w:t>
            </w:r>
          </w:p>
        </w:tc>
      </w:tr>
      <w:tr w:rsidR="000219C0" w:rsidRPr="0053729E" w:rsidTr="001048C8">
        <w:trPr>
          <w:trHeight w:val="370"/>
        </w:trPr>
        <w:tc>
          <w:tcPr>
            <w:tcW w:w="2718" w:type="dxa"/>
            <w:tcBorders>
              <w:bottom w:val="nil"/>
            </w:tcBorders>
            <w:vAlign w:val="bottom"/>
          </w:tcPr>
          <w:p w:rsidR="000219C0" w:rsidRPr="0053729E" w:rsidRDefault="000219C0" w:rsidP="00E00B71">
            <w:pPr>
              <w:spacing w:line="288" w:lineRule="auto"/>
              <w:ind w:right="77"/>
              <w:rPr>
                <w:b/>
                <w:sz w:val="20"/>
                <w:szCs w:val="20"/>
              </w:rPr>
            </w:pPr>
            <w:r w:rsidRPr="0053729E">
              <w:rPr>
                <w:b/>
                <w:sz w:val="20"/>
                <w:szCs w:val="20"/>
              </w:rPr>
              <w:t>Soft Data</w:t>
            </w:r>
          </w:p>
        </w:tc>
        <w:tc>
          <w:tcPr>
            <w:tcW w:w="1418" w:type="dxa"/>
            <w:tcBorders>
              <w:bottom w:val="nil"/>
            </w:tcBorders>
            <w:vAlign w:val="center"/>
          </w:tcPr>
          <w:p w:rsidR="000219C0" w:rsidRPr="00261A05" w:rsidRDefault="000219C0" w:rsidP="00BD2888">
            <w:pPr>
              <w:ind w:right="42"/>
              <w:jc w:val="center"/>
              <w:rPr>
                <w:b/>
                <w:bCs/>
              </w:rPr>
            </w:pPr>
          </w:p>
        </w:tc>
        <w:tc>
          <w:tcPr>
            <w:tcW w:w="1417" w:type="dxa"/>
            <w:tcBorders>
              <w:bottom w:val="nil"/>
            </w:tcBorders>
            <w:vAlign w:val="center"/>
          </w:tcPr>
          <w:p w:rsidR="000219C0" w:rsidRPr="00261A05" w:rsidRDefault="000219C0" w:rsidP="00BD2888">
            <w:pPr>
              <w:ind w:right="42"/>
              <w:jc w:val="center"/>
              <w:rPr>
                <w:b/>
                <w:bCs/>
              </w:rPr>
            </w:pPr>
          </w:p>
        </w:tc>
        <w:tc>
          <w:tcPr>
            <w:tcW w:w="1276" w:type="dxa"/>
            <w:tcBorders>
              <w:bottom w:val="nil"/>
            </w:tcBorders>
            <w:vAlign w:val="center"/>
          </w:tcPr>
          <w:p w:rsidR="000219C0" w:rsidRPr="00261A05" w:rsidRDefault="000219C0" w:rsidP="00BD2888">
            <w:pPr>
              <w:ind w:right="42"/>
              <w:jc w:val="center"/>
              <w:rPr>
                <w:b/>
                <w:bCs/>
              </w:rPr>
            </w:pPr>
          </w:p>
        </w:tc>
        <w:tc>
          <w:tcPr>
            <w:tcW w:w="1361" w:type="dxa"/>
            <w:tcBorders>
              <w:bottom w:val="nil"/>
              <w:right w:val="double" w:sz="4" w:space="0" w:color="auto"/>
            </w:tcBorders>
            <w:vAlign w:val="center"/>
          </w:tcPr>
          <w:p w:rsidR="000219C0" w:rsidRPr="00261A05" w:rsidRDefault="000219C0" w:rsidP="00BD2888">
            <w:pPr>
              <w:ind w:right="42"/>
              <w:jc w:val="center"/>
              <w:rPr>
                <w:b/>
                <w:bCs/>
              </w:rPr>
            </w:pPr>
          </w:p>
        </w:tc>
        <w:tc>
          <w:tcPr>
            <w:tcW w:w="1035" w:type="dxa"/>
            <w:tcBorders>
              <w:left w:val="double" w:sz="4" w:space="0" w:color="auto"/>
              <w:bottom w:val="nil"/>
            </w:tcBorders>
            <w:vAlign w:val="center"/>
          </w:tcPr>
          <w:p w:rsidR="000219C0" w:rsidRPr="00261A05" w:rsidRDefault="000219C0" w:rsidP="00BD2888">
            <w:pPr>
              <w:ind w:right="42"/>
              <w:jc w:val="center"/>
              <w:rPr>
                <w:b/>
                <w:bCs/>
              </w:rPr>
            </w:pPr>
          </w:p>
        </w:tc>
        <w:tc>
          <w:tcPr>
            <w:tcW w:w="1035" w:type="dxa"/>
            <w:tcBorders>
              <w:bottom w:val="nil"/>
            </w:tcBorders>
            <w:vAlign w:val="center"/>
          </w:tcPr>
          <w:p w:rsidR="000219C0" w:rsidRPr="00261A05" w:rsidRDefault="000219C0" w:rsidP="00BD2888">
            <w:pPr>
              <w:ind w:right="42"/>
              <w:jc w:val="center"/>
              <w:rPr>
                <w:b/>
                <w:bCs/>
              </w:rPr>
            </w:pP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Consumer confidence index (Turkstat)</w:t>
            </w:r>
          </w:p>
        </w:tc>
        <w:tc>
          <w:tcPr>
            <w:tcW w:w="1418" w:type="dxa"/>
            <w:tcBorders>
              <w:top w:val="nil"/>
              <w:bottom w:val="nil"/>
            </w:tcBorders>
            <w:vAlign w:val="center"/>
          </w:tcPr>
          <w:p w:rsidR="000219C0" w:rsidRPr="00261A05" w:rsidRDefault="000219C0" w:rsidP="00BD2888">
            <w:pPr>
              <w:ind w:right="42"/>
              <w:jc w:val="center"/>
            </w:pPr>
            <w:r>
              <w:t>-3,9</w:t>
            </w:r>
          </w:p>
        </w:tc>
        <w:tc>
          <w:tcPr>
            <w:tcW w:w="1417" w:type="dxa"/>
            <w:tcBorders>
              <w:top w:val="nil"/>
              <w:bottom w:val="nil"/>
            </w:tcBorders>
            <w:vAlign w:val="center"/>
          </w:tcPr>
          <w:p w:rsidR="000219C0" w:rsidRPr="00261A05" w:rsidRDefault="000219C0" w:rsidP="00BD2888">
            <w:pPr>
              <w:ind w:right="42"/>
              <w:jc w:val="center"/>
            </w:pPr>
            <w:r>
              <w:t>-4,7</w:t>
            </w:r>
          </w:p>
        </w:tc>
        <w:tc>
          <w:tcPr>
            <w:tcW w:w="1276" w:type="dxa"/>
            <w:tcBorders>
              <w:top w:val="nil"/>
              <w:bottom w:val="nil"/>
            </w:tcBorders>
            <w:vAlign w:val="center"/>
          </w:tcPr>
          <w:p w:rsidR="000219C0" w:rsidRPr="00261A05" w:rsidRDefault="000219C0" w:rsidP="00BD2888">
            <w:pPr>
              <w:ind w:right="42"/>
              <w:jc w:val="center"/>
            </w:pPr>
            <w:r>
              <w:t>5,4</w:t>
            </w:r>
          </w:p>
        </w:tc>
        <w:tc>
          <w:tcPr>
            <w:tcW w:w="1361" w:type="dxa"/>
            <w:tcBorders>
              <w:top w:val="nil"/>
              <w:bottom w:val="nil"/>
              <w:right w:val="double" w:sz="4" w:space="0" w:color="auto"/>
            </w:tcBorders>
            <w:vAlign w:val="center"/>
          </w:tcPr>
          <w:p w:rsidR="000219C0" w:rsidRPr="00261A05" w:rsidRDefault="000219C0" w:rsidP="00BD2888">
            <w:pPr>
              <w:ind w:right="42"/>
              <w:jc w:val="center"/>
            </w:pPr>
            <w:r>
              <w:t>6,7</w:t>
            </w:r>
          </w:p>
        </w:tc>
        <w:tc>
          <w:tcPr>
            <w:tcW w:w="1035" w:type="dxa"/>
            <w:tcBorders>
              <w:top w:val="nil"/>
              <w:left w:val="double" w:sz="4" w:space="0" w:color="auto"/>
              <w:bottom w:val="nil"/>
            </w:tcBorders>
            <w:vAlign w:val="center"/>
          </w:tcPr>
          <w:p w:rsidR="000219C0" w:rsidRPr="00261A05" w:rsidRDefault="000219C0" w:rsidP="00BD2888">
            <w:pPr>
              <w:ind w:right="42"/>
              <w:jc w:val="center"/>
            </w:pPr>
            <w:r>
              <w:t>1,5</w:t>
            </w:r>
          </w:p>
        </w:tc>
        <w:tc>
          <w:tcPr>
            <w:tcW w:w="1035" w:type="dxa"/>
            <w:tcBorders>
              <w:top w:val="nil"/>
              <w:bottom w:val="nil"/>
            </w:tcBorders>
            <w:vAlign w:val="center"/>
          </w:tcPr>
          <w:p w:rsidR="000219C0" w:rsidRPr="00261A05" w:rsidRDefault="000219C0" w:rsidP="00BD2888">
            <w:pPr>
              <w:ind w:right="42"/>
              <w:jc w:val="center"/>
            </w:pPr>
            <w:r>
              <w:t>-6,8</w:t>
            </w:r>
          </w:p>
        </w:tc>
      </w:tr>
      <w:tr w:rsidR="000219C0" w:rsidRPr="0053729E" w:rsidTr="001048C8">
        <w:trPr>
          <w:trHeight w:val="370"/>
        </w:trPr>
        <w:tc>
          <w:tcPr>
            <w:tcW w:w="2718" w:type="dxa"/>
            <w:tcBorders>
              <w:top w:val="nil"/>
            </w:tcBorders>
            <w:vAlign w:val="bottom"/>
          </w:tcPr>
          <w:p w:rsidR="000219C0" w:rsidRPr="0053729E" w:rsidRDefault="000219C0" w:rsidP="00E00B71">
            <w:pPr>
              <w:spacing w:line="288" w:lineRule="auto"/>
              <w:ind w:right="77"/>
              <w:rPr>
                <w:sz w:val="20"/>
                <w:szCs w:val="20"/>
              </w:rPr>
            </w:pPr>
            <w:r>
              <w:rPr>
                <w:sz w:val="20"/>
                <w:szCs w:val="20"/>
              </w:rPr>
              <w:t>Rea</w:t>
            </w:r>
            <w:r w:rsidRPr="0053729E">
              <w:rPr>
                <w:sz w:val="20"/>
                <w:szCs w:val="20"/>
              </w:rPr>
              <w:t>l sector confidence index</w:t>
            </w:r>
          </w:p>
        </w:tc>
        <w:tc>
          <w:tcPr>
            <w:tcW w:w="1418" w:type="dxa"/>
            <w:tcBorders>
              <w:top w:val="nil"/>
            </w:tcBorders>
            <w:vAlign w:val="center"/>
          </w:tcPr>
          <w:p w:rsidR="000219C0" w:rsidRPr="00261A05" w:rsidRDefault="000219C0" w:rsidP="00BD2888">
            <w:pPr>
              <w:ind w:right="42"/>
              <w:jc w:val="center"/>
            </w:pPr>
            <w:r>
              <w:t>-5,6</w:t>
            </w:r>
          </w:p>
        </w:tc>
        <w:tc>
          <w:tcPr>
            <w:tcW w:w="1417" w:type="dxa"/>
            <w:tcBorders>
              <w:top w:val="nil"/>
            </w:tcBorders>
            <w:vAlign w:val="center"/>
          </w:tcPr>
          <w:p w:rsidR="000219C0" w:rsidRPr="00261A05" w:rsidRDefault="000219C0" w:rsidP="00BD2888">
            <w:pPr>
              <w:ind w:right="42"/>
              <w:jc w:val="center"/>
            </w:pPr>
            <w:r>
              <w:t>0,4</w:t>
            </w:r>
          </w:p>
        </w:tc>
        <w:tc>
          <w:tcPr>
            <w:tcW w:w="1276" w:type="dxa"/>
            <w:tcBorders>
              <w:top w:val="nil"/>
            </w:tcBorders>
            <w:vAlign w:val="center"/>
          </w:tcPr>
          <w:p w:rsidR="000219C0" w:rsidRPr="00261A05" w:rsidRDefault="000219C0" w:rsidP="00BD2888">
            <w:pPr>
              <w:ind w:right="42"/>
              <w:jc w:val="center"/>
            </w:pPr>
            <w:r>
              <w:t>1,0</w:t>
            </w:r>
          </w:p>
        </w:tc>
        <w:tc>
          <w:tcPr>
            <w:tcW w:w="1361" w:type="dxa"/>
            <w:tcBorders>
              <w:top w:val="nil"/>
              <w:right w:val="double" w:sz="4" w:space="0" w:color="auto"/>
            </w:tcBorders>
            <w:vAlign w:val="center"/>
          </w:tcPr>
          <w:p w:rsidR="000219C0" w:rsidRPr="00261A05" w:rsidRDefault="000219C0" w:rsidP="00BD2888">
            <w:pPr>
              <w:ind w:right="42"/>
              <w:jc w:val="center"/>
            </w:pPr>
            <w:r>
              <w:t>1,2</w:t>
            </w:r>
          </w:p>
        </w:tc>
        <w:tc>
          <w:tcPr>
            <w:tcW w:w="1035" w:type="dxa"/>
            <w:tcBorders>
              <w:top w:val="nil"/>
              <w:left w:val="double" w:sz="4" w:space="0" w:color="auto"/>
            </w:tcBorders>
            <w:vAlign w:val="center"/>
          </w:tcPr>
          <w:p w:rsidR="000219C0" w:rsidRPr="00261A05" w:rsidRDefault="000219C0" w:rsidP="00BD2888">
            <w:pPr>
              <w:ind w:right="42"/>
              <w:jc w:val="center"/>
            </w:pPr>
            <w:r>
              <w:t>3,6</w:t>
            </w:r>
          </w:p>
        </w:tc>
        <w:tc>
          <w:tcPr>
            <w:tcW w:w="1035" w:type="dxa"/>
            <w:tcBorders>
              <w:top w:val="nil"/>
            </w:tcBorders>
            <w:vAlign w:val="center"/>
          </w:tcPr>
          <w:p w:rsidR="000219C0" w:rsidRPr="00261A05" w:rsidRDefault="000219C0" w:rsidP="00BD2888">
            <w:pPr>
              <w:ind w:right="42"/>
              <w:jc w:val="center"/>
            </w:pPr>
            <w:r>
              <w:t>-5,6</w:t>
            </w:r>
          </w:p>
        </w:tc>
      </w:tr>
      <w:tr w:rsidR="000219C0" w:rsidRPr="0053729E" w:rsidTr="001048C8">
        <w:trPr>
          <w:trHeight w:val="370"/>
        </w:trPr>
        <w:tc>
          <w:tcPr>
            <w:tcW w:w="2718" w:type="dxa"/>
            <w:tcBorders>
              <w:bottom w:val="nil"/>
            </w:tcBorders>
            <w:vAlign w:val="bottom"/>
          </w:tcPr>
          <w:p w:rsidR="000219C0" w:rsidRPr="0053729E" w:rsidRDefault="000219C0" w:rsidP="00E00B71">
            <w:pPr>
              <w:spacing w:line="288" w:lineRule="auto"/>
              <w:ind w:right="77"/>
              <w:rPr>
                <w:b/>
                <w:sz w:val="20"/>
                <w:szCs w:val="20"/>
              </w:rPr>
            </w:pPr>
            <w:r w:rsidRPr="0053729E">
              <w:rPr>
                <w:b/>
                <w:sz w:val="20"/>
                <w:szCs w:val="20"/>
              </w:rPr>
              <w:t>Financial Data</w:t>
            </w:r>
          </w:p>
        </w:tc>
        <w:tc>
          <w:tcPr>
            <w:tcW w:w="1418" w:type="dxa"/>
            <w:tcBorders>
              <w:bottom w:val="nil"/>
            </w:tcBorders>
            <w:vAlign w:val="center"/>
          </w:tcPr>
          <w:p w:rsidR="000219C0" w:rsidRPr="00261A05" w:rsidRDefault="000219C0" w:rsidP="00BD2888">
            <w:pPr>
              <w:ind w:right="42"/>
              <w:jc w:val="center"/>
              <w:rPr>
                <w:b/>
                <w:bCs/>
              </w:rPr>
            </w:pPr>
          </w:p>
        </w:tc>
        <w:tc>
          <w:tcPr>
            <w:tcW w:w="1417" w:type="dxa"/>
            <w:tcBorders>
              <w:bottom w:val="nil"/>
            </w:tcBorders>
            <w:vAlign w:val="center"/>
          </w:tcPr>
          <w:p w:rsidR="000219C0" w:rsidRPr="00261A05" w:rsidRDefault="000219C0" w:rsidP="00BD2888">
            <w:pPr>
              <w:ind w:right="42"/>
              <w:jc w:val="center"/>
              <w:rPr>
                <w:b/>
                <w:bCs/>
              </w:rPr>
            </w:pPr>
          </w:p>
        </w:tc>
        <w:tc>
          <w:tcPr>
            <w:tcW w:w="1276" w:type="dxa"/>
            <w:tcBorders>
              <w:bottom w:val="nil"/>
            </w:tcBorders>
            <w:vAlign w:val="center"/>
          </w:tcPr>
          <w:p w:rsidR="000219C0" w:rsidRPr="00261A05" w:rsidRDefault="000219C0" w:rsidP="00BD2888">
            <w:pPr>
              <w:ind w:right="42"/>
              <w:jc w:val="center"/>
              <w:rPr>
                <w:b/>
                <w:bCs/>
              </w:rPr>
            </w:pPr>
          </w:p>
        </w:tc>
        <w:tc>
          <w:tcPr>
            <w:tcW w:w="1361" w:type="dxa"/>
            <w:tcBorders>
              <w:bottom w:val="nil"/>
              <w:right w:val="double" w:sz="4" w:space="0" w:color="auto"/>
            </w:tcBorders>
            <w:vAlign w:val="center"/>
          </w:tcPr>
          <w:p w:rsidR="000219C0" w:rsidRPr="00261A05" w:rsidRDefault="000219C0" w:rsidP="00BD2888">
            <w:pPr>
              <w:ind w:right="42"/>
              <w:jc w:val="center"/>
              <w:rPr>
                <w:b/>
                <w:bCs/>
              </w:rPr>
            </w:pPr>
          </w:p>
        </w:tc>
        <w:tc>
          <w:tcPr>
            <w:tcW w:w="1035" w:type="dxa"/>
            <w:tcBorders>
              <w:left w:val="double" w:sz="4" w:space="0" w:color="auto"/>
              <w:bottom w:val="nil"/>
            </w:tcBorders>
            <w:vAlign w:val="center"/>
          </w:tcPr>
          <w:p w:rsidR="000219C0" w:rsidRPr="00261A05" w:rsidRDefault="000219C0" w:rsidP="00BD2888">
            <w:pPr>
              <w:ind w:right="42"/>
              <w:jc w:val="center"/>
              <w:rPr>
                <w:b/>
                <w:bCs/>
              </w:rPr>
            </w:pPr>
          </w:p>
        </w:tc>
        <w:tc>
          <w:tcPr>
            <w:tcW w:w="1035" w:type="dxa"/>
            <w:tcBorders>
              <w:bottom w:val="nil"/>
            </w:tcBorders>
            <w:vAlign w:val="center"/>
          </w:tcPr>
          <w:p w:rsidR="000219C0" w:rsidRPr="00261A05" w:rsidRDefault="000219C0" w:rsidP="00BD2888">
            <w:pPr>
              <w:ind w:right="42"/>
              <w:jc w:val="center"/>
              <w:rPr>
                <w:b/>
                <w:bCs/>
              </w:rPr>
            </w:pPr>
          </w:p>
        </w:tc>
      </w:tr>
      <w:tr w:rsidR="000219C0" w:rsidRPr="0053729E" w:rsidTr="001048C8">
        <w:trPr>
          <w:trHeight w:val="370"/>
        </w:trPr>
        <w:tc>
          <w:tcPr>
            <w:tcW w:w="2718" w:type="dxa"/>
            <w:tcBorders>
              <w:top w:val="nil"/>
            </w:tcBorders>
            <w:vAlign w:val="bottom"/>
          </w:tcPr>
          <w:p w:rsidR="000219C0" w:rsidRPr="0053729E" w:rsidRDefault="000219C0" w:rsidP="00E00B71">
            <w:pPr>
              <w:spacing w:line="288" w:lineRule="auto"/>
              <w:ind w:right="77"/>
              <w:rPr>
                <w:sz w:val="20"/>
                <w:szCs w:val="20"/>
              </w:rPr>
            </w:pPr>
            <w:r w:rsidRPr="0053729E">
              <w:rPr>
                <w:sz w:val="20"/>
                <w:szCs w:val="20"/>
              </w:rPr>
              <w:t>IMKB 100 (Stock Exchange)</w:t>
            </w:r>
          </w:p>
        </w:tc>
        <w:tc>
          <w:tcPr>
            <w:tcW w:w="1418" w:type="dxa"/>
            <w:tcBorders>
              <w:top w:val="nil"/>
            </w:tcBorders>
            <w:vAlign w:val="center"/>
          </w:tcPr>
          <w:p w:rsidR="000219C0" w:rsidRPr="00261A05" w:rsidRDefault="000219C0" w:rsidP="00BD2888">
            <w:pPr>
              <w:ind w:right="42"/>
              <w:jc w:val="center"/>
            </w:pPr>
            <w:r>
              <w:t>-8,5</w:t>
            </w:r>
          </w:p>
        </w:tc>
        <w:tc>
          <w:tcPr>
            <w:tcW w:w="1417" w:type="dxa"/>
            <w:tcBorders>
              <w:top w:val="nil"/>
            </w:tcBorders>
            <w:vAlign w:val="center"/>
          </w:tcPr>
          <w:p w:rsidR="000219C0" w:rsidRPr="00261A05" w:rsidRDefault="000219C0" w:rsidP="00BD2888">
            <w:pPr>
              <w:ind w:right="42"/>
              <w:jc w:val="center"/>
            </w:pPr>
            <w:r>
              <w:t>-2,7</w:t>
            </w:r>
          </w:p>
        </w:tc>
        <w:tc>
          <w:tcPr>
            <w:tcW w:w="1276" w:type="dxa"/>
            <w:tcBorders>
              <w:top w:val="nil"/>
            </w:tcBorders>
            <w:vAlign w:val="center"/>
          </w:tcPr>
          <w:p w:rsidR="000219C0" w:rsidRPr="00261A05" w:rsidRDefault="000219C0" w:rsidP="00BD2888">
            <w:pPr>
              <w:ind w:right="42"/>
              <w:jc w:val="center"/>
            </w:pPr>
            <w:r>
              <w:t>1,1</w:t>
            </w:r>
          </w:p>
        </w:tc>
        <w:tc>
          <w:tcPr>
            <w:tcW w:w="1361" w:type="dxa"/>
            <w:tcBorders>
              <w:top w:val="nil"/>
              <w:right w:val="double" w:sz="4" w:space="0" w:color="auto"/>
            </w:tcBorders>
            <w:vAlign w:val="center"/>
          </w:tcPr>
          <w:p w:rsidR="000219C0" w:rsidRPr="00261A05" w:rsidRDefault="000219C0" w:rsidP="00BD2888">
            <w:pPr>
              <w:ind w:right="42"/>
              <w:jc w:val="center"/>
            </w:pPr>
            <w:r>
              <w:t>5,6</w:t>
            </w:r>
          </w:p>
        </w:tc>
        <w:tc>
          <w:tcPr>
            <w:tcW w:w="1035" w:type="dxa"/>
            <w:tcBorders>
              <w:top w:val="nil"/>
              <w:left w:val="double" w:sz="4" w:space="0" w:color="auto"/>
            </w:tcBorders>
            <w:vAlign w:val="center"/>
          </w:tcPr>
          <w:p w:rsidR="000219C0" w:rsidRPr="00261A05" w:rsidRDefault="000219C0" w:rsidP="00BD2888">
            <w:pPr>
              <w:ind w:right="42"/>
              <w:jc w:val="center"/>
            </w:pPr>
            <w:r>
              <w:t>-1,4</w:t>
            </w:r>
          </w:p>
        </w:tc>
        <w:tc>
          <w:tcPr>
            <w:tcW w:w="1035" w:type="dxa"/>
            <w:tcBorders>
              <w:top w:val="nil"/>
            </w:tcBorders>
            <w:vAlign w:val="center"/>
          </w:tcPr>
          <w:p w:rsidR="000219C0" w:rsidRPr="00261A05" w:rsidRDefault="000219C0" w:rsidP="00BD2888">
            <w:pPr>
              <w:ind w:right="42"/>
              <w:jc w:val="center"/>
            </w:pPr>
            <w:r>
              <w:t>-14,1</w:t>
            </w:r>
          </w:p>
        </w:tc>
      </w:tr>
      <w:tr w:rsidR="000219C0" w:rsidRPr="0053729E" w:rsidTr="001048C8">
        <w:trPr>
          <w:trHeight w:val="370"/>
        </w:trPr>
        <w:tc>
          <w:tcPr>
            <w:tcW w:w="2718" w:type="dxa"/>
            <w:tcBorders>
              <w:bottom w:val="nil"/>
            </w:tcBorders>
            <w:vAlign w:val="bottom"/>
          </w:tcPr>
          <w:p w:rsidR="000219C0" w:rsidRPr="0053729E" w:rsidRDefault="000219C0" w:rsidP="00E00B71">
            <w:pPr>
              <w:spacing w:line="288" w:lineRule="auto"/>
              <w:ind w:right="77"/>
              <w:rPr>
                <w:b/>
                <w:sz w:val="20"/>
                <w:szCs w:val="20"/>
              </w:rPr>
            </w:pPr>
            <w:r w:rsidRPr="0053729E">
              <w:rPr>
                <w:b/>
                <w:sz w:val="20"/>
                <w:szCs w:val="20"/>
              </w:rPr>
              <w:t>Other</w:t>
            </w:r>
          </w:p>
        </w:tc>
        <w:tc>
          <w:tcPr>
            <w:tcW w:w="1418" w:type="dxa"/>
            <w:tcBorders>
              <w:bottom w:val="nil"/>
            </w:tcBorders>
            <w:vAlign w:val="center"/>
          </w:tcPr>
          <w:p w:rsidR="000219C0" w:rsidRPr="00261A05" w:rsidRDefault="000219C0" w:rsidP="00BD2888">
            <w:pPr>
              <w:ind w:right="42"/>
              <w:jc w:val="center"/>
            </w:pPr>
          </w:p>
        </w:tc>
        <w:tc>
          <w:tcPr>
            <w:tcW w:w="1417" w:type="dxa"/>
            <w:tcBorders>
              <w:bottom w:val="nil"/>
            </w:tcBorders>
            <w:vAlign w:val="center"/>
          </w:tcPr>
          <w:p w:rsidR="000219C0" w:rsidRPr="00261A05" w:rsidRDefault="000219C0" w:rsidP="00BD2888">
            <w:pPr>
              <w:ind w:right="42"/>
              <w:jc w:val="center"/>
            </w:pPr>
          </w:p>
        </w:tc>
        <w:tc>
          <w:tcPr>
            <w:tcW w:w="1276" w:type="dxa"/>
            <w:tcBorders>
              <w:bottom w:val="nil"/>
            </w:tcBorders>
            <w:vAlign w:val="center"/>
          </w:tcPr>
          <w:p w:rsidR="000219C0" w:rsidRPr="00261A05" w:rsidRDefault="000219C0" w:rsidP="00BD2888">
            <w:pPr>
              <w:ind w:right="42"/>
              <w:jc w:val="center"/>
            </w:pPr>
          </w:p>
        </w:tc>
        <w:tc>
          <w:tcPr>
            <w:tcW w:w="1361" w:type="dxa"/>
            <w:tcBorders>
              <w:bottom w:val="nil"/>
              <w:right w:val="double" w:sz="4" w:space="0" w:color="auto"/>
            </w:tcBorders>
            <w:vAlign w:val="center"/>
          </w:tcPr>
          <w:p w:rsidR="000219C0" w:rsidRPr="00261A05" w:rsidRDefault="000219C0" w:rsidP="00BD2888">
            <w:pPr>
              <w:ind w:right="42"/>
              <w:jc w:val="center"/>
            </w:pPr>
          </w:p>
        </w:tc>
        <w:tc>
          <w:tcPr>
            <w:tcW w:w="1035" w:type="dxa"/>
            <w:tcBorders>
              <w:left w:val="double" w:sz="4" w:space="0" w:color="auto"/>
              <w:bottom w:val="nil"/>
            </w:tcBorders>
            <w:vAlign w:val="center"/>
          </w:tcPr>
          <w:p w:rsidR="000219C0" w:rsidRPr="00261A05" w:rsidRDefault="000219C0" w:rsidP="00BD2888">
            <w:pPr>
              <w:ind w:right="42"/>
              <w:jc w:val="center"/>
            </w:pPr>
          </w:p>
        </w:tc>
        <w:tc>
          <w:tcPr>
            <w:tcW w:w="1035" w:type="dxa"/>
            <w:tcBorders>
              <w:bottom w:val="nil"/>
            </w:tcBorders>
            <w:vAlign w:val="center"/>
          </w:tcPr>
          <w:p w:rsidR="000219C0" w:rsidRPr="00261A05" w:rsidRDefault="000219C0" w:rsidP="00BD2888">
            <w:pPr>
              <w:ind w:right="42"/>
              <w:jc w:val="center"/>
            </w:pP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Special consumption tax* (SCT)</w:t>
            </w:r>
          </w:p>
        </w:tc>
        <w:tc>
          <w:tcPr>
            <w:tcW w:w="1418" w:type="dxa"/>
            <w:tcBorders>
              <w:top w:val="nil"/>
              <w:bottom w:val="nil"/>
            </w:tcBorders>
            <w:vAlign w:val="center"/>
          </w:tcPr>
          <w:p w:rsidR="000219C0" w:rsidRPr="00261A05" w:rsidRDefault="000219C0" w:rsidP="00BD2888">
            <w:pPr>
              <w:ind w:right="42"/>
              <w:jc w:val="center"/>
            </w:pPr>
            <w:r>
              <w:t>-0,2</w:t>
            </w:r>
          </w:p>
        </w:tc>
        <w:tc>
          <w:tcPr>
            <w:tcW w:w="1417" w:type="dxa"/>
            <w:tcBorders>
              <w:top w:val="nil"/>
              <w:bottom w:val="nil"/>
            </w:tcBorders>
            <w:vAlign w:val="center"/>
          </w:tcPr>
          <w:p w:rsidR="000219C0" w:rsidRPr="00261A05" w:rsidRDefault="000219C0" w:rsidP="00BD2888">
            <w:pPr>
              <w:ind w:right="42"/>
              <w:jc w:val="center"/>
            </w:pPr>
            <w:r>
              <w:t>0,6</w:t>
            </w:r>
          </w:p>
        </w:tc>
        <w:tc>
          <w:tcPr>
            <w:tcW w:w="1276" w:type="dxa"/>
            <w:tcBorders>
              <w:top w:val="nil"/>
              <w:bottom w:val="nil"/>
            </w:tcBorders>
            <w:vAlign w:val="center"/>
          </w:tcPr>
          <w:p w:rsidR="000219C0" w:rsidRPr="00261A05" w:rsidRDefault="000219C0" w:rsidP="00BD2888">
            <w:pPr>
              <w:ind w:right="42"/>
              <w:jc w:val="center"/>
            </w:pPr>
            <w:r>
              <w:t>-0,5</w:t>
            </w:r>
          </w:p>
        </w:tc>
        <w:tc>
          <w:tcPr>
            <w:tcW w:w="1361" w:type="dxa"/>
            <w:tcBorders>
              <w:top w:val="nil"/>
              <w:bottom w:val="nil"/>
              <w:right w:val="double" w:sz="4" w:space="0" w:color="auto"/>
            </w:tcBorders>
            <w:vAlign w:val="center"/>
          </w:tcPr>
          <w:p w:rsidR="000219C0" w:rsidRPr="00261A05" w:rsidRDefault="000219C0" w:rsidP="00BD2888">
            <w:pPr>
              <w:ind w:right="42"/>
              <w:jc w:val="center"/>
            </w:pPr>
            <w:r>
              <w:t>**</w:t>
            </w:r>
          </w:p>
        </w:tc>
        <w:tc>
          <w:tcPr>
            <w:tcW w:w="1035" w:type="dxa"/>
            <w:tcBorders>
              <w:top w:val="nil"/>
              <w:left w:val="double" w:sz="4" w:space="0" w:color="auto"/>
              <w:bottom w:val="nil"/>
            </w:tcBorders>
            <w:vAlign w:val="center"/>
          </w:tcPr>
          <w:p w:rsidR="000219C0" w:rsidRPr="00261A05" w:rsidRDefault="000219C0" w:rsidP="00BD2888">
            <w:pPr>
              <w:ind w:right="42"/>
              <w:jc w:val="center"/>
            </w:pPr>
            <w:r>
              <w:t>-1,8</w:t>
            </w:r>
          </w:p>
        </w:tc>
        <w:tc>
          <w:tcPr>
            <w:tcW w:w="1035" w:type="dxa"/>
            <w:tcBorders>
              <w:top w:val="nil"/>
              <w:bottom w:val="nil"/>
            </w:tcBorders>
            <w:vAlign w:val="center"/>
          </w:tcPr>
          <w:p w:rsidR="000219C0" w:rsidRPr="00261A05" w:rsidRDefault="000219C0" w:rsidP="00BD2888">
            <w:pPr>
              <w:ind w:right="42"/>
              <w:jc w:val="center"/>
            </w:pPr>
            <w:r>
              <w:t>1,1</w:t>
            </w:r>
          </w:p>
        </w:tc>
      </w:tr>
      <w:tr w:rsidR="000219C0" w:rsidRPr="0053729E" w:rsidTr="001048C8">
        <w:trPr>
          <w:trHeight w:val="370"/>
        </w:trPr>
        <w:tc>
          <w:tcPr>
            <w:tcW w:w="2718" w:type="dxa"/>
            <w:tcBorders>
              <w:top w:val="nil"/>
              <w:bottom w:val="nil"/>
            </w:tcBorders>
            <w:vAlign w:val="bottom"/>
          </w:tcPr>
          <w:p w:rsidR="000219C0" w:rsidRPr="0053729E" w:rsidRDefault="000219C0" w:rsidP="00E00B71">
            <w:pPr>
              <w:spacing w:line="288" w:lineRule="auto"/>
              <w:ind w:right="77"/>
              <w:rPr>
                <w:sz w:val="20"/>
                <w:szCs w:val="20"/>
              </w:rPr>
            </w:pPr>
            <w:r w:rsidRPr="0053729E">
              <w:rPr>
                <w:sz w:val="20"/>
                <w:szCs w:val="20"/>
              </w:rPr>
              <w:t>Passenger Cars</w:t>
            </w:r>
          </w:p>
        </w:tc>
        <w:tc>
          <w:tcPr>
            <w:tcW w:w="1418" w:type="dxa"/>
            <w:tcBorders>
              <w:top w:val="nil"/>
              <w:bottom w:val="nil"/>
            </w:tcBorders>
            <w:vAlign w:val="center"/>
          </w:tcPr>
          <w:p w:rsidR="000219C0" w:rsidRPr="00261A05" w:rsidRDefault="000219C0" w:rsidP="00BD2888">
            <w:pPr>
              <w:ind w:right="42"/>
              <w:jc w:val="center"/>
            </w:pPr>
            <w:r>
              <w:t>7,6</w:t>
            </w:r>
          </w:p>
        </w:tc>
        <w:tc>
          <w:tcPr>
            <w:tcW w:w="1417" w:type="dxa"/>
            <w:tcBorders>
              <w:top w:val="nil"/>
              <w:bottom w:val="nil"/>
            </w:tcBorders>
            <w:vAlign w:val="center"/>
          </w:tcPr>
          <w:p w:rsidR="000219C0" w:rsidRPr="00261A05" w:rsidRDefault="000219C0" w:rsidP="00BD2888">
            <w:pPr>
              <w:ind w:right="42"/>
              <w:jc w:val="center"/>
            </w:pPr>
            <w:r>
              <w:t>-5,0</w:t>
            </w:r>
          </w:p>
        </w:tc>
        <w:tc>
          <w:tcPr>
            <w:tcW w:w="1276" w:type="dxa"/>
            <w:tcBorders>
              <w:top w:val="nil"/>
              <w:bottom w:val="nil"/>
            </w:tcBorders>
            <w:vAlign w:val="center"/>
          </w:tcPr>
          <w:p w:rsidR="000219C0" w:rsidRPr="00261A05" w:rsidRDefault="000219C0" w:rsidP="00BD2888">
            <w:pPr>
              <w:ind w:right="42"/>
              <w:jc w:val="center"/>
            </w:pPr>
            <w:r>
              <w:t>2,8</w:t>
            </w:r>
          </w:p>
        </w:tc>
        <w:tc>
          <w:tcPr>
            <w:tcW w:w="1361" w:type="dxa"/>
            <w:tcBorders>
              <w:top w:val="nil"/>
              <w:bottom w:val="nil"/>
              <w:right w:val="double" w:sz="4" w:space="0" w:color="auto"/>
            </w:tcBorders>
            <w:vAlign w:val="center"/>
          </w:tcPr>
          <w:p w:rsidR="000219C0" w:rsidRPr="00261A05" w:rsidRDefault="000219C0" w:rsidP="00BD2888">
            <w:pPr>
              <w:ind w:right="42"/>
              <w:jc w:val="center"/>
            </w:pPr>
            <w:r>
              <w:t>7,4</w:t>
            </w:r>
          </w:p>
        </w:tc>
        <w:tc>
          <w:tcPr>
            <w:tcW w:w="1035" w:type="dxa"/>
            <w:tcBorders>
              <w:top w:val="nil"/>
              <w:left w:val="double" w:sz="4" w:space="0" w:color="auto"/>
              <w:bottom w:val="nil"/>
            </w:tcBorders>
            <w:vAlign w:val="center"/>
          </w:tcPr>
          <w:p w:rsidR="000219C0" w:rsidRPr="00261A05" w:rsidRDefault="000219C0" w:rsidP="00BD2888">
            <w:pPr>
              <w:ind w:right="42"/>
              <w:jc w:val="center"/>
            </w:pPr>
            <w:r>
              <w:t>-4,0</w:t>
            </w:r>
          </w:p>
        </w:tc>
        <w:tc>
          <w:tcPr>
            <w:tcW w:w="1035" w:type="dxa"/>
            <w:tcBorders>
              <w:top w:val="nil"/>
              <w:bottom w:val="nil"/>
            </w:tcBorders>
            <w:vAlign w:val="center"/>
          </w:tcPr>
          <w:p w:rsidR="000219C0" w:rsidRPr="00261A05" w:rsidRDefault="000219C0" w:rsidP="00BD2888">
            <w:pPr>
              <w:ind w:right="42"/>
              <w:jc w:val="center"/>
            </w:pPr>
            <w:r>
              <w:t>1,6</w:t>
            </w:r>
          </w:p>
        </w:tc>
      </w:tr>
      <w:tr w:rsidR="000219C0" w:rsidRPr="0053729E" w:rsidTr="001048C8">
        <w:trPr>
          <w:trHeight w:val="370"/>
        </w:trPr>
        <w:tc>
          <w:tcPr>
            <w:tcW w:w="2718" w:type="dxa"/>
            <w:tcBorders>
              <w:top w:val="nil"/>
            </w:tcBorders>
            <w:vAlign w:val="bottom"/>
          </w:tcPr>
          <w:p w:rsidR="000219C0" w:rsidRPr="0053729E" w:rsidRDefault="000219C0" w:rsidP="00E00B71">
            <w:pPr>
              <w:spacing w:line="288" w:lineRule="auto"/>
              <w:ind w:right="77"/>
              <w:rPr>
                <w:sz w:val="20"/>
                <w:szCs w:val="20"/>
              </w:rPr>
            </w:pPr>
            <w:r w:rsidRPr="0053729E">
              <w:rPr>
                <w:sz w:val="20"/>
                <w:szCs w:val="20"/>
              </w:rPr>
              <w:t>Commercial Vehicles</w:t>
            </w:r>
          </w:p>
        </w:tc>
        <w:tc>
          <w:tcPr>
            <w:tcW w:w="1418" w:type="dxa"/>
            <w:tcBorders>
              <w:top w:val="nil"/>
            </w:tcBorders>
            <w:vAlign w:val="center"/>
          </w:tcPr>
          <w:p w:rsidR="000219C0" w:rsidRPr="00261A05" w:rsidRDefault="000219C0" w:rsidP="00BD2888">
            <w:pPr>
              <w:ind w:right="42"/>
              <w:jc w:val="center"/>
            </w:pPr>
            <w:r>
              <w:t>4,1</w:t>
            </w:r>
          </w:p>
        </w:tc>
        <w:tc>
          <w:tcPr>
            <w:tcW w:w="1417" w:type="dxa"/>
            <w:tcBorders>
              <w:top w:val="nil"/>
            </w:tcBorders>
            <w:vAlign w:val="center"/>
          </w:tcPr>
          <w:p w:rsidR="000219C0" w:rsidRPr="00261A05" w:rsidRDefault="000219C0" w:rsidP="00BD2888">
            <w:pPr>
              <w:ind w:right="42"/>
              <w:jc w:val="center"/>
            </w:pPr>
            <w:r>
              <w:t>1,4</w:t>
            </w:r>
          </w:p>
        </w:tc>
        <w:tc>
          <w:tcPr>
            <w:tcW w:w="1276" w:type="dxa"/>
            <w:tcBorders>
              <w:top w:val="nil"/>
            </w:tcBorders>
            <w:vAlign w:val="center"/>
          </w:tcPr>
          <w:p w:rsidR="000219C0" w:rsidRPr="00261A05" w:rsidRDefault="000219C0" w:rsidP="00BD2888">
            <w:pPr>
              <w:ind w:right="42"/>
              <w:jc w:val="center"/>
            </w:pPr>
            <w:r>
              <w:t>1,6</w:t>
            </w:r>
          </w:p>
        </w:tc>
        <w:tc>
          <w:tcPr>
            <w:tcW w:w="1361" w:type="dxa"/>
            <w:tcBorders>
              <w:top w:val="nil"/>
              <w:right w:val="double" w:sz="4" w:space="0" w:color="auto"/>
            </w:tcBorders>
            <w:vAlign w:val="center"/>
          </w:tcPr>
          <w:p w:rsidR="000219C0" w:rsidRPr="00261A05" w:rsidRDefault="000219C0" w:rsidP="00BD2888">
            <w:pPr>
              <w:ind w:right="42"/>
              <w:jc w:val="center"/>
            </w:pPr>
            <w:r>
              <w:t>4,2</w:t>
            </w:r>
          </w:p>
        </w:tc>
        <w:tc>
          <w:tcPr>
            <w:tcW w:w="1035" w:type="dxa"/>
            <w:tcBorders>
              <w:top w:val="nil"/>
              <w:left w:val="double" w:sz="4" w:space="0" w:color="auto"/>
            </w:tcBorders>
            <w:vAlign w:val="center"/>
          </w:tcPr>
          <w:p w:rsidR="000219C0" w:rsidRPr="00261A05" w:rsidRDefault="000219C0" w:rsidP="00BD2888">
            <w:pPr>
              <w:ind w:right="42"/>
              <w:jc w:val="center"/>
            </w:pPr>
            <w:r>
              <w:t>-7,7</w:t>
            </w:r>
          </w:p>
        </w:tc>
        <w:tc>
          <w:tcPr>
            <w:tcW w:w="1035" w:type="dxa"/>
            <w:tcBorders>
              <w:top w:val="nil"/>
            </w:tcBorders>
            <w:vAlign w:val="center"/>
          </w:tcPr>
          <w:p w:rsidR="000219C0" w:rsidRPr="00261A05" w:rsidRDefault="000219C0" w:rsidP="00BD2888">
            <w:pPr>
              <w:ind w:right="42"/>
              <w:jc w:val="center"/>
            </w:pPr>
            <w:r>
              <w:t>-4,6</w:t>
            </w:r>
          </w:p>
        </w:tc>
      </w:tr>
    </w:tbl>
    <w:p w:rsidR="008C6E50" w:rsidRPr="0053729E" w:rsidRDefault="00E823E8" w:rsidP="008D71E7">
      <w:pPr>
        <w:spacing w:line="276" w:lineRule="auto"/>
        <w:ind w:left="-540" w:right="42"/>
        <w:jc w:val="both"/>
        <w:rPr>
          <w:sz w:val="16"/>
          <w:szCs w:val="16"/>
        </w:rPr>
      </w:pPr>
      <w:r w:rsidRPr="0053729E">
        <w:rPr>
          <w:sz w:val="16"/>
          <w:szCs w:val="16"/>
        </w:rPr>
        <w:t>Source: TurkStat</w:t>
      </w:r>
      <w:r w:rsidR="00AD6CE3">
        <w:rPr>
          <w:sz w:val="16"/>
          <w:szCs w:val="16"/>
        </w:rPr>
        <w:t xml:space="preserve">, </w:t>
      </w:r>
      <w:r w:rsidR="00E03485" w:rsidRPr="0053729E">
        <w:rPr>
          <w:sz w:val="16"/>
          <w:szCs w:val="16"/>
        </w:rPr>
        <w:t>CBRT</w:t>
      </w:r>
      <w:r w:rsidR="00AD6CE3">
        <w:rPr>
          <w:sz w:val="16"/>
          <w:szCs w:val="16"/>
        </w:rPr>
        <w:t xml:space="preserve">, </w:t>
      </w:r>
      <w:r w:rsidRPr="0053729E">
        <w:rPr>
          <w:sz w:val="16"/>
          <w:szCs w:val="16"/>
        </w:rPr>
        <w:t>Treasury</w:t>
      </w:r>
      <w:r w:rsidR="00AD6CE3">
        <w:rPr>
          <w:sz w:val="16"/>
          <w:szCs w:val="16"/>
        </w:rPr>
        <w:t xml:space="preserve">, </w:t>
      </w:r>
      <w:r w:rsidR="00E03485" w:rsidRPr="0053729E">
        <w:rPr>
          <w:sz w:val="16"/>
          <w:szCs w:val="16"/>
        </w:rPr>
        <w:t>ISE</w:t>
      </w:r>
      <w:r w:rsidR="00AD6CE3">
        <w:rPr>
          <w:sz w:val="16"/>
          <w:szCs w:val="16"/>
        </w:rPr>
        <w:t xml:space="preserve">, </w:t>
      </w:r>
      <w:r w:rsidRPr="0053729E">
        <w:rPr>
          <w:sz w:val="16"/>
          <w:szCs w:val="16"/>
        </w:rPr>
        <w:t>Betam. All series are real (or inflation adjusted) wherever necessary and seasonally adjusted.</w:t>
      </w:r>
    </w:p>
    <w:p w:rsidR="00E823E8" w:rsidRPr="0053729E" w:rsidRDefault="00E823E8" w:rsidP="008D71E7">
      <w:pPr>
        <w:spacing w:line="276" w:lineRule="auto"/>
        <w:ind w:left="-540" w:right="42"/>
        <w:jc w:val="both"/>
        <w:rPr>
          <w:sz w:val="16"/>
          <w:szCs w:val="16"/>
        </w:rPr>
      </w:pPr>
      <w:r w:rsidRPr="0053729E">
        <w:rPr>
          <w:sz w:val="16"/>
          <w:szCs w:val="16"/>
        </w:rPr>
        <w:t>*This tax is collected on sales of goods such as gas</w:t>
      </w:r>
      <w:r w:rsidR="00B94CDE">
        <w:rPr>
          <w:sz w:val="16"/>
          <w:szCs w:val="16"/>
        </w:rPr>
        <w:t>.</w:t>
      </w:r>
      <w:r w:rsidRPr="0053729E">
        <w:rPr>
          <w:sz w:val="16"/>
          <w:szCs w:val="16"/>
        </w:rPr>
        <w:t>fuel oils</w:t>
      </w:r>
      <w:r w:rsidR="00B94CDE">
        <w:rPr>
          <w:sz w:val="16"/>
          <w:szCs w:val="16"/>
        </w:rPr>
        <w:t>.</w:t>
      </w:r>
      <w:r w:rsidRPr="0053729E">
        <w:rPr>
          <w:sz w:val="16"/>
          <w:szCs w:val="16"/>
        </w:rPr>
        <w:t>alcohol</w:t>
      </w:r>
      <w:r w:rsidR="00B94CDE">
        <w:rPr>
          <w:sz w:val="16"/>
          <w:szCs w:val="16"/>
        </w:rPr>
        <w:t>.</w:t>
      </w:r>
      <w:r w:rsidRPr="0053729E">
        <w:rPr>
          <w:sz w:val="16"/>
          <w:szCs w:val="16"/>
        </w:rPr>
        <w:t>tobacco products and automobiles.</w:t>
      </w:r>
    </w:p>
    <w:p w:rsidR="00E823E8" w:rsidRPr="0053729E" w:rsidRDefault="00E823E8" w:rsidP="008D71E7">
      <w:pPr>
        <w:spacing w:line="276" w:lineRule="auto"/>
        <w:ind w:left="-540" w:right="42"/>
        <w:jc w:val="both"/>
        <w:rPr>
          <w:sz w:val="16"/>
          <w:szCs w:val="16"/>
        </w:rPr>
      </w:pPr>
      <w:r w:rsidRPr="0053729E">
        <w:rPr>
          <w:sz w:val="16"/>
          <w:szCs w:val="16"/>
        </w:rPr>
        <w:t>**Data not yet released</w:t>
      </w:r>
      <w:r w:rsidR="00544439" w:rsidRPr="0053729E">
        <w:rPr>
          <w:sz w:val="16"/>
          <w:szCs w:val="16"/>
        </w:rPr>
        <w:t>.</w:t>
      </w:r>
    </w:p>
    <w:p w:rsidR="00544439" w:rsidRPr="0053729E" w:rsidRDefault="00544439" w:rsidP="008D71E7">
      <w:pPr>
        <w:spacing w:line="276" w:lineRule="auto"/>
        <w:ind w:left="-540" w:right="42"/>
        <w:jc w:val="both"/>
        <w:rPr>
          <w:sz w:val="16"/>
          <w:szCs w:val="16"/>
        </w:rPr>
      </w:pPr>
      <w:r w:rsidRPr="0053729E">
        <w:rPr>
          <w:sz w:val="16"/>
          <w:szCs w:val="16"/>
        </w:rPr>
        <w:t>***Betam’s calculations: Nominal exports (imports) minus non-monetary gold</w:t>
      </w:r>
      <w:r w:rsidR="00B94CDE">
        <w:rPr>
          <w:sz w:val="16"/>
          <w:szCs w:val="16"/>
        </w:rPr>
        <w:t>.</w:t>
      </w:r>
      <w:r w:rsidRPr="0053729E">
        <w:rPr>
          <w:sz w:val="16"/>
          <w:szCs w:val="16"/>
        </w:rPr>
        <w:t>deflated</w:t>
      </w:r>
      <w:r w:rsidR="008D71E7" w:rsidRPr="0053729E">
        <w:rPr>
          <w:sz w:val="16"/>
          <w:szCs w:val="16"/>
        </w:rPr>
        <w:t>using</w:t>
      </w:r>
      <w:r w:rsidRPr="0053729E">
        <w:rPr>
          <w:sz w:val="16"/>
          <w:szCs w:val="16"/>
        </w:rPr>
        <w:t xml:space="preserve"> the export (import) unit value index.</w:t>
      </w:r>
    </w:p>
    <w:p w:rsidR="00E03485" w:rsidRPr="0053729E" w:rsidRDefault="00E03485" w:rsidP="00150B84">
      <w:pPr>
        <w:ind w:right="42"/>
        <w:jc w:val="both"/>
        <w:rPr>
          <w:rFonts w:ascii="Arial" w:hAnsi="Arial" w:cs="Arial"/>
          <w:b/>
          <w:sz w:val="20"/>
          <w:szCs w:val="20"/>
        </w:rPr>
        <w:sectPr w:rsidR="00E03485" w:rsidRPr="0053729E" w:rsidSect="001E7720">
          <w:type w:val="continuous"/>
          <w:pgSz w:w="11906" w:h="16838"/>
          <w:pgMar w:top="1417" w:right="1417" w:bottom="1417" w:left="1417" w:header="708" w:footer="708" w:gutter="0"/>
          <w:cols w:space="708"/>
          <w:docGrid w:linePitch="360"/>
        </w:sectPr>
      </w:pPr>
    </w:p>
    <w:p w:rsidR="00706AE1" w:rsidRPr="0053729E" w:rsidRDefault="00706AE1" w:rsidP="000B3D82">
      <w:pPr>
        <w:ind w:right="42"/>
        <w:jc w:val="both"/>
        <w:rPr>
          <w:rFonts w:ascii="Arial" w:hAnsi="Arial" w:cs="Arial"/>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695E7E" w:rsidRDefault="00695E7E" w:rsidP="006B60DC">
      <w:pPr>
        <w:ind w:left="-360" w:right="42"/>
        <w:jc w:val="both"/>
        <w:rPr>
          <w:b/>
          <w:sz w:val="20"/>
          <w:szCs w:val="20"/>
        </w:rPr>
      </w:pPr>
    </w:p>
    <w:p w:rsidR="002F72AA" w:rsidRDefault="002F72AA"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3A3575" w:rsidRPr="0053729E" w:rsidRDefault="00AC630B" w:rsidP="006B60DC">
      <w:pPr>
        <w:ind w:left="-360" w:right="42"/>
        <w:jc w:val="both"/>
        <w:rPr>
          <w:b/>
          <w:sz w:val="20"/>
          <w:szCs w:val="20"/>
        </w:rPr>
      </w:pPr>
      <w:r w:rsidRPr="0053729E">
        <w:rPr>
          <w:b/>
          <w:sz w:val="20"/>
          <w:szCs w:val="20"/>
        </w:rPr>
        <w:lastRenderedPageBreak/>
        <w:t>Figure</w:t>
      </w:r>
      <w:r w:rsidR="003A3575" w:rsidRPr="0053729E">
        <w:rPr>
          <w:b/>
          <w:sz w:val="20"/>
          <w:szCs w:val="20"/>
        </w:rPr>
        <w:t xml:space="preserve"> 1: </w:t>
      </w:r>
      <w:r w:rsidRPr="0053729E">
        <w:rPr>
          <w:b/>
          <w:sz w:val="20"/>
          <w:szCs w:val="20"/>
        </w:rPr>
        <w:t>Capacity utilization rate and industrial production index</w:t>
      </w:r>
      <w:r w:rsidR="003A3575" w:rsidRPr="0053729E">
        <w:rPr>
          <w:b/>
          <w:sz w:val="20"/>
          <w:szCs w:val="20"/>
        </w:rPr>
        <w:t xml:space="preserve"> (</w:t>
      </w:r>
      <w:r w:rsidRPr="0053729E">
        <w:rPr>
          <w:b/>
          <w:sz w:val="20"/>
          <w:szCs w:val="20"/>
        </w:rPr>
        <w:t>s</w:t>
      </w:r>
      <w:r w:rsidR="00F65107" w:rsidRPr="0053729E">
        <w:rPr>
          <w:b/>
          <w:sz w:val="20"/>
          <w:szCs w:val="20"/>
        </w:rPr>
        <w:t>a</w:t>
      </w:r>
      <w:r w:rsidR="00223638">
        <w:rPr>
          <w:b/>
          <w:sz w:val="20"/>
          <w:szCs w:val="20"/>
        </w:rPr>
        <w:t>,</w:t>
      </w:r>
      <w:r w:rsidRPr="0053729E">
        <w:rPr>
          <w:b/>
          <w:sz w:val="20"/>
          <w:szCs w:val="20"/>
        </w:rPr>
        <w:t xml:space="preserve"> left axis for CUR and right axis for IPI</w:t>
      </w:r>
      <w:r w:rsidR="003A3575" w:rsidRPr="0053729E">
        <w:rPr>
          <w:b/>
          <w:sz w:val="20"/>
          <w:szCs w:val="20"/>
        </w:rPr>
        <w:t>)</w:t>
      </w:r>
    </w:p>
    <w:p w:rsidR="003A3575" w:rsidRPr="0053729E" w:rsidRDefault="0067663A" w:rsidP="008944FC">
      <w:pPr>
        <w:ind w:left="-360" w:right="42"/>
        <w:jc w:val="both"/>
        <w:rPr>
          <w:szCs w:val="20"/>
        </w:rPr>
      </w:pPr>
      <w:r w:rsidRPr="0067663A">
        <w:rPr>
          <w:noProof/>
          <w:szCs w:val="20"/>
          <w:lang w:val="tr-TR"/>
        </w:rPr>
        <w:drawing>
          <wp:inline distT="0" distB="0" distL="0" distR="0">
            <wp:extent cx="2655570" cy="222681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55570" cy="2226812"/>
                    </a:xfrm>
                    <a:prstGeom prst="rect">
                      <a:avLst/>
                    </a:prstGeom>
                    <a:noFill/>
                    <a:ln w="9525">
                      <a:noFill/>
                      <a:miter lim="800000"/>
                      <a:headEnd/>
                      <a:tailEnd/>
                    </a:ln>
                  </pic:spPr>
                </pic:pic>
              </a:graphicData>
            </a:graphic>
          </wp:inline>
        </w:drawing>
      </w:r>
    </w:p>
    <w:p w:rsidR="00486239" w:rsidRPr="00F7696B" w:rsidRDefault="00AC630B" w:rsidP="008944FC">
      <w:pPr>
        <w:ind w:left="-360" w:right="42"/>
        <w:jc w:val="both"/>
        <w:rPr>
          <w:sz w:val="16"/>
          <w:szCs w:val="16"/>
        </w:rPr>
      </w:pPr>
      <w:r w:rsidRPr="0053729E">
        <w:rPr>
          <w:sz w:val="16"/>
          <w:szCs w:val="16"/>
        </w:rPr>
        <w:t>Source</w:t>
      </w:r>
      <w:r w:rsidR="003A3575" w:rsidRPr="0053729E">
        <w:rPr>
          <w:sz w:val="16"/>
          <w:szCs w:val="16"/>
        </w:rPr>
        <w:t>:</w:t>
      </w:r>
      <w:r w:rsidR="0067663A">
        <w:rPr>
          <w:sz w:val="16"/>
          <w:szCs w:val="16"/>
        </w:rPr>
        <w:t xml:space="preserve"> </w:t>
      </w:r>
      <w:r w:rsidRPr="0053729E">
        <w:rPr>
          <w:sz w:val="16"/>
          <w:szCs w:val="16"/>
        </w:rPr>
        <w:t>TurkStat</w:t>
      </w:r>
      <w:r w:rsidR="00AD6CE3">
        <w:rPr>
          <w:sz w:val="16"/>
          <w:szCs w:val="16"/>
        </w:rPr>
        <w:t>,</w:t>
      </w:r>
      <w:r w:rsidR="0067663A">
        <w:rPr>
          <w:sz w:val="16"/>
          <w:szCs w:val="16"/>
        </w:rPr>
        <w:t xml:space="preserve"> </w:t>
      </w:r>
      <w:r w:rsidR="003A3575" w:rsidRPr="0053729E">
        <w:rPr>
          <w:sz w:val="16"/>
          <w:szCs w:val="16"/>
        </w:rPr>
        <w:t>Betam</w:t>
      </w:r>
      <w:r w:rsidR="00544439" w:rsidRPr="0053729E">
        <w:rPr>
          <w:sz w:val="16"/>
          <w:szCs w:val="16"/>
        </w:rPr>
        <w:t>.</w:t>
      </w: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C3029B" w:rsidRPr="0053729E" w:rsidRDefault="00AC630B" w:rsidP="008944FC">
      <w:pPr>
        <w:ind w:left="-360" w:right="42"/>
        <w:jc w:val="both"/>
        <w:rPr>
          <w:b/>
          <w:sz w:val="20"/>
          <w:szCs w:val="20"/>
        </w:rPr>
      </w:pPr>
      <w:r w:rsidRPr="0053729E">
        <w:rPr>
          <w:b/>
          <w:sz w:val="20"/>
          <w:szCs w:val="20"/>
        </w:rPr>
        <w:lastRenderedPageBreak/>
        <w:t>Figure</w:t>
      </w:r>
      <w:r w:rsidR="007067F4" w:rsidRPr="0053729E">
        <w:rPr>
          <w:b/>
          <w:sz w:val="20"/>
          <w:szCs w:val="20"/>
        </w:rPr>
        <w:t xml:space="preserve"> 2: </w:t>
      </w:r>
      <w:r w:rsidRPr="0053729E">
        <w:rPr>
          <w:b/>
          <w:sz w:val="20"/>
          <w:szCs w:val="20"/>
        </w:rPr>
        <w:t>Volume indices of exports and imports</w:t>
      </w:r>
      <w:r w:rsidR="007067F4" w:rsidRPr="0053729E">
        <w:rPr>
          <w:b/>
          <w:sz w:val="20"/>
          <w:szCs w:val="20"/>
        </w:rPr>
        <w:t xml:space="preserve"> (</w:t>
      </w:r>
      <w:r w:rsidRPr="0053729E">
        <w:rPr>
          <w:b/>
          <w:sz w:val="20"/>
          <w:szCs w:val="20"/>
        </w:rPr>
        <w:t>sa</w:t>
      </w:r>
      <w:r w:rsidR="007067F4" w:rsidRPr="0053729E">
        <w:rPr>
          <w:b/>
          <w:sz w:val="20"/>
          <w:szCs w:val="20"/>
        </w:rPr>
        <w:t>)</w:t>
      </w:r>
    </w:p>
    <w:p w:rsidR="007067F4" w:rsidRPr="00311464" w:rsidRDefault="00486239" w:rsidP="00311464">
      <w:pPr>
        <w:ind w:left="-360" w:right="42"/>
        <w:rPr>
          <w:sz w:val="16"/>
          <w:szCs w:val="16"/>
        </w:rPr>
        <w:sectPr w:rsidR="007067F4" w:rsidRPr="00311464" w:rsidSect="007067F4">
          <w:type w:val="continuous"/>
          <w:pgSz w:w="11906" w:h="16838"/>
          <w:pgMar w:top="1417" w:right="1417" w:bottom="1417" w:left="1417" w:header="708" w:footer="708" w:gutter="0"/>
          <w:cols w:num="2" w:space="708" w:equalWidth="0">
            <w:col w:w="4182" w:space="708"/>
            <w:col w:w="4182"/>
          </w:cols>
          <w:docGrid w:linePitch="360"/>
        </w:sectPr>
      </w:pPr>
      <w:r w:rsidRPr="0053729E">
        <w:rPr>
          <w:sz w:val="20"/>
          <w:szCs w:val="20"/>
        </w:rPr>
        <w:br/>
      </w:r>
      <w:r w:rsidR="00D4205B" w:rsidRPr="0053729E">
        <w:rPr>
          <w:sz w:val="16"/>
          <w:szCs w:val="16"/>
        </w:rPr>
        <w:br/>
      </w:r>
      <w:r w:rsidR="0067663A" w:rsidRPr="0067663A">
        <w:rPr>
          <w:noProof/>
          <w:szCs w:val="16"/>
          <w:lang w:val="tr-TR"/>
        </w:rPr>
        <w:drawing>
          <wp:inline distT="0" distB="0" distL="0" distR="0">
            <wp:extent cx="2655138" cy="2228400"/>
            <wp:effectExtent l="1905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cstate="print"/>
                    <a:srcRect/>
                    <a:stretch>
                      <a:fillRect/>
                    </a:stretch>
                  </pic:blipFill>
                  <pic:spPr bwMode="auto">
                    <a:xfrm>
                      <a:off x="0" y="0"/>
                      <a:ext cx="2655138" cy="2228400"/>
                    </a:xfrm>
                    <a:prstGeom prst="rect">
                      <a:avLst/>
                    </a:prstGeom>
                    <a:noFill/>
                    <a:ln w="9525">
                      <a:noFill/>
                      <a:miter lim="800000"/>
                      <a:headEnd/>
                      <a:tailEnd/>
                    </a:ln>
                  </pic:spPr>
                </pic:pic>
              </a:graphicData>
            </a:graphic>
          </wp:inline>
        </w:drawing>
      </w:r>
      <w:r w:rsidR="00D4205B" w:rsidRPr="0053729E">
        <w:rPr>
          <w:sz w:val="16"/>
          <w:szCs w:val="16"/>
        </w:rPr>
        <w:br/>
        <w:t>Source: Turkstat</w:t>
      </w:r>
      <w:r w:rsidR="00AD6CE3">
        <w:rPr>
          <w:sz w:val="16"/>
          <w:szCs w:val="16"/>
        </w:rPr>
        <w:t>,</w:t>
      </w:r>
      <w:r w:rsidR="00311464">
        <w:rPr>
          <w:sz w:val="16"/>
          <w:szCs w:val="16"/>
        </w:rPr>
        <w:t xml:space="preserve"> Betam.</w:t>
      </w:r>
    </w:p>
    <w:p w:rsidR="006878EA" w:rsidRDefault="006878EA" w:rsidP="001E4BF5">
      <w:pPr>
        <w:spacing w:line="360" w:lineRule="auto"/>
        <w:ind w:left="-360" w:right="42"/>
        <w:jc w:val="both"/>
        <w:rPr>
          <w:b/>
          <w:sz w:val="20"/>
          <w:szCs w:val="20"/>
        </w:rPr>
      </w:pPr>
    </w:p>
    <w:p w:rsidR="00311464" w:rsidRDefault="00311464" w:rsidP="001E4BF5">
      <w:pPr>
        <w:spacing w:line="360" w:lineRule="auto"/>
        <w:ind w:left="-360" w:right="42"/>
        <w:jc w:val="both"/>
        <w:rPr>
          <w:b/>
          <w:sz w:val="20"/>
          <w:szCs w:val="20"/>
        </w:rPr>
        <w:sectPr w:rsidR="00311464" w:rsidSect="001E7720">
          <w:type w:val="continuous"/>
          <w:pgSz w:w="11906" w:h="16838"/>
          <w:pgMar w:top="1417" w:right="1417" w:bottom="1417" w:left="1417" w:header="708" w:footer="708" w:gutter="0"/>
          <w:cols w:space="708"/>
          <w:docGrid w:linePitch="360"/>
        </w:sectPr>
      </w:pPr>
    </w:p>
    <w:p w:rsidR="00311464" w:rsidRPr="0053729E" w:rsidRDefault="00311464" w:rsidP="00311464">
      <w:pPr>
        <w:ind w:left="-360" w:right="42"/>
        <w:jc w:val="both"/>
        <w:rPr>
          <w:b/>
          <w:sz w:val="20"/>
          <w:szCs w:val="20"/>
        </w:rPr>
      </w:pPr>
      <w:r w:rsidRPr="0053729E">
        <w:rPr>
          <w:b/>
          <w:sz w:val="20"/>
          <w:szCs w:val="20"/>
        </w:rPr>
        <w:lastRenderedPageBreak/>
        <w:t>Figure</w:t>
      </w:r>
      <w:r>
        <w:rPr>
          <w:b/>
          <w:sz w:val="20"/>
          <w:szCs w:val="20"/>
        </w:rPr>
        <w:t xml:space="preserve"> 3</w:t>
      </w:r>
      <w:r w:rsidRPr="0053729E">
        <w:rPr>
          <w:b/>
          <w:sz w:val="20"/>
          <w:szCs w:val="20"/>
        </w:rPr>
        <w:t xml:space="preserve">: </w:t>
      </w:r>
      <w:r>
        <w:rPr>
          <w:b/>
          <w:sz w:val="20"/>
          <w:szCs w:val="20"/>
        </w:rPr>
        <w:t>Gold included current account deficit to GDP ratio, 12 months</w:t>
      </w:r>
    </w:p>
    <w:p w:rsidR="00311464" w:rsidRPr="0053729E" w:rsidRDefault="009F6890" w:rsidP="00311464">
      <w:pPr>
        <w:ind w:left="-360" w:right="42"/>
        <w:jc w:val="both"/>
        <w:rPr>
          <w:szCs w:val="20"/>
        </w:rPr>
      </w:pPr>
      <w:r w:rsidRPr="009F6890">
        <w:rPr>
          <w:noProof/>
          <w:szCs w:val="20"/>
          <w:lang w:val="tr-TR"/>
        </w:rPr>
        <w:drawing>
          <wp:inline distT="0" distB="0" distL="0" distR="0">
            <wp:extent cx="2655570" cy="222614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55570" cy="2226147"/>
                    </a:xfrm>
                    <a:prstGeom prst="rect">
                      <a:avLst/>
                    </a:prstGeom>
                    <a:noFill/>
                    <a:ln w="9525">
                      <a:noFill/>
                      <a:miter lim="800000"/>
                      <a:headEnd/>
                      <a:tailEnd/>
                    </a:ln>
                  </pic:spPr>
                </pic:pic>
              </a:graphicData>
            </a:graphic>
          </wp:inline>
        </w:drawing>
      </w:r>
    </w:p>
    <w:p w:rsidR="00311464" w:rsidRPr="00F7696B" w:rsidRDefault="00311464" w:rsidP="00311464">
      <w:pPr>
        <w:ind w:left="-360" w:right="42"/>
        <w:jc w:val="both"/>
        <w:rPr>
          <w:sz w:val="16"/>
          <w:szCs w:val="16"/>
        </w:rPr>
      </w:pPr>
      <w:r w:rsidRPr="0053729E">
        <w:rPr>
          <w:sz w:val="16"/>
          <w:szCs w:val="16"/>
        </w:rPr>
        <w:t>Source:TurkStat</w:t>
      </w:r>
      <w:r w:rsidR="00AD6CE3">
        <w:rPr>
          <w:sz w:val="16"/>
          <w:szCs w:val="16"/>
        </w:rPr>
        <w:t>, TCMB,</w:t>
      </w:r>
      <w:r w:rsidRPr="0053729E">
        <w:rPr>
          <w:sz w:val="16"/>
          <w:szCs w:val="16"/>
        </w:rPr>
        <w:t>Betam.</w:t>
      </w: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Pr="00311464" w:rsidRDefault="00311464" w:rsidP="00311464">
      <w:pPr>
        <w:ind w:left="-360" w:right="42"/>
        <w:rPr>
          <w:b/>
          <w:sz w:val="20"/>
          <w:szCs w:val="20"/>
        </w:rPr>
        <w:sectPr w:rsidR="00311464" w:rsidRPr="00311464" w:rsidSect="007067F4">
          <w:type w:val="continuous"/>
          <w:pgSz w:w="11906" w:h="16838"/>
          <w:pgMar w:top="1417" w:right="1417" w:bottom="1417" w:left="1417" w:header="708" w:footer="708" w:gutter="0"/>
          <w:cols w:num="2" w:space="708" w:equalWidth="0">
            <w:col w:w="4182" w:space="708"/>
            <w:col w:w="4182"/>
          </w:cols>
          <w:docGrid w:linePitch="360"/>
        </w:sectPr>
      </w:pPr>
      <w:r w:rsidRPr="0053729E">
        <w:rPr>
          <w:b/>
          <w:sz w:val="20"/>
          <w:szCs w:val="20"/>
        </w:rPr>
        <w:lastRenderedPageBreak/>
        <w:t>Figure</w:t>
      </w:r>
      <w:r>
        <w:rPr>
          <w:b/>
          <w:sz w:val="20"/>
          <w:szCs w:val="20"/>
        </w:rPr>
        <w:t xml:space="preserve"> 4</w:t>
      </w:r>
      <w:r w:rsidRPr="0053729E">
        <w:rPr>
          <w:b/>
          <w:sz w:val="20"/>
          <w:szCs w:val="20"/>
        </w:rPr>
        <w:t xml:space="preserve">: </w:t>
      </w:r>
      <w:r w:rsidRPr="00311464">
        <w:rPr>
          <w:b/>
          <w:sz w:val="20"/>
          <w:szCs w:val="20"/>
        </w:rPr>
        <w:t xml:space="preserve">Gold </w:t>
      </w:r>
      <w:r w:rsidR="00AD6CE3">
        <w:rPr>
          <w:b/>
          <w:sz w:val="20"/>
          <w:szCs w:val="20"/>
        </w:rPr>
        <w:t>excluded</w:t>
      </w:r>
      <w:r w:rsidRPr="00311464">
        <w:rPr>
          <w:b/>
          <w:sz w:val="20"/>
          <w:szCs w:val="20"/>
        </w:rPr>
        <w:t xml:space="preserve"> current account deficit to GDP ratio, 12 month</w:t>
      </w:r>
      <w:r>
        <w:rPr>
          <w:b/>
          <w:sz w:val="20"/>
          <w:szCs w:val="20"/>
        </w:rPr>
        <w:t>s</w:t>
      </w:r>
      <w:r w:rsidRPr="0053729E">
        <w:rPr>
          <w:sz w:val="16"/>
          <w:szCs w:val="16"/>
        </w:rPr>
        <w:br/>
      </w:r>
      <w:r w:rsidR="009F6890" w:rsidRPr="009F6890">
        <w:rPr>
          <w:noProof/>
          <w:szCs w:val="16"/>
          <w:lang w:val="tr-TR"/>
        </w:rPr>
        <w:drawing>
          <wp:inline distT="0" distB="0" distL="0" distR="0">
            <wp:extent cx="2655570" cy="224502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655570" cy="2245024"/>
                    </a:xfrm>
                    <a:prstGeom prst="rect">
                      <a:avLst/>
                    </a:prstGeom>
                    <a:noFill/>
                    <a:ln w="9525">
                      <a:noFill/>
                      <a:miter lim="800000"/>
                      <a:headEnd/>
                      <a:tailEnd/>
                    </a:ln>
                  </pic:spPr>
                </pic:pic>
              </a:graphicData>
            </a:graphic>
          </wp:inline>
        </w:drawing>
      </w:r>
      <w:r w:rsidRPr="0053729E">
        <w:rPr>
          <w:sz w:val="16"/>
          <w:szCs w:val="16"/>
        </w:rPr>
        <w:br/>
        <w:t>Source: Turkstat</w:t>
      </w:r>
      <w:r w:rsidR="00AD6CE3">
        <w:rPr>
          <w:sz w:val="16"/>
          <w:szCs w:val="16"/>
        </w:rPr>
        <w:t>, TCMB,</w:t>
      </w:r>
      <w:r>
        <w:rPr>
          <w:sz w:val="16"/>
          <w:szCs w:val="16"/>
        </w:rPr>
        <w:t>Betam.</w:t>
      </w:r>
    </w:p>
    <w:p w:rsidR="00311464" w:rsidRDefault="00311464"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C30DC1" w:rsidRPr="0053729E" w:rsidRDefault="00451918" w:rsidP="001E4BF5">
      <w:pPr>
        <w:spacing w:line="360" w:lineRule="auto"/>
        <w:ind w:left="-360" w:right="42"/>
        <w:jc w:val="both"/>
        <w:rPr>
          <w:b/>
          <w:sz w:val="20"/>
          <w:szCs w:val="20"/>
        </w:rPr>
      </w:pPr>
      <w:r w:rsidRPr="0053729E">
        <w:rPr>
          <w:b/>
          <w:sz w:val="20"/>
          <w:szCs w:val="20"/>
        </w:rPr>
        <w:lastRenderedPageBreak/>
        <w:t xml:space="preserve">Figure </w:t>
      </w:r>
      <w:r w:rsidR="008C491D">
        <w:rPr>
          <w:b/>
          <w:sz w:val="20"/>
          <w:szCs w:val="20"/>
        </w:rPr>
        <w:t>5</w:t>
      </w:r>
      <w:r w:rsidRPr="0053729E">
        <w:rPr>
          <w:b/>
          <w:sz w:val="20"/>
          <w:szCs w:val="20"/>
        </w:rPr>
        <w:t xml:space="preserve">: </w:t>
      </w:r>
      <w:r w:rsidR="00C30DC1" w:rsidRPr="0053729E">
        <w:rPr>
          <w:b/>
          <w:sz w:val="20"/>
          <w:szCs w:val="20"/>
        </w:rPr>
        <w:t>W</w:t>
      </w:r>
      <w:r w:rsidR="00042C84" w:rsidRPr="0053729E">
        <w:rPr>
          <w:b/>
          <w:sz w:val="20"/>
          <w:szCs w:val="20"/>
        </w:rPr>
        <w:t>eighted Average Interest Rates f</w:t>
      </w:r>
      <w:r w:rsidR="00C30DC1" w:rsidRPr="0053729E">
        <w:rPr>
          <w:b/>
          <w:sz w:val="20"/>
          <w:szCs w:val="20"/>
        </w:rPr>
        <w:t>or Turkish Lira Banks' Loans (%)</w:t>
      </w:r>
    </w:p>
    <w:p w:rsidR="00C30DC1" w:rsidRPr="0053729E" w:rsidRDefault="009F6890" w:rsidP="00D4205B">
      <w:pPr>
        <w:ind w:left="-360" w:right="42"/>
        <w:jc w:val="both"/>
        <w:rPr>
          <w:b/>
          <w:sz w:val="20"/>
          <w:szCs w:val="20"/>
        </w:rPr>
      </w:pPr>
      <w:r w:rsidRPr="009F6890">
        <w:rPr>
          <w:noProof/>
          <w:szCs w:val="20"/>
          <w:lang w:val="tr-TR"/>
        </w:rPr>
        <w:drawing>
          <wp:inline distT="0" distB="0" distL="0" distR="0">
            <wp:extent cx="5760720" cy="279790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60720" cy="2797909"/>
                    </a:xfrm>
                    <a:prstGeom prst="rect">
                      <a:avLst/>
                    </a:prstGeom>
                    <a:noFill/>
                    <a:ln w="9525">
                      <a:noFill/>
                      <a:miter lim="800000"/>
                      <a:headEnd/>
                      <a:tailEnd/>
                    </a:ln>
                  </pic:spPr>
                </pic:pic>
              </a:graphicData>
            </a:graphic>
          </wp:inline>
        </w:drawing>
      </w:r>
    </w:p>
    <w:p w:rsidR="00D4205B" w:rsidRPr="0053729E" w:rsidRDefault="00C30DC1" w:rsidP="00D4205B">
      <w:pPr>
        <w:ind w:left="-360" w:right="42"/>
        <w:jc w:val="both"/>
        <w:rPr>
          <w:sz w:val="16"/>
          <w:szCs w:val="16"/>
        </w:rPr>
      </w:pPr>
      <w:r w:rsidRPr="0053729E">
        <w:rPr>
          <w:sz w:val="16"/>
          <w:szCs w:val="16"/>
        </w:rPr>
        <w:t xml:space="preserve">Source: </w:t>
      </w:r>
      <w:r w:rsidR="00E03485" w:rsidRPr="0053729E">
        <w:rPr>
          <w:sz w:val="16"/>
          <w:szCs w:val="16"/>
        </w:rPr>
        <w:t>CBRT</w:t>
      </w:r>
      <w:r w:rsidR="00D4205B" w:rsidRPr="0053729E">
        <w:rPr>
          <w:sz w:val="16"/>
          <w:szCs w:val="16"/>
        </w:rPr>
        <w:t>.</w:t>
      </w:r>
    </w:p>
    <w:p w:rsidR="00D4205B" w:rsidRPr="0053729E" w:rsidRDefault="00D4205B" w:rsidP="000B3D82">
      <w:pPr>
        <w:spacing w:line="360" w:lineRule="auto"/>
        <w:ind w:left="-360" w:right="42"/>
        <w:jc w:val="both"/>
        <w:rPr>
          <w:sz w:val="16"/>
          <w:szCs w:val="16"/>
        </w:rPr>
      </w:pPr>
    </w:p>
    <w:sectPr w:rsidR="00D4205B" w:rsidRPr="0053729E" w:rsidSect="001E77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44" w:rsidRDefault="00186544">
      <w:r>
        <w:separator/>
      </w:r>
    </w:p>
  </w:endnote>
  <w:endnote w:type="continuationSeparator" w:id="0">
    <w:p w:rsidR="00186544" w:rsidRDefault="0018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44" w:rsidRDefault="00186544">
      <w:r>
        <w:separator/>
      </w:r>
    </w:p>
  </w:footnote>
  <w:footnote w:type="continuationSeparator" w:id="0">
    <w:p w:rsidR="00186544" w:rsidRDefault="0018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3F0"/>
    <w:rsid w:val="00001050"/>
    <w:rsid w:val="00003567"/>
    <w:rsid w:val="00003E34"/>
    <w:rsid w:val="0000434B"/>
    <w:rsid w:val="00004745"/>
    <w:rsid w:val="00004C0B"/>
    <w:rsid w:val="00007B8D"/>
    <w:rsid w:val="00010DD1"/>
    <w:rsid w:val="0001109A"/>
    <w:rsid w:val="000126AE"/>
    <w:rsid w:val="00013406"/>
    <w:rsid w:val="00013EE7"/>
    <w:rsid w:val="00017F2E"/>
    <w:rsid w:val="000219C0"/>
    <w:rsid w:val="00024559"/>
    <w:rsid w:val="000247C6"/>
    <w:rsid w:val="00024B55"/>
    <w:rsid w:val="00026210"/>
    <w:rsid w:val="0002627E"/>
    <w:rsid w:val="00026B51"/>
    <w:rsid w:val="00031B4E"/>
    <w:rsid w:val="0003258C"/>
    <w:rsid w:val="00032789"/>
    <w:rsid w:val="00033490"/>
    <w:rsid w:val="00034421"/>
    <w:rsid w:val="00035AB5"/>
    <w:rsid w:val="0003608C"/>
    <w:rsid w:val="00037357"/>
    <w:rsid w:val="000374C0"/>
    <w:rsid w:val="00037CE9"/>
    <w:rsid w:val="00041479"/>
    <w:rsid w:val="00042C84"/>
    <w:rsid w:val="00044D50"/>
    <w:rsid w:val="00047B99"/>
    <w:rsid w:val="00050118"/>
    <w:rsid w:val="00050DCF"/>
    <w:rsid w:val="00050EC0"/>
    <w:rsid w:val="00051119"/>
    <w:rsid w:val="00051CD0"/>
    <w:rsid w:val="00055814"/>
    <w:rsid w:val="00055A3E"/>
    <w:rsid w:val="00057E6D"/>
    <w:rsid w:val="00057FC2"/>
    <w:rsid w:val="0006043D"/>
    <w:rsid w:val="000625E8"/>
    <w:rsid w:val="0006304A"/>
    <w:rsid w:val="00063758"/>
    <w:rsid w:val="00065B3C"/>
    <w:rsid w:val="00067DF6"/>
    <w:rsid w:val="000715CA"/>
    <w:rsid w:val="000717B5"/>
    <w:rsid w:val="00073915"/>
    <w:rsid w:val="00074038"/>
    <w:rsid w:val="000743ED"/>
    <w:rsid w:val="00074EEE"/>
    <w:rsid w:val="0007515D"/>
    <w:rsid w:val="000773A1"/>
    <w:rsid w:val="00077492"/>
    <w:rsid w:val="000820D2"/>
    <w:rsid w:val="0008367E"/>
    <w:rsid w:val="0008450A"/>
    <w:rsid w:val="00084ED0"/>
    <w:rsid w:val="000854F8"/>
    <w:rsid w:val="00085572"/>
    <w:rsid w:val="00086F46"/>
    <w:rsid w:val="000871F8"/>
    <w:rsid w:val="00091D4B"/>
    <w:rsid w:val="00093515"/>
    <w:rsid w:val="00094FAA"/>
    <w:rsid w:val="000966DF"/>
    <w:rsid w:val="00097481"/>
    <w:rsid w:val="000A1E16"/>
    <w:rsid w:val="000A383B"/>
    <w:rsid w:val="000A3D92"/>
    <w:rsid w:val="000A4357"/>
    <w:rsid w:val="000A45BE"/>
    <w:rsid w:val="000A6429"/>
    <w:rsid w:val="000A6472"/>
    <w:rsid w:val="000A6E24"/>
    <w:rsid w:val="000A701D"/>
    <w:rsid w:val="000B0553"/>
    <w:rsid w:val="000B09E4"/>
    <w:rsid w:val="000B0D88"/>
    <w:rsid w:val="000B3D82"/>
    <w:rsid w:val="000B4CC5"/>
    <w:rsid w:val="000B5E0B"/>
    <w:rsid w:val="000B669B"/>
    <w:rsid w:val="000C3022"/>
    <w:rsid w:val="000C5B7E"/>
    <w:rsid w:val="000C6B6C"/>
    <w:rsid w:val="000D029B"/>
    <w:rsid w:val="000D0DA7"/>
    <w:rsid w:val="000D0ECE"/>
    <w:rsid w:val="000D50D1"/>
    <w:rsid w:val="000D546F"/>
    <w:rsid w:val="000D5E8A"/>
    <w:rsid w:val="000D6420"/>
    <w:rsid w:val="000D6CCA"/>
    <w:rsid w:val="000D7F65"/>
    <w:rsid w:val="000E0388"/>
    <w:rsid w:val="000E0BD1"/>
    <w:rsid w:val="000E10A3"/>
    <w:rsid w:val="000E4231"/>
    <w:rsid w:val="000E4C57"/>
    <w:rsid w:val="000E5826"/>
    <w:rsid w:val="000E5D7B"/>
    <w:rsid w:val="000E6B5D"/>
    <w:rsid w:val="000E75BF"/>
    <w:rsid w:val="000E7CC8"/>
    <w:rsid w:val="000F0BB8"/>
    <w:rsid w:val="000F219F"/>
    <w:rsid w:val="000F3017"/>
    <w:rsid w:val="000F396D"/>
    <w:rsid w:val="000F4941"/>
    <w:rsid w:val="000F68F9"/>
    <w:rsid w:val="000F6D02"/>
    <w:rsid w:val="00100665"/>
    <w:rsid w:val="00100750"/>
    <w:rsid w:val="0010086D"/>
    <w:rsid w:val="00101EB7"/>
    <w:rsid w:val="00102C87"/>
    <w:rsid w:val="00102FC6"/>
    <w:rsid w:val="001048C8"/>
    <w:rsid w:val="00104ACC"/>
    <w:rsid w:val="00105095"/>
    <w:rsid w:val="00106127"/>
    <w:rsid w:val="00106639"/>
    <w:rsid w:val="001105B2"/>
    <w:rsid w:val="00111156"/>
    <w:rsid w:val="001116C3"/>
    <w:rsid w:val="00111825"/>
    <w:rsid w:val="00114BC7"/>
    <w:rsid w:val="0012219C"/>
    <w:rsid w:val="0012238B"/>
    <w:rsid w:val="00124929"/>
    <w:rsid w:val="00126490"/>
    <w:rsid w:val="00127B4E"/>
    <w:rsid w:val="00127BA7"/>
    <w:rsid w:val="0013046D"/>
    <w:rsid w:val="00131702"/>
    <w:rsid w:val="00133054"/>
    <w:rsid w:val="00133571"/>
    <w:rsid w:val="001357C1"/>
    <w:rsid w:val="00135FEE"/>
    <w:rsid w:val="00137054"/>
    <w:rsid w:val="00137F02"/>
    <w:rsid w:val="00137F90"/>
    <w:rsid w:val="00141719"/>
    <w:rsid w:val="00141B93"/>
    <w:rsid w:val="0014254A"/>
    <w:rsid w:val="00142837"/>
    <w:rsid w:val="00143828"/>
    <w:rsid w:val="00144234"/>
    <w:rsid w:val="001454AC"/>
    <w:rsid w:val="00147192"/>
    <w:rsid w:val="0015045A"/>
    <w:rsid w:val="00150B84"/>
    <w:rsid w:val="0015141F"/>
    <w:rsid w:val="00154DC3"/>
    <w:rsid w:val="00157DC2"/>
    <w:rsid w:val="00161297"/>
    <w:rsid w:val="00163520"/>
    <w:rsid w:val="00163E33"/>
    <w:rsid w:val="001648A8"/>
    <w:rsid w:val="00164EDE"/>
    <w:rsid w:val="00165B20"/>
    <w:rsid w:val="001661B0"/>
    <w:rsid w:val="00166FE5"/>
    <w:rsid w:val="00167408"/>
    <w:rsid w:val="00167CA4"/>
    <w:rsid w:val="00167D69"/>
    <w:rsid w:val="00170085"/>
    <w:rsid w:val="00170DE7"/>
    <w:rsid w:val="00171355"/>
    <w:rsid w:val="00171EEC"/>
    <w:rsid w:val="00174745"/>
    <w:rsid w:val="00177F4E"/>
    <w:rsid w:val="00177FE3"/>
    <w:rsid w:val="00184678"/>
    <w:rsid w:val="00184BBA"/>
    <w:rsid w:val="00186544"/>
    <w:rsid w:val="001916DD"/>
    <w:rsid w:val="0019538C"/>
    <w:rsid w:val="00195EC6"/>
    <w:rsid w:val="0019618E"/>
    <w:rsid w:val="0019733C"/>
    <w:rsid w:val="00197ACB"/>
    <w:rsid w:val="001A0237"/>
    <w:rsid w:val="001A189F"/>
    <w:rsid w:val="001A2051"/>
    <w:rsid w:val="001A3CDC"/>
    <w:rsid w:val="001A62FE"/>
    <w:rsid w:val="001A6CE1"/>
    <w:rsid w:val="001A7136"/>
    <w:rsid w:val="001A787F"/>
    <w:rsid w:val="001A7C0B"/>
    <w:rsid w:val="001B0683"/>
    <w:rsid w:val="001B0861"/>
    <w:rsid w:val="001B1CFE"/>
    <w:rsid w:val="001B34B5"/>
    <w:rsid w:val="001B4FC6"/>
    <w:rsid w:val="001B6256"/>
    <w:rsid w:val="001B6836"/>
    <w:rsid w:val="001B6AFA"/>
    <w:rsid w:val="001C295F"/>
    <w:rsid w:val="001C4576"/>
    <w:rsid w:val="001C457D"/>
    <w:rsid w:val="001C667E"/>
    <w:rsid w:val="001C6AAB"/>
    <w:rsid w:val="001C750C"/>
    <w:rsid w:val="001D0853"/>
    <w:rsid w:val="001D09B1"/>
    <w:rsid w:val="001D11F7"/>
    <w:rsid w:val="001D1F1B"/>
    <w:rsid w:val="001D3C27"/>
    <w:rsid w:val="001D478F"/>
    <w:rsid w:val="001D4B8B"/>
    <w:rsid w:val="001E0274"/>
    <w:rsid w:val="001E192B"/>
    <w:rsid w:val="001E318F"/>
    <w:rsid w:val="001E4122"/>
    <w:rsid w:val="001E4BF5"/>
    <w:rsid w:val="001E56F5"/>
    <w:rsid w:val="001E7720"/>
    <w:rsid w:val="001E7DE1"/>
    <w:rsid w:val="001F1052"/>
    <w:rsid w:val="001F1361"/>
    <w:rsid w:val="001F275D"/>
    <w:rsid w:val="001F4CFB"/>
    <w:rsid w:val="001F5435"/>
    <w:rsid w:val="001F6E7D"/>
    <w:rsid w:val="001F707E"/>
    <w:rsid w:val="001F7216"/>
    <w:rsid w:val="0020115E"/>
    <w:rsid w:val="0020184F"/>
    <w:rsid w:val="00203CD9"/>
    <w:rsid w:val="00204364"/>
    <w:rsid w:val="00204D99"/>
    <w:rsid w:val="002058EC"/>
    <w:rsid w:val="00207185"/>
    <w:rsid w:val="00207E31"/>
    <w:rsid w:val="00212A2E"/>
    <w:rsid w:val="00214A6C"/>
    <w:rsid w:val="002151FC"/>
    <w:rsid w:val="002158BC"/>
    <w:rsid w:val="002166A1"/>
    <w:rsid w:val="002176C5"/>
    <w:rsid w:val="00217C73"/>
    <w:rsid w:val="0022179E"/>
    <w:rsid w:val="002220B5"/>
    <w:rsid w:val="002231B5"/>
    <w:rsid w:val="00223638"/>
    <w:rsid w:val="00225215"/>
    <w:rsid w:val="00226140"/>
    <w:rsid w:val="00227263"/>
    <w:rsid w:val="002303D1"/>
    <w:rsid w:val="00230856"/>
    <w:rsid w:val="00230A81"/>
    <w:rsid w:val="00235E37"/>
    <w:rsid w:val="00236A19"/>
    <w:rsid w:val="00236F07"/>
    <w:rsid w:val="002451C2"/>
    <w:rsid w:val="00245E19"/>
    <w:rsid w:val="0025445E"/>
    <w:rsid w:val="0025612D"/>
    <w:rsid w:val="002577DA"/>
    <w:rsid w:val="002604B6"/>
    <w:rsid w:val="00260693"/>
    <w:rsid w:val="002639C0"/>
    <w:rsid w:val="00264000"/>
    <w:rsid w:val="00264FCA"/>
    <w:rsid w:val="002663F7"/>
    <w:rsid w:val="00267AB7"/>
    <w:rsid w:val="00271168"/>
    <w:rsid w:val="00272C27"/>
    <w:rsid w:val="002751F5"/>
    <w:rsid w:val="00275C4E"/>
    <w:rsid w:val="0027608D"/>
    <w:rsid w:val="002773DA"/>
    <w:rsid w:val="00277459"/>
    <w:rsid w:val="00280897"/>
    <w:rsid w:val="00280B55"/>
    <w:rsid w:val="00281BCA"/>
    <w:rsid w:val="00281FFC"/>
    <w:rsid w:val="00283EE6"/>
    <w:rsid w:val="00284896"/>
    <w:rsid w:val="00287ACE"/>
    <w:rsid w:val="002902DE"/>
    <w:rsid w:val="00293554"/>
    <w:rsid w:val="00293BAB"/>
    <w:rsid w:val="00294CF8"/>
    <w:rsid w:val="00294E8C"/>
    <w:rsid w:val="0029703E"/>
    <w:rsid w:val="00297733"/>
    <w:rsid w:val="002A0155"/>
    <w:rsid w:val="002A27C0"/>
    <w:rsid w:val="002A3272"/>
    <w:rsid w:val="002A4F26"/>
    <w:rsid w:val="002A5E74"/>
    <w:rsid w:val="002A66ED"/>
    <w:rsid w:val="002A7800"/>
    <w:rsid w:val="002B015D"/>
    <w:rsid w:val="002B1FC3"/>
    <w:rsid w:val="002B294F"/>
    <w:rsid w:val="002B3644"/>
    <w:rsid w:val="002B460F"/>
    <w:rsid w:val="002B4D99"/>
    <w:rsid w:val="002B6036"/>
    <w:rsid w:val="002B748C"/>
    <w:rsid w:val="002C01BB"/>
    <w:rsid w:val="002C0475"/>
    <w:rsid w:val="002C0560"/>
    <w:rsid w:val="002C0954"/>
    <w:rsid w:val="002C0C55"/>
    <w:rsid w:val="002C17BC"/>
    <w:rsid w:val="002C1DEF"/>
    <w:rsid w:val="002C1FFF"/>
    <w:rsid w:val="002C28A4"/>
    <w:rsid w:val="002C2FAB"/>
    <w:rsid w:val="002C3757"/>
    <w:rsid w:val="002C391B"/>
    <w:rsid w:val="002C3E54"/>
    <w:rsid w:val="002C6F7E"/>
    <w:rsid w:val="002D101A"/>
    <w:rsid w:val="002D7743"/>
    <w:rsid w:val="002D7D04"/>
    <w:rsid w:val="002E1EA4"/>
    <w:rsid w:val="002E5892"/>
    <w:rsid w:val="002E5D1D"/>
    <w:rsid w:val="002E6BB4"/>
    <w:rsid w:val="002E6BD6"/>
    <w:rsid w:val="002F0BDE"/>
    <w:rsid w:val="002F1C42"/>
    <w:rsid w:val="002F2CD1"/>
    <w:rsid w:val="002F30D3"/>
    <w:rsid w:val="002F30F9"/>
    <w:rsid w:val="002F5134"/>
    <w:rsid w:val="002F56EC"/>
    <w:rsid w:val="002F72AA"/>
    <w:rsid w:val="002F79C0"/>
    <w:rsid w:val="00301758"/>
    <w:rsid w:val="00303166"/>
    <w:rsid w:val="0030414A"/>
    <w:rsid w:val="00304BD3"/>
    <w:rsid w:val="0030689B"/>
    <w:rsid w:val="00306FA7"/>
    <w:rsid w:val="00307D51"/>
    <w:rsid w:val="0031043B"/>
    <w:rsid w:val="00311195"/>
    <w:rsid w:val="00311464"/>
    <w:rsid w:val="00311E57"/>
    <w:rsid w:val="0031201B"/>
    <w:rsid w:val="003124B6"/>
    <w:rsid w:val="003134B5"/>
    <w:rsid w:val="0031360B"/>
    <w:rsid w:val="003142BA"/>
    <w:rsid w:val="0031587F"/>
    <w:rsid w:val="00316CE9"/>
    <w:rsid w:val="00316DB4"/>
    <w:rsid w:val="00317125"/>
    <w:rsid w:val="00321318"/>
    <w:rsid w:val="00322134"/>
    <w:rsid w:val="003223B0"/>
    <w:rsid w:val="00322EBE"/>
    <w:rsid w:val="003239F8"/>
    <w:rsid w:val="0032553E"/>
    <w:rsid w:val="003269F7"/>
    <w:rsid w:val="0033349F"/>
    <w:rsid w:val="00333B98"/>
    <w:rsid w:val="00333C4C"/>
    <w:rsid w:val="003345C8"/>
    <w:rsid w:val="00336381"/>
    <w:rsid w:val="003375A1"/>
    <w:rsid w:val="00337824"/>
    <w:rsid w:val="00337AE5"/>
    <w:rsid w:val="003410B9"/>
    <w:rsid w:val="00341195"/>
    <w:rsid w:val="00341E70"/>
    <w:rsid w:val="0034232E"/>
    <w:rsid w:val="00344070"/>
    <w:rsid w:val="00344278"/>
    <w:rsid w:val="003443FB"/>
    <w:rsid w:val="00345308"/>
    <w:rsid w:val="003453E9"/>
    <w:rsid w:val="0034543C"/>
    <w:rsid w:val="00345CDD"/>
    <w:rsid w:val="0034600A"/>
    <w:rsid w:val="00346332"/>
    <w:rsid w:val="00347145"/>
    <w:rsid w:val="003474D9"/>
    <w:rsid w:val="0035310C"/>
    <w:rsid w:val="00353B31"/>
    <w:rsid w:val="003552A4"/>
    <w:rsid w:val="00356765"/>
    <w:rsid w:val="00357ECC"/>
    <w:rsid w:val="00360133"/>
    <w:rsid w:val="00360F5D"/>
    <w:rsid w:val="00361D56"/>
    <w:rsid w:val="00362436"/>
    <w:rsid w:val="00363520"/>
    <w:rsid w:val="00364686"/>
    <w:rsid w:val="00366F2D"/>
    <w:rsid w:val="00367DBD"/>
    <w:rsid w:val="00371EF6"/>
    <w:rsid w:val="003729BF"/>
    <w:rsid w:val="00372C3E"/>
    <w:rsid w:val="003731F3"/>
    <w:rsid w:val="00374618"/>
    <w:rsid w:val="00375FA4"/>
    <w:rsid w:val="00375FD1"/>
    <w:rsid w:val="00376AC1"/>
    <w:rsid w:val="003813FF"/>
    <w:rsid w:val="00381853"/>
    <w:rsid w:val="0038308B"/>
    <w:rsid w:val="00383A6E"/>
    <w:rsid w:val="00384212"/>
    <w:rsid w:val="0038488E"/>
    <w:rsid w:val="00386146"/>
    <w:rsid w:val="003866F7"/>
    <w:rsid w:val="00386866"/>
    <w:rsid w:val="003872AE"/>
    <w:rsid w:val="003919FD"/>
    <w:rsid w:val="00394358"/>
    <w:rsid w:val="00395C47"/>
    <w:rsid w:val="00396E44"/>
    <w:rsid w:val="00397518"/>
    <w:rsid w:val="00397C86"/>
    <w:rsid w:val="003A01BC"/>
    <w:rsid w:val="003A048F"/>
    <w:rsid w:val="003A12C4"/>
    <w:rsid w:val="003A219A"/>
    <w:rsid w:val="003A2B60"/>
    <w:rsid w:val="003A31B2"/>
    <w:rsid w:val="003A3575"/>
    <w:rsid w:val="003A5AD9"/>
    <w:rsid w:val="003B0F7E"/>
    <w:rsid w:val="003B109E"/>
    <w:rsid w:val="003B143C"/>
    <w:rsid w:val="003B199A"/>
    <w:rsid w:val="003B1C3A"/>
    <w:rsid w:val="003B237B"/>
    <w:rsid w:val="003B23AB"/>
    <w:rsid w:val="003B2454"/>
    <w:rsid w:val="003B2720"/>
    <w:rsid w:val="003B2DCE"/>
    <w:rsid w:val="003B472B"/>
    <w:rsid w:val="003B5209"/>
    <w:rsid w:val="003B76F5"/>
    <w:rsid w:val="003B797F"/>
    <w:rsid w:val="003C38F5"/>
    <w:rsid w:val="003C3D0A"/>
    <w:rsid w:val="003C5112"/>
    <w:rsid w:val="003C640D"/>
    <w:rsid w:val="003D0BE4"/>
    <w:rsid w:val="003D142F"/>
    <w:rsid w:val="003D31C5"/>
    <w:rsid w:val="003D7E7F"/>
    <w:rsid w:val="003E14C7"/>
    <w:rsid w:val="003E15C4"/>
    <w:rsid w:val="003E488A"/>
    <w:rsid w:val="003E4FBD"/>
    <w:rsid w:val="003E5C49"/>
    <w:rsid w:val="003E6795"/>
    <w:rsid w:val="003F0632"/>
    <w:rsid w:val="003F347E"/>
    <w:rsid w:val="003F63B4"/>
    <w:rsid w:val="003F7D4C"/>
    <w:rsid w:val="00401183"/>
    <w:rsid w:val="00402158"/>
    <w:rsid w:val="00403B8D"/>
    <w:rsid w:val="0040449F"/>
    <w:rsid w:val="0040568A"/>
    <w:rsid w:val="00405F8D"/>
    <w:rsid w:val="00406615"/>
    <w:rsid w:val="0041351B"/>
    <w:rsid w:val="00413700"/>
    <w:rsid w:val="004137E6"/>
    <w:rsid w:val="004149F4"/>
    <w:rsid w:val="004155A8"/>
    <w:rsid w:val="004164BB"/>
    <w:rsid w:val="004178EE"/>
    <w:rsid w:val="004205D6"/>
    <w:rsid w:val="0042063E"/>
    <w:rsid w:val="00422832"/>
    <w:rsid w:val="00422E05"/>
    <w:rsid w:val="00422F8A"/>
    <w:rsid w:val="004300C1"/>
    <w:rsid w:val="00434587"/>
    <w:rsid w:val="00437C99"/>
    <w:rsid w:val="0044201D"/>
    <w:rsid w:val="004475F5"/>
    <w:rsid w:val="00447740"/>
    <w:rsid w:val="004514A8"/>
    <w:rsid w:val="00451918"/>
    <w:rsid w:val="00451FEA"/>
    <w:rsid w:val="00452B69"/>
    <w:rsid w:val="00455777"/>
    <w:rsid w:val="00455E44"/>
    <w:rsid w:val="0045793D"/>
    <w:rsid w:val="00460BEC"/>
    <w:rsid w:val="0046347B"/>
    <w:rsid w:val="00463BBF"/>
    <w:rsid w:val="0046518E"/>
    <w:rsid w:val="00467ACF"/>
    <w:rsid w:val="00470CB6"/>
    <w:rsid w:val="004716A6"/>
    <w:rsid w:val="00472FEC"/>
    <w:rsid w:val="0047385A"/>
    <w:rsid w:val="0047433A"/>
    <w:rsid w:val="0047789D"/>
    <w:rsid w:val="004814F0"/>
    <w:rsid w:val="0048329E"/>
    <w:rsid w:val="00485884"/>
    <w:rsid w:val="00486239"/>
    <w:rsid w:val="00486DB9"/>
    <w:rsid w:val="00487146"/>
    <w:rsid w:val="00487303"/>
    <w:rsid w:val="00487A9A"/>
    <w:rsid w:val="0049067B"/>
    <w:rsid w:val="00490FC2"/>
    <w:rsid w:val="00491BE6"/>
    <w:rsid w:val="00493AC5"/>
    <w:rsid w:val="0049613B"/>
    <w:rsid w:val="00496378"/>
    <w:rsid w:val="004969FB"/>
    <w:rsid w:val="00497C25"/>
    <w:rsid w:val="004A2E8D"/>
    <w:rsid w:val="004A3CB8"/>
    <w:rsid w:val="004A4DD6"/>
    <w:rsid w:val="004A6333"/>
    <w:rsid w:val="004A6537"/>
    <w:rsid w:val="004A70D1"/>
    <w:rsid w:val="004A724E"/>
    <w:rsid w:val="004A7343"/>
    <w:rsid w:val="004A76EF"/>
    <w:rsid w:val="004A7FE6"/>
    <w:rsid w:val="004B22CC"/>
    <w:rsid w:val="004B2D26"/>
    <w:rsid w:val="004B358D"/>
    <w:rsid w:val="004B5E13"/>
    <w:rsid w:val="004B7C7A"/>
    <w:rsid w:val="004C090D"/>
    <w:rsid w:val="004C56D6"/>
    <w:rsid w:val="004C6A82"/>
    <w:rsid w:val="004C7FD0"/>
    <w:rsid w:val="004D0590"/>
    <w:rsid w:val="004D23D3"/>
    <w:rsid w:val="004D4B99"/>
    <w:rsid w:val="004D5CF2"/>
    <w:rsid w:val="004D60DE"/>
    <w:rsid w:val="004D67C5"/>
    <w:rsid w:val="004D7A57"/>
    <w:rsid w:val="004E07D3"/>
    <w:rsid w:val="004E2D21"/>
    <w:rsid w:val="004E341E"/>
    <w:rsid w:val="004E40D1"/>
    <w:rsid w:val="004E4109"/>
    <w:rsid w:val="004E4961"/>
    <w:rsid w:val="004E4C5E"/>
    <w:rsid w:val="004E5779"/>
    <w:rsid w:val="004E6DFD"/>
    <w:rsid w:val="004E7CBD"/>
    <w:rsid w:val="004E7DBE"/>
    <w:rsid w:val="004F08D3"/>
    <w:rsid w:val="004F1286"/>
    <w:rsid w:val="004F1E07"/>
    <w:rsid w:val="004F4717"/>
    <w:rsid w:val="0050049B"/>
    <w:rsid w:val="00500620"/>
    <w:rsid w:val="00500C2E"/>
    <w:rsid w:val="005024EF"/>
    <w:rsid w:val="00502586"/>
    <w:rsid w:val="00502793"/>
    <w:rsid w:val="005030BD"/>
    <w:rsid w:val="0050414E"/>
    <w:rsid w:val="0050568A"/>
    <w:rsid w:val="00505B95"/>
    <w:rsid w:val="00506264"/>
    <w:rsid w:val="00515398"/>
    <w:rsid w:val="005155AC"/>
    <w:rsid w:val="0051750C"/>
    <w:rsid w:val="00522ED0"/>
    <w:rsid w:val="00523C58"/>
    <w:rsid w:val="00526541"/>
    <w:rsid w:val="005356B3"/>
    <w:rsid w:val="00536648"/>
    <w:rsid w:val="00536C48"/>
    <w:rsid w:val="0053729E"/>
    <w:rsid w:val="00537DAA"/>
    <w:rsid w:val="005425FA"/>
    <w:rsid w:val="00542728"/>
    <w:rsid w:val="00542834"/>
    <w:rsid w:val="00543E56"/>
    <w:rsid w:val="00544439"/>
    <w:rsid w:val="00546373"/>
    <w:rsid w:val="0055050D"/>
    <w:rsid w:val="00551E19"/>
    <w:rsid w:val="00552C4F"/>
    <w:rsid w:val="00552D5D"/>
    <w:rsid w:val="00552E21"/>
    <w:rsid w:val="00555A4D"/>
    <w:rsid w:val="00556328"/>
    <w:rsid w:val="00556F7E"/>
    <w:rsid w:val="0056278D"/>
    <w:rsid w:val="005631CE"/>
    <w:rsid w:val="00563B28"/>
    <w:rsid w:val="005655A1"/>
    <w:rsid w:val="00567E14"/>
    <w:rsid w:val="00571B47"/>
    <w:rsid w:val="00572778"/>
    <w:rsid w:val="00573338"/>
    <w:rsid w:val="00574203"/>
    <w:rsid w:val="00574E21"/>
    <w:rsid w:val="005757E1"/>
    <w:rsid w:val="005758D1"/>
    <w:rsid w:val="00585800"/>
    <w:rsid w:val="00586493"/>
    <w:rsid w:val="0058662D"/>
    <w:rsid w:val="005871D8"/>
    <w:rsid w:val="0058799A"/>
    <w:rsid w:val="00592676"/>
    <w:rsid w:val="0059284D"/>
    <w:rsid w:val="00593B80"/>
    <w:rsid w:val="005951DA"/>
    <w:rsid w:val="005A03EE"/>
    <w:rsid w:val="005A06D3"/>
    <w:rsid w:val="005A0AF8"/>
    <w:rsid w:val="005A2B2E"/>
    <w:rsid w:val="005A3159"/>
    <w:rsid w:val="005A5144"/>
    <w:rsid w:val="005B0913"/>
    <w:rsid w:val="005B19CA"/>
    <w:rsid w:val="005B2CF3"/>
    <w:rsid w:val="005B5D93"/>
    <w:rsid w:val="005B63A2"/>
    <w:rsid w:val="005C2A9D"/>
    <w:rsid w:val="005C42DE"/>
    <w:rsid w:val="005C4CC3"/>
    <w:rsid w:val="005C571D"/>
    <w:rsid w:val="005C59F0"/>
    <w:rsid w:val="005C7783"/>
    <w:rsid w:val="005C7AFF"/>
    <w:rsid w:val="005D451C"/>
    <w:rsid w:val="005D4CD5"/>
    <w:rsid w:val="005D5D43"/>
    <w:rsid w:val="005D7C6B"/>
    <w:rsid w:val="005D7E62"/>
    <w:rsid w:val="005E0781"/>
    <w:rsid w:val="005E0E66"/>
    <w:rsid w:val="005E2461"/>
    <w:rsid w:val="005E2983"/>
    <w:rsid w:val="005E4164"/>
    <w:rsid w:val="005E45BB"/>
    <w:rsid w:val="005E67AF"/>
    <w:rsid w:val="005E680D"/>
    <w:rsid w:val="005E6ECC"/>
    <w:rsid w:val="005F1277"/>
    <w:rsid w:val="005F1C44"/>
    <w:rsid w:val="005F2A5B"/>
    <w:rsid w:val="005F2ECA"/>
    <w:rsid w:val="005F31BE"/>
    <w:rsid w:val="005F5800"/>
    <w:rsid w:val="005F62CB"/>
    <w:rsid w:val="005F79D9"/>
    <w:rsid w:val="00600A02"/>
    <w:rsid w:val="00602EB0"/>
    <w:rsid w:val="00606989"/>
    <w:rsid w:val="00610482"/>
    <w:rsid w:val="00611049"/>
    <w:rsid w:val="00613B72"/>
    <w:rsid w:val="00617866"/>
    <w:rsid w:val="00620E28"/>
    <w:rsid w:val="00621E46"/>
    <w:rsid w:val="006221AA"/>
    <w:rsid w:val="00623B31"/>
    <w:rsid w:val="00624D79"/>
    <w:rsid w:val="006274E1"/>
    <w:rsid w:val="0062776E"/>
    <w:rsid w:val="006305E4"/>
    <w:rsid w:val="00631163"/>
    <w:rsid w:val="00631270"/>
    <w:rsid w:val="00632044"/>
    <w:rsid w:val="006360F2"/>
    <w:rsid w:val="00636B7A"/>
    <w:rsid w:val="00640DF7"/>
    <w:rsid w:val="0064166B"/>
    <w:rsid w:val="006419AA"/>
    <w:rsid w:val="00644C74"/>
    <w:rsid w:val="006454DC"/>
    <w:rsid w:val="006461CC"/>
    <w:rsid w:val="0064691A"/>
    <w:rsid w:val="00646E08"/>
    <w:rsid w:val="00653B47"/>
    <w:rsid w:val="00655C49"/>
    <w:rsid w:val="00656560"/>
    <w:rsid w:val="00656983"/>
    <w:rsid w:val="00657119"/>
    <w:rsid w:val="006601EB"/>
    <w:rsid w:val="00662C10"/>
    <w:rsid w:val="00663B47"/>
    <w:rsid w:val="00664C1C"/>
    <w:rsid w:val="0066576D"/>
    <w:rsid w:val="00667305"/>
    <w:rsid w:val="00670CDF"/>
    <w:rsid w:val="006713C0"/>
    <w:rsid w:val="00671CB6"/>
    <w:rsid w:val="0067212C"/>
    <w:rsid w:val="00672830"/>
    <w:rsid w:val="00672CA0"/>
    <w:rsid w:val="006730A2"/>
    <w:rsid w:val="00674758"/>
    <w:rsid w:val="0067663A"/>
    <w:rsid w:val="006810C3"/>
    <w:rsid w:val="00682DF3"/>
    <w:rsid w:val="006836A7"/>
    <w:rsid w:val="006837F6"/>
    <w:rsid w:val="00683A24"/>
    <w:rsid w:val="00683B0E"/>
    <w:rsid w:val="00684541"/>
    <w:rsid w:val="006878EA"/>
    <w:rsid w:val="00691365"/>
    <w:rsid w:val="00691D96"/>
    <w:rsid w:val="0069442E"/>
    <w:rsid w:val="006956B3"/>
    <w:rsid w:val="00695727"/>
    <w:rsid w:val="00695E7E"/>
    <w:rsid w:val="0069686F"/>
    <w:rsid w:val="006A06A9"/>
    <w:rsid w:val="006A157C"/>
    <w:rsid w:val="006A292F"/>
    <w:rsid w:val="006A2D33"/>
    <w:rsid w:val="006A3F76"/>
    <w:rsid w:val="006A507F"/>
    <w:rsid w:val="006A7446"/>
    <w:rsid w:val="006A745C"/>
    <w:rsid w:val="006B08B4"/>
    <w:rsid w:val="006B1779"/>
    <w:rsid w:val="006B22D6"/>
    <w:rsid w:val="006B2D6A"/>
    <w:rsid w:val="006B3B9F"/>
    <w:rsid w:val="006B4BD8"/>
    <w:rsid w:val="006B54D7"/>
    <w:rsid w:val="006B560C"/>
    <w:rsid w:val="006B60DC"/>
    <w:rsid w:val="006B618E"/>
    <w:rsid w:val="006B69D2"/>
    <w:rsid w:val="006B6F5B"/>
    <w:rsid w:val="006B7B76"/>
    <w:rsid w:val="006C0D52"/>
    <w:rsid w:val="006C162B"/>
    <w:rsid w:val="006C1A9E"/>
    <w:rsid w:val="006C231A"/>
    <w:rsid w:val="006C2BFE"/>
    <w:rsid w:val="006C4278"/>
    <w:rsid w:val="006C4642"/>
    <w:rsid w:val="006C67D9"/>
    <w:rsid w:val="006C6C6F"/>
    <w:rsid w:val="006D00CF"/>
    <w:rsid w:val="006D13C9"/>
    <w:rsid w:val="006D6AB8"/>
    <w:rsid w:val="006E2D48"/>
    <w:rsid w:val="006E36E6"/>
    <w:rsid w:val="006E3FCF"/>
    <w:rsid w:val="006F0116"/>
    <w:rsid w:val="006F09E7"/>
    <w:rsid w:val="006F1A82"/>
    <w:rsid w:val="006F2049"/>
    <w:rsid w:val="006F2AF1"/>
    <w:rsid w:val="006F309B"/>
    <w:rsid w:val="006F3C21"/>
    <w:rsid w:val="006F3F45"/>
    <w:rsid w:val="006F6A80"/>
    <w:rsid w:val="006F730B"/>
    <w:rsid w:val="006F7C8D"/>
    <w:rsid w:val="0070004A"/>
    <w:rsid w:val="007008D1"/>
    <w:rsid w:val="007031E0"/>
    <w:rsid w:val="00704765"/>
    <w:rsid w:val="007067F4"/>
    <w:rsid w:val="00706AE1"/>
    <w:rsid w:val="0071290B"/>
    <w:rsid w:val="0071337D"/>
    <w:rsid w:val="00714FBF"/>
    <w:rsid w:val="0071687F"/>
    <w:rsid w:val="00717236"/>
    <w:rsid w:val="00720289"/>
    <w:rsid w:val="00720303"/>
    <w:rsid w:val="0072169E"/>
    <w:rsid w:val="0072379E"/>
    <w:rsid w:val="0072465E"/>
    <w:rsid w:val="00724CF0"/>
    <w:rsid w:val="007267C7"/>
    <w:rsid w:val="00726C38"/>
    <w:rsid w:val="007320A1"/>
    <w:rsid w:val="00733AE3"/>
    <w:rsid w:val="007361F6"/>
    <w:rsid w:val="0073685F"/>
    <w:rsid w:val="00736C84"/>
    <w:rsid w:val="007415EE"/>
    <w:rsid w:val="007456DA"/>
    <w:rsid w:val="0075074A"/>
    <w:rsid w:val="007533D7"/>
    <w:rsid w:val="00755B7B"/>
    <w:rsid w:val="007567DC"/>
    <w:rsid w:val="0075696F"/>
    <w:rsid w:val="00761F9C"/>
    <w:rsid w:val="0076324E"/>
    <w:rsid w:val="007633AD"/>
    <w:rsid w:val="007637C2"/>
    <w:rsid w:val="00764404"/>
    <w:rsid w:val="00765414"/>
    <w:rsid w:val="007670E1"/>
    <w:rsid w:val="00770832"/>
    <w:rsid w:val="00770B73"/>
    <w:rsid w:val="00770BBA"/>
    <w:rsid w:val="00770E2D"/>
    <w:rsid w:val="00771203"/>
    <w:rsid w:val="0077295E"/>
    <w:rsid w:val="00774EA6"/>
    <w:rsid w:val="00774F2C"/>
    <w:rsid w:val="007754EC"/>
    <w:rsid w:val="0078192F"/>
    <w:rsid w:val="00782D82"/>
    <w:rsid w:val="007834AF"/>
    <w:rsid w:val="007900FC"/>
    <w:rsid w:val="00790380"/>
    <w:rsid w:val="007924A5"/>
    <w:rsid w:val="00794F2B"/>
    <w:rsid w:val="00797035"/>
    <w:rsid w:val="0079752F"/>
    <w:rsid w:val="007975F4"/>
    <w:rsid w:val="007A0897"/>
    <w:rsid w:val="007A35F3"/>
    <w:rsid w:val="007A64EE"/>
    <w:rsid w:val="007A6702"/>
    <w:rsid w:val="007A7008"/>
    <w:rsid w:val="007B208E"/>
    <w:rsid w:val="007B2CF6"/>
    <w:rsid w:val="007B6D46"/>
    <w:rsid w:val="007B724A"/>
    <w:rsid w:val="007C21C4"/>
    <w:rsid w:val="007C28AB"/>
    <w:rsid w:val="007C35EB"/>
    <w:rsid w:val="007C4271"/>
    <w:rsid w:val="007C4EAE"/>
    <w:rsid w:val="007C543A"/>
    <w:rsid w:val="007C56C1"/>
    <w:rsid w:val="007D002A"/>
    <w:rsid w:val="007D04CC"/>
    <w:rsid w:val="007D08AB"/>
    <w:rsid w:val="007D1C70"/>
    <w:rsid w:val="007D27EB"/>
    <w:rsid w:val="007D3176"/>
    <w:rsid w:val="007D4F28"/>
    <w:rsid w:val="007D513C"/>
    <w:rsid w:val="007E041E"/>
    <w:rsid w:val="007E0C5C"/>
    <w:rsid w:val="007E16B9"/>
    <w:rsid w:val="007E182F"/>
    <w:rsid w:val="007E3D0F"/>
    <w:rsid w:val="007E4F5D"/>
    <w:rsid w:val="007E51AB"/>
    <w:rsid w:val="007E5E9A"/>
    <w:rsid w:val="007F1E8F"/>
    <w:rsid w:val="007F2156"/>
    <w:rsid w:val="007F50E5"/>
    <w:rsid w:val="007F76EC"/>
    <w:rsid w:val="00801493"/>
    <w:rsid w:val="00803E59"/>
    <w:rsid w:val="008040FF"/>
    <w:rsid w:val="00804794"/>
    <w:rsid w:val="00807202"/>
    <w:rsid w:val="0080748E"/>
    <w:rsid w:val="008129C1"/>
    <w:rsid w:val="00814665"/>
    <w:rsid w:val="00814DF4"/>
    <w:rsid w:val="008158D2"/>
    <w:rsid w:val="00817438"/>
    <w:rsid w:val="00817E78"/>
    <w:rsid w:val="00817FBF"/>
    <w:rsid w:val="00817FD1"/>
    <w:rsid w:val="00820714"/>
    <w:rsid w:val="00820814"/>
    <w:rsid w:val="008226C9"/>
    <w:rsid w:val="008239FD"/>
    <w:rsid w:val="00827013"/>
    <w:rsid w:val="00831E42"/>
    <w:rsid w:val="00831E59"/>
    <w:rsid w:val="008332DD"/>
    <w:rsid w:val="00833C7C"/>
    <w:rsid w:val="00833D58"/>
    <w:rsid w:val="00834691"/>
    <w:rsid w:val="00837B20"/>
    <w:rsid w:val="00837F15"/>
    <w:rsid w:val="00840650"/>
    <w:rsid w:val="00841063"/>
    <w:rsid w:val="00841898"/>
    <w:rsid w:val="008423B7"/>
    <w:rsid w:val="00842EA5"/>
    <w:rsid w:val="00845505"/>
    <w:rsid w:val="00846685"/>
    <w:rsid w:val="008467AF"/>
    <w:rsid w:val="008476B4"/>
    <w:rsid w:val="008477A3"/>
    <w:rsid w:val="00847ADC"/>
    <w:rsid w:val="00847BD0"/>
    <w:rsid w:val="00851738"/>
    <w:rsid w:val="00852961"/>
    <w:rsid w:val="00852D1A"/>
    <w:rsid w:val="0085713D"/>
    <w:rsid w:val="008572C9"/>
    <w:rsid w:val="00861348"/>
    <w:rsid w:val="00861740"/>
    <w:rsid w:val="008629EE"/>
    <w:rsid w:val="00862B92"/>
    <w:rsid w:val="008631DD"/>
    <w:rsid w:val="0086333C"/>
    <w:rsid w:val="00863A8E"/>
    <w:rsid w:val="008665DB"/>
    <w:rsid w:val="008672F6"/>
    <w:rsid w:val="0087056B"/>
    <w:rsid w:val="00871E2A"/>
    <w:rsid w:val="008721A8"/>
    <w:rsid w:val="008729A3"/>
    <w:rsid w:val="00872BE1"/>
    <w:rsid w:val="00875229"/>
    <w:rsid w:val="00882F75"/>
    <w:rsid w:val="008865B7"/>
    <w:rsid w:val="00887060"/>
    <w:rsid w:val="008876FB"/>
    <w:rsid w:val="00892423"/>
    <w:rsid w:val="00893782"/>
    <w:rsid w:val="00893936"/>
    <w:rsid w:val="008944FC"/>
    <w:rsid w:val="008954D6"/>
    <w:rsid w:val="00895541"/>
    <w:rsid w:val="00895566"/>
    <w:rsid w:val="00895E6C"/>
    <w:rsid w:val="00896E61"/>
    <w:rsid w:val="008A1E29"/>
    <w:rsid w:val="008A26B6"/>
    <w:rsid w:val="008A29CB"/>
    <w:rsid w:val="008A38AB"/>
    <w:rsid w:val="008A4ABD"/>
    <w:rsid w:val="008A6B57"/>
    <w:rsid w:val="008A6C67"/>
    <w:rsid w:val="008B09D0"/>
    <w:rsid w:val="008B1046"/>
    <w:rsid w:val="008B2149"/>
    <w:rsid w:val="008B4FA9"/>
    <w:rsid w:val="008B63A1"/>
    <w:rsid w:val="008B6B91"/>
    <w:rsid w:val="008B74EE"/>
    <w:rsid w:val="008C0759"/>
    <w:rsid w:val="008C0F43"/>
    <w:rsid w:val="008C14F4"/>
    <w:rsid w:val="008C1509"/>
    <w:rsid w:val="008C15FD"/>
    <w:rsid w:val="008C17F4"/>
    <w:rsid w:val="008C2826"/>
    <w:rsid w:val="008C2C8C"/>
    <w:rsid w:val="008C38E5"/>
    <w:rsid w:val="008C491D"/>
    <w:rsid w:val="008C6E50"/>
    <w:rsid w:val="008D2F2C"/>
    <w:rsid w:val="008D3484"/>
    <w:rsid w:val="008D34BB"/>
    <w:rsid w:val="008D3976"/>
    <w:rsid w:val="008D3ACA"/>
    <w:rsid w:val="008D5D64"/>
    <w:rsid w:val="008D71E7"/>
    <w:rsid w:val="008D739C"/>
    <w:rsid w:val="008E09A5"/>
    <w:rsid w:val="008E0D21"/>
    <w:rsid w:val="008E0E3C"/>
    <w:rsid w:val="008E1151"/>
    <w:rsid w:val="008E32CB"/>
    <w:rsid w:val="008E460E"/>
    <w:rsid w:val="008E4FCE"/>
    <w:rsid w:val="008E63CB"/>
    <w:rsid w:val="008E7436"/>
    <w:rsid w:val="008F1CBB"/>
    <w:rsid w:val="008F1DCC"/>
    <w:rsid w:val="008F391E"/>
    <w:rsid w:val="008F5ED9"/>
    <w:rsid w:val="00900E74"/>
    <w:rsid w:val="00901754"/>
    <w:rsid w:val="00903A15"/>
    <w:rsid w:val="0090421E"/>
    <w:rsid w:val="00904332"/>
    <w:rsid w:val="00904436"/>
    <w:rsid w:val="00904A5E"/>
    <w:rsid w:val="00904AF2"/>
    <w:rsid w:val="0090604F"/>
    <w:rsid w:val="00906476"/>
    <w:rsid w:val="009120F8"/>
    <w:rsid w:val="009125B5"/>
    <w:rsid w:val="009128F9"/>
    <w:rsid w:val="00912976"/>
    <w:rsid w:val="0091302D"/>
    <w:rsid w:val="0091403E"/>
    <w:rsid w:val="0091587A"/>
    <w:rsid w:val="00915CF1"/>
    <w:rsid w:val="00916E57"/>
    <w:rsid w:val="009174AD"/>
    <w:rsid w:val="00917702"/>
    <w:rsid w:val="009178BB"/>
    <w:rsid w:val="00920786"/>
    <w:rsid w:val="00922269"/>
    <w:rsid w:val="00923AE7"/>
    <w:rsid w:val="00924E54"/>
    <w:rsid w:val="009260AC"/>
    <w:rsid w:val="0092617A"/>
    <w:rsid w:val="00926328"/>
    <w:rsid w:val="009316E7"/>
    <w:rsid w:val="00931B8C"/>
    <w:rsid w:val="00931D18"/>
    <w:rsid w:val="00932093"/>
    <w:rsid w:val="0093300D"/>
    <w:rsid w:val="00934BE6"/>
    <w:rsid w:val="0093780A"/>
    <w:rsid w:val="00942357"/>
    <w:rsid w:val="00942492"/>
    <w:rsid w:val="009441DB"/>
    <w:rsid w:val="00944AFC"/>
    <w:rsid w:val="00944BC4"/>
    <w:rsid w:val="00945ABA"/>
    <w:rsid w:val="009465C9"/>
    <w:rsid w:val="009478EE"/>
    <w:rsid w:val="00953C28"/>
    <w:rsid w:val="00953CF5"/>
    <w:rsid w:val="00955ABF"/>
    <w:rsid w:val="00957C93"/>
    <w:rsid w:val="0096210F"/>
    <w:rsid w:val="00964B29"/>
    <w:rsid w:val="009652E9"/>
    <w:rsid w:val="00965AA7"/>
    <w:rsid w:val="00967365"/>
    <w:rsid w:val="00967E92"/>
    <w:rsid w:val="00971D26"/>
    <w:rsid w:val="009730C2"/>
    <w:rsid w:val="00973386"/>
    <w:rsid w:val="00973503"/>
    <w:rsid w:val="00973AE1"/>
    <w:rsid w:val="00974030"/>
    <w:rsid w:val="009743FB"/>
    <w:rsid w:val="0097528A"/>
    <w:rsid w:val="00976449"/>
    <w:rsid w:val="009801EB"/>
    <w:rsid w:val="0098063D"/>
    <w:rsid w:val="00980799"/>
    <w:rsid w:val="00981D6D"/>
    <w:rsid w:val="00983473"/>
    <w:rsid w:val="009842DF"/>
    <w:rsid w:val="009848D3"/>
    <w:rsid w:val="00984D79"/>
    <w:rsid w:val="009853AB"/>
    <w:rsid w:val="00985B72"/>
    <w:rsid w:val="0098721A"/>
    <w:rsid w:val="00990226"/>
    <w:rsid w:val="00992B27"/>
    <w:rsid w:val="00992BC5"/>
    <w:rsid w:val="009930E8"/>
    <w:rsid w:val="00993679"/>
    <w:rsid w:val="00993957"/>
    <w:rsid w:val="00995E1B"/>
    <w:rsid w:val="00995F40"/>
    <w:rsid w:val="00996ECD"/>
    <w:rsid w:val="00997046"/>
    <w:rsid w:val="00997733"/>
    <w:rsid w:val="00997927"/>
    <w:rsid w:val="00997CB0"/>
    <w:rsid w:val="009A302B"/>
    <w:rsid w:val="009A480A"/>
    <w:rsid w:val="009A4CB8"/>
    <w:rsid w:val="009A4CBF"/>
    <w:rsid w:val="009A6149"/>
    <w:rsid w:val="009B2569"/>
    <w:rsid w:val="009B39A4"/>
    <w:rsid w:val="009B43D6"/>
    <w:rsid w:val="009B4E4D"/>
    <w:rsid w:val="009B5407"/>
    <w:rsid w:val="009B6635"/>
    <w:rsid w:val="009C1CFB"/>
    <w:rsid w:val="009C2397"/>
    <w:rsid w:val="009C53F9"/>
    <w:rsid w:val="009C59AC"/>
    <w:rsid w:val="009C6716"/>
    <w:rsid w:val="009C70BB"/>
    <w:rsid w:val="009C76B3"/>
    <w:rsid w:val="009D1323"/>
    <w:rsid w:val="009D1C37"/>
    <w:rsid w:val="009D3B55"/>
    <w:rsid w:val="009D4079"/>
    <w:rsid w:val="009D4275"/>
    <w:rsid w:val="009D4FE7"/>
    <w:rsid w:val="009D6690"/>
    <w:rsid w:val="009D77CC"/>
    <w:rsid w:val="009D7880"/>
    <w:rsid w:val="009E0464"/>
    <w:rsid w:val="009E2A57"/>
    <w:rsid w:val="009E42C2"/>
    <w:rsid w:val="009E6C01"/>
    <w:rsid w:val="009E73C4"/>
    <w:rsid w:val="009E7B53"/>
    <w:rsid w:val="009F00D8"/>
    <w:rsid w:val="009F0111"/>
    <w:rsid w:val="009F0550"/>
    <w:rsid w:val="009F08A8"/>
    <w:rsid w:val="009F1B4D"/>
    <w:rsid w:val="009F2088"/>
    <w:rsid w:val="009F29F3"/>
    <w:rsid w:val="009F47B5"/>
    <w:rsid w:val="009F5032"/>
    <w:rsid w:val="009F50C3"/>
    <w:rsid w:val="009F6583"/>
    <w:rsid w:val="009F6890"/>
    <w:rsid w:val="00A01223"/>
    <w:rsid w:val="00A0243A"/>
    <w:rsid w:val="00A03166"/>
    <w:rsid w:val="00A05DEF"/>
    <w:rsid w:val="00A06678"/>
    <w:rsid w:val="00A0725A"/>
    <w:rsid w:val="00A0768E"/>
    <w:rsid w:val="00A11CB3"/>
    <w:rsid w:val="00A1473F"/>
    <w:rsid w:val="00A1493B"/>
    <w:rsid w:val="00A1561F"/>
    <w:rsid w:val="00A15760"/>
    <w:rsid w:val="00A158E0"/>
    <w:rsid w:val="00A1775E"/>
    <w:rsid w:val="00A208D0"/>
    <w:rsid w:val="00A217FD"/>
    <w:rsid w:val="00A21B51"/>
    <w:rsid w:val="00A229EA"/>
    <w:rsid w:val="00A22AF3"/>
    <w:rsid w:val="00A24957"/>
    <w:rsid w:val="00A25773"/>
    <w:rsid w:val="00A265E2"/>
    <w:rsid w:val="00A2686F"/>
    <w:rsid w:val="00A32CC6"/>
    <w:rsid w:val="00A35FDD"/>
    <w:rsid w:val="00A4399E"/>
    <w:rsid w:val="00A441DE"/>
    <w:rsid w:val="00A47F2D"/>
    <w:rsid w:val="00A50451"/>
    <w:rsid w:val="00A50B01"/>
    <w:rsid w:val="00A522BD"/>
    <w:rsid w:val="00A52A30"/>
    <w:rsid w:val="00A540B6"/>
    <w:rsid w:val="00A55C1E"/>
    <w:rsid w:val="00A56E94"/>
    <w:rsid w:val="00A60202"/>
    <w:rsid w:val="00A60C01"/>
    <w:rsid w:val="00A61127"/>
    <w:rsid w:val="00A613CE"/>
    <w:rsid w:val="00A64100"/>
    <w:rsid w:val="00A648DA"/>
    <w:rsid w:val="00A6642E"/>
    <w:rsid w:val="00A67A86"/>
    <w:rsid w:val="00A704DD"/>
    <w:rsid w:val="00A71B18"/>
    <w:rsid w:val="00A726B4"/>
    <w:rsid w:val="00A74D70"/>
    <w:rsid w:val="00A757FF"/>
    <w:rsid w:val="00A75A46"/>
    <w:rsid w:val="00A75A6A"/>
    <w:rsid w:val="00A77BC7"/>
    <w:rsid w:val="00A8069D"/>
    <w:rsid w:val="00A80C2F"/>
    <w:rsid w:val="00A81B93"/>
    <w:rsid w:val="00A82A89"/>
    <w:rsid w:val="00A82F2C"/>
    <w:rsid w:val="00A83BDC"/>
    <w:rsid w:val="00A83CAB"/>
    <w:rsid w:val="00A844C6"/>
    <w:rsid w:val="00A84B9A"/>
    <w:rsid w:val="00A86049"/>
    <w:rsid w:val="00A878F4"/>
    <w:rsid w:val="00A87DE1"/>
    <w:rsid w:val="00A917AD"/>
    <w:rsid w:val="00A93175"/>
    <w:rsid w:val="00A9385F"/>
    <w:rsid w:val="00A93A56"/>
    <w:rsid w:val="00A94086"/>
    <w:rsid w:val="00A9596F"/>
    <w:rsid w:val="00A96EF6"/>
    <w:rsid w:val="00A977CF"/>
    <w:rsid w:val="00A97896"/>
    <w:rsid w:val="00AA0B7F"/>
    <w:rsid w:val="00AA179B"/>
    <w:rsid w:val="00AA2044"/>
    <w:rsid w:val="00AA219B"/>
    <w:rsid w:val="00AA2704"/>
    <w:rsid w:val="00AA2962"/>
    <w:rsid w:val="00AA3845"/>
    <w:rsid w:val="00AA50EA"/>
    <w:rsid w:val="00AA59EF"/>
    <w:rsid w:val="00AA76E6"/>
    <w:rsid w:val="00AB31A8"/>
    <w:rsid w:val="00AB4B5B"/>
    <w:rsid w:val="00AB501A"/>
    <w:rsid w:val="00AB5DB5"/>
    <w:rsid w:val="00AB717C"/>
    <w:rsid w:val="00AB7515"/>
    <w:rsid w:val="00AB7D0C"/>
    <w:rsid w:val="00AB7E39"/>
    <w:rsid w:val="00AC1A14"/>
    <w:rsid w:val="00AC1C97"/>
    <w:rsid w:val="00AC4805"/>
    <w:rsid w:val="00AC4B72"/>
    <w:rsid w:val="00AC50AA"/>
    <w:rsid w:val="00AC595F"/>
    <w:rsid w:val="00AC630B"/>
    <w:rsid w:val="00AD1D7E"/>
    <w:rsid w:val="00AD2AAA"/>
    <w:rsid w:val="00AD4568"/>
    <w:rsid w:val="00AD4BA5"/>
    <w:rsid w:val="00AD58BA"/>
    <w:rsid w:val="00AD5A12"/>
    <w:rsid w:val="00AD63AE"/>
    <w:rsid w:val="00AD6873"/>
    <w:rsid w:val="00AD6CE3"/>
    <w:rsid w:val="00AD6D9C"/>
    <w:rsid w:val="00AD6E7B"/>
    <w:rsid w:val="00AD78F5"/>
    <w:rsid w:val="00AE06D6"/>
    <w:rsid w:val="00AE1FE6"/>
    <w:rsid w:val="00AE3A6E"/>
    <w:rsid w:val="00AE4A9A"/>
    <w:rsid w:val="00AE5F4F"/>
    <w:rsid w:val="00AE7542"/>
    <w:rsid w:val="00AF0503"/>
    <w:rsid w:val="00AF1ADE"/>
    <w:rsid w:val="00AF2D7A"/>
    <w:rsid w:val="00AF34E9"/>
    <w:rsid w:val="00AF44EB"/>
    <w:rsid w:val="00AF501D"/>
    <w:rsid w:val="00AF5338"/>
    <w:rsid w:val="00AF6051"/>
    <w:rsid w:val="00AF6500"/>
    <w:rsid w:val="00AF6783"/>
    <w:rsid w:val="00AF7076"/>
    <w:rsid w:val="00AF76F9"/>
    <w:rsid w:val="00B01B40"/>
    <w:rsid w:val="00B0281D"/>
    <w:rsid w:val="00B02E94"/>
    <w:rsid w:val="00B050DE"/>
    <w:rsid w:val="00B05AA6"/>
    <w:rsid w:val="00B0606E"/>
    <w:rsid w:val="00B062A2"/>
    <w:rsid w:val="00B07677"/>
    <w:rsid w:val="00B10F74"/>
    <w:rsid w:val="00B115D5"/>
    <w:rsid w:val="00B1164D"/>
    <w:rsid w:val="00B1244F"/>
    <w:rsid w:val="00B12FD3"/>
    <w:rsid w:val="00B132D9"/>
    <w:rsid w:val="00B13662"/>
    <w:rsid w:val="00B14F53"/>
    <w:rsid w:val="00B1612F"/>
    <w:rsid w:val="00B1619A"/>
    <w:rsid w:val="00B16743"/>
    <w:rsid w:val="00B169C6"/>
    <w:rsid w:val="00B16EB3"/>
    <w:rsid w:val="00B17E8D"/>
    <w:rsid w:val="00B207DC"/>
    <w:rsid w:val="00B21AB3"/>
    <w:rsid w:val="00B240EE"/>
    <w:rsid w:val="00B24220"/>
    <w:rsid w:val="00B24355"/>
    <w:rsid w:val="00B24E50"/>
    <w:rsid w:val="00B25028"/>
    <w:rsid w:val="00B25C21"/>
    <w:rsid w:val="00B270E0"/>
    <w:rsid w:val="00B31973"/>
    <w:rsid w:val="00B320C7"/>
    <w:rsid w:val="00B34B81"/>
    <w:rsid w:val="00B34C83"/>
    <w:rsid w:val="00B3543A"/>
    <w:rsid w:val="00B35AFD"/>
    <w:rsid w:val="00B377EE"/>
    <w:rsid w:val="00B37FEB"/>
    <w:rsid w:val="00B40675"/>
    <w:rsid w:val="00B42B18"/>
    <w:rsid w:val="00B44D8D"/>
    <w:rsid w:val="00B46671"/>
    <w:rsid w:val="00B47161"/>
    <w:rsid w:val="00B510B9"/>
    <w:rsid w:val="00B51417"/>
    <w:rsid w:val="00B51DCC"/>
    <w:rsid w:val="00B52D16"/>
    <w:rsid w:val="00B55EDE"/>
    <w:rsid w:val="00B56611"/>
    <w:rsid w:val="00B60E39"/>
    <w:rsid w:val="00B614F6"/>
    <w:rsid w:val="00B638BF"/>
    <w:rsid w:val="00B66F3D"/>
    <w:rsid w:val="00B677BF"/>
    <w:rsid w:val="00B67CD4"/>
    <w:rsid w:val="00B70239"/>
    <w:rsid w:val="00B71BC1"/>
    <w:rsid w:val="00B734D3"/>
    <w:rsid w:val="00B73649"/>
    <w:rsid w:val="00B7481B"/>
    <w:rsid w:val="00B7575B"/>
    <w:rsid w:val="00B76E7C"/>
    <w:rsid w:val="00B77886"/>
    <w:rsid w:val="00B800C0"/>
    <w:rsid w:val="00B80469"/>
    <w:rsid w:val="00B80B22"/>
    <w:rsid w:val="00B83EED"/>
    <w:rsid w:val="00B8531E"/>
    <w:rsid w:val="00B869FB"/>
    <w:rsid w:val="00B86CC0"/>
    <w:rsid w:val="00B878CC"/>
    <w:rsid w:val="00B9123C"/>
    <w:rsid w:val="00B91C8D"/>
    <w:rsid w:val="00B9215F"/>
    <w:rsid w:val="00B9376A"/>
    <w:rsid w:val="00B94CDE"/>
    <w:rsid w:val="00B95352"/>
    <w:rsid w:val="00B95373"/>
    <w:rsid w:val="00B96E66"/>
    <w:rsid w:val="00B97F6C"/>
    <w:rsid w:val="00BA47FF"/>
    <w:rsid w:val="00BA53CE"/>
    <w:rsid w:val="00BA61D0"/>
    <w:rsid w:val="00BA7D6B"/>
    <w:rsid w:val="00BB009C"/>
    <w:rsid w:val="00BB0877"/>
    <w:rsid w:val="00BB08BD"/>
    <w:rsid w:val="00BB16D1"/>
    <w:rsid w:val="00BB186F"/>
    <w:rsid w:val="00BB1874"/>
    <w:rsid w:val="00BB4CA7"/>
    <w:rsid w:val="00BB53AD"/>
    <w:rsid w:val="00BB5C35"/>
    <w:rsid w:val="00BB7CE9"/>
    <w:rsid w:val="00BC17C0"/>
    <w:rsid w:val="00BC44F3"/>
    <w:rsid w:val="00BC50EF"/>
    <w:rsid w:val="00BD0DAF"/>
    <w:rsid w:val="00BD1FA0"/>
    <w:rsid w:val="00BD4ADF"/>
    <w:rsid w:val="00BD5E4D"/>
    <w:rsid w:val="00BD7514"/>
    <w:rsid w:val="00BE4CDD"/>
    <w:rsid w:val="00BE505A"/>
    <w:rsid w:val="00BE51A7"/>
    <w:rsid w:val="00BE56E0"/>
    <w:rsid w:val="00BE61FB"/>
    <w:rsid w:val="00BE7353"/>
    <w:rsid w:val="00BF059A"/>
    <w:rsid w:val="00BF07F5"/>
    <w:rsid w:val="00BF14F1"/>
    <w:rsid w:val="00BF17E5"/>
    <w:rsid w:val="00BF22C5"/>
    <w:rsid w:val="00BF37B8"/>
    <w:rsid w:val="00BF409F"/>
    <w:rsid w:val="00BF49D0"/>
    <w:rsid w:val="00BF5712"/>
    <w:rsid w:val="00BF60D3"/>
    <w:rsid w:val="00BF79CD"/>
    <w:rsid w:val="00C00438"/>
    <w:rsid w:val="00C02085"/>
    <w:rsid w:val="00C02556"/>
    <w:rsid w:val="00C05D67"/>
    <w:rsid w:val="00C071B8"/>
    <w:rsid w:val="00C07953"/>
    <w:rsid w:val="00C11348"/>
    <w:rsid w:val="00C142EC"/>
    <w:rsid w:val="00C15156"/>
    <w:rsid w:val="00C15757"/>
    <w:rsid w:val="00C15A9A"/>
    <w:rsid w:val="00C16CFB"/>
    <w:rsid w:val="00C171D9"/>
    <w:rsid w:val="00C172E1"/>
    <w:rsid w:val="00C17D57"/>
    <w:rsid w:val="00C22DC8"/>
    <w:rsid w:val="00C2420F"/>
    <w:rsid w:val="00C24330"/>
    <w:rsid w:val="00C24665"/>
    <w:rsid w:val="00C25007"/>
    <w:rsid w:val="00C2528A"/>
    <w:rsid w:val="00C25495"/>
    <w:rsid w:val="00C2555C"/>
    <w:rsid w:val="00C25959"/>
    <w:rsid w:val="00C26A64"/>
    <w:rsid w:val="00C26F26"/>
    <w:rsid w:val="00C3029B"/>
    <w:rsid w:val="00C30485"/>
    <w:rsid w:val="00C309DF"/>
    <w:rsid w:val="00C30DC1"/>
    <w:rsid w:val="00C317F7"/>
    <w:rsid w:val="00C31C55"/>
    <w:rsid w:val="00C322D2"/>
    <w:rsid w:val="00C32A34"/>
    <w:rsid w:val="00C34B55"/>
    <w:rsid w:val="00C3642A"/>
    <w:rsid w:val="00C3674A"/>
    <w:rsid w:val="00C369DA"/>
    <w:rsid w:val="00C37220"/>
    <w:rsid w:val="00C37AB3"/>
    <w:rsid w:val="00C410CC"/>
    <w:rsid w:val="00C41E7A"/>
    <w:rsid w:val="00C426A2"/>
    <w:rsid w:val="00C4382B"/>
    <w:rsid w:val="00C43E1F"/>
    <w:rsid w:val="00C44A6C"/>
    <w:rsid w:val="00C45821"/>
    <w:rsid w:val="00C45FC0"/>
    <w:rsid w:val="00C52787"/>
    <w:rsid w:val="00C527FE"/>
    <w:rsid w:val="00C54FB9"/>
    <w:rsid w:val="00C56B96"/>
    <w:rsid w:val="00C56CA3"/>
    <w:rsid w:val="00C56E8D"/>
    <w:rsid w:val="00C60595"/>
    <w:rsid w:val="00C605FF"/>
    <w:rsid w:val="00C61305"/>
    <w:rsid w:val="00C61472"/>
    <w:rsid w:val="00C61DF0"/>
    <w:rsid w:val="00C62404"/>
    <w:rsid w:val="00C6427A"/>
    <w:rsid w:val="00C643D3"/>
    <w:rsid w:val="00C6514D"/>
    <w:rsid w:val="00C652C0"/>
    <w:rsid w:val="00C6542A"/>
    <w:rsid w:val="00C6608D"/>
    <w:rsid w:val="00C67EFE"/>
    <w:rsid w:val="00C70E3C"/>
    <w:rsid w:val="00C71DD6"/>
    <w:rsid w:val="00C74078"/>
    <w:rsid w:val="00C745CE"/>
    <w:rsid w:val="00C76273"/>
    <w:rsid w:val="00C7637B"/>
    <w:rsid w:val="00C80F88"/>
    <w:rsid w:val="00C82107"/>
    <w:rsid w:val="00C825F5"/>
    <w:rsid w:val="00C8408E"/>
    <w:rsid w:val="00C8451F"/>
    <w:rsid w:val="00C84C95"/>
    <w:rsid w:val="00C854A3"/>
    <w:rsid w:val="00C875DE"/>
    <w:rsid w:val="00C905C0"/>
    <w:rsid w:val="00C91E59"/>
    <w:rsid w:val="00C93ABC"/>
    <w:rsid w:val="00C944BB"/>
    <w:rsid w:val="00C9569C"/>
    <w:rsid w:val="00C97958"/>
    <w:rsid w:val="00CA0E59"/>
    <w:rsid w:val="00CA17D7"/>
    <w:rsid w:val="00CA1BEA"/>
    <w:rsid w:val="00CA3FDA"/>
    <w:rsid w:val="00CA604D"/>
    <w:rsid w:val="00CA650F"/>
    <w:rsid w:val="00CA6DDE"/>
    <w:rsid w:val="00CA7E1D"/>
    <w:rsid w:val="00CB4CC5"/>
    <w:rsid w:val="00CB6431"/>
    <w:rsid w:val="00CB7096"/>
    <w:rsid w:val="00CC23AA"/>
    <w:rsid w:val="00CC26C6"/>
    <w:rsid w:val="00CC41EB"/>
    <w:rsid w:val="00CC5ACD"/>
    <w:rsid w:val="00CC6200"/>
    <w:rsid w:val="00CD09EB"/>
    <w:rsid w:val="00CD21C4"/>
    <w:rsid w:val="00CD3014"/>
    <w:rsid w:val="00CD3056"/>
    <w:rsid w:val="00CD3D19"/>
    <w:rsid w:val="00CD4535"/>
    <w:rsid w:val="00CD47C9"/>
    <w:rsid w:val="00CD56CE"/>
    <w:rsid w:val="00CD64C8"/>
    <w:rsid w:val="00CD6716"/>
    <w:rsid w:val="00CE0AE4"/>
    <w:rsid w:val="00CE15C2"/>
    <w:rsid w:val="00CE3983"/>
    <w:rsid w:val="00CE3E30"/>
    <w:rsid w:val="00CE45E3"/>
    <w:rsid w:val="00CE482F"/>
    <w:rsid w:val="00CE6730"/>
    <w:rsid w:val="00CE6C1E"/>
    <w:rsid w:val="00CE75B1"/>
    <w:rsid w:val="00CF1326"/>
    <w:rsid w:val="00CF3257"/>
    <w:rsid w:val="00CF3DE8"/>
    <w:rsid w:val="00CF4040"/>
    <w:rsid w:val="00CF51B2"/>
    <w:rsid w:val="00CF56A6"/>
    <w:rsid w:val="00CF7B69"/>
    <w:rsid w:val="00D002D6"/>
    <w:rsid w:val="00D01964"/>
    <w:rsid w:val="00D039D1"/>
    <w:rsid w:val="00D052FD"/>
    <w:rsid w:val="00D067E1"/>
    <w:rsid w:val="00D0799D"/>
    <w:rsid w:val="00D1092D"/>
    <w:rsid w:val="00D11B9C"/>
    <w:rsid w:val="00D126AA"/>
    <w:rsid w:val="00D1410B"/>
    <w:rsid w:val="00D1434F"/>
    <w:rsid w:val="00D15819"/>
    <w:rsid w:val="00D15D49"/>
    <w:rsid w:val="00D16045"/>
    <w:rsid w:val="00D22D58"/>
    <w:rsid w:val="00D22E78"/>
    <w:rsid w:val="00D26378"/>
    <w:rsid w:val="00D264F2"/>
    <w:rsid w:val="00D271E9"/>
    <w:rsid w:val="00D312DB"/>
    <w:rsid w:val="00D4205B"/>
    <w:rsid w:val="00D43831"/>
    <w:rsid w:val="00D43E2F"/>
    <w:rsid w:val="00D446CF"/>
    <w:rsid w:val="00D46070"/>
    <w:rsid w:val="00D50670"/>
    <w:rsid w:val="00D509B0"/>
    <w:rsid w:val="00D50D78"/>
    <w:rsid w:val="00D51F05"/>
    <w:rsid w:val="00D52D84"/>
    <w:rsid w:val="00D535DB"/>
    <w:rsid w:val="00D538A4"/>
    <w:rsid w:val="00D5466C"/>
    <w:rsid w:val="00D54D53"/>
    <w:rsid w:val="00D55327"/>
    <w:rsid w:val="00D55759"/>
    <w:rsid w:val="00D61432"/>
    <w:rsid w:val="00D62A48"/>
    <w:rsid w:val="00D62EB2"/>
    <w:rsid w:val="00D63012"/>
    <w:rsid w:val="00D645E9"/>
    <w:rsid w:val="00D64E8A"/>
    <w:rsid w:val="00D654A2"/>
    <w:rsid w:val="00D65F4C"/>
    <w:rsid w:val="00D674E0"/>
    <w:rsid w:val="00D71B1A"/>
    <w:rsid w:val="00D72039"/>
    <w:rsid w:val="00D72318"/>
    <w:rsid w:val="00D74A5F"/>
    <w:rsid w:val="00D7539A"/>
    <w:rsid w:val="00D77152"/>
    <w:rsid w:val="00D7792C"/>
    <w:rsid w:val="00D80EA5"/>
    <w:rsid w:val="00D82349"/>
    <w:rsid w:val="00D83206"/>
    <w:rsid w:val="00D83262"/>
    <w:rsid w:val="00D8530B"/>
    <w:rsid w:val="00D91644"/>
    <w:rsid w:val="00D93574"/>
    <w:rsid w:val="00D93A03"/>
    <w:rsid w:val="00D94406"/>
    <w:rsid w:val="00D959C2"/>
    <w:rsid w:val="00D95A95"/>
    <w:rsid w:val="00D96D24"/>
    <w:rsid w:val="00D97A35"/>
    <w:rsid w:val="00DA20E5"/>
    <w:rsid w:val="00DA40A8"/>
    <w:rsid w:val="00DA6778"/>
    <w:rsid w:val="00DB16F5"/>
    <w:rsid w:val="00DB1A44"/>
    <w:rsid w:val="00DB209F"/>
    <w:rsid w:val="00DB2CA8"/>
    <w:rsid w:val="00DB38FF"/>
    <w:rsid w:val="00DB4089"/>
    <w:rsid w:val="00DB6B1A"/>
    <w:rsid w:val="00DB7121"/>
    <w:rsid w:val="00DC0405"/>
    <w:rsid w:val="00DC0504"/>
    <w:rsid w:val="00DC064C"/>
    <w:rsid w:val="00DC1D93"/>
    <w:rsid w:val="00DC2F45"/>
    <w:rsid w:val="00DC3ABC"/>
    <w:rsid w:val="00DC6BE9"/>
    <w:rsid w:val="00DC6F7B"/>
    <w:rsid w:val="00DC72CD"/>
    <w:rsid w:val="00DD0F50"/>
    <w:rsid w:val="00DD3C93"/>
    <w:rsid w:val="00DD6027"/>
    <w:rsid w:val="00DD6B4B"/>
    <w:rsid w:val="00DD7436"/>
    <w:rsid w:val="00DD78E4"/>
    <w:rsid w:val="00DE22D8"/>
    <w:rsid w:val="00DE24A1"/>
    <w:rsid w:val="00DE2C07"/>
    <w:rsid w:val="00DE2EC9"/>
    <w:rsid w:val="00DE427E"/>
    <w:rsid w:val="00DE69E3"/>
    <w:rsid w:val="00DF0CD9"/>
    <w:rsid w:val="00DF11EE"/>
    <w:rsid w:val="00DF379E"/>
    <w:rsid w:val="00DF5061"/>
    <w:rsid w:val="00DF5067"/>
    <w:rsid w:val="00E00B71"/>
    <w:rsid w:val="00E02037"/>
    <w:rsid w:val="00E030DE"/>
    <w:rsid w:val="00E03485"/>
    <w:rsid w:val="00E035E9"/>
    <w:rsid w:val="00E0426E"/>
    <w:rsid w:val="00E06ADA"/>
    <w:rsid w:val="00E1274E"/>
    <w:rsid w:val="00E13AF0"/>
    <w:rsid w:val="00E13B16"/>
    <w:rsid w:val="00E147E3"/>
    <w:rsid w:val="00E16A20"/>
    <w:rsid w:val="00E1729A"/>
    <w:rsid w:val="00E20C98"/>
    <w:rsid w:val="00E21A09"/>
    <w:rsid w:val="00E246B9"/>
    <w:rsid w:val="00E24F8C"/>
    <w:rsid w:val="00E272FC"/>
    <w:rsid w:val="00E2796E"/>
    <w:rsid w:val="00E3595D"/>
    <w:rsid w:val="00E36093"/>
    <w:rsid w:val="00E36595"/>
    <w:rsid w:val="00E401E1"/>
    <w:rsid w:val="00E41099"/>
    <w:rsid w:val="00E426EB"/>
    <w:rsid w:val="00E4542C"/>
    <w:rsid w:val="00E50C36"/>
    <w:rsid w:val="00E54780"/>
    <w:rsid w:val="00E57FF6"/>
    <w:rsid w:val="00E60FC8"/>
    <w:rsid w:val="00E6151B"/>
    <w:rsid w:val="00E63C04"/>
    <w:rsid w:val="00E63FD3"/>
    <w:rsid w:val="00E64197"/>
    <w:rsid w:val="00E64338"/>
    <w:rsid w:val="00E64518"/>
    <w:rsid w:val="00E646F1"/>
    <w:rsid w:val="00E651A3"/>
    <w:rsid w:val="00E71111"/>
    <w:rsid w:val="00E7237D"/>
    <w:rsid w:val="00E727AD"/>
    <w:rsid w:val="00E73B4F"/>
    <w:rsid w:val="00E74B0A"/>
    <w:rsid w:val="00E75900"/>
    <w:rsid w:val="00E75979"/>
    <w:rsid w:val="00E8064F"/>
    <w:rsid w:val="00E80B9E"/>
    <w:rsid w:val="00E80EEC"/>
    <w:rsid w:val="00E812D4"/>
    <w:rsid w:val="00E81CDD"/>
    <w:rsid w:val="00E823E8"/>
    <w:rsid w:val="00E83844"/>
    <w:rsid w:val="00E83E7D"/>
    <w:rsid w:val="00E84728"/>
    <w:rsid w:val="00E86B67"/>
    <w:rsid w:val="00E906D5"/>
    <w:rsid w:val="00E918FC"/>
    <w:rsid w:val="00E91947"/>
    <w:rsid w:val="00E92434"/>
    <w:rsid w:val="00E933DE"/>
    <w:rsid w:val="00E94945"/>
    <w:rsid w:val="00E95006"/>
    <w:rsid w:val="00E95FDB"/>
    <w:rsid w:val="00E96583"/>
    <w:rsid w:val="00EA009A"/>
    <w:rsid w:val="00EA057D"/>
    <w:rsid w:val="00EA13F9"/>
    <w:rsid w:val="00EA194C"/>
    <w:rsid w:val="00EA3353"/>
    <w:rsid w:val="00EA6E74"/>
    <w:rsid w:val="00EA7980"/>
    <w:rsid w:val="00EB2553"/>
    <w:rsid w:val="00EB30E8"/>
    <w:rsid w:val="00EB3B6F"/>
    <w:rsid w:val="00EB5E9B"/>
    <w:rsid w:val="00EB631A"/>
    <w:rsid w:val="00EB65F5"/>
    <w:rsid w:val="00EB6BA3"/>
    <w:rsid w:val="00EB7CE3"/>
    <w:rsid w:val="00EC1A1C"/>
    <w:rsid w:val="00EC3360"/>
    <w:rsid w:val="00EC4C96"/>
    <w:rsid w:val="00EC4E87"/>
    <w:rsid w:val="00EC55AF"/>
    <w:rsid w:val="00EC5A13"/>
    <w:rsid w:val="00EC6782"/>
    <w:rsid w:val="00ED0629"/>
    <w:rsid w:val="00ED33B1"/>
    <w:rsid w:val="00ED3E42"/>
    <w:rsid w:val="00ED54E7"/>
    <w:rsid w:val="00ED55B0"/>
    <w:rsid w:val="00ED7A5F"/>
    <w:rsid w:val="00EE040C"/>
    <w:rsid w:val="00EE06E0"/>
    <w:rsid w:val="00EE075B"/>
    <w:rsid w:val="00EE1EA9"/>
    <w:rsid w:val="00EE5E3F"/>
    <w:rsid w:val="00EE636D"/>
    <w:rsid w:val="00EF0790"/>
    <w:rsid w:val="00EF1B11"/>
    <w:rsid w:val="00EF1FB9"/>
    <w:rsid w:val="00EF2A9C"/>
    <w:rsid w:val="00EF340E"/>
    <w:rsid w:val="00EF3EDA"/>
    <w:rsid w:val="00EF4259"/>
    <w:rsid w:val="00EF4E53"/>
    <w:rsid w:val="00EF53E3"/>
    <w:rsid w:val="00EF6AB5"/>
    <w:rsid w:val="00EF73CF"/>
    <w:rsid w:val="00F066F8"/>
    <w:rsid w:val="00F06742"/>
    <w:rsid w:val="00F06AA9"/>
    <w:rsid w:val="00F118BD"/>
    <w:rsid w:val="00F12CB3"/>
    <w:rsid w:val="00F12FF6"/>
    <w:rsid w:val="00F157DD"/>
    <w:rsid w:val="00F159D7"/>
    <w:rsid w:val="00F17A65"/>
    <w:rsid w:val="00F201AE"/>
    <w:rsid w:val="00F202C4"/>
    <w:rsid w:val="00F206C3"/>
    <w:rsid w:val="00F20742"/>
    <w:rsid w:val="00F21905"/>
    <w:rsid w:val="00F238EE"/>
    <w:rsid w:val="00F23B51"/>
    <w:rsid w:val="00F23DE0"/>
    <w:rsid w:val="00F25D52"/>
    <w:rsid w:val="00F2622C"/>
    <w:rsid w:val="00F26382"/>
    <w:rsid w:val="00F2732E"/>
    <w:rsid w:val="00F2778C"/>
    <w:rsid w:val="00F30EEA"/>
    <w:rsid w:val="00F3115B"/>
    <w:rsid w:val="00F31A75"/>
    <w:rsid w:val="00F31BBB"/>
    <w:rsid w:val="00F31D13"/>
    <w:rsid w:val="00F331D8"/>
    <w:rsid w:val="00F35B19"/>
    <w:rsid w:val="00F36281"/>
    <w:rsid w:val="00F400F2"/>
    <w:rsid w:val="00F41D89"/>
    <w:rsid w:val="00F42218"/>
    <w:rsid w:val="00F446CE"/>
    <w:rsid w:val="00F44E76"/>
    <w:rsid w:val="00F454A9"/>
    <w:rsid w:val="00F46A4B"/>
    <w:rsid w:val="00F52101"/>
    <w:rsid w:val="00F527C0"/>
    <w:rsid w:val="00F5479B"/>
    <w:rsid w:val="00F55AC6"/>
    <w:rsid w:val="00F55BB2"/>
    <w:rsid w:val="00F55DEA"/>
    <w:rsid w:val="00F55F47"/>
    <w:rsid w:val="00F56976"/>
    <w:rsid w:val="00F56BF3"/>
    <w:rsid w:val="00F56DAB"/>
    <w:rsid w:val="00F574D7"/>
    <w:rsid w:val="00F57527"/>
    <w:rsid w:val="00F5758D"/>
    <w:rsid w:val="00F642A3"/>
    <w:rsid w:val="00F65107"/>
    <w:rsid w:val="00F6520C"/>
    <w:rsid w:val="00F6527A"/>
    <w:rsid w:val="00F6592D"/>
    <w:rsid w:val="00F65FFE"/>
    <w:rsid w:val="00F66313"/>
    <w:rsid w:val="00F71E13"/>
    <w:rsid w:val="00F73B17"/>
    <w:rsid w:val="00F7616A"/>
    <w:rsid w:val="00F7696B"/>
    <w:rsid w:val="00F76B3A"/>
    <w:rsid w:val="00F7749B"/>
    <w:rsid w:val="00F85D4C"/>
    <w:rsid w:val="00F86020"/>
    <w:rsid w:val="00F91693"/>
    <w:rsid w:val="00F948F3"/>
    <w:rsid w:val="00F979E9"/>
    <w:rsid w:val="00F97D27"/>
    <w:rsid w:val="00F97DA6"/>
    <w:rsid w:val="00FA01C6"/>
    <w:rsid w:val="00FA06EF"/>
    <w:rsid w:val="00FA0BA3"/>
    <w:rsid w:val="00FA0CCC"/>
    <w:rsid w:val="00FA215A"/>
    <w:rsid w:val="00FA2446"/>
    <w:rsid w:val="00FA48DD"/>
    <w:rsid w:val="00FA4987"/>
    <w:rsid w:val="00FA61C6"/>
    <w:rsid w:val="00FA6289"/>
    <w:rsid w:val="00FB153E"/>
    <w:rsid w:val="00FB160F"/>
    <w:rsid w:val="00FB193A"/>
    <w:rsid w:val="00FB2EB1"/>
    <w:rsid w:val="00FB3515"/>
    <w:rsid w:val="00FB408A"/>
    <w:rsid w:val="00FB4824"/>
    <w:rsid w:val="00FB495B"/>
    <w:rsid w:val="00FB6EDD"/>
    <w:rsid w:val="00FC2C33"/>
    <w:rsid w:val="00FC2F6E"/>
    <w:rsid w:val="00FC36DC"/>
    <w:rsid w:val="00FC4CA0"/>
    <w:rsid w:val="00FC75A8"/>
    <w:rsid w:val="00FD0678"/>
    <w:rsid w:val="00FD213A"/>
    <w:rsid w:val="00FD37B4"/>
    <w:rsid w:val="00FD3A91"/>
    <w:rsid w:val="00FD531E"/>
    <w:rsid w:val="00FD5332"/>
    <w:rsid w:val="00FE0BA8"/>
    <w:rsid w:val="00FE0BEA"/>
    <w:rsid w:val="00FE2D6C"/>
    <w:rsid w:val="00FE2FFA"/>
    <w:rsid w:val="00FE6A90"/>
    <w:rsid w:val="00FE7F40"/>
    <w:rsid w:val="00FF0CBC"/>
    <w:rsid w:val="00FF3219"/>
    <w:rsid w:val="00FF5CBB"/>
    <w:rsid w:val="00FF621B"/>
    <w:rsid w:val="00FF6266"/>
    <w:rsid w:val="00FF6389"/>
    <w:rsid w:val="00FF7022"/>
    <w:rsid w:val="00FF759F"/>
    <w:rsid w:val="00FF765A"/>
    <w:rsid w:val="00FF7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val="en-US"/>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uiPriority w:val="99"/>
    <w:rsid w:val="00E81CDD"/>
    <w:rPr>
      <w:color w:val="0000FF"/>
      <w:u w:val="single"/>
    </w:rPr>
  </w:style>
  <w:style w:type="character" w:customStyle="1" w:styleId="FootnoteTextChar">
    <w:name w:val="Footnote Text Char"/>
    <w:link w:val="FootnoteText"/>
    <w:uiPriority w:val="99"/>
    <w:semiHidden/>
    <w:locked/>
    <w:rsid w:val="001F275D"/>
    <w:rPr>
      <w:lang w:eastAsia="tr-TR"/>
    </w:rPr>
  </w:style>
  <w:style w:type="paragraph" w:styleId="EndnoteText">
    <w:name w:val="endnote text"/>
    <w:basedOn w:val="Normal"/>
    <w:link w:val="EndnoteTextChar"/>
    <w:rsid w:val="0022179E"/>
    <w:rPr>
      <w:sz w:val="20"/>
      <w:szCs w:val="20"/>
    </w:rPr>
  </w:style>
  <w:style w:type="character" w:customStyle="1" w:styleId="EndnoteTextChar">
    <w:name w:val="Endnote Text Char"/>
    <w:link w:val="EndnoteText"/>
    <w:rsid w:val="0022179E"/>
    <w:rPr>
      <w:lang w:eastAsia="tr-TR"/>
    </w:rPr>
  </w:style>
  <w:style w:type="character" w:styleId="EndnoteReference">
    <w:name w:val="endnote reference"/>
    <w:rsid w:val="0022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val="en-US"/>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uiPriority w:val="99"/>
    <w:rsid w:val="00E81CDD"/>
    <w:rPr>
      <w:color w:val="0000FF"/>
      <w:u w:val="single"/>
    </w:rPr>
  </w:style>
  <w:style w:type="character" w:customStyle="1" w:styleId="FootnoteTextChar">
    <w:name w:val="Footnote Text Char"/>
    <w:link w:val="FootnoteText"/>
    <w:uiPriority w:val="99"/>
    <w:semiHidden/>
    <w:locked/>
    <w:rsid w:val="001F275D"/>
    <w:rPr>
      <w:lang w:eastAsia="tr-TR"/>
    </w:rPr>
  </w:style>
  <w:style w:type="paragraph" w:styleId="EndnoteText">
    <w:name w:val="endnote text"/>
    <w:basedOn w:val="Normal"/>
    <w:link w:val="EndnoteTextChar"/>
    <w:rsid w:val="0022179E"/>
    <w:rPr>
      <w:sz w:val="20"/>
      <w:szCs w:val="20"/>
    </w:rPr>
  </w:style>
  <w:style w:type="character" w:customStyle="1" w:styleId="EndnoteTextChar">
    <w:name w:val="Endnote Text Char"/>
    <w:link w:val="EndnoteText"/>
    <w:rsid w:val="0022179E"/>
    <w:rPr>
      <w:lang w:eastAsia="tr-TR"/>
    </w:rPr>
  </w:style>
  <w:style w:type="character" w:styleId="EndnoteReference">
    <w:name w:val="endnote reference"/>
    <w:rsid w:val="00221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3025">
      <w:bodyDiv w:val="1"/>
      <w:marLeft w:val="0"/>
      <w:marRight w:val="0"/>
      <w:marTop w:val="0"/>
      <w:marBottom w:val="0"/>
      <w:divBdr>
        <w:top w:val="none" w:sz="0" w:space="0" w:color="auto"/>
        <w:left w:val="none" w:sz="0" w:space="0" w:color="auto"/>
        <w:bottom w:val="none" w:sz="0" w:space="0" w:color="auto"/>
        <w:right w:val="none" w:sz="0" w:space="0" w:color="auto"/>
      </w:divBdr>
    </w:div>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 w:id="1271354726">
      <w:bodyDiv w:val="1"/>
      <w:marLeft w:val="0"/>
      <w:marRight w:val="0"/>
      <w:marTop w:val="0"/>
      <w:marBottom w:val="0"/>
      <w:divBdr>
        <w:top w:val="none" w:sz="0" w:space="0" w:color="auto"/>
        <w:left w:val="none" w:sz="0" w:space="0" w:color="auto"/>
        <w:bottom w:val="none" w:sz="0" w:space="0" w:color="auto"/>
        <w:right w:val="none" w:sz="0" w:space="0" w:color="auto"/>
      </w:divBdr>
      <w:divsChild>
        <w:div w:id="1387685193">
          <w:marLeft w:val="0"/>
          <w:marRight w:val="0"/>
          <w:marTop w:val="0"/>
          <w:marBottom w:val="0"/>
          <w:divBdr>
            <w:top w:val="none" w:sz="0" w:space="0" w:color="auto"/>
            <w:left w:val="none" w:sz="0" w:space="0" w:color="auto"/>
            <w:bottom w:val="none" w:sz="0" w:space="0" w:color="auto"/>
            <w:right w:val="none" w:sz="0" w:space="0" w:color="auto"/>
          </w:divBdr>
          <w:divsChild>
            <w:div w:id="1599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7CE1-9515-40C8-AB4B-22E57EA9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2014-06-04T12:53:00Z</cp:lastPrinted>
  <dcterms:created xsi:type="dcterms:W3CDTF">2014-06-09T14:38:00Z</dcterms:created>
  <dcterms:modified xsi:type="dcterms:W3CDTF">2014-06-09T14:38:00Z</dcterms:modified>
</cp:coreProperties>
</file>