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CC" w:rsidRPr="0053729E" w:rsidRDefault="00A017CA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315200" cy="1330325"/>
            <wp:effectExtent l="19050" t="0" r="0" b="0"/>
            <wp:wrapNone/>
            <wp:docPr id="1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6CE">
        <w:rPr>
          <w:rFonts w:ascii="Arial" w:hAnsi="Arial" w:cs="Arial"/>
          <w:b/>
          <w:noProof/>
          <w:sz w:val="32"/>
          <w:szCs w:val="32"/>
          <w:lang w:val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3963670" cy="56896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568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74" w:rsidRPr="00342E6B" w:rsidRDefault="00900E74" w:rsidP="00024559">
                            <w:pPr>
                              <w:pStyle w:val="Heading1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Economic Outlook and Forecasts: </w:t>
                            </w:r>
                            <w:r w:rsidR="00CD10F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April</w:t>
                            </w:r>
                            <w:r w:rsidR="00CE673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2014</w:t>
                            </w:r>
                          </w:p>
                          <w:p w:rsidR="00900E74" w:rsidRPr="00A75A46" w:rsidRDefault="00900E74" w:rsidP="00024559">
                            <w:pPr>
                              <w:pStyle w:val="Heading2"/>
                              <w:rPr>
                                <w:b w:val="0"/>
                                <w:i w:val="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17pt;margin-top:-45pt;width:312.1pt;height:44.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" stroked="f">
                <v:fill opacity="0"/>
                <v:textbox inset="0,0,0,0">
                  <w:txbxContent>
                    <w:p w:rsidR="00900E74" w:rsidRPr="00342E6B" w:rsidRDefault="00900E74" w:rsidP="00024559">
                      <w:pPr>
                        <w:pStyle w:val="Heading1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Economic Outlook and Forecasts: </w:t>
                      </w:r>
                      <w:r w:rsidR="00CD10F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April</w:t>
                      </w:r>
                      <w:r w:rsidR="00CE673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2014</w:t>
                      </w:r>
                    </w:p>
                    <w:p w:rsidR="00900E74" w:rsidRPr="00A75A46" w:rsidRDefault="00900E74" w:rsidP="00024559">
                      <w:pPr>
                        <w:pStyle w:val="Heading2"/>
                        <w:rPr>
                          <w:b w:val="0"/>
                          <w:i w:val="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ECC" w:rsidRPr="0053729E" w:rsidRDefault="00D916CE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val="tr-TR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114300</wp:posOffset>
                </wp:positionV>
                <wp:extent cx="1743710" cy="34861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74" w:rsidRPr="0015586B" w:rsidRDefault="00CD10F7" w:rsidP="00FA48DD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       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April 21</w:t>
                            </w:r>
                            <w:r w:rsidR="00900E74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,</w:t>
                            </w:r>
                            <w:r w:rsidR="00D8530B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2014</w:t>
                            </w:r>
                          </w:p>
                          <w:p w:rsidR="00900E74" w:rsidRDefault="00900E74" w:rsidP="000245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62.5pt;margin-top:9pt;width:137.3pt;height:27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zLjgIAACQ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" stroked="f">
                <v:fill opacity="0"/>
                <v:textbox inset="0,0,0,0">
                  <w:txbxContent>
                    <w:p w:rsidR="00900E74" w:rsidRPr="0015586B" w:rsidRDefault="00CD10F7" w:rsidP="00FA48DD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        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April 21</w:t>
                      </w:r>
                      <w:r w:rsidR="00900E74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,</w:t>
                      </w:r>
                      <w:r w:rsidR="00D8530B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2014</w:t>
                      </w:r>
                    </w:p>
                    <w:p w:rsidR="00900E74" w:rsidRDefault="00900E74" w:rsidP="00024559"/>
                  </w:txbxContent>
                </v:textbox>
              </v:shape>
            </w:pict>
          </mc:Fallback>
        </mc:AlternateContent>
      </w:r>
    </w:p>
    <w:p w:rsidR="00357ECC" w:rsidRPr="0053729E" w:rsidRDefault="00357ECC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  <w:sectPr w:rsidR="00357ECC" w:rsidRPr="0053729E" w:rsidSect="00357ECC"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357ECC" w:rsidRPr="0053729E" w:rsidRDefault="00357ECC" w:rsidP="001E4BF5">
      <w:pPr>
        <w:spacing w:line="360" w:lineRule="auto"/>
        <w:ind w:right="-319"/>
        <w:outlineLvl w:val="0"/>
        <w:rPr>
          <w:rFonts w:ascii="Arial" w:hAnsi="Arial" w:cs="Arial"/>
          <w:b/>
          <w:sz w:val="32"/>
          <w:szCs w:val="32"/>
        </w:rPr>
      </w:pPr>
    </w:p>
    <w:p w:rsidR="00B67CD4" w:rsidRDefault="00CD10F7" w:rsidP="00CA0E59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aps/>
          <w:sz w:val="28"/>
          <w:szCs w:val="28"/>
        </w:rPr>
        <w:t>Export-led growth</w:t>
      </w:r>
    </w:p>
    <w:bookmarkEnd w:id="0"/>
    <w:p w:rsidR="00804794" w:rsidRPr="00770B57" w:rsidRDefault="00804794" w:rsidP="00CA0E59">
      <w:pPr>
        <w:ind w:right="-317"/>
        <w:jc w:val="center"/>
        <w:outlineLvl w:val="0"/>
        <w:rPr>
          <w:rFonts w:ascii="Arial" w:hAnsi="Arial" w:cs="Arial"/>
          <w:b/>
          <w:bCs/>
          <w:caps/>
          <w:sz w:val="12"/>
          <w:szCs w:val="12"/>
        </w:rPr>
      </w:pPr>
    </w:p>
    <w:p w:rsidR="00FA0BA3" w:rsidRPr="0053729E" w:rsidRDefault="00FA0BA3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:rsidR="00357ECC" w:rsidRPr="0053729E" w:rsidRDefault="00357ECC" w:rsidP="003B5209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 w:rsidRPr="0053729E">
        <w:rPr>
          <w:rFonts w:ascii="Arial" w:hAnsi="Arial" w:cs="Arial"/>
          <w:b/>
          <w:sz w:val="22"/>
          <w:szCs w:val="22"/>
        </w:rPr>
        <w:t>Zümrüt</w:t>
      </w:r>
      <w:r w:rsidR="0053729E">
        <w:rPr>
          <w:rFonts w:ascii="Arial" w:hAnsi="Arial" w:cs="Arial"/>
          <w:b/>
          <w:sz w:val="22"/>
          <w:szCs w:val="22"/>
        </w:rPr>
        <w:t xml:space="preserve"> </w:t>
      </w:r>
      <w:r w:rsidR="009A4CBF" w:rsidRPr="0053729E">
        <w:rPr>
          <w:rFonts w:ascii="Arial" w:hAnsi="Arial" w:cs="Arial"/>
          <w:b/>
          <w:sz w:val="22"/>
          <w:szCs w:val="22"/>
        </w:rPr>
        <w:t>İmamoğlu* and</w:t>
      </w:r>
      <w:r w:rsidR="0053729E">
        <w:rPr>
          <w:rFonts w:ascii="Arial" w:hAnsi="Arial" w:cs="Arial"/>
          <w:b/>
          <w:sz w:val="22"/>
          <w:szCs w:val="22"/>
        </w:rPr>
        <w:t xml:space="preserve"> </w:t>
      </w:r>
      <w:r w:rsidRPr="0053729E">
        <w:rPr>
          <w:rFonts w:ascii="Arial" w:hAnsi="Arial" w:cs="Arial"/>
          <w:b/>
          <w:sz w:val="22"/>
          <w:szCs w:val="22"/>
        </w:rPr>
        <w:t>Barış</w:t>
      </w:r>
      <w:r w:rsidR="0053729E">
        <w:rPr>
          <w:rFonts w:ascii="Arial" w:hAnsi="Arial" w:cs="Arial"/>
          <w:b/>
          <w:sz w:val="22"/>
          <w:szCs w:val="22"/>
        </w:rPr>
        <w:t xml:space="preserve"> </w:t>
      </w:r>
      <w:r w:rsidRPr="0053729E">
        <w:rPr>
          <w:rFonts w:ascii="Arial" w:hAnsi="Arial" w:cs="Arial"/>
          <w:b/>
          <w:sz w:val="22"/>
          <w:szCs w:val="22"/>
        </w:rPr>
        <w:t>Soybilgen</w:t>
      </w:r>
      <w:r w:rsidRPr="0053729E">
        <w:rPr>
          <w:rFonts w:ascii="Arial" w:hAnsi="Arial" w:cs="Arial"/>
          <w:b/>
          <w:sz w:val="22"/>
          <w:szCs w:val="22"/>
          <w:vertAlign w:val="superscript"/>
        </w:rPr>
        <w:t>†</w:t>
      </w:r>
    </w:p>
    <w:p w:rsidR="001A2051" w:rsidRPr="0053729E" w:rsidRDefault="001A2051" w:rsidP="003B5209">
      <w:pPr>
        <w:spacing w:line="360" w:lineRule="auto"/>
        <w:ind w:right="-319"/>
        <w:jc w:val="center"/>
        <w:outlineLvl w:val="0"/>
        <w:rPr>
          <w:rFonts w:ascii="Arial" w:hAnsi="Arial" w:cs="Arial"/>
          <w:sz w:val="12"/>
          <w:szCs w:val="12"/>
          <w:vertAlign w:val="superscript"/>
        </w:rPr>
        <w:sectPr w:rsidR="001A2051" w:rsidRPr="0053729E" w:rsidSect="00357E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3EDA" w:rsidRPr="00770B57" w:rsidRDefault="00EF3EDA" w:rsidP="008C38E5">
      <w:pPr>
        <w:spacing w:line="360" w:lineRule="auto"/>
        <w:ind w:left="-360" w:right="42" w:firstLine="360"/>
        <w:jc w:val="center"/>
        <w:rPr>
          <w:b/>
          <w:sz w:val="12"/>
          <w:szCs w:val="12"/>
        </w:rPr>
      </w:pPr>
    </w:p>
    <w:p w:rsidR="008C38E5" w:rsidRPr="006F3F45" w:rsidRDefault="008C38E5" w:rsidP="008C38E5">
      <w:pPr>
        <w:spacing w:line="360" w:lineRule="auto"/>
        <w:ind w:left="-360" w:right="42" w:firstLine="360"/>
        <w:jc w:val="center"/>
        <w:rPr>
          <w:b/>
          <w:sz w:val="22"/>
          <w:szCs w:val="22"/>
        </w:rPr>
      </w:pPr>
      <w:r w:rsidRPr="006F3F45">
        <w:rPr>
          <w:b/>
          <w:sz w:val="22"/>
          <w:szCs w:val="22"/>
        </w:rPr>
        <w:t>Executive Summary</w:t>
      </w:r>
    </w:p>
    <w:p w:rsidR="008C38E5" w:rsidRPr="006F3F45" w:rsidRDefault="008C38E5" w:rsidP="008C38E5">
      <w:pPr>
        <w:spacing w:line="360" w:lineRule="auto"/>
        <w:ind w:left="-360" w:right="42" w:firstLine="360"/>
        <w:jc w:val="center"/>
        <w:rPr>
          <w:b/>
          <w:sz w:val="16"/>
          <w:szCs w:val="16"/>
        </w:rPr>
      </w:pPr>
    </w:p>
    <w:p w:rsidR="008840DC" w:rsidRDefault="00CD10F7" w:rsidP="00CD10F7">
      <w:pPr>
        <w:spacing w:line="360" w:lineRule="auto"/>
        <w:ind w:left="-360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February, the Industrial Production Index (IPI) decreased by 0.1 percent from the previous month. Export volume index increased by 3.7 percent whereas import volume index declined by 4.3 percent. In February, </w:t>
      </w:r>
      <w:r w:rsidR="008D5F22">
        <w:rPr>
          <w:sz w:val="22"/>
          <w:szCs w:val="22"/>
        </w:rPr>
        <w:t xml:space="preserve">consumption and investment indicators show a </w:t>
      </w:r>
      <w:r w:rsidR="008D5F22" w:rsidRPr="00CD10F7">
        <w:rPr>
          <w:sz w:val="22"/>
          <w:szCs w:val="22"/>
        </w:rPr>
        <w:t>contraction</w:t>
      </w:r>
      <w:r w:rsidR="008D5F22">
        <w:rPr>
          <w:sz w:val="22"/>
          <w:szCs w:val="22"/>
        </w:rPr>
        <w:t xml:space="preserve"> in domestic demand for the first quarter. However, </w:t>
      </w:r>
      <w:r>
        <w:rPr>
          <w:sz w:val="22"/>
          <w:szCs w:val="22"/>
        </w:rPr>
        <w:t>the increase in foreign demand offset the downward pressure on industrial production</w:t>
      </w:r>
      <w:r w:rsidR="00E31D8A">
        <w:rPr>
          <w:sz w:val="22"/>
          <w:szCs w:val="22"/>
        </w:rPr>
        <w:t xml:space="preserve"> caused by shrinking </w:t>
      </w:r>
      <w:r w:rsidR="0073396C">
        <w:rPr>
          <w:sz w:val="22"/>
          <w:szCs w:val="22"/>
        </w:rPr>
        <w:t>domestic demand</w:t>
      </w:r>
      <w:r w:rsidR="008D5F22">
        <w:rPr>
          <w:sz w:val="22"/>
          <w:szCs w:val="22"/>
        </w:rPr>
        <w:t>,</w:t>
      </w:r>
      <w:r w:rsidR="0073396C">
        <w:rPr>
          <w:sz w:val="22"/>
          <w:szCs w:val="22"/>
        </w:rPr>
        <w:t xml:space="preserve"> </w:t>
      </w:r>
      <w:proofErr w:type="gramStart"/>
      <w:r w:rsidR="008D5F22">
        <w:rPr>
          <w:sz w:val="22"/>
          <w:szCs w:val="22"/>
        </w:rPr>
        <w:t>hence,</w:t>
      </w:r>
      <w:proofErr w:type="gramEnd"/>
      <w:r w:rsidR="0073396C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IPI </w:t>
      </w:r>
      <w:r w:rsidR="0073396C">
        <w:rPr>
          <w:sz w:val="22"/>
          <w:szCs w:val="22"/>
        </w:rPr>
        <w:t>did not change much</w:t>
      </w:r>
      <w:r>
        <w:rPr>
          <w:sz w:val="22"/>
          <w:szCs w:val="22"/>
        </w:rPr>
        <w:t xml:space="preserve">. </w:t>
      </w:r>
      <w:r w:rsidR="0073396C">
        <w:rPr>
          <w:sz w:val="22"/>
          <w:szCs w:val="22"/>
        </w:rPr>
        <w:t>Upbeat political tone following</w:t>
      </w:r>
      <w:r>
        <w:rPr>
          <w:sz w:val="22"/>
          <w:szCs w:val="22"/>
        </w:rPr>
        <w:t xml:space="preserve"> </w:t>
      </w:r>
      <w:r w:rsidR="00E66E42">
        <w:rPr>
          <w:sz w:val="22"/>
          <w:szCs w:val="22"/>
        </w:rPr>
        <w:t>municipal</w:t>
      </w:r>
      <w:r>
        <w:rPr>
          <w:sz w:val="22"/>
          <w:szCs w:val="22"/>
        </w:rPr>
        <w:t xml:space="preserve"> elections will support second quarter growth. </w:t>
      </w:r>
    </w:p>
    <w:p w:rsidR="008840DC" w:rsidRDefault="008840DC" w:rsidP="00CD10F7">
      <w:pPr>
        <w:spacing w:line="360" w:lineRule="auto"/>
        <w:ind w:left="-360" w:right="40"/>
        <w:jc w:val="both"/>
        <w:rPr>
          <w:sz w:val="22"/>
          <w:szCs w:val="22"/>
        </w:rPr>
      </w:pPr>
    </w:p>
    <w:p w:rsidR="00CD10F7" w:rsidRPr="009F050A" w:rsidRDefault="00150C37" w:rsidP="00CD10F7">
      <w:pPr>
        <w:spacing w:line="360" w:lineRule="auto"/>
        <w:ind w:left="-360" w:right="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Betam's</w:t>
      </w:r>
      <w:proofErr w:type="spellEnd"/>
      <w:r>
        <w:rPr>
          <w:sz w:val="22"/>
          <w:szCs w:val="22"/>
        </w:rPr>
        <w:t xml:space="preserve"> growth</w:t>
      </w:r>
      <w:r w:rsidR="0073396C">
        <w:rPr>
          <w:sz w:val="22"/>
          <w:szCs w:val="22"/>
        </w:rPr>
        <w:t xml:space="preserve"> forecast did not change</w:t>
      </w:r>
      <w:r>
        <w:rPr>
          <w:sz w:val="22"/>
          <w:szCs w:val="22"/>
        </w:rPr>
        <w:t xml:space="preserve"> from the previous month</w:t>
      </w:r>
      <w:r w:rsidR="0073396C">
        <w:rPr>
          <w:sz w:val="22"/>
          <w:szCs w:val="22"/>
        </w:rPr>
        <w:t>.</w:t>
      </w:r>
      <w:r w:rsidR="00CD10F7" w:rsidRPr="009F050A">
        <w:rPr>
          <w:sz w:val="22"/>
          <w:szCs w:val="22"/>
        </w:rPr>
        <w:t xml:space="preserve"> </w:t>
      </w:r>
      <w:r w:rsidR="0073396C">
        <w:rPr>
          <w:sz w:val="22"/>
          <w:szCs w:val="22"/>
        </w:rPr>
        <w:t>We expect q</w:t>
      </w:r>
      <w:r w:rsidR="00CD10F7" w:rsidRPr="009F050A">
        <w:rPr>
          <w:sz w:val="22"/>
          <w:szCs w:val="22"/>
        </w:rPr>
        <w:t>uarter on quarter (</w:t>
      </w:r>
      <w:proofErr w:type="spellStart"/>
      <w:r w:rsidR="00CD10F7" w:rsidRPr="009F050A">
        <w:rPr>
          <w:sz w:val="22"/>
          <w:szCs w:val="22"/>
        </w:rPr>
        <w:t>QoQ</w:t>
      </w:r>
      <w:proofErr w:type="spellEnd"/>
      <w:r w:rsidR="00CD10F7" w:rsidRPr="009F050A">
        <w:rPr>
          <w:sz w:val="22"/>
          <w:szCs w:val="22"/>
        </w:rPr>
        <w:t xml:space="preserve">) growth </w:t>
      </w:r>
      <w:r w:rsidR="0073396C">
        <w:rPr>
          <w:sz w:val="22"/>
          <w:szCs w:val="22"/>
        </w:rPr>
        <w:t>to be</w:t>
      </w:r>
      <w:r w:rsidR="00CD10F7" w:rsidRPr="009F050A">
        <w:rPr>
          <w:sz w:val="22"/>
          <w:szCs w:val="22"/>
        </w:rPr>
        <w:t xml:space="preserve"> 0.5 percent</w:t>
      </w:r>
      <w:r w:rsidR="0073396C">
        <w:rPr>
          <w:sz w:val="22"/>
          <w:szCs w:val="22"/>
        </w:rPr>
        <w:t xml:space="preserve"> in the</w:t>
      </w:r>
      <w:r w:rsidR="0073396C" w:rsidRPr="009F050A">
        <w:rPr>
          <w:sz w:val="22"/>
          <w:szCs w:val="22"/>
        </w:rPr>
        <w:t xml:space="preserve"> first quarter</w:t>
      </w:r>
      <w:r w:rsidR="00CD10F7" w:rsidRPr="009F050A">
        <w:rPr>
          <w:sz w:val="22"/>
          <w:szCs w:val="22"/>
        </w:rPr>
        <w:t>, and the corresponding year on year (</w:t>
      </w:r>
      <w:proofErr w:type="spellStart"/>
      <w:r w:rsidR="00CD10F7" w:rsidRPr="009F050A">
        <w:rPr>
          <w:sz w:val="22"/>
          <w:szCs w:val="22"/>
        </w:rPr>
        <w:t>YoY</w:t>
      </w:r>
      <w:proofErr w:type="spellEnd"/>
      <w:r w:rsidR="00CD10F7" w:rsidRPr="009F050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growth </w:t>
      </w:r>
      <w:r w:rsidR="00CD10F7" w:rsidRPr="009F050A">
        <w:rPr>
          <w:sz w:val="22"/>
          <w:szCs w:val="22"/>
        </w:rPr>
        <w:t>forecast is 3.8 percent.</w:t>
      </w:r>
    </w:p>
    <w:p w:rsidR="00CD10F7" w:rsidRDefault="00CD10F7" w:rsidP="00CD10F7">
      <w:pPr>
        <w:spacing w:line="360" w:lineRule="auto"/>
        <w:ind w:left="-360" w:right="40"/>
        <w:jc w:val="both"/>
        <w:rPr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current account deficit continues to decline. </w:t>
      </w:r>
      <w:r w:rsidR="00DE426D">
        <w:rPr>
          <w:sz w:val="22"/>
          <w:szCs w:val="22"/>
        </w:rPr>
        <w:t>12-</w:t>
      </w:r>
      <w:r>
        <w:rPr>
          <w:sz w:val="22"/>
          <w:szCs w:val="22"/>
        </w:rPr>
        <w:t xml:space="preserve">month </w:t>
      </w:r>
      <w:r w:rsidR="00DE426D">
        <w:rPr>
          <w:sz w:val="22"/>
          <w:szCs w:val="22"/>
        </w:rPr>
        <w:t>rolling</w:t>
      </w:r>
      <w:r>
        <w:rPr>
          <w:sz w:val="22"/>
          <w:szCs w:val="22"/>
        </w:rPr>
        <w:t xml:space="preserve"> deficit declined by </w:t>
      </w:r>
      <w:r w:rsidR="0073396C">
        <w:rPr>
          <w:sz w:val="22"/>
          <w:szCs w:val="22"/>
        </w:rPr>
        <w:t>$</w:t>
      </w:r>
      <w:r>
        <w:rPr>
          <w:sz w:val="22"/>
          <w:szCs w:val="22"/>
        </w:rPr>
        <w:t xml:space="preserve">1.9 billion, and fell to </w:t>
      </w:r>
      <w:r w:rsidR="0073396C">
        <w:rPr>
          <w:sz w:val="22"/>
          <w:szCs w:val="22"/>
        </w:rPr>
        <w:t>$62.2 billion</w:t>
      </w:r>
      <w:r w:rsidR="00035C6F">
        <w:rPr>
          <w:sz w:val="22"/>
          <w:szCs w:val="22"/>
        </w:rPr>
        <w:t xml:space="preserve"> in February</w:t>
      </w:r>
      <w:r>
        <w:rPr>
          <w:sz w:val="22"/>
          <w:szCs w:val="22"/>
        </w:rPr>
        <w:t xml:space="preserve">. </w:t>
      </w:r>
      <w:r w:rsidRPr="006F3F45">
        <w:rPr>
          <w:sz w:val="22"/>
          <w:szCs w:val="22"/>
        </w:rPr>
        <w:t>Betam expects the curre</w:t>
      </w:r>
      <w:r>
        <w:rPr>
          <w:sz w:val="22"/>
          <w:szCs w:val="22"/>
        </w:rPr>
        <w:t>nt account deficit to GDP ratio</w:t>
      </w:r>
      <w:r w:rsidRPr="006F3F45">
        <w:rPr>
          <w:sz w:val="22"/>
          <w:szCs w:val="22"/>
        </w:rPr>
        <w:t xml:space="preserve"> </w:t>
      </w:r>
      <w:r>
        <w:rPr>
          <w:sz w:val="22"/>
          <w:szCs w:val="22"/>
        </w:rPr>
        <w:t>to fall to 7.5</w:t>
      </w:r>
      <w:r w:rsidRPr="006F3F45">
        <w:rPr>
          <w:sz w:val="22"/>
          <w:szCs w:val="22"/>
        </w:rPr>
        <w:t xml:space="preserve"> percent at the end of the </w:t>
      </w:r>
      <w:r>
        <w:rPr>
          <w:sz w:val="22"/>
          <w:szCs w:val="22"/>
        </w:rPr>
        <w:t>first quarter</w:t>
      </w:r>
      <w:r w:rsidRPr="006F3F45">
        <w:rPr>
          <w:sz w:val="22"/>
          <w:szCs w:val="22"/>
        </w:rPr>
        <w:t>.</w:t>
      </w:r>
      <w:r>
        <w:rPr>
          <w:sz w:val="22"/>
          <w:szCs w:val="22"/>
        </w:rPr>
        <w:t xml:space="preserve"> Our gold excluded current account forecast is 6.3 percent. </w:t>
      </w:r>
    </w:p>
    <w:p w:rsidR="00A2686F" w:rsidRPr="006F3F45" w:rsidRDefault="00D916CE" w:rsidP="00A2686F">
      <w:pPr>
        <w:spacing w:line="288" w:lineRule="auto"/>
        <w:ind w:left="-360" w:right="-3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/>
        </w:rPr>
        <mc:AlternateContent>
          <mc:Choice Requires="wpc">
            <w:drawing>
              <wp:inline distT="0" distB="0" distL="0" distR="0">
                <wp:extent cx="2514600" cy="45720"/>
                <wp:effectExtent l="0" t="0" r="19050" b="0"/>
                <wp:docPr id="5" name="Canva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64"/>
                        <wps:cNvCnPr/>
                        <wps:spPr bwMode="auto">
                          <a:xfrm>
                            <a:off x="0" y="0"/>
                            <a:ext cx="2514600" cy="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2" o:spid="_x0000_s1026" editas="canvas" style="width:198pt;height:3.6pt;mso-position-horizontal-relative:char;mso-position-vertical-relative:line" coordsize="25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457;visibility:visible;mso-wrap-style:square">
                  <v:fill o:detectmouseclick="t"/>
                  <v:path o:connecttype="none"/>
                </v:shape>
                <v:line id="Line 64" o:spid="_x0000_s1028" style="position:absolute;visibility:visible;mso-wrap-style:square" from="0,0" to="2514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A2686F" w:rsidRPr="006F3F45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proofErr w:type="gramStart"/>
      <w:r w:rsidRPr="006F3F45">
        <w:rPr>
          <w:sz w:val="16"/>
          <w:szCs w:val="16"/>
        </w:rPr>
        <w:t>* Dr. Zümrüt</w:t>
      </w:r>
      <w:r w:rsidR="0053729E" w:rsidRPr="006F3F45">
        <w:rPr>
          <w:sz w:val="16"/>
          <w:szCs w:val="16"/>
        </w:rPr>
        <w:t xml:space="preserve"> </w:t>
      </w:r>
      <w:r w:rsidRPr="006F3F45">
        <w:rPr>
          <w:sz w:val="16"/>
          <w:szCs w:val="16"/>
        </w:rPr>
        <w:t>İmamoğlu, Betam, Research Associate.</w:t>
      </w:r>
      <w:proofErr w:type="gramEnd"/>
    </w:p>
    <w:p w:rsidR="00A2686F" w:rsidRPr="006F3F45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r w:rsidRPr="006F3F45">
        <w:rPr>
          <w:sz w:val="16"/>
          <w:szCs w:val="16"/>
        </w:rPr>
        <w:t xml:space="preserve">  zumrut.imamoglu@bahcesehir.edu.tr</w:t>
      </w:r>
    </w:p>
    <w:p w:rsidR="00A2686F" w:rsidRPr="006F3F45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r w:rsidRPr="006F3F45">
        <w:rPr>
          <w:sz w:val="16"/>
          <w:szCs w:val="16"/>
          <w:vertAlign w:val="superscript"/>
        </w:rPr>
        <w:t xml:space="preserve">† </w:t>
      </w:r>
      <w:r w:rsidRPr="006F3F45">
        <w:rPr>
          <w:sz w:val="16"/>
          <w:szCs w:val="16"/>
        </w:rPr>
        <w:t>Barış</w:t>
      </w:r>
      <w:r w:rsidR="0053729E" w:rsidRPr="006F3F45">
        <w:rPr>
          <w:sz w:val="16"/>
          <w:szCs w:val="16"/>
        </w:rPr>
        <w:t xml:space="preserve"> </w:t>
      </w:r>
      <w:r w:rsidRPr="006F3F45">
        <w:rPr>
          <w:sz w:val="16"/>
          <w:szCs w:val="16"/>
        </w:rPr>
        <w:t>Soybilgen, Betam, Research Assistant,</w:t>
      </w:r>
    </w:p>
    <w:p w:rsidR="006454DC" w:rsidRPr="006F3F45" w:rsidRDefault="0053729E" w:rsidP="00736C84">
      <w:pPr>
        <w:ind w:left="-360"/>
        <w:rPr>
          <w:sz w:val="16"/>
          <w:szCs w:val="16"/>
        </w:rPr>
      </w:pPr>
      <w:r w:rsidRPr="006F3F45">
        <w:rPr>
          <w:sz w:val="16"/>
          <w:szCs w:val="16"/>
        </w:rPr>
        <w:t xml:space="preserve">  </w:t>
      </w:r>
      <w:r w:rsidR="00E81CDD" w:rsidRPr="006F3F45">
        <w:rPr>
          <w:sz w:val="16"/>
          <w:szCs w:val="16"/>
        </w:rPr>
        <w:t>baris.soybilgen@bahcesehir.edu.tr</w:t>
      </w:r>
    </w:p>
    <w:p w:rsidR="007D4F28" w:rsidRPr="006F3F45" w:rsidRDefault="007D4F28" w:rsidP="004155A8">
      <w:pPr>
        <w:ind w:right="42"/>
        <w:jc w:val="both"/>
        <w:rPr>
          <w:b/>
          <w:sz w:val="22"/>
          <w:szCs w:val="22"/>
        </w:rPr>
      </w:pPr>
    </w:p>
    <w:p w:rsidR="00F91693" w:rsidRPr="006F3F45" w:rsidRDefault="00F91693" w:rsidP="00F91693">
      <w:pPr>
        <w:ind w:right="42"/>
        <w:jc w:val="both"/>
        <w:rPr>
          <w:b/>
          <w:sz w:val="22"/>
          <w:szCs w:val="22"/>
        </w:rPr>
      </w:pPr>
    </w:p>
    <w:p w:rsidR="00280B55" w:rsidRDefault="00280B55" w:rsidP="002F56EC">
      <w:pPr>
        <w:ind w:left="-360" w:right="42"/>
        <w:jc w:val="both"/>
        <w:rPr>
          <w:b/>
          <w:sz w:val="22"/>
          <w:szCs w:val="22"/>
        </w:rPr>
      </w:pPr>
    </w:p>
    <w:p w:rsidR="00770B57" w:rsidRPr="00770B57" w:rsidRDefault="00770B57" w:rsidP="002F56EC">
      <w:pPr>
        <w:ind w:left="-360" w:right="42"/>
        <w:jc w:val="both"/>
        <w:rPr>
          <w:b/>
          <w:sz w:val="8"/>
          <w:szCs w:val="8"/>
        </w:rPr>
      </w:pPr>
    </w:p>
    <w:p w:rsidR="008E32CB" w:rsidRPr="006F3F45" w:rsidRDefault="00B34B81" w:rsidP="002F56EC">
      <w:pPr>
        <w:ind w:left="-360" w:right="42"/>
        <w:jc w:val="both"/>
        <w:rPr>
          <w:b/>
          <w:sz w:val="22"/>
          <w:szCs w:val="22"/>
        </w:rPr>
      </w:pPr>
      <w:r w:rsidRPr="006F3F45">
        <w:rPr>
          <w:b/>
          <w:sz w:val="22"/>
          <w:szCs w:val="22"/>
        </w:rPr>
        <w:t xml:space="preserve">Table 1: </w:t>
      </w:r>
      <w:r w:rsidR="008C38E5" w:rsidRPr="006F3F45">
        <w:rPr>
          <w:b/>
          <w:sz w:val="22"/>
          <w:szCs w:val="22"/>
        </w:rPr>
        <w:t>Betam’s quarterly and annual growth rate forecasts</w:t>
      </w:r>
    </w:p>
    <w:tbl>
      <w:tblPr>
        <w:tblpPr w:leftFromText="141" w:rightFromText="141" w:vertAnchor="text" w:horzAnchor="margin" w:tblpXSpec="right" w:tblpY="129"/>
        <w:tblW w:w="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222"/>
      </w:tblGrid>
      <w:tr w:rsidR="000854F8" w:rsidRPr="006F3F45" w:rsidTr="009F050A">
        <w:trPr>
          <w:trHeight w:val="986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0854F8" w:rsidRPr="006F3F45" w:rsidRDefault="000854F8" w:rsidP="00E00B71">
            <w:pPr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0854F8" w:rsidRPr="006F3F45" w:rsidRDefault="009F050A" w:rsidP="00E00B71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0854F8" w:rsidRPr="006F3F45" w:rsidRDefault="009F050A" w:rsidP="00E00B71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0854F8" w:rsidRPr="006F3F45">
              <w:rPr>
                <w:b/>
                <w:bCs/>
                <w:sz w:val="20"/>
                <w:szCs w:val="20"/>
              </w:rPr>
              <w:t xml:space="preserve"> Quarter Forecast</w:t>
            </w:r>
          </w:p>
        </w:tc>
      </w:tr>
      <w:tr w:rsidR="000854F8" w:rsidRPr="006F3F45" w:rsidTr="009F050A">
        <w:trPr>
          <w:trHeight w:val="771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0854F8" w:rsidRPr="006F3F45" w:rsidRDefault="000854F8" w:rsidP="00E00B71">
            <w:pPr>
              <w:spacing w:line="360" w:lineRule="auto"/>
              <w:ind w:right="42"/>
              <w:rPr>
                <w:b/>
                <w:sz w:val="20"/>
                <w:szCs w:val="20"/>
              </w:rPr>
            </w:pPr>
            <w:r w:rsidRPr="006F3F45">
              <w:rPr>
                <w:b/>
                <w:sz w:val="20"/>
                <w:szCs w:val="20"/>
              </w:rPr>
              <w:t xml:space="preserve">Real GDP growth, % </w:t>
            </w:r>
          </w:p>
          <w:p w:rsidR="000854F8" w:rsidRPr="006F3F45" w:rsidRDefault="000854F8" w:rsidP="00E00B71">
            <w:pPr>
              <w:ind w:right="42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(quarter on quarter, sa*)</w:t>
            </w:r>
          </w:p>
        </w:tc>
        <w:tc>
          <w:tcPr>
            <w:tcW w:w="1222" w:type="dxa"/>
            <w:vAlign w:val="center"/>
          </w:tcPr>
          <w:p w:rsidR="000854F8" w:rsidRPr="006F3F45" w:rsidRDefault="0053729E" w:rsidP="00E00B71">
            <w:pPr>
              <w:ind w:right="42"/>
              <w:jc w:val="center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0.</w:t>
            </w:r>
            <w:r w:rsidR="009F050A">
              <w:rPr>
                <w:sz w:val="20"/>
                <w:szCs w:val="20"/>
              </w:rPr>
              <w:t>5</w:t>
            </w:r>
          </w:p>
        </w:tc>
      </w:tr>
      <w:tr w:rsidR="000854F8" w:rsidRPr="006F3F45" w:rsidTr="009F050A">
        <w:trPr>
          <w:trHeight w:val="756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0854F8" w:rsidRPr="006F3F45" w:rsidRDefault="000854F8" w:rsidP="00E00B71">
            <w:pPr>
              <w:spacing w:line="360" w:lineRule="auto"/>
              <w:ind w:right="42"/>
              <w:rPr>
                <w:sz w:val="20"/>
                <w:szCs w:val="20"/>
              </w:rPr>
            </w:pPr>
            <w:r w:rsidRPr="006F3F45">
              <w:rPr>
                <w:b/>
                <w:sz w:val="20"/>
                <w:szCs w:val="20"/>
              </w:rPr>
              <w:t>Real GDP growth, %</w:t>
            </w:r>
          </w:p>
          <w:p w:rsidR="000854F8" w:rsidRPr="006F3F45" w:rsidRDefault="000854F8" w:rsidP="00E00B71">
            <w:pPr>
              <w:ind w:right="42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(year on year, ca**)</w:t>
            </w:r>
          </w:p>
        </w:tc>
        <w:tc>
          <w:tcPr>
            <w:tcW w:w="1222" w:type="dxa"/>
            <w:vAlign w:val="center"/>
          </w:tcPr>
          <w:p w:rsidR="000854F8" w:rsidRPr="006F3F45" w:rsidRDefault="009F050A" w:rsidP="00E00B71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729E" w:rsidRPr="006F3F45">
              <w:rPr>
                <w:sz w:val="20"/>
                <w:szCs w:val="20"/>
              </w:rPr>
              <w:t>.</w:t>
            </w:r>
            <w:r w:rsidR="00B35AFD">
              <w:rPr>
                <w:sz w:val="20"/>
                <w:szCs w:val="20"/>
              </w:rPr>
              <w:t>8</w:t>
            </w:r>
          </w:p>
        </w:tc>
      </w:tr>
      <w:tr w:rsidR="000854F8" w:rsidRPr="006F3F45" w:rsidTr="009F050A">
        <w:trPr>
          <w:trHeight w:val="583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0854F8" w:rsidRPr="006F3F45" w:rsidRDefault="000854F8" w:rsidP="00E00B71">
            <w:pPr>
              <w:spacing w:line="360" w:lineRule="auto"/>
              <w:ind w:right="42"/>
              <w:rPr>
                <w:sz w:val="20"/>
                <w:szCs w:val="20"/>
              </w:rPr>
            </w:pPr>
            <w:r w:rsidRPr="006F3F45">
              <w:rPr>
                <w:b/>
                <w:sz w:val="20"/>
                <w:szCs w:val="20"/>
              </w:rPr>
              <w:t>Current account deficit</w:t>
            </w:r>
          </w:p>
          <w:p w:rsidR="000854F8" w:rsidRPr="006F3F45" w:rsidRDefault="000854F8" w:rsidP="00E00B71">
            <w:pPr>
              <w:ind w:right="40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(% of GDP, annual)</w:t>
            </w:r>
          </w:p>
        </w:tc>
        <w:tc>
          <w:tcPr>
            <w:tcW w:w="1222" w:type="dxa"/>
            <w:vAlign w:val="center"/>
          </w:tcPr>
          <w:p w:rsidR="000854F8" w:rsidRPr="006F3F45" w:rsidRDefault="0053729E" w:rsidP="00E00B71">
            <w:pPr>
              <w:ind w:right="40"/>
              <w:jc w:val="center"/>
              <w:rPr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7.</w:t>
            </w:r>
            <w:r w:rsidR="009F050A">
              <w:rPr>
                <w:sz w:val="20"/>
                <w:szCs w:val="20"/>
              </w:rPr>
              <w:t>5</w:t>
            </w:r>
          </w:p>
        </w:tc>
      </w:tr>
      <w:tr w:rsidR="0053729E" w:rsidRPr="006F3F45" w:rsidTr="009F050A">
        <w:trPr>
          <w:trHeight w:val="583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9F050A" w:rsidRPr="006F3F45" w:rsidRDefault="009F050A" w:rsidP="009F050A">
            <w:pPr>
              <w:spacing w:line="360" w:lineRule="auto"/>
              <w:ind w:right="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 excluded c</w:t>
            </w:r>
            <w:r w:rsidRPr="006F3F45">
              <w:rPr>
                <w:b/>
                <w:sz w:val="20"/>
                <w:szCs w:val="20"/>
              </w:rPr>
              <w:t>urrent account deficit</w:t>
            </w:r>
          </w:p>
          <w:p w:rsidR="0053729E" w:rsidRPr="006F3F45" w:rsidRDefault="009F050A" w:rsidP="009F050A">
            <w:pPr>
              <w:spacing w:line="360" w:lineRule="auto"/>
              <w:ind w:right="42"/>
              <w:rPr>
                <w:b/>
                <w:sz w:val="20"/>
                <w:szCs w:val="20"/>
              </w:rPr>
            </w:pPr>
            <w:r w:rsidRPr="006F3F45">
              <w:rPr>
                <w:sz w:val="20"/>
                <w:szCs w:val="20"/>
              </w:rPr>
              <w:t>(% of GDP, annual)</w:t>
            </w:r>
          </w:p>
        </w:tc>
        <w:tc>
          <w:tcPr>
            <w:tcW w:w="1222" w:type="dxa"/>
            <w:vAlign w:val="center"/>
          </w:tcPr>
          <w:p w:rsidR="0053729E" w:rsidRPr="00CD3D19" w:rsidRDefault="009F050A" w:rsidP="00E00B71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9F050A">
              <w:rPr>
                <w:sz w:val="20"/>
                <w:szCs w:val="20"/>
              </w:rPr>
              <w:t>6.3</w:t>
            </w:r>
          </w:p>
        </w:tc>
      </w:tr>
    </w:tbl>
    <w:p w:rsidR="008B74EE" w:rsidRPr="006F3F45" w:rsidRDefault="008C38E5" w:rsidP="0046347B">
      <w:pPr>
        <w:ind w:left="-360" w:right="40"/>
        <w:jc w:val="both"/>
        <w:rPr>
          <w:sz w:val="16"/>
          <w:szCs w:val="16"/>
        </w:rPr>
      </w:pPr>
      <w:r w:rsidRPr="006F3F45">
        <w:rPr>
          <w:sz w:val="16"/>
          <w:szCs w:val="16"/>
        </w:rPr>
        <w:t>Source: Betam</w:t>
      </w:r>
      <w:r w:rsidR="00403B8D" w:rsidRPr="006F3F45">
        <w:rPr>
          <w:sz w:val="16"/>
          <w:szCs w:val="16"/>
        </w:rPr>
        <w:t>.</w:t>
      </w:r>
      <w:r w:rsidR="0046347B">
        <w:rPr>
          <w:sz w:val="16"/>
          <w:szCs w:val="16"/>
        </w:rPr>
        <w:t xml:space="preserve"> </w:t>
      </w:r>
      <w:r w:rsidRPr="006F3F45">
        <w:rPr>
          <w:sz w:val="16"/>
          <w:szCs w:val="16"/>
        </w:rPr>
        <w:t xml:space="preserve">*sa: seasonally and calendar day </w:t>
      </w:r>
      <w:proofErr w:type="gramStart"/>
      <w:r w:rsidRPr="006F3F45">
        <w:rPr>
          <w:sz w:val="16"/>
          <w:szCs w:val="16"/>
        </w:rPr>
        <w:t>adjusted  *</w:t>
      </w:r>
      <w:proofErr w:type="gramEnd"/>
      <w:r w:rsidRPr="006F3F45">
        <w:rPr>
          <w:sz w:val="16"/>
          <w:szCs w:val="16"/>
        </w:rPr>
        <w:t>*ca: calendar day adjusted</w:t>
      </w:r>
      <w:r w:rsidR="0046347B">
        <w:rPr>
          <w:sz w:val="16"/>
          <w:szCs w:val="16"/>
        </w:rPr>
        <w:t>.</w:t>
      </w:r>
    </w:p>
    <w:p w:rsidR="00F91693" w:rsidRPr="006F3F45" w:rsidRDefault="00F91693" w:rsidP="00F91693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8945B8" w:rsidP="00CD10F7">
      <w:pPr>
        <w:spacing w:line="360" w:lineRule="auto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Industrial</w:t>
      </w:r>
      <w:r w:rsidR="0080479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production continues</w:t>
      </w:r>
      <w:r w:rsidR="00CD10F7">
        <w:rPr>
          <w:b/>
          <w:bCs/>
          <w:sz w:val="22"/>
          <w:szCs w:val="22"/>
        </w:rPr>
        <w:t xml:space="preserve"> with exports</w:t>
      </w:r>
    </w:p>
    <w:p w:rsidR="00CD10F7" w:rsidRDefault="00CD10F7" w:rsidP="00CD10F7">
      <w:pPr>
        <w:spacing w:line="360" w:lineRule="auto"/>
        <w:ind w:left="-360"/>
        <w:jc w:val="center"/>
        <w:rPr>
          <w:b/>
          <w:bCs/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line with our expectations, </w:t>
      </w:r>
      <w:r w:rsidR="00584D1C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IPI </w:t>
      </w:r>
      <w:r w:rsidR="00986451">
        <w:rPr>
          <w:sz w:val="22"/>
          <w:szCs w:val="22"/>
        </w:rPr>
        <w:t xml:space="preserve">slowly </w:t>
      </w:r>
      <w:r w:rsidR="00584D1C">
        <w:rPr>
          <w:sz w:val="22"/>
          <w:szCs w:val="22"/>
        </w:rPr>
        <w:t>declin</w:t>
      </w:r>
      <w:r w:rsidR="008C4A25">
        <w:rPr>
          <w:sz w:val="22"/>
          <w:szCs w:val="22"/>
        </w:rPr>
        <w:t>ed</w:t>
      </w:r>
      <w:r w:rsidR="00986451">
        <w:rPr>
          <w:sz w:val="22"/>
          <w:szCs w:val="22"/>
        </w:rPr>
        <w:t xml:space="preserve"> compared to previous </w:t>
      </w:r>
      <w:proofErr w:type="gramStart"/>
      <w:r w:rsidR="00986451">
        <w:rPr>
          <w:sz w:val="22"/>
          <w:szCs w:val="22"/>
        </w:rPr>
        <w:t>month,</w:t>
      </w:r>
      <w:proofErr w:type="gramEnd"/>
      <w:r>
        <w:rPr>
          <w:sz w:val="22"/>
          <w:szCs w:val="22"/>
        </w:rPr>
        <w:t xml:space="preserve"> </w:t>
      </w:r>
      <w:r w:rsidR="00986451">
        <w:rPr>
          <w:sz w:val="22"/>
          <w:szCs w:val="22"/>
        </w:rPr>
        <w:t>h</w:t>
      </w:r>
      <w:r>
        <w:rPr>
          <w:sz w:val="22"/>
          <w:szCs w:val="22"/>
        </w:rPr>
        <w:t xml:space="preserve">owever, </w:t>
      </w:r>
      <w:r w:rsidR="00986451">
        <w:rPr>
          <w:sz w:val="22"/>
          <w:szCs w:val="22"/>
        </w:rPr>
        <w:t>it</w:t>
      </w:r>
      <w:r>
        <w:rPr>
          <w:sz w:val="22"/>
          <w:szCs w:val="22"/>
        </w:rPr>
        <w:t xml:space="preserve"> showed a strong increase</w:t>
      </w:r>
      <w:r w:rsidR="00986451">
        <w:rPr>
          <w:sz w:val="22"/>
          <w:szCs w:val="22"/>
        </w:rPr>
        <w:t xml:space="preserve"> of about 1.7 percent</w:t>
      </w:r>
      <w:r>
        <w:rPr>
          <w:sz w:val="22"/>
          <w:szCs w:val="22"/>
        </w:rPr>
        <w:t xml:space="preserve"> </w:t>
      </w:r>
      <w:r w:rsidR="00986451">
        <w:rPr>
          <w:sz w:val="22"/>
          <w:szCs w:val="22"/>
        </w:rPr>
        <w:t>when compared to the previous quarter</w:t>
      </w:r>
      <w:r>
        <w:rPr>
          <w:sz w:val="22"/>
          <w:szCs w:val="22"/>
        </w:rPr>
        <w:t xml:space="preserve">. In the </w:t>
      </w:r>
      <w:r w:rsidR="00D37B5A">
        <w:rPr>
          <w:sz w:val="22"/>
          <w:szCs w:val="22"/>
        </w:rPr>
        <w:t>last</w:t>
      </w:r>
      <w:r>
        <w:rPr>
          <w:sz w:val="22"/>
          <w:szCs w:val="22"/>
        </w:rPr>
        <w:t xml:space="preserve"> quarter</w:t>
      </w:r>
      <w:r w:rsidR="00D37B5A">
        <w:rPr>
          <w:sz w:val="22"/>
          <w:szCs w:val="22"/>
        </w:rPr>
        <w:t xml:space="preserve"> of 2013 the</w:t>
      </w:r>
      <w:r>
        <w:rPr>
          <w:sz w:val="22"/>
          <w:szCs w:val="22"/>
        </w:rPr>
        <w:t xml:space="preserve"> IPI </w:t>
      </w:r>
      <w:r w:rsidR="00D37B5A">
        <w:rPr>
          <w:sz w:val="22"/>
          <w:szCs w:val="22"/>
        </w:rPr>
        <w:t xml:space="preserve">had </w:t>
      </w:r>
      <w:r>
        <w:rPr>
          <w:sz w:val="22"/>
          <w:szCs w:val="22"/>
        </w:rPr>
        <w:t xml:space="preserve">increased by 1.0 percent. </w:t>
      </w:r>
      <w:r w:rsidR="00D37B5A">
        <w:rPr>
          <w:sz w:val="22"/>
          <w:szCs w:val="22"/>
        </w:rPr>
        <w:t xml:space="preserve">Hence, quarterly acceleration in industrial production remains intact. </w:t>
      </w:r>
      <w:r>
        <w:rPr>
          <w:sz w:val="22"/>
          <w:szCs w:val="22"/>
        </w:rPr>
        <w:t xml:space="preserve">Strong </w:t>
      </w:r>
      <w:r w:rsidR="00D37B5A">
        <w:rPr>
          <w:sz w:val="22"/>
          <w:szCs w:val="22"/>
        </w:rPr>
        <w:t>data</w:t>
      </w:r>
      <w:r>
        <w:rPr>
          <w:sz w:val="22"/>
          <w:szCs w:val="22"/>
        </w:rPr>
        <w:t xml:space="preserve"> confirm</w:t>
      </w:r>
      <w:r w:rsidR="00666E22">
        <w:rPr>
          <w:sz w:val="22"/>
          <w:szCs w:val="22"/>
        </w:rPr>
        <w:t>ed</w:t>
      </w:r>
      <w:r>
        <w:rPr>
          <w:sz w:val="22"/>
          <w:szCs w:val="22"/>
        </w:rPr>
        <w:t xml:space="preserve"> our 3.8 percent </w:t>
      </w:r>
      <w:proofErr w:type="spellStart"/>
      <w:r>
        <w:rPr>
          <w:sz w:val="22"/>
          <w:szCs w:val="22"/>
        </w:rPr>
        <w:t>YoY</w:t>
      </w:r>
      <w:proofErr w:type="spellEnd"/>
      <w:r>
        <w:rPr>
          <w:sz w:val="22"/>
          <w:szCs w:val="22"/>
        </w:rPr>
        <w:t xml:space="preserve"> forecast</w:t>
      </w:r>
      <w:r w:rsidR="00E152DC">
        <w:rPr>
          <w:sz w:val="22"/>
          <w:szCs w:val="22"/>
        </w:rPr>
        <w:t xml:space="preserve"> for growth</w:t>
      </w:r>
      <w:r>
        <w:rPr>
          <w:sz w:val="22"/>
          <w:szCs w:val="22"/>
        </w:rPr>
        <w:t>.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DE11DC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Most of the increase in</w:t>
      </w:r>
      <w:r w:rsidR="00AE08B1">
        <w:rPr>
          <w:sz w:val="22"/>
          <w:szCs w:val="22"/>
        </w:rPr>
        <w:t xml:space="preserve"> </w:t>
      </w:r>
      <w:r w:rsidR="003A430F">
        <w:rPr>
          <w:sz w:val="22"/>
          <w:szCs w:val="22"/>
        </w:rPr>
        <w:t xml:space="preserve">the </w:t>
      </w:r>
      <w:r w:rsidR="00CD10F7">
        <w:rPr>
          <w:sz w:val="22"/>
          <w:szCs w:val="22"/>
        </w:rPr>
        <w:t xml:space="preserve">IPI </w:t>
      </w:r>
      <w:r w:rsidR="003A430F">
        <w:rPr>
          <w:sz w:val="22"/>
          <w:szCs w:val="22"/>
        </w:rPr>
        <w:t>is led</w:t>
      </w:r>
      <w:r w:rsidR="00CD10F7">
        <w:rPr>
          <w:sz w:val="22"/>
          <w:szCs w:val="22"/>
        </w:rPr>
        <w:t xml:space="preserve"> by foreign demand </w:t>
      </w:r>
      <w:r w:rsidR="00AE08B1">
        <w:rPr>
          <w:sz w:val="22"/>
          <w:szCs w:val="22"/>
        </w:rPr>
        <w:t xml:space="preserve">rather than </w:t>
      </w:r>
      <w:r w:rsidR="00CD10F7">
        <w:rPr>
          <w:sz w:val="22"/>
          <w:szCs w:val="22"/>
        </w:rPr>
        <w:t xml:space="preserve">domestic demand. </w:t>
      </w:r>
      <w:proofErr w:type="gramStart"/>
      <w:r>
        <w:rPr>
          <w:sz w:val="22"/>
          <w:szCs w:val="22"/>
        </w:rPr>
        <w:t xml:space="preserve">The </w:t>
      </w:r>
      <w:r w:rsidR="00CD10F7">
        <w:rPr>
          <w:sz w:val="22"/>
          <w:szCs w:val="22"/>
        </w:rPr>
        <w:t>export volume index incre</w:t>
      </w:r>
      <w:r>
        <w:rPr>
          <w:sz w:val="22"/>
          <w:szCs w:val="22"/>
        </w:rPr>
        <w:t>ased by 3.6 percent in February while</w:t>
      </w:r>
      <w:r w:rsidR="00CD10F7">
        <w:rPr>
          <w:sz w:val="22"/>
          <w:szCs w:val="22"/>
        </w:rPr>
        <w:t xml:space="preserve"> imports continue</w:t>
      </w:r>
      <w:r>
        <w:rPr>
          <w:sz w:val="22"/>
          <w:szCs w:val="22"/>
        </w:rPr>
        <w:t>d</w:t>
      </w:r>
      <w:r w:rsidR="00CD10F7">
        <w:rPr>
          <w:sz w:val="22"/>
          <w:szCs w:val="22"/>
        </w:rPr>
        <w:t xml:space="preserve"> to decline.</w:t>
      </w:r>
      <w:proofErr w:type="gramEnd"/>
      <w:r w:rsidR="00CD10F7">
        <w:rPr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 w:rsidR="00CD10F7">
        <w:rPr>
          <w:sz w:val="22"/>
          <w:szCs w:val="22"/>
        </w:rPr>
        <w:t xml:space="preserve"> of the </w:t>
      </w:r>
      <w:r>
        <w:rPr>
          <w:sz w:val="22"/>
          <w:szCs w:val="22"/>
        </w:rPr>
        <w:lastRenderedPageBreak/>
        <w:t>decrease</w:t>
      </w:r>
      <w:r w:rsidR="00CD10F7">
        <w:rPr>
          <w:sz w:val="22"/>
          <w:szCs w:val="22"/>
        </w:rPr>
        <w:t xml:space="preserve"> in imports </w:t>
      </w:r>
      <w:r>
        <w:rPr>
          <w:sz w:val="22"/>
          <w:szCs w:val="22"/>
        </w:rPr>
        <w:t>wa</w:t>
      </w:r>
      <w:r w:rsidR="00CD10F7">
        <w:rPr>
          <w:sz w:val="22"/>
          <w:szCs w:val="22"/>
        </w:rPr>
        <w:t xml:space="preserve">s caused by </w:t>
      </w:r>
      <w:r w:rsidR="00666E22">
        <w:rPr>
          <w:sz w:val="22"/>
          <w:szCs w:val="22"/>
        </w:rPr>
        <w:t xml:space="preserve">the decline in </w:t>
      </w:r>
      <w:r w:rsidR="00CD10F7">
        <w:rPr>
          <w:sz w:val="22"/>
          <w:szCs w:val="22"/>
        </w:rPr>
        <w:t>go</w:t>
      </w:r>
      <w:r w:rsidR="00666E22">
        <w:rPr>
          <w:sz w:val="22"/>
          <w:szCs w:val="22"/>
        </w:rPr>
        <w:t>ld imports</w:t>
      </w:r>
      <w:r w:rsidR="00CD10F7">
        <w:rPr>
          <w:sz w:val="22"/>
          <w:szCs w:val="22"/>
        </w:rPr>
        <w:t xml:space="preserve">, but we observe </w:t>
      </w:r>
      <w:r w:rsidR="00666E22">
        <w:rPr>
          <w:sz w:val="22"/>
          <w:szCs w:val="22"/>
        </w:rPr>
        <w:t>a</w:t>
      </w:r>
      <w:r w:rsidR="00CD10F7">
        <w:rPr>
          <w:sz w:val="22"/>
          <w:szCs w:val="22"/>
        </w:rPr>
        <w:t xml:space="preserve"> decline in gold excluded imports</w:t>
      </w:r>
      <w:r>
        <w:rPr>
          <w:sz w:val="22"/>
          <w:szCs w:val="22"/>
        </w:rPr>
        <w:t>,</w:t>
      </w:r>
      <w:r w:rsidR="003A430F">
        <w:rPr>
          <w:sz w:val="22"/>
          <w:szCs w:val="22"/>
        </w:rPr>
        <w:t xml:space="preserve"> too,</w:t>
      </w:r>
      <w:r>
        <w:rPr>
          <w:sz w:val="22"/>
          <w:szCs w:val="22"/>
        </w:rPr>
        <w:t xml:space="preserve"> including </w:t>
      </w:r>
      <w:r w:rsidR="003A430F">
        <w:rPr>
          <w:sz w:val="22"/>
          <w:szCs w:val="22"/>
        </w:rPr>
        <w:t xml:space="preserve">imports of </w:t>
      </w:r>
      <w:r>
        <w:rPr>
          <w:sz w:val="22"/>
          <w:szCs w:val="22"/>
        </w:rPr>
        <w:t>intermediate</w:t>
      </w:r>
      <w:r w:rsidR="003A430F">
        <w:rPr>
          <w:sz w:val="22"/>
          <w:szCs w:val="22"/>
        </w:rPr>
        <w:t xml:space="preserve"> and investment</w:t>
      </w:r>
      <w:r>
        <w:rPr>
          <w:sz w:val="22"/>
          <w:szCs w:val="22"/>
        </w:rPr>
        <w:t xml:space="preserve"> goods</w:t>
      </w:r>
      <w:r w:rsidR="00CD10F7">
        <w:rPr>
          <w:sz w:val="22"/>
          <w:szCs w:val="22"/>
        </w:rPr>
        <w:t>.</w:t>
      </w:r>
      <w:r w:rsidR="00666E2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D10F7">
        <w:rPr>
          <w:sz w:val="22"/>
          <w:szCs w:val="22"/>
        </w:rPr>
        <w:t>mports</w:t>
      </w:r>
      <w:r>
        <w:rPr>
          <w:sz w:val="22"/>
          <w:szCs w:val="22"/>
        </w:rPr>
        <w:t xml:space="preserve"> of consumer goods </w:t>
      </w:r>
      <w:r w:rsidR="00CD10F7">
        <w:rPr>
          <w:sz w:val="22"/>
          <w:szCs w:val="22"/>
        </w:rPr>
        <w:t>declined sharply</w:t>
      </w:r>
      <w:r>
        <w:rPr>
          <w:sz w:val="22"/>
          <w:szCs w:val="22"/>
        </w:rPr>
        <w:t xml:space="preserve"> as well</w:t>
      </w:r>
      <w:r w:rsidR="00CD10F7">
        <w:rPr>
          <w:sz w:val="22"/>
          <w:szCs w:val="22"/>
        </w:rPr>
        <w:t>. The</w:t>
      </w:r>
      <w:r w:rsidR="008B6E5D">
        <w:rPr>
          <w:sz w:val="22"/>
          <w:szCs w:val="22"/>
        </w:rPr>
        <w:t>se</w:t>
      </w:r>
      <w:r w:rsidR="00CD10F7">
        <w:rPr>
          <w:sz w:val="22"/>
          <w:szCs w:val="22"/>
        </w:rPr>
        <w:t xml:space="preserve"> </w:t>
      </w:r>
      <w:r>
        <w:rPr>
          <w:sz w:val="22"/>
          <w:szCs w:val="22"/>
        </w:rPr>
        <w:t>decline</w:t>
      </w:r>
      <w:r w:rsidR="008B6E5D">
        <w:rPr>
          <w:sz w:val="22"/>
          <w:szCs w:val="22"/>
        </w:rPr>
        <w:t>s, continuing for</w:t>
      </w:r>
      <w:r w:rsidR="00CD10F7">
        <w:rPr>
          <w:sz w:val="22"/>
          <w:szCs w:val="22"/>
        </w:rPr>
        <w:t xml:space="preserve"> two</w:t>
      </w:r>
      <w:r w:rsidR="003A430F">
        <w:rPr>
          <w:sz w:val="22"/>
          <w:szCs w:val="22"/>
        </w:rPr>
        <w:t xml:space="preserve"> consecutive months</w:t>
      </w:r>
      <w:r w:rsidR="008B6E5D">
        <w:rPr>
          <w:sz w:val="22"/>
          <w:szCs w:val="22"/>
        </w:rPr>
        <w:t xml:space="preserve"> now,</w:t>
      </w:r>
      <w:r w:rsidR="003A430F">
        <w:rPr>
          <w:sz w:val="22"/>
          <w:szCs w:val="22"/>
        </w:rPr>
        <w:t xml:space="preserve"> impl</w:t>
      </w:r>
      <w:r w:rsidR="008B6E5D">
        <w:rPr>
          <w:sz w:val="22"/>
          <w:szCs w:val="22"/>
        </w:rPr>
        <w:t>y</w:t>
      </w:r>
      <w:r w:rsidR="00CD10F7">
        <w:rPr>
          <w:sz w:val="22"/>
          <w:szCs w:val="22"/>
        </w:rPr>
        <w:t xml:space="preserve"> a slowdown in domestic demand.   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On the other hand, expectation indicators re</w:t>
      </w:r>
      <w:r w:rsidR="004C478B">
        <w:rPr>
          <w:sz w:val="22"/>
          <w:szCs w:val="22"/>
        </w:rPr>
        <w:t xml:space="preserve">covered slightly in March. Even </w:t>
      </w:r>
      <w:r>
        <w:rPr>
          <w:sz w:val="22"/>
          <w:szCs w:val="22"/>
        </w:rPr>
        <w:t xml:space="preserve">though </w:t>
      </w:r>
      <w:r w:rsidR="004C478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consumer and </w:t>
      </w:r>
      <w:r w:rsidR="004C478B">
        <w:rPr>
          <w:sz w:val="22"/>
          <w:szCs w:val="22"/>
        </w:rPr>
        <w:t xml:space="preserve">the </w:t>
      </w:r>
      <w:r>
        <w:rPr>
          <w:sz w:val="22"/>
          <w:szCs w:val="22"/>
        </w:rPr>
        <w:t>real sector confidence ind</w:t>
      </w:r>
      <w:r w:rsidR="004C478B">
        <w:rPr>
          <w:sz w:val="22"/>
          <w:szCs w:val="22"/>
        </w:rPr>
        <w:t>ices</w:t>
      </w:r>
      <w:r>
        <w:rPr>
          <w:sz w:val="22"/>
          <w:szCs w:val="22"/>
        </w:rPr>
        <w:t xml:space="preserve"> </w:t>
      </w:r>
      <w:r w:rsidR="00822721">
        <w:rPr>
          <w:sz w:val="22"/>
          <w:szCs w:val="22"/>
        </w:rPr>
        <w:t>did</w:t>
      </w:r>
      <w:r w:rsidR="00092F0D">
        <w:rPr>
          <w:sz w:val="22"/>
          <w:szCs w:val="22"/>
        </w:rPr>
        <w:t xml:space="preserve"> not</w:t>
      </w:r>
      <w:r w:rsidR="00DD4854">
        <w:rPr>
          <w:sz w:val="22"/>
          <w:szCs w:val="22"/>
        </w:rPr>
        <w:t xml:space="preserve"> </w:t>
      </w:r>
      <w:r>
        <w:rPr>
          <w:sz w:val="22"/>
          <w:szCs w:val="22"/>
        </w:rPr>
        <w:t>return to their pre</w:t>
      </w:r>
      <w:r w:rsidR="00092F0D">
        <w:rPr>
          <w:sz w:val="22"/>
          <w:szCs w:val="22"/>
        </w:rPr>
        <w:t>-January</w:t>
      </w:r>
      <w:r>
        <w:rPr>
          <w:sz w:val="22"/>
          <w:szCs w:val="22"/>
        </w:rPr>
        <w:t xml:space="preserve"> levels, </w:t>
      </w:r>
      <w:r w:rsidR="00D44EA2">
        <w:rPr>
          <w:sz w:val="22"/>
          <w:szCs w:val="22"/>
        </w:rPr>
        <w:t xml:space="preserve">a </w:t>
      </w:r>
      <w:r w:rsidR="004A5CA2">
        <w:rPr>
          <w:sz w:val="22"/>
          <w:szCs w:val="22"/>
        </w:rPr>
        <w:t>trace</w:t>
      </w:r>
      <w:r w:rsidR="00D44EA2">
        <w:rPr>
          <w:sz w:val="22"/>
          <w:szCs w:val="22"/>
        </w:rPr>
        <w:t xml:space="preserve"> of optimism is there</w:t>
      </w:r>
      <w:r>
        <w:rPr>
          <w:sz w:val="22"/>
          <w:szCs w:val="22"/>
        </w:rPr>
        <w:t xml:space="preserve">. We expect </w:t>
      </w:r>
      <w:r w:rsidR="009303DD">
        <w:rPr>
          <w:sz w:val="22"/>
          <w:szCs w:val="22"/>
        </w:rPr>
        <w:t>this</w:t>
      </w:r>
      <w:r>
        <w:rPr>
          <w:sz w:val="22"/>
          <w:szCs w:val="22"/>
        </w:rPr>
        <w:t xml:space="preserve"> to continue in April</w:t>
      </w:r>
      <w:r w:rsidR="009303DD">
        <w:rPr>
          <w:sz w:val="22"/>
          <w:szCs w:val="22"/>
        </w:rPr>
        <w:t>,</w:t>
      </w:r>
      <w:r>
        <w:rPr>
          <w:sz w:val="22"/>
          <w:szCs w:val="22"/>
        </w:rPr>
        <w:t xml:space="preserve"> following the election results. </w:t>
      </w:r>
      <w:proofErr w:type="spellStart"/>
      <w:r>
        <w:rPr>
          <w:sz w:val="22"/>
          <w:szCs w:val="22"/>
        </w:rPr>
        <w:t>Borsa</w:t>
      </w:r>
      <w:proofErr w:type="spellEnd"/>
      <w:r>
        <w:rPr>
          <w:sz w:val="22"/>
          <w:szCs w:val="22"/>
        </w:rPr>
        <w:t xml:space="preserve"> Istanbul suf</w:t>
      </w:r>
      <w:r w:rsidR="004C478B">
        <w:rPr>
          <w:sz w:val="22"/>
          <w:szCs w:val="22"/>
        </w:rPr>
        <w:t>fered from losses in real terms, although</w:t>
      </w:r>
      <w:r>
        <w:rPr>
          <w:sz w:val="22"/>
          <w:szCs w:val="22"/>
        </w:rPr>
        <w:t xml:space="preserve"> capital inflows became stronger in February and March.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February data shows </w:t>
      </w:r>
      <w:r w:rsidR="00011877">
        <w:rPr>
          <w:sz w:val="22"/>
          <w:szCs w:val="22"/>
        </w:rPr>
        <w:t>that export-led growth continues</w:t>
      </w:r>
      <w:r w:rsidR="00AA3D05">
        <w:rPr>
          <w:sz w:val="22"/>
          <w:szCs w:val="22"/>
        </w:rPr>
        <w:t xml:space="preserve"> </w:t>
      </w:r>
      <w:r>
        <w:rPr>
          <w:sz w:val="22"/>
          <w:szCs w:val="22"/>
        </w:rPr>
        <w:t>and even though domestic demand</w:t>
      </w:r>
      <w:r w:rsidR="00011877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contra</w:t>
      </w:r>
      <w:r w:rsidR="00011877">
        <w:rPr>
          <w:sz w:val="22"/>
          <w:szCs w:val="22"/>
        </w:rPr>
        <w:t>cting</w:t>
      </w:r>
      <w:r>
        <w:rPr>
          <w:sz w:val="22"/>
          <w:szCs w:val="22"/>
        </w:rPr>
        <w:t xml:space="preserve">, foreign demand is strong enough to offset </w:t>
      </w:r>
      <w:r w:rsidR="00011877">
        <w:rPr>
          <w:sz w:val="22"/>
          <w:szCs w:val="22"/>
        </w:rPr>
        <w:t xml:space="preserve">its effect on </w:t>
      </w:r>
      <w:r w:rsidR="001379C6">
        <w:rPr>
          <w:sz w:val="22"/>
          <w:szCs w:val="22"/>
        </w:rPr>
        <w:t>industrial production, at least so far</w:t>
      </w:r>
      <w:r>
        <w:rPr>
          <w:sz w:val="22"/>
          <w:szCs w:val="22"/>
        </w:rPr>
        <w:t xml:space="preserve">. Therefore, </w:t>
      </w:r>
      <w:r w:rsidR="001379C6">
        <w:rPr>
          <w:sz w:val="22"/>
          <w:szCs w:val="22"/>
        </w:rPr>
        <w:t>there is no change in</w:t>
      </w:r>
      <w:r>
        <w:rPr>
          <w:sz w:val="22"/>
          <w:szCs w:val="22"/>
        </w:rPr>
        <w:t xml:space="preserve"> our growth forecasts</w:t>
      </w:r>
      <w:r w:rsidR="001379C6">
        <w:rPr>
          <w:sz w:val="22"/>
          <w:szCs w:val="22"/>
        </w:rPr>
        <w:t xml:space="preserve"> from the previous month</w:t>
      </w:r>
      <w:r>
        <w:rPr>
          <w:sz w:val="22"/>
          <w:szCs w:val="22"/>
        </w:rPr>
        <w:t xml:space="preserve">. </w:t>
      </w:r>
      <w:r w:rsidRPr="00AA3D05">
        <w:rPr>
          <w:sz w:val="22"/>
          <w:szCs w:val="22"/>
        </w:rPr>
        <w:t>Our quarter on quarter (</w:t>
      </w:r>
      <w:proofErr w:type="spellStart"/>
      <w:r w:rsidRPr="00AA3D05">
        <w:rPr>
          <w:sz w:val="22"/>
          <w:szCs w:val="22"/>
        </w:rPr>
        <w:t>QoQ</w:t>
      </w:r>
      <w:proofErr w:type="spellEnd"/>
      <w:r w:rsidRPr="00AA3D05">
        <w:rPr>
          <w:sz w:val="22"/>
          <w:szCs w:val="22"/>
        </w:rPr>
        <w:t>) growth forecast for the first quarter is 0.5 percent, and the corresponding year on year (</w:t>
      </w:r>
      <w:proofErr w:type="spellStart"/>
      <w:r w:rsidRPr="00AA3D05">
        <w:rPr>
          <w:sz w:val="22"/>
          <w:szCs w:val="22"/>
        </w:rPr>
        <w:t>YoY</w:t>
      </w:r>
      <w:proofErr w:type="spellEnd"/>
      <w:r w:rsidRPr="00AA3D05">
        <w:rPr>
          <w:sz w:val="22"/>
          <w:szCs w:val="22"/>
        </w:rPr>
        <w:t>) forecast is 3.8 percent.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D10F7" w:rsidRDefault="002E5F98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Strong</w:t>
      </w:r>
      <w:r w:rsidR="00CD10F7">
        <w:rPr>
          <w:sz w:val="22"/>
          <w:szCs w:val="22"/>
        </w:rPr>
        <w:t xml:space="preserve"> decline </w:t>
      </w:r>
      <w:r>
        <w:rPr>
          <w:sz w:val="22"/>
          <w:szCs w:val="22"/>
        </w:rPr>
        <w:t>in</w:t>
      </w:r>
      <w:r w:rsidR="00CD10F7">
        <w:rPr>
          <w:sz w:val="22"/>
          <w:szCs w:val="22"/>
        </w:rPr>
        <w:t xml:space="preserve"> gold imports</w:t>
      </w:r>
      <w:r>
        <w:rPr>
          <w:sz w:val="22"/>
          <w:szCs w:val="22"/>
        </w:rPr>
        <w:t xml:space="preserve"> led to </w:t>
      </w:r>
      <w:r w:rsidR="00D0531F">
        <w:rPr>
          <w:sz w:val="22"/>
          <w:szCs w:val="22"/>
        </w:rPr>
        <w:t xml:space="preserve">a </w:t>
      </w:r>
      <w:r>
        <w:rPr>
          <w:sz w:val="22"/>
          <w:szCs w:val="22"/>
        </w:rPr>
        <w:t>decrease in the current account deficit.</w:t>
      </w:r>
      <w:r w:rsidR="00CD10F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CD10F7">
        <w:rPr>
          <w:sz w:val="22"/>
          <w:szCs w:val="22"/>
        </w:rPr>
        <w:t>e expect</w:t>
      </w:r>
      <w:r w:rsidR="00CD10F7" w:rsidRPr="006F3F45">
        <w:rPr>
          <w:sz w:val="22"/>
          <w:szCs w:val="22"/>
        </w:rPr>
        <w:t xml:space="preserve"> the curre</w:t>
      </w:r>
      <w:r w:rsidR="00CD10F7">
        <w:rPr>
          <w:sz w:val="22"/>
          <w:szCs w:val="22"/>
        </w:rPr>
        <w:t>nt account deficit to GDP ratio</w:t>
      </w:r>
      <w:r w:rsidR="00CD10F7" w:rsidRPr="006F3F45">
        <w:rPr>
          <w:sz w:val="22"/>
          <w:szCs w:val="22"/>
        </w:rPr>
        <w:t xml:space="preserve"> </w:t>
      </w:r>
      <w:r w:rsidR="00CD10F7">
        <w:rPr>
          <w:sz w:val="22"/>
          <w:szCs w:val="22"/>
        </w:rPr>
        <w:t>to fall to 7.5</w:t>
      </w:r>
      <w:r w:rsidR="00CD10F7" w:rsidRPr="006F3F45">
        <w:rPr>
          <w:sz w:val="22"/>
          <w:szCs w:val="22"/>
        </w:rPr>
        <w:t xml:space="preserve"> percent</w:t>
      </w:r>
      <w:r w:rsidR="00CD10F7">
        <w:rPr>
          <w:sz w:val="22"/>
          <w:szCs w:val="22"/>
        </w:rPr>
        <w:t xml:space="preserve"> from 7.9 percent</w:t>
      </w:r>
      <w:r w:rsidR="00CD10F7" w:rsidRPr="006F3F45">
        <w:rPr>
          <w:sz w:val="22"/>
          <w:szCs w:val="22"/>
        </w:rPr>
        <w:t xml:space="preserve"> at the end of the </w:t>
      </w:r>
      <w:r w:rsidR="00CD10F7">
        <w:rPr>
          <w:sz w:val="22"/>
          <w:szCs w:val="22"/>
        </w:rPr>
        <w:t>fir</w:t>
      </w:r>
      <w:r>
        <w:rPr>
          <w:sz w:val="22"/>
          <w:szCs w:val="22"/>
        </w:rPr>
        <w:t>st quarter. We also expect gold-</w:t>
      </w:r>
      <w:r w:rsidR="00CD10F7">
        <w:rPr>
          <w:sz w:val="22"/>
          <w:szCs w:val="22"/>
        </w:rPr>
        <w:t>excluded current account deficit to fall to 6.3 percent from 6.5 percent.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72196" w:rsidRDefault="00C72196" w:rsidP="00CD10F7">
      <w:pPr>
        <w:spacing w:line="360" w:lineRule="auto"/>
        <w:ind w:left="-360" w:right="42"/>
        <w:jc w:val="center"/>
        <w:rPr>
          <w:b/>
          <w:sz w:val="22"/>
          <w:szCs w:val="22"/>
        </w:rPr>
      </w:pPr>
    </w:p>
    <w:p w:rsidR="00C72196" w:rsidRDefault="00C72196" w:rsidP="00CD10F7">
      <w:pPr>
        <w:spacing w:line="360" w:lineRule="auto"/>
        <w:ind w:left="-360" w:right="42"/>
        <w:jc w:val="center"/>
        <w:rPr>
          <w:b/>
          <w:sz w:val="22"/>
          <w:szCs w:val="22"/>
        </w:rPr>
      </w:pPr>
    </w:p>
    <w:p w:rsidR="00CD10F7" w:rsidRPr="00495192" w:rsidRDefault="008B0CFC" w:rsidP="00CD10F7">
      <w:pPr>
        <w:spacing w:line="360" w:lineRule="auto"/>
        <w:ind w:left="-360" w:right="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Hold </w:t>
      </w:r>
      <w:r w:rsidR="00787031">
        <w:rPr>
          <w:b/>
          <w:sz w:val="22"/>
          <w:szCs w:val="22"/>
        </w:rPr>
        <w:t>off</w:t>
      </w:r>
      <w:r w:rsidR="009A0746">
        <w:rPr>
          <w:b/>
          <w:sz w:val="22"/>
          <w:szCs w:val="22"/>
        </w:rPr>
        <w:t xml:space="preserve"> spring fever</w:t>
      </w:r>
      <w:r w:rsidR="00787031">
        <w:rPr>
          <w:b/>
          <w:sz w:val="22"/>
          <w:szCs w:val="22"/>
        </w:rPr>
        <w:t>!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9A0746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Spring </w:t>
      </w:r>
      <w:r w:rsidR="00D4796B">
        <w:rPr>
          <w:sz w:val="22"/>
          <w:szCs w:val="22"/>
        </w:rPr>
        <w:t xml:space="preserve">in Turkey </w:t>
      </w:r>
      <w:r w:rsidR="004A48EF">
        <w:rPr>
          <w:sz w:val="22"/>
          <w:szCs w:val="22"/>
        </w:rPr>
        <w:t>br</w:t>
      </w:r>
      <w:r w:rsidR="00D96E53">
        <w:rPr>
          <w:sz w:val="22"/>
          <w:szCs w:val="22"/>
        </w:rPr>
        <w:t>ought</w:t>
      </w:r>
      <w:r w:rsidR="004A48EF">
        <w:rPr>
          <w:sz w:val="22"/>
          <w:szCs w:val="22"/>
        </w:rPr>
        <w:t xml:space="preserve"> hope to</w:t>
      </w:r>
      <w:r>
        <w:rPr>
          <w:sz w:val="22"/>
          <w:szCs w:val="22"/>
        </w:rPr>
        <w:t xml:space="preserve"> markets</w:t>
      </w:r>
      <w:r w:rsidR="00D96E53">
        <w:rPr>
          <w:sz w:val="22"/>
          <w:szCs w:val="22"/>
        </w:rPr>
        <w:t>, especially</w:t>
      </w:r>
      <w:r>
        <w:rPr>
          <w:sz w:val="22"/>
          <w:szCs w:val="22"/>
        </w:rPr>
        <w:t xml:space="preserve"> after </w:t>
      </w:r>
      <w:r w:rsidR="00D96E53">
        <w:rPr>
          <w:sz w:val="22"/>
          <w:szCs w:val="22"/>
        </w:rPr>
        <w:t>the municipal elections. Election results</w:t>
      </w:r>
      <w:r>
        <w:rPr>
          <w:sz w:val="22"/>
          <w:szCs w:val="22"/>
        </w:rPr>
        <w:t xml:space="preserve"> show</w:t>
      </w:r>
      <w:r w:rsidR="00D96E53">
        <w:rPr>
          <w:sz w:val="22"/>
          <w:szCs w:val="22"/>
        </w:rPr>
        <w:t>ed</w:t>
      </w:r>
      <w:r>
        <w:rPr>
          <w:sz w:val="22"/>
          <w:szCs w:val="22"/>
        </w:rPr>
        <w:t xml:space="preserve"> that </w:t>
      </w:r>
      <w:r w:rsidR="00D96E5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ruling party still </w:t>
      </w:r>
      <w:r w:rsidR="00D96E53">
        <w:rPr>
          <w:sz w:val="22"/>
          <w:szCs w:val="22"/>
        </w:rPr>
        <w:t>has</w:t>
      </w:r>
      <w:r>
        <w:rPr>
          <w:sz w:val="22"/>
          <w:szCs w:val="22"/>
        </w:rPr>
        <w:t xml:space="preserve"> strong support </w:t>
      </w:r>
      <w:r w:rsidR="00D96E53">
        <w:rPr>
          <w:sz w:val="22"/>
          <w:szCs w:val="22"/>
        </w:rPr>
        <w:t xml:space="preserve">from the voters. This led to a decrease in worries about political risk, at least in the short-run. </w:t>
      </w:r>
      <w:r w:rsidR="00CD10F7">
        <w:rPr>
          <w:sz w:val="22"/>
          <w:szCs w:val="22"/>
        </w:rPr>
        <w:t xml:space="preserve">TRL appreciated 5 percent against </w:t>
      </w:r>
      <w:r w:rsidR="00D96E53">
        <w:rPr>
          <w:sz w:val="22"/>
          <w:szCs w:val="22"/>
        </w:rPr>
        <w:t xml:space="preserve">the </w:t>
      </w:r>
      <w:r w:rsidR="00CD10F7">
        <w:rPr>
          <w:sz w:val="22"/>
          <w:szCs w:val="22"/>
        </w:rPr>
        <w:t>USD</w:t>
      </w:r>
      <w:r w:rsidR="00D25FFB">
        <w:rPr>
          <w:rStyle w:val="FootnoteReference"/>
          <w:sz w:val="22"/>
          <w:szCs w:val="22"/>
        </w:rPr>
        <w:footnoteReference w:id="1"/>
      </w:r>
      <w:r w:rsidR="00CD10F7">
        <w:rPr>
          <w:sz w:val="22"/>
          <w:szCs w:val="22"/>
        </w:rPr>
        <w:t xml:space="preserve">. </w:t>
      </w:r>
      <w:proofErr w:type="spellStart"/>
      <w:r w:rsidR="00CD10F7">
        <w:rPr>
          <w:sz w:val="22"/>
          <w:szCs w:val="22"/>
        </w:rPr>
        <w:t>Borsa</w:t>
      </w:r>
      <w:proofErr w:type="spellEnd"/>
      <w:r w:rsidR="00CD10F7">
        <w:rPr>
          <w:sz w:val="22"/>
          <w:szCs w:val="22"/>
        </w:rPr>
        <w:t xml:space="preserve"> Istanbul </w:t>
      </w:r>
      <w:r w:rsidR="00D96E53">
        <w:rPr>
          <w:sz w:val="22"/>
          <w:szCs w:val="22"/>
        </w:rPr>
        <w:t>rose over</w:t>
      </w:r>
      <w:r w:rsidR="00CD10F7">
        <w:rPr>
          <w:sz w:val="22"/>
          <w:szCs w:val="22"/>
        </w:rPr>
        <w:t xml:space="preserve"> 73,000</w:t>
      </w:r>
      <w:r w:rsidR="00D96E53">
        <w:rPr>
          <w:sz w:val="22"/>
          <w:szCs w:val="22"/>
        </w:rPr>
        <w:t xml:space="preserve"> </w:t>
      </w:r>
      <w:proofErr w:type="gramStart"/>
      <w:r w:rsidR="00D96E53">
        <w:rPr>
          <w:sz w:val="22"/>
          <w:szCs w:val="22"/>
        </w:rPr>
        <w:t>mark</w:t>
      </w:r>
      <w:proofErr w:type="gramEnd"/>
      <w:r w:rsidR="00CD10F7">
        <w:rPr>
          <w:sz w:val="22"/>
          <w:szCs w:val="22"/>
        </w:rPr>
        <w:t xml:space="preserve"> and</w:t>
      </w:r>
      <w:r w:rsidR="00D96E53">
        <w:rPr>
          <w:sz w:val="22"/>
          <w:szCs w:val="22"/>
        </w:rPr>
        <w:t xml:space="preserve"> the</w:t>
      </w:r>
      <w:r w:rsidR="00CD10F7">
        <w:rPr>
          <w:sz w:val="22"/>
          <w:szCs w:val="22"/>
        </w:rPr>
        <w:t xml:space="preserve"> benchmark interest rate</w:t>
      </w:r>
      <w:r w:rsidR="00D96E53">
        <w:rPr>
          <w:sz w:val="22"/>
          <w:szCs w:val="22"/>
        </w:rPr>
        <w:t xml:space="preserve"> which had increased </w:t>
      </w:r>
      <w:r w:rsidR="00D4796B">
        <w:rPr>
          <w:sz w:val="22"/>
          <w:szCs w:val="22"/>
        </w:rPr>
        <w:t>to more than</w:t>
      </w:r>
      <w:r w:rsidR="00D96E53">
        <w:rPr>
          <w:sz w:val="22"/>
          <w:szCs w:val="22"/>
        </w:rPr>
        <w:t xml:space="preserve"> 11 percent,</w:t>
      </w:r>
      <w:r w:rsidR="00CD10F7">
        <w:rPr>
          <w:sz w:val="22"/>
          <w:szCs w:val="22"/>
        </w:rPr>
        <w:t xml:space="preserve"> </w:t>
      </w:r>
      <w:r w:rsidR="009A0D62">
        <w:rPr>
          <w:sz w:val="22"/>
          <w:szCs w:val="22"/>
        </w:rPr>
        <w:t>has fallen</w:t>
      </w:r>
      <w:r w:rsidR="00CD10F7">
        <w:rPr>
          <w:sz w:val="22"/>
          <w:szCs w:val="22"/>
        </w:rPr>
        <w:t xml:space="preserve"> below 10 percent</w:t>
      </w:r>
      <w:r w:rsidR="0092549A">
        <w:rPr>
          <w:sz w:val="22"/>
          <w:szCs w:val="22"/>
        </w:rPr>
        <w:t xml:space="preserve"> in April</w:t>
      </w:r>
      <w:r w:rsidR="00CD10F7">
        <w:rPr>
          <w:sz w:val="22"/>
          <w:szCs w:val="22"/>
        </w:rPr>
        <w:t xml:space="preserve">. </w:t>
      </w:r>
      <w:r w:rsidR="00393FFA">
        <w:rPr>
          <w:sz w:val="22"/>
          <w:szCs w:val="22"/>
        </w:rPr>
        <w:t xml:space="preserve">Some </w:t>
      </w:r>
      <w:r w:rsidR="005D0EEE">
        <w:rPr>
          <w:sz w:val="22"/>
          <w:szCs w:val="22"/>
        </w:rPr>
        <w:t xml:space="preserve">economists already </w:t>
      </w:r>
      <w:r w:rsidR="00393FFA">
        <w:rPr>
          <w:sz w:val="22"/>
          <w:szCs w:val="22"/>
        </w:rPr>
        <w:t>beg</w:t>
      </w:r>
      <w:r w:rsidR="005D0EEE">
        <w:rPr>
          <w:sz w:val="22"/>
          <w:szCs w:val="22"/>
        </w:rPr>
        <w:t>a</w:t>
      </w:r>
      <w:r w:rsidR="00393FFA">
        <w:rPr>
          <w:sz w:val="22"/>
          <w:szCs w:val="22"/>
        </w:rPr>
        <w:t>n to expect a</w:t>
      </w:r>
      <w:r w:rsidR="005D0EEE">
        <w:rPr>
          <w:sz w:val="22"/>
          <w:szCs w:val="22"/>
        </w:rPr>
        <w:t>n</w:t>
      </w:r>
      <w:r w:rsidR="00393FFA">
        <w:rPr>
          <w:sz w:val="22"/>
          <w:szCs w:val="22"/>
        </w:rPr>
        <w:t xml:space="preserve"> interest rate cut from the Central Bank</w:t>
      </w:r>
      <w:r w:rsidR="00EA76A7">
        <w:rPr>
          <w:sz w:val="22"/>
          <w:szCs w:val="22"/>
        </w:rPr>
        <w:t xml:space="preserve"> (CB)</w:t>
      </w:r>
      <w:r w:rsidR="00393FFA">
        <w:rPr>
          <w:sz w:val="22"/>
          <w:szCs w:val="22"/>
        </w:rPr>
        <w:t>.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dealing with domestic political </w:t>
      </w:r>
      <w:r w:rsidR="005A0EF4">
        <w:rPr>
          <w:sz w:val="22"/>
          <w:szCs w:val="22"/>
        </w:rPr>
        <w:t>issues</w:t>
      </w:r>
      <w:r>
        <w:rPr>
          <w:sz w:val="22"/>
          <w:szCs w:val="22"/>
        </w:rPr>
        <w:t xml:space="preserve"> and </w:t>
      </w:r>
      <w:r w:rsidR="005A0EF4">
        <w:rPr>
          <w:sz w:val="22"/>
          <w:szCs w:val="22"/>
        </w:rPr>
        <w:t xml:space="preserve">municipal </w:t>
      </w:r>
      <w:r>
        <w:rPr>
          <w:sz w:val="22"/>
          <w:szCs w:val="22"/>
        </w:rPr>
        <w:t>election</w:t>
      </w:r>
      <w:r w:rsidR="005A0EF4">
        <w:rPr>
          <w:sz w:val="22"/>
          <w:szCs w:val="22"/>
        </w:rPr>
        <w:t>s</w:t>
      </w:r>
      <w:r>
        <w:rPr>
          <w:sz w:val="22"/>
          <w:szCs w:val="22"/>
        </w:rPr>
        <w:t>, it is</w:t>
      </w:r>
      <w:r w:rsidR="00393FFA">
        <w:rPr>
          <w:sz w:val="22"/>
          <w:szCs w:val="22"/>
        </w:rPr>
        <w:t xml:space="preserve"> once again</w:t>
      </w:r>
      <w:r>
        <w:rPr>
          <w:sz w:val="22"/>
          <w:szCs w:val="22"/>
        </w:rPr>
        <w:t xml:space="preserve"> forgotten how </w:t>
      </w:r>
      <w:r w:rsidR="005A0EF4">
        <w:rPr>
          <w:sz w:val="22"/>
          <w:szCs w:val="22"/>
        </w:rPr>
        <w:t>strongly</w:t>
      </w:r>
      <w:r>
        <w:rPr>
          <w:sz w:val="22"/>
          <w:szCs w:val="22"/>
        </w:rPr>
        <w:t xml:space="preserve"> </w:t>
      </w:r>
      <w:r w:rsidR="005A0EF4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Turkish economy is affected </w:t>
      </w:r>
      <w:r w:rsidR="005A0EF4">
        <w:rPr>
          <w:sz w:val="22"/>
          <w:szCs w:val="22"/>
        </w:rPr>
        <w:t>by global capital flows</w:t>
      </w:r>
      <w:r>
        <w:rPr>
          <w:sz w:val="22"/>
          <w:szCs w:val="22"/>
        </w:rPr>
        <w:t xml:space="preserve">. </w:t>
      </w:r>
      <w:r w:rsidR="005A0EF4">
        <w:rPr>
          <w:sz w:val="22"/>
          <w:szCs w:val="22"/>
        </w:rPr>
        <w:t xml:space="preserve">Capital flight in the first quarter was mainly caused by </w:t>
      </w:r>
      <w:r w:rsidR="0092549A">
        <w:rPr>
          <w:sz w:val="22"/>
          <w:szCs w:val="22"/>
        </w:rPr>
        <w:t xml:space="preserve">FED </w:t>
      </w:r>
      <w:r w:rsidR="005A0EF4">
        <w:rPr>
          <w:sz w:val="22"/>
          <w:szCs w:val="22"/>
        </w:rPr>
        <w:t>t</w:t>
      </w:r>
      <w:r>
        <w:rPr>
          <w:sz w:val="22"/>
          <w:szCs w:val="22"/>
        </w:rPr>
        <w:t>apering</w:t>
      </w:r>
      <w:r w:rsidR="005A0EF4">
        <w:rPr>
          <w:sz w:val="22"/>
          <w:szCs w:val="22"/>
        </w:rPr>
        <w:t>,</w:t>
      </w:r>
      <w:r>
        <w:rPr>
          <w:sz w:val="22"/>
          <w:szCs w:val="22"/>
        </w:rPr>
        <w:t xml:space="preserve"> which started </w:t>
      </w:r>
      <w:r w:rsidR="005A0EF4">
        <w:rPr>
          <w:sz w:val="22"/>
          <w:szCs w:val="22"/>
        </w:rPr>
        <w:t>on</w:t>
      </w:r>
      <w:r>
        <w:rPr>
          <w:sz w:val="22"/>
          <w:szCs w:val="22"/>
        </w:rPr>
        <w:t xml:space="preserve"> December 18</w:t>
      </w:r>
      <w:r w:rsidR="005A0EF4" w:rsidRPr="005A0E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  <w:r w:rsidR="005A0EF4">
        <w:rPr>
          <w:sz w:val="22"/>
          <w:szCs w:val="22"/>
        </w:rPr>
        <w:t xml:space="preserve">Good and bad news on </w:t>
      </w:r>
      <w:r>
        <w:rPr>
          <w:sz w:val="22"/>
          <w:szCs w:val="22"/>
        </w:rPr>
        <w:t xml:space="preserve">US data </w:t>
      </w:r>
      <w:r w:rsidR="005A0EF4">
        <w:rPr>
          <w:sz w:val="22"/>
          <w:szCs w:val="22"/>
        </w:rPr>
        <w:t xml:space="preserve">is still the main driver of fluctuations in the </w:t>
      </w:r>
      <w:r>
        <w:rPr>
          <w:sz w:val="22"/>
          <w:szCs w:val="22"/>
        </w:rPr>
        <w:t>developing countr</w:t>
      </w:r>
      <w:r w:rsidR="005A0EF4">
        <w:rPr>
          <w:sz w:val="22"/>
          <w:szCs w:val="22"/>
        </w:rPr>
        <w:t>y markets</w:t>
      </w:r>
      <w:r>
        <w:rPr>
          <w:sz w:val="22"/>
          <w:szCs w:val="22"/>
        </w:rPr>
        <w:t xml:space="preserve">. </w:t>
      </w:r>
      <w:r w:rsidR="00393FFA">
        <w:rPr>
          <w:sz w:val="22"/>
          <w:szCs w:val="22"/>
        </w:rPr>
        <w:t>The fall in domestic uncertainty will</w:t>
      </w:r>
      <w:r w:rsidR="005A0EF4">
        <w:rPr>
          <w:sz w:val="22"/>
          <w:szCs w:val="22"/>
        </w:rPr>
        <w:t>, no doubt,</w:t>
      </w:r>
      <w:r w:rsidR="00393FFA">
        <w:rPr>
          <w:sz w:val="22"/>
          <w:szCs w:val="22"/>
        </w:rPr>
        <w:t xml:space="preserve"> have</w:t>
      </w:r>
      <w:r w:rsidR="005A0EF4">
        <w:rPr>
          <w:sz w:val="22"/>
          <w:szCs w:val="22"/>
        </w:rPr>
        <w:t xml:space="preserve"> a</w:t>
      </w:r>
      <w:r w:rsidR="00393FFA">
        <w:rPr>
          <w:sz w:val="22"/>
          <w:szCs w:val="22"/>
        </w:rPr>
        <w:t xml:space="preserve"> positive effect on </w:t>
      </w:r>
      <w:r w:rsidR="005A0EF4">
        <w:rPr>
          <w:sz w:val="22"/>
          <w:szCs w:val="22"/>
        </w:rPr>
        <w:t xml:space="preserve">the </w:t>
      </w:r>
      <w:proofErr w:type="gramStart"/>
      <w:r w:rsidR="005A0EF4">
        <w:rPr>
          <w:sz w:val="22"/>
          <w:szCs w:val="22"/>
        </w:rPr>
        <w:t>economy,</w:t>
      </w:r>
      <w:proofErr w:type="gramEnd"/>
      <w:r w:rsidR="00393FFA">
        <w:rPr>
          <w:sz w:val="22"/>
          <w:szCs w:val="22"/>
        </w:rPr>
        <w:t xml:space="preserve"> </w:t>
      </w:r>
      <w:r w:rsidR="005A0EF4">
        <w:rPr>
          <w:sz w:val="22"/>
          <w:szCs w:val="22"/>
        </w:rPr>
        <w:t>h</w:t>
      </w:r>
      <w:r>
        <w:rPr>
          <w:sz w:val="22"/>
          <w:szCs w:val="22"/>
        </w:rPr>
        <w:t>owever</w:t>
      </w:r>
      <w:r w:rsidR="005A0EF4">
        <w:rPr>
          <w:sz w:val="22"/>
          <w:szCs w:val="22"/>
        </w:rPr>
        <w:t>,</w:t>
      </w:r>
      <w:r>
        <w:rPr>
          <w:sz w:val="22"/>
          <w:szCs w:val="22"/>
        </w:rPr>
        <w:t xml:space="preserve"> Turkish economy </w:t>
      </w:r>
      <w:r w:rsidR="00393FFA">
        <w:rPr>
          <w:sz w:val="22"/>
          <w:szCs w:val="22"/>
        </w:rPr>
        <w:t>cannot</w:t>
      </w:r>
      <w:r>
        <w:rPr>
          <w:sz w:val="22"/>
          <w:szCs w:val="22"/>
        </w:rPr>
        <w:t xml:space="preserve"> be normalized </w:t>
      </w:r>
      <w:r w:rsidR="005A0EF4">
        <w:rPr>
          <w:sz w:val="22"/>
          <w:szCs w:val="22"/>
        </w:rPr>
        <w:t>before</w:t>
      </w:r>
      <w:r>
        <w:rPr>
          <w:sz w:val="22"/>
          <w:szCs w:val="22"/>
        </w:rPr>
        <w:t xml:space="preserve"> global conditions</w:t>
      </w:r>
      <w:r w:rsidR="00393FFA">
        <w:rPr>
          <w:sz w:val="22"/>
          <w:szCs w:val="22"/>
        </w:rPr>
        <w:t xml:space="preserve"> normalize</w:t>
      </w:r>
      <w:r w:rsidR="005A0EF4">
        <w:rPr>
          <w:sz w:val="22"/>
          <w:szCs w:val="22"/>
        </w:rPr>
        <w:t xml:space="preserve"> first</w:t>
      </w:r>
      <w:r>
        <w:rPr>
          <w:sz w:val="22"/>
          <w:szCs w:val="22"/>
        </w:rPr>
        <w:t>.</w:t>
      </w:r>
      <w:r w:rsidR="005A0E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Unfortunately, this situation restricts policy choices of the Central Bank. Not only in 2014</w:t>
      </w:r>
      <w:r w:rsidR="005A0EF4">
        <w:rPr>
          <w:sz w:val="22"/>
          <w:szCs w:val="22"/>
        </w:rPr>
        <w:t>,</w:t>
      </w:r>
      <w:r>
        <w:rPr>
          <w:sz w:val="22"/>
          <w:szCs w:val="22"/>
        </w:rPr>
        <w:t xml:space="preserve"> but also in 2015, the </w:t>
      </w:r>
      <w:r w:rsidR="00EA76A7">
        <w:rPr>
          <w:sz w:val="22"/>
          <w:szCs w:val="22"/>
        </w:rPr>
        <w:t>CB</w:t>
      </w:r>
      <w:r>
        <w:rPr>
          <w:sz w:val="22"/>
          <w:szCs w:val="22"/>
        </w:rPr>
        <w:t xml:space="preserve"> needs to pursue </w:t>
      </w:r>
      <w:r w:rsidR="005A0EF4">
        <w:rPr>
          <w:sz w:val="22"/>
          <w:szCs w:val="22"/>
        </w:rPr>
        <w:t xml:space="preserve">tight </w:t>
      </w:r>
      <w:r>
        <w:rPr>
          <w:sz w:val="22"/>
          <w:szCs w:val="22"/>
        </w:rPr>
        <w:t>monetary policy.</w:t>
      </w:r>
      <w:r w:rsidR="00D25FFB">
        <w:rPr>
          <w:sz w:val="22"/>
          <w:szCs w:val="22"/>
        </w:rPr>
        <w:t xml:space="preserve"> In the long term,</w:t>
      </w:r>
      <w:r>
        <w:rPr>
          <w:sz w:val="22"/>
          <w:szCs w:val="22"/>
        </w:rPr>
        <w:t xml:space="preserve"> </w:t>
      </w:r>
      <w:r w:rsidR="00D25FFB">
        <w:rPr>
          <w:sz w:val="22"/>
          <w:szCs w:val="22"/>
        </w:rPr>
        <w:t>i</w:t>
      </w:r>
      <w:r>
        <w:rPr>
          <w:sz w:val="22"/>
          <w:szCs w:val="22"/>
        </w:rPr>
        <w:t>t w</w:t>
      </w:r>
      <w:r w:rsidR="005A0EF4">
        <w:rPr>
          <w:sz w:val="22"/>
          <w:szCs w:val="22"/>
        </w:rPr>
        <w:t>ould</w:t>
      </w:r>
      <w:r>
        <w:rPr>
          <w:sz w:val="22"/>
          <w:szCs w:val="22"/>
        </w:rPr>
        <w:t xml:space="preserve"> be a mistake for the CB to </w:t>
      </w:r>
      <w:r w:rsidR="00D25FFB">
        <w:rPr>
          <w:sz w:val="22"/>
          <w:szCs w:val="22"/>
        </w:rPr>
        <w:t xml:space="preserve">react against highly volatile capital flows with </w:t>
      </w:r>
      <w:r w:rsidR="00EA76A7">
        <w:rPr>
          <w:sz w:val="22"/>
          <w:szCs w:val="22"/>
        </w:rPr>
        <w:t xml:space="preserve">frequent, </w:t>
      </w:r>
      <w:r w:rsidR="00D25FFB">
        <w:rPr>
          <w:sz w:val="22"/>
          <w:szCs w:val="22"/>
        </w:rPr>
        <w:t xml:space="preserve">sharp </w:t>
      </w:r>
      <w:r w:rsidR="005A0EF4">
        <w:rPr>
          <w:sz w:val="22"/>
          <w:szCs w:val="22"/>
        </w:rPr>
        <w:t>interest</w:t>
      </w:r>
      <w:r w:rsidR="00D25FFB">
        <w:rPr>
          <w:sz w:val="22"/>
          <w:szCs w:val="22"/>
        </w:rPr>
        <w:t xml:space="preserve"> </w:t>
      </w:r>
      <w:r w:rsidR="00EA76A7">
        <w:rPr>
          <w:sz w:val="22"/>
          <w:szCs w:val="22"/>
        </w:rPr>
        <w:t>moves</w:t>
      </w:r>
      <w:r w:rsidR="00D25FFB">
        <w:rPr>
          <w:sz w:val="22"/>
          <w:szCs w:val="22"/>
        </w:rPr>
        <w:t>.</w:t>
      </w:r>
      <w:r w:rsidR="006B2BB5">
        <w:rPr>
          <w:sz w:val="22"/>
          <w:szCs w:val="22"/>
        </w:rPr>
        <w:t xml:space="preserve"> Although it is true that </w:t>
      </w:r>
      <w:r w:rsidR="00EA76A7">
        <w:rPr>
          <w:sz w:val="22"/>
          <w:szCs w:val="22"/>
        </w:rPr>
        <w:t>tight</w:t>
      </w:r>
      <w:r w:rsidR="006B2BB5">
        <w:rPr>
          <w:sz w:val="22"/>
          <w:szCs w:val="22"/>
        </w:rPr>
        <w:t xml:space="preserve"> monetary policy is </w:t>
      </w:r>
      <w:r w:rsidR="006B2BB5">
        <w:rPr>
          <w:sz w:val="22"/>
          <w:szCs w:val="22"/>
        </w:rPr>
        <w:lastRenderedPageBreak/>
        <w:t>res</w:t>
      </w:r>
      <w:r w:rsidR="00EA76A7">
        <w:rPr>
          <w:sz w:val="22"/>
          <w:szCs w:val="22"/>
        </w:rPr>
        <w:t>training consumption and investment in the short-run</w:t>
      </w:r>
      <w:r w:rsidR="00CA070D">
        <w:rPr>
          <w:sz w:val="22"/>
          <w:szCs w:val="22"/>
        </w:rPr>
        <w:t xml:space="preserve">, </w:t>
      </w:r>
      <w:r w:rsidR="00EA76A7">
        <w:rPr>
          <w:sz w:val="22"/>
          <w:szCs w:val="22"/>
        </w:rPr>
        <w:t>to stimulate growth,</w:t>
      </w:r>
      <w:r>
        <w:rPr>
          <w:sz w:val="22"/>
          <w:szCs w:val="22"/>
        </w:rPr>
        <w:t xml:space="preserve"> long term </w:t>
      </w:r>
      <w:r w:rsidR="00EA76A7">
        <w:rPr>
          <w:sz w:val="22"/>
          <w:szCs w:val="22"/>
        </w:rPr>
        <w:t>structural</w:t>
      </w:r>
      <w:r>
        <w:rPr>
          <w:sz w:val="22"/>
          <w:szCs w:val="22"/>
        </w:rPr>
        <w:t xml:space="preserve"> policies </w:t>
      </w:r>
      <w:r w:rsidR="00EA76A7">
        <w:rPr>
          <w:sz w:val="22"/>
          <w:szCs w:val="22"/>
        </w:rPr>
        <w:t xml:space="preserve">should be used, rather than short-run </w:t>
      </w:r>
      <w:r w:rsidR="00CA070D">
        <w:rPr>
          <w:sz w:val="22"/>
          <w:szCs w:val="22"/>
        </w:rPr>
        <w:t>interest rate cuts.</w:t>
      </w:r>
      <w:r>
        <w:rPr>
          <w:sz w:val="22"/>
          <w:szCs w:val="22"/>
        </w:rPr>
        <w:t xml:space="preserve"> 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C80618" w:rsidP="00CD10F7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Private consumption is negative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In February, durable goods production increased by 3.3 percent from the previous month. Automobile production to foreign markets supported the increase in durable goods production. On the other hand, non-durable goods production and consumer goods imports declined by 1.2 percent and 4.9 percent, res</w:t>
      </w:r>
      <w:r w:rsidR="00581A89">
        <w:rPr>
          <w:sz w:val="22"/>
          <w:szCs w:val="22"/>
        </w:rPr>
        <w:t>pectively, in the same period.</w:t>
      </w: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February, </w:t>
      </w:r>
      <w:r w:rsidR="00EC4063">
        <w:rPr>
          <w:sz w:val="22"/>
          <w:szCs w:val="22"/>
        </w:rPr>
        <w:t xml:space="preserve">the </w:t>
      </w:r>
      <w:r>
        <w:rPr>
          <w:sz w:val="22"/>
          <w:szCs w:val="22"/>
        </w:rPr>
        <w:t>consumer confidence index fell to the lowest point in last 4 years.</w:t>
      </w:r>
      <w:r w:rsidR="004954CD">
        <w:rPr>
          <w:sz w:val="22"/>
          <w:szCs w:val="22"/>
        </w:rPr>
        <w:t xml:space="preserve"> </w:t>
      </w:r>
      <w:r w:rsidR="00F62781">
        <w:rPr>
          <w:sz w:val="22"/>
          <w:szCs w:val="22"/>
        </w:rPr>
        <w:t>In March</w:t>
      </w:r>
      <w:r w:rsidR="004954C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 w:rsidR="00EC4063">
        <w:rPr>
          <w:sz w:val="22"/>
          <w:szCs w:val="22"/>
        </w:rPr>
        <w:t xml:space="preserve">it </w:t>
      </w:r>
      <w:r w:rsidR="004954CD">
        <w:rPr>
          <w:sz w:val="22"/>
          <w:szCs w:val="22"/>
        </w:rPr>
        <w:t xml:space="preserve"> recovered</w:t>
      </w:r>
      <w:proofErr w:type="gramEnd"/>
      <w:r w:rsidR="004954CD">
        <w:rPr>
          <w:sz w:val="22"/>
          <w:szCs w:val="22"/>
        </w:rPr>
        <w:t xml:space="preserve"> strongly and</w:t>
      </w:r>
      <w:r>
        <w:rPr>
          <w:sz w:val="22"/>
          <w:szCs w:val="22"/>
        </w:rPr>
        <w:t xml:space="preserve"> increased by 5.1 percent. </w:t>
      </w:r>
      <w:r w:rsidR="00EF2E7B">
        <w:rPr>
          <w:sz w:val="22"/>
          <w:szCs w:val="22"/>
        </w:rPr>
        <w:t>However</w:t>
      </w:r>
      <w:r>
        <w:rPr>
          <w:sz w:val="22"/>
          <w:szCs w:val="22"/>
        </w:rPr>
        <w:t>,</w:t>
      </w:r>
      <w:r w:rsidR="00F62781">
        <w:rPr>
          <w:sz w:val="22"/>
          <w:szCs w:val="22"/>
        </w:rPr>
        <w:t xml:space="preserve"> when compared to the previous quarter,</w:t>
      </w:r>
      <w:r>
        <w:rPr>
          <w:sz w:val="22"/>
          <w:szCs w:val="22"/>
        </w:rPr>
        <w:t xml:space="preserve"> </w:t>
      </w:r>
      <w:r w:rsidR="00EC406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consumer confidence index, consumer goods imports and durable goods imports are </w:t>
      </w:r>
      <w:r w:rsidR="00DD0DB4">
        <w:rPr>
          <w:sz w:val="22"/>
          <w:szCs w:val="22"/>
        </w:rPr>
        <w:t xml:space="preserve">all </w:t>
      </w:r>
      <w:r w:rsidR="00F62781">
        <w:rPr>
          <w:sz w:val="22"/>
          <w:szCs w:val="22"/>
        </w:rPr>
        <w:t>on the decline</w:t>
      </w:r>
      <w:r>
        <w:rPr>
          <w:sz w:val="22"/>
          <w:szCs w:val="22"/>
        </w:rPr>
        <w:t>. Therefore, we believe that private consumption will subtract from</w:t>
      </w:r>
      <w:r w:rsidR="00581A89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real GDP in the first quarter of 2014.</w:t>
      </w:r>
    </w:p>
    <w:p w:rsidR="00CD10F7" w:rsidRDefault="00CD10F7" w:rsidP="00CD10F7">
      <w:pPr>
        <w:spacing w:line="360" w:lineRule="auto"/>
        <w:ind w:right="42"/>
        <w:rPr>
          <w:b/>
          <w:bCs/>
          <w:sz w:val="22"/>
          <w:szCs w:val="22"/>
        </w:rPr>
      </w:pPr>
    </w:p>
    <w:p w:rsidR="00CD10F7" w:rsidRDefault="00581A89" w:rsidP="00CD10F7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Private investment stagnate</w:t>
      </w:r>
      <w:r w:rsidR="006567F3">
        <w:rPr>
          <w:b/>
          <w:bCs/>
          <w:sz w:val="22"/>
          <w:szCs w:val="22"/>
        </w:rPr>
        <w:t>s</w:t>
      </w:r>
    </w:p>
    <w:p w:rsidR="00CD10F7" w:rsidRDefault="00CD10F7" w:rsidP="00CD10F7">
      <w:pPr>
        <w:spacing w:line="360" w:lineRule="auto"/>
        <w:ind w:right="42"/>
        <w:jc w:val="both"/>
        <w:rPr>
          <w:bCs/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February, both intermediate goods imports and investment goods imports fell by 5.1 percent from the previous month. Moreover, </w:t>
      </w:r>
      <w:r w:rsidR="00B6577D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IPI declined by </w:t>
      </w:r>
      <w:r w:rsidR="00B6577D">
        <w:rPr>
          <w:bCs/>
          <w:sz w:val="22"/>
          <w:szCs w:val="22"/>
        </w:rPr>
        <w:t>0.1 percent in February due to decrease</w:t>
      </w:r>
      <w:r>
        <w:rPr>
          <w:bCs/>
          <w:sz w:val="22"/>
          <w:szCs w:val="22"/>
        </w:rPr>
        <w:t xml:space="preserve"> in non-durable and intermediate goods production. However, investment goods production increased by 1.6 percent in the same period. </w:t>
      </w:r>
    </w:p>
    <w:p w:rsidR="00CD10F7" w:rsidRDefault="00CD10F7" w:rsidP="00CD10F7">
      <w:pPr>
        <w:spacing w:line="360" w:lineRule="auto"/>
        <w:ind w:left="-360" w:right="43"/>
        <w:jc w:val="both"/>
        <w:rPr>
          <w:bCs/>
          <w:sz w:val="22"/>
          <w:szCs w:val="22"/>
        </w:rPr>
      </w:pPr>
    </w:p>
    <w:p w:rsidR="00581A89" w:rsidRDefault="00CD10F7" w:rsidP="00A75AF6">
      <w:pPr>
        <w:spacing w:line="360" w:lineRule="auto"/>
        <w:ind w:left="-360" w:right="43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Cap</w:t>
      </w:r>
      <w:r w:rsidR="00581A89">
        <w:rPr>
          <w:bCs/>
          <w:sz w:val="22"/>
          <w:szCs w:val="22"/>
        </w:rPr>
        <w:t>acity utilization rate continued</w:t>
      </w:r>
      <w:r>
        <w:rPr>
          <w:bCs/>
          <w:sz w:val="22"/>
          <w:szCs w:val="22"/>
        </w:rPr>
        <w:t xml:space="preserve"> to decline in the last 3 months. In March, it further declined </w:t>
      </w:r>
      <w:proofErr w:type="gramStart"/>
      <w:r>
        <w:rPr>
          <w:bCs/>
          <w:sz w:val="22"/>
          <w:szCs w:val="22"/>
        </w:rPr>
        <w:t xml:space="preserve">by </w:t>
      </w:r>
      <w:r w:rsidR="00B6577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0.1</w:t>
      </w:r>
      <w:proofErr w:type="gramEnd"/>
      <w:r>
        <w:rPr>
          <w:bCs/>
          <w:sz w:val="22"/>
          <w:szCs w:val="22"/>
        </w:rPr>
        <w:t xml:space="preserve"> percent</w:t>
      </w:r>
      <w:r w:rsidR="00B6577D">
        <w:rPr>
          <w:bCs/>
          <w:sz w:val="22"/>
          <w:szCs w:val="22"/>
        </w:rPr>
        <w:t>age points</w:t>
      </w:r>
      <w:r>
        <w:rPr>
          <w:bCs/>
          <w:sz w:val="22"/>
          <w:szCs w:val="22"/>
        </w:rPr>
        <w:t xml:space="preserve">. Real sector confidence index </w:t>
      </w:r>
      <w:r w:rsidR="00581A89">
        <w:rPr>
          <w:bCs/>
          <w:sz w:val="22"/>
          <w:szCs w:val="22"/>
        </w:rPr>
        <w:t xml:space="preserve">is in </w:t>
      </w:r>
      <w:r w:rsidR="00976832">
        <w:rPr>
          <w:bCs/>
          <w:sz w:val="22"/>
          <w:szCs w:val="22"/>
        </w:rPr>
        <w:t>o</w:t>
      </w:r>
      <w:r w:rsidR="00581A89">
        <w:rPr>
          <w:bCs/>
          <w:sz w:val="22"/>
          <w:szCs w:val="22"/>
        </w:rPr>
        <w:t xml:space="preserve">n </w:t>
      </w:r>
      <w:r w:rsidR="00976832">
        <w:rPr>
          <w:bCs/>
          <w:sz w:val="22"/>
          <w:szCs w:val="22"/>
        </w:rPr>
        <w:t xml:space="preserve">an </w:t>
      </w:r>
      <w:r w:rsidR="00581A89">
        <w:rPr>
          <w:bCs/>
          <w:sz w:val="22"/>
          <w:szCs w:val="22"/>
        </w:rPr>
        <w:t>upward trend</w:t>
      </w:r>
      <w:r w:rsidR="00B6577D">
        <w:rPr>
          <w:bCs/>
          <w:sz w:val="22"/>
          <w:szCs w:val="22"/>
        </w:rPr>
        <w:t xml:space="preserve"> though,</w:t>
      </w:r>
      <w:r>
        <w:rPr>
          <w:bCs/>
          <w:sz w:val="22"/>
          <w:szCs w:val="22"/>
        </w:rPr>
        <w:t xml:space="preserve"> </w:t>
      </w:r>
      <w:r w:rsidR="00B6577D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 March</w:t>
      </w:r>
      <w:r w:rsidR="00B6577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it increased by 1.0 percent. Overall, we expect private investment to stagnate </w:t>
      </w:r>
      <w:r w:rsidR="002D71C0">
        <w:rPr>
          <w:bCs/>
          <w:sz w:val="22"/>
          <w:szCs w:val="22"/>
        </w:rPr>
        <w:t xml:space="preserve">in the first quarter </w:t>
      </w:r>
      <w:r w:rsidR="00B6577D">
        <w:rPr>
          <w:bCs/>
          <w:sz w:val="22"/>
          <w:szCs w:val="22"/>
        </w:rPr>
        <w:t>as it did in</w:t>
      </w:r>
      <w:r>
        <w:rPr>
          <w:bCs/>
          <w:sz w:val="22"/>
          <w:szCs w:val="22"/>
        </w:rPr>
        <w:t xml:space="preserve"> the last quarter.</w:t>
      </w:r>
    </w:p>
    <w:p w:rsidR="00581A89" w:rsidRDefault="00581A89" w:rsidP="00CD10F7">
      <w:pPr>
        <w:spacing w:line="360" w:lineRule="auto"/>
        <w:ind w:left="-360" w:right="43"/>
        <w:jc w:val="center"/>
        <w:rPr>
          <w:b/>
          <w:bCs/>
          <w:sz w:val="22"/>
          <w:szCs w:val="22"/>
        </w:rPr>
      </w:pPr>
    </w:p>
    <w:p w:rsidR="00CD10F7" w:rsidRDefault="00581A89" w:rsidP="00CD10F7">
      <w:pPr>
        <w:spacing w:line="360" w:lineRule="auto"/>
        <w:ind w:left="-360" w:right="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First quarter's main driving force will be net exports </w:t>
      </w:r>
      <w:r w:rsidR="00CD10F7">
        <w:rPr>
          <w:b/>
          <w:bCs/>
          <w:sz w:val="22"/>
          <w:szCs w:val="22"/>
        </w:rPr>
        <w:br/>
      </w:r>
    </w:p>
    <w:p w:rsidR="00CD10F7" w:rsidRDefault="00CD10F7" w:rsidP="00CD10F7">
      <w:pPr>
        <w:spacing w:line="360" w:lineRule="auto"/>
        <w:ind w:left="-360" w:right="43"/>
        <w:jc w:val="both"/>
        <w:rPr>
          <w:sz w:val="22"/>
          <w:szCs w:val="22"/>
        </w:rPr>
      </w:pPr>
      <w:r w:rsidRPr="00D911FE">
        <w:rPr>
          <w:sz w:val="22"/>
          <w:szCs w:val="22"/>
        </w:rPr>
        <w:t>Figure 2 shows monthly changes of seasonally adjusted import and export volume indices.</w:t>
      </w:r>
      <w:r>
        <w:rPr>
          <w:sz w:val="22"/>
          <w:szCs w:val="22"/>
        </w:rPr>
        <w:t xml:space="preserve"> In February from the previous month, export volume index increased by 3.7 percent, whereas import volume index declined by 4.3 pe</w:t>
      </w:r>
      <w:r w:rsidR="00F22FF1">
        <w:rPr>
          <w:sz w:val="22"/>
          <w:szCs w:val="22"/>
        </w:rPr>
        <w:t>rcent. In the same period, gold-</w:t>
      </w:r>
      <w:r>
        <w:rPr>
          <w:sz w:val="22"/>
          <w:szCs w:val="22"/>
        </w:rPr>
        <w:t>excluded exports and imports declined by 2.1 percent and 4.1 percent</w:t>
      </w:r>
      <w:proofErr w:type="gramStart"/>
      <w:r>
        <w:rPr>
          <w:sz w:val="22"/>
          <w:szCs w:val="22"/>
        </w:rPr>
        <w:t>,  respectively</w:t>
      </w:r>
      <w:proofErr w:type="gramEnd"/>
      <w:r>
        <w:rPr>
          <w:sz w:val="22"/>
          <w:szCs w:val="22"/>
        </w:rPr>
        <w:t xml:space="preserve">. </w:t>
      </w:r>
      <w:r w:rsidR="00A75AF6">
        <w:rPr>
          <w:sz w:val="22"/>
          <w:szCs w:val="22"/>
        </w:rPr>
        <w:t xml:space="preserve">The </w:t>
      </w:r>
      <w:proofErr w:type="gramStart"/>
      <w:r w:rsidR="00A75AF6">
        <w:rPr>
          <w:sz w:val="22"/>
          <w:szCs w:val="22"/>
        </w:rPr>
        <w:t>increase in exports are</w:t>
      </w:r>
      <w:proofErr w:type="gramEnd"/>
      <w:r w:rsidR="00A75AF6">
        <w:rPr>
          <w:sz w:val="22"/>
          <w:szCs w:val="22"/>
        </w:rPr>
        <w:t xml:space="preserve"> mainly led by recovering European economy and will help increase growth rate in the first quarter. W</w:t>
      </w:r>
      <w:r>
        <w:rPr>
          <w:sz w:val="22"/>
          <w:szCs w:val="22"/>
        </w:rPr>
        <w:t xml:space="preserve">e believe that net exports will </w:t>
      </w:r>
      <w:r w:rsidR="004A6AEC">
        <w:rPr>
          <w:sz w:val="22"/>
          <w:szCs w:val="22"/>
        </w:rPr>
        <w:t xml:space="preserve">actually </w:t>
      </w:r>
      <w:r>
        <w:rPr>
          <w:sz w:val="22"/>
          <w:szCs w:val="22"/>
        </w:rPr>
        <w:t>be the main driving force behind the growth.</w:t>
      </w:r>
    </w:p>
    <w:p w:rsidR="00CD10F7" w:rsidRDefault="00CD10F7" w:rsidP="00CD10F7">
      <w:pPr>
        <w:spacing w:line="360" w:lineRule="auto"/>
        <w:ind w:left="-360" w:right="43"/>
        <w:jc w:val="both"/>
        <w:rPr>
          <w:sz w:val="22"/>
          <w:szCs w:val="22"/>
        </w:rPr>
      </w:pPr>
    </w:p>
    <w:p w:rsidR="00CD10F7" w:rsidRDefault="00581A89" w:rsidP="00CD10F7">
      <w:pPr>
        <w:spacing w:line="360" w:lineRule="auto"/>
        <w:ind w:left="-360" w:right="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Current acco</w:t>
      </w:r>
      <w:r w:rsidR="00CD10F7">
        <w:rPr>
          <w:b/>
          <w:bCs/>
          <w:sz w:val="22"/>
          <w:szCs w:val="22"/>
        </w:rPr>
        <w:t>unt deficit co</w:t>
      </w:r>
      <w:r>
        <w:rPr>
          <w:b/>
          <w:bCs/>
          <w:sz w:val="22"/>
          <w:szCs w:val="22"/>
        </w:rPr>
        <w:t>ntinues to decline</w:t>
      </w:r>
    </w:p>
    <w:p w:rsidR="00CD10F7" w:rsidRDefault="00CD10F7" w:rsidP="00CD10F7">
      <w:pPr>
        <w:spacing w:line="360" w:lineRule="auto"/>
        <w:ind w:left="-360" w:right="43"/>
        <w:jc w:val="center"/>
        <w:rPr>
          <w:b/>
          <w:bCs/>
          <w:sz w:val="22"/>
          <w:szCs w:val="22"/>
        </w:rPr>
      </w:pPr>
    </w:p>
    <w:p w:rsidR="00CD10F7" w:rsidRDefault="00CD10F7" w:rsidP="00CD10F7">
      <w:pPr>
        <w:spacing w:line="360" w:lineRule="auto"/>
        <w:ind w:left="-360"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February, the current account deficit was </w:t>
      </w:r>
      <w:r w:rsidR="00AB0606">
        <w:rPr>
          <w:sz w:val="22"/>
          <w:szCs w:val="22"/>
        </w:rPr>
        <w:t>$</w:t>
      </w:r>
      <w:r>
        <w:rPr>
          <w:sz w:val="22"/>
          <w:szCs w:val="22"/>
        </w:rPr>
        <w:t xml:space="preserve">3.2 billion. In the same month of </w:t>
      </w:r>
      <w:r w:rsidR="00581A89">
        <w:rPr>
          <w:sz w:val="22"/>
          <w:szCs w:val="22"/>
        </w:rPr>
        <w:t>the</w:t>
      </w:r>
      <w:r>
        <w:rPr>
          <w:sz w:val="22"/>
          <w:szCs w:val="22"/>
        </w:rPr>
        <w:t xml:space="preserve"> previous year, it was </w:t>
      </w:r>
      <w:r w:rsidR="00AB0606">
        <w:rPr>
          <w:sz w:val="22"/>
          <w:szCs w:val="22"/>
        </w:rPr>
        <w:t>$</w:t>
      </w:r>
      <w:r>
        <w:rPr>
          <w:sz w:val="22"/>
          <w:szCs w:val="22"/>
        </w:rPr>
        <w:t xml:space="preserve">5.1 billion. </w:t>
      </w:r>
      <w:r w:rsidR="00AB0606">
        <w:rPr>
          <w:sz w:val="22"/>
          <w:szCs w:val="22"/>
        </w:rPr>
        <w:t xml:space="preserve">The decrease from the </w:t>
      </w:r>
      <w:r w:rsidR="002B38F0">
        <w:rPr>
          <w:sz w:val="22"/>
          <w:szCs w:val="22"/>
        </w:rPr>
        <w:t>previous</w:t>
      </w:r>
      <w:r w:rsidR="00AB0606">
        <w:rPr>
          <w:sz w:val="22"/>
          <w:szCs w:val="22"/>
        </w:rPr>
        <w:t xml:space="preserve"> year led t</w:t>
      </w:r>
      <w:r>
        <w:rPr>
          <w:sz w:val="22"/>
          <w:szCs w:val="22"/>
        </w:rPr>
        <w:t xml:space="preserve">he 12-month </w:t>
      </w:r>
      <w:r w:rsidR="00AB0606">
        <w:rPr>
          <w:sz w:val="22"/>
          <w:szCs w:val="22"/>
        </w:rPr>
        <w:t xml:space="preserve">rolling </w:t>
      </w:r>
      <w:r>
        <w:rPr>
          <w:sz w:val="22"/>
          <w:szCs w:val="22"/>
        </w:rPr>
        <w:t xml:space="preserve">current account deficit </w:t>
      </w:r>
      <w:r w:rsidR="00AB0606">
        <w:rPr>
          <w:sz w:val="22"/>
          <w:szCs w:val="22"/>
        </w:rPr>
        <w:t xml:space="preserve">to </w:t>
      </w:r>
      <w:r>
        <w:rPr>
          <w:sz w:val="22"/>
          <w:szCs w:val="22"/>
        </w:rPr>
        <w:t>f</w:t>
      </w:r>
      <w:r w:rsidR="00AB0606">
        <w:rPr>
          <w:sz w:val="22"/>
          <w:szCs w:val="22"/>
        </w:rPr>
        <w:t>a</w:t>
      </w:r>
      <w:r>
        <w:rPr>
          <w:sz w:val="22"/>
          <w:szCs w:val="22"/>
        </w:rPr>
        <w:t xml:space="preserve">ll to </w:t>
      </w:r>
      <w:r w:rsidR="00AB0606">
        <w:rPr>
          <w:sz w:val="22"/>
          <w:szCs w:val="22"/>
        </w:rPr>
        <w:t>$</w:t>
      </w:r>
      <w:r>
        <w:rPr>
          <w:sz w:val="22"/>
          <w:szCs w:val="22"/>
        </w:rPr>
        <w:t xml:space="preserve">64.1 billion from </w:t>
      </w:r>
      <w:r w:rsidR="00AB0606">
        <w:rPr>
          <w:sz w:val="22"/>
          <w:szCs w:val="22"/>
        </w:rPr>
        <w:t>$</w:t>
      </w:r>
      <w:r>
        <w:rPr>
          <w:sz w:val="22"/>
          <w:szCs w:val="22"/>
        </w:rPr>
        <w:t xml:space="preserve">62.2 billion. Gold excluded </w:t>
      </w:r>
      <w:r w:rsidR="00AB0606">
        <w:rPr>
          <w:sz w:val="22"/>
          <w:szCs w:val="22"/>
        </w:rPr>
        <w:t>12-month rolling current account deficit decreased as well,</w:t>
      </w:r>
      <w:r>
        <w:rPr>
          <w:sz w:val="22"/>
          <w:szCs w:val="22"/>
        </w:rPr>
        <w:t xml:space="preserve"> from </w:t>
      </w:r>
      <w:r w:rsidR="00AB0606">
        <w:rPr>
          <w:sz w:val="22"/>
          <w:szCs w:val="22"/>
        </w:rPr>
        <w:t>$</w:t>
      </w:r>
      <w:r>
        <w:rPr>
          <w:sz w:val="22"/>
          <w:szCs w:val="22"/>
        </w:rPr>
        <w:t xml:space="preserve">52.4 to </w:t>
      </w:r>
      <w:r w:rsidR="00AB0606">
        <w:rPr>
          <w:sz w:val="22"/>
          <w:szCs w:val="22"/>
        </w:rPr>
        <w:t>$</w:t>
      </w:r>
      <w:r>
        <w:rPr>
          <w:sz w:val="22"/>
          <w:szCs w:val="22"/>
        </w:rPr>
        <w:t xml:space="preserve">51.6 billion. </w:t>
      </w:r>
    </w:p>
    <w:p w:rsidR="00CD10F7" w:rsidRDefault="00CD10F7" w:rsidP="00CD10F7">
      <w:pPr>
        <w:spacing w:line="360" w:lineRule="auto"/>
        <w:ind w:left="-360" w:right="43"/>
        <w:jc w:val="both"/>
        <w:rPr>
          <w:sz w:val="22"/>
          <w:szCs w:val="22"/>
        </w:rPr>
      </w:pPr>
    </w:p>
    <w:p w:rsidR="00DC4355" w:rsidRDefault="00DC4355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D10F7">
        <w:rPr>
          <w:sz w:val="22"/>
          <w:szCs w:val="22"/>
        </w:rPr>
        <w:t>n February</w:t>
      </w:r>
      <w:r w:rsidR="001A4F45">
        <w:rPr>
          <w:sz w:val="22"/>
          <w:szCs w:val="22"/>
        </w:rPr>
        <w:t>,</w:t>
      </w:r>
      <w:r w:rsidR="00CD10F7">
        <w:rPr>
          <w:sz w:val="22"/>
          <w:szCs w:val="22"/>
        </w:rPr>
        <w:t xml:space="preserve"> </w:t>
      </w:r>
      <w:r w:rsidR="001A4F45">
        <w:rPr>
          <w:sz w:val="22"/>
          <w:szCs w:val="22"/>
        </w:rPr>
        <w:t>capital in</w:t>
      </w:r>
      <w:r>
        <w:rPr>
          <w:sz w:val="22"/>
          <w:szCs w:val="22"/>
        </w:rPr>
        <w:t xml:space="preserve">flow </w:t>
      </w:r>
      <w:r w:rsidR="001A4F45">
        <w:rPr>
          <w:sz w:val="22"/>
          <w:szCs w:val="22"/>
        </w:rPr>
        <w:t>was higher compared to January</w:t>
      </w:r>
      <w:r>
        <w:rPr>
          <w:sz w:val="22"/>
          <w:szCs w:val="22"/>
        </w:rPr>
        <w:t xml:space="preserve"> </w:t>
      </w:r>
      <w:r w:rsidR="00CD10F7">
        <w:rPr>
          <w:sz w:val="22"/>
          <w:szCs w:val="22"/>
        </w:rPr>
        <w:t xml:space="preserve">and Central Bank's reserves </w:t>
      </w:r>
      <w:r w:rsidR="009C15E0">
        <w:rPr>
          <w:sz w:val="22"/>
          <w:szCs w:val="22"/>
        </w:rPr>
        <w:t>increas</w:t>
      </w:r>
      <w:r w:rsidR="00CD10F7">
        <w:rPr>
          <w:sz w:val="22"/>
          <w:szCs w:val="22"/>
        </w:rPr>
        <w:t xml:space="preserve">ed </w:t>
      </w:r>
      <w:r w:rsidR="00CD10F7">
        <w:rPr>
          <w:sz w:val="22"/>
          <w:szCs w:val="22"/>
        </w:rPr>
        <w:lastRenderedPageBreak/>
        <w:t xml:space="preserve">by </w:t>
      </w:r>
      <w:r w:rsidR="001871A1">
        <w:rPr>
          <w:sz w:val="22"/>
          <w:szCs w:val="22"/>
        </w:rPr>
        <w:t>$</w:t>
      </w:r>
      <w:r w:rsidR="00CD10F7">
        <w:rPr>
          <w:sz w:val="22"/>
          <w:szCs w:val="22"/>
        </w:rPr>
        <w:t xml:space="preserve">1.6 billion. Foreign direct investment </w:t>
      </w:r>
      <w:r w:rsidR="002B38F0">
        <w:rPr>
          <w:sz w:val="22"/>
          <w:szCs w:val="22"/>
        </w:rPr>
        <w:t>contributed</w:t>
      </w:r>
      <w:r w:rsidR="00CD10F7">
        <w:rPr>
          <w:sz w:val="22"/>
          <w:szCs w:val="22"/>
        </w:rPr>
        <w:t xml:space="preserve"> </w:t>
      </w:r>
      <w:r w:rsidR="00EE0198">
        <w:rPr>
          <w:sz w:val="22"/>
          <w:szCs w:val="22"/>
        </w:rPr>
        <w:t>$</w:t>
      </w:r>
      <w:r w:rsidR="00CD10F7">
        <w:rPr>
          <w:sz w:val="22"/>
          <w:szCs w:val="22"/>
        </w:rPr>
        <w:t xml:space="preserve">0.9 </w:t>
      </w:r>
      <w:proofErr w:type="gramStart"/>
      <w:r w:rsidR="00CD10F7">
        <w:rPr>
          <w:sz w:val="22"/>
          <w:szCs w:val="22"/>
        </w:rPr>
        <w:t>billion,</w:t>
      </w:r>
      <w:proofErr w:type="gramEnd"/>
      <w:r w:rsidR="00CD10F7">
        <w:rPr>
          <w:sz w:val="22"/>
          <w:szCs w:val="22"/>
        </w:rPr>
        <w:t xml:space="preserve"> portfolio investment fell by </w:t>
      </w:r>
      <w:r w:rsidR="00EE0198">
        <w:rPr>
          <w:sz w:val="22"/>
          <w:szCs w:val="22"/>
        </w:rPr>
        <w:t>$</w:t>
      </w:r>
      <w:r w:rsidR="00CD10F7">
        <w:rPr>
          <w:sz w:val="22"/>
          <w:szCs w:val="22"/>
        </w:rPr>
        <w:t xml:space="preserve">1.5 billion </w:t>
      </w:r>
      <w:r w:rsidR="00C74799">
        <w:rPr>
          <w:sz w:val="22"/>
          <w:szCs w:val="22"/>
        </w:rPr>
        <w:t>led by sales in</w:t>
      </w:r>
      <w:r w:rsidR="00CD10F7">
        <w:rPr>
          <w:sz w:val="22"/>
          <w:szCs w:val="22"/>
        </w:rPr>
        <w:t xml:space="preserve"> treasury bills</w:t>
      </w:r>
      <w:r>
        <w:rPr>
          <w:sz w:val="22"/>
          <w:szCs w:val="22"/>
        </w:rPr>
        <w:t>.</w:t>
      </w:r>
      <w:r w:rsidR="00CD10F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CD10F7">
        <w:rPr>
          <w:sz w:val="22"/>
          <w:szCs w:val="22"/>
        </w:rPr>
        <w:t xml:space="preserve">ther investments </w:t>
      </w:r>
      <w:r w:rsidR="002B38F0">
        <w:rPr>
          <w:sz w:val="22"/>
          <w:szCs w:val="22"/>
        </w:rPr>
        <w:t>increased</w:t>
      </w:r>
      <w:r w:rsidR="00CD10F7">
        <w:rPr>
          <w:sz w:val="22"/>
          <w:szCs w:val="22"/>
        </w:rPr>
        <w:t xml:space="preserve"> by </w:t>
      </w:r>
      <w:r w:rsidR="00C33E6B">
        <w:rPr>
          <w:sz w:val="22"/>
          <w:szCs w:val="22"/>
        </w:rPr>
        <w:t>$3.2 billion</w:t>
      </w:r>
      <w:r w:rsidR="00CD10F7">
        <w:rPr>
          <w:sz w:val="22"/>
          <w:szCs w:val="22"/>
        </w:rPr>
        <w:t xml:space="preserve"> </w:t>
      </w:r>
      <w:r w:rsidR="00581A89">
        <w:rPr>
          <w:sz w:val="22"/>
          <w:szCs w:val="22"/>
        </w:rPr>
        <w:t xml:space="preserve">due to the increase in </w:t>
      </w:r>
      <w:r w:rsidR="002B38F0">
        <w:rPr>
          <w:sz w:val="22"/>
          <w:szCs w:val="22"/>
        </w:rPr>
        <w:t xml:space="preserve">bank </w:t>
      </w:r>
      <w:r>
        <w:rPr>
          <w:sz w:val="22"/>
          <w:szCs w:val="22"/>
        </w:rPr>
        <w:t>loans</w:t>
      </w:r>
      <w:r w:rsidR="00581A89">
        <w:rPr>
          <w:sz w:val="22"/>
          <w:szCs w:val="22"/>
        </w:rPr>
        <w:t>.</w:t>
      </w:r>
      <w:r w:rsidR="00CD10F7">
        <w:rPr>
          <w:sz w:val="22"/>
          <w:szCs w:val="22"/>
        </w:rPr>
        <w:t xml:space="preserve"> Overall, net capital inflow </w:t>
      </w:r>
      <w:r>
        <w:rPr>
          <w:sz w:val="22"/>
          <w:szCs w:val="22"/>
        </w:rPr>
        <w:t>was</w:t>
      </w:r>
      <w:r w:rsidR="00CD10F7">
        <w:rPr>
          <w:sz w:val="22"/>
          <w:szCs w:val="22"/>
        </w:rPr>
        <w:t xml:space="preserve"> </w:t>
      </w:r>
      <w:r w:rsidR="00C33E6B">
        <w:rPr>
          <w:sz w:val="22"/>
          <w:szCs w:val="22"/>
        </w:rPr>
        <w:t>$3.2 billion</w:t>
      </w:r>
      <w:r w:rsidR="00CD10F7">
        <w:rPr>
          <w:sz w:val="22"/>
          <w:szCs w:val="22"/>
        </w:rPr>
        <w:t>. N</w:t>
      </w:r>
      <w:r w:rsidR="00CD10F7" w:rsidRPr="00B47BEE">
        <w:rPr>
          <w:sz w:val="22"/>
          <w:szCs w:val="22"/>
        </w:rPr>
        <w:t>et errors and omissions</w:t>
      </w:r>
      <w:r w:rsidR="00CD10F7">
        <w:rPr>
          <w:sz w:val="22"/>
          <w:szCs w:val="22"/>
        </w:rPr>
        <w:t xml:space="preserve"> indicate</w:t>
      </w:r>
      <w:r w:rsidR="001201BF">
        <w:rPr>
          <w:sz w:val="22"/>
          <w:szCs w:val="22"/>
        </w:rPr>
        <w:t>d</w:t>
      </w:r>
      <w:r w:rsidR="00581A89">
        <w:rPr>
          <w:sz w:val="22"/>
          <w:szCs w:val="22"/>
        </w:rPr>
        <w:t xml:space="preserve"> </w:t>
      </w:r>
      <w:r w:rsidR="007D0F8A">
        <w:rPr>
          <w:sz w:val="22"/>
          <w:szCs w:val="22"/>
        </w:rPr>
        <w:t xml:space="preserve">$2.2 billion </w:t>
      </w:r>
      <w:r>
        <w:rPr>
          <w:sz w:val="22"/>
          <w:szCs w:val="22"/>
        </w:rPr>
        <w:t xml:space="preserve">additional </w:t>
      </w:r>
      <w:r w:rsidR="00581A89">
        <w:rPr>
          <w:sz w:val="22"/>
          <w:szCs w:val="22"/>
        </w:rPr>
        <w:t xml:space="preserve">inflow. </w:t>
      </w:r>
    </w:p>
    <w:p w:rsidR="00CD10F7" w:rsidRDefault="00E93C34" w:rsidP="00CD10F7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At the end of the first quarter, w</w:t>
      </w:r>
      <w:r w:rsidR="00CD10F7">
        <w:rPr>
          <w:sz w:val="22"/>
          <w:szCs w:val="22"/>
        </w:rPr>
        <w:t>e</w:t>
      </w:r>
      <w:r w:rsidR="00581A89">
        <w:rPr>
          <w:sz w:val="22"/>
          <w:szCs w:val="22"/>
        </w:rPr>
        <w:t xml:space="preserve"> expect</w:t>
      </w:r>
      <w:r w:rsidR="00CD10F7" w:rsidRPr="006F3F45">
        <w:rPr>
          <w:sz w:val="22"/>
          <w:szCs w:val="22"/>
        </w:rPr>
        <w:t xml:space="preserve"> the curre</w:t>
      </w:r>
      <w:r w:rsidR="00CD10F7">
        <w:rPr>
          <w:sz w:val="22"/>
          <w:szCs w:val="22"/>
        </w:rPr>
        <w:t>nt account deficit to GDP ratio</w:t>
      </w:r>
      <w:r w:rsidR="00CD10F7" w:rsidRPr="006F3F45">
        <w:rPr>
          <w:sz w:val="22"/>
          <w:szCs w:val="22"/>
        </w:rPr>
        <w:t xml:space="preserve"> </w:t>
      </w:r>
      <w:r w:rsidR="00CD10F7">
        <w:rPr>
          <w:sz w:val="22"/>
          <w:szCs w:val="22"/>
        </w:rPr>
        <w:t>to fall to 7.5</w:t>
      </w:r>
      <w:r w:rsidR="00CD10F7" w:rsidRPr="006F3F45">
        <w:rPr>
          <w:sz w:val="22"/>
          <w:szCs w:val="22"/>
        </w:rPr>
        <w:t xml:space="preserve"> percent</w:t>
      </w:r>
      <w:r w:rsidR="00CD10F7">
        <w:rPr>
          <w:sz w:val="22"/>
          <w:szCs w:val="22"/>
        </w:rPr>
        <w:t xml:space="preserve"> from 7.9 percent</w:t>
      </w:r>
      <w:r w:rsidR="00CD10F7" w:rsidRPr="006F3F45">
        <w:rPr>
          <w:sz w:val="22"/>
          <w:szCs w:val="22"/>
        </w:rPr>
        <w:t xml:space="preserve"> at the </w:t>
      </w:r>
      <w:r>
        <w:rPr>
          <w:sz w:val="22"/>
          <w:szCs w:val="22"/>
        </w:rPr>
        <w:t>previous quarter. We also expect gold-</w:t>
      </w:r>
      <w:r w:rsidR="00CD10F7">
        <w:rPr>
          <w:sz w:val="22"/>
          <w:szCs w:val="22"/>
        </w:rPr>
        <w:t>excluded current account deficit to fall to 6.3 percent from 6.5 percent.</w:t>
      </w:r>
    </w:p>
    <w:p w:rsidR="00F7696B" w:rsidRPr="0053729E" w:rsidRDefault="00F7696B" w:rsidP="00CD10F7">
      <w:pPr>
        <w:spacing w:line="360" w:lineRule="auto"/>
        <w:ind w:left="-360"/>
        <w:jc w:val="center"/>
        <w:rPr>
          <w:sz w:val="22"/>
          <w:szCs w:val="22"/>
        </w:rPr>
        <w:sectPr w:rsidR="00F7696B" w:rsidRPr="0053729E" w:rsidSect="00523C5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11049" w:rsidRDefault="00611049" w:rsidP="00801493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2D6AC3" w:rsidRDefault="002D6AC3" w:rsidP="00801493">
      <w:pPr>
        <w:spacing w:line="360" w:lineRule="auto"/>
        <w:ind w:right="42"/>
        <w:jc w:val="both"/>
        <w:rPr>
          <w:b/>
          <w:sz w:val="22"/>
          <w:szCs w:val="22"/>
        </w:rPr>
      </w:pPr>
    </w:p>
    <w:p w:rsidR="008C6E50" w:rsidRPr="00F7749B" w:rsidRDefault="00E823E8" w:rsidP="00801493">
      <w:pPr>
        <w:spacing w:line="360" w:lineRule="auto"/>
        <w:ind w:right="42"/>
        <w:jc w:val="both"/>
        <w:rPr>
          <w:sz w:val="22"/>
          <w:szCs w:val="22"/>
        </w:rPr>
      </w:pPr>
      <w:r w:rsidRPr="00F7749B">
        <w:rPr>
          <w:b/>
          <w:sz w:val="22"/>
          <w:szCs w:val="22"/>
        </w:rPr>
        <w:lastRenderedPageBreak/>
        <w:t>Table</w:t>
      </w:r>
      <w:r w:rsidR="00451918" w:rsidRPr="00F7749B">
        <w:rPr>
          <w:b/>
          <w:sz w:val="22"/>
          <w:szCs w:val="22"/>
        </w:rPr>
        <w:t xml:space="preserve"> 2: </w:t>
      </w:r>
      <w:r w:rsidRPr="00F7749B">
        <w:rPr>
          <w:b/>
          <w:sz w:val="22"/>
          <w:szCs w:val="22"/>
        </w:rPr>
        <w:t xml:space="preserve">Monthly and quarterly changes of Betam’s selected indicators (real </w:t>
      </w:r>
      <w:r w:rsidR="00455777" w:rsidRPr="00F7749B">
        <w:rPr>
          <w:b/>
          <w:sz w:val="22"/>
          <w:szCs w:val="22"/>
        </w:rPr>
        <w:t>and</w:t>
      </w:r>
      <w:r w:rsidR="00906476" w:rsidRPr="00F7749B">
        <w:rPr>
          <w:b/>
          <w:sz w:val="22"/>
          <w:szCs w:val="22"/>
        </w:rPr>
        <w:t xml:space="preserve"> </w:t>
      </w:r>
      <w:proofErr w:type="gramStart"/>
      <w:r w:rsidRPr="00F7749B">
        <w:rPr>
          <w:b/>
          <w:sz w:val="22"/>
          <w:szCs w:val="22"/>
        </w:rPr>
        <w:t>sa</w:t>
      </w:r>
      <w:proofErr w:type="gramEnd"/>
      <w:r w:rsidR="008C6E50" w:rsidRPr="00F7749B">
        <w:rPr>
          <w:b/>
          <w:sz w:val="22"/>
          <w:szCs w:val="22"/>
        </w:rPr>
        <w:t>)</w:t>
      </w:r>
    </w:p>
    <w:p w:rsidR="008C6E50" w:rsidRPr="0053729E" w:rsidRDefault="008C6E50" w:rsidP="001E4BF5">
      <w:pPr>
        <w:spacing w:line="360" w:lineRule="auto"/>
        <w:ind w:left="-360" w:right="42"/>
        <w:jc w:val="both"/>
        <w:rPr>
          <w:rFonts w:ascii="Arial" w:hAnsi="Arial" w:cs="Arial"/>
          <w:sz w:val="20"/>
          <w:szCs w:val="20"/>
        </w:rPr>
        <w:sectPr w:rsidR="008C6E50" w:rsidRPr="0053729E" w:rsidSect="00750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0"/>
        <w:gridCol w:w="1418"/>
        <w:gridCol w:w="1275"/>
        <w:gridCol w:w="1418"/>
        <w:gridCol w:w="1219"/>
        <w:gridCol w:w="1035"/>
        <w:gridCol w:w="1035"/>
      </w:tblGrid>
      <w:tr w:rsidR="00A441DE" w:rsidRPr="002D6AC3" w:rsidTr="00566BC8">
        <w:trPr>
          <w:trHeight w:val="607"/>
        </w:trPr>
        <w:tc>
          <w:tcPr>
            <w:tcW w:w="2860" w:type="dxa"/>
            <w:vAlign w:val="center"/>
          </w:tcPr>
          <w:p w:rsidR="00A441DE" w:rsidRPr="002D6AC3" w:rsidRDefault="00A441DE" w:rsidP="00E00B71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lastRenderedPageBreak/>
              <w:t>Economic Indicators</w:t>
            </w:r>
          </w:p>
        </w:tc>
        <w:tc>
          <w:tcPr>
            <w:tcW w:w="1418" w:type="dxa"/>
            <w:vAlign w:val="center"/>
          </w:tcPr>
          <w:p w:rsidR="00A441DE" w:rsidRPr="002D6AC3" w:rsidRDefault="00566BC8" w:rsidP="00D052FD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December</w:t>
            </w:r>
          </w:p>
        </w:tc>
        <w:tc>
          <w:tcPr>
            <w:tcW w:w="1275" w:type="dxa"/>
            <w:vAlign w:val="center"/>
          </w:tcPr>
          <w:p w:rsidR="00A441DE" w:rsidRPr="002D6AC3" w:rsidRDefault="00566BC8" w:rsidP="00D052FD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1418" w:type="dxa"/>
            <w:vAlign w:val="center"/>
          </w:tcPr>
          <w:p w:rsidR="00A441DE" w:rsidRPr="002D6AC3" w:rsidRDefault="00566BC8" w:rsidP="00D052FD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vAlign w:val="center"/>
          </w:tcPr>
          <w:p w:rsidR="00A441DE" w:rsidRPr="002D6AC3" w:rsidRDefault="00566BC8" w:rsidP="00E00B71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A441DE" w:rsidRPr="002D6AC3" w:rsidRDefault="00566BC8" w:rsidP="00566BC8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2013</w:t>
            </w:r>
            <w:r w:rsidR="00A441DE" w:rsidRPr="002D6AC3">
              <w:rPr>
                <w:b/>
                <w:bCs/>
                <w:sz w:val="22"/>
                <w:szCs w:val="22"/>
              </w:rPr>
              <w:t xml:space="preserve"> </w:t>
            </w:r>
            <w:r w:rsidRPr="002D6AC3">
              <w:rPr>
                <w:b/>
                <w:bCs/>
                <w:sz w:val="22"/>
                <w:szCs w:val="22"/>
              </w:rPr>
              <w:t>4</w:t>
            </w:r>
            <w:r w:rsidRPr="002D6AC3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A441DE" w:rsidRPr="002D6AC3">
              <w:rPr>
                <w:b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1035" w:type="dxa"/>
            <w:vAlign w:val="center"/>
          </w:tcPr>
          <w:p w:rsidR="00A441DE" w:rsidRPr="002D6AC3" w:rsidRDefault="00566BC8" w:rsidP="00566BC8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2014</w:t>
            </w:r>
            <w:r w:rsidR="00A441DE" w:rsidRPr="002D6AC3">
              <w:rPr>
                <w:b/>
                <w:bCs/>
                <w:sz w:val="22"/>
                <w:szCs w:val="22"/>
              </w:rPr>
              <w:t xml:space="preserve"> </w:t>
            </w:r>
            <w:r w:rsidRPr="002D6AC3">
              <w:rPr>
                <w:b/>
                <w:bCs/>
                <w:sz w:val="22"/>
                <w:szCs w:val="22"/>
              </w:rPr>
              <w:t>1</w:t>
            </w:r>
            <w:r w:rsidRPr="002D6AC3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="00A441DE" w:rsidRPr="002D6AC3">
              <w:rPr>
                <w:b/>
                <w:bCs/>
                <w:sz w:val="22"/>
                <w:szCs w:val="22"/>
              </w:rPr>
              <w:t xml:space="preserve"> Quarter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>Exports</w:t>
            </w:r>
          </w:p>
        </w:tc>
        <w:tc>
          <w:tcPr>
            <w:tcW w:w="1418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-1.7</w:t>
            </w:r>
          </w:p>
        </w:tc>
        <w:tc>
          <w:tcPr>
            <w:tcW w:w="1275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1418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035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3.6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>Imports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0.9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-0.7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-4.3</w:t>
            </w:r>
          </w:p>
        </w:tc>
        <w:tc>
          <w:tcPr>
            <w:tcW w:w="1219" w:type="dxa"/>
            <w:tcBorders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-2.9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Intermediate goods import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4.7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-3.2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-5.1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3.5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-2.5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Consumer goods import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Cs/>
                <w:sz w:val="22"/>
                <w:szCs w:val="22"/>
              </w:rPr>
            </w:pPr>
            <w:r w:rsidRPr="002D6AC3">
              <w:rPr>
                <w:bCs/>
                <w:sz w:val="22"/>
                <w:szCs w:val="22"/>
              </w:rPr>
              <w:t>-2.3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Cs/>
                <w:sz w:val="22"/>
                <w:szCs w:val="22"/>
              </w:rPr>
            </w:pPr>
            <w:r w:rsidRPr="002D6AC3">
              <w:rPr>
                <w:bCs/>
                <w:sz w:val="22"/>
                <w:szCs w:val="22"/>
              </w:rPr>
              <w:t>-1.7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Cs/>
                <w:sz w:val="22"/>
                <w:szCs w:val="22"/>
              </w:rPr>
            </w:pPr>
            <w:r w:rsidRPr="002D6AC3">
              <w:rPr>
                <w:bCs/>
                <w:sz w:val="22"/>
                <w:szCs w:val="22"/>
              </w:rPr>
              <w:t>-4.9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0.6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-4.6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Investment goods import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3.1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-3.7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-5.1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0.5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-2.4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vAlign w:val="bottom"/>
          </w:tcPr>
          <w:p w:rsidR="00566BC8" w:rsidRPr="002D6AC3" w:rsidRDefault="00566BC8" w:rsidP="00BD1FA0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>Exports excluding gold***</w:t>
            </w:r>
          </w:p>
        </w:tc>
        <w:tc>
          <w:tcPr>
            <w:tcW w:w="1418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-3.8</w:t>
            </w:r>
          </w:p>
        </w:tc>
        <w:tc>
          <w:tcPr>
            <w:tcW w:w="1275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1418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-2.1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035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2.7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vAlign w:val="bottom"/>
          </w:tcPr>
          <w:p w:rsidR="00566BC8" w:rsidRPr="002D6AC3" w:rsidRDefault="00566BC8" w:rsidP="00BD1FA0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>Imports excluding gold***</w:t>
            </w:r>
          </w:p>
        </w:tc>
        <w:tc>
          <w:tcPr>
            <w:tcW w:w="1418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-0.9</w:t>
            </w:r>
          </w:p>
        </w:tc>
        <w:tc>
          <w:tcPr>
            <w:tcW w:w="1275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-0.4</w:t>
            </w:r>
          </w:p>
        </w:tc>
        <w:tc>
          <w:tcPr>
            <w:tcW w:w="1418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-4.1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-2.5</w:t>
            </w:r>
          </w:p>
        </w:tc>
        <w:tc>
          <w:tcPr>
            <w:tcW w:w="1035" w:type="dxa"/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-3.5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bottom w:val="nil"/>
            </w:tcBorders>
            <w:vAlign w:val="bottom"/>
          </w:tcPr>
          <w:p w:rsidR="00566BC8" w:rsidRPr="002D6AC3" w:rsidRDefault="00566BC8" w:rsidP="008040FF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 xml:space="preserve">Industrial Production Index 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-0.1</w:t>
            </w:r>
          </w:p>
        </w:tc>
        <w:tc>
          <w:tcPr>
            <w:tcW w:w="1219" w:type="dxa"/>
            <w:tcBorders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1.7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Nondurable consumer goods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-1.2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2.9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Durable consumer goods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-3.6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3.3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-2.0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Intermediate goods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-0.9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3.0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Investment goods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1.6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0.7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-1.3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bottom w:val="nil"/>
            </w:tcBorders>
            <w:vAlign w:val="bottom"/>
          </w:tcPr>
          <w:p w:rsidR="00566BC8" w:rsidRPr="002D6AC3" w:rsidRDefault="00566BC8" w:rsidP="008040FF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 xml:space="preserve">Capacity Utilization Rate 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0.9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-1.4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-0.1</w:t>
            </w:r>
          </w:p>
        </w:tc>
        <w:tc>
          <w:tcPr>
            <w:tcW w:w="1219" w:type="dxa"/>
            <w:tcBorders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-0.1</w:t>
            </w: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0.6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  <w:r w:rsidRPr="002D6AC3">
              <w:rPr>
                <w:b/>
                <w:bCs/>
                <w:sz w:val="22"/>
                <w:szCs w:val="22"/>
              </w:rPr>
              <w:t>-1.2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Nondurable consumer goods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0.0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-0.2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-0.3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Durable consumer goods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-4.3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1.8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0.2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-3.3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Intermediate goods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0.4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-0.2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-1.8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Investment goods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-2.8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0.3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0.3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-3.6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>Soft Data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Consumer confidence index (Turkstat)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-4.0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-3.9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-4.7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5.1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1.3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-7.0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Real sector confidence index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-0.5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-5.5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0.4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1.0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3.6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-5.5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>Financial Data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IMKB 100 (Stock Exchange)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-6.5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-8.7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-2.8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-0.2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-1.7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-14.7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b/>
                <w:sz w:val="22"/>
                <w:szCs w:val="22"/>
              </w:rPr>
            </w:pPr>
            <w:r w:rsidRPr="002D6AC3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Special consumption tax* (SCT)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-0.3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0.4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**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-1.9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1.0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  <w:bottom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Passenger Cars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-10.1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7.4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-5.2</w:t>
            </w:r>
          </w:p>
        </w:tc>
        <w:tc>
          <w:tcPr>
            <w:tcW w:w="121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2.9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-4.7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1.2</w:t>
            </w:r>
          </w:p>
        </w:tc>
      </w:tr>
      <w:tr w:rsidR="00566BC8" w:rsidRPr="002D6AC3" w:rsidTr="00566BC8">
        <w:trPr>
          <w:trHeight w:val="370"/>
        </w:trPr>
        <w:tc>
          <w:tcPr>
            <w:tcW w:w="2860" w:type="dxa"/>
            <w:tcBorders>
              <w:top w:val="nil"/>
            </w:tcBorders>
            <w:vAlign w:val="bottom"/>
          </w:tcPr>
          <w:p w:rsidR="00566BC8" w:rsidRPr="002D6AC3" w:rsidRDefault="00566BC8" w:rsidP="00E00B71">
            <w:pPr>
              <w:spacing w:line="288" w:lineRule="auto"/>
              <w:ind w:right="77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Commercial Vehicles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-14.5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3.9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3.2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-2.4</w:t>
            </w:r>
          </w:p>
        </w:tc>
        <w:tc>
          <w:tcPr>
            <w:tcW w:w="1035" w:type="dxa"/>
            <w:tcBorders>
              <w:top w:val="nil"/>
              <w:left w:val="double" w:sz="4" w:space="0" w:color="auto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-8.3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566BC8" w:rsidRPr="002D6AC3" w:rsidRDefault="00566BC8" w:rsidP="00F50E57">
            <w:pPr>
              <w:ind w:right="42"/>
              <w:jc w:val="center"/>
              <w:rPr>
                <w:sz w:val="22"/>
                <w:szCs w:val="22"/>
              </w:rPr>
            </w:pPr>
            <w:r w:rsidRPr="002D6AC3">
              <w:rPr>
                <w:sz w:val="22"/>
                <w:szCs w:val="22"/>
              </w:rPr>
              <w:t>-5.4</w:t>
            </w:r>
          </w:p>
        </w:tc>
      </w:tr>
    </w:tbl>
    <w:p w:rsidR="008C6E50" w:rsidRPr="0053729E" w:rsidRDefault="00E823E8" w:rsidP="008D71E7">
      <w:pPr>
        <w:spacing w:line="276" w:lineRule="auto"/>
        <w:ind w:left="-54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 xml:space="preserve">Source: </w:t>
      </w:r>
      <w:proofErr w:type="spellStart"/>
      <w:r w:rsidRPr="0053729E">
        <w:rPr>
          <w:sz w:val="16"/>
          <w:szCs w:val="16"/>
        </w:rPr>
        <w:t>TurkStat</w:t>
      </w:r>
      <w:proofErr w:type="spellEnd"/>
      <w:r w:rsidR="00AD6CE3">
        <w:rPr>
          <w:sz w:val="16"/>
          <w:szCs w:val="16"/>
        </w:rPr>
        <w:t xml:space="preserve">, </w:t>
      </w:r>
      <w:r w:rsidR="00E03485" w:rsidRPr="0053729E">
        <w:rPr>
          <w:sz w:val="16"/>
          <w:szCs w:val="16"/>
        </w:rPr>
        <w:t>CBRT</w:t>
      </w:r>
      <w:r w:rsidR="00AD6CE3">
        <w:rPr>
          <w:sz w:val="16"/>
          <w:szCs w:val="16"/>
        </w:rPr>
        <w:t xml:space="preserve">, </w:t>
      </w:r>
      <w:r w:rsidRPr="0053729E">
        <w:rPr>
          <w:sz w:val="16"/>
          <w:szCs w:val="16"/>
        </w:rPr>
        <w:t>Treasury</w:t>
      </w:r>
      <w:r w:rsidR="00AD6CE3">
        <w:rPr>
          <w:sz w:val="16"/>
          <w:szCs w:val="16"/>
        </w:rPr>
        <w:t xml:space="preserve">, </w:t>
      </w:r>
      <w:r w:rsidR="00E03485" w:rsidRPr="0053729E">
        <w:rPr>
          <w:sz w:val="16"/>
          <w:szCs w:val="16"/>
        </w:rPr>
        <w:t>ISE</w:t>
      </w:r>
      <w:r w:rsidR="00AD6CE3">
        <w:rPr>
          <w:sz w:val="16"/>
          <w:szCs w:val="16"/>
        </w:rPr>
        <w:t xml:space="preserve">, </w:t>
      </w:r>
      <w:r w:rsidRPr="0053729E">
        <w:rPr>
          <w:sz w:val="16"/>
          <w:szCs w:val="16"/>
        </w:rPr>
        <w:t>Betam. All series are real (or inflation adjusted) wherever necessary and seasonally adjusted.</w:t>
      </w:r>
    </w:p>
    <w:p w:rsidR="00E823E8" w:rsidRPr="0053729E" w:rsidRDefault="00E823E8" w:rsidP="008D71E7">
      <w:pPr>
        <w:spacing w:line="276" w:lineRule="auto"/>
        <w:ind w:left="-54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*This tax is collected on sales of goods such as gas</w:t>
      </w:r>
      <w:r w:rsidR="00B94CDE">
        <w:rPr>
          <w:sz w:val="16"/>
          <w:szCs w:val="16"/>
        </w:rPr>
        <w:t>.</w:t>
      </w:r>
      <w:r w:rsidR="008D71E7" w:rsidRPr="0053729E">
        <w:rPr>
          <w:sz w:val="16"/>
          <w:szCs w:val="16"/>
        </w:rPr>
        <w:t xml:space="preserve"> </w:t>
      </w:r>
      <w:proofErr w:type="gramStart"/>
      <w:r w:rsidRPr="0053729E">
        <w:rPr>
          <w:sz w:val="16"/>
          <w:szCs w:val="16"/>
        </w:rPr>
        <w:t>fuel</w:t>
      </w:r>
      <w:proofErr w:type="gramEnd"/>
      <w:r w:rsidRPr="0053729E">
        <w:rPr>
          <w:sz w:val="16"/>
          <w:szCs w:val="16"/>
        </w:rPr>
        <w:t xml:space="preserve"> oils</w:t>
      </w:r>
      <w:r w:rsidR="00B94CDE">
        <w:rPr>
          <w:sz w:val="16"/>
          <w:szCs w:val="16"/>
        </w:rPr>
        <w:t>.</w:t>
      </w:r>
      <w:r w:rsidR="008D71E7" w:rsidRPr="0053729E">
        <w:rPr>
          <w:sz w:val="16"/>
          <w:szCs w:val="16"/>
        </w:rPr>
        <w:t xml:space="preserve"> </w:t>
      </w:r>
      <w:proofErr w:type="gramStart"/>
      <w:r w:rsidRPr="0053729E">
        <w:rPr>
          <w:sz w:val="16"/>
          <w:szCs w:val="16"/>
        </w:rPr>
        <w:t>alcohol</w:t>
      </w:r>
      <w:proofErr w:type="gramEnd"/>
      <w:r w:rsidR="00B94CDE">
        <w:rPr>
          <w:sz w:val="16"/>
          <w:szCs w:val="16"/>
        </w:rPr>
        <w:t>.</w:t>
      </w:r>
      <w:r w:rsidR="008D71E7" w:rsidRPr="0053729E">
        <w:rPr>
          <w:sz w:val="16"/>
          <w:szCs w:val="16"/>
        </w:rPr>
        <w:t xml:space="preserve"> </w:t>
      </w:r>
      <w:proofErr w:type="gramStart"/>
      <w:r w:rsidRPr="0053729E">
        <w:rPr>
          <w:sz w:val="16"/>
          <w:szCs w:val="16"/>
        </w:rPr>
        <w:t>tobacco</w:t>
      </w:r>
      <w:proofErr w:type="gramEnd"/>
      <w:r w:rsidRPr="0053729E">
        <w:rPr>
          <w:sz w:val="16"/>
          <w:szCs w:val="16"/>
        </w:rPr>
        <w:t xml:space="preserve"> products and automobiles.</w:t>
      </w:r>
    </w:p>
    <w:p w:rsidR="00E823E8" w:rsidRPr="0053729E" w:rsidRDefault="00E823E8" w:rsidP="008D71E7">
      <w:pPr>
        <w:spacing w:line="276" w:lineRule="auto"/>
        <w:ind w:left="-54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**Data not yet released</w:t>
      </w:r>
      <w:r w:rsidR="00544439" w:rsidRPr="0053729E">
        <w:rPr>
          <w:sz w:val="16"/>
          <w:szCs w:val="16"/>
        </w:rPr>
        <w:t>.</w:t>
      </w:r>
    </w:p>
    <w:p w:rsidR="00544439" w:rsidRPr="0053729E" w:rsidRDefault="00544439" w:rsidP="008D71E7">
      <w:pPr>
        <w:spacing w:line="276" w:lineRule="auto"/>
        <w:ind w:left="-54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***Betam’s calculations: Nominal exports (imports) minus non-monetary gold</w:t>
      </w:r>
      <w:r w:rsidR="00B94CDE">
        <w:rPr>
          <w:sz w:val="16"/>
          <w:szCs w:val="16"/>
        </w:rPr>
        <w:t>.</w:t>
      </w:r>
      <w:r w:rsidRPr="0053729E">
        <w:rPr>
          <w:sz w:val="16"/>
          <w:szCs w:val="16"/>
        </w:rPr>
        <w:t xml:space="preserve"> </w:t>
      </w:r>
      <w:proofErr w:type="gramStart"/>
      <w:r w:rsidRPr="0053729E">
        <w:rPr>
          <w:sz w:val="16"/>
          <w:szCs w:val="16"/>
        </w:rPr>
        <w:t>deflated</w:t>
      </w:r>
      <w:proofErr w:type="gramEnd"/>
      <w:r w:rsidRPr="0053729E">
        <w:rPr>
          <w:sz w:val="16"/>
          <w:szCs w:val="16"/>
        </w:rPr>
        <w:t xml:space="preserve"> </w:t>
      </w:r>
      <w:r w:rsidR="008D71E7" w:rsidRPr="0053729E">
        <w:rPr>
          <w:sz w:val="16"/>
          <w:szCs w:val="16"/>
        </w:rPr>
        <w:t>using</w:t>
      </w:r>
      <w:r w:rsidRPr="0053729E">
        <w:rPr>
          <w:sz w:val="16"/>
          <w:szCs w:val="16"/>
        </w:rPr>
        <w:t xml:space="preserve"> the export (import) unit value index.</w:t>
      </w:r>
    </w:p>
    <w:p w:rsidR="00E03485" w:rsidRPr="0053729E" w:rsidRDefault="00E03485" w:rsidP="00150B84">
      <w:pPr>
        <w:ind w:right="42"/>
        <w:jc w:val="both"/>
        <w:rPr>
          <w:rFonts w:ascii="Arial" w:hAnsi="Arial" w:cs="Arial"/>
          <w:b/>
          <w:sz w:val="20"/>
          <w:szCs w:val="20"/>
        </w:rPr>
        <w:sectPr w:rsidR="00E03485" w:rsidRPr="0053729E" w:rsidSect="001E77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AE1" w:rsidRPr="0053729E" w:rsidRDefault="00706AE1" w:rsidP="000B3D82">
      <w:pPr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167CA4" w:rsidRDefault="00167CA4" w:rsidP="006B60DC">
      <w:pPr>
        <w:ind w:left="-360" w:right="42"/>
        <w:jc w:val="both"/>
        <w:rPr>
          <w:b/>
          <w:sz w:val="20"/>
          <w:szCs w:val="20"/>
        </w:rPr>
      </w:pPr>
    </w:p>
    <w:p w:rsidR="00167CA4" w:rsidRDefault="00167CA4" w:rsidP="006B60DC">
      <w:pPr>
        <w:ind w:left="-360" w:right="42"/>
        <w:jc w:val="both"/>
        <w:rPr>
          <w:b/>
          <w:sz w:val="20"/>
          <w:szCs w:val="20"/>
        </w:rPr>
      </w:pPr>
    </w:p>
    <w:p w:rsidR="00167CA4" w:rsidRDefault="00167CA4" w:rsidP="006B60DC">
      <w:pPr>
        <w:ind w:left="-360" w:right="42"/>
        <w:jc w:val="both"/>
        <w:rPr>
          <w:b/>
          <w:sz w:val="20"/>
          <w:szCs w:val="20"/>
        </w:rPr>
      </w:pPr>
    </w:p>
    <w:p w:rsidR="00167CA4" w:rsidRDefault="00167CA4" w:rsidP="006B60DC">
      <w:pPr>
        <w:ind w:left="-360" w:right="42"/>
        <w:jc w:val="both"/>
        <w:rPr>
          <w:b/>
          <w:sz w:val="20"/>
          <w:szCs w:val="20"/>
        </w:rPr>
      </w:pPr>
    </w:p>
    <w:p w:rsidR="00167CA4" w:rsidRDefault="00167CA4" w:rsidP="006B60DC">
      <w:pPr>
        <w:ind w:left="-360" w:right="42"/>
        <w:jc w:val="both"/>
        <w:rPr>
          <w:b/>
          <w:sz w:val="20"/>
          <w:szCs w:val="20"/>
        </w:rPr>
      </w:pPr>
    </w:p>
    <w:p w:rsidR="00695E7E" w:rsidRDefault="00695E7E" w:rsidP="006B60DC">
      <w:pPr>
        <w:ind w:left="-360" w:right="42"/>
        <w:jc w:val="both"/>
        <w:rPr>
          <w:b/>
          <w:sz w:val="20"/>
          <w:szCs w:val="20"/>
        </w:rPr>
      </w:pPr>
    </w:p>
    <w:p w:rsidR="00695E7E" w:rsidRDefault="00695E7E" w:rsidP="006B60DC">
      <w:pPr>
        <w:ind w:left="-360" w:right="42"/>
        <w:jc w:val="both"/>
        <w:rPr>
          <w:b/>
          <w:sz w:val="20"/>
          <w:szCs w:val="20"/>
        </w:rPr>
      </w:pPr>
    </w:p>
    <w:p w:rsidR="00695E7E" w:rsidRDefault="00695E7E" w:rsidP="006B60DC">
      <w:pPr>
        <w:ind w:left="-360" w:right="42"/>
        <w:jc w:val="both"/>
        <w:rPr>
          <w:b/>
          <w:sz w:val="20"/>
          <w:szCs w:val="20"/>
        </w:rPr>
      </w:pPr>
    </w:p>
    <w:p w:rsidR="00695E7E" w:rsidRDefault="00695E7E" w:rsidP="006B60DC">
      <w:pPr>
        <w:ind w:left="-360" w:right="42"/>
        <w:jc w:val="both"/>
        <w:rPr>
          <w:b/>
          <w:sz w:val="20"/>
          <w:szCs w:val="20"/>
        </w:rPr>
      </w:pPr>
    </w:p>
    <w:p w:rsidR="003A3575" w:rsidRPr="0053729E" w:rsidRDefault="00AC630B" w:rsidP="006B60DC">
      <w:pPr>
        <w:ind w:left="-360" w:right="42"/>
        <w:jc w:val="both"/>
        <w:rPr>
          <w:b/>
          <w:sz w:val="20"/>
          <w:szCs w:val="20"/>
        </w:rPr>
      </w:pPr>
      <w:r w:rsidRPr="0053729E">
        <w:rPr>
          <w:b/>
          <w:sz w:val="20"/>
          <w:szCs w:val="20"/>
        </w:rPr>
        <w:lastRenderedPageBreak/>
        <w:t>Figure</w:t>
      </w:r>
      <w:r w:rsidR="003A3575" w:rsidRPr="0053729E">
        <w:rPr>
          <w:b/>
          <w:sz w:val="20"/>
          <w:szCs w:val="20"/>
        </w:rPr>
        <w:t xml:space="preserve"> 1: </w:t>
      </w:r>
      <w:r w:rsidRPr="0053729E">
        <w:rPr>
          <w:b/>
          <w:sz w:val="20"/>
          <w:szCs w:val="20"/>
        </w:rPr>
        <w:t>Capacity utilization rate and industrial production index</w:t>
      </w:r>
      <w:r w:rsidR="003A3575" w:rsidRPr="0053729E">
        <w:rPr>
          <w:b/>
          <w:sz w:val="20"/>
          <w:szCs w:val="20"/>
        </w:rPr>
        <w:t xml:space="preserve"> (</w:t>
      </w:r>
      <w:proofErr w:type="gramStart"/>
      <w:r w:rsidRPr="0053729E">
        <w:rPr>
          <w:b/>
          <w:sz w:val="20"/>
          <w:szCs w:val="20"/>
        </w:rPr>
        <w:t>s</w:t>
      </w:r>
      <w:r w:rsidR="00F65107" w:rsidRPr="0053729E">
        <w:rPr>
          <w:b/>
          <w:sz w:val="20"/>
          <w:szCs w:val="20"/>
        </w:rPr>
        <w:t>a</w:t>
      </w:r>
      <w:proofErr w:type="gramEnd"/>
      <w:r w:rsidR="00223638">
        <w:rPr>
          <w:b/>
          <w:sz w:val="20"/>
          <w:szCs w:val="20"/>
        </w:rPr>
        <w:t>,</w:t>
      </w:r>
      <w:r w:rsidRPr="0053729E">
        <w:rPr>
          <w:b/>
          <w:sz w:val="20"/>
          <w:szCs w:val="20"/>
        </w:rPr>
        <w:t xml:space="preserve"> left axis for CUR and right axis for IPI</w:t>
      </w:r>
      <w:r w:rsidR="003A3575" w:rsidRPr="0053729E">
        <w:rPr>
          <w:b/>
          <w:sz w:val="20"/>
          <w:szCs w:val="20"/>
        </w:rPr>
        <w:t>)</w:t>
      </w:r>
    </w:p>
    <w:p w:rsidR="003A3575" w:rsidRPr="0053729E" w:rsidRDefault="00566BC8" w:rsidP="008944FC">
      <w:pPr>
        <w:ind w:left="-360" w:right="42"/>
        <w:jc w:val="both"/>
        <w:rPr>
          <w:szCs w:val="20"/>
        </w:rPr>
      </w:pPr>
      <w:r w:rsidRPr="00566BC8">
        <w:rPr>
          <w:noProof/>
          <w:szCs w:val="20"/>
          <w:lang w:val="tr-TR"/>
        </w:rPr>
        <w:drawing>
          <wp:inline distT="0" distB="0" distL="0" distR="0">
            <wp:extent cx="2655570" cy="2226016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2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39" w:rsidRPr="00F7696B" w:rsidRDefault="00AC630B" w:rsidP="008944FC">
      <w:pPr>
        <w:ind w:left="-36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Source</w:t>
      </w:r>
      <w:r w:rsidR="003A3575" w:rsidRPr="0053729E">
        <w:rPr>
          <w:sz w:val="16"/>
          <w:szCs w:val="16"/>
        </w:rPr>
        <w:t>:</w:t>
      </w:r>
      <w:r w:rsidR="00B94CDE"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TurkStat</w:t>
      </w:r>
      <w:r w:rsidR="00AD6CE3">
        <w:rPr>
          <w:sz w:val="16"/>
          <w:szCs w:val="16"/>
        </w:rPr>
        <w:t>,</w:t>
      </w:r>
      <w:r w:rsidR="00B94CDE">
        <w:rPr>
          <w:sz w:val="16"/>
          <w:szCs w:val="16"/>
        </w:rPr>
        <w:t xml:space="preserve"> </w:t>
      </w:r>
      <w:r w:rsidR="003A3575" w:rsidRPr="0053729E">
        <w:rPr>
          <w:sz w:val="16"/>
          <w:szCs w:val="16"/>
        </w:rPr>
        <w:t>Betam</w:t>
      </w:r>
      <w:r w:rsidR="00544439" w:rsidRPr="0053729E">
        <w:rPr>
          <w:sz w:val="16"/>
          <w:szCs w:val="16"/>
        </w:rPr>
        <w:t>.</w:t>
      </w:r>
    </w:p>
    <w:p w:rsidR="00F7696B" w:rsidRDefault="00F7696B" w:rsidP="008944FC">
      <w:pPr>
        <w:ind w:left="-360" w:right="42"/>
        <w:jc w:val="both"/>
        <w:rPr>
          <w:b/>
          <w:sz w:val="20"/>
          <w:szCs w:val="20"/>
        </w:rPr>
      </w:pPr>
    </w:p>
    <w:p w:rsidR="00F7696B" w:rsidRDefault="00F7696B" w:rsidP="008944FC">
      <w:pPr>
        <w:ind w:left="-360" w:right="42"/>
        <w:jc w:val="both"/>
        <w:rPr>
          <w:b/>
          <w:sz w:val="20"/>
          <w:szCs w:val="20"/>
        </w:rPr>
      </w:pPr>
    </w:p>
    <w:p w:rsidR="00F7696B" w:rsidRDefault="00F7696B" w:rsidP="008944FC">
      <w:pPr>
        <w:ind w:left="-360" w:right="42"/>
        <w:jc w:val="both"/>
        <w:rPr>
          <w:b/>
          <w:sz w:val="20"/>
          <w:szCs w:val="20"/>
        </w:rPr>
      </w:pPr>
    </w:p>
    <w:p w:rsidR="00F7696B" w:rsidRDefault="00F7696B" w:rsidP="008944FC">
      <w:pPr>
        <w:ind w:left="-360" w:right="42"/>
        <w:jc w:val="both"/>
        <w:rPr>
          <w:b/>
          <w:sz w:val="20"/>
          <w:szCs w:val="20"/>
        </w:rPr>
      </w:pPr>
    </w:p>
    <w:p w:rsidR="00C3029B" w:rsidRPr="0053729E" w:rsidRDefault="00AC630B" w:rsidP="008944FC">
      <w:pPr>
        <w:ind w:left="-360" w:right="42"/>
        <w:jc w:val="both"/>
        <w:rPr>
          <w:b/>
          <w:sz w:val="20"/>
          <w:szCs w:val="20"/>
        </w:rPr>
      </w:pPr>
      <w:r w:rsidRPr="0053729E">
        <w:rPr>
          <w:b/>
          <w:sz w:val="20"/>
          <w:szCs w:val="20"/>
        </w:rPr>
        <w:lastRenderedPageBreak/>
        <w:t>Figure</w:t>
      </w:r>
      <w:r w:rsidR="007067F4" w:rsidRPr="0053729E">
        <w:rPr>
          <w:b/>
          <w:sz w:val="20"/>
          <w:szCs w:val="20"/>
        </w:rPr>
        <w:t xml:space="preserve"> 2: </w:t>
      </w:r>
      <w:r w:rsidRPr="0053729E">
        <w:rPr>
          <w:b/>
          <w:sz w:val="20"/>
          <w:szCs w:val="20"/>
        </w:rPr>
        <w:t>Volume indices of exports and imports</w:t>
      </w:r>
      <w:r w:rsidR="007067F4" w:rsidRPr="0053729E">
        <w:rPr>
          <w:b/>
          <w:sz w:val="20"/>
          <w:szCs w:val="20"/>
        </w:rPr>
        <w:t xml:space="preserve"> (</w:t>
      </w:r>
      <w:proofErr w:type="gramStart"/>
      <w:r w:rsidRPr="0053729E">
        <w:rPr>
          <w:b/>
          <w:sz w:val="20"/>
          <w:szCs w:val="20"/>
        </w:rPr>
        <w:t>sa</w:t>
      </w:r>
      <w:proofErr w:type="gramEnd"/>
      <w:r w:rsidR="007067F4" w:rsidRPr="0053729E">
        <w:rPr>
          <w:b/>
          <w:sz w:val="20"/>
          <w:szCs w:val="20"/>
        </w:rPr>
        <w:t>)</w:t>
      </w:r>
    </w:p>
    <w:p w:rsidR="007067F4" w:rsidRPr="00311464" w:rsidRDefault="00486239" w:rsidP="00311464">
      <w:pPr>
        <w:ind w:left="-360" w:right="42"/>
        <w:rPr>
          <w:sz w:val="16"/>
          <w:szCs w:val="16"/>
        </w:rPr>
        <w:sectPr w:rsidR="007067F4" w:rsidRPr="00311464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3729E">
        <w:rPr>
          <w:sz w:val="20"/>
          <w:szCs w:val="20"/>
        </w:rPr>
        <w:br/>
      </w:r>
      <w:r w:rsidR="00D4205B" w:rsidRPr="0053729E">
        <w:rPr>
          <w:sz w:val="16"/>
          <w:szCs w:val="16"/>
        </w:rPr>
        <w:br/>
      </w:r>
      <w:r w:rsidR="00566BC8" w:rsidRPr="00566BC8">
        <w:rPr>
          <w:noProof/>
          <w:szCs w:val="16"/>
          <w:lang w:val="tr-TR"/>
        </w:rPr>
        <w:drawing>
          <wp:inline distT="0" distB="0" distL="0" distR="0">
            <wp:extent cx="2655570" cy="2300623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30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05B" w:rsidRPr="0053729E">
        <w:rPr>
          <w:sz w:val="16"/>
          <w:szCs w:val="16"/>
        </w:rPr>
        <w:br/>
        <w:t xml:space="preserve">Source: </w:t>
      </w:r>
      <w:proofErr w:type="spellStart"/>
      <w:r w:rsidR="00D4205B" w:rsidRPr="0053729E">
        <w:rPr>
          <w:sz w:val="16"/>
          <w:szCs w:val="16"/>
        </w:rPr>
        <w:t>Turkstat</w:t>
      </w:r>
      <w:proofErr w:type="spellEnd"/>
      <w:r w:rsidR="00AD6CE3">
        <w:rPr>
          <w:sz w:val="16"/>
          <w:szCs w:val="16"/>
        </w:rPr>
        <w:t>,</w:t>
      </w:r>
      <w:r w:rsidR="00311464">
        <w:rPr>
          <w:sz w:val="16"/>
          <w:szCs w:val="16"/>
        </w:rPr>
        <w:t xml:space="preserve"> Betam.</w:t>
      </w:r>
    </w:p>
    <w:p w:rsidR="006878EA" w:rsidRDefault="006878EA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311464" w:rsidRDefault="00311464" w:rsidP="001E4BF5">
      <w:pPr>
        <w:spacing w:line="360" w:lineRule="auto"/>
        <w:ind w:left="-360" w:right="42"/>
        <w:jc w:val="both"/>
        <w:rPr>
          <w:b/>
          <w:sz w:val="20"/>
          <w:szCs w:val="20"/>
        </w:rPr>
        <w:sectPr w:rsidR="00311464" w:rsidSect="001E77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464" w:rsidRPr="0053729E" w:rsidRDefault="00311464" w:rsidP="00311464">
      <w:pPr>
        <w:ind w:left="-360" w:right="42"/>
        <w:jc w:val="both"/>
        <w:rPr>
          <w:b/>
          <w:sz w:val="20"/>
          <w:szCs w:val="20"/>
        </w:rPr>
      </w:pPr>
      <w:r w:rsidRPr="0053729E">
        <w:rPr>
          <w:b/>
          <w:sz w:val="20"/>
          <w:szCs w:val="20"/>
        </w:rPr>
        <w:lastRenderedPageBreak/>
        <w:t>Figure</w:t>
      </w:r>
      <w:r>
        <w:rPr>
          <w:b/>
          <w:sz w:val="20"/>
          <w:szCs w:val="20"/>
        </w:rPr>
        <w:t xml:space="preserve"> 3</w:t>
      </w:r>
      <w:r w:rsidRPr="0053729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Gold included current account deficit to GDP ratio, 12 months</w:t>
      </w:r>
    </w:p>
    <w:p w:rsidR="00311464" w:rsidRPr="0053729E" w:rsidRDefault="00566BC8" w:rsidP="00311464">
      <w:pPr>
        <w:ind w:left="-360" w:right="42"/>
        <w:jc w:val="both"/>
        <w:rPr>
          <w:szCs w:val="20"/>
        </w:rPr>
      </w:pPr>
      <w:r w:rsidRPr="00566BC8">
        <w:rPr>
          <w:noProof/>
          <w:szCs w:val="20"/>
          <w:lang w:val="tr-TR"/>
        </w:rPr>
        <w:drawing>
          <wp:inline distT="0" distB="0" distL="0" distR="0">
            <wp:extent cx="2655570" cy="2225079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2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64" w:rsidRPr="00F7696B" w:rsidRDefault="00311464" w:rsidP="00311464">
      <w:pPr>
        <w:ind w:left="-36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>Source:</w:t>
      </w:r>
      <w:r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TurkStat</w:t>
      </w:r>
      <w:r w:rsidR="00AD6CE3">
        <w:rPr>
          <w:sz w:val="16"/>
          <w:szCs w:val="16"/>
        </w:rPr>
        <w:t>, TCMB,</w:t>
      </w:r>
      <w:r>
        <w:rPr>
          <w:sz w:val="16"/>
          <w:szCs w:val="16"/>
        </w:rPr>
        <w:t xml:space="preserve"> </w:t>
      </w:r>
      <w:r w:rsidRPr="0053729E">
        <w:rPr>
          <w:sz w:val="16"/>
          <w:szCs w:val="16"/>
        </w:rPr>
        <w:t>Betam.</w:t>
      </w:r>
    </w:p>
    <w:p w:rsidR="00311464" w:rsidRDefault="00311464" w:rsidP="00311464">
      <w:pPr>
        <w:ind w:left="-360" w:right="42"/>
        <w:jc w:val="both"/>
        <w:rPr>
          <w:b/>
          <w:sz w:val="20"/>
          <w:szCs w:val="20"/>
        </w:rPr>
      </w:pPr>
    </w:p>
    <w:p w:rsidR="00311464" w:rsidRDefault="00311464" w:rsidP="00311464">
      <w:pPr>
        <w:ind w:left="-360" w:right="42"/>
        <w:jc w:val="both"/>
        <w:rPr>
          <w:b/>
          <w:sz w:val="20"/>
          <w:szCs w:val="20"/>
        </w:rPr>
      </w:pPr>
    </w:p>
    <w:p w:rsidR="00311464" w:rsidRDefault="00311464" w:rsidP="00311464">
      <w:pPr>
        <w:ind w:left="-360" w:right="42"/>
        <w:jc w:val="both"/>
        <w:rPr>
          <w:b/>
          <w:sz w:val="20"/>
          <w:szCs w:val="20"/>
        </w:rPr>
      </w:pPr>
    </w:p>
    <w:p w:rsidR="00311464" w:rsidRDefault="00311464" w:rsidP="00311464">
      <w:pPr>
        <w:ind w:left="-360" w:right="42"/>
        <w:jc w:val="both"/>
        <w:rPr>
          <w:b/>
          <w:sz w:val="20"/>
          <w:szCs w:val="20"/>
        </w:rPr>
      </w:pPr>
    </w:p>
    <w:p w:rsidR="00311464" w:rsidRPr="00311464" w:rsidRDefault="00311464" w:rsidP="00311464">
      <w:pPr>
        <w:ind w:left="-360" w:right="42"/>
        <w:rPr>
          <w:b/>
          <w:sz w:val="20"/>
          <w:szCs w:val="20"/>
        </w:rPr>
        <w:sectPr w:rsidR="00311464" w:rsidRPr="00311464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3729E">
        <w:rPr>
          <w:b/>
          <w:sz w:val="20"/>
          <w:szCs w:val="20"/>
        </w:rPr>
        <w:lastRenderedPageBreak/>
        <w:t>Figure</w:t>
      </w:r>
      <w:r>
        <w:rPr>
          <w:b/>
          <w:sz w:val="20"/>
          <w:szCs w:val="20"/>
        </w:rPr>
        <w:t xml:space="preserve"> 4</w:t>
      </w:r>
      <w:r w:rsidRPr="0053729E">
        <w:rPr>
          <w:b/>
          <w:sz w:val="20"/>
          <w:szCs w:val="20"/>
        </w:rPr>
        <w:t xml:space="preserve">: </w:t>
      </w:r>
      <w:r w:rsidRPr="00311464">
        <w:rPr>
          <w:b/>
          <w:sz w:val="20"/>
          <w:szCs w:val="20"/>
        </w:rPr>
        <w:t xml:space="preserve">Gold </w:t>
      </w:r>
      <w:r w:rsidR="00AD6CE3">
        <w:rPr>
          <w:b/>
          <w:sz w:val="20"/>
          <w:szCs w:val="20"/>
        </w:rPr>
        <w:t>excluded</w:t>
      </w:r>
      <w:r w:rsidRPr="00311464">
        <w:rPr>
          <w:b/>
          <w:sz w:val="20"/>
          <w:szCs w:val="20"/>
        </w:rPr>
        <w:t xml:space="preserve"> current account deficit to GDP ratio, 12 month</w:t>
      </w:r>
      <w:r>
        <w:rPr>
          <w:b/>
          <w:sz w:val="20"/>
          <w:szCs w:val="20"/>
        </w:rPr>
        <w:t>s</w:t>
      </w:r>
      <w:r w:rsidRPr="0053729E">
        <w:rPr>
          <w:sz w:val="16"/>
          <w:szCs w:val="16"/>
        </w:rPr>
        <w:br/>
      </w:r>
      <w:r w:rsidR="00566BC8" w:rsidRPr="00566BC8">
        <w:rPr>
          <w:noProof/>
          <w:szCs w:val="16"/>
          <w:lang w:val="tr-TR"/>
        </w:rPr>
        <w:drawing>
          <wp:inline distT="0" distB="0" distL="0" distR="0">
            <wp:extent cx="2655570" cy="2246450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29E">
        <w:rPr>
          <w:sz w:val="16"/>
          <w:szCs w:val="16"/>
        </w:rPr>
        <w:br/>
        <w:t xml:space="preserve">Source: </w:t>
      </w:r>
      <w:proofErr w:type="spellStart"/>
      <w:r w:rsidRPr="0053729E">
        <w:rPr>
          <w:sz w:val="16"/>
          <w:szCs w:val="16"/>
        </w:rPr>
        <w:t>Turkstat</w:t>
      </w:r>
      <w:proofErr w:type="spellEnd"/>
      <w:r w:rsidR="00AD6CE3">
        <w:rPr>
          <w:sz w:val="16"/>
          <w:szCs w:val="16"/>
        </w:rPr>
        <w:t>, TCMB,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Betam</w:t>
      </w:r>
      <w:proofErr w:type="gramEnd"/>
      <w:r>
        <w:rPr>
          <w:sz w:val="16"/>
          <w:szCs w:val="16"/>
        </w:rPr>
        <w:t>.</w:t>
      </w:r>
    </w:p>
    <w:p w:rsidR="00311464" w:rsidRDefault="00311464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AD6CE3" w:rsidRDefault="00AD6CE3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AD6CE3" w:rsidRDefault="00AD6CE3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AD6CE3" w:rsidRDefault="00AD6CE3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AD6CE3" w:rsidRDefault="00AD6CE3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AD6CE3" w:rsidRDefault="00AD6CE3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AD6CE3" w:rsidRDefault="00AD6CE3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AD6CE3" w:rsidRDefault="00AD6CE3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AD6CE3" w:rsidRDefault="00AD6CE3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C30DC1" w:rsidRPr="0053729E" w:rsidRDefault="00451918" w:rsidP="001E4BF5">
      <w:pPr>
        <w:spacing w:line="360" w:lineRule="auto"/>
        <w:ind w:left="-360" w:right="42"/>
        <w:jc w:val="both"/>
        <w:rPr>
          <w:b/>
          <w:sz w:val="20"/>
          <w:szCs w:val="20"/>
        </w:rPr>
      </w:pPr>
      <w:r w:rsidRPr="0053729E">
        <w:rPr>
          <w:b/>
          <w:sz w:val="20"/>
          <w:szCs w:val="20"/>
        </w:rPr>
        <w:lastRenderedPageBreak/>
        <w:t xml:space="preserve">Figure </w:t>
      </w:r>
      <w:r w:rsidR="008C491D">
        <w:rPr>
          <w:b/>
          <w:sz w:val="20"/>
          <w:szCs w:val="20"/>
        </w:rPr>
        <w:t>5</w:t>
      </w:r>
      <w:r w:rsidRPr="0053729E">
        <w:rPr>
          <w:b/>
          <w:sz w:val="20"/>
          <w:szCs w:val="20"/>
        </w:rPr>
        <w:t xml:space="preserve">: </w:t>
      </w:r>
      <w:r w:rsidR="00C30DC1" w:rsidRPr="0053729E">
        <w:rPr>
          <w:b/>
          <w:sz w:val="20"/>
          <w:szCs w:val="20"/>
        </w:rPr>
        <w:t>W</w:t>
      </w:r>
      <w:r w:rsidR="00042C84" w:rsidRPr="0053729E">
        <w:rPr>
          <w:b/>
          <w:sz w:val="20"/>
          <w:szCs w:val="20"/>
        </w:rPr>
        <w:t>eighted Average Interest Rates f</w:t>
      </w:r>
      <w:r w:rsidR="00C30DC1" w:rsidRPr="0053729E">
        <w:rPr>
          <w:b/>
          <w:sz w:val="20"/>
          <w:szCs w:val="20"/>
        </w:rPr>
        <w:t>or Turkish Lira Banks' Loans (%)</w:t>
      </w:r>
    </w:p>
    <w:p w:rsidR="00C30DC1" w:rsidRPr="0053729E" w:rsidRDefault="00566BC8" w:rsidP="00D4205B">
      <w:pPr>
        <w:ind w:left="-360" w:right="42"/>
        <w:jc w:val="both"/>
        <w:rPr>
          <w:b/>
          <w:sz w:val="20"/>
          <w:szCs w:val="20"/>
        </w:rPr>
      </w:pPr>
      <w:r w:rsidRPr="00566BC8">
        <w:rPr>
          <w:noProof/>
          <w:szCs w:val="20"/>
          <w:lang w:val="tr-TR"/>
        </w:rPr>
        <w:drawing>
          <wp:inline distT="0" distB="0" distL="0" distR="0">
            <wp:extent cx="5760720" cy="2796718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5B" w:rsidRPr="0053729E" w:rsidRDefault="00C30DC1" w:rsidP="00D4205B">
      <w:pPr>
        <w:ind w:left="-360" w:right="42"/>
        <w:jc w:val="both"/>
        <w:rPr>
          <w:sz w:val="16"/>
          <w:szCs w:val="16"/>
        </w:rPr>
      </w:pPr>
      <w:r w:rsidRPr="0053729E">
        <w:rPr>
          <w:sz w:val="16"/>
          <w:szCs w:val="16"/>
        </w:rPr>
        <w:t xml:space="preserve">Source: </w:t>
      </w:r>
      <w:r w:rsidR="00E03485" w:rsidRPr="0053729E">
        <w:rPr>
          <w:sz w:val="16"/>
          <w:szCs w:val="16"/>
        </w:rPr>
        <w:t>CBRT</w:t>
      </w:r>
      <w:r w:rsidR="00D4205B" w:rsidRPr="0053729E">
        <w:rPr>
          <w:sz w:val="16"/>
          <w:szCs w:val="16"/>
        </w:rPr>
        <w:t>.</w:t>
      </w:r>
    </w:p>
    <w:p w:rsidR="00D4205B" w:rsidRPr="0053729E" w:rsidRDefault="00D4205B" w:rsidP="000B3D82">
      <w:pPr>
        <w:spacing w:line="360" w:lineRule="auto"/>
        <w:ind w:left="-360" w:right="42"/>
        <w:jc w:val="both"/>
        <w:rPr>
          <w:sz w:val="16"/>
          <w:szCs w:val="16"/>
        </w:rPr>
      </w:pPr>
    </w:p>
    <w:p w:rsidR="00BA61D0" w:rsidRDefault="00BA61D0" w:rsidP="000B3D82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050118" w:rsidRDefault="00050118" w:rsidP="00D4205B">
      <w:pPr>
        <w:ind w:left="-360" w:right="42"/>
        <w:jc w:val="both"/>
        <w:rPr>
          <w:sz w:val="16"/>
          <w:szCs w:val="16"/>
        </w:rPr>
      </w:pPr>
    </w:p>
    <w:p w:rsidR="00050118" w:rsidRDefault="00050118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050118" w:rsidRDefault="00050118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050118" w:rsidRDefault="00050118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695E7E" w:rsidRDefault="00695E7E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695E7E" w:rsidRDefault="00695E7E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695E7E" w:rsidRDefault="00695E7E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695E7E" w:rsidRDefault="00695E7E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695E7E" w:rsidRDefault="00695E7E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p w:rsidR="00695E7E" w:rsidRDefault="00695E7E" w:rsidP="00050118">
      <w:pPr>
        <w:spacing w:line="360" w:lineRule="auto"/>
        <w:ind w:left="-360" w:right="42"/>
        <w:jc w:val="both"/>
        <w:rPr>
          <w:b/>
          <w:sz w:val="20"/>
          <w:szCs w:val="20"/>
        </w:rPr>
      </w:pPr>
    </w:p>
    <w:sectPr w:rsidR="00695E7E" w:rsidSect="001E77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31" w:rsidRDefault="00CA4A31">
      <w:r>
        <w:separator/>
      </w:r>
    </w:p>
  </w:endnote>
  <w:endnote w:type="continuationSeparator" w:id="0">
    <w:p w:rsidR="00CA4A31" w:rsidRDefault="00CA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31" w:rsidRDefault="00CA4A31">
      <w:r>
        <w:separator/>
      </w:r>
    </w:p>
  </w:footnote>
  <w:footnote w:type="continuationSeparator" w:id="0">
    <w:p w:rsidR="00CA4A31" w:rsidRDefault="00CA4A31">
      <w:r>
        <w:continuationSeparator/>
      </w:r>
    </w:p>
  </w:footnote>
  <w:footnote w:id="1">
    <w:p w:rsidR="00D25FFB" w:rsidRPr="00D25FFB" w:rsidRDefault="00D25FFB" w:rsidP="00D25FFB">
      <w:pPr>
        <w:pStyle w:val="FootnoteText"/>
        <w:ind w:left="-284"/>
        <w:jc w:val="both"/>
      </w:pPr>
      <w:r w:rsidRPr="00D25FFB">
        <w:rPr>
          <w:rStyle w:val="FootnoteReference"/>
        </w:rPr>
        <w:footnoteRef/>
      </w:r>
      <w:r w:rsidRPr="00D25FFB">
        <w:t xml:space="preserve"> In the same period (March-April) South African Rand and Brazilian Real appreciated 3.5 percent and 6 percent respectively.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C"/>
    <w:rsid w:val="000003F0"/>
    <w:rsid w:val="00001050"/>
    <w:rsid w:val="00003567"/>
    <w:rsid w:val="00003E34"/>
    <w:rsid w:val="0000434B"/>
    <w:rsid w:val="00004745"/>
    <w:rsid w:val="00004C0B"/>
    <w:rsid w:val="00006E97"/>
    <w:rsid w:val="00007B8D"/>
    <w:rsid w:val="00010DD1"/>
    <w:rsid w:val="0001109A"/>
    <w:rsid w:val="00011877"/>
    <w:rsid w:val="00013406"/>
    <w:rsid w:val="00013EE7"/>
    <w:rsid w:val="00017F2E"/>
    <w:rsid w:val="00022538"/>
    <w:rsid w:val="00024559"/>
    <w:rsid w:val="000247C6"/>
    <w:rsid w:val="00024B55"/>
    <w:rsid w:val="00026210"/>
    <w:rsid w:val="0002627E"/>
    <w:rsid w:val="00031B4E"/>
    <w:rsid w:val="0003258C"/>
    <w:rsid w:val="00032789"/>
    <w:rsid w:val="00033490"/>
    <w:rsid w:val="00034421"/>
    <w:rsid w:val="00035AB5"/>
    <w:rsid w:val="00035C6F"/>
    <w:rsid w:val="0003608C"/>
    <w:rsid w:val="00037357"/>
    <w:rsid w:val="000374C0"/>
    <w:rsid w:val="00037CE9"/>
    <w:rsid w:val="00041479"/>
    <w:rsid w:val="00042C84"/>
    <w:rsid w:val="00047B99"/>
    <w:rsid w:val="00050118"/>
    <w:rsid w:val="00050DCF"/>
    <w:rsid w:val="00050EC0"/>
    <w:rsid w:val="00051119"/>
    <w:rsid w:val="00051CD0"/>
    <w:rsid w:val="00055814"/>
    <w:rsid w:val="00055A3E"/>
    <w:rsid w:val="00057E6D"/>
    <w:rsid w:val="00057FC2"/>
    <w:rsid w:val="0006043D"/>
    <w:rsid w:val="000625E8"/>
    <w:rsid w:val="0006304A"/>
    <w:rsid w:val="00063758"/>
    <w:rsid w:val="00065B3C"/>
    <w:rsid w:val="00067DF6"/>
    <w:rsid w:val="000715CA"/>
    <w:rsid w:val="000717B5"/>
    <w:rsid w:val="00073915"/>
    <w:rsid w:val="00074038"/>
    <w:rsid w:val="000743ED"/>
    <w:rsid w:val="00074EEE"/>
    <w:rsid w:val="0007515D"/>
    <w:rsid w:val="000773A1"/>
    <w:rsid w:val="00077492"/>
    <w:rsid w:val="000820D2"/>
    <w:rsid w:val="0008367E"/>
    <w:rsid w:val="0008450A"/>
    <w:rsid w:val="00084ED0"/>
    <w:rsid w:val="000854F8"/>
    <w:rsid w:val="00085572"/>
    <w:rsid w:val="00086F46"/>
    <w:rsid w:val="00091D4B"/>
    <w:rsid w:val="00092F0D"/>
    <w:rsid w:val="00093515"/>
    <w:rsid w:val="00094FAA"/>
    <w:rsid w:val="000966DF"/>
    <w:rsid w:val="00097481"/>
    <w:rsid w:val="000A1E16"/>
    <w:rsid w:val="000A383B"/>
    <w:rsid w:val="000A3D92"/>
    <w:rsid w:val="000A45BE"/>
    <w:rsid w:val="000A6429"/>
    <w:rsid w:val="000A6472"/>
    <w:rsid w:val="000A6E24"/>
    <w:rsid w:val="000A701D"/>
    <w:rsid w:val="000B0553"/>
    <w:rsid w:val="000B09E4"/>
    <w:rsid w:val="000B0D88"/>
    <w:rsid w:val="000B3D82"/>
    <w:rsid w:val="000B4CC5"/>
    <w:rsid w:val="000B5E0B"/>
    <w:rsid w:val="000B669B"/>
    <w:rsid w:val="000C3022"/>
    <w:rsid w:val="000C5B7E"/>
    <w:rsid w:val="000D029B"/>
    <w:rsid w:val="000D0DA7"/>
    <w:rsid w:val="000D0ECE"/>
    <w:rsid w:val="000D50D1"/>
    <w:rsid w:val="000D546F"/>
    <w:rsid w:val="000D5E8A"/>
    <w:rsid w:val="000D6420"/>
    <w:rsid w:val="000D6CCA"/>
    <w:rsid w:val="000D7F65"/>
    <w:rsid w:val="000E0388"/>
    <w:rsid w:val="000E0BD1"/>
    <w:rsid w:val="000E10A3"/>
    <w:rsid w:val="000E4231"/>
    <w:rsid w:val="000E4C57"/>
    <w:rsid w:val="000E5826"/>
    <w:rsid w:val="000E5D7B"/>
    <w:rsid w:val="000E6B5D"/>
    <w:rsid w:val="000E7CC8"/>
    <w:rsid w:val="000F0BB8"/>
    <w:rsid w:val="000F219F"/>
    <w:rsid w:val="000F3017"/>
    <w:rsid w:val="000F396D"/>
    <w:rsid w:val="000F4941"/>
    <w:rsid w:val="000F68F9"/>
    <w:rsid w:val="000F6D02"/>
    <w:rsid w:val="00100665"/>
    <w:rsid w:val="00100750"/>
    <w:rsid w:val="0010086D"/>
    <w:rsid w:val="00101EB7"/>
    <w:rsid w:val="00102C87"/>
    <w:rsid w:val="00102FC6"/>
    <w:rsid w:val="00104ACC"/>
    <w:rsid w:val="00105095"/>
    <w:rsid w:val="00106127"/>
    <w:rsid w:val="00106639"/>
    <w:rsid w:val="001105B2"/>
    <w:rsid w:val="001116C3"/>
    <w:rsid w:val="00111825"/>
    <w:rsid w:val="00114BC7"/>
    <w:rsid w:val="001201BF"/>
    <w:rsid w:val="0012219C"/>
    <w:rsid w:val="0012238B"/>
    <w:rsid w:val="00124929"/>
    <w:rsid w:val="00127B4E"/>
    <w:rsid w:val="00127BA7"/>
    <w:rsid w:val="0013046D"/>
    <w:rsid w:val="00131702"/>
    <w:rsid w:val="00133054"/>
    <w:rsid w:val="00133571"/>
    <w:rsid w:val="001357C1"/>
    <w:rsid w:val="00135FEE"/>
    <w:rsid w:val="00137054"/>
    <w:rsid w:val="001379C6"/>
    <w:rsid w:val="00137F02"/>
    <w:rsid w:val="00137F90"/>
    <w:rsid w:val="00141719"/>
    <w:rsid w:val="00141B93"/>
    <w:rsid w:val="0014254A"/>
    <w:rsid w:val="00142837"/>
    <w:rsid w:val="00143828"/>
    <w:rsid w:val="00147192"/>
    <w:rsid w:val="0015045A"/>
    <w:rsid w:val="00150B84"/>
    <w:rsid w:val="00150C37"/>
    <w:rsid w:val="0015141F"/>
    <w:rsid w:val="00154DC3"/>
    <w:rsid w:val="00157DC2"/>
    <w:rsid w:val="00161297"/>
    <w:rsid w:val="00163520"/>
    <w:rsid w:val="00163E33"/>
    <w:rsid w:val="001648A8"/>
    <w:rsid w:val="00164EDE"/>
    <w:rsid w:val="00165B20"/>
    <w:rsid w:val="001661B0"/>
    <w:rsid w:val="00166FE5"/>
    <w:rsid w:val="00167408"/>
    <w:rsid w:val="00167CA4"/>
    <w:rsid w:val="00167D69"/>
    <w:rsid w:val="00170085"/>
    <w:rsid w:val="001705B2"/>
    <w:rsid w:val="00170DE7"/>
    <w:rsid w:val="00171355"/>
    <w:rsid w:val="00171EEC"/>
    <w:rsid w:val="00174745"/>
    <w:rsid w:val="00177F4E"/>
    <w:rsid w:val="00177FE3"/>
    <w:rsid w:val="00184678"/>
    <w:rsid w:val="00184BBA"/>
    <w:rsid w:val="001871A1"/>
    <w:rsid w:val="001916DD"/>
    <w:rsid w:val="0019538C"/>
    <w:rsid w:val="00195EC6"/>
    <w:rsid w:val="0019618E"/>
    <w:rsid w:val="0019733C"/>
    <w:rsid w:val="00197ACB"/>
    <w:rsid w:val="001A0237"/>
    <w:rsid w:val="001A189F"/>
    <w:rsid w:val="001A2051"/>
    <w:rsid w:val="001A3CDC"/>
    <w:rsid w:val="001A4F45"/>
    <w:rsid w:val="001A62FE"/>
    <w:rsid w:val="001A6CE1"/>
    <w:rsid w:val="001A7136"/>
    <w:rsid w:val="001A787F"/>
    <w:rsid w:val="001A7C0B"/>
    <w:rsid w:val="001B0683"/>
    <w:rsid w:val="001B0861"/>
    <w:rsid w:val="001B1CFE"/>
    <w:rsid w:val="001B34B5"/>
    <w:rsid w:val="001B4FC6"/>
    <w:rsid w:val="001B6256"/>
    <w:rsid w:val="001B6836"/>
    <w:rsid w:val="001B6AFA"/>
    <w:rsid w:val="001C295F"/>
    <w:rsid w:val="001C4576"/>
    <w:rsid w:val="001C457D"/>
    <w:rsid w:val="001C667E"/>
    <w:rsid w:val="001C6AAB"/>
    <w:rsid w:val="001C750C"/>
    <w:rsid w:val="001D0853"/>
    <w:rsid w:val="001D09B1"/>
    <w:rsid w:val="001D11F7"/>
    <w:rsid w:val="001D1F1B"/>
    <w:rsid w:val="001D3C27"/>
    <w:rsid w:val="001D478F"/>
    <w:rsid w:val="001D4B8B"/>
    <w:rsid w:val="001E0274"/>
    <w:rsid w:val="001E192B"/>
    <w:rsid w:val="001E4122"/>
    <w:rsid w:val="001E4BF5"/>
    <w:rsid w:val="001E56F5"/>
    <w:rsid w:val="001E7720"/>
    <w:rsid w:val="001E7DE1"/>
    <w:rsid w:val="001F1052"/>
    <w:rsid w:val="001F1361"/>
    <w:rsid w:val="001F275D"/>
    <w:rsid w:val="001F4CFB"/>
    <w:rsid w:val="001F5435"/>
    <w:rsid w:val="001F6E7D"/>
    <w:rsid w:val="001F707E"/>
    <w:rsid w:val="001F7216"/>
    <w:rsid w:val="0020115E"/>
    <w:rsid w:val="0020184F"/>
    <w:rsid w:val="00203CD9"/>
    <w:rsid w:val="00204364"/>
    <w:rsid w:val="002058EC"/>
    <w:rsid w:val="00207185"/>
    <w:rsid w:val="00207E31"/>
    <w:rsid w:val="00214A6C"/>
    <w:rsid w:val="002151FC"/>
    <w:rsid w:val="002158BC"/>
    <w:rsid w:val="002166A1"/>
    <w:rsid w:val="002176C5"/>
    <w:rsid w:val="00217C73"/>
    <w:rsid w:val="0022179E"/>
    <w:rsid w:val="002220B5"/>
    <w:rsid w:val="002231B5"/>
    <w:rsid w:val="00223638"/>
    <w:rsid w:val="00225215"/>
    <w:rsid w:val="00226140"/>
    <w:rsid w:val="00227263"/>
    <w:rsid w:val="002303D1"/>
    <w:rsid w:val="00230A81"/>
    <w:rsid w:val="00235E37"/>
    <w:rsid w:val="00236A19"/>
    <w:rsid w:val="00236F07"/>
    <w:rsid w:val="002451C2"/>
    <w:rsid w:val="00245E19"/>
    <w:rsid w:val="0025445E"/>
    <w:rsid w:val="002577DA"/>
    <w:rsid w:val="002604B6"/>
    <w:rsid w:val="00260693"/>
    <w:rsid w:val="002639C0"/>
    <w:rsid w:val="00264000"/>
    <w:rsid w:val="00264FCA"/>
    <w:rsid w:val="002663F7"/>
    <w:rsid w:val="00271168"/>
    <w:rsid w:val="00272C27"/>
    <w:rsid w:val="002751F5"/>
    <w:rsid w:val="00275C4E"/>
    <w:rsid w:val="0027608D"/>
    <w:rsid w:val="002773DA"/>
    <w:rsid w:val="00277459"/>
    <w:rsid w:val="00280897"/>
    <w:rsid w:val="00280B55"/>
    <w:rsid w:val="00281BCA"/>
    <w:rsid w:val="00281FFC"/>
    <w:rsid w:val="00283EE6"/>
    <w:rsid w:val="00284896"/>
    <w:rsid w:val="00287ACE"/>
    <w:rsid w:val="002902DE"/>
    <w:rsid w:val="00293BAB"/>
    <w:rsid w:val="00294CF8"/>
    <w:rsid w:val="00294E8C"/>
    <w:rsid w:val="00297733"/>
    <w:rsid w:val="002A0155"/>
    <w:rsid w:val="002A27C0"/>
    <w:rsid w:val="002A3272"/>
    <w:rsid w:val="002A4F26"/>
    <w:rsid w:val="002A5E74"/>
    <w:rsid w:val="002A66ED"/>
    <w:rsid w:val="002A7800"/>
    <w:rsid w:val="002B015D"/>
    <w:rsid w:val="002B1FC3"/>
    <w:rsid w:val="002B294F"/>
    <w:rsid w:val="002B3644"/>
    <w:rsid w:val="002B38F0"/>
    <w:rsid w:val="002B460F"/>
    <w:rsid w:val="002B4D99"/>
    <w:rsid w:val="002B6036"/>
    <w:rsid w:val="002B748C"/>
    <w:rsid w:val="002C0475"/>
    <w:rsid w:val="002C0954"/>
    <w:rsid w:val="002C0C55"/>
    <w:rsid w:val="002C17BC"/>
    <w:rsid w:val="002C1DEF"/>
    <w:rsid w:val="002C1FFF"/>
    <w:rsid w:val="002C28A4"/>
    <w:rsid w:val="002C2FAB"/>
    <w:rsid w:val="002C3757"/>
    <w:rsid w:val="002C391B"/>
    <w:rsid w:val="002C3E54"/>
    <w:rsid w:val="002C6F7E"/>
    <w:rsid w:val="002D101A"/>
    <w:rsid w:val="002D6AC3"/>
    <w:rsid w:val="002D71C0"/>
    <w:rsid w:val="002D7743"/>
    <w:rsid w:val="002E1EA4"/>
    <w:rsid w:val="002E5892"/>
    <w:rsid w:val="002E58C9"/>
    <w:rsid w:val="002E5D1D"/>
    <w:rsid w:val="002E5F98"/>
    <w:rsid w:val="002E6BB4"/>
    <w:rsid w:val="002E6BD6"/>
    <w:rsid w:val="002F0BDE"/>
    <w:rsid w:val="002F1C42"/>
    <w:rsid w:val="002F2CD1"/>
    <w:rsid w:val="002F30D3"/>
    <w:rsid w:val="002F30F9"/>
    <w:rsid w:val="002F5134"/>
    <w:rsid w:val="002F56EC"/>
    <w:rsid w:val="002F79C0"/>
    <w:rsid w:val="00301758"/>
    <w:rsid w:val="00303166"/>
    <w:rsid w:val="0030414A"/>
    <w:rsid w:val="00304BD3"/>
    <w:rsid w:val="00306FA7"/>
    <w:rsid w:val="00307D51"/>
    <w:rsid w:val="0031043B"/>
    <w:rsid w:val="00311195"/>
    <w:rsid w:val="00311464"/>
    <w:rsid w:val="0031201B"/>
    <w:rsid w:val="003124B6"/>
    <w:rsid w:val="003134B5"/>
    <w:rsid w:val="0031360B"/>
    <w:rsid w:val="003142BA"/>
    <w:rsid w:val="0031587F"/>
    <w:rsid w:val="00316CE9"/>
    <w:rsid w:val="00316DB4"/>
    <w:rsid w:val="00317125"/>
    <w:rsid w:val="00321318"/>
    <w:rsid w:val="00322134"/>
    <w:rsid w:val="003223B0"/>
    <w:rsid w:val="00322EBE"/>
    <w:rsid w:val="003239F8"/>
    <w:rsid w:val="0032553E"/>
    <w:rsid w:val="003269F7"/>
    <w:rsid w:val="0033349F"/>
    <w:rsid w:val="00333B98"/>
    <w:rsid w:val="003345C8"/>
    <w:rsid w:val="00336381"/>
    <w:rsid w:val="003375A1"/>
    <w:rsid w:val="00337824"/>
    <w:rsid w:val="00337AE5"/>
    <w:rsid w:val="003410B9"/>
    <w:rsid w:val="00341195"/>
    <w:rsid w:val="00341E70"/>
    <w:rsid w:val="0034232E"/>
    <w:rsid w:val="00343D3C"/>
    <w:rsid w:val="00344070"/>
    <w:rsid w:val="003443FB"/>
    <w:rsid w:val="00345308"/>
    <w:rsid w:val="003453E9"/>
    <w:rsid w:val="0034543C"/>
    <w:rsid w:val="00345CDD"/>
    <w:rsid w:val="0034600A"/>
    <w:rsid w:val="00346332"/>
    <w:rsid w:val="00347145"/>
    <w:rsid w:val="003474D9"/>
    <w:rsid w:val="00353B31"/>
    <w:rsid w:val="003552A4"/>
    <w:rsid w:val="00356765"/>
    <w:rsid w:val="00357ECC"/>
    <w:rsid w:val="00360133"/>
    <w:rsid w:val="00360F5D"/>
    <w:rsid w:val="00361D56"/>
    <w:rsid w:val="00362436"/>
    <w:rsid w:val="00363520"/>
    <w:rsid w:val="00364686"/>
    <w:rsid w:val="00366F2D"/>
    <w:rsid w:val="00367DBD"/>
    <w:rsid w:val="003729BF"/>
    <w:rsid w:val="00372C3E"/>
    <w:rsid w:val="003731F3"/>
    <w:rsid w:val="00374618"/>
    <w:rsid w:val="00375FA4"/>
    <w:rsid w:val="00375FD1"/>
    <w:rsid w:val="00376AC1"/>
    <w:rsid w:val="003813FF"/>
    <w:rsid w:val="00381853"/>
    <w:rsid w:val="0038308B"/>
    <w:rsid w:val="00383A6E"/>
    <w:rsid w:val="00384212"/>
    <w:rsid w:val="00384290"/>
    <w:rsid w:val="0038488E"/>
    <w:rsid w:val="00386146"/>
    <w:rsid w:val="003866F7"/>
    <w:rsid w:val="00386866"/>
    <w:rsid w:val="003872AE"/>
    <w:rsid w:val="003919FD"/>
    <w:rsid w:val="00393FFA"/>
    <w:rsid w:val="00394358"/>
    <w:rsid w:val="00395C47"/>
    <w:rsid w:val="00396E44"/>
    <w:rsid w:val="00397518"/>
    <w:rsid w:val="00397C86"/>
    <w:rsid w:val="003A048F"/>
    <w:rsid w:val="003A219A"/>
    <w:rsid w:val="003A2B60"/>
    <w:rsid w:val="003A31B2"/>
    <w:rsid w:val="003A3575"/>
    <w:rsid w:val="003A430F"/>
    <w:rsid w:val="003A5AD9"/>
    <w:rsid w:val="003B0F7E"/>
    <w:rsid w:val="003B109E"/>
    <w:rsid w:val="003B143C"/>
    <w:rsid w:val="003B199A"/>
    <w:rsid w:val="003B1C3A"/>
    <w:rsid w:val="003B237B"/>
    <w:rsid w:val="003B2454"/>
    <w:rsid w:val="003B2720"/>
    <w:rsid w:val="003B472B"/>
    <w:rsid w:val="003B5209"/>
    <w:rsid w:val="003B76F5"/>
    <w:rsid w:val="003B797F"/>
    <w:rsid w:val="003C2205"/>
    <w:rsid w:val="003C38F5"/>
    <w:rsid w:val="003C3D0A"/>
    <w:rsid w:val="003C5112"/>
    <w:rsid w:val="003C640D"/>
    <w:rsid w:val="003D0BE4"/>
    <w:rsid w:val="003D142F"/>
    <w:rsid w:val="003D31C5"/>
    <w:rsid w:val="003D7E7F"/>
    <w:rsid w:val="003E14C7"/>
    <w:rsid w:val="003E15C4"/>
    <w:rsid w:val="003E488A"/>
    <w:rsid w:val="003E4FBD"/>
    <w:rsid w:val="003E5C49"/>
    <w:rsid w:val="003E6795"/>
    <w:rsid w:val="003F347E"/>
    <w:rsid w:val="003F63B4"/>
    <w:rsid w:val="003F7D4C"/>
    <w:rsid w:val="00401183"/>
    <w:rsid w:val="00402158"/>
    <w:rsid w:val="00403B8D"/>
    <w:rsid w:val="0040449F"/>
    <w:rsid w:val="00405F8D"/>
    <w:rsid w:val="00406615"/>
    <w:rsid w:val="0041351B"/>
    <w:rsid w:val="00413700"/>
    <w:rsid w:val="004137E6"/>
    <w:rsid w:val="004149F4"/>
    <w:rsid w:val="004155A8"/>
    <w:rsid w:val="004164BB"/>
    <w:rsid w:val="004178EE"/>
    <w:rsid w:val="0042063E"/>
    <w:rsid w:val="00422832"/>
    <w:rsid w:val="00422E05"/>
    <w:rsid w:val="00422F8A"/>
    <w:rsid w:val="0043455F"/>
    <w:rsid w:val="00434587"/>
    <w:rsid w:val="00437C99"/>
    <w:rsid w:val="0044201D"/>
    <w:rsid w:val="004475F5"/>
    <w:rsid w:val="00447740"/>
    <w:rsid w:val="004514A8"/>
    <w:rsid w:val="00451918"/>
    <w:rsid w:val="00451FEA"/>
    <w:rsid w:val="00452B69"/>
    <w:rsid w:val="00455777"/>
    <w:rsid w:val="0045793D"/>
    <w:rsid w:val="00460BEC"/>
    <w:rsid w:val="0046347B"/>
    <w:rsid w:val="00463BBF"/>
    <w:rsid w:val="0046518E"/>
    <w:rsid w:val="00467ACF"/>
    <w:rsid w:val="004716A6"/>
    <w:rsid w:val="00472275"/>
    <w:rsid w:val="00472FEC"/>
    <w:rsid w:val="0047385A"/>
    <w:rsid w:val="0047433A"/>
    <w:rsid w:val="0047789D"/>
    <w:rsid w:val="004814F0"/>
    <w:rsid w:val="0048329E"/>
    <w:rsid w:val="00485884"/>
    <w:rsid w:val="00486239"/>
    <w:rsid w:val="00486DB9"/>
    <w:rsid w:val="00487146"/>
    <w:rsid w:val="00487A9A"/>
    <w:rsid w:val="00490FC2"/>
    <w:rsid w:val="00491BE6"/>
    <w:rsid w:val="00493AC5"/>
    <w:rsid w:val="004954CD"/>
    <w:rsid w:val="0049613B"/>
    <w:rsid w:val="00496378"/>
    <w:rsid w:val="004969FB"/>
    <w:rsid w:val="004A2E8D"/>
    <w:rsid w:val="004A3CB8"/>
    <w:rsid w:val="004A48EF"/>
    <w:rsid w:val="004A4DD6"/>
    <w:rsid w:val="004A5CA2"/>
    <w:rsid w:val="004A6333"/>
    <w:rsid w:val="004A6537"/>
    <w:rsid w:val="004A6AEC"/>
    <w:rsid w:val="004A70D1"/>
    <w:rsid w:val="004A724E"/>
    <w:rsid w:val="004A7343"/>
    <w:rsid w:val="004A7FE6"/>
    <w:rsid w:val="004B358D"/>
    <w:rsid w:val="004B7C7A"/>
    <w:rsid w:val="004C478B"/>
    <w:rsid w:val="004C56D6"/>
    <w:rsid w:val="004C6A82"/>
    <w:rsid w:val="004C7FD0"/>
    <w:rsid w:val="004D0590"/>
    <w:rsid w:val="004D23D3"/>
    <w:rsid w:val="004D4B99"/>
    <w:rsid w:val="004D5CF2"/>
    <w:rsid w:val="004D60DE"/>
    <w:rsid w:val="004D67C5"/>
    <w:rsid w:val="004D7A57"/>
    <w:rsid w:val="004E07D3"/>
    <w:rsid w:val="004E2D21"/>
    <w:rsid w:val="004E341E"/>
    <w:rsid w:val="004E40D1"/>
    <w:rsid w:val="004E4109"/>
    <w:rsid w:val="004E4961"/>
    <w:rsid w:val="004E4C5E"/>
    <w:rsid w:val="004E5779"/>
    <w:rsid w:val="004E6DFD"/>
    <w:rsid w:val="004E7CBD"/>
    <w:rsid w:val="004E7DBE"/>
    <w:rsid w:val="004F08D3"/>
    <w:rsid w:val="004F1286"/>
    <w:rsid w:val="004F1E07"/>
    <w:rsid w:val="004F4717"/>
    <w:rsid w:val="004F6C62"/>
    <w:rsid w:val="0050049B"/>
    <w:rsid w:val="00500C2E"/>
    <w:rsid w:val="005024EF"/>
    <w:rsid w:val="00502586"/>
    <w:rsid w:val="00502793"/>
    <w:rsid w:val="005030BD"/>
    <w:rsid w:val="0050414E"/>
    <w:rsid w:val="0050568A"/>
    <w:rsid w:val="00506264"/>
    <w:rsid w:val="00515398"/>
    <w:rsid w:val="005155AC"/>
    <w:rsid w:val="0051750C"/>
    <w:rsid w:val="00520FA0"/>
    <w:rsid w:val="00522ED0"/>
    <w:rsid w:val="00523C58"/>
    <w:rsid w:val="00526541"/>
    <w:rsid w:val="00536648"/>
    <w:rsid w:val="00536C48"/>
    <w:rsid w:val="0053729E"/>
    <w:rsid w:val="00537DAA"/>
    <w:rsid w:val="005425FA"/>
    <w:rsid w:val="00542728"/>
    <w:rsid w:val="00542834"/>
    <w:rsid w:val="00543E56"/>
    <w:rsid w:val="00544439"/>
    <w:rsid w:val="00546373"/>
    <w:rsid w:val="0055050D"/>
    <w:rsid w:val="00551E19"/>
    <w:rsid w:val="00552C4F"/>
    <w:rsid w:val="00552D5D"/>
    <w:rsid w:val="00552E21"/>
    <w:rsid w:val="00555A4D"/>
    <w:rsid w:val="00556328"/>
    <w:rsid w:val="00556F7E"/>
    <w:rsid w:val="0056278D"/>
    <w:rsid w:val="005631CE"/>
    <w:rsid w:val="00563B28"/>
    <w:rsid w:val="005655A1"/>
    <w:rsid w:val="00566BC8"/>
    <w:rsid w:val="00567E14"/>
    <w:rsid w:val="00571B47"/>
    <w:rsid w:val="00572778"/>
    <w:rsid w:val="00573338"/>
    <w:rsid w:val="00574203"/>
    <w:rsid w:val="00574E21"/>
    <w:rsid w:val="005757E1"/>
    <w:rsid w:val="005758D1"/>
    <w:rsid w:val="00581A89"/>
    <w:rsid w:val="00584D1C"/>
    <w:rsid w:val="00585800"/>
    <w:rsid w:val="00586493"/>
    <w:rsid w:val="0058662D"/>
    <w:rsid w:val="005871D8"/>
    <w:rsid w:val="0058799A"/>
    <w:rsid w:val="00592676"/>
    <w:rsid w:val="00593B80"/>
    <w:rsid w:val="005951DA"/>
    <w:rsid w:val="005A03EE"/>
    <w:rsid w:val="005A06D3"/>
    <w:rsid w:val="005A0AF8"/>
    <w:rsid w:val="005A0EF4"/>
    <w:rsid w:val="005A2B2E"/>
    <w:rsid w:val="005A3159"/>
    <w:rsid w:val="005A5144"/>
    <w:rsid w:val="005B19CA"/>
    <w:rsid w:val="005B2CF3"/>
    <w:rsid w:val="005B5D93"/>
    <w:rsid w:val="005B63A2"/>
    <w:rsid w:val="005C42DE"/>
    <w:rsid w:val="005C4CC3"/>
    <w:rsid w:val="005C571D"/>
    <w:rsid w:val="005C59F0"/>
    <w:rsid w:val="005C7783"/>
    <w:rsid w:val="005D0EEE"/>
    <w:rsid w:val="005D451C"/>
    <w:rsid w:val="005D5D43"/>
    <w:rsid w:val="005D7C6B"/>
    <w:rsid w:val="005D7E62"/>
    <w:rsid w:val="005E0781"/>
    <w:rsid w:val="005E0E66"/>
    <w:rsid w:val="005E2461"/>
    <w:rsid w:val="005E2983"/>
    <w:rsid w:val="005E4164"/>
    <w:rsid w:val="005E45BB"/>
    <w:rsid w:val="005E67AF"/>
    <w:rsid w:val="005E680D"/>
    <w:rsid w:val="005E6ECC"/>
    <w:rsid w:val="005F1C44"/>
    <w:rsid w:val="005F2A5B"/>
    <w:rsid w:val="005F2ECA"/>
    <w:rsid w:val="005F31BE"/>
    <w:rsid w:val="005F5800"/>
    <w:rsid w:val="005F62CB"/>
    <w:rsid w:val="005F79D9"/>
    <w:rsid w:val="00600A02"/>
    <w:rsid w:val="00602EB0"/>
    <w:rsid w:val="00606989"/>
    <w:rsid w:val="00610482"/>
    <w:rsid w:val="00611049"/>
    <w:rsid w:val="00613B72"/>
    <w:rsid w:val="00620E28"/>
    <w:rsid w:val="00621E46"/>
    <w:rsid w:val="006221AA"/>
    <w:rsid w:val="00623B31"/>
    <w:rsid w:val="00624D79"/>
    <w:rsid w:val="006274E1"/>
    <w:rsid w:val="0062776E"/>
    <w:rsid w:val="006305E4"/>
    <w:rsid w:val="00631163"/>
    <w:rsid w:val="00631270"/>
    <w:rsid w:val="00632044"/>
    <w:rsid w:val="006360F2"/>
    <w:rsid w:val="00636B7A"/>
    <w:rsid w:val="00640DF7"/>
    <w:rsid w:val="0064166B"/>
    <w:rsid w:val="006419AA"/>
    <w:rsid w:val="00644C74"/>
    <w:rsid w:val="006454DC"/>
    <w:rsid w:val="006461CC"/>
    <w:rsid w:val="0064691A"/>
    <w:rsid w:val="00646E08"/>
    <w:rsid w:val="0065024D"/>
    <w:rsid w:val="00655C49"/>
    <w:rsid w:val="00656560"/>
    <w:rsid w:val="006567F3"/>
    <w:rsid w:val="00656983"/>
    <w:rsid w:val="00657119"/>
    <w:rsid w:val="006601EB"/>
    <w:rsid w:val="00662C10"/>
    <w:rsid w:val="00663B47"/>
    <w:rsid w:val="00664C1C"/>
    <w:rsid w:val="0066576D"/>
    <w:rsid w:val="00666E22"/>
    <w:rsid w:val="00667305"/>
    <w:rsid w:val="006713C0"/>
    <w:rsid w:val="00671CB6"/>
    <w:rsid w:val="0067212C"/>
    <w:rsid w:val="00672830"/>
    <w:rsid w:val="00672CA0"/>
    <w:rsid w:val="00674758"/>
    <w:rsid w:val="006810C3"/>
    <w:rsid w:val="00682DF3"/>
    <w:rsid w:val="006836A7"/>
    <w:rsid w:val="006837F6"/>
    <w:rsid w:val="00683A24"/>
    <w:rsid w:val="00683B0E"/>
    <w:rsid w:val="00684541"/>
    <w:rsid w:val="006878EA"/>
    <w:rsid w:val="00691365"/>
    <w:rsid w:val="00691D96"/>
    <w:rsid w:val="00695727"/>
    <w:rsid w:val="00695E7E"/>
    <w:rsid w:val="0069686F"/>
    <w:rsid w:val="006A06A9"/>
    <w:rsid w:val="006A292F"/>
    <w:rsid w:val="006A3F76"/>
    <w:rsid w:val="006A507F"/>
    <w:rsid w:val="006A7446"/>
    <w:rsid w:val="006B08B4"/>
    <w:rsid w:val="006B1779"/>
    <w:rsid w:val="006B22D6"/>
    <w:rsid w:val="006B2BB5"/>
    <w:rsid w:val="006B3B9F"/>
    <w:rsid w:val="006B4BD8"/>
    <w:rsid w:val="006B54D7"/>
    <w:rsid w:val="006B560C"/>
    <w:rsid w:val="006B60DC"/>
    <w:rsid w:val="006B618E"/>
    <w:rsid w:val="006B69D2"/>
    <w:rsid w:val="006B6F5B"/>
    <w:rsid w:val="006B7B76"/>
    <w:rsid w:val="006C0D52"/>
    <w:rsid w:val="006C162B"/>
    <w:rsid w:val="006C231A"/>
    <w:rsid w:val="006C2BFE"/>
    <w:rsid w:val="006C4642"/>
    <w:rsid w:val="006C67D9"/>
    <w:rsid w:val="006C6C6F"/>
    <w:rsid w:val="006D00CF"/>
    <w:rsid w:val="006D13C9"/>
    <w:rsid w:val="006E2D48"/>
    <w:rsid w:val="006E3FCF"/>
    <w:rsid w:val="006F0116"/>
    <w:rsid w:val="006F1A82"/>
    <w:rsid w:val="006F2049"/>
    <w:rsid w:val="006F309B"/>
    <w:rsid w:val="006F3C21"/>
    <w:rsid w:val="006F3F45"/>
    <w:rsid w:val="006F6A80"/>
    <w:rsid w:val="006F730B"/>
    <w:rsid w:val="006F7C8D"/>
    <w:rsid w:val="0070004A"/>
    <w:rsid w:val="007008D1"/>
    <w:rsid w:val="00704765"/>
    <w:rsid w:val="007067F4"/>
    <w:rsid w:val="00706AE1"/>
    <w:rsid w:val="0071290B"/>
    <w:rsid w:val="0071337D"/>
    <w:rsid w:val="00714FBF"/>
    <w:rsid w:val="00715729"/>
    <w:rsid w:val="0071687F"/>
    <w:rsid w:val="00717236"/>
    <w:rsid w:val="00720289"/>
    <w:rsid w:val="00720303"/>
    <w:rsid w:val="0072169E"/>
    <w:rsid w:val="0072379E"/>
    <w:rsid w:val="0072465E"/>
    <w:rsid w:val="00724CF0"/>
    <w:rsid w:val="007267C7"/>
    <w:rsid w:val="00726C38"/>
    <w:rsid w:val="007320A1"/>
    <w:rsid w:val="0073396C"/>
    <w:rsid w:val="00733AE3"/>
    <w:rsid w:val="00735922"/>
    <w:rsid w:val="007361F6"/>
    <w:rsid w:val="00736C84"/>
    <w:rsid w:val="007415EE"/>
    <w:rsid w:val="0074302F"/>
    <w:rsid w:val="007456DA"/>
    <w:rsid w:val="0075074A"/>
    <w:rsid w:val="007533D7"/>
    <w:rsid w:val="00755B7B"/>
    <w:rsid w:val="007567DC"/>
    <w:rsid w:val="0075696F"/>
    <w:rsid w:val="00761F9C"/>
    <w:rsid w:val="0076324E"/>
    <w:rsid w:val="007633AD"/>
    <w:rsid w:val="007637C2"/>
    <w:rsid w:val="00764404"/>
    <w:rsid w:val="00765414"/>
    <w:rsid w:val="007670E1"/>
    <w:rsid w:val="00770832"/>
    <w:rsid w:val="00770B57"/>
    <w:rsid w:val="00770BBA"/>
    <w:rsid w:val="00770E2D"/>
    <w:rsid w:val="00771203"/>
    <w:rsid w:val="0077295E"/>
    <w:rsid w:val="00774EA6"/>
    <w:rsid w:val="00774F2C"/>
    <w:rsid w:val="007754EC"/>
    <w:rsid w:val="0078192F"/>
    <w:rsid w:val="00782D82"/>
    <w:rsid w:val="007834AF"/>
    <w:rsid w:val="00787031"/>
    <w:rsid w:val="007900FC"/>
    <w:rsid w:val="00790380"/>
    <w:rsid w:val="007924A5"/>
    <w:rsid w:val="00794F2B"/>
    <w:rsid w:val="00797035"/>
    <w:rsid w:val="0079752F"/>
    <w:rsid w:val="007975F4"/>
    <w:rsid w:val="007A0897"/>
    <w:rsid w:val="007A35F3"/>
    <w:rsid w:val="007A64EE"/>
    <w:rsid w:val="007A6702"/>
    <w:rsid w:val="007A7008"/>
    <w:rsid w:val="007B208E"/>
    <w:rsid w:val="007B2CF6"/>
    <w:rsid w:val="007B6D46"/>
    <w:rsid w:val="007B724A"/>
    <w:rsid w:val="007C21C4"/>
    <w:rsid w:val="007C28AB"/>
    <w:rsid w:val="007C4EAE"/>
    <w:rsid w:val="007C543A"/>
    <w:rsid w:val="007C56C1"/>
    <w:rsid w:val="007D002A"/>
    <w:rsid w:val="007D04CC"/>
    <w:rsid w:val="007D08AB"/>
    <w:rsid w:val="007D0F8A"/>
    <w:rsid w:val="007D27EB"/>
    <w:rsid w:val="007D3176"/>
    <w:rsid w:val="007D4F28"/>
    <w:rsid w:val="007D513C"/>
    <w:rsid w:val="007E041E"/>
    <w:rsid w:val="007E0C5C"/>
    <w:rsid w:val="007E16B9"/>
    <w:rsid w:val="007E182F"/>
    <w:rsid w:val="007E3D0F"/>
    <w:rsid w:val="007E4F5D"/>
    <w:rsid w:val="007E51AB"/>
    <w:rsid w:val="007E5E9A"/>
    <w:rsid w:val="007F1E8F"/>
    <w:rsid w:val="007F2156"/>
    <w:rsid w:val="007F50E5"/>
    <w:rsid w:val="007F76EC"/>
    <w:rsid w:val="00801493"/>
    <w:rsid w:val="00803E59"/>
    <w:rsid w:val="008040FF"/>
    <w:rsid w:val="00804794"/>
    <w:rsid w:val="00807202"/>
    <w:rsid w:val="0080748E"/>
    <w:rsid w:val="008129C1"/>
    <w:rsid w:val="00814665"/>
    <w:rsid w:val="00814DF4"/>
    <w:rsid w:val="008158D2"/>
    <w:rsid w:val="00817438"/>
    <w:rsid w:val="00817E78"/>
    <w:rsid w:val="00817FBF"/>
    <w:rsid w:val="00817FD1"/>
    <w:rsid w:val="00820714"/>
    <w:rsid w:val="00820814"/>
    <w:rsid w:val="008226C9"/>
    <w:rsid w:val="00822721"/>
    <w:rsid w:val="008239FD"/>
    <w:rsid w:val="00827013"/>
    <w:rsid w:val="00831E42"/>
    <w:rsid w:val="00831E59"/>
    <w:rsid w:val="008332DD"/>
    <w:rsid w:val="00833C7C"/>
    <w:rsid w:val="00833D58"/>
    <w:rsid w:val="00834691"/>
    <w:rsid w:val="00837B20"/>
    <w:rsid w:val="00837F15"/>
    <w:rsid w:val="00841063"/>
    <w:rsid w:val="00841898"/>
    <w:rsid w:val="008423B7"/>
    <w:rsid w:val="00842EA5"/>
    <w:rsid w:val="00845505"/>
    <w:rsid w:val="00846685"/>
    <w:rsid w:val="008467AF"/>
    <w:rsid w:val="008476B4"/>
    <w:rsid w:val="00847ADC"/>
    <w:rsid w:val="00847BD0"/>
    <w:rsid w:val="00851738"/>
    <w:rsid w:val="00852961"/>
    <w:rsid w:val="00852D1A"/>
    <w:rsid w:val="0085713D"/>
    <w:rsid w:val="008572C9"/>
    <w:rsid w:val="00861348"/>
    <w:rsid w:val="00861740"/>
    <w:rsid w:val="00862B92"/>
    <w:rsid w:val="008631DD"/>
    <w:rsid w:val="0086333C"/>
    <w:rsid w:val="008665DB"/>
    <w:rsid w:val="008672F6"/>
    <w:rsid w:val="0087056B"/>
    <w:rsid w:val="00871E2A"/>
    <w:rsid w:val="008721A8"/>
    <w:rsid w:val="008729A3"/>
    <w:rsid w:val="00872BE1"/>
    <w:rsid w:val="00875229"/>
    <w:rsid w:val="00882F75"/>
    <w:rsid w:val="008840DC"/>
    <w:rsid w:val="008865B7"/>
    <w:rsid w:val="00887060"/>
    <w:rsid w:val="008876FB"/>
    <w:rsid w:val="00892423"/>
    <w:rsid w:val="008944FC"/>
    <w:rsid w:val="008945B8"/>
    <w:rsid w:val="008954D6"/>
    <w:rsid w:val="00895541"/>
    <w:rsid w:val="00895566"/>
    <w:rsid w:val="00895E6C"/>
    <w:rsid w:val="00896E61"/>
    <w:rsid w:val="008A1E29"/>
    <w:rsid w:val="008A29CB"/>
    <w:rsid w:val="008A38AB"/>
    <w:rsid w:val="008A4ABD"/>
    <w:rsid w:val="008A6B57"/>
    <w:rsid w:val="008A6C67"/>
    <w:rsid w:val="008B0CFC"/>
    <w:rsid w:val="008B2149"/>
    <w:rsid w:val="008B4FA9"/>
    <w:rsid w:val="008B63A1"/>
    <w:rsid w:val="008B6B91"/>
    <w:rsid w:val="008B6E5D"/>
    <w:rsid w:val="008B74EE"/>
    <w:rsid w:val="008C0F43"/>
    <w:rsid w:val="008C14F4"/>
    <w:rsid w:val="008C1509"/>
    <w:rsid w:val="008C15FD"/>
    <w:rsid w:val="008C17F4"/>
    <w:rsid w:val="008C2826"/>
    <w:rsid w:val="008C2C8C"/>
    <w:rsid w:val="008C38E5"/>
    <w:rsid w:val="008C491D"/>
    <w:rsid w:val="008C4A25"/>
    <w:rsid w:val="008C6E50"/>
    <w:rsid w:val="008D3484"/>
    <w:rsid w:val="008D34BB"/>
    <w:rsid w:val="008D3976"/>
    <w:rsid w:val="008D3ACA"/>
    <w:rsid w:val="008D5D64"/>
    <w:rsid w:val="008D5F22"/>
    <w:rsid w:val="008D71E7"/>
    <w:rsid w:val="008D739C"/>
    <w:rsid w:val="008E09A5"/>
    <w:rsid w:val="008E0E3C"/>
    <w:rsid w:val="008E1151"/>
    <w:rsid w:val="008E32CB"/>
    <w:rsid w:val="008E4FCE"/>
    <w:rsid w:val="008E63CB"/>
    <w:rsid w:val="008E7436"/>
    <w:rsid w:val="008F1CBB"/>
    <w:rsid w:val="008F1DCC"/>
    <w:rsid w:val="008F391E"/>
    <w:rsid w:val="008F5ED9"/>
    <w:rsid w:val="00900E74"/>
    <w:rsid w:val="00903A15"/>
    <w:rsid w:val="0090421E"/>
    <w:rsid w:val="00904332"/>
    <w:rsid w:val="00904436"/>
    <w:rsid w:val="00904AF2"/>
    <w:rsid w:val="0090604F"/>
    <w:rsid w:val="00906476"/>
    <w:rsid w:val="009125B5"/>
    <w:rsid w:val="009128F9"/>
    <w:rsid w:val="00912976"/>
    <w:rsid w:val="0091302D"/>
    <w:rsid w:val="0091403E"/>
    <w:rsid w:val="0091587A"/>
    <w:rsid w:val="00915CF1"/>
    <w:rsid w:val="00916E57"/>
    <w:rsid w:val="009174AD"/>
    <w:rsid w:val="00917702"/>
    <w:rsid w:val="009178BB"/>
    <w:rsid w:val="00920786"/>
    <w:rsid w:val="00922269"/>
    <w:rsid w:val="00923AE7"/>
    <w:rsid w:val="00924E54"/>
    <w:rsid w:val="0092549A"/>
    <w:rsid w:val="009260AC"/>
    <w:rsid w:val="009303DD"/>
    <w:rsid w:val="009316E7"/>
    <w:rsid w:val="00931B8C"/>
    <w:rsid w:val="00931D18"/>
    <w:rsid w:val="00932093"/>
    <w:rsid w:val="00934BE6"/>
    <w:rsid w:val="0093780A"/>
    <w:rsid w:val="00942357"/>
    <w:rsid w:val="00942492"/>
    <w:rsid w:val="009441DB"/>
    <w:rsid w:val="00944AFC"/>
    <w:rsid w:val="00944BC4"/>
    <w:rsid w:val="00945ABA"/>
    <w:rsid w:val="009478EE"/>
    <w:rsid w:val="00953C28"/>
    <w:rsid w:val="00954509"/>
    <w:rsid w:val="00955ABF"/>
    <w:rsid w:val="00957C93"/>
    <w:rsid w:val="0096210F"/>
    <w:rsid w:val="00964B29"/>
    <w:rsid w:val="009652E9"/>
    <w:rsid w:val="00965AA7"/>
    <w:rsid w:val="00967365"/>
    <w:rsid w:val="00967E92"/>
    <w:rsid w:val="00971D26"/>
    <w:rsid w:val="009730C2"/>
    <w:rsid w:val="00973386"/>
    <w:rsid w:val="00973503"/>
    <w:rsid w:val="00973AE1"/>
    <w:rsid w:val="00974030"/>
    <w:rsid w:val="009743FB"/>
    <w:rsid w:val="0097528A"/>
    <w:rsid w:val="00976449"/>
    <w:rsid w:val="00976832"/>
    <w:rsid w:val="009801EB"/>
    <w:rsid w:val="0098063D"/>
    <w:rsid w:val="00981D6D"/>
    <w:rsid w:val="00983473"/>
    <w:rsid w:val="009842DF"/>
    <w:rsid w:val="009848D3"/>
    <w:rsid w:val="00984D79"/>
    <w:rsid w:val="009853AB"/>
    <w:rsid w:val="00985B72"/>
    <w:rsid w:val="00986451"/>
    <w:rsid w:val="0098721A"/>
    <w:rsid w:val="00990226"/>
    <w:rsid w:val="00992B27"/>
    <w:rsid w:val="00992BC5"/>
    <w:rsid w:val="009930E8"/>
    <w:rsid w:val="00993679"/>
    <w:rsid w:val="00993957"/>
    <w:rsid w:val="00995E1B"/>
    <w:rsid w:val="00995F40"/>
    <w:rsid w:val="00996ECD"/>
    <w:rsid w:val="00997046"/>
    <w:rsid w:val="00997733"/>
    <w:rsid w:val="00997927"/>
    <w:rsid w:val="00997CB0"/>
    <w:rsid w:val="009A0746"/>
    <w:rsid w:val="009A0D62"/>
    <w:rsid w:val="009A302B"/>
    <w:rsid w:val="009A480A"/>
    <w:rsid w:val="009A4CB8"/>
    <w:rsid w:val="009A4CBF"/>
    <w:rsid w:val="009A6149"/>
    <w:rsid w:val="009B2569"/>
    <w:rsid w:val="009B39A4"/>
    <w:rsid w:val="009B43D6"/>
    <w:rsid w:val="009B4E4D"/>
    <w:rsid w:val="009B5407"/>
    <w:rsid w:val="009B6635"/>
    <w:rsid w:val="009C15E0"/>
    <w:rsid w:val="009C1CFB"/>
    <w:rsid w:val="009C2397"/>
    <w:rsid w:val="009C53F9"/>
    <w:rsid w:val="009C59AC"/>
    <w:rsid w:val="009C6716"/>
    <w:rsid w:val="009C76B3"/>
    <w:rsid w:val="009D1323"/>
    <w:rsid w:val="009D1C37"/>
    <w:rsid w:val="009D3B55"/>
    <w:rsid w:val="009D4079"/>
    <w:rsid w:val="009D4275"/>
    <w:rsid w:val="009D4FE7"/>
    <w:rsid w:val="009D6690"/>
    <w:rsid w:val="009D77CC"/>
    <w:rsid w:val="009D7880"/>
    <w:rsid w:val="009E0464"/>
    <w:rsid w:val="009E2A57"/>
    <w:rsid w:val="009E6C01"/>
    <w:rsid w:val="009E73C4"/>
    <w:rsid w:val="009F00D8"/>
    <w:rsid w:val="009F0111"/>
    <w:rsid w:val="009F050A"/>
    <w:rsid w:val="009F0550"/>
    <w:rsid w:val="009F1B4D"/>
    <w:rsid w:val="009F2088"/>
    <w:rsid w:val="009F29F3"/>
    <w:rsid w:val="009F47B5"/>
    <w:rsid w:val="009F50C3"/>
    <w:rsid w:val="009F6583"/>
    <w:rsid w:val="00A01223"/>
    <w:rsid w:val="00A017CA"/>
    <w:rsid w:val="00A01ED2"/>
    <w:rsid w:val="00A0243A"/>
    <w:rsid w:val="00A03166"/>
    <w:rsid w:val="00A05DEF"/>
    <w:rsid w:val="00A06678"/>
    <w:rsid w:val="00A0725A"/>
    <w:rsid w:val="00A0768E"/>
    <w:rsid w:val="00A11CB3"/>
    <w:rsid w:val="00A1473F"/>
    <w:rsid w:val="00A1493B"/>
    <w:rsid w:val="00A1561F"/>
    <w:rsid w:val="00A158E0"/>
    <w:rsid w:val="00A1775E"/>
    <w:rsid w:val="00A208D0"/>
    <w:rsid w:val="00A217FD"/>
    <w:rsid w:val="00A21B51"/>
    <w:rsid w:val="00A229EA"/>
    <w:rsid w:val="00A22AF3"/>
    <w:rsid w:val="00A24957"/>
    <w:rsid w:val="00A25773"/>
    <w:rsid w:val="00A265E2"/>
    <w:rsid w:val="00A2686F"/>
    <w:rsid w:val="00A32CC6"/>
    <w:rsid w:val="00A35FDD"/>
    <w:rsid w:val="00A441DE"/>
    <w:rsid w:val="00A50451"/>
    <w:rsid w:val="00A50B01"/>
    <w:rsid w:val="00A522BD"/>
    <w:rsid w:val="00A55C1E"/>
    <w:rsid w:val="00A56E94"/>
    <w:rsid w:val="00A60202"/>
    <w:rsid w:val="00A60C01"/>
    <w:rsid w:val="00A613CE"/>
    <w:rsid w:val="00A64100"/>
    <w:rsid w:val="00A6642E"/>
    <w:rsid w:val="00A67A86"/>
    <w:rsid w:val="00A704DD"/>
    <w:rsid w:val="00A71B18"/>
    <w:rsid w:val="00A726B4"/>
    <w:rsid w:val="00A74D70"/>
    <w:rsid w:val="00A757FF"/>
    <w:rsid w:val="00A75A46"/>
    <w:rsid w:val="00A75A6A"/>
    <w:rsid w:val="00A75AF6"/>
    <w:rsid w:val="00A8069D"/>
    <w:rsid w:val="00A80C2F"/>
    <w:rsid w:val="00A82A89"/>
    <w:rsid w:val="00A82F2C"/>
    <w:rsid w:val="00A83BDC"/>
    <w:rsid w:val="00A83CAB"/>
    <w:rsid w:val="00A844C6"/>
    <w:rsid w:val="00A84B9A"/>
    <w:rsid w:val="00A86049"/>
    <w:rsid w:val="00A878F4"/>
    <w:rsid w:val="00A87DE1"/>
    <w:rsid w:val="00A917AD"/>
    <w:rsid w:val="00A93175"/>
    <w:rsid w:val="00A9385F"/>
    <w:rsid w:val="00A93A56"/>
    <w:rsid w:val="00A94086"/>
    <w:rsid w:val="00A9596F"/>
    <w:rsid w:val="00A96EF6"/>
    <w:rsid w:val="00A977CF"/>
    <w:rsid w:val="00A97896"/>
    <w:rsid w:val="00AA0B7F"/>
    <w:rsid w:val="00AA179B"/>
    <w:rsid w:val="00AA2044"/>
    <w:rsid w:val="00AA2704"/>
    <w:rsid w:val="00AA2962"/>
    <w:rsid w:val="00AA3845"/>
    <w:rsid w:val="00AA3D05"/>
    <w:rsid w:val="00AA50EA"/>
    <w:rsid w:val="00AA59EF"/>
    <w:rsid w:val="00AA76E6"/>
    <w:rsid w:val="00AB0606"/>
    <w:rsid w:val="00AB31A8"/>
    <w:rsid w:val="00AB4B5B"/>
    <w:rsid w:val="00AB501A"/>
    <w:rsid w:val="00AB5DB5"/>
    <w:rsid w:val="00AB717C"/>
    <w:rsid w:val="00AB7D0C"/>
    <w:rsid w:val="00AB7E39"/>
    <w:rsid w:val="00AC1A14"/>
    <w:rsid w:val="00AC1C97"/>
    <w:rsid w:val="00AC4805"/>
    <w:rsid w:val="00AC4B72"/>
    <w:rsid w:val="00AC50AA"/>
    <w:rsid w:val="00AC595F"/>
    <w:rsid w:val="00AC630B"/>
    <w:rsid w:val="00AD1D7E"/>
    <w:rsid w:val="00AD2AAA"/>
    <w:rsid w:val="00AD4568"/>
    <w:rsid w:val="00AD58BA"/>
    <w:rsid w:val="00AD5A12"/>
    <w:rsid w:val="00AD63AE"/>
    <w:rsid w:val="00AD6873"/>
    <w:rsid w:val="00AD6CE3"/>
    <w:rsid w:val="00AD6D9C"/>
    <w:rsid w:val="00AD6E7B"/>
    <w:rsid w:val="00AD78F5"/>
    <w:rsid w:val="00AE06D6"/>
    <w:rsid w:val="00AE08B1"/>
    <w:rsid w:val="00AE1FE6"/>
    <w:rsid w:val="00AE3A6E"/>
    <w:rsid w:val="00AE4A9A"/>
    <w:rsid w:val="00AE5F4F"/>
    <w:rsid w:val="00AE7542"/>
    <w:rsid w:val="00AF0503"/>
    <w:rsid w:val="00AF1ADE"/>
    <w:rsid w:val="00AF2D7A"/>
    <w:rsid w:val="00AF34E9"/>
    <w:rsid w:val="00AF501D"/>
    <w:rsid w:val="00AF5338"/>
    <w:rsid w:val="00AF6051"/>
    <w:rsid w:val="00AF6500"/>
    <w:rsid w:val="00AF6783"/>
    <w:rsid w:val="00AF7076"/>
    <w:rsid w:val="00AF76F9"/>
    <w:rsid w:val="00B01B40"/>
    <w:rsid w:val="00B0281D"/>
    <w:rsid w:val="00B02E94"/>
    <w:rsid w:val="00B050DE"/>
    <w:rsid w:val="00B05AA6"/>
    <w:rsid w:val="00B062A2"/>
    <w:rsid w:val="00B07677"/>
    <w:rsid w:val="00B10F74"/>
    <w:rsid w:val="00B115D5"/>
    <w:rsid w:val="00B1244F"/>
    <w:rsid w:val="00B12FD3"/>
    <w:rsid w:val="00B132D9"/>
    <w:rsid w:val="00B13662"/>
    <w:rsid w:val="00B14F53"/>
    <w:rsid w:val="00B1612F"/>
    <w:rsid w:val="00B1619A"/>
    <w:rsid w:val="00B169C6"/>
    <w:rsid w:val="00B17E8D"/>
    <w:rsid w:val="00B21AB3"/>
    <w:rsid w:val="00B240EE"/>
    <w:rsid w:val="00B24355"/>
    <w:rsid w:val="00B24E50"/>
    <w:rsid w:val="00B25C21"/>
    <w:rsid w:val="00B270E0"/>
    <w:rsid w:val="00B31973"/>
    <w:rsid w:val="00B320C7"/>
    <w:rsid w:val="00B34B81"/>
    <w:rsid w:val="00B34C83"/>
    <w:rsid w:val="00B3543A"/>
    <w:rsid w:val="00B35AFD"/>
    <w:rsid w:val="00B377EE"/>
    <w:rsid w:val="00B37FEB"/>
    <w:rsid w:val="00B40675"/>
    <w:rsid w:val="00B42B18"/>
    <w:rsid w:val="00B46671"/>
    <w:rsid w:val="00B47161"/>
    <w:rsid w:val="00B510B9"/>
    <w:rsid w:val="00B51417"/>
    <w:rsid w:val="00B51DCC"/>
    <w:rsid w:val="00B52D16"/>
    <w:rsid w:val="00B55EDE"/>
    <w:rsid w:val="00B56611"/>
    <w:rsid w:val="00B614F6"/>
    <w:rsid w:val="00B6577D"/>
    <w:rsid w:val="00B66F3D"/>
    <w:rsid w:val="00B677BF"/>
    <w:rsid w:val="00B67CD4"/>
    <w:rsid w:val="00B70239"/>
    <w:rsid w:val="00B71BC1"/>
    <w:rsid w:val="00B734D3"/>
    <w:rsid w:val="00B73649"/>
    <w:rsid w:val="00B7481B"/>
    <w:rsid w:val="00B7575B"/>
    <w:rsid w:val="00B76E7C"/>
    <w:rsid w:val="00B77886"/>
    <w:rsid w:val="00B800C0"/>
    <w:rsid w:val="00B80469"/>
    <w:rsid w:val="00B80B22"/>
    <w:rsid w:val="00B83EED"/>
    <w:rsid w:val="00B8531E"/>
    <w:rsid w:val="00B869FB"/>
    <w:rsid w:val="00B86CC0"/>
    <w:rsid w:val="00B878CC"/>
    <w:rsid w:val="00B9123C"/>
    <w:rsid w:val="00B9215F"/>
    <w:rsid w:val="00B9376A"/>
    <w:rsid w:val="00B94CDE"/>
    <w:rsid w:val="00B95352"/>
    <w:rsid w:val="00B95373"/>
    <w:rsid w:val="00B96E66"/>
    <w:rsid w:val="00B97F6C"/>
    <w:rsid w:val="00BA47FF"/>
    <w:rsid w:val="00BA53CE"/>
    <w:rsid w:val="00BA61D0"/>
    <w:rsid w:val="00BB0877"/>
    <w:rsid w:val="00BB08BD"/>
    <w:rsid w:val="00BB16D1"/>
    <w:rsid w:val="00BB186F"/>
    <w:rsid w:val="00BB1874"/>
    <w:rsid w:val="00BB4CA7"/>
    <w:rsid w:val="00BB53AD"/>
    <w:rsid w:val="00BB5C35"/>
    <w:rsid w:val="00BB7CE9"/>
    <w:rsid w:val="00BC17C0"/>
    <w:rsid w:val="00BC44F3"/>
    <w:rsid w:val="00BC50EF"/>
    <w:rsid w:val="00BD0DAF"/>
    <w:rsid w:val="00BD1FA0"/>
    <w:rsid w:val="00BD4ADF"/>
    <w:rsid w:val="00BD5E4D"/>
    <w:rsid w:val="00BD7514"/>
    <w:rsid w:val="00BE4CDD"/>
    <w:rsid w:val="00BE505A"/>
    <w:rsid w:val="00BE51A7"/>
    <w:rsid w:val="00BE56E0"/>
    <w:rsid w:val="00BE61FB"/>
    <w:rsid w:val="00BF059A"/>
    <w:rsid w:val="00BF07F5"/>
    <w:rsid w:val="00BF14F1"/>
    <w:rsid w:val="00BF17E5"/>
    <w:rsid w:val="00BF22C5"/>
    <w:rsid w:val="00BF37B8"/>
    <w:rsid w:val="00BF409F"/>
    <w:rsid w:val="00BF5712"/>
    <w:rsid w:val="00BF60D3"/>
    <w:rsid w:val="00BF79CD"/>
    <w:rsid w:val="00C00438"/>
    <w:rsid w:val="00C02556"/>
    <w:rsid w:val="00C05D67"/>
    <w:rsid w:val="00C071B8"/>
    <w:rsid w:val="00C07953"/>
    <w:rsid w:val="00C11348"/>
    <w:rsid w:val="00C142EC"/>
    <w:rsid w:val="00C15156"/>
    <w:rsid w:val="00C155B6"/>
    <w:rsid w:val="00C15757"/>
    <w:rsid w:val="00C15A9A"/>
    <w:rsid w:val="00C16CFB"/>
    <w:rsid w:val="00C171D9"/>
    <w:rsid w:val="00C172E1"/>
    <w:rsid w:val="00C17D57"/>
    <w:rsid w:val="00C22DC8"/>
    <w:rsid w:val="00C2420F"/>
    <w:rsid w:val="00C24330"/>
    <w:rsid w:val="00C24665"/>
    <w:rsid w:val="00C25007"/>
    <w:rsid w:val="00C2528A"/>
    <w:rsid w:val="00C25495"/>
    <w:rsid w:val="00C2555C"/>
    <w:rsid w:val="00C25959"/>
    <w:rsid w:val="00C26A64"/>
    <w:rsid w:val="00C26F26"/>
    <w:rsid w:val="00C3029B"/>
    <w:rsid w:val="00C30485"/>
    <w:rsid w:val="00C309DF"/>
    <w:rsid w:val="00C30DC1"/>
    <w:rsid w:val="00C317F7"/>
    <w:rsid w:val="00C31C55"/>
    <w:rsid w:val="00C322D2"/>
    <w:rsid w:val="00C32A34"/>
    <w:rsid w:val="00C33E6B"/>
    <w:rsid w:val="00C34B55"/>
    <w:rsid w:val="00C3642A"/>
    <w:rsid w:val="00C3674A"/>
    <w:rsid w:val="00C369DA"/>
    <w:rsid w:val="00C37220"/>
    <w:rsid w:val="00C37AB3"/>
    <w:rsid w:val="00C410CC"/>
    <w:rsid w:val="00C41E7A"/>
    <w:rsid w:val="00C4382B"/>
    <w:rsid w:val="00C43E1F"/>
    <w:rsid w:val="00C44A6C"/>
    <w:rsid w:val="00C45821"/>
    <w:rsid w:val="00C45FC0"/>
    <w:rsid w:val="00C52787"/>
    <w:rsid w:val="00C527FE"/>
    <w:rsid w:val="00C54FB9"/>
    <w:rsid w:val="00C56CA3"/>
    <w:rsid w:val="00C56E8D"/>
    <w:rsid w:val="00C60595"/>
    <w:rsid w:val="00C605FF"/>
    <w:rsid w:val="00C61305"/>
    <w:rsid w:val="00C61472"/>
    <w:rsid w:val="00C61DF0"/>
    <w:rsid w:val="00C62404"/>
    <w:rsid w:val="00C6427A"/>
    <w:rsid w:val="00C643D3"/>
    <w:rsid w:val="00C652C0"/>
    <w:rsid w:val="00C6542A"/>
    <w:rsid w:val="00C6608D"/>
    <w:rsid w:val="00C67EFE"/>
    <w:rsid w:val="00C70E3C"/>
    <w:rsid w:val="00C71DD6"/>
    <w:rsid w:val="00C72196"/>
    <w:rsid w:val="00C74078"/>
    <w:rsid w:val="00C745CE"/>
    <w:rsid w:val="00C74799"/>
    <w:rsid w:val="00C76273"/>
    <w:rsid w:val="00C80618"/>
    <w:rsid w:val="00C80F88"/>
    <w:rsid w:val="00C82107"/>
    <w:rsid w:val="00C825F5"/>
    <w:rsid w:val="00C8451F"/>
    <w:rsid w:val="00C84C95"/>
    <w:rsid w:val="00C854A3"/>
    <w:rsid w:val="00C875DE"/>
    <w:rsid w:val="00C91E59"/>
    <w:rsid w:val="00C93ABC"/>
    <w:rsid w:val="00C944BB"/>
    <w:rsid w:val="00C9569C"/>
    <w:rsid w:val="00C97958"/>
    <w:rsid w:val="00CA070D"/>
    <w:rsid w:val="00CA0E59"/>
    <w:rsid w:val="00CA17D7"/>
    <w:rsid w:val="00CA1BEA"/>
    <w:rsid w:val="00CA3FDA"/>
    <w:rsid w:val="00CA4A31"/>
    <w:rsid w:val="00CA604D"/>
    <w:rsid w:val="00CA650F"/>
    <w:rsid w:val="00CA6DDE"/>
    <w:rsid w:val="00CA7E1D"/>
    <w:rsid w:val="00CB4CC5"/>
    <w:rsid w:val="00CB6431"/>
    <w:rsid w:val="00CB7096"/>
    <w:rsid w:val="00CC23AA"/>
    <w:rsid w:val="00CC26C6"/>
    <w:rsid w:val="00CC41EB"/>
    <w:rsid w:val="00CC5ACD"/>
    <w:rsid w:val="00CC6200"/>
    <w:rsid w:val="00CD09EB"/>
    <w:rsid w:val="00CD10F7"/>
    <w:rsid w:val="00CD21C4"/>
    <w:rsid w:val="00CD3014"/>
    <w:rsid w:val="00CD3056"/>
    <w:rsid w:val="00CD3D19"/>
    <w:rsid w:val="00CD4535"/>
    <w:rsid w:val="00CD47C9"/>
    <w:rsid w:val="00CD56CE"/>
    <w:rsid w:val="00CD64C8"/>
    <w:rsid w:val="00CD6716"/>
    <w:rsid w:val="00CE0AE4"/>
    <w:rsid w:val="00CE15C2"/>
    <w:rsid w:val="00CE3983"/>
    <w:rsid w:val="00CE3E30"/>
    <w:rsid w:val="00CE482F"/>
    <w:rsid w:val="00CE6730"/>
    <w:rsid w:val="00CE6C1E"/>
    <w:rsid w:val="00CE70A4"/>
    <w:rsid w:val="00CE75B1"/>
    <w:rsid w:val="00CF1326"/>
    <w:rsid w:val="00CF3257"/>
    <w:rsid w:val="00CF3DE8"/>
    <w:rsid w:val="00CF4040"/>
    <w:rsid w:val="00CF51B2"/>
    <w:rsid w:val="00CF56A6"/>
    <w:rsid w:val="00CF7B69"/>
    <w:rsid w:val="00D002D6"/>
    <w:rsid w:val="00D01964"/>
    <w:rsid w:val="00D039D1"/>
    <w:rsid w:val="00D052FD"/>
    <w:rsid w:val="00D0531F"/>
    <w:rsid w:val="00D067E1"/>
    <w:rsid w:val="00D0799D"/>
    <w:rsid w:val="00D1092D"/>
    <w:rsid w:val="00D11B9C"/>
    <w:rsid w:val="00D126AA"/>
    <w:rsid w:val="00D1434F"/>
    <w:rsid w:val="00D15819"/>
    <w:rsid w:val="00D15D49"/>
    <w:rsid w:val="00D16045"/>
    <w:rsid w:val="00D22D58"/>
    <w:rsid w:val="00D22E78"/>
    <w:rsid w:val="00D25FFB"/>
    <w:rsid w:val="00D26378"/>
    <w:rsid w:val="00D271E9"/>
    <w:rsid w:val="00D312DB"/>
    <w:rsid w:val="00D37B5A"/>
    <w:rsid w:val="00D4205B"/>
    <w:rsid w:val="00D43831"/>
    <w:rsid w:val="00D43E2F"/>
    <w:rsid w:val="00D446CF"/>
    <w:rsid w:val="00D44EA2"/>
    <w:rsid w:val="00D4796B"/>
    <w:rsid w:val="00D50670"/>
    <w:rsid w:val="00D509B0"/>
    <w:rsid w:val="00D50D78"/>
    <w:rsid w:val="00D51F05"/>
    <w:rsid w:val="00D52D84"/>
    <w:rsid w:val="00D535DB"/>
    <w:rsid w:val="00D538A4"/>
    <w:rsid w:val="00D54D53"/>
    <w:rsid w:val="00D55327"/>
    <w:rsid w:val="00D55759"/>
    <w:rsid w:val="00D61432"/>
    <w:rsid w:val="00D62A48"/>
    <w:rsid w:val="00D62EB2"/>
    <w:rsid w:val="00D63012"/>
    <w:rsid w:val="00D645E9"/>
    <w:rsid w:val="00D64E8A"/>
    <w:rsid w:val="00D674E0"/>
    <w:rsid w:val="00D71B1A"/>
    <w:rsid w:val="00D72039"/>
    <w:rsid w:val="00D72318"/>
    <w:rsid w:val="00D74A5F"/>
    <w:rsid w:val="00D7539A"/>
    <w:rsid w:val="00D77152"/>
    <w:rsid w:val="00D7792C"/>
    <w:rsid w:val="00D80EA5"/>
    <w:rsid w:val="00D82349"/>
    <w:rsid w:val="00D83206"/>
    <w:rsid w:val="00D83262"/>
    <w:rsid w:val="00D8530B"/>
    <w:rsid w:val="00D91644"/>
    <w:rsid w:val="00D916CE"/>
    <w:rsid w:val="00D93574"/>
    <w:rsid w:val="00D93A03"/>
    <w:rsid w:val="00D94406"/>
    <w:rsid w:val="00D959C2"/>
    <w:rsid w:val="00D95A95"/>
    <w:rsid w:val="00D96D24"/>
    <w:rsid w:val="00D96E53"/>
    <w:rsid w:val="00D97A35"/>
    <w:rsid w:val="00DA40A8"/>
    <w:rsid w:val="00DA6778"/>
    <w:rsid w:val="00DB16F5"/>
    <w:rsid w:val="00DB209F"/>
    <w:rsid w:val="00DB2CA8"/>
    <w:rsid w:val="00DB38FF"/>
    <w:rsid w:val="00DB4089"/>
    <w:rsid w:val="00DB6B1A"/>
    <w:rsid w:val="00DB7121"/>
    <w:rsid w:val="00DC0405"/>
    <w:rsid w:val="00DC0504"/>
    <w:rsid w:val="00DC064C"/>
    <w:rsid w:val="00DC1D93"/>
    <w:rsid w:val="00DC2F45"/>
    <w:rsid w:val="00DC3ABC"/>
    <w:rsid w:val="00DC4355"/>
    <w:rsid w:val="00DC6BE9"/>
    <w:rsid w:val="00DC6F7B"/>
    <w:rsid w:val="00DC72CD"/>
    <w:rsid w:val="00DD0DB4"/>
    <w:rsid w:val="00DD0F50"/>
    <w:rsid w:val="00DD3C93"/>
    <w:rsid w:val="00DD4854"/>
    <w:rsid w:val="00DD6027"/>
    <w:rsid w:val="00DD6B4B"/>
    <w:rsid w:val="00DD7436"/>
    <w:rsid w:val="00DD78E4"/>
    <w:rsid w:val="00DE11DC"/>
    <w:rsid w:val="00DE22D8"/>
    <w:rsid w:val="00DE24A1"/>
    <w:rsid w:val="00DE2C07"/>
    <w:rsid w:val="00DE2EC9"/>
    <w:rsid w:val="00DE426D"/>
    <w:rsid w:val="00DE427E"/>
    <w:rsid w:val="00DE69E3"/>
    <w:rsid w:val="00DF0CD9"/>
    <w:rsid w:val="00DF11EE"/>
    <w:rsid w:val="00DF379E"/>
    <w:rsid w:val="00DF5061"/>
    <w:rsid w:val="00DF5067"/>
    <w:rsid w:val="00E00B71"/>
    <w:rsid w:val="00E02037"/>
    <w:rsid w:val="00E030DE"/>
    <w:rsid w:val="00E03485"/>
    <w:rsid w:val="00E035E9"/>
    <w:rsid w:val="00E0426E"/>
    <w:rsid w:val="00E06ADA"/>
    <w:rsid w:val="00E1274E"/>
    <w:rsid w:val="00E13B16"/>
    <w:rsid w:val="00E147E3"/>
    <w:rsid w:val="00E152DC"/>
    <w:rsid w:val="00E16A20"/>
    <w:rsid w:val="00E1729A"/>
    <w:rsid w:val="00E20C98"/>
    <w:rsid w:val="00E21A09"/>
    <w:rsid w:val="00E246B9"/>
    <w:rsid w:val="00E24F8C"/>
    <w:rsid w:val="00E272FC"/>
    <w:rsid w:val="00E2796E"/>
    <w:rsid w:val="00E31D8A"/>
    <w:rsid w:val="00E3595D"/>
    <w:rsid w:val="00E36093"/>
    <w:rsid w:val="00E36595"/>
    <w:rsid w:val="00E401E1"/>
    <w:rsid w:val="00E41099"/>
    <w:rsid w:val="00E426EB"/>
    <w:rsid w:val="00E4542C"/>
    <w:rsid w:val="00E50C36"/>
    <w:rsid w:val="00E54780"/>
    <w:rsid w:val="00E57FF6"/>
    <w:rsid w:val="00E60FC8"/>
    <w:rsid w:val="00E6151B"/>
    <w:rsid w:val="00E63C04"/>
    <w:rsid w:val="00E63FD3"/>
    <w:rsid w:val="00E64197"/>
    <w:rsid w:val="00E64338"/>
    <w:rsid w:val="00E64518"/>
    <w:rsid w:val="00E646F1"/>
    <w:rsid w:val="00E651A3"/>
    <w:rsid w:val="00E66E42"/>
    <w:rsid w:val="00E71111"/>
    <w:rsid w:val="00E7237D"/>
    <w:rsid w:val="00E73B4F"/>
    <w:rsid w:val="00E74B0A"/>
    <w:rsid w:val="00E75900"/>
    <w:rsid w:val="00E75979"/>
    <w:rsid w:val="00E8064F"/>
    <w:rsid w:val="00E80B9E"/>
    <w:rsid w:val="00E80EEC"/>
    <w:rsid w:val="00E812D4"/>
    <w:rsid w:val="00E81CDD"/>
    <w:rsid w:val="00E823E8"/>
    <w:rsid w:val="00E83844"/>
    <w:rsid w:val="00E83E7D"/>
    <w:rsid w:val="00E84728"/>
    <w:rsid w:val="00E86B67"/>
    <w:rsid w:val="00E906D5"/>
    <w:rsid w:val="00E918FC"/>
    <w:rsid w:val="00E91947"/>
    <w:rsid w:val="00E92434"/>
    <w:rsid w:val="00E933DE"/>
    <w:rsid w:val="00E93C34"/>
    <w:rsid w:val="00E94945"/>
    <w:rsid w:val="00E95006"/>
    <w:rsid w:val="00E95FDB"/>
    <w:rsid w:val="00E96583"/>
    <w:rsid w:val="00EA009A"/>
    <w:rsid w:val="00EA057D"/>
    <w:rsid w:val="00EA13F9"/>
    <w:rsid w:val="00EA194C"/>
    <w:rsid w:val="00EA3353"/>
    <w:rsid w:val="00EA6E74"/>
    <w:rsid w:val="00EA76A7"/>
    <w:rsid w:val="00EA7980"/>
    <w:rsid w:val="00EB30E8"/>
    <w:rsid w:val="00EB3B6F"/>
    <w:rsid w:val="00EB5E9B"/>
    <w:rsid w:val="00EB631A"/>
    <w:rsid w:val="00EB65F5"/>
    <w:rsid w:val="00EB6BA3"/>
    <w:rsid w:val="00EB7CE3"/>
    <w:rsid w:val="00EC1A1C"/>
    <w:rsid w:val="00EC3360"/>
    <w:rsid w:val="00EC4063"/>
    <w:rsid w:val="00EC4C96"/>
    <w:rsid w:val="00EC55AF"/>
    <w:rsid w:val="00EC5A13"/>
    <w:rsid w:val="00EC6782"/>
    <w:rsid w:val="00ED0629"/>
    <w:rsid w:val="00ED33B1"/>
    <w:rsid w:val="00ED3E42"/>
    <w:rsid w:val="00ED54E7"/>
    <w:rsid w:val="00ED55B0"/>
    <w:rsid w:val="00ED7A5F"/>
    <w:rsid w:val="00EE0198"/>
    <w:rsid w:val="00EE040C"/>
    <w:rsid w:val="00EE06E0"/>
    <w:rsid w:val="00EE075B"/>
    <w:rsid w:val="00EE194C"/>
    <w:rsid w:val="00EE1EA9"/>
    <w:rsid w:val="00EE5E3F"/>
    <w:rsid w:val="00EE636D"/>
    <w:rsid w:val="00EF0790"/>
    <w:rsid w:val="00EF1B11"/>
    <w:rsid w:val="00EF2A9C"/>
    <w:rsid w:val="00EF2E7B"/>
    <w:rsid w:val="00EF340E"/>
    <w:rsid w:val="00EF3EDA"/>
    <w:rsid w:val="00EF4259"/>
    <w:rsid w:val="00EF4E53"/>
    <w:rsid w:val="00EF53E3"/>
    <w:rsid w:val="00EF6AB5"/>
    <w:rsid w:val="00EF73CF"/>
    <w:rsid w:val="00F06742"/>
    <w:rsid w:val="00F12CB3"/>
    <w:rsid w:val="00F12FF6"/>
    <w:rsid w:val="00F157DD"/>
    <w:rsid w:val="00F159D7"/>
    <w:rsid w:val="00F17A65"/>
    <w:rsid w:val="00F201AE"/>
    <w:rsid w:val="00F202C4"/>
    <w:rsid w:val="00F20742"/>
    <w:rsid w:val="00F21905"/>
    <w:rsid w:val="00F221CA"/>
    <w:rsid w:val="00F22FF1"/>
    <w:rsid w:val="00F238EE"/>
    <w:rsid w:val="00F23B51"/>
    <w:rsid w:val="00F25D52"/>
    <w:rsid w:val="00F2622C"/>
    <w:rsid w:val="00F26382"/>
    <w:rsid w:val="00F2732E"/>
    <w:rsid w:val="00F2778C"/>
    <w:rsid w:val="00F30EEA"/>
    <w:rsid w:val="00F3115B"/>
    <w:rsid w:val="00F31A75"/>
    <w:rsid w:val="00F31BBB"/>
    <w:rsid w:val="00F31D13"/>
    <w:rsid w:val="00F331D8"/>
    <w:rsid w:val="00F35B19"/>
    <w:rsid w:val="00F41D89"/>
    <w:rsid w:val="00F42218"/>
    <w:rsid w:val="00F446CE"/>
    <w:rsid w:val="00F44E76"/>
    <w:rsid w:val="00F454A9"/>
    <w:rsid w:val="00F46A4B"/>
    <w:rsid w:val="00F52101"/>
    <w:rsid w:val="00F5479B"/>
    <w:rsid w:val="00F55AC6"/>
    <w:rsid w:val="00F55BB2"/>
    <w:rsid w:val="00F55DEA"/>
    <w:rsid w:val="00F55F47"/>
    <w:rsid w:val="00F56BF3"/>
    <w:rsid w:val="00F56DAB"/>
    <w:rsid w:val="00F574D7"/>
    <w:rsid w:val="00F57527"/>
    <w:rsid w:val="00F5758D"/>
    <w:rsid w:val="00F62781"/>
    <w:rsid w:val="00F642A3"/>
    <w:rsid w:val="00F65107"/>
    <w:rsid w:val="00F6527A"/>
    <w:rsid w:val="00F6592D"/>
    <w:rsid w:val="00F65FFE"/>
    <w:rsid w:val="00F71E13"/>
    <w:rsid w:val="00F7616A"/>
    <w:rsid w:val="00F7696B"/>
    <w:rsid w:val="00F76B3A"/>
    <w:rsid w:val="00F7749B"/>
    <w:rsid w:val="00F86020"/>
    <w:rsid w:val="00F91693"/>
    <w:rsid w:val="00F948F3"/>
    <w:rsid w:val="00F979E9"/>
    <w:rsid w:val="00F97D27"/>
    <w:rsid w:val="00F97DA6"/>
    <w:rsid w:val="00FA01C6"/>
    <w:rsid w:val="00FA06EF"/>
    <w:rsid w:val="00FA0BA3"/>
    <w:rsid w:val="00FA0CCC"/>
    <w:rsid w:val="00FA215A"/>
    <w:rsid w:val="00FA2446"/>
    <w:rsid w:val="00FA48DD"/>
    <w:rsid w:val="00FA4987"/>
    <w:rsid w:val="00FA61C6"/>
    <w:rsid w:val="00FA6289"/>
    <w:rsid w:val="00FB153E"/>
    <w:rsid w:val="00FB160F"/>
    <w:rsid w:val="00FB193A"/>
    <w:rsid w:val="00FB2EB1"/>
    <w:rsid w:val="00FB3515"/>
    <w:rsid w:val="00FB4824"/>
    <w:rsid w:val="00FB495B"/>
    <w:rsid w:val="00FB6EDD"/>
    <w:rsid w:val="00FC2C33"/>
    <w:rsid w:val="00FC2F6E"/>
    <w:rsid w:val="00FC36DC"/>
    <w:rsid w:val="00FC4CA0"/>
    <w:rsid w:val="00FC75A8"/>
    <w:rsid w:val="00FD0678"/>
    <w:rsid w:val="00FD213A"/>
    <w:rsid w:val="00FD37B4"/>
    <w:rsid w:val="00FD531E"/>
    <w:rsid w:val="00FD5332"/>
    <w:rsid w:val="00FE0BA8"/>
    <w:rsid w:val="00FE0BEA"/>
    <w:rsid w:val="00FE2D6C"/>
    <w:rsid w:val="00FE2FFA"/>
    <w:rsid w:val="00FE6A90"/>
    <w:rsid w:val="00FE7F40"/>
    <w:rsid w:val="00FF3219"/>
    <w:rsid w:val="00FF5CBB"/>
    <w:rsid w:val="00FF6266"/>
    <w:rsid w:val="00FF6389"/>
    <w:rsid w:val="00FF7022"/>
    <w:rsid w:val="00FF759F"/>
    <w:rsid w:val="00FF765A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ECC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hAnsi="Arial"/>
      <w:b/>
      <w:iCs/>
      <w:sz w:val="18"/>
      <w:szCs w:val="18"/>
      <w:lang w:eastAsia="ar-SA"/>
    </w:rPr>
  </w:style>
  <w:style w:type="paragraph" w:styleId="Heading2">
    <w:name w:val="heading 2"/>
    <w:basedOn w:val="Normal"/>
    <w:next w:val="Normal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paragraph" w:styleId="BalloonText">
    <w:name w:val="Balloon Text"/>
    <w:basedOn w:val="Normal"/>
    <w:semiHidden/>
    <w:rsid w:val="00BF17E5"/>
    <w:rPr>
      <w:rFonts w:ascii="Tahoma" w:hAnsi="Tahoma" w:cs="Tahoma"/>
      <w:sz w:val="16"/>
      <w:szCs w:val="16"/>
    </w:rPr>
  </w:style>
  <w:style w:type="character" w:styleId="Hyperlink">
    <w:name w:val="Hyperlink"/>
    <w:rsid w:val="00E81CDD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locked/>
    <w:rsid w:val="001F275D"/>
    <w:rPr>
      <w:lang w:eastAsia="tr-TR"/>
    </w:rPr>
  </w:style>
  <w:style w:type="paragraph" w:styleId="EndnoteText">
    <w:name w:val="endnote text"/>
    <w:basedOn w:val="Normal"/>
    <w:link w:val="EndnoteTextChar"/>
    <w:rsid w:val="0022179E"/>
    <w:rPr>
      <w:sz w:val="20"/>
      <w:szCs w:val="20"/>
    </w:rPr>
  </w:style>
  <w:style w:type="character" w:customStyle="1" w:styleId="EndnoteTextChar">
    <w:name w:val="Endnote Text Char"/>
    <w:link w:val="EndnoteText"/>
    <w:rsid w:val="0022179E"/>
    <w:rPr>
      <w:lang w:eastAsia="tr-TR"/>
    </w:rPr>
  </w:style>
  <w:style w:type="character" w:styleId="EndnoteReference">
    <w:name w:val="endnote reference"/>
    <w:rsid w:val="00221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ECC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hAnsi="Arial"/>
      <w:b/>
      <w:iCs/>
      <w:sz w:val="18"/>
      <w:szCs w:val="18"/>
      <w:lang w:eastAsia="ar-SA"/>
    </w:rPr>
  </w:style>
  <w:style w:type="paragraph" w:styleId="Heading2">
    <w:name w:val="heading 2"/>
    <w:basedOn w:val="Normal"/>
    <w:next w:val="Normal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paragraph" w:styleId="BalloonText">
    <w:name w:val="Balloon Text"/>
    <w:basedOn w:val="Normal"/>
    <w:semiHidden/>
    <w:rsid w:val="00BF17E5"/>
    <w:rPr>
      <w:rFonts w:ascii="Tahoma" w:hAnsi="Tahoma" w:cs="Tahoma"/>
      <w:sz w:val="16"/>
      <w:szCs w:val="16"/>
    </w:rPr>
  </w:style>
  <w:style w:type="character" w:styleId="Hyperlink">
    <w:name w:val="Hyperlink"/>
    <w:rsid w:val="00E81CDD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locked/>
    <w:rsid w:val="001F275D"/>
    <w:rPr>
      <w:lang w:eastAsia="tr-TR"/>
    </w:rPr>
  </w:style>
  <w:style w:type="paragraph" w:styleId="EndnoteText">
    <w:name w:val="endnote text"/>
    <w:basedOn w:val="Normal"/>
    <w:link w:val="EndnoteTextChar"/>
    <w:rsid w:val="0022179E"/>
    <w:rPr>
      <w:sz w:val="20"/>
      <w:szCs w:val="20"/>
    </w:rPr>
  </w:style>
  <w:style w:type="character" w:customStyle="1" w:styleId="EndnoteTextChar">
    <w:name w:val="Endnote Text Char"/>
    <w:link w:val="EndnoteText"/>
    <w:rsid w:val="0022179E"/>
    <w:rPr>
      <w:lang w:eastAsia="tr-TR"/>
    </w:rPr>
  </w:style>
  <w:style w:type="character" w:styleId="EndnoteReference">
    <w:name w:val="endnote reference"/>
    <w:rsid w:val="00221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145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99CD-82D9-4ADA-8AE2-B60EDC84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baris.soybilgen</dc:creator>
  <cp:lastModifiedBy>merve.akgul</cp:lastModifiedBy>
  <cp:revision>2</cp:revision>
  <cp:lastPrinted>2014-02-06T07:08:00Z</cp:lastPrinted>
  <dcterms:created xsi:type="dcterms:W3CDTF">2014-06-09T12:43:00Z</dcterms:created>
  <dcterms:modified xsi:type="dcterms:W3CDTF">2014-06-09T12:43:00Z</dcterms:modified>
</cp:coreProperties>
</file>