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ECC" w:rsidRPr="0053729E" w:rsidRDefault="0035310C" w:rsidP="001E4BF5">
      <w:pPr>
        <w:spacing w:line="360" w:lineRule="auto"/>
        <w:ind w:right="-319"/>
        <w:jc w:val="center"/>
        <w:outlineLvl w:val="0"/>
        <w:rPr>
          <w:rFonts w:ascii="Arial" w:hAnsi="Arial" w:cs="Arial"/>
          <w:b/>
          <w:sz w:val="32"/>
          <w:szCs w:val="32"/>
        </w:rPr>
      </w:pPr>
      <w:r>
        <w:rPr>
          <w:rFonts w:ascii="Arial" w:hAnsi="Arial" w:cs="Arial"/>
          <w:b/>
          <w:noProof/>
          <w:sz w:val="32"/>
          <w:szCs w:val="32"/>
          <w:lang w:val="tr-TR"/>
        </w:rPr>
        <w:drawing>
          <wp:anchor distT="0" distB="0" distL="114300" distR="114300" simplePos="0" relativeHeight="251657728" behindDoc="1" locked="0" layoutInCell="1" allowOverlap="1">
            <wp:simplePos x="0" y="0"/>
            <wp:positionH relativeFrom="column">
              <wp:posOffset>-800100</wp:posOffset>
            </wp:positionH>
            <wp:positionV relativeFrom="paragraph">
              <wp:posOffset>-800100</wp:posOffset>
            </wp:positionV>
            <wp:extent cx="7315200" cy="1330325"/>
            <wp:effectExtent l="19050" t="0" r="0" b="0"/>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cstate="print"/>
                    <a:srcRect/>
                    <a:stretch>
                      <a:fillRect/>
                    </a:stretch>
                  </pic:blipFill>
                  <pic:spPr bwMode="auto">
                    <a:xfrm>
                      <a:off x="0" y="0"/>
                      <a:ext cx="7315200" cy="1330325"/>
                    </a:xfrm>
                    <a:prstGeom prst="rect">
                      <a:avLst/>
                    </a:prstGeom>
                    <a:noFill/>
                    <a:ln w="9525">
                      <a:noFill/>
                      <a:miter lim="800000"/>
                      <a:headEnd/>
                      <a:tailEnd/>
                    </a:ln>
                  </pic:spPr>
                </pic:pic>
              </a:graphicData>
            </a:graphic>
          </wp:anchor>
        </w:drawing>
      </w:r>
      <w:r w:rsidR="00F527C0">
        <w:rPr>
          <w:rFonts w:ascii="Arial" w:hAnsi="Arial" w:cs="Arial"/>
          <w:b/>
          <w:noProof/>
          <w:sz w:val="32"/>
          <w:szCs w:val="32"/>
          <w:lang w:val="tr-TR"/>
        </w:rPr>
        <mc:AlternateContent>
          <mc:Choice Requires="wps">
            <w:drawing>
              <wp:anchor distT="0" distB="0" distL="114935" distR="114935" simplePos="0" relativeHeight="251655680" behindDoc="0" locked="0" layoutInCell="1" allowOverlap="1">
                <wp:simplePos x="0" y="0"/>
                <wp:positionH relativeFrom="column">
                  <wp:posOffset>1485900</wp:posOffset>
                </wp:positionH>
                <wp:positionV relativeFrom="paragraph">
                  <wp:posOffset>-571500</wp:posOffset>
                </wp:positionV>
                <wp:extent cx="3963670" cy="568960"/>
                <wp:effectExtent l="0" t="0" r="0" b="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568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E74" w:rsidRPr="00342E6B" w:rsidRDefault="00900E74" w:rsidP="00024559">
                            <w:pPr>
                              <w:pStyle w:val="Heading1"/>
                              <w:rPr>
                                <w:rFonts w:ascii="Times New Roman" w:hAnsi="Times New Roman"/>
                                <w:sz w:val="40"/>
                                <w:szCs w:val="40"/>
                              </w:rPr>
                            </w:pPr>
                            <w:r>
                              <w:rPr>
                                <w:rFonts w:ascii="Times New Roman" w:hAnsi="Times New Roman"/>
                                <w:sz w:val="40"/>
                                <w:szCs w:val="40"/>
                              </w:rPr>
                              <w:t xml:space="preserve">Economic Outlook and Forecasts: </w:t>
                            </w:r>
                            <w:r w:rsidR="000126AE">
                              <w:rPr>
                                <w:rFonts w:ascii="Times New Roman" w:hAnsi="Times New Roman"/>
                                <w:sz w:val="40"/>
                                <w:szCs w:val="40"/>
                              </w:rPr>
                              <w:t>March</w:t>
                            </w:r>
                            <w:r w:rsidR="00CE6730">
                              <w:rPr>
                                <w:rFonts w:ascii="Times New Roman" w:hAnsi="Times New Roman"/>
                                <w:sz w:val="40"/>
                                <w:szCs w:val="40"/>
                              </w:rPr>
                              <w:t xml:space="preserve"> 2014</w:t>
                            </w:r>
                          </w:p>
                          <w:p w:rsidR="00900E74" w:rsidRPr="00A75A46" w:rsidRDefault="00900E74" w:rsidP="00024559">
                            <w:pPr>
                              <w:pStyle w:val="Heading2"/>
                              <w:rPr>
                                <w:b w:val="0"/>
                                <w:i w:val="0"/>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17pt;margin-top:-45pt;width:312.1pt;height:44.8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" stroked="f">
                <v:fill opacity="0"/>
                <v:textbox inset="0,0,0,0">
                  <w:txbxContent>
                    <w:p w:rsidR="00900E74" w:rsidRPr="00342E6B" w:rsidRDefault="00900E74" w:rsidP="00024559">
                      <w:pPr>
                        <w:pStyle w:val="Heading1"/>
                        <w:rPr>
                          <w:rFonts w:ascii="Times New Roman" w:hAnsi="Times New Roman"/>
                          <w:sz w:val="40"/>
                          <w:szCs w:val="40"/>
                        </w:rPr>
                      </w:pPr>
                      <w:r>
                        <w:rPr>
                          <w:rFonts w:ascii="Times New Roman" w:hAnsi="Times New Roman"/>
                          <w:sz w:val="40"/>
                          <w:szCs w:val="40"/>
                        </w:rPr>
                        <w:t xml:space="preserve">Economic Outlook and Forecasts: </w:t>
                      </w:r>
                      <w:r w:rsidR="000126AE">
                        <w:rPr>
                          <w:rFonts w:ascii="Times New Roman" w:hAnsi="Times New Roman"/>
                          <w:sz w:val="40"/>
                          <w:szCs w:val="40"/>
                        </w:rPr>
                        <w:t>March</w:t>
                      </w:r>
                      <w:r w:rsidR="00CE6730">
                        <w:rPr>
                          <w:rFonts w:ascii="Times New Roman" w:hAnsi="Times New Roman"/>
                          <w:sz w:val="40"/>
                          <w:szCs w:val="40"/>
                        </w:rPr>
                        <w:t xml:space="preserve"> 2014</w:t>
                      </w:r>
                    </w:p>
                    <w:p w:rsidR="00900E74" w:rsidRPr="00A75A46" w:rsidRDefault="00900E74" w:rsidP="00024559">
                      <w:pPr>
                        <w:pStyle w:val="Heading2"/>
                        <w:rPr>
                          <w:b w:val="0"/>
                          <w:i w:val="0"/>
                          <w:lang w:val="nl-NL"/>
                        </w:rPr>
                      </w:pPr>
                    </w:p>
                  </w:txbxContent>
                </v:textbox>
              </v:shape>
            </w:pict>
          </mc:Fallback>
        </mc:AlternateContent>
      </w:r>
    </w:p>
    <w:p w:rsidR="00357ECC" w:rsidRPr="0053729E" w:rsidRDefault="00F527C0" w:rsidP="001E4BF5">
      <w:pPr>
        <w:spacing w:line="360" w:lineRule="auto"/>
        <w:ind w:right="-319"/>
        <w:jc w:val="center"/>
        <w:outlineLvl w:val="0"/>
        <w:rPr>
          <w:rFonts w:ascii="Arial" w:hAnsi="Arial" w:cs="Arial"/>
          <w:b/>
          <w:sz w:val="32"/>
          <w:szCs w:val="32"/>
        </w:rPr>
      </w:pPr>
      <w:r>
        <w:rPr>
          <w:rFonts w:ascii="Arial" w:hAnsi="Arial" w:cs="Arial"/>
          <w:b/>
          <w:noProof/>
          <w:lang w:val="tr-TR"/>
        </w:rPr>
        <w:lastRenderedPageBreak/>
        <mc:AlternateContent>
          <mc:Choice Requires="wps">
            <w:drawing>
              <wp:anchor distT="0" distB="0" distL="114935" distR="114935" simplePos="0" relativeHeight="251656704" behindDoc="0" locked="0" layoutInCell="1" allowOverlap="1">
                <wp:simplePos x="0" y="0"/>
                <wp:positionH relativeFrom="column">
                  <wp:posOffset>2063750</wp:posOffset>
                </wp:positionH>
                <wp:positionV relativeFrom="paragraph">
                  <wp:posOffset>114300</wp:posOffset>
                </wp:positionV>
                <wp:extent cx="1743710" cy="348615"/>
                <wp:effectExtent l="0" t="0" r="0" b="0"/>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3486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E74" w:rsidRPr="0015586B" w:rsidRDefault="00D22E78" w:rsidP="00FA48DD">
                            <w:pPr>
                              <w:pStyle w:val="Heading3"/>
                              <w:tabs>
                                <w:tab w:val="clear" w:pos="720"/>
                              </w:tabs>
                              <w:ind w:left="0" w:firstLine="0"/>
                              <w:rPr>
                                <w:color w:val="FFFFFF"/>
                                <w:sz w:val="22"/>
                                <w:szCs w:val="22"/>
                                <w:lang w:val="tr-TR"/>
                              </w:rPr>
                            </w:pPr>
                            <w:r>
                              <w:rPr>
                                <w:color w:val="FFFFFF"/>
                                <w:sz w:val="22"/>
                                <w:szCs w:val="22"/>
                                <w:lang w:val="tr-TR"/>
                              </w:rPr>
                              <w:t>March</w:t>
                            </w:r>
                            <w:r w:rsidR="00A84B9A">
                              <w:rPr>
                                <w:color w:val="FFFFFF"/>
                                <w:sz w:val="22"/>
                                <w:szCs w:val="22"/>
                                <w:lang w:val="tr-TR"/>
                              </w:rPr>
                              <w:t xml:space="preserve"> </w:t>
                            </w:r>
                            <w:r w:rsidR="000126AE">
                              <w:rPr>
                                <w:color w:val="FFFFFF"/>
                                <w:sz w:val="22"/>
                                <w:szCs w:val="22"/>
                                <w:lang w:val="tr-TR"/>
                              </w:rPr>
                              <w:t>28</w:t>
                            </w:r>
                            <w:r w:rsidR="00900E74">
                              <w:rPr>
                                <w:color w:val="FFFFFF"/>
                                <w:sz w:val="22"/>
                                <w:szCs w:val="22"/>
                                <w:lang w:val="tr-TR"/>
                              </w:rPr>
                              <w:t>,</w:t>
                            </w:r>
                            <w:r w:rsidR="00D8530B">
                              <w:rPr>
                                <w:color w:val="FFFFFF"/>
                                <w:sz w:val="22"/>
                                <w:szCs w:val="22"/>
                                <w:lang w:val="tr-TR"/>
                              </w:rPr>
                              <w:t xml:space="preserve"> 2014</w:t>
                            </w:r>
                          </w:p>
                          <w:p w:rsidR="00900E74" w:rsidRDefault="00900E74" w:rsidP="000245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162.5pt;margin-top:9pt;width:137.3pt;height:27.4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zLjgIAACQ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" stroked="f">
                <v:fill opacity="0"/>
                <v:textbox inset="0,0,0,0">
                  <w:txbxContent>
                    <w:p w:rsidR="00900E74" w:rsidRPr="0015586B" w:rsidRDefault="00D22E78" w:rsidP="00FA48DD">
                      <w:pPr>
                        <w:pStyle w:val="Heading3"/>
                        <w:tabs>
                          <w:tab w:val="clear" w:pos="720"/>
                        </w:tabs>
                        <w:ind w:left="0" w:firstLine="0"/>
                        <w:rPr>
                          <w:color w:val="FFFFFF"/>
                          <w:sz w:val="22"/>
                          <w:szCs w:val="22"/>
                          <w:lang w:val="tr-TR"/>
                        </w:rPr>
                      </w:pPr>
                      <w:r>
                        <w:rPr>
                          <w:color w:val="FFFFFF"/>
                          <w:sz w:val="22"/>
                          <w:szCs w:val="22"/>
                          <w:lang w:val="tr-TR"/>
                        </w:rPr>
                        <w:t>March</w:t>
                      </w:r>
                      <w:r w:rsidR="00A84B9A">
                        <w:rPr>
                          <w:color w:val="FFFFFF"/>
                          <w:sz w:val="22"/>
                          <w:szCs w:val="22"/>
                          <w:lang w:val="tr-TR"/>
                        </w:rPr>
                        <w:t xml:space="preserve"> </w:t>
                      </w:r>
                      <w:r w:rsidR="000126AE">
                        <w:rPr>
                          <w:color w:val="FFFFFF"/>
                          <w:sz w:val="22"/>
                          <w:szCs w:val="22"/>
                          <w:lang w:val="tr-TR"/>
                        </w:rPr>
                        <w:t>28</w:t>
                      </w:r>
                      <w:r w:rsidR="00900E74">
                        <w:rPr>
                          <w:color w:val="FFFFFF"/>
                          <w:sz w:val="22"/>
                          <w:szCs w:val="22"/>
                          <w:lang w:val="tr-TR"/>
                        </w:rPr>
                        <w:t>,</w:t>
                      </w:r>
                      <w:r w:rsidR="00D8530B">
                        <w:rPr>
                          <w:color w:val="FFFFFF"/>
                          <w:sz w:val="22"/>
                          <w:szCs w:val="22"/>
                          <w:lang w:val="tr-TR"/>
                        </w:rPr>
                        <w:t xml:space="preserve"> 2014</w:t>
                      </w:r>
                    </w:p>
                    <w:p w:rsidR="00900E74" w:rsidRDefault="00900E74" w:rsidP="00024559"/>
                  </w:txbxContent>
                </v:textbox>
              </v:shape>
            </w:pict>
          </mc:Fallback>
        </mc:AlternateContent>
      </w:r>
    </w:p>
    <w:p w:rsidR="00357ECC" w:rsidRPr="0053729E" w:rsidRDefault="00357ECC" w:rsidP="001E4BF5">
      <w:pPr>
        <w:spacing w:line="360" w:lineRule="auto"/>
        <w:ind w:right="-319"/>
        <w:jc w:val="center"/>
        <w:outlineLvl w:val="0"/>
        <w:rPr>
          <w:rFonts w:ascii="Arial" w:hAnsi="Arial" w:cs="Arial"/>
          <w:b/>
          <w:sz w:val="32"/>
          <w:szCs w:val="32"/>
        </w:rPr>
        <w:sectPr w:rsidR="00357ECC" w:rsidRPr="0053729E" w:rsidSect="00357ECC">
          <w:pgSz w:w="11906" w:h="16838"/>
          <w:pgMar w:top="1417" w:right="1417" w:bottom="1417" w:left="1417" w:header="708" w:footer="708" w:gutter="0"/>
          <w:cols w:num="2" w:space="708" w:equalWidth="0">
            <w:col w:w="4182" w:space="708"/>
            <w:col w:w="4182"/>
          </w:cols>
          <w:docGrid w:linePitch="360"/>
        </w:sectPr>
      </w:pPr>
    </w:p>
    <w:p w:rsidR="00357ECC" w:rsidRPr="0053729E" w:rsidRDefault="00357ECC" w:rsidP="001E4BF5">
      <w:pPr>
        <w:spacing w:line="360" w:lineRule="auto"/>
        <w:ind w:right="-319"/>
        <w:outlineLvl w:val="0"/>
        <w:rPr>
          <w:rFonts w:ascii="Arial" w:hAnsi="Arial" w:cs="Arial"/>
          <w:b/>
          <w:sz w:val="32"/>
          <w:szCs w:val="32"/>
        </w:rPr>
      </w:pPr>
    </w:p>
    <w:p w:rsidR="00FD3A91" w:rsidRDefault="00FD3A91" w:rsidP="00FD3A91">
      <w:pPr>
        <w:ind w:right="-317"/>
        <w:jc w:val="center"/>
        <w:outlineLvl w:val="0"/>
        <w:rPr>
          <w:rFonts w:ascii="Arial" w:hAnsi="Arial" w:cs="Arial"/>
          <w:b/>
          <w:bCs/>
          <w:caps/>
          <w:sz w:val="28"/>
          <w:szCs w:val="28"/>
        </w:rPr>
      </w:pPr>
      <w:r>
        <w:rPr>
          <w:rFonts w:ascii="Arial" w:hAnsi="Arial" w:cs="Arial"/>
          <w:b/>
          <w:bCs/>
          <w:caps/>
          <w:sz w:val="28"/>
          <w:szCs w:val="28"/>
        </w:rPr>
        <w:t>Domestıc demand under pressur</w:t>
      </w:r>
      <w:r w:rsidR="009465C9">
        <w:rPr>
          <w:rFonts w:ascii="Arial" w:hAnsi="Arial" w:cs="Arial"/>
          <w:b/>
          <w:bCs/>
          <w:caps/>
          <w:sz w:val="28"/>
          <w:szCs w:val="28"/>
        </w:rPr>
        <w:t>e</w:t>
      </w:r>
      <w:bookmarkStart w:id="0" w:name="_GoBack"/>
      <w:bookmarkEnd w:id="0"/>
    </w:p>
    <w:p w:rsidR="00FD3A91" w:rsidRDefault="00FD3A91" w:rsidP="00FD3A91">
      <w:pPr>
        <w:ind w:right="-317"/>
        <w:jc w:val="center"/>
        <w:outlineLvl w:val="0"/>
        <w:rPr>
          <w:rFonts w:ascii="Arial" w:hAnsi="Arial" w:cs="Arial"/>
          <w:b/>
          <w:bCs/>
          <w:caps/>
          <w:sz w:val="28"/>
          <w:szCs w:val="28"/>
        </w:rPr>
      </w:pPr>
    </w:p>
    <w:p w:rsidR="002F72AA" w:rsidRDefault="002F72AA" w:rsidP="00FD3A91">
      <w:pPr>
        <w:ind w:right="-317"/>
        <w:jc w:val="center"/>
        <w:outlineLvl w:val="0"/>
        <w:rPr>
          <w:rFonts w:ascii="Arial" w:hAnsi="Arial" w:cs="Arial"/>
          <w:b/>
          <w:bCs/>
          <w:sz w:val="21"/>
          <w:szCs w:val="21"/>
        </w:rPr>
      </w:pPr>
    </w:p>
    <w:p w:rsidR="00FD3A91" w:rsidRPr="00D63675" w:rsidRDefault="00FD3A91" w:rsidP="00FD3A91">
      <w:pPr>
        <w:ind w:right="-317"/>
        <w:jc w:val="center"/>
        <w:outlineLvl w:val="0"/>
        <w:rPr>
          <w:rFonts w:ascii="Arial" w:hAnsi="Arial" w:cs="Arial"/>
          <w:b/>
          <w:bCs/>
          <w:sz w:val="21"/>
          <w:szCs w:val="21"/>
          <w:vertAlign w:val="superscript"/>
        </w:rPr>
      </w:pPr>
      <w:proofErr w:type="spellStart"/>
      <w:r w:rsidRPr="00D63675">
        <w:rPr>
          <w:rFonts w:ascii="Arial" w:hAnsi="Arial" w:cs="Arial"/>
          <w:b/>
          <w:bCs/>
          <w:sz w:val="21"/>
          <w:szCs w:val="21"/>
        </w:rPr>
        <w:t>Zümrüt</w:t>
      </w:r>
      <w:proofErr w:type="spellEnd"/>
      <w:r w:rsidRPr="00D63675">
        <w:rPr>
          <w:rFonts w:ascii="Arial" w:hAnsi="Arial" w:cs="Arial"/>
          <w:b/>
          <w:bCs/>
          <w:sz w:val="21"/>
          <w:szCs w:val="21"/>
        </w:rPr>
        <w:t xml:space="preserve"> </w:t>
      </w:r>
      <w:proofErr w:type="spellStart"/>
      <w:r w:rsidRPr="00D63675">
        <w:rPr>
          <w:rFonts w:ascii="Arial" w:hAnsi="Arial" w:cs="Arial"/>
          <w:b/>
          <w:bCs/>
          <w:sz w:val="21"/>
          <w:szCs w:val="21"/>
        </w:rPr>
        <w:t>İmamoğlu</w:t>
      </w:r>
      <w:proofErr w:type="spellEnd"/>
      <w:r w:rsidRPr="00D63675">
        <w:rPr>
          <w:rFonts w:ascii="Arial" w:hAnsi="Arial" w:cs="Arial"/>
          <w:b/>
          <w:bCs/>
          <w:sz w:val="21"/>
          <w:szCs w:val="21"/>
        </w:rPr>
        <w:t xml:space="preserve">* </w:t>
      </w:r>
      <w:proofErr w:type="spellStart"/>
      <w:r w:rsidRPr="00D63675">
        <w:rPr>
          <w:rFonts w:ascii="Arial" w:hAnsi="Arial" w:cs="Arial"/>
          <w:b/>
          <w:bCs/>
          <w:sz w:val="21"/>
          <w:szCs w:val="21"/>
        </w:rPr>
        <w:t>ve</w:t>
      </w:r>
      <w:proofErr w:type="spellEnd"/>
      <w:r w:rsidRPr="00D63675">
        <w:rPr>
          <w:rFonts w:ascii="Arial" w:hAnsi="Arial" w:cs="Arial"/>
          <w:b/>
          <w:bCs/>
          <w:sz w:val="21"/>
          <w:szCs w:val="21"/>
        </w:rPr>
        <w:t xml:space="preserve"> </w:t>
      </w:r>
      <w:proofErr w:type="spellStart"/>
      <w:r w:rsidRPr="00D63675">
        <w:rPr>
          <w:rFonts w:ascii="Arial" w:hAnsi="Arial" w:cs="Arial"/>
          <w:b/>
          <w:bCs/>
          <w:sz w:val="21"/>
          <w:szCs w:val="21"/>
        </w:rPr>
        <w:t>Barış</w:t>
      </w:r>
      <w:proofErr w:type="spellEnd"/>
      <w:r w:rsidRPr="00D63675">
        <w:rPr>
          <w:rFonts w:ascii="Arial" w:hAnsi="Arial" w:cs="Arial"/>
          <w:b/>
          <w:bCs/>
          <w:sz w:val="21"/>
          <w:szCs w:val="21"/>
        </w:rPr>
        <w:t xml:space="preserve"> </w:t>
      </w:r>
      <w:proofErr w:type="spellStart"/>
      <w:r w:rsidRPr="00D63675">
        <w:rPr>
          <w:rFonts w:ascii="Arial" w:hAnsi="Arial" w:cs="Arial"/>
          <w:b/>
          <w:bCs/>
          <w:sz w:val="21"/>
          <w:szCs w:val="21"/>
        </w:rPr>
        <w:t>Soybilgen</w:t>
      </w:r>
      <w:proofErr w:type="spellEnd"/>
      <w:r>
        <w:rPr>
          <w:rFonts w:ascii="Arial" w:hAnsi="Arial" w:cs="Arial"/>
          <w:b/>
          <w:bCs/>
          <w:sz w:val="21"/>
          <w:szCs w:val="21"/>
          <w:vertAlign w:val="superscript"/>
        </w:rPr>
        <w:t>**</w:t>
      </w:r>
    </w:p>
    <w:p w:rsidR="00FD3A91" w:rsidRDefault="00FD3A91" w:rsidP="00FD3A91">
      <w:pPr>
        <w:spacing w:line="360" w:lineRule="auto"/>
        <w:ind w:right="-319"/>
        <w:jc w:val="center"/>
        <w:outlineLvl w:val="0"/>
        <w:rPr>
          <w:rFonts w:ascii="Arial" w:hAnsi="Arial" w:cs="Arial"/>
          <w:sz w:val="22"/>
          <w:szCs w:val="22"/>
          <w:vertAlign w:val="superscript"/>
        </w:rPr>
      </w:pPr>
    </w:p>
    <w:p w:rsidR="002F72AA" w:rsidRDefault="002F72AA" w:rsidP="00FD3A91">
      <w:pPr>
        <w:spacing w:line="360" w:lineRule="auto"/>
        <w:ind w:right="-319"/>
        <w:jc w:val="center"/>
        <w:outlineLvl w:val="0"/>
        <w:rPr>
          <w:rFonts w:ascii="Arial" w:hAnsi="Arial" w:cs="Arial"/>
          <w:sz w:val="22"/>
          <w:szCs w:val="22"/>
          <w:vertAlign w:val="superscript"/>
        </w:rPr>
      </w:pPr>
    </w:p>
    <w:p w:rsidR="00FD3A91" w:rsidRPr="004A7FE6" w:rsidRDefault="00FD3A91" w:rsidP="00FD3A91">
      <w:pPr>
        <w:spacing w:line="360" w:lineRule="auto"/>
        <w:ind w:right="-319"/>
        <w:jc w:val="center"/>
        <w:outlineLvl w:val="0"/>
        <w:rPr>
          <w:rFonts w:ascii="Arial" w:hAnsi="Arial" w:cs="Arial"/>
          <w:sz w:val="22"/>
          <w:szCs w:val="22"/>
          <w:vertAlign w:val="superscript"/>
        </w:rPr>
        <w:sectPr w:rsidR="00FD3A91" w:rsidRPr="004A7FE6" w:rsidSect="008651A8">
          <w:type w:val="continuous"/>
          <w:pgSz w:w="11906" w:h="16838"/>
          <w:pgMar w:top="1417" w:right="1417" w:bottom="1417" w:left="1417" w:header="708" w:footer="708" w:gutter="0"/>
          <w:cols w:space="708"/>
          <w:docGrid w:linePitch="360"/>
        </w:sectPr>
      </w:pPr>
    </w:p>
    <w:p w:rsidR="00FD3A91" w:rsidRDefault="00FD3A91" w:rsidP="00FD3A91">
      <w:pPr>
        <w:spacing w:line="360" w:lineRule="auto"/>
        <w:ind w:left="-360" w:right="42" w:firstLine="360"/>
        <w:jc w:val="center"/>
        <w:rPr>
          <w:b/>
          <w:bCs/>
          <w:sz w:val="22"/>
          <w:szCs w:val="22"/>
        </w:rPr>
      </w:pPr>
      <w:r>
        <w:rPr>
          <w:b/>
          <w:bCs/>
          <w:sz w:val="22"/>
          <w:szCs w:val="22"/>
        </w:rPr>
        <w:lastRenderedPageBreak/>
        <w:t>Executive Summary</w:t>
      </w:r>
    </w:p>
    <w:p w:rsidR="00FD3A91" w:rsidRPr="00D5466C" w:rsidRDefault="00FD3A91" w:rsidP="00FD3A91">
      <w:pPr>
        <w:spacing w:line="360" w:lineRule="auto"/>
        <w:ind w:left="-360" w:right="42" w:firstLine="360"/>
        <w:jc w:val="center"/>
        <w:rPr>
          <w:b/>
          <w:bCs/>
          <w:sz w:val="10"/>
          <w:szCs w:val="10"/>
        </w:rPr>
      </w:pPr>
    </w:p>
    <w:p w:rsidR="00FD3A91" w:rsidRDefault="00FD3A91" w:rsidP="00FD3A91">
      <w:pPr>
        <w:spacing w:line="360" w:lineRule="auto"/>
        <w:ind w:left="-360" w:right="40"/>
        <w:jc w:val="both"/>
        <w:rPr>
          <w:sz w:val="22"/>
          <w:szCs w:val="22"/>
        </w:rPr>
      </w:pPr>
      <w:r>
        <w:rPr>
          <w:sz w:val="22"/>
          <w:szCs w:val="22"/>
        </w:rPr>
        <w:t xml:space="preserve">In January, </w:t>
      </w:r>
      <w:r w:rsidRPr="00D911FE">
        <w:rPr>
          <w:sz w:val="22"/>
          <w:szCs w:val="22"/>
        </w:rPr>
        <w:t>seasonally adjusted Industrial Production Index (IPI)</w:t>
      </w:r>
      <w:r>
        <w:rPr>
          <w:sz w:val="22"/>
          <w:szCs w:val="22"/>
        </w:rPr>
        <w:t xml:space="preserve"> increased by 1.1 percent from the previous month. Export volume index increased by 1.1 percent, whereas import volume index decreased by</w:t>
      </w:r>
      <w:r w:rsidR="00CE45E3">
        <w:rPr>
          <w:sz w:val="22"/>
          <w:szCs w:val="22"/>
        </w:rPr>
        <w:t xml:space="preserve"> 0.5 percent. </w:t>
      </w:r>
      <w:r w:rsidR="00A77BC7">
        <w:rPr>
          <w:sz w:val="22"/>
          <w:szCs w:val="22"/>
        </w:rPr>
        <w:t>I</w:t>
      </w:r>
      <w:r w:rsidR="00A81B93">
        <w:rPr>
          <w:sz w:val="22"/>
          <w:szCs w:val="22"/>
        </w:rPr>
        <w:t>ndustrial production accelerated due to the increase in exports</w:t>
      </w:r>
      <w:r w:rsidR="00A77BC7">
        <w:rPr>
          <w:sz w:val="22"/>
          <w:szCs w:val="22"/>
        </w:rPr>
        <w:t xml:space="preserve"> supported by broadening recovery in Europe</w:t>
      </w:r>
      <w:r w:rsidR="00A81B93">
        <w:rPr>
          <w:sz w:val="22"/>
          <w:szCs w:val="22"/>
        </w:rPr>
        <w:t>.</w:t>
      </w:r>
      <w:r>
        <w:rPr>
          <w:sz w:val="22"/>
          <w:szCs w:val="22"/>
        </w:rPr>
        <w:t xml:space="preserve"> However, economic indicators relating to inve</w:t>
      </w:r>
      <w:r w:rsidR="00D5466C">
        <w:rPr>
          <w:sz w:val="22"/>
          <w:szCs w:val="22"/>
        </w:rPr>
        <w:t xml:space="preserve">stment and consumption </w:t>
      </w:r>
      <w:r w:rsidR="00A77BC7">
        <w:rPr>
          <w:sz w:val="22"/>
          <w:szCs w:val="22"/>
        </w:rPr>
        <w:t>are mostly negative</w:t>
      </w:r>
      <w:r>
        <w:rPr>
          <w:sz w:val="22"/>
          <w:szCs w:val="22"/>
        </w:rPr>
        <w:t>. We expect that net exports will be</w:t>
      </w:r>
      <w:r w:rsidR="00D5466C">
        <w:rPr>
          <w:sz w:val="22"/>
          <w:szCs w:val="22"/>
        </w:rPr>
        <w:t xml:space="preserve"> the</w:t>
      </w:r>
      <w:r>
        <w:rPr>
          <w:sz w:val="22"/>
          <w:szCs w:val="22"/>
        </w:rPr>
        <w:t xml:space="preserve"> main engine of growth</w:t>
      </w:r>
      <w:r w:rsidR="00A77BC7">
        <w:rPr>
          <w:sz w:val="22"/>
          <w:szCs w:val="22"/>
        </w:rPr>
        <w:t xml:space="preserve"> in the first quarter</w:t>
      </w:r>
      <w:r>
        <w:rPr>
          <w:sz w:val="22"/>
          <w:szCs w:val="22"/>
        </w:rPr>
        <w:t xml:space="preserve">.  </w:t>
      </w:r>
    </w:p>
    <w:p w:rsidR="00FD3A91" w:rsidRDefault="00FD3A91" w:rsidP="00FD3A91">
      <w:pPr>
        <w:spacing w:line="360" w:lineRule="auto"/>
        <w:ind w:left="-360" w:right="40"/>
        <w:jc w:val="both"/>
        <w:rPr>
          <w:sz w:val="22"/>
          <w:szCs w:val="22"/>
        </w:rPr>
      </w:pPr>
    </w:p>
    <w:p w:rsidR="00FD3A91" w:rsidRDefault="009E42C2" w:rsidP="00FD3A91">
      <w:pPr>
        <w:spacing w:line="360" w:lineRule="auto"/>
        <w:ind w:left="-360" w:right="40"/>
        <w:jc w:val="both"/>
        <w:rPr>
          <w:sz w:val="22"/>
          <w:szCs w:val="22"/>
        </w:rPr>
      </w:pPr>
      <w:r>
        <w:rPr>
          <w:sz w:val="22"/>
          <w:szCs w:val="22"/>
        </w:rPr>
        <w:t>Strong</w:t>
      </w:r>
      <w:r w:rsidR="00D5466C">
        <w:rPr>
          <w:sz w:val="22"/>
          <w:szCs w:val="22"/>
        </w:rPr>
        <w:t xml:space="preserve"> data on exports and production</w:t>
      </w:r>
      <w:r w:rsidR="00FD3A91">
        <w:rPr>
          <w:sz w:val="22"/>
          <w:szCs w:val="22"/>
        </w:rPr>
        <w:t xml:space="preserve"> in January push our forecast for the first quarter above </w:t>
      </w:r>
      <w:r w:rsidR="00670CDF">
        <w:rPr>
          <w:sz w:val="22"/>
          <w:szCs w:val="22"/>
        </w:rPr>
        <w:t xml:space="preserve">our </w:t>
      </w:r>
      <w:r w:rsidR="00FD3A91">
        <w:rPr>
          <w:sz w:val="22"/>
          <w:szCs w:val="22"/>
        </w:rPr>
        <w:t xml:space="preserve">expectations. Our quarter on </w:t>
      </w:r>
      <w:r>
        <w:rPr>
          <w:sz w:val="22"/>
          <w:szCs w:val="22"/>
        </w:rPr>
        <w:t>quarter growth forecast</w:t>
      </w:r>
      <w:r w:rsidR="00FD3A91">
        <w:rPr>
          <w:sz w:val="22"/>
          <w:szCs w:val="22"/>
        </w:rPr>
        <w:t xml:space="preserve"> is 0.5 percent, and the corresponding year on year (</w:t>
      </w:r>
      <w:proofErr w:type="spellStart"/>
      <w:r w:rsidR="00FD3A91">
        <w:rPr>
          <w:sz w:val="22"/>
          <w:szCs w:val="22"/>
        </w:rPr>
        <w:t>YoY</w:t>
      </w:r>
      <w:proofErr w:type="spellEnd"/>
      <w:r w:rsidR="00FD3A91">
        <w:rPr>
          <w:sz w:val="22"/>
          <w:szCs w:val="22"/>
        </w:rPr>
        <w:t>) forecast is 3.8 percent. Current account in January was belo</w:t>
      </w:r>
      <w:r>
        <w:rPr>
          <w:sz w:val="22"/>
          <w:szCs w:val="22"/>
        </w:rPr>
        <w:t>w expectations at</w:t>
      </w:r>
      <w:r w:rsidR="00D5466C">
        <w:rPr>
          <w:sz w:val="22"/>
          <w:szCs w:val="22"/>
        </w:rPr>
        <w:t xml:space="preserve"> </w:t>
      </w:r>
      <w:r>
        <w:rPr>
          <w:sz w:val="22"/>
          <w:szCs w:val="22"/>
        </w:rPr>
        <w:t>$</w:t>
      </w:r>
      <w:r w:rsidR="00D5466C">
        <w:rPr>
          <w:sz w:val="22"/>
          <w:szCs w:val="22"/>
        </w:rPr>
        <w:t>4.9 billion</w:t>
      </w:r>
      <w:r w:rsidR="00FD3A91">
        <w:rPr>
          <w:sz w:val="22"/>
          <w:szCs w:val="22"/>
        </w:rPr>
        <w:t xml:space="preserve">. 12-month </w:t>
      </w:r>
      <w:r>
        <w:rPr>
          <w:sz w:val="22"/>
          <w:szCs w:val="22"/>
        </w:rPr>
        <w:t xml:space="preserve">rolling </w:t>
      </w:r>
      <w:r w:rsidR="00FD3A91">
        <w:rPr>
          <w:sz w:val="22"/>
          <w:szCs w:val="22"/>
        </w:rPr>
        <w:t xml:space="preserve">current account deficit fell by </w:t>
      </w:r>
      <w:r>
        <w:rPr>
          <w:sz w:val="22"/>
          <w:szCs w:val="22"/>
        </w:rPr>
        <w:t>$</w:t>
      </w:r>
      <w:r w:rsidR="00FD3A91">
        <w:rPr>
          <w:sz w:val="22"/>
          <w:szCs w:val="22"/>
        </w:rPr>
        <w:t xml:space="preserve">1 billion and was </w:t>
      </w:r>
      <w:r>
        <w:rPr>
          <w:sz w:val="22"/>
          <w:szCs w:val="22"/>
        </w:rPr>
        <w:t>$</w:t>
      </w:r>
      <w:r w:rsidR="00FD3A91">
        <w:rPr>
          <w:sz w:val="22"/>
          <w:szCs w:val="22"/>
        </w:rPr>
        <w:t xml:space="preserve">64 billion. </w:t>
      </w:r>
      <w:r w:rsidR="00D5466C">
        <w:rPr>
          <w:sz w:val="22"/>
          <w:szCs w:val="22"/>
        </w:rPr>
        <w:t xml:space="preserve">We expect the </w:t>
      </w:r>
      <w:r w:rsidR="00D5466C" w:rsidRPr="00D911FE">
        <w:rPr>
          <w:sz w:val="22"/>
          <w:szCs w:val="22"/>
        </w:rPr>
        <w:t>current account deficit to GDP</w:t>
      </w:r>
      <w:r>
        <w:rPr>
          <w:sz w:val="22"/>
          <w:szCs w:val="22"/>
        </w:rPr>
        <w:t xml:space="preserve"> ratio</w:t>
      </w:r>
      <w:r w:rsidR="00D5466C">
        <w:rPr>
          <w:sz w:val="22"/>
          <w:szCs w:val="22"/>
        </w:rPr>
        <w:t xml:space="preserve"> </w:t>
      </w:r>
      <w:r>
        <w:rPr>
          <w:sz w:val="22"/>
          <w:szCs w:val="22"/>
        </w:rPr>
        <w:t>to</w:t>
      </w:r>
      <w:r w:rsidR="00D5466C">
        <w:rPr>
          <w:sz w:val="22"/>
          <w:szCs w:val="22"/>
        </w:rPr>
        <w:t xml:space="preserve"> remain at 7.</w:t>
      </w:r>
      <w:r w:rsidR="00A47F2D">
        <w:rPr>
          <w:sz w:val="22"/>
          <w:szCs w:val="22"/>
        </w:rPr>
        <w:t xml:space="preserve">9 percent in the first quarter and </w:t>
      </w:r>
      <w:r w:rsidR="00FD3A91">
        <w:rPr>
          <w:sz w:val="22"/>
          <w:szCs w:val="22"/>
        </w:rPr>
        <w:t xml:space="preserve">gold excluded current account deficit </w:t>
      </w:r>
      <w:r w:rsidR="00A47F2D">
        <w:rPr>
          <w:sz w:val="22"/>
          <w:szCs w:val="22"/>
        </w:rPr>
        <w:t>to be</w:t>
      </w:r>
      <w:r w:rsidR="00FD3A91">
        <w:rPr>
          <w:sz w:val="22"/>
          <w:szCs w:val="22"/>
        </w:rPr>
        <w:t xml:space="preserve"> 6.5 percent.</w:t>
      </w:r>
    </w:p>
    <w:p w:rsidR="00D5466C" w:rsidRDefault="00D5466C" w:rsidP="00FD3A91">
      <w:pPr>
        <w:spacing w:line="360" w:lineRule="auto"/>
        <w:ind w:left="-360" w:right="40"/>
        <w:jc w:val="both"/>
        <w:rPr>
          <w:sz w:val="22"/>
          <w:szCs w:val="22"/>
        </w:rPr>
      </w:pPr>
    </w:p>
    <w:p w:rsidR="00FD3A91" w:rsidRDefault="00F527C0" w:rsidP="00FD3A91">
      <w:pPr>
        <w:spacing w:line="288" w:lineRule="auto"/>
        <w:ind w:right="-318"/>
        <w:jc w:val="both"/>
        <w:rPr>
          <w:rFonts w:ascii="Arial" w:hAnsi="Arial" w:cs="Arial"/>
          <w:sz w:val="16"/>
          <w:szCs w:val="16"/>
        </w:rPr>
      </w:pPr>
      <w:r>
        <w:rPr>
          <w:noProof/>
          <w:lang w:val="tr-TR"/>
        </w:rPr>
        <mc:AlternateContent>
          <mc:Choice Requires="wps">
            <w:drawing>
              <wp:anchor distT="0" distB="0" distL="114300" distR="114300" simplePos="0" relativeHeight="251658752" behindDoc="0" locked="0" layoutInCell="1" allowOverlap="1">
                <wp:simplePos x="0" y="0"/>
                <wp:positionH relativeFrom="column">
                  <wp:posOffset>-219075</wp:posOffset>
                </wp:positionH>
                <wp:positionV relativeFrom="paragraph">
                  <wp:posOffset>67945</wp:posOffset>
                </wp:positionV>
                <wp:extent cx="2514600" cy="635"/>
                <wp:effectExtent l="0" t="0" r="19050" b="3746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5.35pt" to="180.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"/>
            </w:pict>
          </mc:Fallback>
        </mc:AlternateContent>
      </w:r>
      <w:r>
        <w:rPr>
          <w:rFonts w:ascii="Arial" w:hAnsi="Arial" w:cs="Arial"/>
          <w:noProof/>
          <w:sz w:val="16"/>
          <w:szCs w:val="16"/>
          <w:lang w:val="tr-TR"/>
        </w:rPr>
        <mc:AlternateContent>
          <mc:Choice Requires="wpc">
            <w:drawing>
              <wp:inline distT="0" distB="0" distL="0" distR="0">
                <wp:extent cx="2514600" cy="45720"/>
                <wp:effectExtent l="0" t="0" r="0" b="0"/>
                <wp:docPr id="2" name="Canvas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9" o:spid="_x0000_s1026" editas="canvas" style="width:198pt;height:3.6pt;mso-position-horizontal-relative:char;mso-position-vertical-relative:line" coordsize="2514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146;height:457;visibility:visible;mso-wrap-style:square">
                  <v:fill o:detectmouseclick="t"/>
                  <v:path o:connecttype="none"/>
                </v:shape>
                <w10:anchorlock/>
              </v:group>
            </w:pict>
          </mc:Fallback>
        </mc:AlternateContent>
      </w:r>
    </w:p>
    <w:p w:rsidR="000126AE" w:rsidRPr="006F3F45" w:rsidRDefault="000126AE" w:rsidP="000126AE">
      <w:pPr>
        <w:spacing w:line="288" w:lineRule="auto"/>
        <w:ind w:left="-360" w:right="-318"/>
        <w:jc w:val="both"/>
        <w:rPr>
          <w:sz w:val="16"/>
          <w:szCs w:val="16"/>
        </w:rPr>
      </w:pPr>
      <w:proofErr w:type="gramStart"/>
      <w:r w:rsidRPr="006F3F45">
        <w:rPr>
          <w:sz w:val="16"/>
          <w:szCs w:val="16"/>
        </w:rPr>
        <w:t xml:space="preserve">* Dr. </w:t>
      </w:r>
      <w:proofErr w:type="spellStart"/>
      <w:r w:rsidRPr="006F3F45">
        <w:rPr>
          <w:sz w:val="16"/>
          <w:szCs w:val="16"/>
        </w:rPr>
        <w:t>Zümrüt</w:t>
      </w:r>
      <w:proofErr w:type="spellEnd"/>
      <w:r w:rsidRPr="006F3F45">
        <w:rPr>
          <w:sz w:val="16"/>
          <w:szCs w:val="16"/>
        </w:rPr>
        <w:t xml:space="preserve"> </w:t>
      </w:r>
      <w:proofErr w:type="spellStart"/>
      <w:r w:rsidRPr="006F3F45">
        <w:rPr>
          <w:sz w:val="16"/>
          <w:szCs w:val="16"/>
        </w:rPr>
        <w:t>İmamoğlu</w:t>
      </w:r>
      <w:proofErr w:type="spellEnd"/>
      <w:r w:rsidRPr="006F3F45">
        <w:rPr>
          <w:sz w:val="16"/>
          <w:szCs w:val="16"/>
        </w:rPr>
        <w:t>, Betam, Research Associate.</w:t>
      </w:r>
      <w:proofErr w:type="gramEnd"/>
    </w:p>
    <w:p w:rsidR="000126AE" w:rsidRPr="006F3F45" w:rsidRDefault="000126AE" w:rsidP="000126AE">
      <w:pPr>
        <w:spacing w:line="288" w:lineRule="auto"/>
        <w:ind w:left="-360" w:right="-318"/>
        <w:jc w:val="both"/>
        <w:rPr>
          <w:sz w:val="16"/>
          <w:szCs w:val="16"/>
        </w:rPr>
      </w:pPr>
      <w:r w:rsidRPr="006F3F45">
        <w:rPr>
          <w:sz w:val="16"/>
          <w:szCs w:val="16"/>
        </w:rPr>
        <w:t xml:space="preserve">  zumrut.imamoglu@bahcesehir.edu.tr</w:t>
      </w:r>
    </w:p>
    <w:p w:rsidR="000126AE" w:rsidRPr="006F3F45" w:rsidRDefault="000126AE" w:rsidP="000126AE">
      <w:pPr>
        <w:spacing w:line="288" w:lineRule="auto"/>
        <w:ind w:left="-360" w:right="-318"/>
        <w:jc w:val="both"/>
        <w:rPr>
          <w:sz w:val="16"/>
          <w:szCs w:val="16"/>
        </w:rPr>
      </w:pPr>
      <w:r w:rsidRPr="006F3F45">
        <w:rPr>
          <w:sz w:val="16"/>
          <w:szCs w:val="16"/>
          <w:vertAlign w:val="superscript"/>
        </w:rPr>
        <w:t xml:space="preserve">† </w:t>
      </w:r>
      <w:proofErr w:type="spellStart"/>
      <w:r w:rsidRPr="006F3F45">
        <w:rPr>
          <w:sz w:val="16"/>
          <w:szCs w:val="16"/>
        </w:rPr>
        <w:t>Barış</w:t>
      </w:r>
      <w:proofErr w:type="spellEnd"/>
      <w:r w:rsidRPr="006F3F45">
        <w:rPr>
          <w:sz w:val="16"/>
          <w:szCs w:val="16"/>
        </w:rPr>
        <w:t xml:space="preserve"> </w:t>
      </w:r>
      <w:proofErr w:type="spellStart"/>
      <w:r w:rsidRPr="006F3F45">
        <w:rPr>
          <w:sz w:val="16"/>
          <w:szCs w:val="16"/>
        </w:rPr>
        <w:t>Soybilgen</w:t>
      </w:r>
      <w:proofErr w:type="spellEnd"/>
      <w:r w:rsidRPr="006F3F45">
        <w:rPr>
          <w:sz w:val="16"/>
          <w:szCs w:val="16"/>
        </w:rPr>
        <w:t>, Betam, Research Assistant,</w:t>
      </w:r>
    </w:p>
    <w:p w:rsidR="000126AE" w:rsidRPr="006F3F45" w:rsidRDefault="000126AE" w:rsidP="000126AE">
      <w:pPr>
        <w:ind w:left="-360"/>
        <w:rPr>
          <w:sz w:val="16"/>
          <w:szCs w:val="16"/>
        </w:rPr>
      </w:pPr>
      <w:r w:rsidRPr="006F3F45">
        <w:rPr>
          <w:sz w:val="16"/>
          <w:szCs w:val="16"/>
        </w:rPr>
        <w:t xml:space="preserve">  baris.soybilgen@bahcesehir.edu.tr</w:t>
      </w:r>
    </w:p>
    <w:p w:rsidR="00FD3A91" w:rsidRDefault="00FD3A91" w:rsidP="00FD3A91">
      <w:pPr>
        <w:ind w:right="42"/>
        <w:rPr>
          <w:b/>
          <w:bCs/>
          <w:sz w:val="22"/>
          <w:szCs w:val="22"/>
        </w:rPr>
      </w:pPr>
    </w:p>
    <w:p w:rsidR="00FD3A91" w:rsidRDefault="00FD3A91" w:rsidP="00FD3A91">
      <w:pPr>
        <w:outlineLvl w:val="0"/>
        <w:rPr>
          <w:b/>
          <w:bCs/>
          <w:sz w:val="22"/>
          <w:szCs w:val="22"/>
        </w:rPr>
      </w:pPr>
    </w:p>
    <w:p w:rsidR="00FD3A91" w:rsidRPr="004A7FE6" w:rsidRDefault="000126AE" w:rsidP="000126AE">
      <w:pPr>
        <w:ind w:left="-284" w:right="-71"/>
        <w:outlineLvl w:val="0"/>
        <w:rPr>
          <w:b/>
          <w:bCs/>
          <w:sz w:val="22"/>
          <w:szCs w:val="22"/>
        </w:rPr>
      </w:pPr>
      <w:proofErr w:type="gramStart"/>
      <w:r>
        <w:rPr>
          <w:b/>
          <w:bCs/>
          <w:sz w:val="22"/>
          <w:szCs w:val="22"/>
        </w:rPr>
        <w:t>Table</w:t>
      </w:r>
      <w:r w:rsidR="00FD3A91">
        <w:rPr>
          <w:b/>
          <w:bCs/>
          <w:sz w:val="22"/>
          <w:szCs w:val="22"/>
        </w:rPr>
        <w:t xml:space="preserve"> 1.</w:t>
      </w:r>
      <w:proofErr w:type="gramEnd"/>
      <w:r w:rsidR="00FD3A91">
        <w:rPr>
          <w:b/>
          <w:bCs/>
          <w:sz w:val="22"/>
          <w:szCs w:val="22"/>
        </w:rPr>
        <w:t xml:space="preserve"> </w:t>
      </w:r>
      <w:proofErr w:type="spellStart"/>
      <w:r>
        <w:rPr>
          <w:b/>
          <w:bCs/>
          <w:sz w:val="22"/>
          <w:szCs w:val="22"/>
        </w:rPr>
        <w:t>Betam's</w:t>
      </w:r>
      <w:proofErr w:type="spellEnd"/>
      <w:r>
        <w:rPr>
          <w:b/>
          <w:bCs/>
          <w:sz w:val="22"/>
          <w:szCs w:val="22"/>
        </w:rPr>
        <w:t xml:space="preserve"> quarterly and annual growth rate forecasts</w:t>
      </w:r>
    </w:p>
    <w:tbl>
      <w:tblPr>
        <w:tblpPr w:leftFromText="141" w:rightFromText="141" w:vertAnchor="text" w:horzAnchor="margin" w:tblpXSpec="right" w:tblpY="129"/>
        <w:tblW w:w="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4"/>
        <w:gridCol w:w="1362"/>
        <w:gridCol w:w="1362"/>
      </w:tblGrid>
      <w:tr w:rsidR="00FD3A91" w:rsidRPr="003118F7" w:rsidTr="008E5907">
        <w:trPr>
          <w:trHeight w:val="986"/>
        </w:trPr>
        <w:tc>
          <w:tcPr>
            <w:tcW w:w="1964" w:type="dxa"/>
            <w:tcMar>
              <w:left w:w="28" w:type="dxa"/>
              <w:right w:w="28" w:type="dxa"/>
            </w:tcMar>
            <w:vAlign w:val="center"/>
          </w:tcPr>
          <w:p w:rsidR="00FD3A91" w:rsidRPr="00180C8C" w:rsidRDefault="00FD3A91" w:rsidP="008E5907">
            <w:pPr>
              <w:ind w:right="42"/>
              <w:jc w:val="center"/>
              <w:rPr>
                <w:sz w:val="20"/>
                <w:szCs w:val="20"/>
              </w:rPr>
            </w:pPr>
          </w:p>
        </w:tc>
        <w:tc>
          <w:tcPr>
            <w:tcW w:w="1362" w:type="dxa"/>
            <w:vAlign w:val="center"/>
          </w:tcPr>
          <w:p w:rsidR="000126AE" w:rsidRPr="006F3F45" w:rsidRDefault="000126AE" w:rsidP="000126AE">
            <w:pPr>
              <w:ind w:right="40"/>
              <w:jc w:val="center"/>
              <w:rPr>
                <w:b/>
                <w:bCs/>
                <w:sz w:val="20"/>
                <w:szCs w:val="20"/>
              </w:rPr>
            </w:pPr>
            <w:r w:rsidRPr="006F3F45">
              <w:rPr>
                <w:b/>
                <w:bCs/>
                <w:sz w:val="20"/>
                <w:szCs w:val="20"/>
              </w:rPr>
              <w:t>2013</w:t>
            </w:r>
          </w:p>
          <w:p w:rsidR="00FD3A91" w:rsidRPr="00180C8C" w:rsidRDefault="000126AE" w:rsidP="000126AE">
            <w:pPr>
              <w:ind w:right="40"/>
              <w:jc w:val="center"/>
              <w:rPr>
                <w:b/>
                <w:bCs/>
                <w:sz w:val="20"/>
                <w:szCs w:val="20"/>
              </w:rPr>
            </w:pPr>
            <w:r w:rsidRPr="006F3F45">
              <w:rPr>
                <w:b/>
                <w:bCs/>
                <w:sz w:val="20"/>
                <w:szCs w:val="20"/>
              </w:rPr>
              <w:t>4</w:t>
            </w:r>
            <w:r w:rsidRPr="006F3F45">
              <w:rPr>
                <w:b/>
                <w:bCs/>
                <w:sz w:val="20"/>
                <w:szCs w:val="20"/>
                <w:vertAlign w:val="superscript"/>
              </w:rPr>
              <w:t>th</w:t>
            </w:r>
            <w:r w:rsidRPr="006F3F45">
              <w:rPr>
                <w:b/>
                <w:bCs/>
                <w:sz w:val="20"/>
                <w:szCs w:val="20"/>
              </w:rPr>
              <w:t xml:space="preserve"> Quarter Forecast</w:t>
            </w:r>
          </w:p>
        </w:tc>
        <w:tc>
          <w:tcPr>
            <w:tcW w:w="1362" w:type="dxa"/>
            <w:vAlign w:val="center"/>
          </w:tcPr>
          <w:p w:rsidR="00FD3A91" w:rsidRPr="00180C8C" w:rsidRDefault="00FD3A91" w:rsidP="008E5907">
            <w:pPr>
              <w:ind w:right="40"/>
              <w:jc w:val="center"/>
              <w:rPr>
                <w:b/>
                <w:bCs/>
                <w:sz w:val="20"/>
                <w:szCs w:val="20"/>
              </w:rPr>
            </w:pPr>
            <w:r w:rsidRPr="00180C8C">
              <w:rPr>
                <w:b/>
                <w:bCs/>
                <w:sz w:val="20"/>
                <w:szCs w:val="20"/>
              </w:rPr>
              <w:t>201</w:t>
            </w:r>
            <w:r>
              <w:rPr>
                <w:b/>
                <w:bCs/>
                <w:sz w:val="20"/>
                <w:szCs w:val="20"/>
              </w:rPr>
              <w:t>4</w:t>
            </w:r>
          </w:p>
          <w:p w:rsidR="00FD3A91" w:rsidRPr="00180C8C" w:rsidRDefault="000126AE" w:rsidP="008E5907">
            <w:pPr>
              <w:ind w:right="40"/>
              <w:jc w:val="center"/>
              <w:rPr>
                <w:b/>
                <w:bCs/>
                <w:sz w:val="20"/>
                <w:szCs w:val="20"/>
              </w:rPr>
            </w:pPr>
            <w:r>
              <w:rPr>
                <w:b/>
                <w:bCs/>
                <w:sz w:val="20"/>
                <w:szCs w:val="20"/>
              </w:rPr>
              <w:t>1</w:t>
            </w:r>
            <w:r>
              <w:rPr>
                <w:b/>
                <w:bCs/>
                <w:sz w:val="20"/>
                <w:szCs w:val="20"/>
                <w:vertAlign w:val="superscript"/>
              </w:rPr>
              <w:t>zt</w:t>
            </w:r>
            <w:r w:rsidRPr="006F3F45">
              <w:rPr>
                <w:b/>
                <w:bCs/>
                <w:sz w:val="20"/>
                <w:szCs w:val="20"/>
              </w:rPr>
              <w:t xml:space="preserve"> Quarter Forecast</w:t>
            </w:r>
          </w:p>
        </w:tc>
      </w:tr>
      <w:tr w:rsidR="000126AE" w:rsidRPr="003118F7" w:rsidTr="008E5907">
        <w:trPr>
          <w:trHeight w:val="771"/>
        </w:trPr>
        <w:tc>
          <w:tcPr>
            <w:tcW w:w="1964" w:type="dxa"/>
            <w:tcMar>
              <w:left w:w="28" w:type="dxa"/>
              <w:right w:w="28" w:type="dxa"/>
            </w:tcMar>
            <w:vAlign w:val="center"/>
          </w:tcPr>
          <w:p w:rsidR="000126AE" w:rsidRPr="006F3F45" w:rsidRDefault="000126AE" w:rsidP="000126AE">
            <w:pPr>
              <w:spacing w:line="360" w:lineRule="auto"/>
              <w:ind w:right="42"/>
              <w:rPr>
                <w:b/>
                <w:sz w:val="20"/>
                <w:szCs w:val="20"/>
              </w:rPr>
            </w:pPr>
            <w:r w:rsidRPr="006F3F45">
              <w:rPr>
                <w:b/>
                <w:sz w:val="20"/>
                <w:szCs w:val="20"/>
              </w:rPr>
              <w:t xml:space="preserve">Real GDP growth, % </w:t>
            </w:r>
          </w:p>
          <w:p w:rsidR="000126AE" w:rsidRPr="006F3F45" w:rsidRDefault="000126AE" w:rsidP="000126AE">
            <w:pPr>
              <w:ind w:right="42"/>
              <w:rPr>
                <w:sz w:val="20"/>
                <w:szCs w:val="20"/>
              </w:rPr>
            </w:pPr>
            <w:r w:rsidRPr="006F3F45">
              <w:rPr>
                <w:sz w:val="20"/>
                <w:szCs w:val="20"/>
              </w:rPr>
              <w:t xml:space="preserve">(quarter on quarter, </w:t>
            </w:r>
            <w:proofErr w:type="spellStart"/>
            <w:r w:rsidRPr="006F3F45">
              <w:rPr>
                <w:sz w:val="20"/>
                <w:szCs w:val="20"/>
              </w:rPr>
              <w:t>sa</w:t>
            </w:r>
            <w:proofErr w:type="spellEnd"/>
            <w:r w:rsidRPr="006F3F45">
              <w:rPr>
                <w:sz w:val="20"/>
                <w:szCs w:val="20"/>
              </w:rPr>
              <w:t>*)</w:t>
            </w:r>
          </w:p>
        </w:tc>
        <w:tc>
          <w:tcPr>
            <w:tcW w:w="1362" w:type="dxa"/>
            <w:vAlign w:val="center"/>
          </w:tcPr>
          <w:p w:rsidR="000126AE" w:rsidRPr="00180C8C" w:rsidRDefault="000126AE" w:rsidP="000126AE">
            <w:pPr>
              <w:ind w:right="42"/>
              <w:jc w:val="center"/>
              <w:rPr>
                <w:sz w:val="20"/>
                <w:szCs w:val="20"/>
              </w:rPr>
            </w:pPr>
            <w:r>
              <w:rPr>
                <w:sz w:val="20"/>
                <w:szCs w:val="20"/>
              </w:rPr>
              <w:t>0.4</w:t>
            </w:r>
          </w:p>
        </w:tc>
        <w:tc>
          <w:tcPr>
            <w:tcW w:w="1362" w:type="dxa"/>
            <w:vAlign w:val="center"/>
          </w:tcPr>
          <w:p w:rsidR="000126AE" w:rsidRPr="00180C8C" w:rsidRDefault="000126AE" w:rsidP="000126AE">
            <w:pPr>
              <w:ind w:right="42"/>
              <w:jc w:val="center"/>
              <w:rPr>
                <w:sz w:val="20"/>
                <w:szCs w:val="20"/>
              </w:rPr>
            </w:pPr>
            <w:r>
              <w:rPr>
                <w:sz w:val="20"/>
                <w:szCs w:val="20"/>
              </w:rPr>
              <w:t>0.5</w:t>
            </w:r>
          </w:p>
        </w:tc>
      </w:tr>
      <w:tr w:rsidR="000126AE" w:rsidRPr="003118F7" w:rsidTr="008E5907">
        <w:trPr>
          <w:trHeight w:val="756"/>
        </w:trPr>
        <w:tc>
          <w:tcPr>
            <w:tcW w:w="1964" w:type="dxa"/>
            <w:tcMar>
              <w:left w:w="28" w:type="dxa"/>
              <w:right w:w="28" w:type="dxa"/>
            </w:tcMar>
            <w:vAlign w:val="center"/>
          </w:tcPr>
          <w:p w:rsidR="000126AE" w:rsidRPr="006F3F45" w:rsidRDefault="000126AE" w:rsidP="000126AE">
            <w:pPr>
              <w:spacing w:line="360" w:lineRule="auto"/>
              <w:ind w:right="42"/>
              <w:rPr>
                <w:sz w:val="20"/>
                <w:szCs w:val="20"/>
              </w:rPr>
            </w:pPr>
            <w:r w:rsidRPr="006F3F45">
              <w:rPr>
                <w:b/>
                <w:sz w:val="20"/>
                <w:szCs w:val="20"/>
              </w:rPr>
              <w:t>Real GDP growth, %</w:t>
            </w:r>
          </w:p>
          <w:p w:rsidR="000126AE" w:rsidRPr="006F3F45" w:rsidRDefault="000126AE" w:rsidP="000126AE">
            <w:pPr>
              <w:ind w:right="42"/>
              <w:rPr>
                <w:sz w:val="20"/>
                <w:szCs w:val="20"/>
              </w:rPr>
            </w:pPr>
            <w:r w:rsidRPr="006F3F45">
              <w:rPr>
                <w:sz w:val="20"/>
                <w:szCs w:val="20"/>
              </w:rPr>
              <w:t>(year on year, ca**)</w:t>
            </w:r>
          </w:p>
        </w:tc>
        <w:tc>
          <w:tcPr>
            <w:tcW w:w="1362" w:type="dxa"/>
            <w:vAlign w:val="center"/>
          </w:tcPr>
          <w:p w:rsidR="000126AE" w:rsidRPr="00180C8C" w:rsidRDefault="000126AE" w:rsidP="000126AE">
            <w:pPr>
              <w:ind w:right="42"/>
              <w:jc w:val="center"/>
              <w:rPr>
                <w:sz w:val="20"/>
                <w:szCs w:val="20"/>
              </w:rPr>
            </w:pPr>
            <w:r>
              <w:rPr>
                <w:sz w:val="20"/>
                <w:szCs w:val="20"/>
              </w:rPr>
              <w:t>4.9</w:t>
            </w:r>
          </w:p>
        </w:tc>
        <w:tc>
          <w:tcPr>
            <w:tcW w:w="1362" w:type="dxa"/>
            <w:vAlign w:val="center"/>
          </w:tcPr>
          <w:p w:rsidR="000126AE" w:rsidRPr="00180C8C" w:rsidRDefault="000126AE" w:rsidP="000126AE">
            <w:pPr>
              <w:ind w:right="42"/>
              <w:jc w:val="center"/>
              <w:rPr>
                <w:sz w:val="20"/>
                <w:szCs w:val="20"/>
              </w:rPr>
            </w:pPr>
            <w:r>
              <w:rPr>
                <w:sz w:val="20"/>
                <w:szCs w:val="20"/>
              </w:rPr>
              <w:t>3.8</w:t>
            </w:r>
          </w:p>
        </w:tc>
      </w:tr>
      <w:tr w:rsidR="000126AE" w:rsidRPr="003118F7" w:rsidTr="008E5907">
        <w:trPr>
          <w:trHeight w:val="583"/>
        </w:trPr>
        <w:tc>
          <w:tcPr>
            <w:tcW w:w="1964" w:type="dxa"/>
            <w:tcMar>
              <w:left w:w="28" w:type="dxa"/>
              <w:right w:w="28" w:type="dxa"/>
            </w:tcMar>
            <w:vAlign w:val="center"/>
          </w:tcPr>
          <w:p w:rsidR="000126AE" w:rsidRPr="006F3F45" w:rsidRDefault="000126AE" w:rsidP="000126AE">
            <w:pPr>
              <w:spacing w:line="360" w:lineRule="auto"/>
              <w:ind w:right="42"/>
              <w:rPr>
                <w:sz w:val="20"/>
                <w:szCs w:val="20"/>
              </w:rPr>
            </w:pPr>
            <w:r w:rsidRPr="006F3F45">
              <w:rPr>
                <w:b/>
                <w:sz w:val="20"/>
                <w:szCs w:val="20"/>
              </w:rPr>
              <w:t>Current account deficit</w:t>
            </w:r>
          </w:p>
          <w:p w:rsidR="000126AE" w:rsidRPr="006F3F45" w:rsidRDefault="000126AE" w:rsidP="000126AE">
            <w:pPr>
              <w:ind w:right="40"/>
              <w:rPr>
                <w:sz w:val="20"/>
                <w:szCs w:val="20"/>
              </w:rPr>
            </w:pPr>
            <w:r w:rsidRPr="006F3F45">
              <w:rPr>
                <w:sz w:val="20"/>
                <w:szCs w:val="20"/>
              </w:rPr>
              <w:t>(% of GDP, annual)</w:t>
            </w:r>
          </w:p>
        </w:tc>
        <w:tc>
          <w:tcPr>
            <w:tcW w:w="1362" w:type="dxa"/>
            <w:vAlign w:val="center"/>
          </w:tcPr>
          <w:p w:rsidR="000126AE" w:rsidRPr="00180C8C" w:rsidRDefault="000126AE" w:rsidP="000126AE">
            <w:pPr>
              <w:ind w:right="40"/>
              <w:jc w:val="center"/>
              <w:rPr>
                <w:sz w:val="20"/>
                <w:szCs w:val="20"/>
              </w:rPr>
            </w:pPr>
            <w:r>
              <w:rPr>
                <w:sz w:val="20"/>
                <w:szCs w:val="20"/>
              </w:rPr>
              <w:t>7.9</w:t>
            </w:r>
          </w:p>
        </w:tc>
        <w:tc>
          <w:tcPr>
            <w:tcW w:w="1362" w:type="dxa"/>
            <w:vAlign w:val="center"/>
          </w:tcPr>
          <w:p w:rsidR="000126AE" w:rsidRPr="00180C8C" w:rsidRDefault="000126AE" w:rsidP="000126AE">
            <w:pPr>
              <w:ind w:right="40"/>
              <w:jc w:val="center"/>
              <w:rPr>
                <w:sz w:val="20"/>
                <w:szCs w:val="20"/>
              </w:rPr>
            </w:pPr>
            <w:r>
              <w:rPr>
                <w:sz w:val="20"/>
                <w:szCs w:val="20"/>
              </w:rPr>
              <w:t>7.9</w:t>
            </w:r>
          </w:p>
        </w:tc>
      </w:tr>
      <w:tr w:rsidR="000126AE" w:rsidRPr="003118F7" w:rsidTr="008E5907">
        <w:trPr>
          <w:trHeight w:val="583"/>
        </w:trPr>
        <w:tc>
          <w:tcPr>
            <w:tcW w:w="1964" w:type="dxa"/>
            <w:tcMar>
              <w:left w:w="28" w:type="dxa"/>
              <w:right w:w="28" w:type="dxa"/>
            </w:tcMar>
            <w:vAlign w:val="center"/>
          </w:tcPr>
          <w:p w:rsidR="000126AE" w:rsidRPr="006F3F45" w:rsidRDefault="000126AE" w:rsidP="000126AE">
            <w:pPr>
              <w:spacing w:line="360" w:lineRule="auto"/>
              <w:ind w:right="42"/>
              <w:rPr>
                <w:b/>
                <w:sz w:val="20"/>
                <w:szCs w:val="20"/>
              </w:rPr>
            </w:pPr>
          </w:p>
        </w:tc>
        <w:tc>
          <w:tcPr>
            <w:tcW w:w="1362" w:type="dxa"/>
            <w:vAlign w:val="center"/>
          </w:tcPr>
          <w:p w:rsidR="000126AE" w:rsidRPr="00180C8C" w:rsidRDefault="000126AE" w:rsidP="000126AE">
            <w:pPr>
              <w:ind w:right="40"/>
              <w:jc w:val="center"/>
              <w:rPr>
                <w:sz w:val="20"/>
                <w:szCs w:val="20"/>
              </w:rPr>
            </w:pPr>
            <w:r w:rsidRPr="00CD3D19">
              <w:rPr>
                <w:b/>
                <w:sz w:val="20"/>
                <w:szCs w:val="20"/>
              </w:rPr>
              <w:t>2013 Annual Forecast</w:t>
            </w:r>
          </w:p>
        </w:tc>
        <w:tc>
          <w:tcPr>
            <w:tcW w:w="1362" w:type="dxa"/>
            <w:vAlign w:val="center"/>
          </w:tcPr>
          <w:p w:rsidR="000126AE" w:rsidRPr="00180C8C" w:rsidRDefault="000126AE" w:rsidP="000126AE">
            <w:pPr>
              <w:ind w:right="40"/>
              <w:jc w:val="center"/>
              <w:rPr>
                <w:sz w:val="20"/>
                <w:szCs w:val="20"/>
              </w:rPr>
            </w:pPr>
          </w:p>
        </w:tc>
      </w:tr>
      <w:tr w:rsidR="000126AE" w:rsidRPr="003118F7" w:rsidTr="008E5907">
        <w:trPr>
          <w:trHeight w:val="583"/>
        </w:trPr>
        <w:tc>
          <w:tcPr>
            <w:tcW w:w="1964" w:type="dxa"/>
            <w:tcMar>
              <w:left w:w="28" w:type="dxa"/>
              <w:right w:w="28" w:type="dxa"/>
            </w:tcMar>
            <w:vAlign w:val="center"/>
          </w:tcPr>
          <w:p w:rsidR="000126AE" w:rsidRPr="006F3F45" w:rsidRDefault="000126AE" w:rsidP="000126AE">
            <w:pPr>
              <w:spacing w:line="360" w:lineRule="auto"/>
              <w:ind w:right="42"/>
              <w:rPr>
                <w:b/>
                <w:sz w:val="20"/>
                <w:szCs w:val="20"/>
              </w:rPr>
            </w:pPr>
            <w:r w:rsidRPr="006F3F45">
              <w:rPr>
                <w:b/>
                <w:sz w:val="20"/>
                <w:szCs w:val="20"/>
              </w:rPr>
              <w:t>Real GDP growth, real (annual)</w:t>
            </w:r>
          </w:p>
        </w:tc>
        <w:tc>
          <w:tcPr>
            <w:tcW w:w="1362" w:type="dxa"/>
            <w:vAlign w:val="center"/>
          </w:tcPr>
          <w:p w:rsidR="000126AE" w:rsidRPr="00180C8C" w:rsidRDefault="000126AE" w:rsidP="000126AE">
            <w:pPr>
              <w:ind w:right="40"/>
              <w:jc w:val="center"/>
              <w:rPr>
                <w:sz w:val="20"/>
                <w:szCs w:val="20"/>
              </w:rPr>
            </w:pPr>
            <w:r>
              <w:rPr>
                <w:sz w:val="20"/>
                <w:szCs w:val="20"/>
              </w:rPr>
              <w:t>4.2</w:t>
            </w:r>
          </w:p>
        </w:tc>
        <w:tc>
          <w:tcPr>
            <w:tcW w:w="1362" w:type="dxa"/>
            <w:vAlign w:val="center"/>
          </w:tcPr>
          <w:p w:rsidR="000126AE" w:rsidRPr="00180C8C" w:rsidRDefault="000126AE" w:rsidP="000126AE">
            <w:pPr>
              <w:ind w:right="40"/>
              <w:jc w:val="center"/>
              <w:rPr>
                <w:sz w:val="20"/>
                <w:szCs w:val="20"/>
              </w:rPr>
            </w:pPr>
          </w:p>
        </w:tc>
      </w:tr>
    </w:tbl>
    <w:p w:rsidR="00FD3A91" w:rsidRPr="0070556E" w:rsidRDefault="00FD3A91" w:rsidP="00FD3A91">
      <w:pPr>
        <w:ind w:left="-360" w:right="40"/>
        <w:rPr>
          <w:sz w:val="4"/>
          <w:szCs w:val="4"/>
        </w:rPr>
      </w:pPr>
    </w:p>
    <w:p w:rsidR="000126AE" w:rsidRPr="006F3F45" w:rsidRDefault="000126AE" w:rsidP="000126AE">
      <w:pPr>
        <w:ind w:left="-360" w:right="40"/>
        <w:jc w:val="both"/>
        <w:rPr>
          <w:sz w:val="16"/>
          <w:szCs w:val="16"/>
        </w:rPr>
      </w:pPr>
      <w:r w:rsidRPr="006F3F45">
        <w:rPr>
          <w:sz w:val="16"/>
          <w:szCs w:val="16"/>
        </w:rPr>
        <w:t>Source: Betam.</w:t>
      </w:r>
      <w:r>
        <w:rPr>
          <w:sz w:val="16"/>
          <w:szCs w:val="16"/>
        </w:rPr>
        <w:t xml:space="preserve"> </w:t>
      </w:r>
      <w:r w:rsidRPr="006F3F45">
        <w:rPr>
          <w:sz w:val="16"/>
          <w:szCs w:val="16"/>
        </w:rPr>
        <w:t>*</w:t>
      </w:r>
      <w:proofErr w:type="spellStart"/>
      <w:proofErr w:type="gramStart"/>
      <w:r w:rsidRPr="006F3F45">
        <w:rPr>
          <w:sz w:val="16"/>
          <w:szCs w:val="16"/>
        </w:rPr>
        <w:t>sa</w:t>
      </w:r>
      <w:proofErr w:type="spellEnd"/>
      <w:proofErr w:type="gramEnd"/>
      <w:r w:rsidRPr="006F3F45">
        <w:rPr>
          <w:sz w:val="16"/>
          <w:szCs w:val="16"/>
        </w:rPr>
        <w:t>: seasonally and calendar day adjusted</w:t>
      </w:r>
      <w:r>
        <w:rPr>
          <w:sz w:val="16"/>
          <w:szCs w:val="16"/>
        </w:rPr>
        <w:t xml:space="preserve"> </w:t>
      </w:r>
      <w:r w:rsidRPr="006F3F45">
        <w:rPr>
          <w:sz w:val="16"/>
          <w:szCs w:val="16"/>
        </w:rPr>
        <w:t>**ca: calendar day adjusted</w:t>
      </w:r>
      <w:r>
        <w:rPr>
          <w:sz w:val="16"/>
          <w:szCs w:val="16"/>
        </w:rPr>
        <w:t>.</w:t>
      </w:r>
    </w:p>
    <w:p w:rsidR="00FD3A91" w:rsidRDefault="00FD3A91" w:rsidP="00FD3A91">
      <w:pPr>
        <w:spacing w:line="360" w:lineRule="auto"/>
        <w:ind w:right="42"/>
        <w:rPr>
          <w:b/>
          <w:bCs/>
          <w:sz w:val="22"/>
          <w:szCs w:val="22"/>
        </w:rPr>
      </w:pPr>
    </w:p>
    <w:p w:rsidR="00FD3A91" w:rsidRDefault="00FD3A91" w:rsidP="00FD3A91">
      <w:pPr>
        <w:ind w:left="-360"/>
        <w:rPr>
          <w:rFonts w:ascii="Arial" w:hAnsi="Arial" w:cs="Arial"/>
          <w:sz w:val="16"/>
          <w:szCs w:val="16"/>
        </w:rPr>
      </w:pPr>
    </w:p>
    <w:p w:rsidR="00FD3A91" w:rsidRDefault="000126AE" w:rsidP="00FD3A91">
      <w:pPr>
        <w:spacing w:line="360" w:lineRule="auto"/>
        <w:ind w:left="-360"/>
        <w:jc w:val="center"/>
        <w:rPr>
          <w:b/>
          <w:bCs/>
          <w:sz w:val="22"/>
          <w:szCs w:val="22"/>
        </w:rPr>
      </w:pPr>
      <w:r>
        <w:rPr>
          <w:b/>
          <w:bCs/>
          <w:sz w:val="22"/>
          <w:szCs w:val="22"/>
        </w:rPr>
        <w:t xml:space="preserve">January production data is </w:t>
      </w:r>
      <w:r w:rsidR="00EF1FB9">
        <w:rPr>
          <w:b/>
          <w:bCs/>
          <w:sz w:val="22"/>
          <w:szCs w:val="22"/>
        </w:rPr>
        <w:t>encouraging</w:t>
      </w:r>
    </w:p>
    <w:p w:rsidR="00FD3A91" w:rsidRDefault="00FD3A91" w:rsidP="00FD3A91">
      <w:pPr>
        <w:spacing w:line="360" w:lineRule="auto"/>
        <w:ind w:left="-360"/>
        <w:jc w:val="center"/>
        <w:rPr>
          <w:b/>
          <w:bCs/>
          <w:sz w:val="22"/>
          <w:szCs w:val="22"/>
        </w:rPr>
      </w:pPr>
    </w:p>
    <w:p w:rsidR="00FD3A91" w:rsidRDefault="00FD3A91" w:rsidP="00FD3A91">
      <w:pPr>
        <w:spacing w:line="360" w:lineRule="auto"/>
        <w:ind w:left="-360" w:right="42"/>
        <w:jc w:val="both"/>
        <w:rPr>
          <w:sz w:val="22"/>
          <w:szCs w:val="22"/>
        </w:rPr>
      </w:pPr>
      <w:r>
        <w:rPr>
          <w:sz w:val="22"/>
          <w:szCs w:val="22"/>
        </w:rPr>
        <w:t>Industrial production in January increased more than expect</w:t>
      </w:r>
      <w:r w:rsidR="00EF1FB9">
        <w:rPr>
          <w:sz w:val="22"/>
          <w:szCs w:val="22"/>
        </w:rPr>
        <w:t xml:space="preserve">ed, </w:t>
      </w:r>
      <w:r>
        <w:rPr>
          <w:sz w:val="22"/>
          <w:szCs w:val="22"/>
        </w:rPr>
        <w:t>1.1 percent from th</w:t>
      </w:r>
      <w:r w:rsidR="00EF1FB9">
        <w:rPr>
          <w:sz w:val="22"/>
          <w:szCs w:val="22"/>
        </w:rPr>
        <w:t xml:space="preserve">e previous month, and </w:t>
      </w:r>
      <w:r>
        <w:rPr>
          <w:sz w:val="22"/>
          <w:szCs w:val="22"/>
        </w:rPr>
        <w:t>7.3 percent from the same month of the previous year.</w:t>
      </w:r>
      <w:r w:rsidR="00EF1FB9">
        <w:rPr>
          <w:sz w:val="22"/>
          <w:szCs w:val="22"/>
        </w:rPr>
        <w:t xml:space="preserve"> Year-on-year</w:t>
      </w:r>
      <w:r w:rsidR="005F1277">
        <w:rPr>
          <w:sz w:val="22"/>
          <w:szCs w:val="22"/>
        </w:rPr>
        <w:t xml:space="preserve"> rate was high due to base effect from the previous year but monthly increase was mainly due to the increase</w:t>
      </w:r>
      <w:r w:rsidR="009E7B53">
        <w:rPr>
          <w:sz w:val="22"/>
          <w:szCs w:val="22"/>
        </w:rPr>
        <w:t xml:space="preserve"> in exports</w:t>
      </w:r>
      <w:r w:rsidR="005F1277">
        <w:rPr>
          <w:sz w:val="22"/>
          <w:szCs w:val="22"/>
        </w:rPr>
        <w:t>, particularly exports to Europe</w:t>
      </w:r>
      <w:r>
        <w:rPr>
          <w:sz w:val="22"/>
          <w:szCs w:val="22"/>
        </w:rPr>
        <w:t>.</w:t>
      </w:r>
      <w:r w:rsidR="009E7B53">
        <w:rPr>
          <w:sz w:val="22"/>
          <w:szCs w:val="22"/>
        </w:rPr>
        <w:t xml:space="preserve"> </w:t>
      </w:r>
      <w:r w:rsidR="005F1277">
        <w:rPr>
          <w:sz w:val="22"/>
          <w:szCs w:val="22"/>
        </w:rPr>
        <w:t>I</w:t>
      </w:r>
      <w:r>
        <w:rPr>
          <w:sz w:val="22"/>
          <w:szCs w:val="22"/>
        </w:rPr>
        <w:t>ncrease</w:t>
      </w:r>
      <w:r w:rsidR="009E7B53">
        <w:rPr>
          <w:sz w:val="22"/>
          <w:szCs w:val="22"/>
        </w:rPr>
        <w:t>s</w:t>
      </w:r>
      <w:r>
        <w:rPr>
          <w:sz w:val="22"/>
          <w:szCs w:val="22"/>
        </w:rPr>
        <w:t xml:space="preserve"> in automobile and textile goods </w:t>
      </w:r>
      <w:r w:rsidR="005F1277">
        <w:rPr>
          <w:sz w:val="22"/>
          <w:szCs w:val="22"/>
        </w:rPr>
        <w:t>sectors, which export mostly to European countries,</w:t>
      </w:r>
      <w:r>
        <w:rPr>
          <w:sz w:val="22"/>
          <w:szCs w:val="22"/>
        </w:rPr>
        <w:t xml:space="preserve"> </w:t>
      </w:r>
      <w:r w:rsidR="005F1277">
        <w:rPr>
          <w:sz w:val="22"/>
          <w:szCs w:val="22"/>
        </w:rPr>
        <w:t xml:space="preserve">were the main </w:t>
      </w:r>
      <w:r w:rsidR="005F1277">
        <w:rPr>
          <w:sz w:val="22"/>
          <w:szCs w:val="22"/>
        </w:rPr>
        <w:lastRenderedPageBreak/>
        <w:t>drivers of</w:t>
      </w:r>
      <w:r>
        <w:rPr>
          <w:sz w:val="22"/>
          <w:szCs w:val="22"/>
        </w:rPr>
        <w:t xml:space="preserve"> industrial production. </w:t>
      </w:r>
      <w:r w:rsidR="005F1277">
        <w:rPr>
          <w:sz w:val="22"/>
          <w:szCs w:val="22"/>
        </w:rPr>
        <w:t xml:space="preserve">Will the surge in exports continue? </w:t>
      </w:r>
      <w:r>
        <w:rPr>
          <w:sz w:val="22"/>
          <w:szCs w:val="22"/>
        </w:rPr>
        <w:t>Turkish exporters' assembly's leading export data indicate</w:t>
      </w:r>
      <w:r w:rsidR="009E7B53">
        <w:rPr>
          <w:sz w:val="22"/>
          <w:szCs w:val="22"/>
        </w:rPr>
        <w:t>s</w:t>
      </w:r>
      <w:r>
        <w:rPr>
          <w:sz w:val="22"/>
          <w:szCs w:val="22"/>
        </w:rPr>
        <w:t xml:space="preserve"> a </w:t>
      </w:r>
      <w:proofErr w:type="spellStart"/>
      <w:r>
        <w:rPr>
          <w:sz w:val="22"/>
          <w:szCs w:val="22"/>
        </w:rPr>
        <w:t>YoY</w:t>
      </w:r>
      <w:proofErr w:type="spellEnd"/>
      <w:r>
        <w:rPr>
          <w:sz w:val="22"/>
          <w:szCs w:val="22"/>
        </w:rPr>
        <w:t xml:space="preserve"> increase in exports in February</w:t>
      </w:r>
      <w:r w:rsidR="005F1277">
        <w:rPr>
          <w:sz w:val="22"/>
          <w:szCs w:val="22"/>
        </w:rPr>
        <w:t>, too</w:t>
      </w:r>
      <w:r>
        <w:rPr>
          <w:sz w:val="22"/>
          <w:szCs w:val="22"/>
        </w:rPr>
        <w:t>.</w:t>
      </w:r>
      <w:r w:rsidR="005F1277">
        <w:rPr>
          <w:sz w:val="22"/>
          <w:szCs w:val="22"/>
        </w:rPr>
        <w:t xml:space="preserve"> And this might contribute to the IPI in the coming </w:t>
      </w:r>
      <w:proofErr w:type="gramStart"/>
      <w:r w:rsidR="005F1277">
        <w:rPr>
          <w:sz w:val="22"/>
          <w:szCs w:val="22"/>
        </w:rPr>
        <w:t>month,</w:t>
      </w:r>
      <w:proofErr w:type="gramEnd"/>
      <w:r>
        <w:rPr>
          <w:sz w:val="22"/>
          <w:szCs w:val="22"/>
        </w:rPr>
        <w:t xml:space="preserve"> </w:t>
      </w:r>
      <w:r w:rsidR="005F1277">
        <w:rPr>
          <w:sz w:val="22"/>
          <w:szCs w:val="22"/>
        </w:rPr>
        <w:t>h</w:t>
      </w:r>
      <w:r>
        <w:rPr>
          <w:sz w:val="22"/>
          <w:szCs w:val="22"/>
        </w:rPr>
        <w:t>owever, falls in capacity utilization rate both</w:t>
      </w:r>
      <w:r w:rsidR="009E7B53">
        <w:rPr>
          <w:sz w:val="22"/>
          <w:szCs w:val="22"/>
        </w:rPr>
        <w:t xml:space="preserve"> in January and February imply</w:t>
      </w:r>
      <w:r>
        <w:rPr>
          <w:sz w:val="22"/>
          <w:szCs w:val="22"/>
        </w:rPr>
        <w:t xml:space="preserve"> that industrial production</w:t>
      </w:r>
      <w:r w:rsidR="009E7B53">
        <w:rPr>
          <w:sz w:val="22"/>
          <w:szCs w:val="22"/>
        </w:rPr>
        <w:t xml:space="preserve"> </w:t>
      </w:r>
      <w:r w:rsidR="005F1277">
        <w:rPr>
          <w:sz w:val="22"/>
          <w:szCs w:val="22"/>
        </w:rPr>
        <w:t>might slow down or t</w:t>
      </w:r>
      <w:r>
        <w:rPr>
          <w:sz w:val="22"/>
          <w:szCs w:val="22"/>
        </w:rPr>
        <w:t>urn negative</w:t>
      </w:r>
      <w:r w:rsidR="005F1277">
        <w:rPr>
          <w:sz w:val="22"/>
          <w:szCs w:val="22"/>
        </w:rPr>
        <w:t xml:space="preserve"> in the coming months</w:t>
      </w:r>
      <w:r>
        <w:rPr>
          <w:sz w:val="22"/>
          <w:szCs w:val="22"/>
        </w:rPr>
        <w:t xml:space="preserve">.     </w:t>
      </w:r>
    </w:p>
    <w:p w:rsidR="00FD3A91" w:rsidRDefault="00FD3A91" w:rsidP="00FD3A91">
      <w:pPr>
        <w:spacing w:line="360" w:lineRule="auto"/>
        <w:ind w:left="-360" w:right="42"/>
        <w:jc w:val="both"/>
        <w:rPr>
          <w:sz w:val="22"/>
          <w:szCs w:val="22"/>
        </w:rPr>
      </w:pPr>
    </w:p>
    <w:p w:rsidR="00FD3A91" w:rsidRDefault="0049067B" w:rsidP="00FD3A91">
      <w:pPr>
        <w:spacing w:line="360" w:lineRule="auto"/>
        <w:ind w:left="-360" w:right="42"/>
        <w:jc w:val="both"/>
        <w:rPr>
          <w:sz w:val="22"/>
          <w:szCs w:val="22"/>
        </w:rPr>
      </w:pPr>
      <w:r>
        <w:rPr>
          <w:sz w:val="22"/>
          <w:szCs w:val="22"/>
        </w:rPr>
        <w:t>I</w:t>
      </w:r>
      <w:r w:rsidR="00FD3A91">
        <w:rPr>
          <w:sz w:val="22"/>
          <w:szCs w:val="22"/>
        </w:rPr>
        <w:t xml:space="preserve">ndicators </w:t>
      </w:r>
      <w:r>
        <w:rPr>
          <w:sz w:val="22"/>
          <w:szCs w:val="22"/>
        </w:rPr>
        <w:t>for</w:t>
      </w:r>
      <w:r w:rsidR="00FD3A91">
        <w:rPr>
          <w:sz w:val="22"/>
          <w:szCs w:val="22"/>
        </w:rPr>
        <w:t xml:space="preserve"> private investment and consumption </w:t>
      </w:r>
      <w:r>
        <w:rPr>
          <w:sz w:val="22"/>
          <w:szCs w:val="22"/>
        </w:rPr>
        <w:t>in January imply downward</w:t>
      </w:r>
      <w:r w:rsidR="00FD3A91">
        <w:rPr>
          <w:sz w:val="22"/>
          <w:szCs w:val="22"/>
        </w:rPr>
        <w:t xml:space="preserve"> pressure on domestic demand. Durable goods production and investment goods production fell</w:t>
      </w:r>
      <w:r w:rsidR="00C426A2">
        <w:rPr>
          <w:sz w:val="22"/>
          <w:szCs w:val="22"/>
        </w:rPr>
        <w:t>,</w:t>
      </w:r>
      <w:r w:rsidR="00FD3A91">
        <w:rPr>
          <w:sz w:val="22"/>
          <w:szCs w:val="22"/>
        </w:rPr>
        <w:t xml:space="preserve"> </w:t>
      </w:r>
      <w:r w:rsidR="00C426A2">
        <w:rPr>
          <w:sz w:val="22"/>
          <w:szCs w:val="22"/>
        </w:rPr>
        <w:t>c</w:t>
      </w:r>
      <w:r w:rsidR="00FD3A91">
        <w:rPr>
          <w:sz w:val="22"/>
          <w:szCs w:val="22"/>
        </w:rPr>
        <w:t>onsumer and investment goods imports declined</w:t>
      </w:r>
      <w:r w:rsidR="00C426A2">
        <w:rPr>
          <w:sz w:val="22"/>
          <w:szCs w:val="22"/>
        </w:rPr>
        <w:t xml:space="preserve"> and</w:t>
      </w:r>
      <w:r w:rsidR="00FD3A91">
        <w:rPr>
          <w:sz w:val="22"/>
          <w:szCs w:val="22"/>
        </w:rPr>
        <w:t xml:space="preserve"> </w:t>
      </w:r>
      <w:r w:rsidR="00C426A2">
        <w:rPr>
          <w:sz w:val="22"/>
          <w:szCs w:val="22"/>
        </w:rPr>
        <w:t>d</w:t>
      </w:r>
      <w:r w:rsidR="00311E57" w:rsidRPr="00311E57">
        <w:rPr>
          <w:sz w:val="22"/>
          <w:szCs w:val="22"/>
        </w:rPr>
        <w:t>eterioration</w:t>
      </w:r>
      <w:r w:rsidR="00FD3A91">
        <w:rPr>
          <w:sz w:val="22"/>
          <w:szCs w:val="22"/>
        </w:rPr>
        <w:t xml:space="preserve"> in confidence </w:t>
      </w:r>
      <w:r w:rsidR="00311E57">
        <w:rPr>
          <w:sz w:val="22"/>
          <w:szCs w:val="22"/>
        </w:rPr>
        <w:t>indices that</w:t>
      </w:r>
      <w:r w:rsidR="00FD3A91">
        <w:rPr>
          <w:sz w:val="22"/>
          <w:szCs w:val="22"/>
        </w:rPr>
        <w:t xml:space="preserve"> began in January continued </w:t>
      </w:r>
      <w:r w:rsidR="00C426A2">
        <w:rPr>
          <w:sz w:val="22"/>
          <w:szCs w:val="22"/>
        </w:rPr>
        <w:t>through</w:t>
      </w:r>
      <w:r w:rsidR="00FD3A91">
        <w:rPr>
          <w:sz w:val="22"/>
          <w:szCs w:val="22"/>
        </w:rPr>
        <w:t xml:space="preserve"> February. On the other hand, real sector confidence index recovered </w:t>
      </w:r>
      <w:r w:rsidR="006D6AB8">
        <w:rPr>
          <w:sz w:val="22"/>
          <w:szCs w:val="22"/>
        </w:rPr>
        <w:t>in February since the</w:t>
      </w:r>
      <w:r w:rsidR="00FD3A91">
        <w:rPr>
          <w:sz w:val="22"/>
          <w:szCs w:val="22"/>
        </w:rPr>
        <w:t xml:space="preserve"> exchange rate stabilized </w:t>
      </w:r>
      <w:r w:rsidR="00311E57">
        <w:rPr>
          <w:sz w:val="22"/>
          <w:szCs w:val="22"/>
        </w:rPr>
        <w:t>following the</w:t>
      </w:r>
      <w:r w:rsidR="00FD3A91">
        <w:rPr>
          <w:sz w:val="22"/>
          <w:szCs w:val="22"/>
        </w:rPr>
        <w:t xml:space="preserve"> interest rate hike by </w:t>
      </w:r>
      <w:r w:rsidR="006D6AB8">
        <w:rPr>
          <w:sz w:val="22"/>
          <w:szCs w:val="22"/>
        </w:rPr>
        <w:t xml:space="preserve">the </w:t>
      </w:r>
      <w:r w:rsidR="00FD3A91">
        <w:rPr>
          <w:sz w:val="22"/>
          <w:szCs w:val="22"/>
        </w:rPr>
        <w:t xml:space="preserve">Central Bank.  </w:t>
      </w:r>
    </w:p>
    <w:p w:rsidR="00FD3A91" w:rsidRDefault="00FD3A91" w:rsidP="00FD3A91">
      <w:pPr>
        <w:spacing w:line="360" w:lineRule="auto"/>
        <w:ind w:left="-360" w:right="42"/>
        <w:jc w:val="both"/>
        <w:rPr>
          <w:sz w:val="22"/>
          <w:szCs w:val="22"/>
        </w:rPr>
      </w:pPr>
    </w:p>
    <w:p w:rsidR="00FD3A91" w:rsidRDefault="009120F8" w:rsidP="00FD3A91">
      <w:pPr>
        <w:spacing w:line="360" w:lineRule="auto"/>
        <w:ind w:left="-360" w:right="42"/>
        <w:jc w:val="both"/>
        <w:rPr>
          <w:sz w:val="22"/>
          <w:szCs w:val="22"/>
        </w:rPr>
      </w:pPr>
      <w:r>
        <w:rPr>
          <w:sz w:val="22"/>
          <w:szCs w:val="22"/>
        </w:rPr>
        <w:t>Data released so far</w:t>
      </w:r>
      <w:r w:rsidR="00FD3A91">
        <w:rPr>
          <w:sz w:val="22"/>
          <w:szCs w:val="22"/>
        </w:rPr>
        <w:t xml:space="preserve"> show</w:t>
      </w:r>
      <w:r w:rsidR="00F06AA9">
        <w:rPr>
          <w:sz w:val="22"/>
          <w:szCs w:val="22"/>
        </w:rPr>
        <w:t>s</w:t>
      </w:r>
      <w:r w:rsidR="00FD3A91">
        <w:rPr>
          <w:sz w:val="22"/>
          <w:szCs w:val="22"/>
        </w:rPr>
        <w:t xml:space="preserve"> that growth will be mainly export-led</w:t>
      </w:r>
      <w:r>
        <w:rPr>
          <w:sz w:val="22"/>
          <w:szCs w:val="22"/>
        </w:rPr>
        <w:t xml:space="preserve"> in the first quarter</w:t>
      </w:r>
      <w:r w:rsidR="00FD3A91">
        <w:rPr>
          <w:sz w:val="22"/>
          <w:szCs w:val="22"/>
        </w:rPr>
        <w:t xml:space="preserve">. </w:t>
      </w:r>
      <w:r w:rsidR="00FD3A91" w:rsidRPr="00D911FE">
        <w:rPr>
          <w:sz w:val="22"/>
          <w:szCs w:val="22"/>
        </w:rPr>
        <w:t>Our quarter on quarter growth forecast is</w:t>
      </w:r>
      <w:r w:rsidR="00FD3A91">
        <w:rPr>
          <w:sz w:val="22"/>
          <w:szCs w:val="22"/>
        </w:rPr>
        <w:t xml:space="preserve"> 0.5 percent. Our year on year (</w:t>
      </w:r>
      <w:proofErr w:type="spellStart"/>
      <w:r w:rsidR="00FD3A91">
        <w:rPr>
          <w:sz w:val="22"/>
          <w:szCs w:val="22"/>
        </w:rPr>
        <w:t>YoY</w:t>
      </w:r>
      <w:proofErr w:type="spellEnd"/>
      <w:r w:rsidR="00FD3A91">
        <w:rPr>
          <w:sz w:val="22"/>
          <w:szCs w:val="22"/>
        </w:rPr>
        <w:t xml:space="preserve">) forecast for the first quarter is 3.8 percent. We expect the </w:t>
      </w:r>
      <w:r w:rsidR="00FD3A91" w:rsidRPr="00D911FE">
        <w:rPr>
          <w:sz w:val="22"/>
          <w:szCs w:val="22"/>
        </w:rPr>
        <w:t>current account deficit to GDP</w:t>
      </w:r>
      <w:r w:rsidR="00FD3A91">
        <w:rPr>
          <w:sz w:val="22"/>
          <w:szCs w:val="22"/>
        </w:rPr>
        <w:t xml:space="preserve"> </w:t>
      </w:r>
      <w:r w:rsidR="008A26B6">
        <w:rPr>
          <w:sz w:val="22"/>
          <w:szCs w:val="22"/>
        </w:rPr>
        <w:t>to</w:t>
      </w:r>
      <w:r w:rsidR="00FD3A91">
        <w:rPr>
          <w:sz w:val="22"/>
          <w:szCs w:val="22"/>
        </w:rPr>
        <w:t xml:space="preserve"> remain at 7</w:t>
      </w:r>
      <w:r w:rsidR="008A26B6">
        <w:rPr>
          <w:sz w:val="22"/>
          <w:szCs w:val="22"/>
        </w:rPr>
        <w:t xml:space="preserve">.9 percent in the first quarter and </w:t>
      </w:r>
      <w:r w:rsidR="00FD3A91">
        <w:rPr>
          <w:sz w:val="22"/>
          <w:szCs w:val="22"/>
        </w:rPr>
        <w:t xml:space="preserve">gold excluded current account deficit </w:t>
      </w:r>
      <w:r w:rsidR="008A26B6">
        <w:rPr>
          <w:sz w:val="22"/>
          <w:szCs w:val="22"/>
        </w:rPr>
        <w:t>to remain at</w:t>
      </w:r>
      <w:r w:rsidR="00FD3A91">
        <w:rPr>
          <w:sz w:val="22"/>
          <w:szCs w:val="22"/>
        </w:rPr>
        <w:t xml:space="preserve"> 6.5 percent. </w:t>
      </w:r>
    </w:p>
    <w:p w:rsidR="00FD3A91" w:rsidRDefault="00FD3A91" w:rsidP="00FD3A91">
      <w:pPr>
        <w:spacing w:line="360" w:lineRule="auto"/>
        <w:ind w:left="-360" w:right="42"/>
        <w:jc w:val="both"/>
        <w:rPr>
          <w:sz w:val="22"/>
          <w:szCs w:val="22"/>
        </w:rPr>
      </w:pPr>
    </w:p>
    <w:p w:rsidR="00FD3A91" w:rsidRPr="00495192" w:rsidRDefault="008E460E" w:rsidP="00311E57">
      <w:pPr>
        <w:spacing w:line="360" w:lineRule="auto"/>
        <w:ind w:left="-360" w:right="42"/>
        <w:jc w:val="center"/>
        <w:rPr>
          <w:b/>
          <w:sz w:val="22"/>
          <w:szCs w:val="22"/>
        </w:rPr>
      </w:pPr>
      <w:r>
        <w:rPr>
          <w:b/>
          <w:sz w:val="22"/>
          <w:szCs w:val="22"/>
        </w:rPr>
        <w:t>S</w:t>
      </w:r>
      <w:r w:rsidR="00B60E39">
        <w:rPr>
          <w:b/>
          <w:sz w:val="22"/>
          <w:szCs w:val="22"/>
        </w:rPr>
        <w:t>trong</w:t>
      </w:r>
      <w:r>
        <w:rPr>
          <w:b/>
          <w:sz w:val="22"/>
          <w:szCs w:val="22"/>
        </w:rPr>
        <w:t xml:space="preserve"> January data</w:t>
      </w:r>
      <w:r w:rsidR="00311E57">
        <w:rPr>
          <w:b/>
          <w:sz w:val="22"/>
          <w:szCs w:val="22"/>
        </w:rPr>
        <w:t xml:space="preserve"> may not be enough</w:t>
      </w:r>
    </w:p>
    <w:p w:rsidR="00FD3A91" w:rsidRDefault="00FD3A91" w:rsidP="00FD3A91">
      <w:pPr>
        <w:spacing w:line="360" w:lineRule="auto"/>
        <w:ind w:left="-360" w:right="42"/>
        <w:jc w:val="both"/>
        <w:rPr>
          <w:sz w:val="22"/>
          <w:szCs w:val="22"/>
        </w:rPr>
      </w:pPr>
    </w:p>
    <w:p w:rsidR="00FD3A91" w:rsidRDefault="00FD3A91" w:rsidP="00FD3A91">
      <w:pPr>
        <w:spacing w:line="360" w:lineRule="auto"/>
        <w:ind w:left="-360" w:right="42"/>
        <w:jc w:val="both"/>
        <w:rPr>
          <w:sz w:val="22"/>
          <w:szCs w:val="22"/>
        </w:rPr>
      </w:pPr>
      <w:r>
        <w:rPr>
          <w:sz w:val="22"/>
          <w:szCs w:val="22"/>
        </w:rPr>
        <w:t>January production data implies that there may not be</w:t>
      </w:r>
      <w:r w:rsidR="00A648DA">
        <w:rPr>
          <w:sz w:val="22"/>
          <w:szCs w:val="22"/>
        </w:rPr>
        <w:t xml:space="preserve"> a</w:t>
      </w:r>
      <w:r>
        <w:rPr>
          <w:sz w:val="22"/>
          <w:szCs w:val="22"/>
        </w:rPr>
        <w:t xml:space="preserve"> significant contraction in the economy</w:t>
      </w:r>
      <w:r w:rsidR="00A648DA">
        <w:rPr>
          <w:sz w:val="22"/>
          <w:szCs w:val="22"/>
        </w:rPr>
        <w:t xml:space="preserve"> in the first quarter</w:t>
      </w:r>
      <w:r w:rsidR="00D264F2">
        <w:rPr>
          <w:sz w:val="22"/>
          <w:szCs w:val="22"/>
        </w:rPr>
        <w:t xml:space="preserve"> </w:t>
      </w:r>
      <w:r w:rsidR="00A648DA">
        <w:rPr>
          <w:sz w:val="22"/>
          <w:szCs w:val="22"/>
        </w:rPr>
        <w:t>cont</w:t>
      </w:r>
      <w:r w:rsidR="00D264F2">
        <w:rPr>
          <w:sz w:val="22"/>
          <w:szCs w:val="22"/>
        </w:rPr>
        <w:t xml:space="preserve">rary to </w:t>
      </w:r>
      <w:r w:rsidR="00A648DA">
        <w:rPr>
          <w:sz w:val="22"/>
          <w:szCs w:val="22"/>
        </w:rPr>
        <w:t>concerns</w:t>
      </w:r>
      <w:r>
        <w:rPr>
          <w:sz w:val="22"/>
          <w:szCs w:val="22"/>
        </w:rPr>
        <w:t xml:space="preserve">. However, </w:t>
      </w:r>
      <w:r w:rsidR="00A648DA">
        <w:rPr>
          <w:sz w:val="22"/>
          <w:szCs w:val="22"/>
        </w:rPr>
        <w:t xml:space="preserve">the </w:t>
      </w:r>
      <w:r w:rsidR="00D264F2" w:rsidRPr="00D264F2">
        <w:rPr>
          <w:sz w:val="22"/>
          <w:szCs w:val="22"/>
        </w:rPr>
        <w:t>deterioration</w:t>
      </w:r>
      <w:r>
        <w:rPr>
          <w:sz w:val="22"/>
          <w:szCs w:val="22"/>
        </w:rPr>
        <w:t xml:space="preserve"> in </w:t>
      </w:r>
      <w:r w:rsidR="00A648DA">
        <w:rPr>
          <w:sz w:val="22"/>
          <w:szCs w:val="22"/>
        </w:rPr>
        <w:t xml:space="preserve">business sentiment and the increase in </w:t>
      </w:r>
      <w:r>
        <w:rPr>
          <w:sz w:val="22"/>
          <w:szCs w:val="22"/>
        </w:rPr>
        <w:t>exchange ra</w:t>
      </w:r>
      <w:r w:rsidR="00FF0CBC">
        <w:rPr>
          <w:sz w:val="22"/>
          <w:szCs w:val="22"/>
        </w:rPr>
        <w:t>te in</w:t>
      </w:r>
      <w:r w:rsidR="00D264F2">
        <w:rPr>
          <w:sz w:val="22"/>
          <w:szCs w:val="22"/>
        </w:rPr>
        <w:t xml:space="preserve"> January may </w:t>
      </w:r>
      <w:proofErr w:type="gramStart"/>
      <w:r w:rsidR="00A648DA">
        <w:rPr>
          <w:sz w:val="22"/>
          <w:szCs w:val="22"/>
        </w:rPr>
        <w:t>have  negative</w:t>
      </w:r>
      <w:proofErr w:type="gramEnd"/>
      <w:r w:rsidR="00A648DA">
        <w:rPr>
          <w:sz w:val="22"/>
          <w:szCs w:val="22"/>
        </w:rPr>
        <w:t xml:space="preserve"> e</w:t>
      </w:r>
      <w:r w:rsidR="00D264F2">
        <w:rPr>
          <w:sz w:val="22"/>
          <w:szCs w:val="22"/>
        </w:rPr>
        <w:t>ffect</w:t>
      </w:r>
      <w:r w:rsidR="00A648DA">
        <w:rPr>
          <w:sz w:val="22"/>
          <w:szCs w:val="22"/>
        </w:rPr>
        <w:t>s in the coming months</w:t>
      </w:r>
      <w:r>
        <w:rPr>
          <w:sz w:val="22"/>
          <w:szCs w:val="22"/>
        </w:rPr>
        <w:t xml:space="preserve">. By </w:t>
      </w:r>
      <w:r w:rsidR="001454AC">
        <w:rPr>
          <w:sz w:val="22"/>
          <w:szCs w:val="22"/>
        </w:rPr>
        <w:lastRenderedPageBreak/>
        <w:t>adjusting back to its orthodox policy</w:t>
      </w:r>
      <w:r>
        <w:rPr>
          <w:sz w:val="22"/>
          <w:szCs w:val="22"/>
        </w:rPr>
        <w:t xml:space="preserve"> </w:t>
      </w:r>
      <w:r w:rsidR="001454AC">
        <w:rPr>
          <w:sz w:val="22"/>
          <w:szCs w:val="22"/>
        </w:rPr>
        <w:t>and tight monetary policy stance,</w:t>
      </w:r>
      <w:r>
        <w:rPr>
          <w:sz w:val="22"/>
          <w:szCs w:val="22"/>
        </w:rPr>
        <w:t xml:space="preserve"> </w:t>
      </w:r>
      <w:r w:rsidR="001454AC">
        <w:rPr>
          <w:sz w:val="22"/>
          <w:szCs w:val="22"/>
        </w:rPr>
        <w:t xml:space="preserve">the </w:t>
      </w:r>
      <w:r>
        <w:rPr>
          <w:sz w:val="22"/>
          <w:szCs w:val="22"/>
        </w:rPr>
        <w:t xml:space="preserve">Central Bank </w:t>
      </w:r>
      <w:r w:rsidR="001454AC">
        <w:rPr>
          <w:sz w:val="22"/>
          <w:szCs w:val="22"/>
        </w:rPr>
        <w:t xml:space="preserve">established some confidence at the end of the month and the exchange rate </w:t>
      </w:r>
      <w:r>
        <w:rPr>
          <w:sz w:val="22"/>
          <w:szCs w:val="22"/>
        </w:rPr>
        <w:t>stabilize</w:t>
      </w:r>
      <w:r w:rsidR="001454AC">
        <w:rPr>
          <w:sz w:val="22"/>
          <w:szCs w:val="22"/>
        </w:rPr>
        <w:t>d</w:t>
      </w:r>
      <w:r>
        <w:rPr>
          <w:sz w:val="22"/>
          <w:szCs w:val="22"/>
        </w:rPr>
        <w:t xml:space="preserve"> </w:t>
      </w:r>
      <w:r w:rsidR="001454AC">
        <w:rPr>
          <w:sz w:val="22"/>
          <w:szCs w:val="22"/>
        </w:rPr>
        <w:t>as a result</w:t>
      </w:r>
      <w:r>
        <w:rPr>
          <w:sz w:val="22"/>
          <w:szCs w:val="22"/>
        </w:rPr>
        <w:t>. However</w:t>
      </w:r>
      <w:r w:rsidR="001454AC">
        <w:rPr>
          <w:sz w:val="22"/>
          <w:szCs w:val="22"/>
        </w:rPr>
        <w:t>,</w:t>
      </w:r>
      <w:r>
        <w:rPr>
          <w:sz w:val="22"/>
          <w:szCs w:val="22"/>
        </w:rPr>
        <w:t xml:space="preserve"> these developments are not enough for </w:t>
      </w:r>
      <w:r w:rsidR="001454AC">
        <w:rPr>
          <w:sz w:val="22"/>
          <w:szCs w:val="22"/>
        </w:rPr>
        <w:t>a</w:t>
      </w:r>
      <w:r>
        <w:rPr>
          <w:sz w:val="22"/>
          <w:szCs w:val="22"/>
        </w:rPr>
        <w:t xml:space="preserve"> revival </w:t>
      </w:r>
      <w:r w:rsidR="001454AC">
        <w:rPr>
          <w:sz w:val="22"/>
          <w:szCs w:val="22"/>
        </w:rPr>
        <w:t>in</w:t>
      </w:r>
      <w:r>
        <w:rPr>
          <w:sz w:val="22"/>
          <w:szCs w:val="22"/>
        </w:rPr>
        <w:t xml:space="preserve"> investment. </w:t>
      </w:r>
      <w:r w:rsidR="001454AC">
        <w:rPr>
          <w:sz w:val="22"/>
          <w:szCs w:val="22"/>
        </w:rPr>
        <w:t>Political u</w:t>
      </w:r>
      <w:r w:rsidR="00D264F2">
        <w:rPr>
          <w:sz w:val="22"/>
          <w:szCs w:val="22"/>
        </w:rPr>
        <w:t>ncertain</w:t>
      </w:r>
      <w:r w:rsidR="001454AC">
        <w:rPr>
          <w:sz w:val="22"/>
          <w:szCs w:val="22"/>
        </w:rPr>
        <w:t>ty remains high and negatively</w:t>
      </w:r>
      <w:r>
        <w:rPr>
          <w:sz w:val="22"/>
          <w:szCs w:val="22"/>
        </w:rPr>
        <w:t xml:space="preserve"> affects investment and consumption </w:t>
      </w:r>
      <w:r w:rsidR="001454AC">
        <w:rPr>
          <w:sz w:val="22"/>
          <w:szCs w:val="22"/>
        </w:rPr>
        <w:t>behavior by firms and consumers</w:t>
      </w:r>
      <w:r>
        <w:rPr>
          <w:sz w:val="22"/>
          <w:szCs w:val="22"/>
        </w:rPr>
        <w:t>.</w:t>
      </w:r>
      <w:r w:rsidR="001454AC">
        <w:rPr>
          <w:sz w:val="22"/>
          <w:szCs w:val="22"/>
        </w:rPr>
        <w:t xml:space="preserve"> </w:t>
      </w:r>
      <w:r w:rsidR="008D2F2C">
        <w:rPr>
          <w:sz w:val="22"/>
          <w:szCs w:val="22"/>
        </w:rPr>
        <w:t>Under these conditions, t</w:t>
      </w:r>
      <w:r w:rsidR="001454AC">
        <w:rPr>
          <w:sz w:val="22"/>
          <w:szCs w:val="22"/>
        </w:rPr>
        <w:t>he</w:t>
      </w:r>
      <w:r>
        <w:rPr>
          <w:sz w:val="22"/>
          <w:szCs w:val="22"/>
        </w:rPr>
        <w:t xml:space="preserve"> government may </w:t>
      </w:r>
      <w:r w:rsidR="001454AC">
        <w:rPr>
          <w:sz w:val="22"/>
          <w:szCs w:val="22"/>
        </w:rPr>
        <w:t xml:space="preserve">try </w:t>
      </w:r>
      <w:r>
        <w:rPr>
          <w:sz w:val="22"/>
          <w:szCs w:val="22"/>
        </w:rPr>
        <w:t>support</w:t>
      </w:r>
      <w:r w:rsidR="001454AC">
        <w:rPr>
          <w:sz w:val="22"/>
          <w:szCs w:val="22"/>
        </w:rPr>
        <w:t>ing</w:t>
      </w:r>
      <w:r>
        <w:rPr>
          <w:sz w:val="22"/>
          <w:szCs w:val="22"/>
        </w:rPr>
        <w:t xml:space="preserve"> growth </w:t>
      </w:r>
      <w:r w:rsidR="001454AC">
        <w:rPr>
          <w:sz w:val="22"/>
          <w:szCs w:val="22"/>
        </w:rPr>
        <w:t>by increasing</w:t>
      </w:r>
      <w:r>
        <w:rPr>
          <w:sz w:val="22"/>
          <w:szCs w:val="22"/>
        </w:rPr>
        <w:t xml:space="preserve"> expenditure</w:t>
      </w:r>
      <w:r w:rsidR="001454AC">
        <w:rPr>
          <w:sz w:val="22"/>
          <w:szCs w:val="22"/>
        </w:rPr>
        <w:t>s</w:t>
      </w:r>
      <w:r w:rsidR="008D2F2C">
        <w:rPr>
          <w:sz w:val="22"/>
          <w:szCs w:val="22"/>
        </w:rPr>
        <w:t xml:space="preserve"> but is limited by fiscal constraints</w:t>
      </w:r>
      <w:r>
        <w:rPr>
          <w:sz w:val="22"/>
          <w:szCs w:val="22"/>
        </w:rPr>
        <w:t>.</w:t>
      </w:r>
      <w:r w:rsidR="00C905C0">
        <w:rPr>
          <w:sz w:val="22"/>
          <w:szCs w:val="22"/>
        </w:rPr>
        <w:t xml:space="preserve"> </w:t>
      </w:r>
      <w:r w:rsidR="008D2F2C">
        <w:rPr>
          <w:sz w:val="22"/>
          <w:szCs w:val="22"/>
        </w:rPr>
        <w:t xml:space="preserve">Overall, </w:t>
      </w:r>
      <w:r>
        <w:rPr>
          <w:sz w:val="22"/>
          <w:szCs w:val="22"/>
        </w:rPr>
        <w:t xml:space="preserve">first quarter growth will depend on </w:t>
      </w:r>
      <w:r w:rsidR="008D2F2C">
        <w:rPr>
          <w:sz w:val="22"/>
          <w:szCs w:val="22"/>
        </w:rPr>
        <w:t>increase in</w:t>
      </w:r>
      <w:r>
        <w:rPr>
          <w:sz w:val="22"/>
          <w:szCs w:val="22"/>
        </w:rPr>
        <w:t xml:space="preserve"> exports</w:t>
      </w:r>
      <w:r w:rsidR="008D2F2C">
        <w:rPr>
          <w:sz w:val="22"/>
          <w:szCs w:val="22"/>
        </w:rPr>
        <w:t xml:space="preserve"> and government spending</w:t>
      </w:r>
      <w:r>
        <w:rPr>
          <w:sz w:val="22"/>
          <w:szCs w:val="22"/>
        </w:rPr>
        <w:t xml:space="preserve">. </w:t>
      </w:r>
    </w:p>
    <w:p w:rsidR="00FD3A91" w:rsidRDefault="00FD3A91" w:rsidP="00FD3A91">
      <w:pPr>
        <w:spacing w:line="360" w:lineRule="auto"/>
        <w:ind w:left="-360" w:right="42"/>
        <w:jc w:val="both"/>
        <w:rPr>
          <w:sz w:val="22"/>
          <w:szCs w:val="22"/>
        </w:rPr>
      </w:pPr>
    </w:p>
    <w:p w:rsidR="00FD3A91" w:rsidRDefault="00D264F2" w:rsidP="00FD3A91">
      <w:pPr>
        <w:spacing w:line="360" w:lineRule="auto"/>
        <w:ind w:left="-360" w:right="42"/>
        <w:jc w:val="center"/>
        <w:rPr>
          <w:b/>
          <w:bCs/>
          <w:sz w:val="22"/>
          <w:szCs w:val="22"/>
        </w:rPr>
      </w:pPr>
      <w:r>
        <w:rPr>
          <w:b/>
          <w:bCs/>
          <w:sz w:val="22"/>
          <w:szCs w:val="22"/>
        </w:rPr>
        <w:t>Private consumption is decelerating</w:t>
      </w:r>
    </w:p>
    <w:p w:rsidR="00FD3A91" w:rsidRDefault="00FD3A91" w:rsidP="00FD3A91">
      <w:pPr>
        <w:spacing w:line="360" w:lineRule="auto"/>
        <w:ind w:left="-360" w:right="42"/>
        <w:jc w:val="both"/>
        <w:rPr>
          <w:sz w:val="22"/>
          <w:szCs w:val="22"/>
        </w:rPr>
      </w:pPr>
    </w:p>
    <w:p w:rsidR="00FD3A91" w:rsidRDefault="00FD3A91" w:rsidP="00FD3A91">
      <w:pPr>
        <w:spacing w:line="360" w:lineRule="auto"/>
        <w:ind w:left="-360" w:right="42"/>
        <w:jc w:val="both"/>
        <w:rPr>
          <w:sz w:val="22"/>
          <w:szCs w:val="22"/>
        </w:rPr>
      </w:pPr>
      <w:r>
        <w:rPr>
          <w:sz w:val="22"/>
          <w:szCs w:val="22"/>
        </w:rPr>
        <w:t>In January, non-durable goods production increased by 1.9 percent, from the previous month. On the other hand, durable goods production and consumer goods imports declined by 3.5 percent and 1.5 percent</w:t>
      </w:r>
      <w:r w:rsidR="00D1410B">
        <w:rPr>
          <w:sz w:val="22"/>
          <w:szCs w:val="22"/>
        </w:rPr>
        <w:t>, respectively</w:t>
      </w:r>
      <w:r>
        <w:rPr>
          <w:sz w:val="22"/>
          <w:szCs w:val="22"/>
        </w:rPr>
        <w:t>. In line with the fall in consumption goods imports, special tax income declined by 0.4 percent.</w:t>
      </w:r>
    </w:p>
    <w:p w:rsidR="00FD3A91" w:rsidRDefault="00FD3A91" w:rsidP="00FD3A91">
      <w:pPr>
        <w:spacing w:line="360" w:lineRule="auto"/>
        <w:ind w:left="-360" w:right="42"/>
        <w:jc w:val="both"/>
        <w:rPr>
          <w:sz w:val="22"/>
          <w:szCs w:val="22"/>
        </w:rPr>
      </w:pPr>
    </w:p>
    <w:p w:rsidR="00FD3A91" w:rsidRDefault="00D264F2" w:rsidP="00FD3A91">
      <w:pPr>
        <w:spacing w:line="360" w:lineRule="auto"/>
        <w:ind w:left="-360" w:right="42"/>
        <w:jc w:val="both"/>
        <w:rPr>
          <w:sz w:val="22"/>
          <w:szCs w:val="22"/>
        </w:rPr>
      </w:pPr>
      <w:r>
        <w:rPr>
          <w:sz w:val="22"/>
          <w:szCs w:val="22"/>
        </w:rPr>
        <w:t>Deterioration</w:t>
      </w:r>
      <w:r w:rsidR="00FD3A91">
        <w:rPr>
          <w:sz w:val="22"/>
          <w:szCs w:val="22"/>
        </w:rPr>
        <w:t xml:space="preserve"> in consumer confidence index continues at full speed. In </w:t>
      </w:r>
      <w:r w:rsidR="00F400F2">
        <w:rPr>
          <w:sz w:val="22"/>
          <w:szCs w:val="22"/>
        </w:rPr>
        <w:t xml:space="preserve">both </w:t>
      </w:r>
      <w:r w:rsidR="00FD3A91">
        <w:rPr>
          <w:sz w:val="22"/>
          <w:szCs w:val="22"/>
        </w:rPr>
        <w:t>December and January, consu</w:t>
      </w:r>
      <w:r w:rsidR="00FF0CBC">
        <w:rPr>
          <w:sz w:val="22"/>
          <w:szCs w:val="22"/>
        </w:rPr>
        <w:t>mer confidence index fell by 4.1</w:t>
      </w:r>
      <w:r w:rsidR="00FD3A91">
        <w:rPr>
          <w:sz w:val="22"/>
          <w:szCs w:val="22"/>
        </w:rPr>
        <w:t xml:space="preserve"> percent consecutively. In February, it declined further by 4.9 percent. Indicators for January depict a gloomy </w:t>
      </w:r>
      <w:r>
        <w:rPr>
          <w:sz w:val="22"/>
          <w:szCs w:val="22"/>
        </w:rPr>
        <w:t>picture</w:t>
      </w:r>
      <w:r w:rsidR="00FD3A91">
        <w:rPr>
          <w:sz w:val="22"/>
          <w:szCs w:val="22"/>
        </w:rPr>
        <w:t xml:space="preserve"> for the first quarter of 2014. Overall, we believe that private consumption </w:t>
      </w:r>
      <w:r>
        <w:rPr>
          <w:sz w:val="22"/>
          <w:szCs w:val="22"/>
        </w:rPr>
        <w:t>expenditure</w:t>
      </w:r>
      <w:r w:rsidR="00FD3A91">
        <w:rPr>
          <w:sz w:val="22"/>
          <w:szCs w:val="22"/>
        </w:rPr>
        <w:t xml:space="preserve"> will stagnate in the first quarter.  </w:t>
      </w:r>
    </w:p>
    <w:p w:rsidR="00FD3A91" w:rsidRDefault="00FD3A91" w:rsidP="00FD3A91">
      <w:pPr>
        <w:spacing w:line="360" w:lineRule="auto"/>
        <w:ind w:right="42"/>
        <w:rPr>
          <w:b/>
          <w:bCs/>
          <w:sz w:val="22"/>
          <w:szCs w:val="22"/>
        </w:rPr>
      </w:pPr>
    </w:p>
    <w:p w:rsidR="002F72AA" w:rsidRDefault="002F72AA" w:rsidP="00FD3A91">
      <w:pPr>
        <w:spacing w:line="360" w:lineRule="auto"/>
        <w:ind w:left="-360" w:right="42"/>
        <w:jc w:val="center"/>
        <w:rPr>
          <w:b/>
          <w:bCs/>
          <w:sz w:val="22"/>
          <w:szCs w:val="22"/>
        </w:rPr>
      </w:pPr>
    </w:p>
    <w:p w:rsidR="002F72AA" w:rsidRDefault="002F72AA" w:rsidP="00FD3A91">
      <w:pPr>
        <w:spacing w:line="360" w:lineRule="auto"/>
        <w:ind w:left="-360" w:right="42"/>
        <w:jc w:val="center"/>
        <w:rPr>
          <w:b/>
          <w:bCs/>
          <w:sz w:val="22"/>
          <w:szCs w:val="22"/>
        </w:rPr>
      </w:pPr>
    </w:p>
    <w:p w:rsidR="002F72AA" w:rsidRDefault="002F72AA" w:rsidP="00FD3A91">
      <w:pPr>
        <w:spacing w:line="360" w:lineRule="auto"/>
        <w:ind w:left="-360" w:right="42"/>
        <w:jc w:val="center"/>
        <w:rPr>
          <w:b/>
          <w:bCs/>
          <w:sz w:val="22"/>
          <w:szCs w:val="22"/>
        </w:rPr>
      </w:pPr>
    </w:p>
    <w:p w:rsidR="00FD3A91" w:rsidRDefault="00D264F2" w:rsidP="00FD3A91">
      <w:pPr>
        <w:spacing w:line="360" w:lineRule="auto"/>
        <w:ind w:left="-360" w:right="42"/>
        <w:jc w:val="center"/>
        <w:rPr>
          <w:b/>
          <w:bCs/>
          <w:sz w:val="22"/>
          <w:szCs w:val="22"/>
        </w:rPr>
      </w:pPr>
      <w:r>
        <w:rPr>
          <w:b/>
          <w:bCs/>
          <w:sz w:val="22"/>
          <w:szCs w:val="22"/>
        </w:rPr>
        <w:lastRenderedPageBreak/>
        <w:t>Investment continues to stagnate</w:t>
      </w:r>
    </w:p>
    <w:p w:rsidR="00FD3A91" w:rsidRDefault="00FD3A91" w:rsidP="00FD3A91">
      <w:pPr>
        <w:spacing w:line="360" w:lineRule="auto"/>
        <w:ind w:right="42"/>
        <w:jc w:val="both"/>
        <w:rPr>
          <w:bCs/>
          <w:sz w:val="22"/>
          <w:szCs w:val="22"/>
        </w:rPr>
      </w:pPr>
    </w:p>
    <w:p w:rsidR="00FD3A91" w:rsidRDefault="00FD3A91" w:rsidP="00FD3A91">
      <w:pPr>
        <w:spacing w:line="360" w:lineRule="auto"/>
        <w:ind w:left="-360" w:right="43"/>
        <w:jc w:val="both"/>
        <w:rPr>
          <w:bCs/>
          <w:sz w:val="22"/>
          <w:szCs w:val="22"/>
        </w:rPr>
      </w:pPr>
      <w:r>
        <w:rPr>
          <w:bCs/>
          <w:sz w:val="22"/>
          <w:szCs w:val="22"/>
        </w:rPr>
        <w:t xml:space="preserve">In January, </w:t>
      </w:r>
      <w:r w:rsidR="00D264F2">
        <w:rPr>
          <w:bCs/>
          <w:sz w:val="22"/>
          <w:szCs w:val="22"/>
        </w:rPr>
        <w:t>intermediate</w:t>
      </w:r>
      <w:r>
        <w:rPr>
          <w:bCs/>
          <w:sz w:val="22"/>
          <w:szCs w:val="22"/>
        </w:rPr>
        <w:t xml:space="preserve"> goods imports and investment goods imports decreased by 3.2 percent and 3.4 percent, respectively, from the previous month. In the same period, investment goods </w:t>
      </w:r>
      <w:r w:rsidR="00F36281">
        <w:rPr>
          <w:bCs/>
          <w:sz w:val="22"/>
          <w:szCs w:val="22"/>
        </w:rPr>
        <w:t>production</w:t>
      </w:r>
      <w:r>
        <w:rPr>
          <w:bCs/>
          <w:sz w:val="22"/>
          <w:szCs w:val="22"/>
        </w:rPr>
        <w:t xml:space="preserve"> declined by 1.7 percent. On the other hand, IPI increased by 1.1 percent in January. </w:t>
      </w:r>
    </w:p>
    <w:p w:rsidR="00FD3A91" w:rsidRDefault="00FD3A91" w:rsidP="00FD3A91">
      <w:pPr>
        <w:spacing w:line="360" w:lineRule="auto"/>
        <w:ind w:left="-360" w:right="43"/>
        <w:jc w:val="both"/>
        <w:rPr>
          <w:bCs/>
          <w:sz w:val="22"/>
          <w:szCs w:val="22"/>
        </w:rPr>
      </w:pPr>
    </w:p>
    <w:p w:rsidR="00FD3A91" w:rsidRDefault="00FD3A91" w:rsidP="00FD3A91">
      <w:pPr>
        <w:spacing w:line="360" w:lineRule="auto"/>
        <w:ind w:left="-360" w:right="43"/>
        <w:jc w:val="both"/>
        <w:rPr>
          <w:bCs/>
          <w:sz w:val="22"/>
          <w:szCs w:val="22"/>
        </w:rPr>
      </w:pPr>
      <w:r>
        <w:rPr>
          <w:bCs/>
          <w:sz w:val="22"/>
          <w:szCs w:val="22"/>
        </w:rPr>
        <w:t>C</w:t>
      </w:r>
      <w:r w:rsidR="00F36281">
        <w:rPr>
          <w:bCs/>
          <w:sz w:val="22"/>
          <w:szCs w:val="22"/>
        </w:rPr>
        <w:t xml:space="preserve">apacity </w:t>
      </w:r>
      <w:r>
        <w:rPr>
          <w:bCs/>
          <w:sz w:val="22"/>
          <w:szCs w:val="22"/>
        </w:rPr>
        <w:t>U</w:t>
      </w:r>
      <w:r w:rsidR="00F36281">
        <w:rPr>
          <w:bCs/>
          <w:sz w:val="22"/>
          <w:szCs w:val="22"/>
        </w:rPr>
        <w:t xml:space="preserve">tilization </w:t>
      </w:r>
      <w:r>
        <w:rPr>
          <w:bCs/>
          <w:sz w:val="22"/>
          <w:szCs w:val="22"/>
        </w:rPr>
        <w:t>R</w:t>
      </w:r>
      <w:r w:rsidR="00F36281">
        <w:rPr>
          <w:bCs/>
          <w:sz w:val="22"/>
          <w:szCs w:val="22"/>
        </w:rPr>
        <w:t>ate (CUR)</w:t>
      </w:r>
      <w:r>
        <w:rPr>
          <w:bCs/>
          <w:sz w:val="22"/>
          <w:szCs w:val="22"/>
        </w:rPr>
        <w:t xml:space="preserve"> continued to decline. In February, CUR </w:t>
      </w:r>
      <w:r w:rsidR="00D264F2">
        <w:rPr>
          <w:bCs/>
          <w:sz w:val="22"/>
          <w:szCs w:val="22"/>
        </w:rPr>
        <w:t>fell</w:t>
      </w:r>
      <w:r>
        <w:rPr>
          <w:bCs/>
          <w:sz w:val="22"/>
          <w:szCs w:val="22"/>
        </w:rPr>
        <w:t xml:space="preserve"> 0.2 percent</w:t>
      </w:r>
      <w:r w:rsidR="00F36281">
        <w:rPr>
          <w:bCs/>
          <w:sz w:val="22"/>
          <w:szCs w:val="22"/>
        </w:rPr>
        <w:t>age points</w:t>
      </w:r>
      <w:r>
        <w:rPr>
          <w:bCs/>
          <w:sz w:val="22"/>
          <w:szCs w:val="22"/>
        </w:rPr>
        <w:t xml:space="preserve"> from the previous month. After consecutive falls in last three months, real sector confidence index recovered slightly. We expect private investment expenditure to stagnate </w:t>
      </w:r>
      <w:r w:rsidR="00F36281">
        <w:rPr>
          <w:bCs/>
          <w:sz w:val="22"/>
          <w:szCs w:val="22"/>
        </w:rPr>
        <w:t>as it did in</w:t>
      </w:r>
      <w:r>
        <w:rPr>
          <w:bCs/>
          <w:sz w:val="22"/>
          <w:szCs w:val="22"/>
        </w:rPr>
        <w:t xml:space="preserve"> the last quarter.</w:t>
      </w:r>
    </w:p>
    <w:p w:rsidR="00FD3A91" w:rsidRDefault="00FD3A91" w:rsidP="00FD3A91">
      <w:pPr>
        <w:spacing w:line="360" w:lineRule="auto"/>
        <w:ind w:left="-360" w:right="43"/>
        <w:jc w:val="both"/>
        <w:rPr>
          <w:bCs/>
          <w:sz w:val="22"/>
          <w:szCs w:val="22"/>
        </w:rPr>
      </w:pPr>
    </w:p>
    <w:p w:rsidR="00FD3A91" w:rsidRDefault="00D264F2" w:rsidP="00FD3A91">
      <w:pPr>
        <w:spacing w:line="360" w:lineRule="auto"/>
        <w:ind w:left="-360" w:right="43"/>
        <w:jc w:val="center"/>
        <w:rPr>
          <w:b/>
          <w:bCs/>
          <w:sz w:val="22"/>
          <w:szCs w:val="22"/>
        </w:rPr>
      </w:pPr>
      <w:r>
        <w:rPr>
          <w:b/>
          <w:bCs/>
          <w:sz w:val="22"/>
          <w:szCs w:val="22"/>
        </w:rPr>
        <w:t>Exports increased in January</w:t>
      </w:r>
      <w:r w:rsidR="00FD3A91">
        <w:rPr>
          <w:b/>
          <w:bCs/>
          <w:sz w:val="22"/>
          <w:szCs w:val="22"/>
        </w:rPr>
        <w:br/>
      </w:r>
    </w:p>
    <w:p w:rsidR="00D654A2" w:rsidRDefault="00FD3A91" w:rsidP="00D654A2">
      <w:pPr>
        <w:spacing w:line="360" w:lineRule="auto"/>
        <w:ind w:left="-360" w:right="43"/>
        <w:jc w:val="both"/>
        <w:rPr>
          <w:sz w:val="22"/>
          <w:szCs w:val="22"/>
        </w:rPr>
      </w:pPr>
      <w:r>
        <w:rPr>
          <w:sz w:val="22"/>
          <w:szCs w:val="22"/>
        </w:rPr>
        <w:t>Figure 2 shows monthly changes of seasonally adjusted import and export volume indices. In January from the previous month, export volume index increased by 1.8 percent, and import volume index declined by 0.5 percent. In the same period, gold excluded exports increased by 3.9 percent and 1.2 percent, respectively.</w:t>
      </w:r>
      <w:r w:rsidR="00D654A2">
        <w:rPr>
          <w:sz w:val="22"/>
          <w:szCs w:val="22"/>
        </w:rPr>
        <w:t xml:space="preserve"> </w:t>
      </w:r>
      <w:proofErr w:type="gramStart"/>
      <w:r w:rsidR="00D654A2">
        <w:rPr>
          <w:sz w:val="22"/>
          <w:szCs w:val="22"/>
        </w:rPr>
        <w:t>Exports to Europe has</w:t>
      </w:r>
      <w:proofErr w:type="gramEnd"/>
      <w:r w:rsidR="00D654A2">
        <w:rPr>
          <w:sz w:val="22"/>
          <w:szCs w:val="22"/>
        </w:rPr>
        <w:t xml:space="preserve"> been the main driver for the increases in the EPI lately. Further acceleration in European </w:t>
      </w:r>
      <w:r w:rsidR="00D654A2">
        <w:rPr>
          <w:sz w:val="22"/>
          <w:szCs w:val="22"/>
        </w:rPr>
        <w:lastRenderedPageBreak/>
        <w:t>growth is expected to continue increasing Turkey's exports. W</w:t>
      </w:r>
      <w:r>
        <w:rPr>
          <w:sz w:val="22"/>
          <w:szCs w:val="22"/>
        </w:rPr>
        <w:t>e expect net exports to contribute positively to the GDP growth</w:t>
      </w:r>
      <w:r w:rsidR="00D654A2">
        <w:rPr>
          <w:sz w:val="22"/>
          <w:szCs w:val="22"/>
        </w:rPr>
        <w:t xml:space="preserve"> in the first quarter</w:t>
      </w:r>
      <w:r>
        <w:rPr>
          <w:sz w:val="22"/>
          <w:szCs w:val="22"/>
        </w:rPr>
        <w:t>.</w:t>
      </w:r>
    </w:p>
    <w:p w:rsidR="00D654A2" w:rsidRDefault="00D654A2" w:rsidP="00D654A2">
      <w:pPr>
        <w:spacing w:line="360" w:lineRule="auto"/>
        <w:ind w:left="-360" w:right="43"/>
        <w:jc w:val="both"/>
        <w:rPr>
          <w:sz w:val="22"/>
          <w:szCs w:val="22"/>
        </w:rPr>
      </w:pPr>
    </w:p>
    <w:p w:rsidR="00FD3A91" w:rsidRPr="00D654A2" w:rsidRDefault="00FD3A91" w:rsidP="00D654A2">
      <w:pPr>
        <w:spacing w:line="360" w:lineRule="auto"/>
        <w:ind w:left="-360" w:right="43"/>
        <w:jc w:val="center"/>
        <w:rPr>
          <w:sz w:val="22"/>
          <w:szCs w:val="22"/>
        </w:rPr>
      </w:pPr>
      <w:r>
        <w:rPr>
          <w:b/>
          <w:bCs/>
          <w:sz w:val="22"/>
          <w:szCs w:val="22"/>
        </w:rPr>
        <w:t>Current account deficit is below expectations in January</w:t>
      </w:r>
    </w:p>
    <w:p w:rsidR="00FD3A91" w:rsidRDefault="00FD3A91" w:rsidP="00FD3A91">
      <w:pPr>
        <w:spacing w:line="360" w:lineRule="auto"/>
        <w:ind w:left="-360" w:right="43"/>
        <w:jc w:val="center"/>
        <w:rPr>
          <w:b/>
          <w:bCs/>
          <w:sz w:val="22"/>
          <w:szCs w:val="22"/>
        </w:rPr>
      </w:pPr>
    </w:p>
    <w:p w:rsidR="00FD3A91" w:rsidRDefault="00FD3A91" w:rsidP="00FD3A91">
      <w:pPr>
        <w:spacing w:line="360" w:lineRule="auto"/>
        <w:ind w:left="-360" w:right="43"/>
        <w:jc w:val="both"/>
        <w:rPr>
          <w:sz w:val="22"/>
          <w:szCs w:val="22"/>
        </w:rPr>
      </w:pPr>
      <w:r>
        <w:rPr>
          <w:sz w:val="22"/>
          <w:szCs w:val="22"/>
        </w:rPr>
        <w:t xml:space="preserve">In January, the current account deficit was </w:t>
      </w:r>
      <w:r w:rsidR="006E36E6">
        <w:rPr>
          <w:sz w:val="22"/>
          <w:szCs w:val="22"/>
        </w:rPr>
        <w:t>$</w:t>
      </w:r>
      <w:r>
        <w:rPr>
          <w:sz w:val="22"/>
          <w:szCs w:val="22"/>
        </w:rPr>
        <w:t xml:space="preserve">4.9 billion, below expectations. In the same month of the previous year, the current account deficit was </w:t>
      </w:r>
      <w:r w:rsidR="006E36E6">
        <w:rPr>
          <w:sz w:val="22"/>
          <w:szCs w:val="22"/>
        </w:rPr>
        <w:t>$</w:t>
      </w:r>
      <w:r>
        <w:rPr>
          <w:sz w:val="22"/>
          <w:szCs w:val="22"/>
        </w:rPr>
        <w:t xml:space="preserve">5.8 billion. Therefore, 12-month </w:t>
      </w:r>
      <w:r w:rsidR="00770B73">
        <w:rPr>
          <w:sz w:val="22"/>
          <w:szCs w:val="22"/>
        </w:rPr>
        <w:t xml:space="preserve">rolling </w:t>
      </w:r>
      <w:r>
        <w:rPr>
          <w:sz w:val="22"/>
          <w:szCs w:val="22"/>
        </w:rPr>
        <w:t xml:space="preserve">current account deficit declined from </w:t>
      </w:r>
      <w:r w:rsidR="006E36E6">
        <w:rPr>
          <w:sz w:val="22"/>
          <w:szCs w:val="22"/>
        </w:rPr>
        <w:t>$</w:t>
      </w:r>
      <w:r>
        <w:rPr>
          <w:sz w:val="22"/>
          <w:szCs w:val="22"/>
        </w:rPr>
        <w:t>65 billio</w:t>
      </w:r>
      <w:r w:rsidR="0035310C">
        <w:rPr>
          <w:sz w:val="22"/>
          <w:szCs w:val="22"/>
        </w:rPr>
        <w:t xml:space="preserve">n to </w:t>
      </w:r>
      <w:r w:rsidR="006E36E6">
        <w:rPr>
          <w:sz w:val="22"/>
          <w:szCs w:val="22"/>
        </w:rPr>
        <w:t>$</w:t>
      </w:r>
      <w:r w:rsidR="0035310C">
        <w:rPr>
          <w:sz w:val="22"/>
          <w:szCs w:val="22"/>
        </w:rPr>
        <w:t>6</w:t>
      </w:r>
      <w:r w:rsidR="006E36E6">
        <w:rPr>
          <w:sz w:val="22"/>
          <w:szCs w:val="22"/>
        </w:rPr>
        <w:t>4 billion, and gold-</w:t>
      </w:r>
      <w:r>
        <w:rPr>
          <w:sz w:val="22"/>
          <w:szCs w:val="22"/>
        </w:rPr>
        <w:t xml:space="preserve">excluded current account deficit fell from </w:t>
      </w:r>
      <w:r w:rsidR="006E36E6">
        <w:rPr>
          <w:sz w:val="22"/>
          <w:szCs w:val="22"/>
        </w:rPr>
        <w:t>$53.2 billion</w:t>
      </w:r>
      <w:r>
        <w:rPr>
          <w:sz w:val="22"/>
          <w:szCs w:val="22"/>
        </w:rPr>
        <w:t xml:space="preserve"> to </w:t>
      </w:r>
      <w:r w:rsidR="006E36E6">
        <w:rPr>
          <w:sz w:val="22"/>
          <w:szCs w:val="22"/>
        </w:rPr>
        <w:t>$</w:t>
      </w:r>
      <w:r>
        <w:rPr>
          <w:sz w:val="22"/>
          <w:szCs w:val="22"/>
        </w:rPr>
        <w:t xml:space="preserve">52.3 billion. </w:t>
      </w:r>
    </w:p>
    <w:p w:rsidR="00770B73" w:rsidRDefault="00770B73" w:rsidP="00FD3A91">
      <w:pPr>
        <w:spacing w:line="360" w:lineRule="auto"/>
        <w:ind w:left="-360" w:right="43"/>
        <w:jc w:val="both"/>
        <w:rPr>
          <w:sz w:val="22"/>
          <w:szCs w:val="22"/>
        </w:rPr>
      </w:pPr>
    </w:p>
    <w:p w:rsidR="00FD3A91" w:rsidRDefault="00A540B6" w:rsidP="00FD3A91">
      <w:pPr>
        <w:spacing w:line="360" w:lineRule="auto"/>
        <w:ind w:left="-360" w:right="43"/>
        <w:jc w:val="both"/>
        <w:rPr>
          <w:sz w:val="22"/>
          <w:szCs w:val="22"/>
        </w:rPr>
      </w:pPr>
      <w:r>
        <w:rPr>
          <w:sz w:val="22"/>
          <w:szCs w:val="22"/>
        </w:rPr>
        <w:t xml:space="preserve">Net capital outflow was $3.1 billion in January. </w:t>
      </w:r>
      <w:r w:rsidR="00FD3A91">
        <w:rPr>
          <w:sz w:val="22"/>
          <w:szCs w:val="22"/>
        </w:rPr>
        <w:t xml:space="preserve">The current account deficit was mainly financed by </w:t>
      </w:r>
      <w:r>
        <w:rPr>
          <w:sz w:val="22"/>
          <w:szCs w:val="22"/>
        </w:rPr>
        <w:t>the Central Bank</w:t>
      </w:r>
      <w:r w:rsidR="00FD3A91">
        <w:rPr>
          <w:sz w:val="22"/>
          <w:szCs w:val="22"/>
        </w:rPr>
        <w:t xml:space="preserve"> reserves. </w:t>
      </w:r>
      <w:r>
        <w:rPr>
          <w:sz w:val="22"/>
          <w:szCs w:val="22"/>
        </w:rPr>
        <w:t>In January</w:t>
      </w:r>
      <w:r w:rsidR="00FD3A91">
        <w:rPr>
          <w:sz w:val="22"/>
          <w:szCs w:val="22"/>
        </w:rPr>
        <w:t xml:space="preserve">, Central Bank </w:t>
      </w:r>
      <w:r>
        <w:rPr>
          <w:sz w:val="22"/>
          <w:szCs w:val="22"/>
        </w:rPr>
        <w:t xml:space="preserve">directly intervened in the market and </w:t>
      </w:r>
      <w:r w:rsidR="00FD3A91">
        <w:rPr>
          <w:sz w:val="22"/>
          <w:szCs w:val="22"/>
        </w:rPr>
        <w:t>tried to stabilize the exchange rate by selling high amounts of foreign currency.</w:t>
      </w:r>
      <w:r>
        <w:rPr>
          <w:sz w:val="22"/>
          <w:szCs w:val="22"/>
        </w:rPr>
        <w:t xml:space="preserve"> Therefore, reserves decreased by $5</w:t>
      </w:r>
      <w:proofErr w:type="gramStart"/>
      <w:r>
        <w:rPr>
          <w:sz w:val="22"/>
          <w:szCs w:val="22"/>
        </w:rPr>
        <w:t>,8</w:t>
      </w:r>
      <w:proofErr w:type="gramEnd"/>
      <w:r>
        <w:rPr>
          <w:sz w:val="22"/>
          <w:szCs w:val="22"/>
        </w:rPr>
        <w:t xml:space="preserve"> billion.</w:t>
      </w:r>
      <w:r w:rsidR="00FD3A91">
        <w:rPr>
          <w:sz w:val="22"/>
          <w:szCs w:val="22"/>
        </w:rPr>
        <w:t xml:space="preserve"> Net errors and omissions indicate</w:t>
      </w:r>
      <w:r>
        <w:rPr>
          <w:sz w:val="22"/>
          <w:szCs w:val="22"/>
        </w:rPr>
        <w:t>d</w:t>
      </w:r>
      <w:r w:rsidR="00FD3A91">
        <w:rPr>
          <w:sz w:val="22"/>
          <w:szCs w:val="22"/>
        </w:rPr>
        <w:t xml:space="preserve"> </w:t>
      </w:r>
      <w:r>
        <w:rPr>
          <w:sz w:val="22"/>
          <w:szCs w:val="22"/>
        </w:rPr>
        <w:t>$</w:t>
      </w:r>
      <w:r w:rsidR="00FD3A91">
        <w:rPr>
          <w:sz w:val="22"/>
          <w:szCs w:val="22"/>
        </w:rPr>
        <w:t xml:space="preserve">2.2 billion inflow. </w:t>
      </w:r>
    </w:p>
    <w:p w:rsidR="00FD3A91" w:rsidRDefault="00FD3A91" w:rsidP="00FD3A91">
      <w:pPr>
        <w:spacing w:line="360" w:lineRule="auto"/>
        <w:ind w:left="-360" w:right="43"/>
        <w:jc w:val="both"/>
        <w:rPr>
          <w:sz w:val="22"/>
          <w:szCs w:val="22"/>
        </w:rPr>
      </w:pPr>
    </w:p>
    <w:p w:rsidR="00FD3A91" w:rsidRDefault="00FD3A91" w:rsidP="00FD3A91">
      <w:pPr>
        <w:spacing w:line="360" w:lineRule="auto"/>
        <w:ind w:left="-360" w:right="43"/>
        <w:jc w:val="both"/>
        <w:rPr>
          <w:sz w:val="22"/>
          <w:szCs w:val="22"/>
        </w:rPr>
      </w:pPr>
      <w:r>
        <w:rPr>
          <w:sz w:val="22"/>
          <w:szCs w:val="22"/>
        </w:rPr>
        <w:t xml:space="preserve">We expect that the </w:t>
      </w:r>
      <w:r w:rsidRPr="00D911FE">
        <w:rPr>
          <w:sz w:val="22"/>
          <w:szCs w:val="22"/>
        </w:rPr>
        <w:t>current account deficit to GDP</w:t>
      </w:r>
      <w:r>
        <w:rPr>
          <w:sz w:val="22"/>
          <w:szCs w:val="22"/>
        </w:rPr>
        <w:t xml:space="preserve"> will remain at 7.9 percent </w:t>
      </w:r>
      <w:r w:rsidR="00DB1A44">
        <w:rPr>
          <w:sz w:val="22"/>
          <w:szCs w:val="22"/>
        </w:rPr>
        <w:t>at the end of</w:t>
      </w:r>
      <w:r>
        <w:rPr>
          <w:sz w:val="22"/>
          <w:szCs w:val="22"/>
        </w:rPr>
        <w:t xml:space="preserve"> first quarter. Our gold excluded current account deficit forecast is 6.5 percent.</w:t>
      </w:r>
    </w:p>
    <w:p w:rsidR="00F7696B" w:rsidRPr="0053729E" w:rsidRDefault="00F7696B" w:rsidP="005F5800">
      <w:pPr>
        <w:ind w:left="-360"/>
        <w:jc w:val="center"/>
        <w:rPr>
          <w:sz w:val="22"/>
          <w:szCs w:val="22"/>
        </w:rPr>
        <w:sectPr w:rsidR="00F7696B" w:rsidRPr="0053729E" w:rsidSect="00523C58">
          <w:type w:val="continuous"/>
          <w:pgSz w:w="11906" w:h="16838"/>
          <w:pgMar w:top="1417" w:right="1417" w:bottom="1417" w:left="1417" w:header="708" w:footer="708" w:gutter="0"/>
          <w:cols w:num="2" w:space="708" w:equalWidth="0">
            <w:col w:w="4182" w:space="708"/>
            <w:col w:w="4182"/>
          </w:cols>
          <w:docGrid w:linePitch="360"/>
        </w:sectPr>
      </w:pPr>
    </w:p>
    <w:p w:rsidR="008040FF" w:rsidRDefault="008040FF" w:rsidP="00801493">
      <w:pPr>
        <w:spacing w:line="360" w:lineRule="auto"/>
        <w:ind w:right="42"/>
        <w:jc w:val="both"/>
        <w:rPr>
          <w:rFonts w:ascii="Arial" w:hAnsi="Arial" w:cs="Arial"/>
          <w:b/>
          <w:sz w:val="20"/>
          <w:szCs w:val="20"/>
        </w:rPr>
      </w:pPr>
    </w:p>
    <w:p w:rsidR="00695E7E" w:rsidRDefault="00695E7E" w:rsidP="00801493">
      <w:pPr>
        <w:spacing w:line="360" w:lineRule="auto"/>
        <w:ind w:right="42"/>
        <w:jc w:val="both"/>
        <w:rPr>
          <w:rFonts w:ascii="Arial" w:hAnsi="Arial" w:cs="Arial"/>
          <w:b/>
          <w:sz w:val="20"/>
          <w:szCs w:val="20"/>
        </w:rPr>
      </w:pPr>
    </w:p>
    <w:p w:rsidR="00695E7E" w:rsidRDefault="00695E7E" w:rsidP="00801493">
      <w:pPr>
        <w:spacing w:line="360" w:lineRule="auto"/>
        <w:ind w:right="42"/>
        <w:jc w:val="both"/>
        <w:rPr>
          <w:rFonts w:ascii="Arial" w:hAnsi="Arial" w:cs="Arial"/>
          <w:b/>
          <w:sz w:val="20"/>
          <w:szCs w:val="20"/>
        </w:rPr>
      </w:pPr>
    </w:p>
    <w:p w:rsidR="00695E7E" w:rsidRDefault="00695E7E" w:rsidP="00801493">
      <w:pPr>
        <w:spacing w:line="360" w:lineRule="auto"/>
        <w:ind w:right="42"/>
        <w:jc w:val="both"/>
        <w:rPr>
          <w:rFonts w:ascii="Arial" w:hAnsi="Arial" w:cs="Arial"/>
          <w:b/>
          <w:sz w:val="20"/>
          <w:szCs w:val="20"/>
        </w:rPr>
      </w:pPr>
    </w:p>
    <w:p w:rsidR="00695E7E" w:rsidRDefault="00695E7E" w:rsidP="00801493">
      <w:pPr>
        <w:spacing w:line="360" w:lineRule="auto"/>
        <w:ind w:right="42"/>
        <w:jc w:val="both"/>
        <w:rPr>
          <w:rFonts w:ascii="Arial" w:hAnsi="Arial" w:cs="Arial"/>
          <w:b/>
          <w:sz w:val="20"/>
          <w:szCs w:val="20"/>
        </w:rPr>
      </w:pPr>
    </w:p>
    <w:p w:rsidR="00695E7E" w:rsidRDefault="00695E7E" w:rsidP="00801493">
      <w:pPr>
        <w:spacing w:line="360" w:lineRule="auto"/>
        <w:ind w:right="42"/>
        <w:jc w:val="both"/>
        <w:rPr>
          <w:rFonts w:ascii="Arial" w:hAnsi="Arial" w:cs="Arial"/>
          <w:b/>
          <w:sz w:val="20"/>
          <w:szCs w:val="20"/>
        </w:rPr>
      </w:pPr>
    </w:p>
    <w:p w:rsidR="00695E7E" w:rsidRDefault="00695E7E" w:rsidP="00801493">
      <w:pPr>
        <w:spacing w:line="360" w:lineRule="auto"/>
        <w:ind w:right="42"/>
        <w:jc w:val="both"/>
        <w:rPr>
          <w:rFonts w:ascii="Arial" w:hAnsi="Arial" w:cs="Arial"/>
          <w:b/>
          <w:sz w:val="20"/>
          <w:szCs w:val="20"/>
        </w:rPr>
      </w:pPr>
    </w:p>
    <w:p w:rsidR="00695E7E" w:rsidRDefault="00695E7E" w:rsidP="00801493">
      <w:pPr>
        <w:spacing w:line="360" w:lineRule="auto"/>
        <w:ind w:right="42"/>
        <w:jc w:val="both"/>
        <w:rPr>
          <w:rFonts w:ascii="Arial" w:hAnsi="Arial" w:cs="Arial"/>
          <w:b/>
          <w:sz w:val="20"/>
          <w:szCs w:val="20"/>
        </w:rPr>
      </w:pPr>
    </w:p>
    <w:p w:rsidR="00695E7E" w:rsidRDefault="00695E7E" w:rsidP="00801493">
      <w:pPr>
        <w:spacing w:line="360" w:lineRule="auto"/>
        <w:ind w:right="42"/>
        <w:jc w:val="both"/>
        <w:rPr>
          <w:rFonts w:ascii="Arial" w:hAnsi="Arial" w:cs="Arial"/>
          <w:b/>
          <w:sz w:val="20"/>
          <w:szCs w:val="20"/>
        </w:rPr>
      </w:pPr>
    </w:p>
    <w:p w:rsidR="008C6E50" w:rsidRPr="00F7749B" w:rsidRDefault="00E823E8" w:rsidP="00801493">
      <w:pPr>
        <w:spacing w:line="360" w:lineRule="auto"/>
        <w:ind w:right="42"/>
        <w:jc w:val="both"/>
        <w:rPr>
          <w:sz w:val="22"/>
          <w:szCs w:val="22"/>
        </w:rPr>
      </w:pPr>
      <w:r w:rsidRPr="00F7749B">
        <w:rPr>
          <w:b/>
          <w:sz w:val="22"/>
          <w:szCs w:val="22"/>
        </w:rPr>
        <w:lastRenderedPageBreak/>
        <w:t>Table</w:t>
      </w:r>
      <w:r w:rsidR="00451918" w:rsidRPr="00F7749B">
        <w:rPr>
          <w:b/>
          <w:sz w:val="22"/>
          <w:szCs w:val="22"/>
        </w:rPr>
        <w:t xml:space="preserve"> 2: </w:t>
      </w:r>
      <w:r w:rsidRPr="00F7749B">
        <w:rPr>
          <w:b/>
          <w:sz w:val="22"/>
          <w:szCs w:val="22"/>
        </w:rPr>
        <w:t xml:space="preserve">Monthly and quarterly changes of </w:t>
      </w:r>
      <w:proofErr w:type="spellStart"/>
      <w:r w:rsidRPr="00F7749B">
        <w:rPr>
          <w:b/>
          <w:sz w:val="22"/>
          <w:szCs w:val="22"/>
        </w:rPr>
        <w:t>Betam’s</w:t>
      </w:r>
      <w:proofErr w:type="spellEnd"/>
      <w:r w:rsidRPr="00F7749B">
        <w:rPr>
          <w:b/>
          <w:sz w:val="22"/>
          <w:szCs w:val="22"/>
        </w:rPr>
        <w:t xml:space="preserve"> selected indicators (real </w:t>
      </w:r>
      <w:r w:rsidR="00455777" w:rsidRPr="00F7749B">
        <w:rPr>
          <w:b/>
          <w:sz w:val="22"/>
          <w:szCs w:val="22"/>
        </w:rPr>
        <w:t>and</w:t>
      </w:r>
      <w:r w:rsidR="00906476" w:rsidRPr="00F7749B">
        <w:rPr>
          <w:b/>
          <w:sz w:val="22"/>
          <w:szCs w:val="22"/>
        </w:rPr>
        <w:t xml:space="preserve"> </w:t>
      </w:r>
      <w:proofErr w:type="spellStart"/>
      <w:proofErr w:type="gramStart"/>
      <w:r w:rsidRPr="00F7749B">
        <w:rPr>
          <w:b/>
          <w:sz w:val="22"/>
          <w:szCs w:val="22"/>
        </w:rPr>
        <w:t>sa</w:t>
      </w:r>
      <w:proofErr w:type="spellEnd"/>
      <w:proofErr w:type="gramEnd"/>
      <w:r w:rsidR="008C6E50" w:rsidRPr="00F7749B">
        <w:rPr>
          <w:b/>
          <w:sz w:val="22"/>
          <w:szCs w:val="22"/>
        </w:rPr>
        <w:t>)</w:t>
      </w:r>
    </w:p>
    <w:p w:rsidR="008C6E50" w:rsidRPr="0053729E" w:rsidRDefault="008C6E50" w:rsidP="001E4BF5">
      <w:pPr>
        <w:spacing w:line="360" w:lineRule="auto"/>
        <w:ind w:left="-360" w:right="42"/>
        <w:jc w:val="both"/>
        <w:rPr>
          <w:rFonts w:ascii="Arial" w:hAnsi="Arial" w:cs="Arial"/>
          <w:sz w:val="20"/>
          <w:szCs w:val="20"/>
        </w:rPr>
        <w:sectPr w:rsidR="008C6E50" w:rsidRPr="0053729E" w:rsidSect="0075074A">
          <w:type w:val="continuous"/>
          <w:pgSz w:w="11906" w:h="16838"/>
          <w:pgMar w:top="1417" w:right="1417" w:bottom="1417" w:left="1417" w:header="708" w:footer="708" w:gutter="0"/>
          <w:cols w:space="708"/>
          <w:docGrid w:linePitch="360"/>
        </w:sect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18"/>
        <w:gridCol w:w="1418"/>
        <w:gridCol w:w="1417"/>
        <w:gridCol w:w="1276"/>
        <w:gridCol w:w="1361"/>
        <w:gridCol w:w="1035"/>
        <w:gridCol w:w="1035"/>
      </w:tblGrid>
      <w:tr w:rsidR="001048C8" w:rsidRPr="0053729E" w:rsidTr="001048C8">
        <w:trPr>
          <w:trHeight w:val="607"/>
        </w:trPr>
        <w:tc>
          <w:tcPr>
            <w:tcW w:w="2718" w:type="dxa"/>
            <w:vAlign w:val="center"/>
          </w:tcPr>
          <w:p w:rsidR="001048C8" w:rsidRPr="0053729E" w:rsidRDefault="001048C8" w:rsidP="00E00B71">
            <w:pPr>
              <w:ind w:right="42"/>
              <w:jc w:val="center"/>
              <w:rPr>
                <w:b/>
                <w:bCs/>
              </w:rPr>
            </w:pPr>
            <w:r w:rsidRPr="0053729E">
              <w:rPr>
                <w:b/>
                <w:bCs/>
              </w:rPr>
              <w:lastRenderedPageBreak/>
              <w:t>Economic Indicators</w:t>
            </w:r>
          </w:p>
        </w:tc>
        <w:tc>
          <w:tcPr>
            <w:tcW w:w="1418" w:type="dxa"/>
            <w:vAlign w:val="center"/>
          </w:tcPr>
          <w:p w:rsidR="001048C8" w:rsidRPr="0053729E" w:rsidRDefault="001048C8" w:rsidP="00DA49F3">
            <w:pPr>
              <w:ind w:right="42"/>
              <w:jc w:val="center"/>
              <w:rPr>
                <w:b/>
                <w:bCs/>
              </w:rPr>
            </w:pPr>
            <w:r>
              <w:rPr>
                <w:b/>
                <w:bCs/>
              </w:rPr>
              <w:t>November</w:t>
            </w:r>
          </w:p>
        </w:tc>
        <w:tc>
          <w:tcPr>
            <w:tcW w:w="1417" w:type="dxa"/>
            <w:vAlign w:val="center"/>
          </w:tcPr>
          <w:p w:rsidR="001048C8" w:rsidRPr="0053729E" w:rsidRDefault="001048C8" w:rsidP="00DA49F3">
            <w:pPr>
              <w:ind w:right="42"/>
              <w:jc w:val="center"/>
              <w:rPr>
                <w:b/>
                <w:bCs/>
              </w:rPr>
            </w:pPr>
            <w:r>
              <w:rPr>
                <w:b/>
                <w:bCs/>
              </w:rPr>
              <w:t>December</w:t>
            </w:r>
          </w:p>
        </w:tc>
        <w:tc>
          <w:tcPr>
            <w:tcW w:w="1276" w:type="dxa"/>
            <w:vAlign w:val="center"/>
          </w:tcPr>
          <w:p w:rsidR="001048C8" w:rsidRPr="0053729E" w:rsidRDefault="001048C8" w:rsidP="00DA49F3">
            <w:pPr>
              <w:ind w:right="42"/>
              <w:jc w:val="center"/>
              <w:rPr>
                <w:b/>
                <w:bCs/>
              </w:rPr>
            </w:pPr>
            <w:r>
              <w:rPr>
                <w:b/>
                <w:bCs/>
              </w:rPr>
              <w:t>January</w:t>
            </w:r>
          </w:p>
        </w:tc>
        <w:tc>
          <w:tcPr>
            <w:tcW w:w="1361" w:type="dxa"/>
            <w:tcBorders>
              <w:right w:val="double" w:sz="4" w:space="0" w:color="auto"/>
            </w:tcBorders>
            <w:vAlign w:val="center"/>
          </w:tcPr>
          <w:p w:rsidR="001048C8" w:rsidRPr="0053729E" w:rsidRDefault="001048C8" w:rsidP="00E00B71">
            <w:pPr>
              <w:ind w:right="42"/>
              <w:jc w:val="center"/>
              <w:rPr>
                <w:b/>
                <w:bCs/>
              </w:rPr>
            </w:pPr>
            <w:r>
              <w:rPr>
                <w:b/>
                <w:bCs/>
              </w:rPr>
              <w:t>February</w:t>
            </w:r>
          </w:p>
        </w:tc>
        <w:tc>
          <w:tcPr>
            <w:tcW w:w="1035" w:type="dxa"/>
            <w:tcBorders>
              <w:left w:val="double" w:sz="4" w:space="0" w:color="auto"/>
            </w:tcBorders>
            <w:vAlign w:val="center"/>
          </w:tcPr>
          <w:p w:rsidR="001048C8" w:rsidRPr="0053729E" w:rsidRDefault="004300C1" w:rsidP="00B94CDE">
            <w:pPr>
              <w:ind w:right="42"/>
              <w:jc w:val="center"/>
              <w:rPr>
                <w:b/>
                <w:bCs/>
              </w:rPr>
            </w:pPr>
            <w:r>
              <w:rPr>
                <w:b/>
                <w:bCs/>
                <w:sz w:val="22"/>
                <w:szCs w:val="22"/>
              </w:rPr>
              <w:t>2013</w:t>
            </w:r>
            <w:r w:rsidR="001048C8" w:rsidRPr="0053729E">
              <w:rPr>
                <w:b/>
                <w:bCs/>
                <w:sz w:val="22"/>
                <w:szCs w:val="22"/>
              </w:rPr>
              <w:t xml:space="preserve"> </w:t>
            </w:r>
            <w:r w:rsidR="00026B51">
              <w:rPr>
                <w:b/>
                <w:bCs/>
                <w:sz w:val="22"/>
                <w:szCs w:val="22"/>
              </w:rPr>
              <w:t>4</w:t>
            </w:r>
            <w:r w:rsidR="00026B51">
              <w:rPr>
                <w:b/>
                <w:bCs/>
                <w:sz w:val="22"/>
                <w:szCs w:val="22"/>
                <w:vertAlign w:val="superscript"/>
              </w:rPr>
              <w:t>th</w:t>
            </w:r>
            <w:r w:rsidR="001048C8" w:rsidRPr="0053729E">
              <w:rPr>
                <w:b/>
                <w:bCs/>
                <w:sz w:val="22"/>
                <w:szCs w:val="22"/>
              </w:rPr>
              <w:t xml:space="preserve"> Quarter</w:t>
            </w:r>
          </w:p>
        </w:tc>
        <w:tc>
          <w:tcPr>
            <w:tcW w:w="1035" w:type="dxa"/>
            <w:vAlign w:val="center"/>
          </w:tcPr>
          <w:p w:rsidR="001048C8" w:rsidRPr="0053729E" w:rsidRDefault="00026B51" w:rsidP="00026B51">
            <w:pPr>
              <w:ind w:right="42"/>
              <w:jc w:val="center"/>
              <w:rPr>
                <w:b/>
                <w:bCs/>
              </w:rPr>
            </w:pPr>
            <w:r>
              <w:rPr>
                <w:b/>
                <w:bCs/>
                <w:sz w:val="22"/>
                <w:szCs w:val="22"/>
              </w:rPr>
              <w:t>2014</w:t>
            </w:r>
            <w:r w:rsidR="001048C8" w:rsidRPr="0053729E">
              <w:rPr>
                <w:b/>
                <w:bCs/>
                <w:sz w:val="22"/>
                <w:szCs w:val="22"/>
              </w:rPr>
              <w:t xml:space="preserve"> </w:t>
            </w:r>
            <w:r>
              <w:rPr>
                <w:b/>
                <w:bCs/>
                <w:sz w:val="22"/>
                <w:szCs w:val="22"/>
              </w:rPr>
              <w:t>1</w:t>
            </w:r>
            <w:r>
              <w:rPr>
                <w:b/>
                <w:bCs/>
                <w:sz w:val="22"/>
                <w:szCs w:val="22"/>
                <w:vertAlign w:val="superscript"/>
              </w:rPr>
              <w:t>st</w:t>
            </w:r>
            <w:r w:rsidR="001048C8" w:rsidRPr="0053729E">
              <w:rPr>
                <w:b/>
                <w:bCs/>
                <w:sz w:val="22"/>
                <w:szCs w:val="22"/>
              </w:rPr>
              <w:t xml:space="preserve"> Quarter</w:t>
            </w:r>
          </w:p>
        </w:tc>
      </w:tr>
      <w:tr w:rsidR="001048C8" w:rsidRPr="0053729E" w:rsidTr="001048C8">
        <w:trPr>
          <w:trHeight w:val="370"/>
        </w:trPr>
        <w:tc>
          <w:tcPr>
            <w:tcW w:w="2718" w:type="dxa"/>
            <w:vAlign w:val="bottom"/>
          </w:tcPr>
          <w:p w:rsidR="001048C8" w:rsidRPr="0053729E" w:rsidRDefault="001048C8" w:rsidP="00E00B71">
            <w:pPr>
              <w:spacing w:line="288" w:lineRule="auto"/>
              <w:ind w:right="77"/>
              <w:rPr>
                <w:b/>
                <w:sz w:val="20"/>
                <w:szCs w:val="20"/>
              </w:rPr>
            </w:pPr>
            <w:r w:rsidRPr="0053729E">
              <w:rPr>
                <w:b/>
                <w:sz w:val="20"/>
                <w:szCs w:val="20"/>
              </w:rPr>
              <w:t>Exports</w:t>
            </w:r>
          </w:p>
        </w:tc>
        <w:tc>
          <w:tcPr>
            <w:tcW w:w="1418" w:type="dxa"/>
            <w:vAlign w:val="center"/>
          </w:tcPr>
          <w:p w:rsidR="001048C8" w:rsidRPr="00261A05" w:rsidRDefault="001048C8" w:rsidP="00DA49F3">
            <w:pPr>
              <w:ind w:right="42"/>
              <w:jc w:val="center"/>
              <w:rPr>
                <w:b/>
                <w:bCs/>
              </w:rPr>
            </w:pPr>
            <w:r>
              <w:rPr>
                <w:b/>
                <w:bCs/>
              </w:rPr>
              <w:t>2.7</w:t>
            </w:r>
          </w:p>
        </w:tc>
        <w:tc>
          <w:tcPr>
            <w:tcW w:w="1417" w:type="dxa"/>
            <w:vAlign w:val="center"/>
          </w:tcPr>
          <w:p w:rsidR="001048C8" w:rsidRPr="00261A05" w:rsidRDefault="001048C8" w:rsidP="00DA49F3">
            <w:pPr>
              <w:ind w:right="42"/>
              <w:jc w:val="center"/>
              <w:rPr>
                <w:b/>
                <w:bCs/>
              </w:rPr>
            </w:pPr>
            <w:r>
              <w:rPr>
                <w:b/>
                <w:bCs/>
              </w:rPr>
              <w:t>-1.7</w:t>
            </w:r>
          </w:p>
        </w:tc>
        <w:tc>
          <w:tcPr>
            <w:tcW w:w="1276" w:type="dxa"/>
            <w:vAlign w:val="center"/>
          </w:tcPr>
          <w:p w:rsidR="001048C8" w:rsidRPr="00261A05" w:rsidRDefault="001048C8" w:rsidP="00DA49F3">
            <w:pPr>
              <w:ind w:right="42"/>
              <w:jc w:val="center"/>
              <w:rPr>
                <w:b/>
                <w:bCs/>
              </w:rPr>
            </w:pPr>
            <w:r>
              <w:rPr>
                <w:b/>
                <w:bCs/>
              </w:rPr>
              <w:t>1.8</w:t>
            </w:r>
          </w:p>
        </w:tc>
        <w:tc>
          <w:tcPr>
            <w:tcW w:w="1361" w:type="dxa"/>
            <w:tcBorders>
              <w:right w:val="double" w:sz="4" w:space="0" w:color="auto"/>
            </w:tcBorders>
            <w:vAlign w:val="center"/>
          </w:tcPr>
          <w:p w:rsidR="001048C8" w:rsidRPr="00261A05" w:rsidRDefault="001048C8" w:rsidP="00DA49F3">
            <w:pPr>
              <w:ind w:right="42"/>
              <w:jc w:val="center"/>
            </w:pPr>
            <w:r>
              <w:t>**</w:t>
            </w:r>
          </w:p>
        </w:tc>
        <w:tc>
          <w:tcPr>
            <w:tcW w:w="1035" w:type="dxa"/>
            <w:tcBorders>
              <w:left w:val="double" w:sz="4" w:space="0" w:color="auto"/>
            </w:tcBorders>
            <w:vAlign w:val="center"/>
          </w:tcPr>
          <w:p w:rsidR="001048C8" w:rsidRPr="00261A05" w:rsidRDefault="001048C8" w:rsidP="00DA49F3">
            <w:pPr>
              <w:ind w:right="42"/>
              <w:jc w:val="center"/>
              <w:rPr>
                <w:b/>
                <w:bCs/>
              </w:rPr>
            </w:pPr>
            <w:r>
              <w:rPr>
                <w:b/>
                <w:bCs/>
              </w:rPr>
              <w:t>5.0</w:t>
            </w:r>
          </w:p>
        </w:tc>
        <w:tc>
          <w:tcPr>
            <w:tcW w:w="1035" w:type="dxa"/>
            <w:vAlign w:val="center"/>
          </w:tcPr>
          <w:p w:rsidR="001048C8" w:rsidRPr="00261A05" w:rsidRDefault="001048C8" w:rsidP="00DA49F3">
            <w:pPr>
              <w:ind w:right="42"/>
              <w:jc w:val="center"/>
              <w:rPr>
                <w:b/>
                <w:bCs/>
              </w:rPr>
            </w:pPr>
            <w:r>
              <w:rPr>
                <w:b/>
                <w:bCs/>
              </w:rPr>
              <w:t>1.5</w:t>
            </w:r>
          </w:p>
        </w:tc>
      </w:tr>
      <w:tr w:rsidR="001048C8" w:rsidRPr="0053729E" w:rsidTr="001048C8">
        <w:trPr>
          <w:trHeight w:val="370"/>
        </w:trPr>
        <w:tc>
          <w:tcPr>
            <w:tcW w:w="2718" w:type="dxa"/>
            <w:tcBorders>
              <w:bottom w:val="nil"/>
            </w:tcBorders>
            <w:vAlign w:val="bottom"/>
          </w:tcPr>
          <w:p w:rsidR="001048C8" w:rsidRPr="0053729E" w:rsidRDefault="001048C8" w:rsidP="00E00B71">
            <w:pPr>
              <w:spacing w:line="288" w:lineRule="auto"/>
              <w:ind w:right="77"/>
              <w:rPr>
                <w:b/>
                <w:sz w:val="20"/>
                <w:szCs w:val="20"/>
              </w:rPr>
            </w:pPr>
            <w:r w:rsidRPr="0053729E">
              <w:rPr>
                <w:b/>
                <w:sz w:val="20"/>
                <w:szCs w:val="20"/>
              </w:rPr>
              <w:t>Imports</w:t>
            </w:r>
          </w:p>
        </w:tc>
        <w:tc>
          <w:tcPr>
            <w:tcW w:w="1418" w:type="dxa"/>
            <w:tcBorders>
              <w:bottom w:val="nil"/>
            </w:tcBorders>
            <w:vAlign w:val="center"/>
          </w:tcPr>
          <w:p w:rsidR="001048C8" w:rsidRPr="00261A05" w:rsidRDefault="001048C8" w:rsidP="00DA49F3">
            <w:pPr>
              <w:ind w:right="42"/>
              <w:jc w:val="center"/>
              <w:rPr>
                <w:b/>
                <w:bCs/>
              </w:rPr>
            </w:pPr>
            <w:r>
              <w:rPr>
                <w:b/>
                <w:bCs/>
              </w:rPr>
              <w:t>-1.8</w:t>
            </w:r>
          </w:p>
        </w:tc>
        <w:tc>
          <w:tcPr>
            <w:tcW w:w="1417" w:type="dxa"/>
            <w:tcBorders>
              <w:bottom w:val="nil"/>
            </w:tcBorders>
            <w:vAlign w:val="center"/>
          </w:tcPr>
          <w:p w:rsidR="001048C8" w:rsidRPr="00261A05" w:rsidRDefault="001048C8" w:rsidP="00DA49F3">
            <w:pPr>
              <w:ind w:right="42"/>
              <w:jc w:val="center"/>
              <w:rPr>
                <w:b/>
                <w:bCs/>
              </w:rPr>
            </w:pPr>
            <w:r>
              <w:rPr>
                <w:b/>
                <w:bCs/>
              </w:rPr>
              <w:t>0.9</w:t>
            </w:r>
          </w:p>
        </w:tc>
        <w:tc>
          <w:tcPr>
            <w:tcW w:w="1276" w:type="dxa"/>
            <w:tcBorders>
              <w:bottom w:val="nil"/>
            </w:tcBorders>
            <w:vAlign w:val="center"/>
          </w:tcPr>
          <w:p w:rsidR="001048C8" w:rsidRPr="00261A05" w:rsidRDefault="001048C8" w:rsidP="00DA49F3">
            <w:pPr>
              <w:ind w:right="42"/>
              <w:jc w:val="center"/>
              <w:rPr>
                <w:b/>
                <w:bCs/>
              </w:rPr>
            </w:pPr>
            <w:r>
              <w:rPr>
                <w:b/>
                <w:bCs/>
              </w:rPr>
              <w:t>-0.5</w:t>
            </w:r>
          </w:p>
        </w:tc>
        <w:tc>
          <w:tcPr>
            <w:tcW w:w="1361" w:type="dxa"/>
            <w:tcBorders>
              <w:bottom w:val="nil"/>
              <w:right w:val="double" w:sz="4" w:space="0" w:color="auto"/>
            </w:tcBorders>
            <w:vAlign w:val="center"/>
          </w:tcPr>
          <w:p w:rsidR="001048C8" w:rsidRPr="00261A05" w:rsidRDefault="001048C8" w:rsidP="00DA49F3">
            <w:pPr>
              <w:ind w:right="42"/>
              <w:jc w:val="center"/>
            </w:pPr>
            <w:r>
              <w:t>**</w:t>
            </w:r>
          </w:p>
        </w:tc>
        <w:tc>
          <w:tcPr>
            <w:tcW w:w="1035" w:type="dxa"/>
            <w:tcBorders>
              <w:left w:val="double" w:sz="4" w:space="0" w:color="auto"/>
              <w:bottom w:val="nil"/>
            </w:tcBorders>
            <w:vAlign w:val="center"/>
          </w:tcPr>
          <w:p w:rsidR="001048C8" w:rsidRPr="00261A05" w:rsidRDefault="001048C8" w:rsidP="00DA49F3">
            <w:pPr>
              <w:ind w:right="42"/>
              <w:jc w:val="center"/>
              <w:rPr>
                <w:b/>
                <w:bCs/>
              </w:rPr>
            </w:pPr>
            <w:r>
              <w:rPr>
                <w:b/>
                <w:bCs/>
              </w:rPr>
              <w:t>5.5</w:t>
            </w:r>
          </w:p>
        </w:tc>
        <w:tc>
          <w:tcPr>
            <w:tcW w:w="1035" w:type="dxa"/>
            <w:tcBorders>
              <w:bottom w:val="nil"/>
            </w:tcBorders>
            <w:vAlign w:val="center"/>
          </w:tcPr>
          <w:p w:rsidR="001048C8" w:rsidRPr="00261A05" w:rsidRDefault="001048C8" w:rsidP="00DA49F3">
            <w:pPr>
              <w:ind w:right="42"/>
              <w:jc w:val="center"/>
              <w:rPr>
                <w:b/>
                <w:bCs/>
              </w:rPr>
            </w:pPr>
            <w:r>
              <w:rPr>
                <w:b/>
                <w:bCs/>
              </w:rPr>
              <w:t>-0.6</w:t>
            </w:r>
          </w:p>
        </w:tc>
      </w:tr>
      <w:tr w:rsidR="001048C8" w:rsidRPr="0053729E" w:rsidTr="001048C8">
        <w:trPr>
          <w:trHeight w:val="370"/>
        </w:trPr>
        <w:tc>
          <w:tcPr>
            <w:tcW w:w="2718" w:type="dxa"/>
            <w:tcBorders>
              <w:top w:val="nil"/>
              <w:bottom w:val="nil"/>
            </w:tcBorders>
            <w:vAlign w:val="bottom"/>
          </w:tcPr>
          <w:p w:rsidR="001048C8" w:rsidRPr="0053729E" w:rsidRDefault="001048C8" w:rsidP="00E00B71">
            <w:pPr>
              <w:spacing w:line="288" w:lineRule="auto"/>
              <w:ind w:right="77"/>
              <w:rPr>
                <w:sz w:val="20"/>
                <w:szCs w:val="20"/>
              </w:rPr>
            </w:pPr>
            <w:r w:rsidRPr="0053729E">
              <w:rPr>
                <w:sz w:val="20"/>
                <w:szCs w:val="20"/>
              </w:rPr>
              <w:t>Intermediate goods import</w:t>
            </w:r>
          </w:p>
        </w:tc>
        <w:tc>
          <w:tcPr>
            <w:tcW w:w="1418" w:type="dxa"/>
            <w:tcBorders>
              <w:top w:val="nil"/>
              <w:bottom w:val="nil"/>
            </w:tcBorders>
            <w:vAlign w:val="center"/>
          </w:tcPr>
          <w:p w:rsidR="001048C8" w:rsidRPr="00261A05" w:rsidRDefault="001048C8" w:rsidP="00DA49F3">
            <w:pPr>
              <w:ind w:right="42"/>
              <w:jc w:val="center"/>
            </w:pPr>
            <w:r>
              <w:t>0.8</w:t>
            </w:r>
          </w:p>
        </w:tc>
        <w:tc>
          <w:tcPr>
            <w:tcW w:w="1417" w:type="dxa"/>
            <w:tcBorders>
              <w:top w:val="nil"/>
              <w:bottom w:val="nil"/>
            </w:tcBorders>
            <w:vAlign w:val="center"/>
          </w:tcPr>
          <w:p w:rsidR="001048C8" w:rsidRPr="00261A05" w:rsidRDefault="001048C8" w:rsidP="00DA49F3">
            <w:pPr>
              <w:ind w:right="42"/>
              <w:jc w:val="center"/>
            </w:pPr>
            <w:r>
              <w:t>5.1</w:t>
            </w:r>
          </w:p>
        </w:tc>
        <w:tc>
          <w:tcPr>
            <w:tcW w:w="1276" w:type="dxa"/>
            <w:tcBorders>
              <w:top w:val="nil"/>
              <w:bottom w:val="nil"/>
            </w:tcBorders>
            <w:vAlign w:val="center"/>
          </w:tcPr>
          <w:p w:rsidR="001048C8" w:rsidRPr="00261A05" w:rsidRDefault="001048C8" w:rsidP="00DA49F3">
            <w:pPr>
              <w:ind w:right="42"/>
              <w:jc w:val="center"/>
            </w:pPr>
            <w:r>
              <w:t>-3.2</w:t>
            </w:r>
          </w:p>
        </w:tc>
        <w:tc>
          <w:tcPr>
            <w:tcW w:w="1361" w:type="dxa"/>
            <w:tcBorders>
              <w:top w:val="nil"/>
              <w:bottom w:val="nil"/>
              <w:right w:val="double" w:sz="4" w:space="0" w:color="auto"/>
            </w:tcBorders>
            <w:vAlign w:val="center"/>
          </w:tcPr>
          <w:p w:rsidR="001048C8" w:rsidRPr="00261A05" w:rsidRDefault="001048C8" w:rsidP="00DA49F3">
            <w:pPr>
              <w:ind w:right="42"/>
              <w:jc w:val="center"/>
            </w:pPr>
            <w:r>
              <w:t>**</w:t>
            </w:r>
          </w:p>
        </w:tc>
        <w:tc>
          <w:tcPr>
            <w:tcW w:w="1035" w:type="dxa"/>
            <w:tcBorders>
              <w:top w:val="nil"/>
              <w:left w:val="double" w:sz="4" w:space="0" w:color="auto"/>
              <w:bottom w:val="nil"/>
            </w:tcBorders>
            <w:vAlign w:val="center"/>
          </w:tcPr>
          <w:p w:rsidR="001048C8" w:rsidRPr="00261A05" w:rsidRDefault="001048C8" w:rsidP="00DA49F3">
            <w:pPr>
              <w:ind w:right="42"/>
              <w:jc w:val="center"/>
            </w:pPr>
            <w:r>
              <w:t>4.2</w:t>
            </w:r>
          </w:p>
        </w:tc>
        <w:tc>
          <w:tcPr>
            <w:tcW w:w="1035" w:type="dxa"/>
            <w:tcBorders>
              <w:top w:val="nil"/>
              <w:bottom w:val="nil"/>
            </w:tcBorders>
            <w:vAlign w:val="center"/>
          </w:tcPr>
          <w:p w:rsidR="001048C8" w:rsidRPr="00261A05" w:rsidRDefault="001048C8" w:rsidP="00DA49F3">
            <w:pPr>
              <w:ind w:right="42"/>
              <w:jc w:val="center"/>
            </w:pPr>
            <w:r>
              <w:t>0.3</w:t>
            </w:r>
          </w:p>
        </w:tc>
      </w:tr>
      <w:tr w:rsidR="001048C8" w:rsidRPr="0053729E" w:rsidTr="001048C8">
        <w:trPr>
          <w:trHeight w:val="370"/>
        </w:trPr>
        <w:tc>
          <w:tcPr>
            <w:tcW w:w="2718" w:type="dxa"/>
            <w:tcBorders>
              <w:top w:val="nil"/>
              <w:bottom w:val="nil"/>
            </w:tcBorders>
            <w:vAlign w:val="bottom"/>
          </w:tcPr>
          <w:p w:rsidR="001048C8" w:rsidRPr="0053729E" w:rsidRDefault="001048C8" w:rsidP="00E00B71">
            <w:pPr>
              <w:spacing w:line="288" w:lineRule="auto"/>
              <w:ind w:right="77"/>
              <w:rPr>
                <w:sz w:val="20"/>
                <w:szCs w:val="20"/>
              </w:rPr>
            </w:pPr>
            <w:r w:rsidRPr="0053729E">
              <w:rPr>
                <w:sz w:val="20"/>
                <w:szCs w:val="20"/>
              </w:rPr>
              <w:t>Consumer goods import</w:t>
            </w:r>
          </w:p>
        </w:tc>
        <w:tc>
          <w:tcPr>
            <w:tcW w:w="1418" w:type="dxa"/>
            <w:tcBorders>
              <w:top w:val="nil"/>
              <w:bottom w:val="nil"/>
            </w:tcBorders>
            <w:vAlign w:val="center"/>
          </w:tcPr>
          <w:p w:rsidR="001048C8" w:rsidRPr="00611D03" w:rsidRDefault="001048C8" w:rsidP="00DA49F3">
            <w:pPr>
              <w:ind w:right="42"/>
              <w:jc w:val="center"/>
              <w:rPr>
                <w:bCs/>
              </w:rPr>
            </w:pPr>
            <w:r>
              <w:rPr>
                <w:bCs/>
              </w:rPr>
              <w:t>3.1</w:t>
            </w:r>
          </w:p>
        </w:tc>
        <w:tc>
          <w:tcPr>
            <w:tcW w:w="1417" w:type="dxa"/>
            <w:tcBorders>
              <w:top w:val="nil"/>
              <w:bottom w:val="nil"/>
            </w:tcBorders>
            <w:vAlign w:val="center"/>
          </w:tcPr>
          <w:p w:rsidR="001048C8" w:rsidRPr="00611D03" w:rsidRDefault="001048C8" w:rsidP="00DA49F3">
            <w:pPr>
              <w:ind w:right="42"/>
              <w:jc w:val="center"/>
              <w:rPr>
                <w:bCs/>
              </w:rPr>
            </w:pPr>
            <w:r>
              <w:rPr>
                <w:bCs/>
              </w:rPr>
              <w:t>-2.0</w:t>
            </w:r>
          </w:p>
        </w:tc>
        <w:tc>
          <w:tcPr>
            <w:tcW w:w="1276" w:type="dxa"/>
            <w:tcBorders>
              <w:top w:val="nil"/>
              <w:bottom w:val="nil"/>
            </w:tcBorders>
            <w:vAlign w:val="center"/>
          </w:tcPr>
          <w:p w:rsidR="001048C8" w:rsidRPr="00611D03" w:rsidRDefault="001048C8" w:rsidP="00DA49F3">
            <w:pPr>
              <w:ind w:right="42"/>
              <w:jc w:val="center"/>
              <w:rPr>
                <w:bCs/>
              </w:rPr>
            </w:pPr>
            <w:r>
              <w:rPr>
                <w:bCs/>
              </w:rPr>
              <w:t>-1.5</w:t>
            </w:r>
          </w:p>
        </w:tc>
        <w:tc>
          <w:tcPr>
            <w:tcW w:w="1361" w:type="dxa"/>
            <w:tcBorders>
              <w:top w:val="nil"/>
              <w:bottom w:val="nil"/>
              <w:right w:val="double" w:sz="4" w:space="0" w:color="auto"/>
            </w:tcBorders>
            <w:vAlign w:val="center"/>
          </w:tcPr>
          <w:p w:rsidR="001048C8" w:rsidRPr="00611D03" w:rsidRDefault="001048C8" w:rsidP="00DA49F3">
            <w:pPr>
              <w:ind w:right="42"/>
              <w:jc w:val="center"/>
            </w:pPr>
            <w:r>
              <w:t>**</w:t>
            </w:r>
          </w:p>
        </w:tc>
        <w:tc>
          <w:tcPr>
            <w:tcW w:w="1035" w:type="dxa"/>
            <w:tcBorders>
              <w:top w:val="nil"/>
              <w:left w:val="double" w:sz="4" w:space="0" w:color="auto"/>
              <w:bottom w:val="nil"/>
            </w:tcBorders>
            <w:vAlign w:val="center"/>
          </w:tcPr>
          <w:p w:rsidR="001048C8" w:rsidRPr="00261A05" w:rsidRDefault="001048C8" w:rsidP="00DA49F3">
            <w:pPr>
              <w:ind w:right="42"/>
              <w:jc w:val="center"/>
            </w:pPr>
            <w:r>
              <w:t>0.9</w:t>
            </w:r>
          </w:p>
        </w:tc>
        <w:tc>
          <w:tcPr>
            <w:tcW w:w="1035" w:type="dxa"/>
            <w:tcBorders>
              <w:top w:val="nil"/>
              <w:bottom w:val="nil"/>
            </w:tcBorders>
            <w:vAlign w:val="center"/>
          </w:tcPr>
          <w:p w:rsidR="001048C8" w:rsidRPr="00261A05" w:rsidRDefault="001048C8" w:rsidP="00DA49F3">
            <w:pPr>
              <w:ind w:right="42"/>
              <w:jc w:val="center"/>
            </w:pPr>
            <w:r>
              <w:t>-1.9</w:t>
            </w:r>
          </w:p>
        </w:tc>
      </w:tr>
      <w:tr w:rsidR="001048C8" w:rsidRPr="0053729E" w:rsidTr="001048C8">
        <w:trPr>
          <w:trHeight w:val="370"/>
        </w:trPr>
        <w:tc>
          <w:tcPr>
            <w:tcW w:w="2718" w:type="dxa"/>
            <w:tcBorders>
              <w:top w:val="nil"/>
            </w:tcBorders>
            <w:vAlign w:val="bottom"/>
          </w:tcPr>
          <w:p w:rsidR="001048C8" w:rsidRPr="0053729E" w:rsidRDefault="001048C8" w:rsidP="00E00B71">
            <w:pPr>
              <w:spacing w:line="288" w:lineRule="auto"/>
              <w:ind w:right="77"/>
              <w:rPr>
                <w:sz w:val="20"/>
                <w:szCs w:val="20"/>
              </w:rPr>
            </w:pPr>
            <w:r w:rsidRPr="0053729E">
              <w:rPr>
                <w:sz w:val="20"/>
                <w:szCs w:val="20"/>
              </w:rPr>
              <w:t>Investment goods import</w:t>
            </w:r>
          </w:p>
        </w:tc>
        <w:tc>
          <w:tcPr>
            <w:tcW w:w="1418" w:type="dxa"/>
            <w:tcBorders>
              <w:top w:val="nil"/>
            </w:tcBorders>
            <w:vAlign w:val="center"/>
          </w:tcPr>
          <w:p w:rsidR="001048C8" w:rsidRPr="00261A05" w:rsidRDefault="001048C8" w:rsidP="00DA49F3">
            <w:pPr>
              <w:ind w:right="42"/>
              <w:jc w:val="center"/>
            </w:pPr>
            <w:r>
              <w:t>5.6</w:t>
            </w:r>
          </w:p>
        </w:tc>
        <w:tc>
          <w:tcPr>
            <w:tcW w:w="1417" w:type="dxa"/>
            <w:tcBorders>
              <w:top w:val="nil"/>
            </w:tcBorders>
            <w:vAlign w:val="center"/>
          </w:tcPr>
          <w:p w:rsidR="001048C8" w:rsidRPr="00261A05" w:rsidRDefault="001048C8" w:rsidP="00DA49F3">
            <w:pPr>
              <w:ind w:right="42"/>
              <w:jc w:val="center"/>
            </w:pPr>
            <w:r>
              <w:t>3.4</w:t>
            </w:r>
          </w:p>
        </w:tc>
        <w:tc>
          <w:tcPr>
            <w:tcW w:w="1276" w:type="dxa"/>
            <w:tcBorders>
              <w:top w:val="nil"/>
            </w:tcBorders>
            <w:vAlign w:val="center"/>
          </w:tcPr>
          <w:p w:rsidR="001048C8" w:rsidRPr="00261A05" w:rsidRDefault="001048C8" w:rsidP="00DA49F3">
            <w:pPr>
              <w:ind w:right="42"/>
              <w:jc w:val="center"/>
            </w:pPr>
            <w:r>
              <w:t>-3.4</w:t>
            </w:r>
          </w:p>
        </w:tc>
        <w:tc>
          <w:tcPr>
            <w:tcW w:w="1361" w:type="dxa"/>
            <w:tcBorders>
              <w:top w:val="nil"/>
              <w:right w:val="double" w:sz="4" w:space="0" w:color="auto"/>
            </w:tcBorders>
            <w:vAlign w:val="center"/>
          </w:tcPr>
          <w:p w:rsidR="001048C8" w:rsidRPr="00261A05" w:rsidRDefault="001048C8" w:rsidP="00DA49F3">
            <w:pPr>
              <w:ind w:right="42"/>
              <w:jc w:val="center"/>
            </w:pPr>
            <w:r>
              <w:t>**</w:t>
            </w:r>
          </w:p>
        </w:tc>
        <w:tc>
          <w:tcPr>
            <w:tcW w:w="1035" w:type="dxa"/>
            <w:tcBorders>
              <w:top w:val="nil"/>
              <w:left w:val="double" w:sz="4" w:space="0" w:color="auto"/>
            </w:tcBorders>
            <w:vAlign w:val="center"/>
          </w:tcPr>
          <w:p w:rsidR="001048C8" w:rsidRPr="00261A05" w:rsidRDefault="001048C8" w:rsidP="00DA49F3">
            <w:pPr>
              <w:ind w:right="42"/>
              <w:jc w:val="center"/>
            </w:pPr>
            <w:r>
              <w:t>0.9</w:t>
            </w:r>
          </w:p>
        </w:tc>
        <w:tc>
          <w:tcPr>
            <w:tcW w:w="1035" w:type="dxa"/>
            <w:tcBorders>
              <w:top w:val="nil"/>
            </w:tcBorders>
            <w:vAlign w:val="center"/>
          </w:tcPr>
          <w:p w:rsidR="001048C8" w:rsidRPr="00261A05" w:rsidRDefault="001048C8" w:rsidP="00DA49F3">
            <w:pPr>
              <w:ind w:right="42"/>
              <w:jc w:val="center"/>
            </w:pPr>
            <w:r>
              <w:t>0.5</w:t>
            </w:r>
          </w:p>
        </w:tc>
      </w:tr>
      <w:tr w:rsidR="001048C8" w:rsidRPr="0053729E" w:rsidTr="001048C8">
        <w:trPr>
          <w:trHeight w:val="370"/>
        </w:trPr>
        <w:tc>
          <w:tcPr>
            <w:tcW w:w="2718" w:type="dxa"/>
            <w:vAlign w:val="bottom"/>
          </w:tcPr>
          <w:p w:rsidR="001048C8" w:rsidRPr="0053729E" w:rsidRDefault="001048C8" w:rsidP="00BD1FA0">
            <w:pPr>
              <w:spacing w:line="288" w:lineRule="auto"/>
              <w:ind w:right="77"/>
              <w:rPr>
                <w:b/>
                <w:sz w:val="20"/>
                <w:szCs w:val="20"/>
              </w:rPr>
            </w:pPr>
            <w:r w:rsidRPr="0053729E">
              <w:rPr>
                <w:b/>
                <w:sz w:val="20"/>
                <w:szCs w:val="20"/>
              </w:rPr>
              <w:t xml:space="preserve">Exports </w:t>
            </w:r>
            <w:r>
              <w:rPr>
                <w:b/>
                <w:sz w:val="20"/>
                <w:szCs w:val="20"/>
              </w:rPr>
              <w:t>excluding</w:t>
            </w:r>
            <w:r w:rsidRPr="0053729E">
              <w:rPr>
                <w:b/>
                <w:sz w:val="20"/>
                <w:szCs w:val="20"/>
              </w:rPr>
              <w:t xml:space="preserve"> gold***</w:t>
            </w:r>
          </w:p>
        </w:tc>
        <w:tc>
          <w:tcPr>
            <w:tcW w:w="1418" w:type="dxa"/>
            <w:vAlign w:val="center"/>
          </w:tcPr>
          <w:p w:rsidR="001048C8" w:rsidRPr="00261A05" w:rsidRDefault="001048C8" w:rsidP="00DA49F3">
            <w:pPr>
              <w:ind w:right="42"/>
              <w:jc w:val="center"/>
              <w:rPr>
                <w:b/>
                <w:bCs/>
              </w:rPr>
            </w:pPr>
            <w:r>
              <w:rPr>
                <w:b/>
                <w:bCs/>
              </w:rPr>
              <w:t>6.9</w:t>
            </w:r>
          </w:p>
        </w:tc>
        <w:tc>
          <w:tcPr>
            <w:tcW w:w="1417" w:type="dxa"/>
            <w:vAlign w:val="center"/>
          </w:tcPr>
          <w:p w:rsidR="001048C8" w:rsidRPr="00261A05" w:rsidRDefault="001048C8" w:rsidP="00DA49F3">
            <w:pPr>
              <w:ind w:right="42"/>
              <w:jc w:val="center"/>
              <w:rPr>
                <w:b/>
                <w:bCs/>
              </w:rPr>
            </w:pPr>
            <w:r>
              <w:rPr>
                <w:b/>
                <w:bCs/>
              </w:rPr>
              <w:t>-3.7</w:t>
            </w:r>
          </w:p>
        </w:tc>
        <w:tc>
          <w:tcPr>
            <w:tcW w:w="1276" w:type="dxa"/>
            <w:vAlign w:val="center"/>
          </w:tcPr>
          <w:p w:rsidR="001048C8" w:rsidRPr="00261A05" w:rsidRDefault="001048C8" w:rsidP="00DA49F3">
            <w:pPr>
              <w:ind w:right="42"/>
              <w:jc w:val="center"/>
              <w:rPr>
                <w:b/>
                <w:bCs/>
              </w:rPr>
            </w:pPr>
            <w:r>
              <w:rPr>
                <w:b/>
                <w:bCs/>
              </w:rPr>
              <w:t>3.9</w:t>
            </w:r>
          </w:p>
        </w:tc>
        <w:tc>
          <w:tcPr>
            <w:tcW w:w="1361" w:type="dxa"/>
            <w:tcBorders>
              <w:right w:val="double" w:sz="4" w:space="0" w:color="auto"/>
            </w:tcBorders>
            <w:vAlign w:val="center"/>
          </w:tcPr>
          <w:p w:rsidR="001048C8" w:rsidRPr="00261A05" w:rsidRDefault="001048C8" w:rsidP="00DA49F3">
            <w:pPr>
              <w:ind w:right="42"/>
              <w:jc w:val="center"/>
            </w:pPr>
            <w:r>
              <w:t>**</w:t>
            </w:r>
          </w:p>
        </w:tc>
        <w:tc>
          <w:tcPr>
            <w:tcW w:w="1035" w:type="dxa"/>
            <w:tcBorders>
              <w:left w:val="double" w:sz="4" w:space="0" w:color="auto"/>
            </w:tcBorders>
            <w:vAlign w:val="center"/>
          </w:tcPr>
          <w:p w:rsidR="001048C8" w:rsidRPr="00261A05" w:rsidRDefault="001048C8" w:rsidP="00DA49F3">
            <w:pPr>
              <w:ind w:right="42"/>
              <w:jc w:val="center"/>
              <w:rPr>
                <w:b/>
                <w:bCs/>
              </w:rPr>
            </w:pPr>
            <w:r>
              <w:rPr>
                <w:b/>
                <w:bCs/>
              </w:rPr>
              <w:t>1.3</w:t>
            </w:r>
          </w:p>
        </w:tc>
        <w:tc>
          <w:tcPr>
            <w:tcW w:w="1035" w:type="dxa"/>
            <w:vAlign w:val="center"/>
          </w:tcPr>
          <w:p w:rsidR="001048C8" w:rsidRPr="00261A05" w:rsidRDefault="001048C8" w:rsidP="00DA49F3">
            <w:pPr>
              <w:ind w:right="42"/>
              <w:jc w:val="center"/>
              <w:rPr>
                <w:b/>
                <w:bCs/>
              </w:rPr>
            </w:pPr>
            <w:r>
              <w:rPr>
                <w:b/>
                <w:bCs/>
              </w:rPr>
              <w:t>3.6</w:t>
            </w:r>
          </w:p>
        </w:tc>
      </w:tr>
      <w:tr w:rsidR="001048C8" w:rsidRPr="0053729E" w:rsidTr="001048C8">
        <w:trPr>
          <w:trHeight w:val="370"/>
        </w:trPr>
        <w:tc>
          <w:tcPr>
            <w:tcW w:w="2718" w:type="dxa"/>
            <w:vAlign w:val="bottom"/>
          </w:tcPr>
          <w:p w:rsidR="001048C8" w:rsidRPr="0053729E" w:rsidRDefault="001048C8" w:rsidP="00BD1FA0">
            <w:pPr>
              <w:spacing w:line="288" w:lineRule="auto"/>
              <w:ind w:right="77"/>
              <w:rPr>
                <w:b/>
                <w:sz w:val="20"/>
                <w:szCs w:val="20"/>
              </w:rPr>
            </w:pPr>
            <w:r w:rsidRPr="0053729E">
              <w:rPr>
                <w:b/>
                <w:sz w:val="20"/>
                <w:szCs w:val="20"/>
              </w:rPr>
              <w:t xml:space="preserve">Imports </w:t>
            </w:r>
            <w:r>
              <w:rPr>
                <w:b/>
                <w:sz w:val="20"/>
                <w:szCs w:val="20"/>
              </w:rPr>
              <w:t>excluding</w:t>
            </w:r>
            <w:r w:rsidRPr="0053729E">
              <w:rPr>
                <w:b/>
                <w:sz w:val="20"/>
                <w:szCs w:val="20"/>
              </w:rPr>
              <w:t xml:space="preserve"> gold***</w:t>
            </w:r>
          </w:p>
        </w:tc>
        <w:tc>
          <w:tcPr>
            <w:tcW w:w="1418" w:type="dxa"/>
            <w:vAlign w:val="center"/>
          </w:tcPr>
          <w:p w:rsidR="001048C8" w:rsidRPr="00261A05" w:rsidRDefault="001048C8" w:rsidP="00DA49F3">
            <w:pPr>
              <w:ind w:right="42"/>
              <w:jc w:val="center"/>
              <w:rPr>
                <w:b/>
                <w:bCs/>
              </w:rPr>
            </w:pPr>
            <w:r>
              <w:rPr>
                <w:b/>
                <w:bCs/>
              </w:rPr>
              <w:t>1.6</w:t>
            </w:r>
          </w:p>
        </w:tc>
        <w:tc>
          <w:tcPr>
            <w:tcW w:w="1417" w:type="dxa"/>
            <w:vAlign w:val="center"/>
          </w:tcPr>
          <w:p w:rsidR="001048C8" w:rsidRPr="00261A05" w:rsidRDefault="001048C8" w:rsidP="00DA49F3">
            <w:pPr>
              <w:ind w:right="42"/>
              <w:jc w:val="center"/>
              <w:rPr>
                <w:b/>
                <w:bCs/>
              </w:rPr>
            </w:pPr>
            <w:r>
              <w:rPr>
                <w:b/>
                <w:bCs/>
              </w:rPr>
              <w:t>1.5</w:t>
            </w:r>
          </w:p>
        </w:tc>
        <w:tc>
          <w:tcPr>
            <w:tcW w:w="1276" w:type="dxa"/>
            <w:vAlign w:val="center"/>
          </w:tcPr>
          <w:p w:rsidR="001048C8" w:rsidRPr="00261A05" w:rsidRDefault="001048C8" w:rsidP="00DA49F3">
            <w:pPr>
              <w:ind w:right="42"/>
              <w:jc w:val="center"/>
              <w:rPr>
                <w:b/>
                <w:bCs/>
              </w:rPr>
            </w:pPr>
            <w:r>
              <w:rPr>
                <w:b/>
                <w:bCs/>
              </w:rPr>
              <w:t>1.2</w:t>
            </w:r>
          </w:p>
        </w:tc>
        <w:tc>
          <w:tcPr>
            <w:tcW w:w="1361" w:type="dxa"/>
            <w:tcBorders>
              <w:right w:val="double" w:sz="4" w:space="0" w:color="auto"/>
            </w:tcBorders>
            <w:vAlign w:val="center"/>
          </w:tcPr>
          <w:p w:rsidR="001048C8" w:rsidRPr="00261A05" w:rsidRDefault="001048C8" w:rsidP="00DA49F3">
            <w:pPr>
              <w:ind w:right="42"/>
              <w:jc w:val="center"/>
            </w:pPr>
            <w:r>
              <w:t>**</w:t>
            </w:r>
          </w:p>
        </w:tc>
        <w:tc>
          <w:tcPr>
            <w:tcW w:w="1035" w:type="dxa"/>
            <w:tcBorders>
              <w:left w:val="double" w:sz="4" w:space="0" w:color="auto"/>
            </w:tcBorders>
            <w:vAlign w:val="center"/>
          </w:tcPr>
          <w:p w:rsidR="001048C8" w:rsidRPr="00261A05" w:rsidRDefault="001048C8" w:rsidP="00DA49F3">
            <w:pPr>
              <w:ind w:right="42"/>
              <w:jc w:val="center"/>
              <w:rPr>
                <w:b/>
                <w:bCs/>
              </w:rPr>
            </w:pPr>
            <w:r>
              <w:rPr>
                <w:b/>
                <w:bCs/>
              </w:rPr>
              <w:t>0.7</w:t>
            </w:r>
          </w:p>
        </w:tc>
        <w:tc>
          <w:tcPr>
            <w:tcW w:w="1035" w:type="dxa"/>
            <w:vAlign w:val="center"/>
          </w:tcPr>
          <w:p w:rsidR="001048C8" w:rsidRPr="00261A05" w:rsidRDefault="001048C8" w:rsidP="00DA49F3">
            <w:pPr>
              <w:ind w:right="42"/>
              <w:jc w:val="center"/>
              <w:rPr>
                <w:b/>
                <w:bCs/>
              </w:rPr>
            </w:pPr>
            <w:r>
              <w:rPr>
                <w:b/>
                <w:bCs/>
              </w:rPr>
              <w:t>2.8</w:t>
            </w:r>
          </w:p>
        </w:tc>
      </w:tr>
      <w:tr w:rsidR="001048C8" w:rsidRPr="0053729E" w:rsidTr="001048C8">
        <w:trPr>
          <w:trHeight w:val="370"/>
        </w:trPr>
        <w:tc>
          <w:tcPr>
            <w:tcW w:w="2718" w:type="dxa"/>
            <w:tcBorders>
              <w:bottom w:val="nil"/>
            </w:tcBorders>
            <w:vAlign w:val="bottom"/>
          </w:tcPr>
          <w:p w:rsidR="001048C8" w:rsidRPr="0053729E" w:rsidRDefault="001048C8" w:rsidP="008040FF">
            <w:pPr>
              <w:spacing w:line="288" w:lineRule="auto"/>
              <w:ind w:right="77"/>
              <w:rPr>
                <w:b/>
                <w:sz w:val="20"/>
                <w:szCs w:val="20"/>
              </w:rPr>
            </w:pPr>
            <w:r w:rsidRPr="0053729E">
              <w:rPr>
                <w:b/>
                <w:sz w:val="20"/>
                <w:szCs w:val="20"/>
              </w:rPr>
              <w:t xml:space="preserve">Industrial Production Index </w:t>
            </w:r>
          </w:p>
        </w:tc>
        <w:tc>
          <w:tcPr>
            <w:tcW w:w="1418" w:type="dxa"/>
            <w:tcBorders>
              <w:bottom w:val="nil"/>
            </w:tcBorders>
            <w:vAlign w:val="center"/>
          </w:tcPr>
          <w:p w:rsidR="001048C8" w:rsidRPr="00261A05" w:rsidRDefault="001048C8" w:rsidP="00DA49F3">
            <w:pPr>
              <w:ind w:right="42"/>
              <w:jc w:val="center"/>
              <w:rPr>
                <w:b/>
                <w:bCs/>
              </w:rPr>
            </w:pPr>
            <w:r>
              <w:rPr>
                <w:b/>
                <w:bCs/>
              </w:rPr>
              <w:t>2.1</w:t>
            </w:r>
          </w:p>
        </w:tc>
        <w:tc>
          <w:tcPr>
            <w:tcW w:w="1417" w:type="dxa"/>
            <w:tcBorders>
              <w:bottom w:val="nil"/>
            </w:tcBorders>
            <w:vAlign w:val="center"/>
          </w:tcPr>
          <w:p w:rsidR="001048C8" w:rsidRPr="00261A05" w:rsidRDefault="001048C8" w:rsidP="00DA49F3">
            <w:pPr>
              <w:ind w:right="42"/>
              <w:jc w:val="center"/>
              <w:rPr>
                <w:b/>
                <w:bCs/>
              </w:rPr>
            </w:pPr>
            <w:r>
              <w:rPr>
                <w:b/>
                <w:bCs/>
              </w:rPr>
              <w:t>0.2</w:t>
            </w:r>
          </w:p>
        </w:tc>
        <w:tc>
          <w:tcPr>
            <w:tcW w:w="1276" w:type="dxa"/>
            <w:tcBorders>
              <w:bottom w:val="nil"/>
            </w:tcBorders>
            <w:vAlign w:val="center"/>
          </w:tcPr>
          <w:p w:rsidR="001048C8" w:rsidRPr="00261A05" w:rsidRDefault="001048C8" w:rsidP="00DA49F3">
            <w:pPr>
              <w:ind w:right="42"/>
              <w:jc w:val="center"/>
              <w:rPr>
                <w:b/>
                <w:bCs/>
              </w:rPr>
            </w:pPr>
            <w:r>
              <w:rPr>
                <w:b/>
                <w:bCs/>
              </w:rPr>
              <w:t>1.1</w:t>
            </w:r>
          </w:p>
        </w:tc>
        <w:tc>
          <w:tcPr>
            <w:tcW w:w="1361" w:type="dxa"/>
            <w:tcBorders>
              <w:bottom w:val="nil"/>
              <w:right w:val="double" w:sz="4" w:space="0" w:color="auto"/>
            </w:tcBorders>
            <w:vAlign w:val="center"/>
          </w:tcPr>
          <w:p w:rsidR="001048C8" w:rsidRPr="00261A05" w:rsidRDefault="001048C8" w:rsidP="00DA49F3">
            <w:pPr>
              <w:ind w:right="42"/>
              <w:jc w:val="center"/>
            </w:pPr>
            <w:r>
              <w:t>**</w:t>
            </w:r>
          </w:p>
        </w:tc>
        <w:tc>
          <w:tcPr>
            <w:tcW w:w="1035" w:type="dxa"/>
            <w:tcBorders>
              <w:left w:val="double" w:sz="4" w:space="0" w:color="auto"/>
              <w:bottom w:val="nil"/>
            </w:tcBorders>
            <w:vAlign w:val="center"/>
          </w:tcPr>
          <w:p w:rsidR="001048C8" w:rsidRPr="00261A05" w:rsidRDefault="001048C8" w:rsidP="00DA49F3">
            <w:pPr>
              <w:ind w:right="42"/>
              <w:jc w:val="center"/>
              <w:rPr>
                <w:b/>
                <w:bCs/>
              </w:rPr>
            </w:pPr>
            <w:r>
              <w:rPr>
                <w:b/>
                <w:bCs/>
              </w:rPr>
              <w:t>1.1</w:t>
            </w:r>
          </w:p>
        </w:tc>
        <w:tc>
          <w:tcPr>
            <w:tcW w:w="1035" w:type="dxa"/>
            <w:tcBorders>
              <w:bottom w:val="nil"/>
            </w:tcBorders>
            <w:vAlign w:val="center"/>
          </w:tcPr>
          <w:p w:rsidR="001048C8" w:rsidRPr="00261A05" w:rsidRDefault="001048C8" w:rsidP="00DA49F3">
            <w:pPr>
              <w:ind w:right="42"/>
              <w:jc w:val="center"/>
              <w:rPr>
                <w:b/>
                <w:bCs/>
              </w:rPr>
            </w:pPr>
            <w:r>
              <w:rPr>
                <w:b/>
                <w:bCs/>
              </w:rPr>
              <w:t>1.9</w:t>
            </w:r>
          </w:p>
        </w:tc>
      </w:tr>
      <w:tr w:rsidR="001048C8" w:rsidRPr="0053729E" w:rsidTr="001048C8">
        <w:trPr>
          <w:trHeight w:val="370"/>
        </w:trPr>
        <w:tc>
          <w:tcPr>
            <w:tcW w:w="2718" w:type="dxa"/>
            <w:tcBorders>
              <w:top w:val="nil"/>
              <w:bottom w:val="nil"/>
            </w:tcBorders>
            <w:vAlign w:val="bottom"/>
          </w:tcPr>
          <w:p w:rsidR="001048C8" w:rsidRPr="0053729E" w:rsidRDefault="001048C8" w:rsidP="00E00B71">
            <w:pPr>
              <w:spacing w:line="288" w:lineRule="auto"/>
              <w:ind w:right="77"/>
              <w:rPr>
                <w:sz w:val="20"/>
                <w:szCs w:val="20"/>
              </w:rPr>
            </w:pPr>
            <w:r w:rsidRPr="0053729E">
              <w:rPr>
                <w:sz w:val="20"/>
                <w:szCs w:val="20"/>
              </w:rPr>
              <w:t>Nondurable consumer goods</w:t>
            </w:r>
          </w:p>
        </w:tc>
        <w:tc>
          <w:tcPr>
            <w:tcW w:w="1418" w:type="dxa"/>
            <w:tcBorders>
              <w:top w:val="nil"/>
              <w:bottom w:val="nil"/>
            </w:tcBorders>
            <w:vAlign w:val="center"/>
          </w:tcPr>
          <w:p w:rsidR="001048C8" w:rsidRPr="00261A05" w:rsidRDefault="001048C8" w:rsidP="00DA49F3">
            <w:pPr>
              <w:ind w:right="42"/>
              <w:jc w:val="center"/>
            </w:pPr>
            <w:r>
              <w:t>1.9</w:t>
            </w:r>
          </w:p>
        </w:tc>
        <w:tc>
          <w:tcPr>
            <w:tcW w:w="1417" w:type="dxa"/>
            <w:tcBorders>
              <w:top w:val="nil"/>
              <w:bottom w:val="nil"/>
            </w:tcBorders>
            <w:vAlign w:val="center"/>
          </w:tcPr>
          <w:p w:rsidR="001048C8" w:rsidRPr="00261A05" w:rsidRDefault="001048C8" w:rsidP="00DA49F3">
            <w:pPr>
              <w:ind w:right="42"/>
              <w:jc w:val="center"/>
            </w:pPr>
            <w:r>
              <w:t>1.5</w:t>
            </w:r>
          </w:p>
        </w:tc>
        <w:tc>
          <w:tcPr>
            <w:tcW w:w="1276" w:type="dxa"/>
            <w:tcBorders>
              <w:top w:val="nil"/>
              <w:bottom w:val="nil"/>
            </w:tcBorders>
            <w:vAlign w:val="center"/>
          </w:tcPr>
          <w:p w:rsidR="001048C8" w:rsidRPr="00261A05" w:rsidRDefault="001048C8" w:rsidP="00DA49F3">
            <w:pPr>
              <w:ind w:right="42"/>
              <w:jc w:val="center"/>
            </w:pPr>
            <w:r>
              <w:t>1.9</w:t>
            </w:r>
          </w:p>
        </w:tc>
        <w:tc>
          <w:tcPr>
            <w:tcW w:w="1361" w:type="dxa"/>
            <w:tcBorders>
              <w:top w:val="nil"/>
              <w:bottom w:val="nil"/>
              <w:right w:val="double" w:sz="4" w:space="0" w:color="auto"/>
            </w:tcBorders>
            <w:vAlign w:val="center"/>
          </w:tcPr>
          <w:p w:rsidR="001048C8" w:rsidRPr="00261A05" w:rsidRDefault="001048C8" w:rsidP="00DA49F3">
            <w:pPr>
              <w:ind w:right="42"/>
              <w:jc w:val="center"/>
            </w:pPr>
            <w:r>
              <w:t>**</w:t>
            </w:r>
          </w:p>
        </w:tc>
        <w:tc>
          <w:tcPr>
            <w:tcW w:w="1035" w:type="dxa"/>
            <w:tcBorders>
              <w:top w:val="nil"/>
              <w:left w:val="double" w:sz="4" w:space="0" w:color="auto"/>
              <w:bottom w:val="nil"/>
            </w:tcBorders>
            <w:vAlign w:val="center"/>
          </w:tcPr>
          <w:p w:rsidR="001048C8" w:rsidRPr="00261A05" w:rsidRDefault="001048C8" w:rsidP="00DA49F3">
            <w:pPr>
              <w:ind w:right="42"/>
              <w:jc w:val="center"/>
            </w:pPr>
            <w:r>
              <w:t>0.7</w:t>
            </w:r>
          </w:p>
        </w:tc>
        <w:tc>
          <w:tcPr>
            <w:tcW w:w="1035" w:type="dxa"/>
            <w:tcBorders>
              <w:top w:val="nil"/>
              <w:bottom w:val="nil"/>
            </w:tcBorders>
            <w:vAlign w:val="center"/>
          </w:tcPr>
          <w:p w:rsidR="001048C8" w:rsidRPr="00261A05" w:rsidRDefault="001048C8" w:rsidP="00DA49F3">
            <w:pPr>
              <w:ind w:right="42"/>
              <w:jc w:val="center"/>
            </w:pPr>
            <w:r>
              <w:t>3.6</w:t>
            </w:r>
          </w:p>
        </w:tc>
      </w:tr>
      <w:tr w:rsidR="001048C8" w:rsidRPr="0053729E" w:rsidTr="001048C8">
        <w:trPr>
          <w:trHeight w:val="370"/>
        </w:trPr>
        <w:tc>
          <w:tcPr>
            <w:tcW w:w="2718" w:type="dxa"/>
            <w:tcBorders>
              <w:top w:val="nil"/>
              <w:bottom w:val="nil"/>
            </w:tcBorders>
            <w:vAlign w:val="bottom"/>
          </w:tcPr>
          <w:p w:rsidR="001048C8" w:rsidRPr="0053729E" w:rsidRDefault="001048C8" w:rsidP="00E00B71">
            <w:pPr>
              <w:spacing w:line="288" w:lineRule="auto"/>
              <w:ind w:right="77"/>
              <w:rPr>
                <w:sz w:val="20"/>
                <w:szCs w:val="20"/>
              </w:rPr>
            </w:pPr>
            <w:r w:rsidRPr="0053729E">
              <w:rPr>
                <w:sz w:val="20"/>
                <w:szCs w:val="20"/>
              </w:rPr>
              <w:t>Durable consumer goods</w:t>
            </w:r>
          </w:p>
        </w:tc>
        <w:tc>
          <w:tcPr>
            <w:tcW w:w="1418" w:type="dxa"/>
            <w:tcBorders>
              <w:top w:val="nil"/>
              <w:bottom w:val="nil"/>
            </w:tcBorders>
            <w:vAlign w:val="center"/>
          </w:tcPr>
          <w:p w:rsidR="001048C8" w:rsidRPr="00261A05" w:rsidRDefault="001048C8" w:rsidP="00DA49F3">
            <w:pPr>
              <w:ind w:right="42"/>
              <w:jc w:val="center"/>
            </w:pPr>
            <w:r>
              <w:t>2.1</w:t>
            </w:r>
          </w:p>
        </w:tc>
        <w:tc>
          <w:tcPr>
            <w:tcW w:w="1417" w:type="dxa"/>
            <w:tcBorders>
              <w:top w:val="nil"/>
              <w:bottom w:val="nil"/>
            </w:tcBorders>
            <w:vAlign w:val="center"/>
          </w:tcPr>
          <w:p w:rsidR="001048C8" w:rsidRPr="00261A05" w:rsidRDefault="001048C8" w:rsidP="00DA49F3">
            <w:pPr>
              <w:ind w:right="42"/>
              <w:jc w:val="center"/>
            </w:pPr>
            <w:r>
              <w:t>-0.2</w:t>
            </w:r>
          </w:p>
        </w:tc>
        <w:tc>
          <w:tcPr>
            <w:tcW w:w="1276" w:type="dxa"/>
            <w:tcBorders>
              <w:top w:val="nil"/>
              <w:bottom w:val="nil"/>
            </w:tcBorders>
            <w:vAlign w:val="center"/>
          </w:tcPr>
          <w:p w:rsidR="001048C8" w:rsidRPr="00261A05" w:rsidRDefault="001048C8" w:rsidP="00DA49F3">
            <w:pPr>
              <w:ind w:right="42"/>
              <w:jc w:val="center"/>
            </w:pPr>
            <w:r>
              <w:t>-3.5</w:t>
            </w:r>
          </w:p>
        </w:tc>
        <w:tc>
          <w:tcPr>
            <w:tcW w:w="1361" w:type="dxa"/>
            <w:tcBorders>
              <w:top w:val="nil"/>
              <w:bottom w:val="nil"/>
              <w:right w:val="double" w:sz="4" w:space="0" w:color="auto"/>
            </w:tcBorders>
            <w:vAlign w:val="center"/>
          </w:tcPr>
          <w:p w:rsidR="001048C8" w:rsidRPr="00261A05" w:rsidRDefault="001048C8" w:rsidP="00DA49F3">
            <w:pPr>
              <w:ind w:right="42"/>
              <w:jc w:val="center"/>
            </w:pPr>
            <w:r>
              <w:t>**</w:t>
            </w:r>
          </w:p>
        </w:tc>
        <w:tc>
          <w:tcPr>
            <w:tcW w:w="1035" w:type="dxa"/>
            <w:tcBorders>
              <w:top w:val="nil"/>
              <w:left w:val="double" w:sz="4" w:space="0" w:color="auto"/>
              <w:bottom w:val="nil"/>
            </w:tcBorders>
            <w:vAlign w:val="center"/>
          </w:tcPr>
          <w:p w:rsidR="001048C8" w:rsidRPr="00261A05" w:rsidRDefault="001048C8" w:rsidP="00DA49F3">
            <w:pPr>
              <w:ind w:right="42"/>
              <w:jc w:val="center"/>
            </w:pPr>
            <w:r>
              <w:t>-0.7</w:t>
            </w:r>
          </w:p>
        </w:tc>
        <w:tc>
          <w:tcPr>
            <w:tcW w:w="1035" w:type="dxa"/>
            <w:tcBorders>
              <w:top w:val="nil"/>
              <w:bottom w:val="nil"/>
            </w:tcBorders>
            <w:vAlign w:val="center"/>
          </w:tcPr>
          <w:p w:rsidR="001048C8" w:rsidRPr="00261A05" w:rsidRDefault="001048C8" w:rsidP="00DA49F3">
            <w:pPr>
              <w:ind w:right="42"/>
              <w:jc w:val="center"/>
            </w:pPr>
            <w:r>
              <w:t>-3.0</w:t>
            </w:r>
          </w:p>
        </w:tc>
      </w:tr>
      <w:tr w:rsidR="001048C8" w:rsidRPr="0053729E" w:rsidTr="001048C8">
        <w:trPr>
          <w:trHeight w:val="370"/>
        </w:trPr>
        <w:tc>
          <w:tcPr>
            <w:tcW w:w="2718" w:type="dxa"/>
            <w:tcBorders>
              <w:top w:val="nil"/>
              <w:bottom w:val="nil"/>
            </w:tcBorders>
            <w:vAlign w:val="bottom"/>
          </w:tcPr>
          <w:p w:rsidR="001048C8" w:rsidRPr="0053729E" w:rsidRDefault="001048C8" w:rsidP="00E00B71">
            <w:pPr>
              <w:spacing w:line="288" w:lineRule="auto"/>
              <w:ind w:right="77"/>
              <w:rPr>
                <w:sz w:val="20"/>
                <w:szCs w:val="20"/>
              </w:rPr>
            </w:pPr>
            <w:r w:rsidRPr="0053729E">
              <w:rPr>
                <w:sz w:val="20"/>
                <w:szCs w:val="20"/>
              </w:rPr>
              <w:t>Intermediate goods</w:t>
            </w:r>
          </w:p>
        </w:tc>
        <w:tc>
          <w:tcPr>
            <w:tcW w:w="1418" w:type="dxa"/>
            <w:tcBorders>
              <w:top w:val="nil"/>
              <w:bottom w:val="nil"/>
            </w:tcBorders>
            <w:vAlign w:val="center"/>
          </w:tcPr>
          <w:p w:rsidR="001048C8" w:rsidRPr="00261A05" w:rsidRDefault="001048C8" w:rsidP="00DA49F3">
            <w:pPr>
              <w:ind w:right="42"/>
              <w:jc w:val="center"/>
            </w:pPr>
            <w:r>
              <w:t>3.4</w:t>
            </w:r>
          </w:p>
        </w:tc>
        <w:tc>
          <w:tcPr>
            <w:tcW w:w="1417" w:type="dxa"/>
            <w:tcBorders>
              <w:top w:val="nil"/>
              <w:bottom w:val="nil"/>
            </w:tcBorders>
            <w:vAlign w:val="center"/>
          </w:tcPr>
          <w:p w:rsidR="001048C8" w:rsidRPr="00261A05" w:rsidRDefault="001048C8" w:rsidP="00DA49F3">
            <w:pPr>
              <w:ind w:right="42"/>
              <w:jc w:val="center"/>
            </w:pPr>
            <w:r>
              <w:t>-1.5</w:t>
            </w:r>
          </w:p>
        </w:tc>
        <w:tc>
          <w:tcPr>
            <w:tcW w:w="1276" w:type="dxa"/>
            <w:tcBorders>
              <w:top w:val="nil"/>
              <w:bottom w:val="nil"/>
            </w:tcBorders>
            <w:vAlign w:val="center"/>
          </w:tcPr>
          <w:p w:rsidR="001048C8" w:rsidRPr="00261A05" w:rsidRDefault="001048C8" w:rsidP="00DA49F3">
            <w:pPr>
              <w:ind w:right="42"/>
              <w:jc w:val="center"/>
            </w:pPr>
            <w:r>
              <w:t>3.4</w:t>
            </w:r>
          </w:p>
        </w:tc>
        <w:tc>
          <w:tcPr>
            <w:tcW w:w="1361" w:type="dxa"/>
            <w:tcBorders>
              <w:top w:val="nil"/>
              <w:bottom w:val="nil"/>
              <w:right w:val="double" w:sz="4" w:space="0" w:color="auto"/>
            </w:tcBorders>
            <w:vAlign w:val="center"/>
          </w:tcPr>
          <w:p w:rsidR="001048C8" w:rsidRPr="00261A05" w:rsidRDefault="001048C8" w:rsidP="00DA49F3">
            <w:pPr>
              <w:ind w:right="42"/>
              <w:jc w:val="center"/>
            </w:pPr>
            <w:r>
              <w:t>**</w:t>
            </w:r>
          </w:p>
        </w:tc>
        <w:tc>
          <w:tcPr>
            <w:tcW w:w="1035" w:type="dxa"/>
            <w:tcBorders>
              <w:top w:val="nil"/>
              <w:left w:val="double" w:sz="4" w:space="0" w:color="auto"/>
              <w:bottom w:val="nil"/>
            </w:tcBorders>
            <w:vAlign w:val="center"/>
          </w:tcPr>
          <w:p w:rsidR="001048C8" w:rsidRPr="00261A05" w:rsidRDefault="001048C8" w:rsidP="00DA49F3">
            <w:pPr>
              <w:ind w:right="42"/>
              <w:jc w:val="center"/>
            </w:pPr>
            <w:r>
              <w:t>1.8</w:t>
            </w:r>
          </w:p>
        </w:tc>
        <w:tc>
          <w:tcPr>
            <w:tcW w:w="1035" w:type="dxa"/>
            <w:tcBorders>
              <w:top w:val="nil"/>
              <w:bottom w:val="nil"/>
            </w:tcBorders>
            <w:vAlign w:val="center"/>
          </w:tcPr>
          <w:p w:rsidR="001048C8" w:rsidRPr="00261A05" w:rsidRDefault="001048C8" w:rsidP="00DA49F3">
            <w:pPr>
              <w:ind w:right="42"/>
              <w:jc w:val="center"/>
            </w:pPr>
            <w:r>
              <w:t>3.5</w:t>
            </w:r>
          </w:p>
        </w:tc>
      </w:tr>
      <w:tr w:rsidR="001048C8" w:rsidRPr="0053729E" w:rsidTr="001048C8">
        <w:trPr>
          <w:trHeight w:val="370"/>
        </w:trPr>
        <w:tc>
          <w:tcPr>
            <w:tcW w:w="2718" w:type="dxa"/>
            <w:tcBorders>
              <w:top w:val="nil"/>
            </w:tcBorders>
            <w:vAlign w:val="bottom"/>
          </w:tcPr>
          <w:p w:rsidR="001048C8" w:rsidRPr="0053729E" w:rsidRDefault="001048C8" w:rsidP="00E00B71">
            <w:pPr>
              <w:spacing w:line="288" w:lineRule="auto"/>
              <w:ind w:right="77"/>
              <w:rPr>
                <w:sz w:val="20"/>
                <w:szCs w:val="20"/>
              </w:rPr>
            </w:pPr>
            <w:r w:rsidRPr="0053729E">
              <w:rPr>
                <w:sz w:val="20"/>
                <w:szCs w:val="20"/>
              </w:rPr>
              <w:t>Investment goods</w:t>
            </w:r>
          </w:p>
        </w:tc>
        <w:tc>
          <w:tcPr>
            <w:tcW w:w="1418" w:type="dxa"/>
            <w:tcBorders>
              <w:top w:val="nil"/>
            </w:tcBorders>
            <w:vAlign w:val="center"/>
          </w:tcPr>
          <w:p w:rsidR="001048C8" w:rsidRPr="00261A05" w:rsidRDefault="001048C8" w:rsidP="00DA49F3">
            <w:pPr>
              <w:ind w:right="42"/>
              <w:jc w:val="center"/>
            </w:pPr>
            <w:r>
              <w:t>2.4</w:t>
            </w:r>
          </w:p>
        </w:tc>
        <w:tc>
          <w:tcPr>
            <w:tcW w:w="1417" w:type="dxa"/>
            <w:tcBorders>
              <w:top w:val="nil"/>
            </w:tcBorders>
            <w:vAlign w:val="center"/>
          </w:tcPr>
          <w:p w:rsidR="001048C8" w:rsidRPr="00261A05" w:rsidRDefault="001048C8" w:rsidP="00DA49F3">
            <w:pPr>
              <w:ind w:right="42"/>
              <w:jc w:val="center"/>
            </w:pPr>
            <w:r>
              <w:t>0.0</w:t>
            </w:r>
          </w:p>
        </w:tc>
        <w:tc>
          <w:tcPr>
            <w:tcW w:w="1276" w:type="dxa"/>
            <w:tcBorders>
              <w:top w:val="nil"/>
            </w:tcBorders>
            <w:vAlign w:val="center"/>
          </w:tcPr>
          <w:p w:rsidR="001048C8" w:rsidRPr="00261A05" w:rsidRDefault="001048C8" w:rsidP="00DA49F3">
            <w:pPr>
              <w:ind w:right="42"/>
              <w:jc w:val="center"/>
            </w:pPr>
            <w:r>
              <w:t>-1.7</w:t>
            </w:r>
          </w:p>
        </w:tc>
        <w:tc>
          <w:tcPr>
            <w:tcW w:w="1361" w:type="dxa"/>
            <w:tcBorders>
              <w:top w:val="nil"/>
              <w:right w:val="double" w:sz="4" w:space="0" w:color="auto"/>
            </w:tcBorders>
            <w:vAlign w:val="center"/>
          </w:tcPr>
          <w:p w:rsidR="001048C8" w:rsidRPr="00261A05" w:rsidRDefault="001048C8" w:rsidP="00DA49F3">
            <w:pPr>
              <w:ind w:right="42"/>
              <w:jc w:val="center"/>
            </w:pPr>
            <w:r>
              <w:t>**</w:t>
            </w:r>
          </w:p>
        </w:tc>
        <w:tc>
          <w:tcPr>
            <w:tcW w:w="1035" w:type="dxa"/>
            <w:tcBorders>
              <w:top w:val="nil"/>
              <w:left w:val="double" w:sz="4" w:space="0" w:color="auto"/>
            </w:tcBorders>
            <w:vAlign w:val="center"/>
          </w:tcPr>
          <w:p w:rsidR="001048C8" w:rsidRPr="00261A05" w:rsidRDefault="001048C8" w:rsidP="00DA49F3">
            <w:pPr>
              <w:ind w:right="42"/>
              <w:jc w:val="center"/>
            </w:pPr>
            <w:r>
              <w:t>0.7</w:t>
            </w:r>
          </w:p>
        </w:tc>
        <w:tc>
          <w:tcPr>
            <w:tcW w:w="1035" w:type="dxa"/>
            <w:tcBorders>
              <w:top w:val="nil"/>
            </w:tcBorders>
            <w:vAlign w:val="center"/>
          </w:tcPr>
          <w:p w:rsidR="001048C8" w:rsidRPr="00261A05" w:rsidRDefault="001048C8" w:rsidP="00DA49F3">
            <w:pPr>
              <w:ind w:right="42"/>
              <w:jc w:val="center"/>
            </w:pPr>
            <w:r>
              <w:t>-0.9</w:t>
            </w:r>
          </w:p>
        </w:tc>
      </w:tr>
      <w:tr w:rsidR="001048C8" w:rsidRPr="0053729E" w:rsidTr="001048C8">
        <w:trPr>
          <w:trHeight w:val="370"/>
        </w:trPr>
        <w:tc>
          <w:tcPr>
            <w:tcW w:w="2718" w:type="dxa"/>
            <w:tcBorders>
              <w:bottom w:val="nil"/>
            </w:tcBorders>
            <w:vAlign w:val="bottom"/>
          </w:tcPr>
          <w:p w:rsidR="001048C8" w:rsidRPr="0053729E" w:rsidRDefault="001048C8" w:rsidP="008040FF">
            <w:pPr>
              <w:spacing w:line="288" w:lineRule="auto"/>
              <w:ind w:right="77"/>
              <w:rPr>
                <w:b/>
                <w:sz w:val="20"/>
                <w:szCs w:val="20"/>
              </w:rPr>
            </w:pPr>
            <w:r w:rsidRPr="0053729E">
              <w:rPr>
                <w:b/>
                <w:sz w:val="20"/>
                <w:szCs w:val="20"/>
              </w:rPr>
              <w:t xml:space="preserve">Capacity Utilization Rate </w:t>
            </w:r>
          </w:p>
        </w:tc>
        <w:tc>
          <w:tcPr>
            <w:tcW w:w="1418" w:type="dxa"/>
            <w:tcBorders>
              <w:bottom w:val="nil"/>
            </w:tcBorders>
            <w:vAlign w:val="center"/>
          </w:tcPr>
          <w:p w:rsidR="001048C8" w:rsidRPr="00261A05" w:rsidRDefault="001048C8" w:rsidP="00DA49F3">
            <w:pPr>
              <w:ind w:right="42"/>
              <w:jc w:val="center"/>
              <w:rPr>
                <w:b/>
                <w:bCs/>
              </w:rPr>
            </w:pPr>
            <w:r>
              <w:rPr>
                <w:b/>
                <w:bCs/>
              </w:rPr>
              <w:t>-0.8</w:t>
            </w:r>
          </w:p>
        </w:tc>
        <w:tc>
          <w:tcPr>
            <w:tcW w:w="1417" w:type="dxa"/>
            <w:tcBorders>
              <w:bottom w:val="nil"/>
            </w:tcBorders>
            <w:vAlign w:val="center"/>
          </w:tcPr>
          <w:p w:rsidR="001048C8" w:rsidRPr="00261A05" w:rsidRDefault="001048C8" w:rsidP="00DA49F3">
            <w:pPr>
              <w:ind w:right="42"/>
              <w:jc w:val="center"/>
              <w:rPr>
                <w:b/>
                <w:bCs/>
              </w:rPr>
            </w:pPr>
            <w:r>
              <w:rPr>
                <w:b/>
                <w:bCs/>
              </w:rPr>
              <w:t>0.9</w:t>
            </w:r>
          </w:p>
        </w:tc>
        <w:tc>
          <w:tcPr>
            <w:tcW w:w="1276" w:type="dxa"/>
            <w:tcBorders>
              <w:bottom w:val="nil"/>
            </w:tcBorders>
            <w:vAlign w:val="center"/>
          </w:tcPr>
          <w:p w:rsidR="001048C8" w:rsidRPr="00261A05" w:rsidRDefault="001048C8" w:rsidP="00DA49F3">
            <w:pPr>
              <w:ind w:right="42"/>
              <w:jc w:val="center"/>
              <w:rPr>
                <w:b/>
                <w:bCs/>
              </w:rPr>
            </w:pPr>
            <w:r>
              <w:rPr>
                <w:b/>
                <w:bCs/>
              </w:rPr>
              <w:t>-1.3</w:t>
            </w:r>
          </w:p>
        </w:tc>
        <w:tc>
          <w:tcPr>
            <w:tcW w:w="1361" w:type="dxa"/>
            <w:tcBorders>
              <w:bottom w:val="nil"/>
              <w:right w:val="double" w:sz="4" w:space="0" w:color="auto"/>
            </w:tcBorders>
            <w:vAlign w:val="center"/>
          </w:tcPr>
          <w:p w:rsidR="001048C8" w:rsidRPr="00261A05" w:rsidRDefault="001048C8" w:rsidP="00DA49F3">
            <w:pPr>
              <w:ind w:right="42"/>
              <w:jc w:val="center"/>
              <w:rPr>
                <w:b/>
                <w:bCs/>
              </w:rPr>
            </w:pPr>
            <w:r>
              <w:rPr>
                <w:b/>
                <w:bCs/>
              </w:rPr>
              <w:t>-0.2</w:t>
            </w:r>
          </w:p>
        </w:tc>
        <w:tc>
          <w:tcPr>
            <w:tcW w:w="1035" w:type="dxa"/>
            <w:tcBorders>
              <w:left w:val="double" w:sz="4" w:space="0" w:color="auto"/>
              <w:bottom w:val="nil"/>
            </w:tcBorders>
            <w:vAlign w:val="center"/>
          </w:tcPr>
          <w:p w:rsidR="001048C8" w:rsidRPr="00261A05" w:rsidRDefault="001048C8" w:rsidP="00DA49F3">
            <w:pPr>
              <w:ind w:right="42"/>
              <w:jc w:val="center"/>
              <w:rPr>
                <w:b/>
                <w:bCs/>
              </w:rPr>
            </w:pPr>
            <w:r>
              <w:rPr>
                <w:b/>
                <w:bCs/>
              </w:rPr>
              <w:t>0.6</w:t>
            </w:r>
          </w:p>
        </w:tc>
        <w:tc>
          <w:tcPr>
            <w:tcW w:w="1035" w:type="dxa"/>
            <w:tcBorders>
              <w:bottom w:val="nil"/>
            </w:tcBorders>
            <w:vAlign w:val="center"/>
          </w:tcPr>
          <w:p w:rsidR="001048C8" w:rsidRPr="00261A05" w:rsidRDefault="001048C8" w:rsidP="00DA49F3">
            <w:pPr>
              <w:ind w:right="42"/>
              <w:jc w:val="center"/>
              <w:rPr>
                <w:b/>
                <w:bCs/>
              </w:rPr>
            </w:pPr>
            <w:r>
              <w:rPr>
                <w:b/>
                <w:bCs/>
              </w:rPr>
              <w:t>-1.1</w:t>
            </w:r>
          </w:p>
        </w:tc>
      </w:tr>
      <w:tr w:rsidR="001048C8" w:rsidRPr="0053729E" w:rsidTr="001048C8">
        <w:trPr>
          <w:trHeight w:val="370"/>
        </w:trPr>
        <w:tc>
          <w:tcPr>
            <w:tcW w:w="2718" w:type="dxa"/>
            <w:tcBorders>
              <w:top w:val="nil"/>
              <w:bottom w:val="nil"/>
            </w:tcBorders>
            <w:vAlign w:val="bottom"/>
          </w:tcPr>
          <w:p w:rsidR="001048C8" w:rsidRPr="0053729E" w:rsidRDefault="001048C8" w:rsidP="00E00B71">
            <w:pPr>
              <w:spacing w:line="288" w:lineRule="auto"/>
              <w:ind w:right="77"/>
              <w:rPr>
                <w:sz w:val="20"/>
                <w:szCs w:val="20"/>
              </w:rPr>
            </w:pPr>
            <w:r w:rsidRPr="0053729E">
              <w:rPr>
                <w:sz w:val="20"/>
                <w:szCs w:val="20"/>
              </w:rPr>
              <w:t>Nondurable consumer goods</w:t>
            </w:r>
          </w:p>
        </w:tc>
        <w:tc>
          <w:tcPr>
            <w:tcW w:w="1418" w:type="dxa"/>
            <w:tcBorders>
              <w:top w:val="nil"/>
              <w:bottom w:val="nil"/>
            </w:tcBorders>
            <w:vAlign w:val="center"/>
          </w:tcPr>
          <w:p w:rsidR="001048C8" w:rsidRPr="00261A05" w:rsidRDefault="001048C8" w:rsidP="00DA49F3">
            <w:pPr>
              <w:ind w:right="42"/>
              <w:jc w:val="center"/>
            </w:pPr>
            <w:r>
              <w:t>-0.4</w:t>
            </w:r>
          </w:p>
        </w:tc>
        <w:tc>
          <w:tcPr>
            <w:tcW w:w="1417" w:type="dxa"/>
            <w:tcBorders>
              <w:top w:val="nil"/>
              <w:bottom w:val="nil"/>
            </w:tcBorders>
            <w:vAlign w:val="center"/>
          </w:tcPr>
          <w:p w:rsidR="001048C8" w:rsidRPr="00261A05" w:rsidRDefault="001048C8" w:rsidP="00DA49F3">
            <w:pPr>
              <w:ind w:right="42"/>
              <w:jc w:val="center"/>
            </w:pPr>
            <w:r>
              <w:t>0.7</w:t>
            </w:r>
          </w:p>
        </w:tc>
        <w:tc>
          <w:tcPr>
            <w:tcW w:w="1276" w:type="dxa"/>
            <w:tcBorders>
              <w:top w:val="nil"/>
              <w:bottom w:val="nil"/>
            </w:tcBorders>
            <w:vAlign w:val="center"/>
          </w:tcPr>
          <w:p w:rsidR="001048C8" w:rsidRPr="00261A05" w:rsidRDefault="001048C8" w:rsidP="00DA49F3">
            <w:pPr>
              <w:ind w:right="42"/>
              <w:jc w:val="center"/>
            </w:pPr>
            <w:r>
              <w:t>0.1</w:t>
            </w:r>
          </w:p>
        </w:tc>
        <w:tc>
          <w:tcPr>
            <w:tcW w:w="1361" w:type="dxa"/>
            <w:tcBorders>
              <w:top w:val="nil"/>
              <w:bottom w:val="nil"/>
              <w:right w:val="double" w:sz="4" w:space="0" w:color="auto"/>
            </w:tcBorders>
            <w:vAlign w:val="center"/>
          </w:tcPr>
          <w:p w:rsidR="001048C8" w:rsidRPr="00261A05" w:rsidRDefault="001048C8" w:rsidP="00DA49F3">
            <w:pPr>
              <w:ind w:right="42"/>
              <w:jc w:val="center"/>
            </w:pPr>
            <w:r>
              <w:t>0.8</w:t>
            </w:r>
          </w:p>
        </w:tc>
        <w:tc>
          <w:tcPr>
            <w:tcW w:w="1035" w:type="dxa"/>
            <w:tcBorders>
              <w:top w:val="nil"/>
              <w:left w:val="double" w:sz="4" w:space="0" w:color="auto"/>
              <w:bottom w:val="nil"/>
            </w:tcBorders>
            <w:vAlign w:val="center"/>
          </w:tcPr>
          <w:p w:rsidR="001048C8" w:rsidRPr="00261A05" w:rsidRDefault="001048C8" w:rsidP="00DA49F3">
            <w:pPr>
              <w:ind w:right="42"/>
              <w:jc w:val="center"/>
            </w:pPr>
            <w:r>
              <w:t>0.2</w:t>
            </w:r>
          </w:p>
        </w:tc>
        <w:tc>
          <w:tcPr>
            <w:tcW w:w="1035" w:type="dxa"/>
            <w:tcBorders>
              <w:top w:val="nil"/>
              <w:bottom w:val="nil"/>
            </w:tcBorders>
            <w:vAlign w:val="center"/>
          </w:tcPr>
          <w:p w:rsidR="001048C8" w:rsidRPr="00261A05" w:rsidRDefault="001048C8" w:rsidP="00DA49F3">
            <w:pPr>
              <w:ind w:right="42"/>
              <w:jc w:val="center"/>
            </w:pPr>
            <w:r>
              <w:t>0.8</w:t>
            </w:r>
          </w:p>
        </w:tc>
      </w:tr>
      <w:tr w:rsidR="001048C8" w:rsidRPr="0053729E" w:rsidTr="001048C8">
        <w:trPr>
          <w:trHeight w:val="370"/>
        </w:trPr>
        <w:tc>
          <w:tcPr>
            <w:tcW w:w="2718" w:type="dxa"/>
            <w:tcBorders>
              <w:top w:val="nil"/>
              <w:bottom w:val="nil"/>
            </w:tcBorders>
            <w:vAlign w:val="bottom"/>
          </w:tcPr>
          <w:p w:rsidR="001048C8" w:rsidRPr="0053729E" w:rsidRDefault="001048C8" w:rsidP="00E00B71">
            <w:pPr>
              <w:spacing w:line="288" w:lineRule="auto"/>
              <w:ind w:right="77"/>
              <w:rPr>
                <w:sz w:val="20"/>
                <w:szCs w:val="20"/>
              </w:rPr>
            </w:pPr>
            <w:r w:rsidRPr="0053729E">
              <w:rPr>
                <w:sz w:val="20"/>
                <w:szCs w:val="20"/>
              </w:rPr>
              <w:t>Durable consumer goods</w:t>
            </w:r>
          </w:p>
        </w:tc>
        <w:tc>
          <w:tcPr>
            <w:tcW w:w="1418" w:type="dxa"/>
            <w:tcBorders>
              <w:top w:val="nil"/>
              <w:bottom w:val="nil"/>
            </w:tcBorders>
            <w:vAlign w:val="center"/>
          </w:tcPr>
          <w:p w:rsidR="001048C8" w:rsidRPr="00261A05" w:rsidRDefault="001048C8" w:rsidP="00DA49F3">
            <w:pPr>
              <w:ind w:right="42"/>
              <w:jc w:val="center"/>
            </w:pPr>
            <w:r>
              <w:t>-0.4</w:t>
            </w:r>
          </w:p>
        </w:tc>
        <w:tc>
          <w:tcPr>
            <w:tcW w:w="1417" w:type="dxa"/>
            <w:tcBorders>
              <w:top w:val="nil"/>
              <w:bottom w:val="nil"/>
            </w:tcBorders>
            <w:vAlign w:val="center"/>
          </w:tcPr>
          <w:p w:rsidR="001048C8" w:rsidRPr="00261A05" w:rsidRDefault="001048C8" w:rsidP="00DA49F3">
            <w:pPr>
              <w:ind w:right="42"/>
              <w:jc w:val="center"/>
            </w:pPr>
            <w:r>
              <w:t>0.5</w:t>
            </w:r>
          </w:p>
        </w:tc>
        <w:tc>
          <w:tcPr>
            <w:tcW w:w="1276" w:type="dxa"/>
            <w:tcBorders>
              <w:top w:val="nil"/>
              <w:bottom w:val="nil"/>
            </w:tcBorders>
            <w:vAlign w:val="center"/>
          </w:tcPr>
          <w:p w:rsidR="001048C8" w:rsidRPr="00261A05" w:rsidRDefault="001048C8" w:rsidP="00DA49F3">
            <w:pPr>
              <w:ind w:right="42"/>
              <w:jc w:val="center"/>
            </w:pPr>
            <w:r>
              <w:t>-1.4</w:t>
            </w:r>
          </w:p>
        </w:tc>
        <w:tc>
          <w:tcPr>
            <w:tcW w:w="1361" w:type="dxa"/>
            <w:tcBorders>
              <w:top w:val="nil"/>
              <w:bottom w:val="nil"/>
              <w:right w:val="double" w:sz="4" w:space="0" w:color="auto"/>
            </w:tcBorders>
            <w:vAlign w:val="center"/>
          </w:tcPr>
          <w:p w:rsidR="001048C8" w:rsidRPr="00261A05" w:rsidRDefault="001048C8" w:rsidP="00DA49F3">
            <w:pPr>
              <w:ind w:right="42"/>
              <w:jc w:val="center"/>
            </w:pPr>
            <w:r>
              <w:t>0.5</w:t>
            </w:r>
          </w:p>
        </w:tc>
        <w:tc>
          <w:tcPr>
            <w:tcW w:w="1035" w:type="dxa"/>
            <w:tcBorders>
              <w:top w:val="nil"/>
              <w:left w:val="double" w:sz="4" w:space="0" w:color="auto"/>
              <w:bottom w:val="nil"/>
            </w:tcBorders>
            <w:vAlign w:val="center"/>
          </w:tcPr>
          <w:p w:rsidR="001048C8" w:rsidRPr="00261A05" w:rsidRDefault="001048C8" w:rsidP="00DA49F3">
            <w:pPr>
              <w:ind w:right="42"/>
              <w:jc w:val="center"/>
            </w:pPr>
            <w:r>
              <w:t>0.2</w:t>
            </w:r>
          </w:p>
        </w:tc>
        <w:tc>
          <w:tcPr>
            <w:tcW w:w="1035" w:type="dxa"/>
            <w:tcBorders>
              <w:top w:val="nil"/>
              <w:bottom w:val="nil"/>
            </w:tcBorders>
            <w:vAlign w:val="center"/>
          </w:tcPr>
          <w:p w:rsidR="001048C8" w:rsidRPr="00261A05" w:rsidRDefault="001048C8" w:rsidP="00DA49F3">
            <w:pPr>
              <w:ind w:right="42"/>
              <w:jc w:val="center"/>
            </w:pPr>
            <w:r>
              <w:t>-1.0</w:t>
            </w:r>
          </w:p>
        </w:tc>
      </w:tr>
      <w:tr w:rsidR="001048C8" w:rsidRPr="0053729E" w:rsidTr="001048C8">
        <w:trPr>
          <w:trHeight w:val="370"/>
        </w:trPr>
        <w:tc>
          <w:tcPr>
            <w:tcW w:w="2718" w:type="dxa"/>
            <w:tcBorders>
              <w:top w:val="nil"/>
              <w:bottom w:val="nil"/>
            </w:tcBorders>
            <w:vAlign w:val="bottom"/>
          </w:tcPr>
          <w:p w:rsidR="001048C8" w:rsidRPr="0053729E" w:rsidRDefault="001048C8" w:rsidP="00E00B71">
            <w:pPr>
              <w:spacing w:line="288" w:lineRule="auto"/>
              <w:ind w:right="77"/>
              <w:rPr>
                <w:sz w:val="20"/>
                <w:szCs w:val="20"/>
              </w:rPr>
            </w:pPr>
            <w:r w:rsidRPr="0053729E">
              <w:rPr>
                <w:sz w:val="20"/>
                <w:szCs w:val="20"/>
              </w:rPr>
              <w:t>Intermediate goods</w:t>
            </w:r>
          </w:p>
        </w:tc>
        <w:tc>
          <w:tcPr>
            <w:tcW w:w="1418" w:type="dxa"/>
            <w:tcBorders>
              <w:top w:val="nil"/>
              <w:bottom w:val="nil"/>
            </w:tcBorders>
            <w:vAlign w:val="center"/>
          </w:tcPr>
          <w:p w:rsidR="001048C8" w:rsidRPr="00261A05" w:rsidRDefault="001048C8" w:rsidP="00DA49F3">
            <w:pPr>
              <w:ind w:right="42"/>
              <w:jc w:val="center"/>
            </w:pPr>
            <w:r>
              <w:t>-0.1</w:t>
            </w:r>
          </w:p>
        </w:tc>
        <w:tc>
          <w:tcPr>
            <w:tcW w:w="1417" w:type="dxa"/>
            <w:tcBorders>
              <w:top w:val="nil"/>
              <w:bottom w:val="nil"/>
            </w:tcBorders>
            <w:vAlign w:val="center"/>
          </w:tcPr>
          <w:p w:rsidR="001048C8" w:rsidRPr="00261A05" w:rsidRDefault="001048C8" w:rsidP="00DA49F3">
            <w:pPr>
              <w:ind w:right="42"/>
              <w:jc w:val="center"/>
            </w:pPr>
            <w:r>
              <w:t>1.3</w:t>
            </w:r>
          </w:p>
        </w:tc>
        <w:tc>
          <w:tcPr>
            <w:tcW w:w="1276" w:type="dxa"/>
            <w:tcBorders>
              <w:top w:val="nil"/>
              <w:bottom w:val="nil"/>
            </w:tcBorders>
            <w:vAlign w:val="center"/>
          </w:tcPr>
          <w:p w:rsidR="001048C8" w:rsidRPr="00261A05" w:rsidRDefault="001048C8" w:rsidP="00DA49F3">
            <w:pPr>
              <w:ind w:right="42"/>
              <w:jc w:val="center"/>
            </w:pPr>
            <w:r>
              <w:t>-1.2</w:t>
            </w:r>
          </w:p>
        </w:tc>
        <w:tc>
          <w:tcPr>
            <w:tcW w:w="1361" w:type="dxa"/>
            <w:tcBorders>
              <w:top w:val="nil"/>
              <w:bottom w:val="nil"/>
              <w:right w:val="double" w:sz="4" w:space="0" w:color="auto"/>
            </w:tcBorders>
            <w:vAlign w:val="center"/>
          </w:tcPr>
          <w:p w:rsidR="001048C8" w:rsidRPr="00261A05" w:rsidRDefault="001048C8" w:rsidP="00DA49F3">
            <w:pPr>
              <w:ind w:right="42"/>
              <w:jc w:val="center"/>
            </w:pPr>
            <w:r>
              <w:t>0.6</w:t>
            </w:r>
          </w:p>
        </w:tc>
        <w:tc>
          <w:tcPr>
            <w:tcW w:w="1035" w:type="dxa"/>
            <w:tcBorders>
              <w:top w:val="nil"/>
              <w:left w:val="double" w:sz="4" w:space="0" w:color="auto"/>
              <w:bottom w:val="nil"/>
            </w:tcBorders>
            <w:vAlign w:val="center"/>
          </w:tcPr>
          <w:p w:rsidR="001048C8" w:rsidRPr="00261A05" w:rsidRDefault="001048C8" w:rsidP="00DA49F3">
            <w:pPr>
              <w:ind w:right="42"/>
              <w:jc w:val="center"/>
            </w:pPr>
            <w:r>
              <w:t>1.0</w:t>
            </w:r>
          </w:p>
        </w:tc>
        <w:tc>
          <w:tcPr>
            <w:tcW w:w="1035" w:type="dxa"/>
            <w:tcBorders>
              <w:top w:val="nil"/>
              <w:bottom w:val="nil"/>
            </w:tcBorders>
            <w:vAlign w:val="center"/>
          </w:tcPr>
          <w:p w:rsidR="001048C8" w:rsidRPr="00261A05" w:rsidRDefault="001048C8" w:rsidP="00DA49F3">
            <w:pPr>
              <w:ind w:right="42"/>
              <w:jc w:val="center"/>
            </w:pPr>
            <w:r>
              <w:t>-0.1</w:t>
            </w:r>
          </w:p>
        </w:tc>
      </w:tr>
      <w:tr w:rsidR="001048C8" w:rsidRPr="0053729E" w:rsidTr="001048C8">
        <w:trPr>
          <w:trHeight w:val="370"/>
        </w:trPr>
        <w:tc>
          <w:tcPr>
            <w:tcW w:w="2718" w:type="dxa"/>
            <w:tcBorders>
              <w:top w:val="nil"/>
            </w:tcBorders>
            <w:vAlign w:val="bottom"/>
          </w:tcPr>
          <w:p w:rsidR="001048C8" w:rsidRPr="0053729E" w:rsidRDefault="001048C8" w:rsidP="00E00B71">
            <w:pPr>
              <w:spacing w:line="288" w:lineRule="auto"/>
              <w:ind w:right="77"/>
              <w:rPr>
                <w:sz w:val="20"/>
                <w:szCs w:val="20"/>
              </w:rPr>
            </w:pPr>
            <w:r w:rsidRPr="0053729E">
              <w:rPr>
                <w:sz w:val="20"/>
                <w:szCs w:val="20"/>
              </w:rPr>
              <w:t>Investment goods</w:t>
            </w:r>
          </w:p>
        </w:tc>
        <w:tc>
          <w:tcPr>
            <w:tcW w:w="1418" w:type="dxa"/>
            <w:tcBorders>
              <w:top w:val="nil"/>
            </w:tcBorders>
            <w:vAlign w:val="center"/>
          </w:tcPr>
          <w:p w:rsidR="001048C8" w:rsidRPr="00261A05" w:rsidRDefault="001048C8" w:rsidP="00DA49F3">
            <w:pPr>
              <w:ind w:right="42"/>
              <w:jc w:val="center"/>
            </w:pPr>
            <w:r>
              <w:t>1.1</w:t>
            </w:r>
          </w:p>
        </w:tc>
        <w:tc>
          <w:tcPr>
            <w:tcW w:w="1417" w:type="dxa"/>
            <w:tcBorders>
              <w:top w:val="nil"/>
            </w:tcBorders>
            <w:vAlign w:val="center"/>
          </w:tcPr>
          <w:p w:rsidR="001048C8" w:rsidRPr="00261A05" w:rsidRDefault="001048C8" w:rsidP="00DA49F3">
            <w:pPr>
              <w:ind w:right="42"/>
              <w:jc w:val="center"/>
            </w:pPr>
            <w:r>
              <w:t>1.4</w:t>
            </w:r>
          </w:p>
        </w:tc>
        <w:tc>
          <w:tcPr>
            <w:tcW w:w="1276" w:type="dxa"/>
            <w:tcBorders>
              <w:top w:val="nil"/>
            </w:tcBorders>
            <w:vAlign w:val="center"/>
          </w:tcPr>
          <w:p w:rsidR="001048C8" w:rsidRPr="00261A05" w:rsidRDefault="001048C8" w:rsidP="00DA49F3">
            <w:pPr>
              <w:ind w:right="42"/>
              <w:jc w:val="center"/>
            </w:pPr>
            <w:r>
              <w:t>-1.3</w:t>
            </w:r>
          </w:p>
        </w:tc>
        <w:tc>
          <w:tcPr>
            <w:tcW w:w="1361" w:type="dxa"/>
            <w:tcBorders>
              <w:top w:val="nil"/>
              <w:right w:val="double" w:sz="4" w:space="0" w:color="auto"/>
            </w:tcBorders>
            <w:vAlign w:val="center"/>
          </w:tcPr>
          <w:p w:rsidR="001048C8" w:rsidRPr="00261A05" w:rsidRDefault="001048C8" w:rsidP="00DA49F3">
            <w:pPr>
              <w:ind w:right="42"/>
              <w:jc w:val="center"/>
            </w:pPr>
            <w:r>
              <w:t>-2.2</w:t>
            </w:r>
          </w:p>
        </w:tc>
        <w:tc>
          <w:tcPr>
            <w:tcW w:w="1035" w:type="dxa"/>
            <w:tcBorders>
              <w:top w:val="nil"/>
              <w:left w:val="double" w:sz="4" w:space="0" w:color="auto"/>
            </w:tcBorders>
            <w:vAlign w:val="center"/>
          </w:tcPr>
          <w:p w:rsidR="001048C8" w:rsidRPr="00261A05" w:rsidRDefault="001048C8" w:rsidP="00DA49F3">
            <w:pPr>
              <w:ind w:right="42"/>
              <w:jc w:val="center"/>
            </w:pPr>
            <w:r>
              <w:t>0.2</w:t>
            </w:r>
          </w:p>
        </w:tc>
        <w:tc>
          <w:tcPr>
            <w:tcW w:w="1035" w:type="dxa"/>
            <w:tcBorders>
              <w:top w:val="nil"/>
            </w:tcBorders>
            <w:vAlign w:val="center"/>
          </w:tcPr>
          <w:p w:rsidR="001048C8" w:rsidRPr="00261A05" w:rsidRDefault="001048C8" w:rsidP="00DA49F3">
            <w:pPr>
              <w:ind w:right="42"/>
              <w:jc w:val="center"/>
            </w:pPr>
            <w:r>
              <w:t>-1.0</w:t>
            </w:r>
          </w:p>
        </w:tc>
      </w:tr>
      <w:tr w:rsidR="001048C8" w:rsidRPr="0053729E" w:rsidTr="001048C8">
        <w:trPr>
          <w:trHeight w:val="370"/>
        </w:trPr>
        <w:tc>
          <w:tcPr>
            <w:tcW w:w="2718" w:type="dxa"/>
            <w:tcBorders>
              <w:bottom w:val="nil"/>
            </w:tcBorders>
            <w:vAlign w:val="bottom"/>
          </w:tcPr>
          <w:p w:rsidR="001048C8" w:rsidRPr="0053729E" w:rsidRDefault="001048C8" w:rsidP="00E00B71">
            <w:pPr>
              <w:spacing w:line="288" w:lineRule="auto"/>
              <w:ind w:right="77"/>
              <w:rPr>
                <w:b/>
                <w:sz w:val="20"/>
                <w:szCs w:val="20"/>
              </w:rPr>
            </w:pPr>
            <w:r w:rsidRPr="0053729E">
              <w:rPr>
                <w:b/>
                <w:sz w:val="20"/>
                <w:szCs w:val="20"/>
              </w:rPr>
              <w:t>Soft Data</w:t>
            </w:r>
          </w:p>
        </w:tc>
        <w:tc>
          <w:tcPr>
            <w:tcW w:w="1418" w:type="dxa"/>
            <w:tcBorders>
              <w:bottom w:val="nil"/>
            </w:tcBorders>
            <w:vAlign w:val="center"/>
          </w:tcPr>
          <w:p w:rsidR="001048C8" w:rsidRPr="00261A05" w:rsidRDefault="001048C8" w:rsidP="00DA49F3">
            <w:pPr>
              <w:ind w:right="42"/>
              <w:jc w:val="center"/>
              <w:rPr>
                <w:b/>
                <w:bCs/>
              </w:rPr>
            </w:pPr>
          </w:p>
        </w:tc>
        <w:tc>
          <w:tcPr>
            <w:tcW w:w="1417" w:type="dxa"/>
            <w:tcBorders>
              <w:bottom w:val="nil"/>
            </w:tcBorders>
            <w:vAlign w:val="center"/>
          </w:tcPr>
          <w:p w:rsidR="001048C8" w:rsidRPr="00261A05" w:rsidRDefault="001048C8" w:rsidP="00DA49F3">
            <w:pPr>
              <w:ind w:right="42"/>
              <w:jc w:val="center"/>
              <w:rPr>
                <w:b/>
                <w:bCs/>
              </w:rPr>
            </w:pPr>
          </w:p>
        </w:tc>
        <w:tc>
          <w:tcPr>
            <w:tcW w:w="1276" w:type="dxa"/>
            <w:tcBorders>
              <w:bottom w:val="nil"/>
            </w:tcBorders>
            <w:vAlign w:val="center"/>
          </w:tcPr>
          <w:p w:rsidR="001048C8" w:rsidRPr="00261A05" w:rsidRDefault="001048C8" w:rsidP="00DA49F3">
            <w:pPr>
              <w:ind w:right="42"/>
              <w:jc w:val="center"/>
              <w:rPr>
                <w:b/>
                <w:bCs/>
              </w:rPr>
            </w:pPr>
          </w:p>
        </w:tc>
        <w:tc>
          <w:tcPr>
            <w:tcW w:w="1361" w:type="dxa"/>
            <w:tcBorders>
              <w:bottom w:val="nil"/>
              <w:right w:val="double" w:sz="4" w:space="0" w:color="auto"/>
            </w:tcBorders>
            <w:vAlign w:val="center"/>
          </w:tcPr>
          <w:p w:rsidR="001048C8" w:rsidRPr="00261A05" w:rsidRDefault="001048C8" w:rsidP="00DA49F3">
            <w:pPr>
              <w:ind w:right="42"/>
              <w:jc w:val="center"/>
              <w:rPr>
                <w:b/>
                <w:bCs/>
              </w:rPr>
            </w:pPr>
          </w:p>
        </w:tc>
        <w:tc>
          <w:tcPr>
            <w:tcW w:w="1035" w:type="dxa"/>
            <w:tcBorders>
              <w:left w:val="double" w:sz="4" w:space="0" w:color="auto"/>
              <w:bottom w:val="nil"/>
            </w:tcBorders>
            <w:vAlign w:val="center"/>
          </w:tcPr>
          <w:p w:rsidR="001048C8" w:rsidRPr="00261A05" w:rsidRDefault="001048C8" w:rsidP="00DA49F3">
            <w:pPr>
              <w:ind w:right="42"/>
              <w:jc w:val="center"/>
              <w:rPr>
                <w:b/>
                <w:bCs/>
              </w:rPr>
            </w:pPr>
          </w:p>
        </w:tc>
        <w:tc>
          <w:tcPr>
            <w:tcW w:w="1035" w:type="dxa"/>
            <w:tcBorders>
              <w:bottom w:val="nil"/>
            </w:tcBorders>
            <w:vAlign w:val="center"/>
          </w:tcPr>
          <w:p w:rsidR="001048C8" w:rsidRPr="00261A05" w:rsidRDefault="001048C8" w:rsidP="00DA49F3">
            <w:pPr>
              <w:ind w:right="42"/>
              <w:jc w:val="center"/>
              <w:rPr>
                <w:b/>
                <w:bCs/>
              </w:rPr>
            </w:pPr>
          </w:p>
        </w:tc>
      </w:tr>
      <w:tr w:rsidR="001048C8" w:rsidRPr="0053729E" w:rsidTr="001048C8">
        <w:trPr>
          <w:trHeight w:val="370"/>
        </w:trPr>
        <w:tc>
          <w:tcPr>
            <w:tcW w:w="2718" w:type="dxa"/>
            <w:tcBorders>
              <w:top w:val="nil"/>
              <w:bottom w:val="nil"/>
            </w:tcBorders>
            <w:vAlign w:val="bottom"/>
          </w:tcPr>
          <w:p w:rsidR="001048C8" w:rsidRPr="0053729E" w:rsidRDefault="001048C8" w:rsidP="00E00B71">
            <w:pPr>
              <w:spacing w:line="288" w:lineRule="auto"/>
              <w:ind w:right="77"/>
              <w:rPr>
                <w:sz w:val="20"/>
                <w:szCs w:val="20"/>
              </w:rPr>
            </w:pPr>
            <w:r w:rsidRPr="0053729E">
              <w:rPr>
                <w:sz w:val="20"/>
                <w:szCs w:val="20"/>
              </w:rPr>
              <w:t>Consumer confidence index (</w:t>
            </w:r>
            <w:proofErr w:type="spellStart"/>
            <w:r w:rsidRPr="0053729E">
              <w:rPr>
                <w:sz w:val="20"/>
                <w:szCs w:val="20"/>
              </w:rPr>
              <w:t>Turkstat</w:t>
            </w:r>
            <w:proofErr w:type="spellEnd"/>
            <w:r w:rsidRPr="0053729E">
              <w:rPr>
                <w:sz w:val="20"/>
                <w:szCs w:val="20"/>
              </w:rPr>
              <w:t>)</w:t>
            </w:r>
          </w:p>
        </w:tc>
        <w:tc>
          <w:tcPr>
            <w:tcW w:w="1418" w:type="dxa"/>
            <w:tcBorders>
              <w:top w:val="nil"/>
              <w:bottom w:val="nil"/>
            </w:tcBorders>
            <w:vAlign w:val="center"/>
          </w:tcPr>
          <w:p w:rsidR="001048C8" w:rsidRPr="00261A05" w:rsidRDefault="001048C8" w:rsidP="00DA49F3">
            <w:pPr>
              <w:ind w:right="42"/>
              <w:jc w:val="center"/>
            </w:pPr>
            <w:r>
              <w:t>3.0</w:t>
            </w:r>
          </w:p>
        </w:tc>
        <w:tc>
          <w:tcPr>
            <w:tcW w:w="1417" w:type="dxa"/>
            <w:tcBorders>
              <w:top w:val="nil"/>
              <w:bottom w:val="nil"/>
            </w:tcBorders>
            <w:vAlign w:val="center"/>
          </w:tcPr>
          <w:p w:rsidR="001048C8" w:rsidRPr="00261A05" w:rsidRDefault="001048C8" w:rsidP="00DA49F3">
            <w:pPr>
              <w:ind w:right="42"/>
              <w:jc w:val="center"/>
            </w:pPr>
            <w:r>
              <w:t>-4.1</w:t>
            </w:r>
          </w:p>
        </w:tc>
        <w:tc>
          <w:tcPr>
            <w:tcW w:w="1276" w:type="dxa"/>
            <w:tcBorders>
              <w:top w:val="nil"/>
              <w:bottom w:val="nil"/>
            </w:tcBorders>
            <w:vAlign w:val="center"/>
          </w:tcPr>
          <w:p w:rsidR="001048C8" w:rsidRPr="00261A05" w:rsidRDefault="001048C8" w:rsidP="00DA49F3">
            <w:pPr>
              <w:ind w:right="42"/>
              <w:jc w:val="center"/>
            </w:pPr>
            <w:r>
              <w:t>-4.1</w:t>
            </w:r>
          </w:p>
        </w:tc>
        <w:tc>
          <w:tcPr>
            <w:tcW w:w="1361" w:type="dxa"/>
            <w:tcBorders>
              <w:top w:val="nil"/>
              <w:bottom w:val="nil"/>
              <w:right w:val="double" w:sz="4" w:space="0" w:color="auto"/>
            </w:tcBorders>
            <w:vAlign w:val="center"/>
          </w:tcPr>
          <w:p w:rsidR="001048C8" w:rsidRPr="00261A05" w:rsidRDefault="001048C8" w:rsidP="00DA49F3">
            <w:pPr>
              <w:ind w:right="42"/>
              <w:jc w:val="center"/>
            </w:pPr>
            <w:r>
              <w:t>-4.9</w:t>
            </w:r>
          </w:p>
        </w:tc>
        <w:tc>
          <w:tcPr>
            <w:tcW w:w="1035" w:type="dxa"/>
            <w:tcBorders>
              <w:top w:val="nil"/>
              <w:left w:val="double" w:sz="4" w:space="0" w:color="auto"/>
              <w:bottom w:val="nil"/>
            </w:tcBorders>
            <w:vAlign w:val="center"/>
          </w:tcPr>
          <w:p w:rsidR="001048C8" w:rsidRPr="00261A05" w:rsidRDefault="001048C8" w:rsidP="00DA49F3">
            <w:pPr>
              <w:ind w:right="42"/>
              <w:jc w:val="center"/>
            </w:pPr>
            <w:r>
              <w:t>1.0</w:t>
            </w:r>
          </w:p>
        </w:tc>
        <w:tc>
          <w:tcPr>
            <w:tcW w:w="1035" w:type="dxa"/>
            <w:tcBorders>
              <w:top w:val="nil"/>
              <w:bottom w:val="nil"/>
            </w:tcBorders>
            <w:vAlign w:val="center"/>
          </w:tcPr>
          <w:p w:rsidR="001048C8" w:rsidRPr="00261A05" w:rsidRDefault="001048C8" w:rsidP="00DA49F3">
            <w:pPr>
              <w:ind w:right="42"/>
              <w:jc w:val="center"/>
            </w:pPr>
            <w:r>
              <w:t>-8.2</w:t>
            </w:r>
          </w:p>
        </w:tc>
      </w:tr>
      <w:tr w:rsidR="001048C8" w:rsidRPr="0053729E" w:rsidTr="001048C8">
        <w:trPr>
          <w:trHeight w:val="370"/>
        </w:trPr>
        <w:tc>
          <w:tcPr>
            <w:tcW w:w="2718" w:type="dxa"/>
            <w:tcBorders>
              <w:top w:val="nil"/>
            </w:tcBorders>
            <w:vAlign w:val="bottom"/>
          </w:tcPr>
          <w:p w:rsidR="001048C8" w:rsidRPr="0053729E" w:rsidRDefault="001048C8" w:rsidP="00E00B71">
            <w:pPr>
              <w:spacing w:line="288" w:lineRule="auto"/>
              <w:ind w:right="77"/>
              <w:rPr>
                <w:sz w:val="20"/>
                <w:szCs w:val="20"/>
              </w:rPr>
            </w:pPr>
            <w:r>
              <w:rPr>
                <w:sz w:val="20"/>
                <w:szCs w:val="20"/>
              </w:rPr>
              <w:t>Rea</w:t>
            </w:r>
            <w:r w:rsidRPr="0053729E">
              <w:rPr>
                <w:sz w:val="20"/>
                <w:szCs w:val="20"/>
              </w:rPr>
              <w:t>l sector confidence index</w:t>
            </w:r>
          </w:p>
        </w:tc>
        <w:tc>
          <w:tcPr>
            <w:tcW w:w="1418" w:type="dxa"/>
            <w:tcBorders>
              <w:top w:val="nil"/>
            </w:tcBorders>
            <w:vAlign w:val="center"/>
          </w:tcPr>
          <w:p w:rsidR="001048C8" w:rsidRPr="00261A05" w:rsidRDefault="001048C8" w:rsidP="00DA49F3">
            <w:pPr>
              <w:ind w:right="42"/>
              <w:jc w:val="center"/>
            </w:pPr>
            <w:r>
              <w:t>-0.4</w:t>
            </w:r>
          </w:p>
        </w:tc>
        <w:tc>
          <w:tcPr>
            <w:tcW w:w="1417" w:type="dxa"/>
            <w:tcBorders>
              <w:top w:val="nil"/>
            </w:tcBorders>
            <w:vAlign w:val="center"/>
          </w:tcPr>
          <w:p w:rsidR="001048C8" w:rsidRPr="00261A05" w:rsidRDefault="001048C8" w:rsidP="00DA49F3">
            <w:pPr>
              <w:ind w:right="42"/>
              <w:jc w:val="center"/>
            </w:pPr>
            <w:r>
              <w:t>-0.6</w:t>
            </w:r>
          </w:p>
        </w:tc>
        <w:tc>
          <w:tcPr>
            <w:tcW w:w="1276" w:type="dxa"/>
            <w:tcBorders>
              <w:top w:val="nil"/>
            </w:tcBorders>
            <w:vAlign w:val="center"/>
          </w:tcPr>
          <w:p w:rsidR="001048C8" w:rsidRPr="00261A05" w:rsidRDefault="001048C8" w:rsidP="00DA49F3">
            <w:pPr>
              <w:ind w:right="42"/>
              <w:jc w:val="center"/>
            </w:pPr>
            <w:r>
              <w:t>-5.6</w:t>
            </w:r>
          </w:p>
        </w:tc>
        <w:tc>
          <w:tcPr>
            <w:tcW w:w="1361" w:type="dxa"/>
            <w:tcBorders>
              <w:top w:val="nil"/>
              <w:right w:val="double" w:sz="4" w:space="0" w:color="auto"/>
            </w:tcBorders>
            <w:vAlign w:val="center"/>
          </w:tcPr>
          <w:p w:rsidR="001048C8" w:rsidRPr="00261A05" w:rsidRDefault="001048C8" w:rsidP="00DA49F3">
            <w:pPr>
              <w:ind w:right="42"/>
              <w:jc w:val="center"/>
            </w:pPr>
            <w:r>
              <w:t>0.4</w:t>
            </w:r>
          </w:p>
        </w:tc>
        <w:tc>
          <w:tcPr>
            <w:tcW w:w="1035" w:type="dxa"/>
            <w:tcBorders>
              <w:top w:val="nil"/>
              <w:left w:val="double" w:sz="4" w:space="0" w:color="auto"/>
            </w:tcBorders>
            <w:vAlign w:val="center"/>
          </w:tcPr>
          <w:p w:rsidR="001048C8" w:rsidRPr="00261A05" w:rsidRDefault="001048C8" w:rsidP="00DA49F3">
            <w:pPr>
              <w:ind w:right="42"/>
              <w:jc w:val="center"/>
            </w:pPr>
            <w:r>
              <w:t>3.8</w:t>
            </w:r>
          </w:p>
        </w:tc>
        <w:tc>
          <w:tcPr>
            <w:tcW w:w="1035" w:type="dxa"/>
            <w:tcBorders>
              <w:top w:val="nil"/>
            </w:tcBorders>
            <w:vAlign w:val="center"/>
          </w:tcPr>
          <w:p w:rsidR="001048C8" w:rsidRPr="00261A05" w:rsidRDefault="001048C8" w:rsidP="00DA49F3">
            <w:pPr>
              <w:ind w:right="42"/>
              <w:jc w:val="center"/>
            </w:pPr>
            <w:r>
              <w:t>-6.0</w:t>
            </w:r>
          </w:p>
        </w:tc>
      </w:tr>
      <w:tr w:rsidR="001048C8" w:rsidRPr="0053729E" w:rsidTr="001048C8">
        <w:trPr>
          <w:trHeight w:val="370"/>
        </w:trPr>
        <w:tc>
          <w:tcPr>
            <w:tcW w:w="2718" w:type="dxa"/>
            <w:tcBorders>
              <w:bottom w:val="nil"/>
            </w:tcBorders>
            <w:vAlign w:val="bottom"/>
          </w:tcPr>
          <w:p w:rsidR="001048C8" w:rsidRPr="0053729E" w:rsidRDefault="001048C8" w:rsidP="00E00B71">
            <w:pPr>
              <w:spacing w:line="288" w:lineRule="auto"/>
              <w:ind w:right="77"/>
              <w:rPr>
                <w:b/>
                <w:sz w:val="20"/>
                <w:szCs w:val="20"/>
              </w:rPr>
            </w:pPr>
            <w:r w:rsidRPr="0053729E">
              <w:rPr>
                <w:b/>
                <w:sz w:val="20"/>
                <w:szCs w:val="20"/>
              </w:rPr>
              <w:t>Financial Data</w:t>
            </w:r>
          </w:p>
        </w:tc>
        <w:tc>
          <w:tcPr>
            <w:tcW w:w="1418" w:type="dxa"/>
            <w:tcBorders>
              <w:bottom w:val="nil"/>
            </w:tcBorders>
            <w:vAlign w:val="center"/>
          </w:tcPr>
          <w:p w:rsidR="001048C8" w:rsidRPr="00261A05" w:rsidRDefault="001048C8" w:rsidP="00DA49F3">
            <w:pPr>
              <w:ind w:right="42"/>
              <w:jc w:val="center"/>
              <w:rPr>
                <w:b/>
                <w:bCs/>
              </w:rPr>
            </w:pPr>
          </w:p>
        </w:tc>
        <w:tc>
          <w:tcPr>
            <w:tcW w:w="1417" w:type="dxa"/>
            <w:tcBorders>
              <w:bottom w:val="nil"/>
            </w:tcBorders>
            <w:vAlign w:val="center"/>
          </w:tcPr>
          <w:p w:rsidR="001048C8" w:rsidRPr="00261A05" w:rsidRDefault="001048C8" w:rsidP="00DA49F3">
            <w:pPr>
              <w:ind w:right="42"/>
              <w:jc w:val="center"/>
              <w:rPr>
                <w:b/>
                <w:bCs/>
              </w:rPr>
            </w:pPr>
          </w:p>
        </w:tc>
        <w:tc>
          <w:tcPr>
            <w:tcW w:w="1276" w:type="dxa"/>
            <w:tcBorders>
              <w:bottom w:val="nil"/>
            </w:tcBorders>
            <w:vAlign w:val="center"/>
          </w:tcPr>
          <w:p w:rsidR="001048C8" w:rsidRPr="00261A05" w:rsidRDefault="001048C8" w:rsidP="00DA49F3">
            <w:pPr>
              <w:ind w:right="42"/>
              <w:jc w:val="center"/>
              <w:rPr>
                <w:b/>
                <w:bCs/>
              </w:rPr>
            </w:pPr>
          </w:p>
        </w:tc>
        <w:tc>
          <w:tcPr>
            <w:tcW w:w="1361" w:type="dxa"/>
            <w:tcBorders>
              <w:bottom w:val="nil"/>
              <w:right w:val="double" w:sz="4" w:space="0" w:color="auto"/>
            </w:tcBorders>
            <w:vAlign w:val="center"/>
          </w:tcPr>
          <w:p w:rsidR="001048C8" w:rsidRPr="00261A05" w:rsidRDefault="001048C8" w:rsidP="00DA49F3">
            <w:pPr>
              <w:ind w:right="42"/>
              <w:jc w:val="center"/>
              <w:rPr>
                <w:b/>
                <w:bCs/>
              </w:rPr>
            </w:pPr>
          </w:p>
        </w:tc>
        <w:tc>
          <w:tcPr>
            <w:tcW w:w="1035" w:type="dxa"/>
            <w:tcBorders>
              <w:left w:val="double" w:sz="4" w:space="0" w:color="auto"/>
              <w:bottom w:val="nil"/>
            </w:tcBorders>
            <w:vAlign w:val="center"/>
          </w:tcPr>
          <w:p w:rsidR="001048C8" w:rsidRPr="00261A05" w:rsidRDefault="001048C8" w:rsidP="00DA49F3">
            <w:pPr>
              <w:ind w:right="42"/>
              <w:jc w:val="center"/>
              <w:rPr>
                <w:b/>
                <w:bCs/>
              </w:rPr>
            </w:pPr>
          </w:p>
        </w:tc>
        <w:tc>
          <w:tcPr>
            <w:tcW w:w="1035" w:type="dxa"/>
            <w:tcBorders>
              <w:bottom w:val="nil"/>
            </w:tcBorders>
            <w:vAlign w:val="center"/>
          </w:tcPr>
          <w:p w:rsidR="001048C8" w:rsidRPr="00261A05" w:rsidRDefault="001048C8" w:rsidP="00DA49F3">
            <w:pPr>
              <w:ind w:right="42"/>
              <w:jc w:val="center"/>
              <w:rPr>
                <w:b/>
                <w:bCs/>
              </w:rPr>
            </w:pPr>
          </w:p>
        </w:tc>
      </w:tr>
      <w:tr w:rsidR="001048C8" w:rsidRPr="0053729E" w:rsidTr="001048C8">
        <w:trPr>
          <w:trHeight w:val="370"/>
        </w:trPr>
        <w:tc>
          <w:tcPr>
            <w:tcW w:w="2718" w:type="dxa"/>
            <w:tcBorders>
              <w:top w:val="nil"/>
            </w:tcBorders>
            <w:vAlign w:val="bottom"/>
          </w:tcPr>
          <w:p w:rsidR="001048C8" w:rsidRPr="0053729E" w:rsidRDefault="001048C8" w:rsidP="00E00B71">
            <w:pPr>
              <w:spacing w:line="288" w:lineRule="auto"/>
              <w:ind w:right="77"/>
              <w:rPr>
                <w:sz w:val="20"/>
                <w:szCs w:val="20"/>
              </w:rPr>
            </w:pPr>
            <w:r w:rsidRPr="0053729E">
              <w:rPr>
                <w:sz w:val="20"/>
                <w:szCs w:val="20"/>
              </w:rPr>
              <w:t>IMKB 100 (Stock Exchange)</w:t>
            </w:r>
          </w:p>
        </w:tc>
        <w:tc>
          <w:tcPr>
            <w:tcW w:w="1418" w:type="dxa"/>
            <w:tcBorders>
              <w:top w:val="nil"/>
            </w:tcBorders>
            <w:vAlign w:val="center"/>
          </w:tcPr>
          <w:p w:rsidR="001048C8" w:rsidRPr="00261A05" w:rsidRDefault="001048C8" w:rsidP="00DA49F3">
            <w:pPr>
              <w:ind w:right="42"/>
              <w:jc w:val="center"/>
            </w:pPr>
            <w:r>
              <w:t>-3.0</w:t>
            </w:r>
          </w:p>
        </w:tc>
        <w:tc>
          <w:tcPr>
            <w:tcW w:w="1417" w:type="dxa"/>
            <w:tcBorders>
              <w:top w:val="nil"/>
            </w:tcBorders>
            <w:vAlign w:val="center"/>
          </w:tcPr>
          <w:p w:rsidR="001048C8" w:rsidRPr="00261A05" w:rsidRDefault="001048C8" w:rsidP="00DA49F3">
            <w:pPr>
              <w:ind w:right="42"/>
              <w:jc w:val="center"/>
            </w:pPr>
            <w:r>
              <w:t>-5.7</w:t>
            </w:r>
          </w:p>
        </w:tc>
        <w:tc>
          <w:tcPr>
            <w:tcW w:w="1276" w:type="dxa"/>
            <w:tcBorders>
              <w:top w:val="nil"/>
            </w:tcBorders>
            <w:vAlign w:val="center"/>
          </w:tcPr>
          <w:p w:rsidR="001048C8" w:rsidRPr="00261A05" w:rsidRDefault="001048C8" w:rsidP="00DA49F3">
            <w:pPr>
              <w:ind w:right="42"/>
              <w:jc w:val="center"/>
            </w:pPr>
            <w:r>
              <w:t>-8.7</w:t>
            </w:r>
          </w:p>
        </w:tc>
        <w:tc>
          <w:tcPr>
            <w:tcW w:w="1361" w:type="dxa"/>
            <w:tcBorders>
              <w:top w:val="nil"/>
              <w:right w:val="double" w:sz="4" w:space="0" w:color="auto"/>
            </w:tcBorders>
            <w:vAlign w:val="center"/>
          </w:tcPr>
          <w:p w:rsidR="001048C8" w:rsidRPr="00261A05" w:rsidRDefault="001048C8" w:rsidP="00DA49F3">
            <w:pPr>
              <w:ind w:right="42"/>
              <w:jc w:val="center"/>
            </w:pPr>
            <w:r>
              <w:t>-4.2</w:t>
            </w:r>
          </w:p>
        </w:tc>
        <w:tc>
          <w:tcPr>
            <w:tcW w:w="1035" w:type="dxa"/>
            <w:tcBorders>
              <w:top w:val="nil"/>
              <w:left w:val="double" w:sz="4" w:space="0" w:color="auto"/>
            </w:tcBorders>
            <w:vAlign w:val="center"/>
          </w:tcPr>
          <w:p w:rsidR="001048C8" w:rsidRPr="00261A05" w:rsidRDefault="001048C8" w:rsidP="00DA49F3">
            <w:pPr>
              <w:ind w:right="42"/>
              <w:jc w:val="center"/>
            </w:pPr>
            <w:r>
              <w:t>-0.6</w:t>
            </w:r>
          </w:p>
        </w:tc>
        <w:tc>
          <w:tcPr>
            <w:tcW w:w="1035" w:type="dxa"/>
            <w:tcBorders>
              <w:top w:val="nil"/>
            </w:tcBorders>
            <w:vAlign w:val="center"/>
          </w:tcPr>
          <w:p w:rsidR="001048C8" w:rsidRPr="00261A05" w:rsidRDefault="001048C8" w:rsidP="00DA49F3">
            <w:pPr>
              <w:ind w:right="42"/>
              <w:jc w:val="center"/>
            </w:pPr>
            <w:r>
              <w:t>-14.9</w:t>
            </w:r>
          </w:p>
        </w:tc>
      </w:tr>
      <w:tr w:rsidR="001048C8" w:rsidRPr="0053729E" w:rsidTr="001048C8">
        <w:trPr>
          <w:trHeight w:val="370"/>
        </w:trPr>
        <w:tc>
          <w:tcPr>
            <w:tcW w:w="2718" w:type="dxa"/>
            <w:tcBorders>
              <w:bottom w:val="nil"/>
            </w:tcBorders>
            <w:vAlign w:val="bottom"/>
          </w:tcPr>
          <w:p w:rsidR="001048C8" w:rsidRPr="0053729E" w:rsidRDefault="001048C8" w:rsidP="00E00B71">
            <w:pPr>
              <w:spacing w:line="288" w:lineRule="auto"/>
              <w:ind w:right="77"/>
              <w:rPr>
                <w:b/>
                <w:sz w:val="20"/>
                <w:szCs w:val="20"/>
              </w:rPr>
            </w:pPr>
            <w:r w:rsidRPr="0053729E">
              <w:rPr>
                <w:b/>
                <w:sz w:val="20"/>
                <w:szCs w:val="20"/>
              </w:rPr>
              <w:t>Other</w:t>
            </w:r>
          </w:p>
        </w:tc>
        <w:tc>
          <w:tcPr>
            <w:tcW w:w="1418" w:type="dxa"/>
            <w:tcBorders>
              <w:bottom w:val="nil"/>
            </w:tcBorders>
            <w:vAlign w:val="center"/>
          </w:tcPr>
          <w:p w:rsidR="001048C8" w:rsidRPr="00261A05" w:rsidRDefault="001048C8" w:rsidP="00DA49F3">
            <w:pPr>
              <w:ind w:right="42"/>
              <w:jc w:val="center"/>
            </w:pPr>
          </w:p>
        </w:tc>
        <w:tc>
          <w:tcPr>
            <w:tcW w:w="1417" w:type="dxa"/>
            <w:tcBorders>
              <w:bottom w:val="nil"/>
            </w:tcBorders>
            <w:vAlign w:val="center"/>
          </w:tcPr>
          <w:p w:rsidR="001048C8" w:rsidRPr="00261A05" w:rsidRDefault="001048C8" w:rsidP="00DA49F3">
            <w:pPr>
              <w:ind w:right="42"/>
              <w:jc w:val="center"/>
            </w:pPr>
          </w:p>
        </w:tc>
        <w:tc>
          <w:tcPr>
            <w:tcW w:w="1276" w:type="dxa"/>
            <w:tcBorders>
              <w:bottom w:val="nil"/>
            </w:tcBorders>
            <w:vAlign w:val="center"/>
          </w:tcPr>
          <w:p w:rsidR="001048C8" w:rsidRPr="00261A05" w:rsidRDefault="001048C8" w:rsidP="00DA49F3">
            <w:pPr>
              <w:ind w:right="42"/>
              <w:jc w:val="center"/>
            </w:pPr>
          </w:p>
        </w:tc>
        <w:tc>
          <w:tcPr>
            <w:tcW w:w="1361" w:type="dxa"/>
            <w:tcBorders>
              <w:bottom w:val="nil"/>
              <w:right w:val="double" w:sz="4" w:space="0" w:color="auto"/>
            </w:tcBorders>
            <w:vAlign w:val="center"/>
          </w:tcPr>
          <w:p w:rsidR="001048C8" w:rsidRPr="00261A05" w:rsidRDefault="001048C8" w:rsidP="00DA49F3">
            <w:pPr>
              <w:ind w:right="42"/>
              <w:jc w:val="center"/>
            </w:pPr>
          </w:p>
        </w:tc>
        <w:tc>
          <w:tcPr>
            <w:tcW w:w="1035" w:type="dxa"/>
            <w:tcBorders>
              <w:left w:val="double" w:sz="4" w:space="0" w:color="auto"/>
              <w:bottom w:val="nil"/>
            </w:tcBorders>
            <w:vAlign w:val="center"/>
          </w:tcPr>
          <w:p w:rsidR="001048C8" w:rsidRPr="00261A05" w:rsidRDefault="001048C8" w:rsidP="00DA49F3">
            <w:pPr>
              <w:ind w:right="42"/>
              <w:jc w:val="center"/>
            </w:pPr>
          </w:p>
        </w:tc>
        <w:tc>
          <w:tcPr>
            <w:tcW w:w="1035" w:type="dxa"/>
            <w:tcBorders>
              <w:bottom w:val="nil"/>
            </w:tcBorders>
            <w:vAlign w:val="center"/>
          </w:tcPr>
          <w:p w:rsidR="001048C8" w:rsidRPr="00261A05" w:rsidRDefault="001048C8" w:rsidP="00DA49F3">
            <w:pPr>
              <w:ind w:right="42"/>
              <w:jc w:val="center"/>
            </w:pPr>
          </w:p>
        </w:tc>
      </w:tr>
      <w:tr w:rsidR="001048C8" w:rsidRPr="0053729E" w:rsidTr="001048C8">
        <w:trPr>
          <w:trHeight w:val="370"/>
        </w:trPr>
        <w:tc>
          <w:tcPr>
            <w:tcW w:w="2718" w:type="dxa"/>
            <w:tcBorders>
              <w:top w:val="nil"/>
              <w:bottom w:val="nil"/>
            </w:tcBorders>
            <w:vAlign w:val="bottom"/>
          </w:tcPr>
          <w:p w:rsidR="001048C8" w:rsidRPr="0053729E" w:rsidRDefault="001048C8" w:rsidP="00E00B71">
            <w:pPr>
              <w:spacing w:line="288" w:lineRule="auto"/>
              <w:ind w:right="77"/>
              <w:rPr>
                <w:sz w:val="20"/>
                <w:szCs w:val="20"/>
              </w:rPr>
            </w:pPr>
            <w:r w:rsidRPr="0053729E">
              <w:rPr>
                <w:sz w:val="20"/>
                <w:szCs w:val="20"/>
              </w:rPr>
              <w:t>Special consumption tax* (SCT)</w:t>
            </w:r>
          </w:p>
        </w:tc>
        <w:tc>
          <w:tcPr>
            <w:tcW w:w="1418" w:type="dxa"/>
            <w:tcBorders>
              <w:top w:val="nil"/>
              <w:bottom w:val="nil"/>
            </w:tcBorders>
            <w:vAlign w:val="center"/>
          </w:tcPr>
          <w:p w:rsidR="001048C8" w:rsidRPr="00261A05" w:rsidRDefault="001048C8" w:rsidP="00DA49F3">
            <w:pPr>
              <w:ind w:right="42"/>
              <w:jc w:val="center"/>
            </w:pPr>
            <w:r>
              <w:t>0.4</w:t>
            </w:r>
          </w:p>
        </w:tc>
        <w:tc>
          <w:tcPr>
            <w:tcW w:w="1417" w:type="dxa"/>
            <w:tcBorders>
              <w:top w:val="nil"/>
              <w:bottom w:val="nil"/>
            </w:tcBorders>
            <w:vAlign w:val="center"/>
          </w:tcPr>
          <w:p w:rsidR="001048C8" w:rsidRPr="00261A05" w:rsidRDefault="001048C8" w:rsidP="00DA49F3">
            <w:pPr>
              <w:ind w:right="42"/>
              <w:jc w:val="center"/>
            </w:pPr>
            <w:r>
              <w:t>1.3</w:t>
            </w:r>
          </w:p>
        </w:tc>
        <w:tc>
          <w:tcPr>
            <w:tcW w:w="1276" w:type="dxa"/>
            <w:tcBorders>
              <w:top w:val="nil"/>
              <w:bottom w:val="nil"/>
            </w:tcBorders>
            <w:vAlign w:val="center"/>
          </w:tcPr>
          <w:p w:rsidR="001048C8" w:rsidRPr="00261A05" w:rsidRDefault="001048C8" w:rsidP="00DA49F3">
            <w:pPr>
              <w:ind w:right="42"/>
              <w:jc w:val="center"/>
            </w:pPr>
            <w:r>
              <w:t>-0.4</w:t>
            </w:r>
          </w:p>
        </w:tc>
        <w:tc>
          <w:tcPr>
            <w:tcW w:w="1361" w:type="dxa"/>
            <w:tcBorders>
              <w:top w:val="nil"/>
              <w:bottom w:val="nil"/>
              <w:right w:val="double" w:sz="4" w:space="0" w:color="auto"/>
            </w:tcBorders>
            <w:vAlign w:val="center"/>
          </w:tcPr>
          <w:p w:rsidR="001048C8" w:rsidRPr="00261A05" w:rsidRDefault="001048C8" w:rsidP="00DA49F3">
            <w:pPr>
              <w:ind w:right="42"/>
              <w:jc w:val="center"/>
            </w:pPr>
            <w:r>
              <w:t>**</w:t>
            </w:r>
          </w:p>
        </w:tc>
        <w:tc>
          <w:tcPr>
            <w:tcW w:w="1035" w:type="dxa"/>
            <w:tcBorders>
              <w:top w:val="nil"/>
              <w:left w:val="double" w:sz="4" w:space="0" w:color="auto"/>
              <w:bottom w:val="nil"/>
            </w:tcBorders>
            <w:vAlign w:val="center"/>
          </w:tcPr>
          <w:p w:rsidR="001048C8" w:rsidRPr="00261A05" w:rsidRDefault="001048C8" w:rsidP="00DA49F3">
            <w:pPr>
              <w:ind w:right="42"/>
              <w:jc w:val="center"/>
            </w:pPr>
            <w:r>
              <w:t>-2.1</w:t>
            </w:r>
          </w:p>
        </w:tc>
        <w:tc>
          <w:tcPr>
            <w:tcW w:w="1035" w:type="dxa"/>
            <w:tcBorders>
              <w:top w:val="nil"/>
              <w:bottom w:val="nil"/>
            </w:tcBorders>
            <w:vAlign w:val="center"/>
          </w:tcPr>
          <w:p w:rsidR="001048C8" w:rsidRPr="00261A05" w:rsidRDefault="001048C8" w:rsidP="00DA49F3">
            <w:pPr>
              <w:ind w:right="42"/>
              <w:jc w:val="center"/>
            </w:pPr>
            <w:r>
              <w:t>0.6</w:t>
            </w:r>
          </w:p>
        </w:tc>
      </w:tr>
      <w:tr w:rsidR="001048C8" w:rsidRPr="0053729E" w:rsidTr="001048C8">
        <w:trPr>
          <w:trHeight w:val="370"/>
        </w:trPr>
        <w:tc>
          <w:tcPr>
            <w:tcW w:w="2718" w:type="dxa"/>
            <w:tcBorders>
              <w:top w:val="nil"/>
              <w:bottom w:val="nil"/>
            </w:tcBorders>
            <w:vAlign w:val="bottom"/>
          </w:tcPr>
          <w:p w:rsidR="001048C8" w:rsidRPr="0053729E" w:rsidRDefault="001048C8" w:rsidP="00E00B71">
            <w:pPr>
              <w:spacing w:line="288" w:lineRule="auto"/>
              <w:ind w:right="77"/>
              <w:rPr>
                <w:sz w:val="20"/>
                <w:szCs w:val="20"/>
              </w:rPr>
            </w:pPr>
            <w:r w:rsidRPr="0053729E">
              <w:rPr>
                <w:sz w:val="20"/>
                <w:szCs w:val="20"/>
              </w:rPr>
              <w:t>Passenger Cars</w:t>
            </w:r>
          </w:p>
        </w:tc>
        <w:tc>
          <w:tcPr>
            <w:tcW w:w="1418" w:type="dxa"/>
            <w:tcBorders>
              <w:top w:val="nil"/>
              <w:bottom w:val="nil"/>
            </w:tcBorders>
            <w:vAlign w:val="center"/>
          </w:tcPr>
          <w:p w:rsidR="001048C8" w:rsidRPr="00261A05" w:rsidRDefault="001048C8" w:rsidP="00DA49F3">
            <w:pPr>
              <w:ind w:right="42"/>
              <w:jc w:val="center"/>
            </w:pPr>
            <w:r>
              <w:t>2.6</w:t>
            </w:r>
          </w:p>
        </w:tc>
        <w:tc>
          <w:tcPr>
            <w:tcW w:w="1417" w:type="dxa"/>
            <w:tcBorders>
              <w:top w:val="nil"/>
              <w:bottom w:val="nil"/>
            </w:tcBorders>
            <w:vAlign w:val="center"/>
          </w:tcPr>
          <w:p w:rsidR="001048C8" w:rsidRPr="00261A05" w:rsidRDefault="001048C8" w:rsidP="00DA49F3">
            <w:pPr>
              <w:ind w:right="42"/>
              <w:jc w:val="center"/>
            </w:pPr>
            <w:r>
              <w:t>-8.5</w:t>
            </w:r>
          </w:p>
        </w:tc>
        <w:tc>
          <w:tcPr>
            <w:tcW w:w="1276" w:type="dxa"/>
            <w:tcBorders>
              <w:top w:val="nil"/>
              <w:bottom w:val="nil"/>
            </w:tcBorders>
            <w:vAlign w:val="center"/>
          </w:tcPr>
          <w:p w:rsidR="001048C8" w:rsidRPr="00261A05" w:rsidRDefault="001048C8" w:rsidP="00DA49F3">
            <w:pPr>
              <w:ind w:right="42"/>
              <w:jc w:val="center"/>
            </w:pPr>
            <w:r>
              <w:t>14.3</w:t>
            </w:r>
          </w:p>
        </w:tc>
        <w:tc>
          <w:tcPr>
            <w:tcW w:w="1361" w:type="dxa"/>
            <w:tcBorders>
              <w:top w:val="nil"/>
              <w:bottom w:val="nil"/>
              <w:right w:val="double" w:sz="4" w:space="0" w:color="auto"/>
            </w:tcBorders>
            <w:vAlign w:val="center"/>
          </w:tcPr>
          <w:p w:rsidR="001048C8" w:rsidRPr="00261A05" w:rsidRDefault="001048C8" w:rsidP="00DA49F3">
            <w:pPr>
              <w:ind w:right="42"/>
              <w:jc w:val="center"/>
            </w:pPr>
            <w:r>
              <w:t>-9.5</w:t>
            </w:r>
          </w:p>
        </w:tc>
        <w:tc>
          <w:tcPr>
            <w:tcW w:w="1035" w:type="dxa"/>
            <w:tcBorders>
              <w:top w:val="nil"/>
              <w:left w:val="double" w:sz="4" w:space="0" w:color="auto"/>
              <w:bottom w:val="nil"/>
            </w:tcBorders>
            <w:vAlign w:val="center"/>
          </w:tcPr>
          <w:p w:rsidR="001048C8" w:rsidRPr="00261A05" w:rsidRDefault="001048C8" w:rsidP="00DA49F3">
            <w:pPr>
              <w:ind w:right="42"/>
              <w:jc w:val="center"/>
            </w:pPr>
            <w:r>
              <w:t>-5.4</w:t>
            </w:r>
          </w:p>
        </w:tc>
        <w:tc>
          <w:tcPr>
            <w:tcW w:w="1035" w:type="dxa"/>
            <w:tcBorders>
              <w:top w:val="nil"/>
              <w:bottom w:val="nil"/>
            </w:tcBorders>
            <w:vAlign w:val="center"/>
          </w:tcPr>
          <w:p w:rsidR="001048C8" w:rsidRPr="00261A05" w:rsidRDefault="001048C8" w:rsidP="00DA49F3">
            <w:pPr>
              <w:ind w:right="42"/>
              <w:jc w:val="center"/>
            </w:pPr>
            <w:r>
              <w:t>3.5</w:t>
            </w:r>
          </w:p>
        </w:tc>
      </w:tr>
      <w:tr w:rsidR="001048C8" w:rsidRPr="0053729E" w:rsidTr="001048C8">
        <w:trPr>
          <w:trHeight w:val="370"/>
        </w:trPr>
        <w:tc>
          <w:tcPr>
            <w:tcW w:w="2718" w:type="dxa"/>
            <w:tcBorders>
              <w:top w:val="nil"/>
            </w:tcBorders>
            <w:vAlign w:val="bottom"/>
          </w:tcPr>
          <w:p w:rsidR="001048C8" w:rsidRPr="0053729E" w:rsidRDefault="001048C8" w:rsidP="00E00B71">
            <w:pPr>
              <w:spacing w:line="288" w:lineRule="auto"/>
              <w:ind w:right="77"/>
              <w:rPr>
                <w:sz w:val="20"/>
                <w:szCs w:val="20"/>
              </w:rPr>
            </w:pPr>
            <w:r w:rsidRPr="0053729E">
              <w:rPr>
                <w:sz w:val="20"/>
                <w:szCs w:val="20"/>
              </w:rPr>
              <w:t>Commercial Vehicles</w:t>
            </w:r>
          </w:p>
        </w:tc>
        <w:tc>
          <w:tcPr>
            <w:tcW w:w="1418" w:type="dxa"/>
            <w:tcBorders>
              <w:top w:val="nil"/>
            </w:tcBorders>
            <w:vAlign w:val="center"/>
          </w:tcPr>
          <w:p w:rsidR="001048C8" w:rsidRPr="00261A05" w:rsidRDefault="001048C8" w:rsidP="00DA49F3">
            <w:pPr>
              <w:ind w:right="42"/>
              <w:jc w:val="center"/>
            </w:pPr>
            <w:r>
              <w:t>2.1</w:t>
            </w:r>
          </w:p>
        </w:tc>
        <w:tc>
          <w:tcPr>
            <w:tcW w:w="1417" w:type="dxa"/>
            <w:tcBorders>
              <w:top w:val="nil"/>
            </w:tcBorders>
            <w:vAlign w:val="center"/>
          </w:tcPr>
          <w:p w:rsidR="001048C8" w:rsidRPr="00261A05" w:rsidRDefault="001048C8" w:rsidP="00DA49F3">
            <w:pPr>
              <w:ind w:right="42"/>
              <w:jc w:val="center"/>
            </w:pPr>
            <w:r>
              <w:t>-20.4</w:t>
            </w:r>
          </w:p>
        </w:tc>
        <w:tc>
          <w:tcPr>
            <w:tcW w:w="1276" w:type="dxa"/>
            <w:tcBorders>
              <w:top w:val="nil"/>
            </w:tcBorders>
            <w:vAlign w:val="center"/>
          </w:tcPr>
          <w:p w:rsidR="001048C8" w:rsidRPr="00261A05" w:rsidRDefault="001048C8" w:rsidP="00DA49F3">
            <w:pPr>
              <w:ind w:right="42"/>
              <w:jc w:val="center"/>
            </w:pPr>
            <w:r>
              <w:t>-7.3</w:t>
            </w:r>
          </w:p>
        </w:tc>
        <w:tc>
          <w:tcPr>
            <w:tcW w:w="1361" w:type="dxa"/>
            <w:tcBorders>
              <w:top w:val="nil"/>
              <w:right w:val="double" w:sz="4" w:space="0" w:color="auto"/>
            </w:tcBorders>
            <w:vAlign w:val="center"/>
          </w:tcPr>
          <w:p w:rsidR="001048C8" w:rsidRPr="00261A05" w:rsidRDefault="001048C8" w:rsidP="00DA49F3">
            <w:pPr>
              <w:ind w:right="42"/>
              <w:jc w:val="center"/>
            </w:pPr>
            <w:r>
              <w:t>14.9</w:t>
            </w:r>
          </w:p>
        </w:tc>
        <w:tc>
          <w:tcPr>
            <w:tcW w:w="1035" w:type="dxa"/>
            <w:tcBorders>
              <w:top w:val="nil"/>
              <w:left w:val="double" w:sz="4" w:space="0" w:color="auto"/>
            </w:tcBorders>
            <w:vAlign w:val="center"/>
          </w:tcPr>
          <w:p w:rsidR="001048C8" w:rsidRPr="00261A05" w:rsidRDefault="001048C8" w:rsidP="00DA49F3">
            <w:pPr>
              <w:ind w:right="42"/>
              <w:jc w:val="center"/>
            </w:pPr>
            <w:r>
              <w:t>-6.4</w:t>
            </w:r>
          </w:p>
        </w:tc>
        <w:tc>
          <w:tcPr>
            <w:tcW w:w="1035" w:type="dxa"/>
            <w:tcBorders>
              <w:top w:val="nil"/>
            </w:tcBorders>
            <w:vAlign w:val="center"/>
          </w:tcPr>
          <w:p w:rsidR="001048C8" w:rsidRPr="00261A05" w:rsidRDefault="001048C8" w:rsidP="00DA49F3">
            <w:pPr>
              <w:ind w:right="42"/>
              <w:jc w:val="center"/>
            </w:pPr>
            <w:r>
              <w:t>-14.3</w:t>
            </w:r>
          </w:p>
        </w:tc>
      </w:tr>
    </w:tbl>
    <w:p w:rsidR="008C6E50" w:rsidRPr="0053729E" w:rsidRDefault="00E823E8" w:rsidP="008D71E7">
      <w:pPr>
        <w:spacing w:line="276" w:lineRule="auto"/>
        <w:ind w:left="-540" w:right="42"/>
        <w:jc w:val="both"/>
        <w:rPr>
          <w:sz w:val="16"/>
          <w:szCs w:val="16"/>
        </w:rPr>
      </w:pPr>
      <w:r w:rsidRPr="0053729E">
        <w:rPr>
          <w:sz w:val="16"/>
          <w:szCs w:val="16"/>
        </w:rPr>
        <w:t xml:space="preserve">Source: </w:t>
      </w:r>
      <w:proofErr w:type="spellStart"/>
      <w:r w:rsidRPr="0053729E">
        <w:rPr>
          <w:sz w:val="16"/>
          <w:szCs w:val="16"/>
        </w:rPr>
        <w:t>TurkStat</w:t>
      </w:r>
      <w:proofErr w:type="spellEnd"/>
      <w:r w:rsidR="00AD6CE3">
        <w:rPr>
          <w:sz w:val="16"/>
          <w:szCs w:val="16"/>
        </w:rPr>
        <w:t xml:space="preserve">, </w:t>
      </w:r>
      <w:r w:rsidR="00E03485" w:rsidRPr="0053729E">
        <w:rPr>
          <w:sz w:val="16"/>
          <w:szCs w:val="16"/>
        </w:rPr>
        <w:t>CBRT</w:t>
      </w:r>
      <w:r w:rsidR="00AD6CE3">
        <w:rPr>
          <w:sz w:val="16"/>
          <w:szCs w:val="16"/>
        </w:rPr>
        <w:t xml:space="preserve">, </w:t>
      </w:r>
      <w:r w:rsidRPr="0053729E">
        <w:rPr>
          <w:sz w:val="16"/>
          <w:szCs w:val="16"/>
        </w:rPr>
        <w:t>Treasury</w:t>
      </w:r>
      <w:r w:rsidR="00AD6CE3">
        <w:rPr>
          <w:sz w:val="16"/>
          <w:szCs w:val="16"/>
        </w:rPr>
        <w:t xml:space="preserve">, </w:t>
      </w:r>
      <w:r w:rsidR="00E03485" w:rsidRPr="0053729E">
        <w:rPr>
          <w:sz w:val="16"/>
          <w:szCs w:val="16"/>
        </w:rPr>
        <w:t>ISE</w:t>
      </w:r>
      <w:r w:rsidR="00AD6CE3">
        <w:rPr>
          <w:sz w:val="16"/>
          <w:szCs w:val="16"/>
        </w:rPr>
        <w:t xml:space="preserve">, </w:t>
      </w:r>
      <w:r w:rsidRPr="0053729E">
        <w:rPr>
          <w:sz w:val="16"/>
          <w:szCs w:val="16"/>
        </w:rPr>
        <w:t>Betam. All series are real (or inflation adjusted) wherever necessary and seasonally adjusted.</w:t>
      </w:r>
    </w:p>
    <w:p w:rsidR="00E823E8" w:rsidRPr="0053729E" w:rsidRDefault="00E823E8" w:rsidP="008D71E7">
      <w:pPr>
        <w:spacing w:line="276" w:lineRule="auto"/>
        <w:ind w:left="-540" w:right="42"/>
        <w:jc w:val="both"/>
        <w:rPr>
          <w:sz w:val="16"/>
          <w:szCs w:val="16"/>
        </w:rPr>
      </w:pPr>
      <w:r w:rsidRPr="0053729E">
        <w:rPr>
          <w:sz w:val="16"/>
          <w:szCs w:val="16"/>
        </w:rPr>
        <w:t>*This tax is collected on sales of goods such as gas</w:t>
      </w:r>
      <w:r w:rsidR="00B94CDE">
        <w:rPr>
          <w:sz w:val="16"/>
          <w:szCs w:val="16"/>
        </w:rPr>
        <w:t>.</w:t>
      </w:r>
      <w:r w:rsidR="008D71E7" w:rsidRPr="0053729E">
        <w:rPr>
          <w:sz w:val="16"/>
          <w:szCs w:val="16"/>
        </w:rPr>
        <w:t xml:space="preserve"> </w:t>
      </w:r>
      <w:proofErr w:type="gramStart"/>
      <w:r w:rsidRPr="0053729E">
        <w:rPr>
          <w:sz w:val="16"/>
          <w:szCs w:val="16"/>
        </w:rPr>
        <w:t>fuel</w:t>
      </w:r>
      <w:proofErr w:type="gramEnd"/>
      <w:r w:rsidRPr="0053729E">
        <w:rPr>
          <w:sz w:val="16"/>
          <w:szCs w:val="16"/>
        </w:rPr>
        <w:t xml:space="preserve"> oils</w:t>
      </w:r>
      <w:r w:rsidR="00B94CDE">
        <w:rPr>
          <w:sz w:val="16"/>
          <w:szCs w:val="16"/>
        </w:rPr>
        <w:t>.</w:t>
      </w:r>
      <w:r w:rsidR="008D71E7" w:rsidRPr="0053729E">
        <w:rPr>
          <w:sz w:val="16"/>
          <w:szCs w:val="16"/>
        </w:rPr>
        <w:t xml:space="preserve"> </w:t>
      </w:r>
      <w:proofErr w:type="gramStart"/>
      <w:r w:rsidRPr="0053729E">
        <w:rPr>
          <w:sz w:val="16"/>
          <w:szCs w:val="16"/>
        </w:rPr>
        <w:t>alcohol</w:t>
      </w:r>
      <w:proofErr w:type="gramEnd"/>
      <w:r w:rsidR="00B94CDE">
        <w:rPr>
          <w:sz w:val="16"/>
          <w:szCs w:val="16"/>
        </w:rPr>
        <w:t>.</w:t>
      </w:r>
      <w:r w:rsidR="008D71E7" w:rsidRPr="0053729E">
        <w:rPr>
          <w:sz w:val="16"/>
          <w:szCs w:val="16"/>
        </w:rPr>
        <w:t xml:space="preserve"> </w:t>
      </w:r>
      <w:proofErr w:type="gramStart"/>
      <w:r w:rsidRPr="0053729E">
        <w:rPr>
          <w:sz w:val="16"/>
          <w:szCs w:val="16"/>
        </w:rPr>
        <w:t>tobacco</w:t>
      </w:r>
      <w:proofErr w:type="gramEnd"/>
      <w:r w:rsidRPr="0053729E">
        <w:rPr>
          <w:sz w:val="16"/>
          <w:szCs w:val="16"/>
        </w:rPr>
        <w:t xml:space="preserve"> products and automobiles.</w:t>
      </w:r>
    </w:p>
    <w:p w:rsidR="00E823E8" w:rsidRPr="0053729E" w:rsidRDefault="00E823E8" w:rsidP="008D71E7">
      <w:pPr>
        <w:spacing w:line="276" w:lineRule="auto"/>
        <w:ind w:left="-540" w:right="42"/>
        <w:jc w:val="both"/>
        <w:rPr>
          <w:sz w:val="16"/>
          <w:szCs w:val="16"/>
        </w:rPr>
      </w:pPr>
      <w:r w:rsidRPr="0053729E">
        <w:rPr>
          <w:sz w:val="16"/>
          <w:szCs w:val="16"/>
        </w:rPr>
        <w:t>**Data not yet released</w:t>
      </w:r>
      <w:r w:rsidR="00544439" w:rsidRPr="0053729E">
        <w:rPr>
          <w:sz w:val="16"/>
          <w:szCs w:val="16"/>
        </w:rPr>
        <w:t>.</w:t>
      </w:r>
    </w:p>
    <w:p w:rsidR="00544439" w:rsidRPr="0053729E" w:rsidRDefault="00544439" w:rsidP="008D71E7">
      <w:pPr>
        <w:spacing w:line="276" w:lineRule="auto"/>
        <w:ind w:left="-540" w:right="42"/>
        <w:jc w:val="both"/>
        <w:rPr>
          <w:sz w:val="16"/>
          <w:szCs w:val="16"/>
        </w:rPr>
      </w:pPr>
      <w:r w:rsidRPr="0053729E">
        <w:rPr>
          <w:sz w:val="16"/>
          <w:szCs w:val="16"/>
        </w:rPr>
        <w:t>***</w:t>
      </w:r>
      <w:proofErr w:type="spellStart"/>
      <w:r w:rsidRPr="0053729E">
        <w:rPr>
          <w:sz w:val="16"/>
          <w:szCs w:val="16"/>
        </w:rPr>
        <w:t>Betam’s</w:t>
      </w:r>
      <w:proofErr w:type="spellEnd"/>
      <w:r w:rsidRPr="0053729E">
        <w:rPr>
          <w:sz w:val="16"/>
          <w:szCs w:val="16"/>
        </w:rPr>
        <w:t xml:space="preserve"> calculations: Nominal exports (imports) minus non-monetary gold</w:t>
      </w:r>
      <w:r w:rsidR="00B94CDE">
        <w:rPr>
          <w:sz w:val="16"/>
          <w:szCs w:val="16"/>
        </w:rPr>
        <w:t>.</w:t>
      </w:r>
      <w:r w:rsidRPr="0053729E">
        <w:rPr>
          <w:sz w:val="16"/>
          <w:szCs w:val="16"/>
        </w:rPr>
        <w:t xml:space="preserve"> </w:t>
      </w:r>
      <w:proofErr w:type="gramStart"/>
      <w:r w:rsidRPr="0053729E">
        <w:rPr>
          <w:sz w:val="16"/>
          <w:szCs w:val="16"/>
        </w:rPr>
        <w:t>deflated</w:t>
      </w:r>
      <w:proofErr w:type="gramEnd"/>
      <w:r w:rsidRPr="0053729E">
        <w:rPr>
          <w:sz w:val="16"/>
          <w:szCs w:val="16"/>
        </w:rPr>
        <w:t xml:space="preserve"> </w:t>
      </w:r>
      <w:r w:rsidR="008D71E7" w:rsidRPr="0053729E">
        <w:rPr>
          <w:sz w:val="16"/>
          <w:szCs w:val="16"/>
        </w:rPr>
        <w:t>using</w:t>
      </w:r>
      <w:r w:rsidRPr="0053729E">
        <w:rPr>
          <w:sz w:val="16"/>
          <w:szCs w:val="16"/>
        </w:rPr>
        <w:t xml:space="preserve"> the export (import) unit value index.</w:t>
      </w:r>
    </w:p>
    <w:p w:rsidR="00E03485" w:rsidRPr="0053729E" w:rsidRDefault="00E03485" w:rsidP="00150B84">
      <w:pPr>
        <w:ind w:right="42"/>
        <w:jc w:val="both"/>
        <w:rPr>
          <w:rFonts w:ascii="Arial" w:hAnsi="Arial" w:cs="Arial"/>
          <w:b/>
          <w:sz w:val="20"/>
          <w:szCs w:val="20"/>
        </w:rPr>
        <w:sectPr w:rsidR="00E03485" w:rsidRPr="0053729E" w:rsidSect="001E7720">
          <w:type w:val="continuous"/>
          <w:pgSz w:w="11906" w:h="16838"/>
          <w:pgMar w:top="1417" w:right="1417" w:bottom="1417" w:left="1417" w:header="708" w:footer="708" w:gutter="0"/>
          <w:cols w:space="708"/>
          <w:docGrid w:linePitch="360"/>
        </w:sectPr>
      </w:pPr>
    </w:p>
    <w:p w:rsidR="00706AE1" w:rsidRPr="0053729E" w:rsidRDefault="00706AE1" w:rsidP="000B3D82">
      <w:pPr>
        <w:ind w:right="42"/>
        <w:jc w:val="both"/>
        <w:rPr>
          <w:rFonts w:ascii="Arial" w:hAnsi="Arial" w:cs="Arial"/>
          <w:b/>
          <w:sz w:val="20"/>
          <w:szCs w:val="20"/>
        </w:rPr>
      </w:pPr>
    </w:p>
    <w:p w:rsidR="00167CA4" w:rsidRDefault="00167CA4" w:rsidP="006B60DC">
      <w:pPr>
        <w:ind w:left="-360" w:right="42"/>
        <w:jc w:val="both"/>
        <w:rPr>
          <w:b/>
          <w:sz w:val="20"/>
          <w:szCs w:val="20"/>
        </w:rPr>
      </w:pPr>
    </w:p>
    <w:p w:rsidR="00167CA4" w:rsidRDefault="00167CA4" w:rsidP="006B60DC">
      <w:pPr>
        <w:ind w:left="-360" w:right="42"/>
        <w:jc w:val="both"/>
        <w:rPr>
          <w:b/>
          <w:sz w:val="20"/>
          <w:szCs w:val="20"/>
        </w:rPr>
      </w:pPr>
    </w:p>
    <w:p w:rsidR="00167CA4" w:rsidRDefault="00167CA4" w:rsidP="006B60DC">
      <w:pPr>
        <w:ind w:left="-360" w:right="42"/>
        <w:jc w:val="both"/>
        <w:rPr>
          <w:b/>
          <w:sz w:val="20"/>
          <w:szCs w:val="20"/>
        </w:rPr>
      </w:pPr>
    </w:p>
    <w:p w:rsidR="00167CA4" w:rsidRDefault="00167CA4" w:rsidP="006B60DC">
      <w:pPr>
        <w:ind w:left="-360" w:right="42"/>
        <w:jc w:val="both"/>
        <w:rPr>
          <w:b/>
          <w:sz w:val="20"/>
          <w:szCs w:val="20"/>
        </w:rPr>
      </w:pPr>
    </w:p>
    <w:p w:rsidR="00167CA4" w:rsidRDefault="00167CA4" w:rsidP="006B60DC">
      <w:pPr>
        <w:ind w:left="-360" w:right="42"/>
        <w:jc w:val="both"/>
        <w:rPr>
          <w:b/>
          <w:sz w:val="20"/>
          <w:szCs w:val="20"/>
        </w:rPr>
      </w:pPr>
    </w:p>
    <w:p w:rsidR="00695E7E" w:rsidRDefault="00695E7E" w:rsidP="006B60DC">
      <w:pPr>
        <w:ind w:left="-360" w:right="42"/>
        <w:jc w:val="both"/>
        <w:rPr>
          <w:b/>
          <w:sz w:val="20"/>
          <w:szCs w:val="20"/>
        </w:rPr>
      </w:pPr>
    </w:p>
    <w:p w:rsidR="002F72AA" w:rsidRDefault="002F72AA" w:rsidP="006B60DC">
      <w:pPr>
        <w:ind w:left="-360" w:right="42"/>
        <w:jc w:val="both"/>
        <w:rPr>
          <w:b/>
          <w:sz w:val="20"/>
          <w:szCs w:val="20"/>
        </w:rPr>
      </w:pPr>
    </w:p>
    <w:p w:rsidR="00695E7E" w:rsidRDefault="00695E7E" w:rsidP="006B60DC">
      <w:pPr>
        <w:ind w:left="-360" w:right="42"/>
        <w:jc w:val="both"/>
        <w:rPr>
          <w:b/>
          <w:sz w:val="20"/>
          <w:szCs w:val="20"/>
        </w:rPr>
      </w:pPr>
    </w:p>
    <w:p w:rsidR="00695E7E" w:rsidRDefault="00695E7E" w:rsidP="006B60DC">
      <w:pPr>
        <w:ind w:left="-360" w:right="42"/>
        <w:jc w:val="both"/>
        <w:rPr>
          <w:b/>
          <w:sz w:val="20"/>
          <w:szCs w:val="20"/>
        </w:rPr>
      </w:pPr>
    </w:p>
    <w:p w:rsidR="00695E7E" w:rsidRDefault="00695E7E" w:rsidP="006B60DC">
      <w:pPr>
        <w:ind w:left="-360" w:right="42"/>
        <w:jc w:val="both"/>
        <w:rPr>
          <w:b/>
          <w:sz w:val="20"/>
          <w:szCs w:val="20"/>
        </w:rPr>
      </w:pPr>
    </w:p>
    <w:p w:rsidR="00695E7E" w:rsidRDefault="00695E7E" w:rsidP="006B60DC">
      <w:pPr>
        <w:ind w:left="-360" w:right="42"/>
        <w:jc w:val="both"/>
        <w:rPr>
          <w:b/>
          <w:sz w:val="20"/>
          <w:szCs w:val="20"/>
        </w:rPr>
      </w:pPr>
    </w:p>
    <w:p w:rsidR="00695E7E" w:rsidRDefault="00695E7E" w:rsidP="006B60DC">
      <w:pPr>
        <w:ind w:left="-360" w:right="42"/>
        <w:jc w:val="both"/>
        <w:rPr>
          <w:b/>
          <w:sz w:val="20"/>
          <w:szCs w:val="20"/>
        </w:rPr>
      </w:pPr>
    </w:p>
    <w:p w:rsidR="00695E7E" w:rsidRDefault="00695E7E" w:rsidP="006B60DC">
      <w:pPr>
        <w:ind w:left="-360" w:right="42"/>
        <w:jc w:val="both"/>
        <w:rPr>
          <w:b/>
          <w:sz w:val="20"/>
          <w:szCs w:val="20"/>
        </w:rPr>
      </w:pPr>
    </w:p>
    <w:p w:rsidR="00695E7E" w:rsidRDefault="00695E7E" w:rsidP="006B60DC">
      <w:pPr>
        <w:ind w:left="-360" w:right="42"/>
        <w:jc w:val="both"/>
        <w:rPr>
          <w:b/>
          <w:sz w:val="20"/>
          <w:szCs w:val="20"/>
        </w:rPr>
      </w:pPr>
    </w:p>
    <w:p w:rsidR="00695E7E" w:rsidRDefault="00695E7E" w:rsidP="006B60DC">
      <w:pPr>
        <w:ind w:left="-360" w:right="42"/>
        <w:jc w:val="both"/>
        <w:rPr>
          <w:b/>
          <w:sz w:val="20"/>
          <w:szCs w:val="20"/>
        </w:rPr>
      </w:pPr>
    </w:p>
    <w:p w:rsidR="003A3575" w:rsidRPr="0053729E" w:rsidRDefault="00AC630B" w:rsidP="006B60DC">
      <w:pPr>
        <w:ind w:left="-360" w:right="42"/>
        <w:jc w:val="both"/>
        <w:rPr>
          <w:b/>
          <w:sz w:val="20"/>
          <w:szCs w:val="20"/>
        </w:rPr>
      </w:pPr>
      <w:r w:rsidRPr="0053729E">
        <w:rPr>
          <w:b/>
          <w:sz w:val="20"/>
          <w:szCs w:val="20"/>
        </w:rPr>
        <w:lastRenderedPageBreak/>
        <w:t>Figure</w:t>
      </w:r>
      <w:r w:rsidR="003A3575" w:rsidRPr="0053729E">
        <w:rPr>
          <w:b/>
          <w:sz w:val="20"/>
          <w:szCs w:val="20"/>
        </w:rPr>
        <w:t xml:space="preserve"> 1: </w:t>
      </w:r>
      <w:r w:rsidRPr="0053729E">
        <w:rPr>
          <w:b/>
          <w:sz w:val="20"/>
          <w:szCs w:val="20"/>
        </w:rPr>
        <w:t>Capacity utilization rate and industrial production index</w:t>
      </w:r>
      <w:r w:rsidR="003A3575" w:rsidRPr="0053729E">
        <w:rPr>
          <w:b/>
          <w:sz w:val="20"/>
          <w:szCs w:val="20"/>
        </w:rPr>
        <w:t xml:space="preserve"> (</w:t>
      </w:r>
      <w:proofErr w:type="spellStart"/>
      <w:proofErr w:type="gramStart"/>
      <w:r w:rsidRPr="0053729E">
        <w:rPr>
          <w:b/>
          <w:sz w:val="20"/>
          <w:szCs w:val="20"/>
        </w:rPr>
        <w:t>s</w:t>
      </w:r>
      <w:r w:rsidR="00F65107" w:rsidRPr="0053729E">
        <w:rPr>
          <w:b/>
          <w:sz w:val="20"/>
          <w:szCs w:val="20"/>
        </w:rPr>
        <w:t>a</w:t>
      </w:r>
      <w:proofErr w:type="spellEnd"/>
      <w:proofErr w:type="gramEnd"/>
      <w:r w:rsidR="00223638">
        <w:rPr>
          <w:b/>
          <w:sz w:val="20"/>
          <w:szCs w:val="20"/>
        </w:rPr>
        <w:t>,</w:t>
      </w:r>
      <w:r w:rsidRPr="0053729E">
        <w:rPr>
          <w:b/>
          <w:sz w:val="20"/>
          <w:szCs w:val="20"/>
        </w:rPr>
        <w:t xml:space="preserve"> left axis for CUR and right axis for IPI</w:t>
      </w:r>
      <w:r w:rsidR="003A3575" w:rsidRPr="0053729E">
        <w:rPr>
          <w:b/>
          <w:sz w:val="20"/>
          <w:szCs w:val="20"/>
        </w:rPr>
        <w:t>)</w:t>
      </w:r>
    </w:p>
    <w:p w:rsidR="003A3575" w:rsidRPr="0053729E" w:rsidRDefault="00D65F4C" w:rsidP="008944FC">
      <w:pPr>
        <w:ind w:left="-360" w:right="42"/>
        <w:jc w:val="both"/>
        <w:rPr>
          <w:szCs w:val="20"/>
        </w:rPr>
      </w:pPr>
      <w:r w:rsidRPr="00D65F4C">
        <w:rPr>
          <w:noProof/>
          <w:szCs w:val="20"/>
          <w:lang w:val="tr-TR"/>
        </w:rPr>
        <w:drawing>
          <wp:inline distT="0" distB="0" distL="0" distR="0">
            <wp:extent cx="2655570" cy="2226812"/>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655570" cy="2226812"/>
                    </a:xfrm>
                    <a:prstGeom prst="rect">
                      <a:avLst/>
                    </a:prstGeom>
                    <a:noFill/>
                    <a:ln w="9525">
                      <a:noFill/>
                      <a:miter lim="800000"/>
                      <a:headEnd/>
                      <a:tailEnd/>
                    </a:ln>
                  </pic:spPr>
                </pic:pic>
              </a:graphicData>
            </a:graphic>
          </wp:inline>
        </w:drawing>
      </w:r>
    </w:p>
    <w:p w:rsidR="00486239" w:rsidRPr="00F7696B" w:rsidRDefault="00AC630B" w:rsidP="008944FC">
      <w:pPr>
        <w:ind w:left="-360" w:right="42"/>
        <w:jc w:val="both"/>
        <w:rPr>
          <w:sz w:val="16"/>
          <w:szCs w:val="16"/>
        </w:rPr>
      </w:pPr>
      <w:r w:rsidRPr="0053729E">
        <w:rPr>
          <w:sz w:val="16"/>
          <w:szCs w:val="16"/>
        </w:rPr>
        <w:t>Source</w:t>
      </w:r>
      <w:r w:rsidR="003A3575" w:rsidRPr="0053729E">
        <w:rPr>
          <w:sz w:val="16"/>
          <w:szCs w:val="16"/>
        </w:rPr>
        <w:t>:</w:t>
      </w:r>
      <w:r w:rsidR="00B94CDE">
        <w:rPr>
          <w:sz w:val="16"/>
          <w:szCs w:val="16"/>
        </w:rPr>
        <w:t xml:space="preserve"> </w:t>
      </w:r>
      <w:proofErr w:type="spellStart"/>
      <w:r w:rsidRPr="0053729E">
        <w:rPr>
          <w:sz w:val="16"/>
          <w:szCs w:val="16"/>
        </w:rPr>
        <w:t>TurkStat</w:t>
      </w:r>
      <w:proofErr w:type="spellEnd"/>
      <w:r w:rsidR="00AD6CE3">
        <w:rPr>
          <w:sz w:val="16"/>
          <w:szCs w:val="16"/>
        </w:rPr>
        <w:t>,</w:t>
      </w:r>
      <w:r w:rsidR="00B94CDE">
        <w:rPr>
          <w:sz w:val="16"/>
          <w:szCs w:val="16"/>
        </w:rPr>
        <w:t xml:space="preserve"> </w:t>
      </w:r>
      <w:r w:rsidR="003A3575" w:rsidRPr="0053729E">
        <w:rPr>
          <w:sz w:val="16"/>
          <w:szCs w:val="16"/>
        </w:rPr>
        <w:t>Betam</w:t>
      </w:r>
      <w:r w:rsidR="00544439" w:rsidRPr="0053729E">
        <w:rPr>
          <w:sz w:val="16"/>
          <w:szCs w:val="16"/>
        </w:rPr>
        <w:t>.</w:t>
      </w:r>
    </w:p>
    <w:p w:rsidR="00F7696B" w:rsidRDefault="00F7696B" w:rsidP="008944FC">
      <w:pPr>
        <w:ind w:left="-360" w:right="42"/>
        <w:jc w:val="both"/>
        <w:rPr>
          <w:b/>
          <w:sz w:val="20"/>
          <w:szCs w:val="20"/>
        </w:rPr>
      </w:pPr>
    </w:p>
    <w:p w:rsidR="00F7696B" w:rsidRDefault="00F7696B" w:rsidP="008944FC">
      <w:pPr>
        <w:ind w:left="-360" w:right="42"/>
        <w:jc w:val="both"/>
        <w:rPr>
          <w:b/>
          <w:sz w:val="20"/>
          <w:szCs w:val="20"/>
        </w:rPr>
      </w:pPr>
    </w:p>
    <w:p w:rsidR="00F7696B" w:rsidRDefault="00F7696B" w:rsidP="008944FC">
      <w:pPr>
        <w:ind w:left="-360" w:right="42"/>
        <w:jc w:val="both"/>
        <w:rPr>
          <w:b/>
          <w:sz w:val="20"/>
          <w:szCs w:val="20"/>
        </w:rPr>
      </w:pPr>
    </w:p>
    <w:p w:rsidR="00F7696B" w:rsidRDefault="00F7696B" w:rsidP="008944FC">
      <w:pPr>
        <w:ind w:left="-360" w:right="42"/>
        <w:jc w:val="both"/>
        <w:rPr>
          <w:b/>
          <w:sz w:val="20"/>
          <w:szCs w:val="20"/>
        </w:rPr>
      </w:pPr>
    </w:p>
    <w:p w:rsidR="00C3029B" w:rsidRPr="0053729E" w:rsidRDefault="00AC630B" w:rsidP="008944FC">
      <w:pPr>
        <w:ind w:left="-360" w:right="42"/>
        <w:jc w:val="both"/>
        <w:rPr>
          <w:b/>
          <w:sz w:val="20"/>
          <w:szCs w:val="20"/>
        </w:rPr>
      </w:pPr>
      <w:r w:rsidRPr="0053729E">
        <w:rPr>
          <w:b/>
          <w:sz w:val="20"/>
          <w:szCs w:val="20"/>
        </w:rPr>
        <w:lastRenderedPageBreak/>
        <w:t>Figure</w:t>
      </w:r>
      <w:r w:rsidR="007067F4" w:rsidRPr="0053729E">
        <w:rPr>
          <w:b/>
          <w:sz w:val="20"/>
          <w:szCs w:val="20"/>
        </w:rPr>
        <w:t xml:space="preserve"> 2: </w:t>
      </w:r>
      <w:r w:rsidRPr="0053729E">
        <w:rPr>
          <w:b/>
          <w:sz w:val="20"/>
          <w:szCs w:val="20"/>
        </w:rPr>
        <w:t>Volume indices of exports and imports</w:t>
      </w:r>
      <w:r w:rsidR="007067F4" w:rsidRPr="0053729E">
        <w:rPr>
          <w:b/>
          <w:sz w:val="20"/>
          <w:szCs w:val="20"/>
        </w:rPr>
        <w:t xml:space="preserve"> (</w:t>
      </w:r>
      <w:proofErr w:type="spellStart"/>
      <w:proofErr w:type="gramStart"/>
      <w:r w:rsidRPr="0053729E">
        <w:rPr>
          <w:b/>
          <w:sz w:val="20"/>
          <w:szCs w:val="20"/>
        </w:rPr>
        <w:t>sa</w:t>
      </w:r>
      <w:proofErr w:type="spellEnd"/>
      <w:proofErr w:type="gramEnd"/>
      <w:r w:rsidR="007067F4" w:rsidRPr="0053729E">
        <w:rPr>
          <w:b/>
          <w:sz w:val="20"/>
          <w:szCs w:val="20"/>
        </w:rPr>
        <w:t>)</w:t>
      </w:r>
    </w:p>
    <w:p w:rsidR="007067F4" w:rsidRPr="00311464" w:rsidRDefault="00486239" w:rsidP="00311464">
      <w:pPr>
        <w:ind w:left="-360" w:right="42"/>
        <w:rPr>
          <w:sz w:val="16"/>
          <w:szCs w:val="16"/>
        </w:rPr>
        <w:sectPr w:rsidR="007067F4" w:rsidRPr="00311464" w:rsidSect="007067F4">
          <w:type w:val="continuous"/>
          <w:pgSz w:w="11906" w:h="16838"/>
          <w:pgMar w:top="1417" w:right="1417" w:bottom="1417" w:left="1417" w:header="708" w:footer="708" w:gutter="0"/>
          <w:cols w:num="2" w:space="708" w:equalWidth="0">
            <w:col w:w="4182" w:space="708"/>
            <w:col w:w="4182"/>
          </w:cols>
          <w:docGrid w:linePitch="360"/>
        </w:sectPr>
      </w:pPr>
      <w:r w:rsidRPr="0053729E">
        <w:rPr>
          <w:sz w:val="20"/>
          <w:szCs w:val="20"/>
        </w:rPr>
        <w:br/>
      </w:r>
      <w:r w:rsidR="00D4205B" w:rsidRPr="0053729E">
        <w:rPr>
          <w:sz w:val="16"/>
          <w:szCs w:val="16"/>
        </w:rPr>
        <w:br/>
      </w:r>
      <w:r w:rsidR="00D65F4C" w:rsidRPr="00D65F4C">
        <w:rPr>
          <w:noProof/>
          <w:szCs w:val="16"/>
          <w:lang w:val="tr-TR"/>
        </w:rPr>
        <w:drawing>
          <wp:inline distT="0" distB="0" distL="0" distR="0">
            <wp:extent cx="2655570" cy="2300693"/>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55570" cy="2300693"/>
                    </a:xfrm>
                    <a:prstGeom prst="rect">
                      <a:avLst/>
                    </a:prstGeom>
                    <a:noFill/>
                    <a:ln w="9525">
                      <a:noFill/>
                      <a:miter lim="800000"/>
                      <a:headEnd/>
                      <a:tailEnd/>
                    </a:ln>
                  </pic:spPr>
                </pic:pic>
              </a:graphicData>
            </a:graphic>
          </wp:inline>
        </w:drawing>
      </w:r>
      <w:r w:rsidR="00D4205B" w:rsidRPr="0053729E">
        <w:rPr>
          <w:sz w:val="16"/>
          <w:szCs w:val="16"/>
        </w:rPr>
        <w:br/>
        <w:t xml:space="preserve">Source: </w:t>
      </w:r>
      <w:proofErr w:type="spellStart"/>
      <w:r w:rsidR="00D4205B" w:rsidRPr="0053729E">
        <w:rPr>
          <w:sz w:val="16"/>
          <w:szCs w:val="16"/>
        </w:rPr>
        <w:t>Turkstat</w:t>
      </w:r>
      <w:proofErr w:type="spellEnd"/>
      <w:r w:rsidR="00AD6CE3">
        <w:rPr>
          <w:sz w:val="16"/>
          <w:szCs w:val="16"/>
        </w:rPr>
        <w:t>,</w:t>
      </w:r>
      <w:r w:rsidR="00311464">
        <w:rPr>
          <w:sz w:val="16"/>
          <w:szCs w:val="16"/>
        </w:rPr>
        <w:t xml:space="preserve"> Betam.</w:t>
      </w:r>
    </w:p>
    <w:p w:rsidR="006878EA" w:rsidRDefault="006878EA" w:rsidP="001E4BF5">
      <w:pPr>
        <w:spacing w:line="360" w:lineRule="auto"/>
        <w:ind w:left="-360" w:right="42"/>
        <w:jc w:val="both"/>
        <w:rPr>
          <w:b/>
          <w:sz w:val="20"/>
          <w:szCs w:val="20"/>
        </w:rPr>
      </w:pPr>
    </w:p>
    <w:p w:rsidR="00311464" w:rsidRDefault="00311464" w:rsidP="001E4BF5">
      <w:pPr>
        <w:spacing w:line="360" w:lineRule="auto"/>
        <w:ind w:left="-360" w:right="42"/>
        <w:jc w:val="both"/>
        <w:rPr>
          <w:b/>
          <w:sz w:val="20"/>
          <w:szCs w:val="20"/>
        </w:rPr>
        <w:sectPr w:rsidR="00311464" w:rsidSect="001E7720">
          <w:type w:val="continuous"/>
          <w:pgSz w:w="11906" w:h="16838"/>
          <w:pgMar w:top="1417" w:right="1417" w:bottom="1417" w:left="1417" w:header="708" w:footer="708" w:gutter="0"/>
          <w:cols w:space="708"/>
          <w:docGrid w:linePitch="360"/>
        </w:sectPr>
      </w:pPr>
    </w:p>
    <w:p w:rsidR="00311464" w:rsidRPr="0053729E" w:rsidRDefault="00311464" w:rsidP="00311464">
      <w:pPr>
        <w:ind w:left="-360" w:right="42"/>
        <w:jc w:val="both"/>
        <w:rPr>
          <w:b/>
          <w:sz w:val="20"/>
          <w:szCs w:val="20"/>
        </w:rPr>
      </w:pPr>
      <w:r w:rsidRPr="0053729E">
        <w:rPr>
          <w:b/>
          <w:sz w:val="20"/>
          <w:szCs w:val="20"/>
        </w:rPr>
        <w:lastRenderedPageBreak/>
        <w:t>Figure</w:t>
      </w:r>
      <w:r>
        <w:rPr>
          <w:b/>
          <w:sz w:val="20"/>
          <w:szCs w:val="20"/>
        </w:rPr>
        <w:t xml:space="preserve"> 3</w:t>
      </w:r>
      <w:r w:rsidRPr="0053729E">
        <w:rPr>
          <w:b/>
          <w:sz w:val="20"/>
          <w:szCs w:val="20"/>
        </w:rPr>
        <w:t xml:space="preserve">: </w:t>
      </w:r>
      <w:r>
        <w:rPr>
          <w:b/>
          <w:sz w:val="20"/>
          <w:szCs w:val="20"/>
        </w:rPr>
        <w:t>Gold included current account deficit to GDP ratio, 12 months</w:t>
      </w:r>
    </w:p>
    <w:p w:rsidR="00311464" w:rsidRPr="0053729E" w:rsidRDefault="00111156" w:rsidP="00311464">
      <w:pPr>
        <w:ind w:left="-360" w:right="42"/>
        <w:jc w:val="both"/>
        <w:rPr>
          <w:szCs w:val="20"/>
        </w:rPr>
      </w:pPr>
      <w:r w:rsidRPr="00111156">
        <w:rPr>
          <w:noProof/>
          <w:szCs w:val="20"/>
          <w:lang w:val="tr-TR"/>
        </w:rPr>
        <w:drawing>
          <wp:inline distT="0" distB="0" distL="0" distR="0">
            <wp:extent cx="2655570" cy="2226147"/>
            <wp:effectExtent l="1905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655570" cy="2226147"/>
                    </a:xfrm>
                    <a:prstGeom prst="rect">
                      <a:avLst/>
                    </a:prstGeom>
                    <a:noFill/>
                    <a:ln w="9525">
                      <a:noFill/>
                      <a:miter lim="800000"/>
                      <a:headEnd/>
                      <a:tailEnd/>
                    </a:ln>
                  </pic:spPr>
                </pic:pic>
              </a:graphicData>
            </a:graphic>
          </wp:inline>
        </w:drawing>
      </w:r>
    </w:p>
    <w:p w:rsidR="00311464" w:rsidRPr="00F7696B" w:rsidRDefault="00311464" w:rsidP="00311464">
      <w:pPr>
        <w:ind w:left="-360" w:right="42"/>
        <w:jc w:val="both"/>
        <w:rPr>
          <w:sz w:val="16"/>
          <w:szCs w:val="16"/>
        </w:rPr>
      </w:pPr>
      <w:r w:rsidRPr="0053729E">
        <w:rPr>
          <w:sz w:val="16"/>
          <w:szCs w:val="16"/>
        </w:rPr>
        <w:t>Source:</w:t>
      </w:r>
      <w:r>
        <w:rPr>
          <w:sz w:val="16"/>
          <w:szCs w:val="16"/>
        </w:rPr>
        <w:t xml:space="preserve"> </w:t>
      </w:r>
      <w:proofErr w:type="spellStart"/>
      <w:r w:rsidRPr="0053729E">
        <w:rPr>
          <w:sz w:val="16"/>
          <w:szCs w:val="16"/>
        </w:rPr>
        <w:t>TurkStat</w:t>
      </w:r>
      <w:proofErr w:type="spellEnd"/>
      <w:r w:rsidR="00AD6CE3">
        <w:rPr>
          <w:sz w:val="16"/>
          <w:szCs w:val="16"/>
        </w:rPr>
        <w:t>, TCMB,</w:t>
      </w:r>
      <w:r>
        <w:rPr>
          <w:sz w:val="16"/>
          <w:szCs w:val="16"/>
        </w:rPr>
        <w:t xml:space="preserve"> </w:t>
      </w:r>
      <w:r w:rsidRPr="0053729E">
        <w:rPr>
          <w:sz w:val="16"/>
          <w:szCs w:val="16"/>
        </w:rPr>
        <w:t>Betam.</w:t>
      </w:r>
    </w:p>
    <w:p w:rsidR="00311464" w:rsidRDefault="00311464" w:rsidP="00311464">
      <w:pPr>
        <w:ind w:left="-360" w:right="42"/>
        <w:jc w:val="both"/>
        <w:rPr>
          <w:b/>
          <w:sz w:val="20"/>
          <w:szCs w:val="20"/>
        </w:rPr>
      </w:pPr>
    </w:p>
    <w:p w:rsidR="00311464" w:rsidRDefault="00311464" w:rsidP="00311464">
      <w:pPr>
        <w:ind w:left="-360" w:right="42"/>
        <w:jc w:val="both"/>
        <w:rPr>
          <w:b/>
          <w:sz w:val="20"/>
          <w:szCs w:val="20"/>
        </w:rPr>
      </w:pPr>
    </w:p>
    <w:p w:rsidR="00311464" w:rsidRDefault="00311464" w:rsidP="00311464">
      <w:pPr>
        <w:ind w:left="-360" w:right="42"/>
        <w:jc w:val="both"/>
        <w:rPr>
          <w:b/>
          <w:sz w:val="20"/>
          <w:szCs w:val="20"/>
        </w:rPr>
      </w:pPr>
    </w:p>
    <w:p w:rsidR="00311464" w:rsidRDefault="00311464" w:rsidP="00311464">
      <w:pPr>
        <w:ind w:left="-360" w:right="42"/>
        <w:jc w:val="both"/>
        <w:rPr>
          <w:b/>
          <w:sz w:val="20"/>
          <w:szCs w:val="20"/>
        </w:rPr>
      </w:pPr>
    </w:p>
    <w:p w:rsidR="00311464" w:rsidRPr="00311464" w:rsidRDefault="00311464" w:rsidP="00311464">
      <w:pPr>
        <w:ind w:left="-360" w:right="42"/>
        <w:rPr>
          <w:b/>
          <w:sz w:val="20"/>
          <w:szCs w:val="20"/>
        </w:rPr>
        <w:sectPr w:rsidR="00311464" w:rsidRPr="00311464" w:rsidSect="007067F4">
          <w:type w:val="continuous"/>
          <w:pgSz w:w="11906" w:h="16838"/>
          <w:pgMar w:top="1417" w:right="1417" w:bottom="1417" w:left="1417" w:header="708" w:footer="708" w:gutter="0"/>
          <w:cols w:num="2" w:space="708" w:equalWidth="0">
            <w:col w:w="4182" w:space="708"/>
            <w:col w:w="4182"/>
          </w:cols>
          <w:docGrid w:linePitch="360"/>
        </w:sectPr>
      </w:pPr>
      <w:r w:rsidRPr="0053729E">
        <w:rPr>
          <w:b/>
          <w:sz w:val="20"/>
          <w:szCs w:val="20"/>
        </w:rPr>
        <w:lastRenderedPageBreak/>
        <w:t>Figure</w:t>
      </w:r>
      <w:r>
        <w:rPr>
          <w:b/>
          <w:sz w:val="20"/>
          <w:szCs w:val="20"/>
        </w:rPr>
        <w:t xml:space="preserve"> 4</w:t>
      </w:r>
      <w:r w:rsidRPr="0053729E">
        <w:rPr>
          <w:b/>
          <w:sz w:val="20"/>
          <w:szCs w:val="20"/>
        </w:rPr>
        <w:t xml:space="preserve">: </w:t>
      </w:r>
      <w:r w:rsidRPr="00311464">
        <w:rPr>
          <w:b/>
          <w:sz w:val="20"/>
          <w:szCs w:val="20"/>
        </w:rPr>
        <w:t xml:space="preserve">Gold </w:t>
      </w:r>
      <w:r w:rsidR="00AD6CE3">
        <w:rPr>
          <w:b/>
          <w:sz w:val="20"/>
          <w:szCs w:val="20"/>
        </w:rPr>
        <w:t>excluded</w:t>
      </w:r>
      <w:r w:rsidRPr="00311464">
        <w:rPr>
          <w:b/>
          <w:sz w:val="20"/>
          <w:szCs w:val="20"/>
        </w:rPr>
        <w:t xml:space="preserve"> current account deficit to GDP ratio, 12 month</w:t>
      </w:r>
      <w:r>
        <w:rPr>
          <w:b/>
          <w:sz w:val="20"/>
          <w:szCs w:val="20"/>
        </w:rPr>
        <w:t>s</w:t>
      </w:r>
      <w:r w:rsidRPr="0053729E">
        <w:rPr>
          <w:sz w:val="16"/>
          <w:szCs w:val="16"/>
        </w:rPr>
        <w:br/>
      </w:r>
      <w:r w:rsidR="00111156" w:rsidRPr="00111156">
        <w:rPr>
          <w:noProof/>
          <w:szCs w:val="16"/>
          <w:lang w:val="tr-TR"/>
        </w:rPr>
        <w:drawing>
          <wp:inline distT="0" distB="0" distL="0" distR="0">
            <wp:extent cx="2655570" cy="2245024"/>
            <wp:effectExtent l="1905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2655570" cy="2245024"/>
                    </a:xfrm>
                    <a:prstGeom prst="rect">
                      <a:avLst/>
                    </a:prstGeom>
                    <a:noFill/>
                    <a:ln w="9525">
                      <a:noFill/>
                      <a:miter lim="800000"/>
                      <a:headEnd/>
                      <a:tailEnd/>
                    </a:ln>
                  </pic:spPr>
                </pic:pic>
              </a:graphicData>
            </a:graphic>
          </wp:inline>
        </w:drawing>
      </w:r>
      <w:r w:rsidRPr="0053729E">
        <w:rPr>
          <w:sz w:val="16"/>
          <w:szCs w:val="16"/>
        </w:rPr>
        <w:br/>
        <w:t xml:space="preserve">Source: </w:t>
      </w:r>
      <w:proofErr w:type="spellStart"/>
      <w:r w:rsidRPr="0053729E">
        <w:rPr>
          <w:sz w:val="16"/>
          <w:szCs w:val="16"/>
        </w:rPr>
        <w:t>Turkstat</w:t>
      </w:r>
      <w:proofErr w:type="spellEnd"/>
      <w:r w:rsidR="00AD6CE3">
        <w:rPr>
          <w:sz w:val="16"/>
          <w:szCs w:val="16"/>
        </w:rPr>
        <w:t>, TCMB,</w:t>
      </w:r>
      <w:r>
        <w:rPr>
          <w:sz w:val="16"/>
          <w:szCs w:val="16"/>
        </w:rPr>
        <w:t xml:space="preserve"> </w:t>
      </w:r>
      <w:proofErr w:type="gramStart"/>
      <w:r>
        <w:rPr>
          <w:sz w:val="16"/>
          <w:szCs w:val="16"/>
        </w:rPr>
        <w:t>Betam</w:t>
      </w:r>
      <w:proofErr w:type="gramEnd"/>
      <w:r>
        <w:rPr>
          <w:sz w:val="16"/>
          <w:szCs w:val="16"/>
        </w:rPr>
        <w:t>.</w:t>
      </w:r>
    </w:p>
    <w:p w:rsidR="00311464" w:rsidRDefault="00311464" w:rsidP="001E4BF5">
      <w:pPr>
        <w:spacing w:line="360" w:lineRule="auto"/>
        <w:ind w:left="-360" w:right="42"/>
        <w:jc w:val="both"/>
        <w:rPr>
          <w:b/>
          <w:sz w:val="20"/>
          <w:szCs w:val="20"/>
        </w:rPr>
      </w:pPr>
    </w:p>
    <w:p w:rsidR="00AD6CE3" w:rsidRDefault="00AD6CE3" w:rsidP="001E4BF5">
      <w:pPr>
        <w:spacing w:line="360" w:lineRule="auto"/>
        <w:ind w:left="-360" w:right="42"/>
        <w:jc w:val="both"/>
        <w:rPr>
          <w:b/>
          <w:sz w:val="20"/>
          <w:szCs w:val="20"/>
        </w:rPr>
      </w:pPr>
    </w:p>
    <w:p w:rsidR="00AD6CE3" w:rsidRDefault="00AD6CE3" w:rsidP="001E4BF5">
      <w:pPr>
        <w:spacing w:line="360" w:lineRule="auto"/>
        <w:ind w:left="-360" w:right="42"/>
        <w:jc w:val="both"/>
        <w:rPr>
          <w:b/>
          <w:sz w:val="20"/>
          <w:szCs w:val="20"/>
        </w:rPr>
      </w:pPr>
    </w:p>
    <w:p w:rsidR="00AD6CE3" w:rsidRDefault="00AD6CE3" w:rsidP="001E4BF5">
      <w:pPr>
        <w:spacing w:line="360" w:lineRule="auto"/>
        <w:ind w:left="-360" w:right="42"/>
        <w:jc w:val="both"/>
        <w:rPr>
          <w:b/>
          <w:sz w:val="20"/>
          <w:szCs w:val="20"/>
        </w:rPr>
      </w:pPr>
    </w:p>
    <w:p w:rsidR="00AD6CE3" w:rsidRDefault="00AD6CE3" w:rsidP="001E4BF5">
      <w:pPr>
        <w:spacing w:line="360" w:lineRule="auto"/>
        <w:ind w:left="-360" w:right="42"/>
        <w:jc w:val="both"/>
        <w:rPr>
          <w:b/>
          <w:sz w:val="20"/>
          <w:szCs w:val="20"/>
        </w:rPr>
      </w:pPr>
    </w:p>
    <w:p w:rsidR="00AD6CE3" w:rsidRDefault="00AD6CE3" w:rsidP="001E4BF5">
      <w:pPr>
        <w:spacing w:line="360" w:lineRule="auto"/>
        <w:ind w:left="-360" w:right="42"/>
        <w:jc w:val="both"/>
        <w:rPr>
          <w:b/>
          <w:sz w:val="20"/>
          <w:szCs w:val="20"/>
        </w:rPr>
      </w:pPr>
    </w:p>
    <w:p w:rsidR="00AD6CE3" w:rsidRDefault="00AD6CE3" w:rsidP="001E4BF5">
      <w:pPr>
        <w:spacing w:line="360" w:lineRule="auto"/>
        <w:ind w:left="-360" w:right="42"/>
        <w:jc w:val="both"/>
        <w:rPr>
          <w:b/>
          <w:sz w:val="20"/>
          <w:szCs w:val="20"/>
        </w:rPr>
      </w:pPr>
    </w:p>
    <w:p w:rsidR="00AD6CE3" w:rsidRDefault="00AD6CE3" w:rsidP="001E4BF5">
      <w:pPr>
        <w:spacing w:line="360" w:lineRule="auto"/>
        <w:ind w:left="-360" w:right="42"/>
        <w:jc w:val="both"/>
        <w:rPr>
          <w:b/>
          <w:sz w:val="20"/>
          <w:szCs w:val="20"/>
        </w:rPr>
      </w:pPr>
    </w:p>
    <w:p w:rsidR="00AD6CE3" w:rsidRDefault="00AD6CE3" w:rsidP="001E4BF5">
      <w:pPr>
        <w:spacing w:line="360" w:lineRule="auto"/>
        <w:ind w:left="-360" w:right="42"/>
        <w:jc w:val="both"/>
        <w:rPr>
          <w:b/>
          <w:sz w:val="20"/>
          <w:szCs w:val="20"/>
        </w:rPr>
      </w:pPr>
    </w:p>
    <w:p w:rsidR="00C30DC1" w:rsidRPr="0053729E" w:rsidRDefault="00451918" w:rsidP="001E4BF5">
      <w:pPr>
        <w:spacing w:line="360" w:lineRule="auto"/>
        <w:ind w:left="-360" w:right="42"/>
        <w:jc w:val="both"/>
        <w:rPr>
          <w:b/>
          <w:sz w:val="20"/>
          <w:szCs w:val="20"/>
        </w:rPr>
      </w:pPr>
      <w:r w:rsidRPr="0053729E">
        <w:rPr>
          <w:b/>
          <w:sz w:val="20"/>
          <w:szCs w:val="20"/>
        </w:rPr>
        <w:lastRenderedPageBreak/>
        <w:t xml:space="preserve">Figure </w:t>
      </w:r>
      <w:r w:rsidR="008C491D">
        <w:rPr>
          <w:b/>
          <w:sz w:val="20"/>
          <w:szCs w:val="20"/>
        </w:rPr>
        <w:t>5</w:t>
      </w:r>
      <w:r w:rsidRPr="0053729E">
        <w:rPr>
          <w:b/>
          <w:sz w:val="20"/>
          <w:szCs w:val="20"/>
        </w:rPr>
        <w:t xml:space="preserve">: </w:t>
      </w:r>
      <w:r w:rsidR="00C30DC1" w:rsidRPr="0053729E">
        <w:rPr>
          <w:b/>
          <w:sz w:val="20"/>
          <w:szCs w:val="20"/>
        </w:rPr>
        <w:t>W</w:t>
      </w:r>
      <w:r w:rsidR="00042C84" w:rsidRPr="0053729E">
        <w:rPr>
          <w:b/>
          <w:sz w:val="20"/>
          <w:szCs w:val="20"/>
        </w:rPr>
        <w:t>eighted Average Interest Rates f</w:t>
      </w:r>
      <w:r w:rsidR="00C30DC1" w:rsidRPr="0053729E">
        <w:rPr>
          <w:b/>
          <w:sz w:val="20"/>
          <w:szCs w:val="20"/>
        </w:rPr>
        <w:t>or Turkish Lira Banks' Loans (%)</w:t>
      </w:r>
    </w:p>
    <w:p w:rsidR="00C30DC1" w:rsidRPr="0053729E" w:rsidRDefault="00111156" w:rsidP="00D4205B">
      <w:pPr>
        <w:ind w:left="-360" w:right="42"/>
        <w:jc w:val="both"/>
        <w:rPr>
          <w:b/>
          <w:sz w:val="20"/>
          <w:szCs w:val="20"/>
        </w:rPr>
      </w:pPr>
      <w:r w:rsidRPr="00111156">
        <w:rPr>
          <w:noProof/>
          <w:szCs w:val="20"/>
          <w:lang w:val="tr-TR"/>
        </w:rPr>
        <w:drawing>
          <wp:inline distT="0" distB="0" distL="0" distR="0">
            <wp:extent cx="5760720" cy="2797909"/>
            <wp:effectExtent l="19050" t="0" r="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5760720" cy="2797909"/>
                    </a:xfrm>
                    <a:prstGeom prst="rect">
                      <a:avLst/>
                    </a:prstGeom>
                    <a:noFill/>
                    <a:ln w="9525">
                      <a:noFill/>
                      <a:miter lim="800000"/>
                      <a:headEnd/>
                      <a:tailEnd/>
                    </a:ln>
                  </pic:spPr>
                </pic:pic>
              </a:graphicData>
            </a:graphic>
          </wp:inline>
        </w:drawing>
      </w:r>
    </w:p>
    <w:p w:rsidR="00D4205B" w:rsidRPr="0053729E" w:rsidRDefault="00C30DC1" w:rsidP="00D4205B">
      <w:pPr>
        <w:ind w:left="-360" w:right="42"/>
        <w:jc w:val="both"/>
        <w:rPr>
          <w:sz w:val="16"/>
          <w:szCs w:val="16"/>
        </w:rPr>
      </w:pPr>
      <w:r w:rsidRPr="0053729E">
        <w:rPr>
          <w:sz w:val="16"/>
          <w:szCs w:val="16"/>
        </w:rPr>
        <w:t xml:space="preserve">Source: </w:t>
      </w:r>
      <w:r w:rsidR="00E03485" w:rsidRPr="0053729E">
        <w:rPr>
          <w:sz w:val="16"/>
          <w:szCs w:val="16"/>
        </w:rPr>
        <w:t>CBRT</w:t>
      </w:r>
      <w:r w:rsidR="00D4205B" w:rsidRPr="0053729E">
        <w:rPr>
          <w:sz w:val="16"/>
          <w:szCs w:val="16"/>
        </w:rPr>
        <w:t>.</w:t>
      </w:r>
    </w:p>
    <w:p w:rsidR="00D4205B" w:rsidRPr="0053729E" w:rsidRDefault="00D4205B" w:rsidP="000B3D82">
      <w:pPr>
        <w:spacing w:line="360" w:lineRule="auto"/>
        <w:ind w:left="-360" w:right="42"/>
        <w:jc w:val="both"/>
        <w:rPr>
          <w:sz w:val="16"/>
          <w:szCs w:val="16"/>
        </w:rPr>
      </w:pPr>
    </w:p>
    <w:sectPr w:rsidR="00D4205B" w:rsidRPr="0053729E" w:rsidSect="001E772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7A3" w:rsidRDefault="008477A3">
      <w:r>
        <w:separator/>
      </w:r>
    </w:p>
  </w:endnote>
  <w:endnote w:type="continuationSeparator" w:id="0">
    <w:p w:rsidR="008477A3" w:rsidRDefault="0084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7A3" w:rsidRDefault="008477A3">
      <w:r>
        <w:separator/>
      </w:r>
    </w:p>
  </w:footnote>
  <w:footnote w:type="continuationSeparator" w:id="0">
    <w:p w:rsidR="008477A3" w:rsidRDefault="008477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ECC"/>
    <w:rsid w:val="000003F0"/>
    <w:rsid w:val="00001050"/>
    <w:rsid w:val="00003567"/>
    <w:rsid w:val="00003E34"/>
    <w:rsid w:val="0000434B"/>
    <w:rsid w:val="00004745"/>
    <w:rsid w:val="00004C0B"/>
    <w:rsid w:val="00007B8D"/>
    <w:rsid w:val="00010DD1"/>
    <w:rsid w:val="0001109A"/>
    <w:rsid w:val="000126AE"/>
    <w:rsid w:val="00013406"/>
    <w:rsid w:val="00013EE7"/>
    <w:rsid w:val="00017F2E"/>
    <w:rsid w:val="00024559"/>
    <w:rsid w:val="000247C6"/>
    <w:rsid w:val="00024B55"/>
    <w:rsid w:val="00026210"/>
    <w:rsid w:val="0002627E"/>
    <w:rsid w:val="00026B51"/>
    <w:rsid w:val="00031B4E"/>
    <w:rsid w:val="0003258C"/>
    <w:rsid w:val="00032789"/>
    <w:rsid w:val="00033490"/>
    <w:rsid w:val="00034421"/>
    <w:rsid w:val="00035AB5"/>
    <w:rsid w:val="0003608C"/>
    <w:rsid w:val="00037357"/>
    <w:rsid w:val="000374C0"/>
    <w:rsid w:val="00037CE9"/>
    <w:rsid w:val="00041479"/>
    <w:rsid w:val="00042C84"/>
    <w:rsid w:val="00047B99"/>
    <w:rsid w:val="00050118"/>
    <w:rsid w:val="00050DCF"/>
    <w:rsid w:val="00050EC0"/>
    <w:rsid w:val="00051119"/>
    <w:rsid w:val="00051CD0"/>
    <w:rsid w:val="00055814"/>
    <w:rsid w:val="00055A3E"/>
    <w:rsid w:val="00057E6D"/>
    <w:rsid w:val="00057FC2"/>
    <w:rsid w:val="0006043D"/>
    <w:rsid w:val="000625E8"/>
    <w:rsid w:val="0006304A"/>
    <w:rsid w:val="00063758"/>
    <w:rsid w:val="00065B3C"/>
    <w:rsid w:val="00067DF6"/>
    <w:rsid w:val="000715CA"/>
    <w:rsid w:val="000717B5"/>
    <w:rsid w:val="00073915"/>
    <w:rsid w:val="00074038"/>
    <w:rsid w:val="000743ED"/>
    <w:rsid w:val="00074EEE"/>
    <w:rsid w:val="0007515D"/>
    <w:rsid w:val="000773A1"/>
    <w:rsid w:val="00077492"/>
    <w:rsid w:val="000820D2"/>
    <w:rsid w:val="0008367E"/>
    <w:rsid w:val="0008450A"/>
    <w:rsid w:val="00084ED0"/>
    <w:rsid w:val="000854F8"/>
    <w:rsid w:val="00085572"/>
    <w:rsid w:val="00086F46"/>
    <w:rsid w:val="00091D4B"/>
    <w:rsid w:val="00093515"/>
    <w:rsid w:val="00094FAA"/>
    <w:rsid w:val="000966DF"/>
    <w:rsid w:val="00097481"/>
    <w:rsid w:val="000A1E16"/>
    <w:rsid w:val="000A383B"/>
    <w:rsid w:val="000A3D92"/>
    <w:rsid w:val="000A45BE"/>
    <w:rsid w:val="000A6429"/>
    <w:rsid w:val="000A6472"/>
    <w:rsid w:val="000A6E24"/>
    <w:rsid w:val="000A701D"/>
    <w:rsid w:val="000B0553"/>
    <w:rsid w:val="000B09E4"/>
    <w:rsid w:val="000B0D88"/>
    <w:rsid w:val="000B3D82"/>
    <w:rsid w:val="000B4CC5"/>
    <w:rsid w:val="000B5E0B"/>
    <w:rsid w:val="000B669B"/>
    <w:rsid w:val="000C3022"/>
    <w:rsid w:val="000C5B7E"/>
    <w:rsid w:val="000D029B"/>
    <w:rsid w:val="000D0DA7"/>
    <w:rsid w:val="000D0ECE"/>
    <w:rsid w:val="000D50D1"/>
    <w:rsid w:val="000D546F"/>
    <w:rsid w:val="000D5E8A"/>
    <w:rsid w:val="000D6420"/>
    <w:rsid w:val="000D6CCA"/>
    <w:rsid w:val="000D7F65"/>
    <w:rsid w:val="000E0388"/>
    <w:rsid w:val="000E0BD1"/>
    <w:rsid w:val="000E10A3"/>
    <w:rsid w:val="000E4231"/>
    <w:rsid w:val="000E4C57"/>
    <w:rsid w:val="000E5826"/>
    <w:rsid w:val="000E5D7B"/>
    <w:rsid w:val="000E6B5D"/>
    <w:rsid w:val="000E7CC8"/>
    <w:rsid w:val="000F0BB8"/>
    <w:rsid w:val="000F219F"/>
    <w:rsid w:val="000F3017"/>
    <w:rsid w:val="000F396D"/>
    <w:rsid w:val="000F4941"/>
    <w:rsid w:val="000F68F9"/>
    <w:rsid w:val="000F6D02"/>
    <w:rsid w:val="00100665"/>
    <w:rsid w:val="00100750"/>
    <w:rsid w:val="0010086D"/>
    <w:rsid w:val="00101EB7"/>
    <w:rsid w:val="00102C87"/>
    <w:rsid w:val="00102FC6"/>
    <w:rsid w:val="001048C8"/>
    <w:rsid w:val="00104ACC"/>
    <w:rsid w:val="00105095"/>
    <w:rsid w:val="00106127"/>
    <w:rsid w:val="00106639"/>
    <w:rsid w:val="001105B2"/>
    <w:rsid w:val="00111156"/>
    <w:rsid w:val="001116C3"/>
    <w:rsid w:val="00111825"/>
    <w:rsid w:val="00114BC7"/>
    <w:rsid w:val="0012219C"/>
    <w:rsid w:val="0012238B"/>
    <w:rsid w:val="00124929"/>
    <w:rsid w:val="00127B4E"/>
    <w:rsid w:val="00127BA7"/>
    <w:rsid w:val="0013046D"/>
    <w:rsid w:val="00131702"/>
    <w:rsid w:val="00133054"/>
    <w:rsid w:val="00133571"/>
    <w:rsid w:val="001357C1"/>
    <w:rsid w:val="00135FEE"/>
    <w:rsid w:val="00137054"/>
    <w:rsid w:val="00137F02"/>
    <w:rsid w:val="00137F90"/>
    <w:rsid w:val="00141719"/>
    <w:rsid w:val="00141B93"/>
    <w:rsid w:val="0014254A"/>
    <w:rsid w:val="00142837"/>
    <w:rsid w:val="00143828"/>
    <w:rsid w:val="00144234"/>
    <w:rsid w:val="001454AC"/>
    <w:rsid w:val="00147192"/>
    <w:rsid w:val="0015045A"/>
    <w:rsid w:val="00150B84"/>
    <w:rsid w:val="0015141F"/>
    <w:rsid w:val="00154DC3"/>
    <w:rsid w:val="00157DC2"/>
    <w:rsid w:val="00161297"/>
    <w:rsid w:val="00163520"/>
    <w:rsid w:val="00163E33"/>
    <w:rsid w:val="001648A8"/>
    <w:rsid w:val="00164EDE"/>
    <w:rsid w:val="00165B20"/>
    <w:rsid w:val="001661B0"/>
    <w:rsid w:val="00166FE5"/>
    <w:rsid w:val="00167408"/>
    <w:rsid w:val="00167CA4"/>
    <w:rsid w:val="00167D69"/>
    <w:rsid w:val="00170085"/>
    <w:rsid w:val="00170DE7"/>
    <w:rsid w:val="00171355"/>
    <w:rsid w:val="00171EEC"/>
    <w:rsid w:val="00174745"/>
    <w:rsid w:val="00177F4E"/>
    <w:rsid w:val="00177FE3"/>
    <w:rsid w:val="00184678"/>
    <w:rsid w:val="00184BBA"/>
    <w:rsid w:val="001916DD"/>
    <w:rsid w:val="0019538C"/>
    <w:rsid w:val="00195EC6"/>
    <w:rsid w:val="0019618E"/>
    <w:rsid w:val="0019733C"/>
    <w:rsid w:val="00197ACB"/>
    <w:rsid w:val="001A0237"/>
    <w:rsid w:val="001A189F"/>
    <w:rsid w:val="001A2051"/>
    <w:rsid w:val="001A3CDC"/>
    <w:rsid w:val="001A62FE"/>
    <w:rsid w:val="001A6CE1"/>
    <w:rsid w:val="001A7136"/>
    <w:rsid w:val="001A787F"/>
    <w:rsid w:val="001A7C0B"/>
    <w:rsid w:val="001B0683"/>
    <w:rsid w:val="001B0861"/>
    <w:rsid w:val="001B1CFE"/>
    <w:rsid w:val="001B34B5"/>
    <w:rsid w:val="001B4FC6"/>
    <w:rsid w:val="001B6256"/>
    <w:rsid w:val="001B6836"/>
    <w:rsid w:val="001B6AFA"/>
    <w:rsid w:val="001C295F"/>
    <w:rsid w:val="001C4576"/>
    <w:rsid w:val="001C457D"/>
    <w:rsid w:val="001C667E"/>
    <w:rsid w:val="001C6AAB"/>
    <w:rsid w:val="001C750C"/>
    <w:rsid w:val="001D0853"/>
    <w:rsid w:val="001D09B1"/>
    <w:rsid w:val="001D11F7"/>
    <w:rsid w:val="001D1F1B"/>
    <w:rsid w:val="001D3C27"/>
    <w:rsid w:val="001D478F"/>
    <w:rsid w:val="001D4B8B"/>
    <w:rsid w:val="001E0274"/>
    <w:rsid w:val="001E192B"/>
    <w:rsid w:val="001E4122"/>
    <w:rsid w:val="001E4BF5"/>
    <w:rsid w:val="001E56F5"/>
    <w:rsid w:val="001E7720"/>
    <w:rsid w:val="001E7DE1"/>
    <w:rsid w:val="001F1052"/>
    <w:rsid w:val="001F1361"/>
    <w:rsid w:val="001F275D"/>
    <w:rsid w:val="001F4CFB"/>
    <w:rsid w:val="001F5435"/>
    <w:rsid w:val="001F6E7D"/>
    <w:rsid w:val="001F707E"/>
    <w:rsid w:val="001F7216"/>
    <w:rsid w:val="0020115E"/>
    <w:rsid w:val="0020184F"/>
    <w:rsid w:val="00203CD9"/>
    <w:rsid w:val="00204364"/>
    <w:rsid w:val="002058EC"/>
    <w:rsid w:val="00207185"/>
    <w:rsid w:val="00207E31"/>
    <w:rsid w:val="00214A6C"/>
    <w:rsid w:val="002151FC"/>
    <w:rsid w:val="002158BC"/>
    <w:rsid w:val="002166A1"/>
    <w:rsid w:val="002176C5"/>
    <w:rsid w:val="00217C73"/>
    <w:rsid w:val="0022179E"/>
    <w:rsid w:val="002220B5"/>
    <w:rsid w:val="002231B5"/>
    <w:rsid w:val="00223638"/>
    <w:rsid w:val="00225215"/>
    <w:rsid w:val="00226140"/>
    <w:rsid w:val="00227263"/>
    <w:rsid w:val="002303D1"/>
    <w:rsid w:val="00230A81"/>
    <w:rsid w:val="00235E37"/>
    <w:rsid w:val="00236A19"/>
    <w:rsid w:val="00236F07"/>
    <w:rsid w:val="002451C2"/>
    <w:rsid w:val="00245E19"/>
    <w:rsid w:val="0025445E"/>
    <w:rsid w:val="002577DA"/>
    <w:rsid w:val="002604B6"/>
    <w:rsid w:val="00260693"/>
    <w:rsid w:val="002639C0"/>
    <w:rsid w:val="00264000"/>
    <w:rsid w:val="00264FCA"/>
    <w:rsid w:val="002663F7"/>
    <w:rsid w:val="00271168"/>
    <w:rsid w:val="00272C27"/>
    <w:rsid w:val="002751F5"/>
    <w:rsid w:val="00275C4E"/>
    <w:rsid w:val="0027608D"/>
    <w:rsid w:val="002773DA"/>
    <w:rsid w:val="00277459"/>
    <w:rsid w:val="00280897"/>
    <w:rsid w:val="00280B55"/>
    <w:rsid w:val="00281BCA"/>
    <w:rsid w:val="00281FFC"/>
    <w:rsid w:val="00283EE6"/>
    <w:rsid w:val="00284896"/>
    <w:rsid w:val="00287ACE"/>
    <w:rsid w:val="002902DE"/>
    <w:rsid w:val="00293BAB"/>
    <w:rsid w:val="00294CF8"/>
    <w:rsid w:val="00294E8C"/>
    <w:rsid w:val="00297733"/>
    <w:rsid w:val="002A0155"/>
    <w:rsid w:val="002A27C0"/>
    <w:rsid w:val="002A3272"/>
    <w:rsid w:val="002A4F26"/>
    <w:rsid w:val="002A5E74"/>
    <w:rsid w:val="002A66ED"/>
    <w:rsid w:val="002A7800"/>
    <w:rsid w:val="002B015D"/>
    <w:rsid w:val="002B1FC3"/>
    <w:rsid w:val="002B294F"/>
    <w:rsid w:val="002B3644"/>
    <w:rsid w:val="002B460F"/>
    <w:rsid w:val="002B4D99"/>
    <w:rsid w:val="002B6036"/>
    <w:rsid w:val="002B748C"/>
    <w:rsid w:val="002C0475"/>
    <w:rsid w:val="002C0954"/>
    <w:rsid w:val="002C0C55"/>
    <w:rsid w:val="002C17BC"/>
    <w:rsid w:val="002C1DEF"/>
    <w:rsid w:val="002C1FFF"/>
    <w:rsid w:val="002C28A4"/>
    <w:rsid w:val="002C2FAB"/>
    <w:rsid w:val="002C3757"/>
    <w:rsid w:val="002C391B"/>
    <w:rsid w:val="002C3E54"/>
    <w:rsid w:val="002C6F7E"/>
    <w:rsid w:val="002D101A"/>
    <w:rsid w:val="002D7743"/>
    <w:rsid w:val="002E1EA4"/>
    <w:rsid w:val="002E5892"/>
    <w:rsid w:val="002E5D1D"/>
    <w:rsid w:val="002E6BB4"/>
    <w:rsid w:val="002E6BD6"/>
    <w:rsid w:val="002F0BDE"/>
    <w:rsid w:val="002F1C42"/>
    <w:rsid w:val="002F2CD1"/>
    <w:rsid w:val="002F30D3"/>
    <w:rsid w:val="002F30F9"/>
    <w:rsid w:val="002F5134"/>
    <w:rsid w:val="002F56EC"/>
    <w:rsid w:val="002F72AA"/>
    <w:rsid w:val="002F79C0"/>
    <w:rsid w:val="00301758"/>
    <w:rsid w:val="00303166"/>
    <w:rsid w:val="0030414A"/>
    <w:rsid w:val="00304BD3"/>
    <w:rsid w:val="00306FA7"/>
    <w:rsid w:val="00307D51"/>
    <w:rsid w:val="0031043B"/>
    <w:rsid w:val="00311195"/>
    <w:rsid w:val="00311464"/>
    <w:rsid w:val="00311E57"/>
    <w:rsid w:val="0031201B"/>
    <w:rsid w:val="003124B6"/>
    <w:rsid w:val="003134B5"/>
    <w:rsid w:val="0031360B"/>
    <w:rsid w:val="003142BA"/>
    <w:rsid w:val="0031587F"/>
    <w:rsid w:val="00316CE9"/>
    <w:rsid w:val="00316DB4"/>
    <w:rsid w:val="00317125"/>
    <w:rsid w:val="00321318"/>
    <w:rsid w:val="00322134"/>
    <w:rsid w:val="003223B0"/>
    <w:rsid w:val="00322EBE"/>
    <w:rsid w:val="003239F8"/>
    <w:rsid w:val="0032553E"/>
    <w:rsid w:val="003269F7"/>
    <w:rsid w:val="0033349F"/>
    <w:rsid w:val="00333B98"/>
    <w:rsid w:val="003345C8"/>
    <w:rsid w:val="00336381"/>
    <w:rsid w:val="003375A1"/>
    <w:rsid w:val="00337824"/>
    <w:rsid w:val="00337AE5"/>
    <w:rsid w:val="003410B9"/>
    <w:rsid w:val="00341195"/>
    <w:rsid w:val="00341E70"/>
    <w:rsid w:val="0034232E"/>
    <w:rsid w:val="00344070"/>
    <w:rsid w:val="003443FB"/>
    <w:rsid w:val="00345308"/>
    <w:rsid w:val="003453E9"/>
    <w:rsid w:val="0034543C"/>
    <w:rsid w:val="00345CDD"/>
    <w:rsid w:val="0034600A"/>
    <w:rsid w:val="00346332"/>
    <w:rsid w:val="00347145"/>
    <w:rsid w:val="003474D9"/>
    <w:rsid w:val="0035310C"/>
    <w:rsid w:val="00353B31"/>
    <w:rsid w:val="003552A4"/>
    <w:rsid w:val="00356765"/>
    <w:rsid w:val="00357ECC"/>
    <w:rsid w:val="00360133"/>
    <w:rsid w:val="00360F5D"/>
    <w:rsid w:val="00361D56"/>
    <w:rsid w:val="00362436"/>
    <w:rsid w:val="00363520"/>
    <w:rsid w:val="00364686"/>
    <w:rsid w:val="00366F2D"/>
    <w:rsid w:val="00367DBD"/>
    <w:rsid w:val="003729BF"/>
    <w:rsid w:val="00372C3E"/>
    <w:rsid w:val="003731F3"/>
    <w:rsid w:val="00374618"/>
    <w:rsid w:val="00375FA4"/>
    <w:rsid w:val="00375FD1"/>
    <w:rsid w:val="00376AC1"/>
    <w:rsid w:val="003813FF"/>
    <w:rsid w:val="00381853"/>
    <w:rsid w:val="0038308B"/>
    <w:rsid w:val="00383A6E"/>
    <w:rsid w:val="00384212"/>
    <w:rsid w:val="0038488E"/>
    <w:rsid w:val="00386146"/>
    <w:rsid w:val="003866F7"/>
    <w:rsid w:val="00386866"/>
    <w:rsid w:val="003872AE"/>
    <w:rsid w:val="003919FD"/>
    <w:rsid w:val="00394358"/>
    <w:rsid w:val="00395C47"/>
    <w:rsid w:val="00396E44"/>
    <w:rsid w:val="00397518"/>
    <w:rsid w:val="00397C86"/>
    <w:rsid w:val="003A048F"/>
    <w:rsid w:val="003A12C4"/>
    <w:rsid w:val="003A219A"/>
    <w:rsid w:val="003A2B60"/>
    <w:rsid w:val="003A31B2"/>
    <w:rsid w:val="003A3575"/>
    <w:rsid w:val="003A5AD9"/>
    <w:rsid w:val="003B0F7E"/>
    <w:rsid w:val="003B109E"/>
    <w:rsid w:val="003B143C"/>
    <w:rsid w:val="003B199A"/>
    <w:rsid w:val="003B1C3A"/>
    <w:rsid w:val="003B237B"/>
    <w:rsid w:val="003B2454"/>
    <w:rsid w:val="003B2720"/>
    <w:rsid w:val="003B472B"/>
    <w:rsid w:val="003B5209"/>
    <w:rsid w:val="003B76F5"/>
    <w:rsid w:val="003B797F"/>
    <w:rsid w:val="003C38F5"/>
    <w:rsid w:val="003C3D0A"/>
    <w:rsid w:val="003C5112"/>
    <w:rsid w:val="003C640D"/>
    <w:rsid w:val="003D0BE4"/>
    <w:rsid w:val="003D142F"/>
    <w:rsid w:val="003D31C5"/>
    <w:rsid w:val="003D7E7F"/>
    <w:rsid w:val="003E14C7"/>
    <w:rsid w:val="003E15C4"/>
    <w:rsid w:val="003E488A"/>
    <w:rsid w:val="003E4FBD"/>
    <w:rsid w:val="003E5C49"/>
    <w:rsid w:val="003E6795"/>
    <w:rsid w:val="003F347E"/>
    <w:rsid w:val="003F63B4"/>
    <w:rsid w:val="003F7D4C"/>
    <w:rsid w:val="00401183"/>
    <w:rsid w:val="00402158"/>
    <w:rsid w:val="00403B8D"/>
    <w:rsid w:val="0040449F"/>
    <w:rsid w:val="0040568A"/>
    <w:rsid w:val="00405F8D"/>
    <w:rsid w:val="00406615"/>
    <w:rsid w:val="0041351B"/>
    <w:rsid w:val="00413700"/>
    <w:rsid w:val="004137E6"/>
    <w:rsid w:val="004149F4"/>
    <w:rsid w:val="004155A8"/>
    <w:rsid w:val="004164BB"/>
    <w:rsid w:val="004178EE"/>
    <w:rsid w:val="004205D6"/>
    <w:rsid w:val="0042063E"/>
    <w:rsid w:val="00422832"/>
    <w:rsid w:val="00422E05"/>
    <w:rsid w:val="00422F8A"/>
    <w:rsid w:val="004300C1"/>
    <w:rsid w:val="00434587"/>
    <w:rsid w:val="00437C99"/>
    <w:rsid w:val="0044201D"/>
    <w:rsid w:val="004475F5"/>
    <w:rsid w:val="00447740"/>
    <w:rsid w:val="004514A8"/>
    <w:rsid w:val="00451918"/>
    <w:rsid w:val="00451FEA"/>
    <w:rsid w:val="00452B69"/>
    <w:rsid w:val="00455777"/>
    <w:rsid w:val="0045793D"/>
    <w:rsid w:val="00460BEC"/>
    <w:rsid w:val="0046347B"/>
    <w:rsid w:val="00463BBF"/>
    <w:rsid w:val="0046518E"/>
    <w:rsid w:val="00467ACF"/>
    <w:rsid w:val="004716A6"/>
    <w:rsid w:val="00472FEC"/>
    <w:rsid w:val="0047385A"/>
    <w:rsid w:val="0047433A"/>
    <w:rsid w:val="0047789D"/>
    <w:rsid w:val="004814F0"/>
    <w:rsid w:val="0048329E"/>
    <w:rsid w:val="00485884"/>
    <w:rsid w:val="00486239"/>
    <w:rsid w:val="00486DB9"/>
    <w:rsid w:val="00487146"/>
    <w:rsid w:val="00487A9A"/>
    <w:rsid w:val="0049067B"/>
    <w:rsid w:val="00490FC2"/>
    <w:rsid w:val="00491BE6"/>
    <w:rsid w:val="00493AC5"/>
    <w:rsid w:val="0049613B"/>
    <w:rsid w:val="00496378"/>
    <w:rsid w:val="004969FB"/>
    <w:rsid w:val="004A2E8D"/>
    <w:rsid w:val="004A3CB8"/>
    <w:rsid w:val="004A4DD6"/>
    <w:rsid w:val="004A6333"/>
    <w:rsid w:val="004A6537"/>
    <w:rsid w:val="004A70D1"/>
    <w:rsid w:val="004A724E"/>
    <w:rsid w:val="004A7343"/>
    <w:rsid w:val="004A7FE6"/>
    <w:rsid w:val="004B358D"/>
    <w:rsid w:val="004B7C7A"/>
    <w:rsid w:val="004C56D6"/>
    <w:rsid w:val="004C6A82"/>
    <w:rsid w:val="004C7FD0"/>
    <w:rsid w:val="004D0590"/>
    <w:rsid w:val="004D23D3"/>
    <w:rsid w:val="004D4B99"/>
    <w:rsid w:val="004D5CF2"/>
    <w:rsid w:val="004D60DE"/>
    <w:rsid w:val="004D67C5"/>
    <w:rsid w:val="004D7A57"/>
    <w:rsid w:val="004E07D3"/>
    <w:rsid w:val="004E2D21"/>
    <w:rsid w:val="004E341E"/>
    <w:rsid w:val="004E40D1"/>
    <w:rsid w:val="004E4109"/>
    <w:rsid w:val="004E4961"/>
    <w:rsid w:val="004E4C5E"/>
    <w:rsid w:val="004E5779"/>
    <w:rsid w:val="004E6DFD"/>
    <w:rsid w:val="004E7CBD"/>
    <w:rsid w:val="004E7DBE"/>
    <w:rsid w:val="004F08D3"/>
    <w:rsid w:val="004F1286"/>
    <w:rsid w:val="004F1E07"/>
    <w:rsid w:val="004F4717"/>
    <w:rsid w:val="0050049B"/>
    <w:rsid w:val="00500C2E"/>
    <w:rsid w:val="005024EF"/>
    <w:rsid w:val="00502586"/>
    <w:rsid w:val="00502793"/>
    <w:rsid w:val="005030BD"/>
    <w:rsid w:val="0050414E"/>
    <w:rsid w:val="0050568A"/>
    <w:rsid w:val="00506264"/>
    <w:rsid w:val="00515398"/>
    <w:rsid w:val="005155AC"/>
    <w:rsid w:val="0051750C"/>
    <w:rsid w:val="00522ED0"/>
    <w:rsid w:val="00523C58"/>
    <w:rsid w:val="00526541"/>
    <w:rsid w:val="00536648"/>
    <w:rsid w:val="00536C48"/>
    <w:rsid w:val="0053729E"/>
    <w:rsid w:val="00537DAA"/>
    <w:rsid w:val="005425FA"/>
    <w:rsid w:val="00542728"/>
    <w:rsid w:val="00542834"/>
    <w:rsid w:val="00543E56"/>
    <w:rsid w:val="00544439"/>
    <w:rsid w:val="00546373"/>
    <w:rsid w:val="0055050D"/>
    <w:rsid w:val="00551E19"/>
    <w:rsid w:val="00552C4F"/>
    <w:rsid w:val="00552D5D"/>
    <w:rsid w:val="00552E21"/>
    <w:rsid w:val="00555A4D"/>
    <w:rsid w:val="00556328"/>
    <w:rsid w:val="00556F7E"/>
    <w:rsid w:val="0056278D"/>
    <w:rsid w:val="005631CE"/>
    <w:rsid w:val="00563B28"/>
    <w:rsid w:val="005655A1"/>
    <w:rsid w:val="00567E14"/>
    <w:rsid w:val="00571B47"/>
    <w:rsid w:val="00572778"/>
    <w:rsid w:val="00573338"/>
    <w:rsid w:val="00574203"/>
    <w:rsid w:val="00574E21"/>
    <w:rsid w:val="005757E1"/>
    <w:rsid w:val="005758D1"/>
    <w:rsid w:val="00585800"/>
    <w:rsid w:val="00586493"/>
    <w:rsid w:val="0058662D"/>
    <w:rsid w:val="005871D8"/>
    <w:rsid w:val="0058799A"/>
    <w:rsid w:val="00592676"/>
    <w:rsid w:val="00593B80"/>
    <w:rsid w:val="005951DA"/>
    <w:rsid w:val="005A03EE"/>
    <w:rsid w:val="005A06D3"/>
    <w:rsid w:val="005A0AF8"/>
    <w:rsid w:val="005A2B2E"/>
    <w:rsid w:val="005A3159"/>
    <w:rsid w:val="005A5144"/>
    <w:rsid w:val="005B19CA"/>
    <w:rsid w:val="005B2CF3"/>
    <w:rsid w:val="005B5D93"/>
    <w:rsid w:val="005B63A2"/>
    <w:rsid w:val="005C2A9D"/>
    <w:rsid w:val="005C42DE"/>
    <w:rsid w:val="005C4CC3"/>
    <w:rsid w:val="005C571D"/>
    <w:rsid w:val="005C59F0"/>
    <w:rsid w:val="005C7783"/>
    <w:rsid w:val="005D451C"/>
    <w:rsid w:val="005D5D43"/>
    <w:rsid w:val="005D7C6B"/>
    <w:rsid w:val="005D7E62"/>
    <w:rsid w:val="005E0781"/>
    <w:rsid w:val="005E0E66"/>
    <w:rsid w:val="005E2461"/>
    <w:rsid w:val="005E2983"/>
    <w:rsid w:val="005E4164"/>
    <w:rsid w:val="005E45BB"/>
    <w:rsid w:val="005E67AF"/>
    <w:rsid w:val="005E680D"/>
    <w:rsid w:val="005E6ECC"/>
    <w:rsid w:val="005F1277"/>
    <w:rsid w:val="005F1C44"/>
    <w:rsid w:val="005F2A5B"/>
    <w:rsid w:val="005F2ECA"/>
    <w:rsid w:val="005F31BE"/>
    <w:rsid w:val="005F5800"/>
    <w:rsid w:val="005F62CB"/>
    <w:rsid w:val="005F79D9"/>
    <w:rsid w:val="00600A02"/>
    <w:rsid w:val="00602EB0"/>
    <w:rsid w:val="00606989"/>
    <w:rsid w:val="00610482"/>
    <w:rsid w:val="00611049"/>
    <w:rsid w:val="00613B72"/>
    <w:rsid w:val="00620E28"/>
    <w:rsid w:val="00621E46"/>
    <w:rsid w:val="006221AA"/>
    <w:rsid w:val="00623B31"/>
    <w:rsid w:val="00624D79"/>
    <w:rsid w:val="006274E1"/>
    <w:rsid w:val="0062776E"/>
    <w:rsid w:val="006305E4"/>
    <w:rsid w:val="00631163"/>
    <w:rsid w:val="00631270"/>
    <w:rsid w:val="00632044"/>
    <w:rsid w:val="006360F2"/>
    <w:rsid w:val="00636B7A"/>
    <w:rsid w:val="00640DF7"/>
    <w:rsid w:val="0064166B"/>
    <w:rsid w:val="006419AA"/>
    <w:rsid w:val="00644C74"/>
    <w:rsid w:val="006454DC"/>
    <w:rsid w:val="006461CC"/>
    <w:rsid w:val="0064691A"/>
    <w:rsid w:val="00646E08"/>
    <w:rsid w:val="00655C49"/>
    <w:rsid w:val="00656560"/>
    <w:rsid w:val="00656983"/>
    <w:rsid w:val="00657119"/>
    <w:rsid w:val="006601EB"/>
    <w:rsid w:val="00662C10"/>
    <w:rsid w:val="00663B47"/>
    <w:rsid w:val="00664C1C"/>
    <w:rsid w:val="0066576D"/>
    <w:rsid w:val="00667305"/>
    <w:rsid w:val="00670CDF"/>
    <w:rsid w:val="006713C0"/>
    <w:rsid w:val="00671CB6"/>
    <w:rsid w:val="0067212C"/>
    <w:rsid w:val="00672830"/>
    <w:rsid w:val="00672CA0"/>
    <w:rsid w:val="00674758"/>
    <w:rsid w:val="006810C3"/>
    <w:rsid w:val="00682DF3"/>
    <w:rsid w:val="006836A7"/>
    <w:rsid w:val="006837F6"/>
    <w:rsid w:val="00683A24"/>
    <w:rsid w:val="00683B0E"/>
    <w:rsid w:val="00684541"/>
    <w:rsid w:val="006878EA"/>
    <w:rsid w:val="00691365"/>
    <w:rsid w:val="00691D96"/>
    <w:rsid w:val="00695727"/>
    <w:rsid w:val="00695E7E"/>
    <w:rsid w:val="0069686F"/>
    <w:rsid w:val="006A06A9"/>
    <w:rsid w:val="006A292F"/>
    <w:rsid w:val="006A3F76"/>
    <w:rsid w:val="006A507F"/>
    <w:rsid w:val="006A7446"/>
    <w:rsid w:val="006B08B4"/>
    <w:rsid w:val="006B1779"/>
    <w:rsid w:val="006B22D6"/>
    <w:rsid w:val="006B3B9F"/>
    <w:rsid w:val="006B4BD8"/>
    <w:rsid w:val="006B54D7"/>
    <w:rsid w:val="006B560C"/>
    <w:rsid w:val="006B60DC"/>
    <w:rsid w:val="006B618E"/>
    <w:rsid w:val="006B69D2"/>
    <w:rsid w:val="006B6F5B"/>
    <w:rsid w:val="006B7B76"/>
    <w:rsid w:val="006C0D52"/>
    <w:rsid w:val="006C162B"/>
    <w:rsid w:val="006C231A"/>
    <w:rsid w:val="006C2BFE"/>
    <w:rsid w:val="006C4642"/>
    <w:rsid w:val="006C67D9"/>
    <w:rsid w:val="006C6C6F"/>
    <w:rsid w:val="006D00CF"/>
    <w:rsid w:val="006D13C9"/>
    <w:rsid w:val="006D6AB8"/>
    <w:rsid w:val="006E2D48"/>
    <w:rsid w:val="006E36E6"/>
    <w:rsid w:val="006E3FCF"/>
    <w:rsid w:val="006F0116"/>
    <w:rsid w:val="006F1A82"/>
    <w:rsid w:val="006F2049"/>
    <w:rsid w:val="006F309B"/>
    <w:rsid w:val="006F3C21"/>
    <w:rsid w:val="006F3F45"/>
    <w:rsid w:val="006F6A80"/>
    <w:rsid w:val="006F730B"/>
    <w:rsid w:val="006F7C8D"/>
    <w:rsid w:val="0070004A"/>
    <w:rsid w:val="007008D1"/>
    <w:rsid w:val="00704765"/>
    <w:rsid w:val="007067F4"/>
    <w:rsid w:val="00706AE1"/>
    <w:rsid w:val="0071290B"/>
    <w:rsid w:val="0071337D"/>
    <w:rsid w:val="00714FBF"/>
    <w:rsid w:val="0071687F"/>
    <w:rsid w:val="00717236"/>
    <w:rsid w:val="00720289"/>
    <w:rsid w:val="00720303"/>
    <w:rsid w:val="0072169E"/>
    <w:rsid w:val="0072379E"/>
    <w:rsid w:val="0072465E"/>
    <w:rsid w:val="00724CF0"/>
    <w:rsid w:val="007267C7"/>
    <w:rsid w:val="00726C38"/>
    <w:rsid w:val="007320A1"/>
    <w:rsid w:val="00733AE3"/>
    <w:rsid w:val="007361F6"/>
    <w:rsid w:val="00736C84"/>
    <w:rsid w:val="007415EE"/>
    <w:rsid w:val="007456DA"/>
    <w:rsid w:val="0075074A"/>
    <w:rsid w:val="007533D7"/>
    <w:rsid w:val="00755B7B"/>
    <w:rsid w:val="007567DC"/>
    <w:rsid w:val="0075696F"/>
    <w:rsid w:val="00761F9C"/>
    <w:rsid w:val="0076324E"/>
    <w:rsid w:val="007633AD"/>
    <w:rsid w:val="007637C2"/>
    <w:rsid w:val="00764404"/>
    <w:rsid w:val="00765414"/>
    <w:rsid w:val="007670E1"/>
    <w:rsid w:val="00770832"/>
    <w:rsid w:val="00770B73"/>
    <w:rsid w:val="00770BBA"/>
    <w:rsid w:val="00770E2D"/>
    <w:rsid w:val="00771203"/>
    <w:rsid w:val="0077295E"/>
    <w:rsid w:val="00774EA6"/>
    <w:rsid w:val="00774F2C"/>
    <w:rsid w:val="007754EC"/>
    <w:rsid w:val="0078192F"/>
    <w:rsid w:val="00782D82"/>
    <w:rsid w:val="007834AF"/>
    <w:rsid w:val="007900FC"/>
    <w:rsid w:val="00790380"/>
    <w:rsid w:val="007924A5"/>
    <w:rsid w:val="00794F2B"/>
    <w:rsid w:val="00797035"/>
    <w:rsid w:val="0079752F"/>
    <w:rsid w:val="007975F4"/>
    <w:rsid w:val="007A0897"/>
    <w:rsid w:val="007A35F3"/>
    <w:rsid w:val="007A64EE"/>
    <w:rsid w:val="007A6702"/>
    <w:rsid w:val="007A7008"/>
    <w:rsid w:val="007B208E"/>
    <w:rsid w:val="007B2CF6"/>
    <w:rsid w:val="007B6D46"/>
    <w:rsid w:val="007B724A"/>
    <w:rsid w:val="007C21C4"/>
    <w:rsid w:val="007C28AB"/>
    <w:rsid w:val="007C35EB"/>
    <w:rsid w:val="007C4EAE"/>
    <w:rsid w:val="007C543A"/>
    <w:rsid w:val="007C56C1"/>
    <w:rsid w:val="007D002A"/>
    <w:rsid w:val="007D04CC"/>
    <w:rsid w:val="007D08AB"/>
    <w:rsid w:val="007D27EB"/>
    <w:rsid w:val="007D3176"/>
    <w:rsid w:val="007D4F28"/>
    <w:rsid w:val="007D513C"/>
    <w:rsid w:val="007E041E"/>
    <w:rsid w:val="007E0C5C"/>
    <w:rsid w:val="007E16B9"/>
    <w:rsid w:val="007E182F"/>
    <w:rsid w:val="007E3D0F"/>
    <w:rsid w:val="007E4F5D"/>
    <w:rsid w:val="007E51AB"/>
    <w:rsid w:val="007E5E9A"/>
    <w:rsid w:val="007F1E8F"/>
    <w:rsid w:val="007F2156"/>
    <w:rsid w:val="007F50E5"/>
    <w:rsid w:val="007F76EC"/>
    <w:rsid w:val="00801493"/>
    <w:rsid w:val="00803E59"/>
    <w:rsid w:val="008040FF"/>
    <w:rsid w:val="00804794"/>
    <w:rsid w:val="00807202"/>
    <w:rsid w:val="0080748E"/>
    <w:rsid w:val="008129C1"/>
    <w:rsid w:val="00814665"/>
    <w:rsid w:val="00814DF4"/>
    <w:rsid w:val="008158D2"/>
    <w:rsid w:val="00817438"/>
    <w:rsid w:val="00817E78"/>
    <w:rsid w:val="00817FBF"/>
    <w:rsid w:val="00817FD1"/>
    <w:rsid w:val="00820714"/>
    <w:rsid w:val="00820814"/>
    <w:rsid w:val="008226C9"/>
    <w:rsid w:val="008239FD"/>
    <w:rsid w:val="00827013"/>
    <w:rsid w:val="00831E42"/>
    <w:rsid w:val="00831E59"/>
    <w:rsid w:val="008332DD"/>
    <w:rsid w:val="00833C7C"/>
    <w:rsid w:val="00833D58"/>
    <w:rsid w:val="00834691"/>
    <w:rsid w:val="00837B20"/>
    <w:rsid w:val="00837F15"/>
    <w:rsid w:val="00841063"/>
    <w:rsid w:val="00841898"/>
    <w:rsid w:val="008423B7"/>
    <w:rsid w:val="00842EA5"/>
    <w:rsid w:val="00845505"/>
    <w:rsid w:val="00846685"/>
    <w:rsid w:val="008467AF"/>
    <w:rsid w:val="008476B4"/>
    <w:rsid w:val="008477A3"/>
    <w:rsid w:val="00847ADC"/>
    <w:rsid w:val="00847BD0"/>
    <w:rsid w:val="00851738"/>
    <w:rsid w:val="00852961"/>
    <w:rsid w:val="00852D1A"/>
    <w:rsid w:val="0085713D"/>
    <w:rsid w:val="008572C9"/>
    <w:rsid w:val="00861348"/>
    <w:rsid w:val="00861740"/>
    <w:rsid w:val="008629EE"/>
    <w:rsid w:val="00862B92"/>
    <w:rsid w:val="008631DD"/>
    <w:rsid w:val="0086333C"/>
    <w:rsid w:val="008665DB"/>
    <w:rsid w:val="008672F6"/>
    <w:rsid w:val="0087056B"/>
    <w:rsid w:val="00871E2A"/>
    <w:rsid w:val="008721A8"/>
    <w:rsid w:val="008729A3"/>
    <w:rsid w:val="00872BE1"/>
    <w:rsid w:val="00875229"/>
    <w:rsid w:val="00882F75"/>
    <w:rsid w:val="008865B7"/>
    <w:rsid w:val="00887060"/>
    <w:rsid w:val="008876FB"/>
    <w:rsid w:val="00892423"/>
    <w:rsid w:val="008944FC"/>
    <w:rsid w:val="008954D6"/>
    <w:rsid w:val="00895541"/>
    <w:rsid w:val="00895566"/>
    <w:rsid w:val="00895E6C"/>
    <w:rsid w:val="00896E61"/>
    <w:rsid w:val="008A1E29"/>
    <w:rsid w:val="008A26B6"/>
    <w:rsid w:val="008A29CB"/>
    <w:rsid w:val="008A38AB"/>
    <w:rsid w:val="008A4ABD"/>
    <w:rsid w:val="008A6B57"/>
    <w:rsid w:val="008A6C67"/>
    <w:rsid w:val="008B2149"/>
    <w:rsid w:val="008B4FA9"/>
    <w:rsid w:val="008B63A1"/>
    <w:rsid w:val="008B6B91"/>
    <w:rsid w:val="008B74EE"/>
    <w:rsid w:val="008C0F43"/>
    <w:rsid w:val="008C14F4"/>
    <w:rsid w:val="008C1509"/>
    <w:rsid w:val="008C15FD"/>
    <w:rsid w:val="008C17F4"/>
    <w:rsid w:val="008C2826"/>
    <w:rsid w:val="008C2C8C"/>
    <w:rsid w:val="008C38E5"/>
    <w:rsid w:val="008C491D"/>
    <w:rsid w:val="008C6E50"/>
    <w:rsid w:val="008D2F2C"/>
    <w:rsid w:val="008D3484"/>
    <w:rsid w:val="008D34BB"/>
    <w:rsid w:val="008D3976"/>
    <w:rsid w:val="008D3ACA"/>
    <w:rsid w:val="008D5D64"/>
    <w:rsid w:val="008D71E7"/>
    <w:rsid w:val="008D739C"/>
    <w:rsid w:val="008E09A5"/>
    <w:rsid w:val="008E0E3C"/>
    <w:rsid w:val="008E1151"/>
    <w:rsid w:val="008E32CB"/>
    <w:rsid w:val="008E460E"/>
    <w:rsid w:val="008E4FCE"/>
    <w:rsid w:val="008E63CB"/>
    <w:rsid w:val="008E7436"/>
    <w:rsid w:val="008F1CBB"/>
    <w:rsid w:val="008F1DCC"/>
    <w:rsid w:val="008F391E"/>
    <w:rsid w:val="008F5ED9"/>
    <w:rsid w:val="00900E74"/>
    <w:rsid w:val="00903A15"/>
    <w:rsid w:val="0090421E"/>
    <w:rsid w:val="00904332"/>
    <w:rsid w:val="00904436"/>
    <w:rsid w:val="00904AF2"/>
    <w:rsid w:val="0090604F"/>
    <w:rsid w:val="00906476"/>
    <w:rsid w:val="009120F8"/>
    <w:rsid w:val="009125B5"/>
    <w:rsid w:val="009128F9"/>
    <w:rsid w:val="00912976"/>
    <w:rsid w:val="0091302D"/>
    <w:rsid w:val="0091403E"/>
    <w:rsid w:val="0091587A"/>
    <w:rsid w:val="00915CF1"/>
    <w:rsid w:val="00916E57"/>
    <w:rsid w:val="009174AD"/>
    <w:rsid w:val="00917702"/>
    <w:rsid w:val="009178BB"/>
    <w:rsid w:val="00920786"/>
    <w:rsid w:val="00922269"/>
    <w:rsid w:val="00923AE7"/>
    <w:rsid w:val="00924E54"/>
    <w:rsid w:val="009260AC"/>
    <w:rsid w:val="009316E7"/>
    <w:rsid w:val="00931B8C"/>
    <w:rsid w:val="00931D18"/>
    <w:rsid w:val="00932093"/>
    <w:rsid w:val="00934BE6"/>
    <w:rsid w:val="0093780A"/>
    <w:rsid w:val="00942357"/>
    <w:rsid w:val="00942492"/>
    <w:rsid w:val="009441DB"/>
    <w:rsid w:val="00944AFC"/>
    <w:rsid w:val="00944BC4"/>
    <w:rsid w:val="00945ABA"/>
    <w:rsid w:val="009465C9"/>
    <w:rsid w:val="009478EE"/>
    <w:rsid w:val="00953C28"/>
    <w:rsid w:val="00955ABF"/>
    <w:rsid w:val="00957C93"/>
    <w:rsid w:val="0096210F"/>
    <w:rsid w:val="00964B29"/>
    <w:rsid w:val="009652E9"/>
    <w:rsid w:val="00965AA7"/>
    <w:rsid w:val="00967365"/>
    <w:rsid w:val="00967E92"/>
    <w:rsid w:val="00971D26"/>
    <w:rsid w:val="009730C2"/>
    <w:rsid w:val="00973386"/>
    <w:rsid w:val="00973503"/>
    <w:rsid w:val="00973AE1"/>
    <w:rsid w:val="00974030"/>
    <w:rsid w:val="009743FB"/>
    <w:rsid w:val="0097528A"/>
    <w:rsid w:val="00976449"/>
    <w:rsid w:val="009801EB"/>
    <w:rsid w:val="0098063D"/>
    <w:rsid w:val="00980799"/>
    <w:rsid w:val="00981D6D"/>
    <w:rsid w:val="00983473"/>
    <w:rsid w:val="009842DF"/>
    <w:rsid w:val="009848D3"/>
    <w:rsid w:val="00984D79"/>
    <w:rsid w:val="009853AB"/>
    <w:rsid w:val="00985B72"/>
    <w:rsid w:val="0098721A"/>
    <w:rsid w:val="00990226"/>
    <w:rsid w:val="00992B27"/>
    <w:rsid w:val="00992BC5"/>
    <w:rsid w:val="009930E8"/>
    <w:rsid w:val="00993679"/>
    <w:rsid w:val="00993957"/>
    <w:rsid w:val="00995E1B"/>
    <w:rsid w:val="00995F40"/>
    <w:rsid w:val="00996ECD"/>
    <w:rsid w:val="00997046"/>
    <w:rsid w:val="00997733"/>
    <w:rsid w:val="00997927"/>
    <w:rsid w:val="00997CB0"/>
    <w:rsid w:val="009A302B"/>
    <w:rsid w:val="009A480A"/>
    <w:rsid w:val="009A4CB8"/>
    <w:rsid w:val="009A4CBF"/>
    <w:rsid w:val="009A6149"/>
    <w:rsid w:val="009B2569"/>
    <w:rsid w:val="009B39A4"/>
    <w:rsid w:val="009B43D6"/>
    <w:rsid w:val="009B4E4D"/>
    <w:rsid w:val="009B5407"/>
    <w:rsid w:val="009B6635"/>
    <w:rsid w:val="009C1CFB"/>
    <w:rsid w:val="009C2397"/>
    <w:rsid w:val="009C53F9"/>
    <w:rsid w:val="009C59AC"/>
    <w:rsid w:val="009C6716"/>
    <w:rsid w:val="009C76B3"/>
    <w:rsid w:val="009D1323"/>
    <w:rsid w:val="009D1C37"/>
    <w:rsid w:val="009D3B55"/>
    <w:rsid w:val="009D4079"/>
    <w:rsid w:val="009D4275"/>
    <w:rsid w:val="009D4FE7"/>
    <w:rsid w:val="009D6690"/>
    <w:rsid w:val="009D77CC"/>
    <w:rsid w:val="009D7880"/>
    <w:rsid w:val="009E0464"/>
    <w:rsid w:val="009E2A57"/>
    <w:rsid w:val="009E42C2"/>
    <w:rsid w:val="009E6C01"/>
    <w:rsid w:val="009E73C4"/>
    <w:rsid w:val="009E7B53"/>
    <w:rsid w:val="009F00D8"/>
    <w:rsid w:val="009F0111"/>
    <w:rsid w:val="009F0550"/>
    <w:rsid w:val="009F1B4D"/>
    <w:rsid w:val="009F2088"/>
    <w:rsid w:val="009F29F3"/>
    <w:rsid w:val="009F47B5"/>
    <w:rsid w:val="009F50C3"/>
    <w:rsid w:val="009F6583"/>
    <w:rsid w:val="00A01223"/>
    <w:rsid w:val="00A0243A"/>
    <w:rsid w:val="00A03166"/>
    <w:rsid w:val="00A05DEF"/>
    <w:rsid w:val="00A06678"/>
    <w:rsid w:val="00A0725A"/>
    <w:rsid w:val="00A0768E"/>
    <w:rsid w:val="00A11CB3"/>
    <w:rsid w:val="00A1473F"/>
    <w:rsid w:val="00A1493B"/>
    <w:rsid w:val="00A1561F"/>
    <w:rsid w:val="00A158E0"/>
    <w:rsid w:val="00A1775E"/>
    <w:rsid w:val="00A208D0"/>
    <w:rsid w:val="00A217FD"/>
    <w:rsid w:val="00A21B51"/>
    <w:rsid w:val="00A229EA"/>
    <w:rsid w:val="00A22AF3"/>
    <w:rsid w:val="00A24957"/>
    <w:rsid w:val="00A25773"/>
    <w:rsid w:val="00A265E2"/>
    <w:rsid w:val="00A2686F"/>
    <w:rsid w:val="00A32CC6"/>
    <w:rsid w:val="00A35FDD"/>
    <w:rsid w:val="00A4399E"/>
    <w:rsid w:val="00A441DE"/>
    <w:rsid w:val="00A47F2D"/>
    <w:rsid w:val="00A50451"/>
    <w:rsid w:val="00A50B01"/>
    <w:rsid w:val="00A522BD"/>
    <w:rsid w:val="00A540B6"/>
    <w:rsid w:val="00A55C1E"/>
    <w:rsid w:val="00A56E94"/>
    <w:rsid w:val="00A60202"/>
    <w:rsid w:val="00A60C01"/>
    <w:rsid w:val="00A613CE"/>
    <w:rsid w:val="00A64100"/>
    <w:rsid w:val="00A648DA"/>
    <w:rsid w:val="00A6642E"/>
    <w:rsid w:val="00A67A86"/>
    <w:rsid w:val="00A704DD"/>
    <w:rsid w:val="00A71B18"/>
    <w:rsid w:val="00A726B4"/>
    <w:rsid w:val="00A74D70"/>
    <w:rsid w:val="00A757FF"/>
    <w:rsid w:val="00A75A46"/>
    <w:rsid w:val="00A75A6A"/>
    <w:rsid w:val="00A77BC7"/>
    <w:rsid w:val="00A8069D"/>
    <w:rsid w:val="00A80C2F"/>
    <w:rsid w:val="00A81B93"/>
    <w:rsid w:val="00A82A89"/>
    <w:rsid w:val="00A82F2C"/>
    <w:rsid w:val="00A83BDC"/>
    <w:rsid w:val="00A83CAB"/>
    <w:rsid w:val="00A844C6"/>
    <w:rsid w:val="00A84B9A"/>
    <w:rsid w:val="00A86049"/>
    <w:rsid w:val="00A878F4"/>
    <w:rsid w:val="00A87DE1"/>
    <w:rsid w:val="00A917AD"/>
    <w:rsid w:val="00A93175"/>
    <w:rsid w:val="00A9385F"/>
    <w:rsid w:val="00A93A56"/>
    <w:rsid w:val="00A94086"/>
    <w:rsid w:val="00A9596F"/>
    <w:rsid w:val="00A96EF6"/>
    <w:rsid w:val="00A977CF"/>
    <w:rsid w:val="00A97896"/>
    <w:rsid w:val="00AA0B7F"/>
    <w:rsid w:val="00AA179B"/>
    <w:rsid w:val="00AA2044"/>
    <w:rsid w:val="00AA2704"/>
    <w:rsid w:val="00AA2962"/>
    <w:rsid w:val="00AA3845"/>
    <w:rsid w:val="00AA50EA"/>
    <w:rsid w:val="00AA59EF"/>
    <w:rsid w:val="00AA76E6"/>
    <w:rsid w:val="00AB31A8"/>
    <w:rsid w:val="00AB4B5B"/>
    <w:rsid w:val="00AB501A"/>
    <w:rsid w:val="00AB5DB5"/>
    <w:rsid w:val="00AB717C"/>
    <w:rsid w:val="00AB7D0C"/>
    <w:rsid w:val="00AB7E39"/>
    <w:rsid w:val="00AC1A14"/>
    <w:rsid w:val="00AC1C97"/>
    <w:rsid w:val="00AC4805"/>
    <w:rsid w:val="00AC4B72"/>
    <w:rsid w:val="00AC50AA"/>
    <w:rsid w:val="00AC595F"/>
    <w:rsid w:val="00AC630B"/>
    <w:rsid w:val="00AD1D7E"/>
    <w:rsid w:val="00AD2AAA"/>
    <w:rsid w:val="00AD4568"/>
    <w:rsid w:val="00AD58BA"/>
    <w:rsid w:val="00AD5A12"/>
    <w:rsid w:val="00AD63AE"/>
    <w:rsid w:val="00AD6873"/>
    <w:rsid w:val="00AD6CE3"/>
    <w:rsid w:val="00AD6D9C"/>
    <w:rsid w:val="00AD6E7B"/>
    <w:rsid w:val="00AD78F5"/>
    <w:rsid w:val="00AE06D6"/>
    <w:rsid w:val="00AE1FE6"/>
    <w:rsid w:val="00AE3A6E"/>
    <w:rsid w:val="00AE4A9A"/>
    <w:rsid w:val="00AE5F4F"/>
    <w:rsid w:val="00AE7542"/>
    <w:rsid w:val="00AF0503"/>
    <w:rsid w:val="00AF1ADE"/>
    <w:rsid w:val="00AF2D7A"/>
    <w:rsid w:val="00AF34E9"/>
    <w:rsid w:val="00AF501D"/>
    <w:rsid w:val="00AF5338"/>
    <w:rsid w:val="00AF6051"/>
    <w:rsid w:val="00AF6500"/>
    <w:rsid w:val="00AF6783"/>
    <w:rsid w:val="00AF7076"/>
    <w:rsid w:val="00AF76F9"/>
    <w:rsid w:val="00B01B40"/>
    <w:rsid w:val="00B0281D"/>
    <w:rsid w:val="00B02E94"/>
    <w:rsid w:val="00B050DE"/>
    <w:rsid w:val="00B05AA6"/>
    <w:rsid w:val="00B062A2"/>
    <w:rsid w:val="00B07677"/>
    <w:rsid w:val="00B10F74"/>
    <w:rsid w:val="00B115D5"/>
    <w:rsid w:val="00B1244F"/>
    <w:rsid w:val="00B12FD3"/>
    <w:rsid w:val="00B132D9"/>
    <w:rsid w:val="00B13662"/>
    <w:rsid w:val="00B14F53"/>
    <w:rsid w:val="00B1612F"/>
    <w:rsid w:val="00B1619A"/>
    <w:rsid w:val="00B169C6"/>
    <w:rsid w:val="00B17E8D"/>
    <w:rsid w:val="00B21AB3"/>
    <w:rsid w:val="00B240EE"/>
    <w:rsid w:val="00B24355"/>
    <w:rsid w:val="00B24E50"/>
    <w:rsid w:val="00B25C21"/>
    <w:rsid w:val="00B270E0"/>
    <w:rsid w:val="00B31973"/>
    <w:rsid w:val="00B320C7"/>
    <w:rsid w:val="00B34B81"/>
    <w:rsid w:val="00B34C83"/>
    <w:rsid w:val="00B3543A"/>
    <w:rsid w:val="00B35AFD"/>
    <w:rsid w:val="00B377EE"/>
    <w:rsid w:val="00B37FEB"/>
    <w:rsid w:val="00B40675"/>
    <w:rsid w:val="00B42B18"/>
    <w:rsid w:val="00B46671"/>
    <w:rsid w:val="00B47161"/>
    <w:rsid w:val="00B510B9"/>
    <w:rsid w:val="00B51417"/>
    <w:rsid w:val="00B51DCC"/>
    <w:rsid w:val="00B52D16"/>
    <w:rsid w:val="00B55EDE"/>
    <w:rsid w:val="00B56611"/>
    <w:rsid w:val="00B60E39"/>
    <w:rsid w:val="00B614F6"/>
    <w:rsid w:val="00B66F3D"/>
    <w:rsid w:val="00B677BF"/>
    <w:rsid w:val="00B67CD4"/>
    <w:rsid w:val="00B70239"/>
    <w:rsid w:val="00B71BC1"/>
    <w:rsid w:val="00B734D3"/>
    <w:rsid w:val="00B73649"/>
    <w:rsid w:val="00B7481B"/>
    <w:rsid w:val="00B7575B"/>
    <w:rsid w:val="00B76E7C"/>
    <w:rsid w:val="00B77886"/>
    <w:rsid w:val="00B800C0"/>
    <w:rsid w:val="00B80469"/>
    <w:rsid w:val="00B80B22"/>
    <w:rsid w:val="00B83EED"/>
    <w:rsid w:val="00B8531E"/>
    <w:rsid w:val="00B869FB"/>
    <w:rsid w:val="00B86CC0"/>
    <w:rsid w:val="00B878CC"/>
    <w:rsid w:val="00B9123C"/>
    <w:rsid w:val="00B9215F"/>
    <w:rsid w:val="00B9376A"/>
    <w:rsid w:val="00B94CDE"/>
    <w:rsid w:val="00B95352"/>
    <w:rsid w:val="00B95373"/>
    <w:rsid w:val="00B96E66"/>
    <w:rsid w:val="00B97F6C"/>
    <w:rsid w:val="00BA47FF"/>
    <w:rsid w:val="00BA53CE"/>
    <w:rsid w:val="00BA61D0"/>
    <w:rsid w:val="00BB0877"/>
    <w:rsid w:val="00BB08BD"/>
    <w:rsid w:val="00BB16D1"/>
    <w:rsid w:val="00BB186F"/>
    <w:rsid w:val="00BB1874"/>
    <w:rsid w:val="00BB4CA7"/>
    <w:rsid w:val="00BB53AD"/>
    <w:rsid w:val="00BB5C35"/>
    <w:rsid w:val="00BB7CE9"/>
    <w:rsid w:val="00BC17C0"/>
    <w:rsid w:val="00BC44F3"/>
    <w:rsid w:val="00BC50EF"/>
    <w:rsid w:val="00BD0DAF"/>
    <w:rsid w:val="00BD1FA0"/>
    <w:rsid w:val="00BD4ADF"/>
    <w:rsid w:val="00BD5E4D"/>
    <w:rsid w:val="00BD7514"/>
    <w:rsid w:val="00BE4CDD"/>
    <w:rsid w:val="00BE505A"/>
    <w:rsid w:val="00BE51A7"/>
    <w:rsid w:val="00BE56E0"/>
    <w:rsid w:val="00BE61FB"/>
    <w:rsid w:val="00BF059A"/>
    <w:rsid w:val="00BF07F5"/>
    <w:rsid w:val="00BF14F1"/>
    <w:rsid w:val="00BF17E5"/>
    <w:rsid w:val="00BF22C5"/>
    <w:rsid w:val="00BF37B8"/>
    <w:rsid w:val="00BF409F"/>
    <w:rsid w:val="00BF5712"/>
    <w:rsid w:val="00BF60D3"/>
    <w:rsid w:val="00BF79CD"/>
    <w:rsid w:val="00C00438"/>
    <w:rsid w:val="00C02556"/>
    <w:rsid w:val="00C05D67"/>
    <w:rsid w:val="00C071B8"/>
    <w:rsid w:val="00C07953"/>
    <w:rsid w:val="00C11348"/>
    <w:rsid w:val="00C142EC"/>
    <w:rsid w:val="00C15156"/>
    <w:rsid w:val="00C15757"/>
    <w:rsid w:val="00C15A9A"/>
    <w:rsid w:val="00C16CFB"/>
    <w:rsid w:val="00C171D9"/>
    <w:rsid w:val="00C172E1"/>
    <w:rsid w:val="00C17D57"/>
    <w:rsid w:val="00C22DC8"/>
    <w:rsid w:val="00C2420F"/>
    <w:rsid w:val="00C24330"/>
    <w:rsid w:val="00C24665"/>
    <w:rsid w:val="00C25007"/>
    <w:rsid w:val="00C2528A"/>
    <w:rsid w:val="00C25495"/>
    <w:rsid w:val="00C2555C"/>
    <w:rsid w:val="00C25959"/>
    <w:rsid w:val="00C26A64"/>
    <w:rsid w:val="00C26F26"/>
    <w:rsid w:val="00C3029B"/>
    <w:rsid w:val="00C30485"/>
    <w:rsid w:val="00C309DF"/>
    <w:rsid w:val="00C30DC1"/>
    <w:rsid w:val="00C317F7"/>
    <w:rsid w:val="00C31C55"/>
    <w:rsid w:val="00C322D2"/>
    <w:rsid w:val="00C32A34"/>
    <w:rsid w:val="00C34B55"/>
    <w:rsid w:val="00C3642A"/>
    <w:rsid w:val="00C3674A"/>
    <w:rsid w:val="00C369DA"/>
    <w:rsid w:val="00C37220"/>
    <w:rsid w:val="00C37AB3"/>
    <w:rsid w:val="00C410CC"/>
    <w:rsid w:val="00C41E7A"/>
    <w:rsid w:val="00C426A2"/>
    <w:rsid w:val="00C4382B"/>
    <w:rsid w:val="00C43E1F"/>
    <w:rsid w:val="00C44A6C"/>
    <w:rsid w:val="00C45821"/>
    <w:rsid w:val="00C45FC0"/>
    <w:rsid w:val="00C52787"/>
    <w:rsid w:val="00C527FE"/>
    <w:rsid w:val="00C54FB9"/>
    <w:rsid w:val="00C56CA3"/>
    <w:rsid w:val="00C56E8D"/>
    <w:rsid w:val="00C60595"/>
    <w:rsid w:val="00C605FF"/>
    <w:rsid w:val="00C61305"/>
    <w:rsid w:val="00C61472"/>
    <w:rsid w:val="00C61DF0"/>
    <w:rsid w:val="00C62404"/>
    <w:rsid w:val="00C6427A"/>
    <w:rsid w:val="00C643D3"/>
    <w:rsid w:val="00C652C0"/>
    <w:rsid w:val="00C6542A"/>
    <w:rsid w:val="00C6608D"/>
    <w:rsid w:val="00C67EFE"/>
    <w:rsid w:val="00C70E3C"/>
    <w:rsid w:val="00C71DD6"/>
    <w:rsid w:val="00C74078"/>
    <w:rsid w:val="00C745CE"/>
    <w:rsid w:val="00C76273"/>
    <w:rsid w:val="00C80F88"/>
    <w:rsid w:val="00C82107"/>
    <w:rsid w:val="00C825F5"/>
    <w:rsid w:val="00C8451F"/>
    <w:rsid w:val="00C84C95"/>
    <w:rsid w:val="00C854A3"/>
    <w:rsid w:val="00C875DE"/>
    <w:rsid w:val="00C905C0"/>
    <w:rsid w:val="00C91E59"/>
    <w:rsid w:val="00C93ABC"/>
    <w:rsid w:val="00C944BB"/>
    <w:rsid w:val="00C9569C"/>
    <w:rsid w:val="00C97958"/>
    <w:rsid w:val="00CA0E59"/>
    <w:rsid w:val="00CA17D7"/>
    <w:rsid w:val="00CA1BEA"/>
    <w:rsid w:val="00CA3FDA"/>
    <w:rsid w:val="00CA604D"/>
    <w:rsid w:val="00CA650F"/>
    <w:rsid w:val="00CA6DDE"/>
    <w:rsid w:val="00CA7E1D"/>
    <w:rsid w:val="00CB4CC5"/>
    <w:rsid w:val="00CB6431"/>
    <w:rsid w:val="00CB7096"/>
    <w:rsid w:val="00CC23AA"/>
    <w:rsid w:val="00CC26C6"/>
    <w:rsid w:val="00CC41EB"/>
    <w:rsid w:val="00CC5ACD"/>
    <w:rsid w:val="00CC6200"/>
    <w:rsid w:val="00CD09EB"/>
    <w:rsid w:val="00CD21C4"/>
    <w:rsid w:val="00CD3014"/>
    <w:rsid w:val="00CD3056"/>
    <w:rsid w:val="00CD3D19"/>
    <w:rsid w:val="00CD4535"/>
    <w:rsid w:val="00CD47C9"/>
    <w:rsid w:val="00CD56CE"/>
    <w:rsid w:val="00CD64C8"/>
    <w:rsid w:val="00CD6716"/>
    <w:rsid w:val="00CE0AE4"/>
    <w:rsid w:val="00CE15C2"/>
    <w:rsid w:val="00CE3983"/>
    <w:rsid w:val="00CE3E30"/>
    <w:rsid w:val="00CE45E3"/>
    <w:rsid w:val="00CE482F"/>
    <w:rsid w:val="00CE6730"/>
    <w:rsid w:val="00CE6C1E"/>
    <w:rsid w:val="00CE75B1"/>
    <w:rsid w:val="00CF1326"/>
    <w:rsid w:val="00CF3257"/>
    <w:rsid w:val="00CF3DE8"/>
    <w:rsid w:val="00CF4040"/>
    <w:rsid w:val="00CF51B2"/>
    <w:rsid w:val="00CF56A6"/>
    <w:rsid w:val="00CF7B69"/>
    <w:rsid w:val="00D002D6"/>
    <w:rsid w:val="00D01964"/>
    <w:rsid w:val="00D039D1"/>
    <w:rsid w:val="00D052FD"/>
    <w:rsid w:val="00D067E1"/>
    <w:rsid w:val="00D0799D"/>
    <w:rsid w:val="00D1092D"/>
    <w:rsid w:val="00D11B9C"/>
    <w:rsid w:val="00D126AA"/>
    <w:rsid w:val="00D1410B"/>
    <w:rsid w:val="00D1434F"/>
    <w:rsid w:val="00D15819"/>
    <w:rsid w:val="00D15D49"/>
    <w:rsid w:val="00D16045"/>
    <w:rsid w:val="00D22D58"/>
    <w:rsid w:val="00D22E78"/>
    <w:rsid w:val="00D26378"/>
    <w:rsid w:val="00D264F2"/>
    <w:rsid w:val="00D271E9"/>
    <w:rsid w:val="00D312DB"/>
    <w:rsid w:val="00D4205B"/>
    <w:rsid w:val="00D43831"/>
    <w:rsid w:val="00D43E2F"/>
    <w:rsid w:val="00D446CF"/>
    <w:rsid w:val="00D50670"/>
    <w:rsid w:val="00D509B0"/>
    <w:rsid w:val="00D50D78"/>
    <w:rsid w:val="00D51F05"/>
    <w:rsid w:val="00D52D84"/>
    <w:rsid w:val="00D535DB"/>
    <w:rsid w:val="00D538A4"/>
    <w:rsid w:val="00D5466C"/>
    <w:rsid w:val="00D54D53"/>
    <w:rsid w:val="00D55327"/>
    <w:rsid w:val="00D55759"/>
    <w:rsid w:val="00D61432"/>
    <w:rsid w:val="00D62A48"/>
    <w:rsid w:val="00D62EB2"/>
    <w:rsid w:val="00D63012"/>
    <w:rsid w:val="00D645E9"/>
    <w:rsid w:val="00D64E8A"/>
    <w:rsid w:val="00D654A2"/>
    <w:rsid w:val="00D65F4C"/>
    <w:rsid w:val="00D674E0"/>
    <w:rsid w:val="00D71B1A"/>
    <w:rsid w:val="00D72039"/>
    <w:rsid w:val="00D72318"/>
    <w:rsid w:val="00D74A5F"/>
    <w:rsid w:val="00D7539A"/>
    <w:rsid w:val="00D77152"/>
    <w:rsid w:val="00D7792C"/>
    <w:rsid w:val="00D80EA5"/>
    <w:rsid w:val="00D82349"/>
    <w:rsid w:val="00D83206"/>
    <w:rsid w:val="00D83262"/>
    <w:rsid w:val="00D8530B"/>
    <w:rsid w:val="00D91644"/>
    <w:rsid w:val="00D93574"/>
    <w:rsid w:val="00D93A03"/>
    <w:rsid w:val="00D94406"/>
    <w:rsid w:val="00D959C2"/>
    <w:rsid w:val="00D95A95"/>
    <w:rsid w:val="00D96D24"/>
    <w:rsid w:val="00D97A35"/>
    <w:rsid w:val="00DA40A8"/>
    <w:rsid w:val="00DA6778"/>
    <w:rsid w:val="00DB16F5"/>
    <w:rsid w:val="00DB1A44"/>
    <w:rsid w:val="00DB209F"/>
    <w:rsid w:val="00DB2CA8"/>
    <w:rsid w:val="00DB38FF"/>
    <w:rsid w:val="00DB4089"/>
    <w:rsid w:val="00DB6B1A"/>
    <w:rsid w:val="00DB7121"/>
    <w:rsid w:val="00DC0405"/>
    <w:rsid w:val="00DC0504"/>
    <w:rsid w:val="00DC064C"/>
    <w:rsid w:val="00DC1D93"/>
    <w:rsid w:val="00DC2F45"/>
    <w:rsid w:val="00DC3ABC"/>
    <w:rsid w:val="00DC6BE9"/>
    <w:rsid w:val="00DC6F7B"/>
    <w:rsid w:val="00DC72CD"/>
    <w:rsid w:val="00DD0F50"/>
    <w:rsid w:val="00DD3C93"/>
    <w:rsid w:val="00DD6027"/>
    <w:rsid w:val="00DD6B4B"/>
    <w:rsid w:val="00DD7436"/>
    <w:rsid w:val="00DD78E4"/>
    <w:rsid w:val="00DE22D8"/>
    <w:rsid w:val="00DE24A1"/>
    <w:rsid w:val="00DE2C07"/>
    <w:rsid w:val="00DE2EC9"/>
    <w:rsid w:val="00DE427E"/>
    <w:rsid w:val="00DE69E3"/>
    <w:rsid w:val="00DF0CD9"/>
    <w:rsid w:val="00DF11EE"/>
    <w:rsid w:val="00DF379E"/>
    <w:rsid w:val="00DF5061"/>
    <w:rsid w:val="00DF5067"/>
    <w:rsid w:val="00E00B71"/>
    <w:rsid w:val="00E02037"/>
    <w:rsid w:val="00E030DE"/>
    <w:rsid w:val="00E03485"/>
    <w:rsid w:val="00E035E9"/>
    <w:rsid w:val="00E0426E"/>
    <w:rsid w:val="00E06ADA"/>
    <w:rsid w:val="00E1274E"/>
    <w:rsid w:val="00E13B16"/>
    <w:rsid w:val="00E147E3"/>
    <w:rsid w:val="00E16A20"/>
    <w:rsid w:val="00E1729A"/>
    <w:rsid w:val="00E20C98"/>
    <w:rsid w:val="00E21A09"/>
    <w:rsid w:val="00E246B9"/>
    <w:rsid w:val="00E24F8C"/>
    <w:rsid w:val="00E272FC"/>
    <w:rsid w:val="00E2796E"/>
    <w:rsid w:val="00E3595D"/>
    <w:rsid w:val="00E36093"/>
    <w:rsid w:val="00E36595"/>
    <w:rsid w:val="00E401E1"/>
    <w:rsid w:val="00E41099"/>
    <w:rsid w:val="00E426EB"/>
    <w:rsid w:val="00E4542C"/>
    <w:rsid w:val="00E50C36"/>
    <w:rsid w:val="00E54780"/>
    <w:rsid w:val="00E57FF6"/>
    <w:rsid w:val="00E60FC8"/>
    <w:rsid w:val="00E6151B"/>
    <w:rsid w:val="00E63C04"/>
    <w:rsid w:val="00E63FD3"/>
    <w:rsid w:val="00E64197"/>
    <w:rsid w:val="00E64338"/>
    <w:rsid w:val="00E64518"/>
    <w:rsid w:val="00E646F1"/>
    <w:rsid w:val="00E651A3"/>
    <w:rsid w:val="00E71111"/>
    <w:rsid w:val="00E7237D"/>
    <w:rsid w:val="00E73B4F"/>
    <w:rsid w:val="00E74B0A"/>
    <w:rsid w:val="00E75900"/>
    <w:rsid w:val="00E75979"/>
    <w:rsid w:val="00E8064F"/>
    <w:rsid w:val="00E80B9E"/>
    <w:rsid w:val="00E80EEC"/>
    <w:rsid w:val="00E812D4"/>
    <w:rsid w:val="00E81CDD"/>
    <w:rsid w:val="00E823E8"/>
    <w:rsid w:val="00E83844"/>
    <w:rsid w:val="00E83E7D"/>
    <w:rsid w:val="00E84728"/>
    <w:rsid w:val="00E86B67"/>
    <w:rsid w:val="00E906D5"/>
    <w:rsid w:val="00E918FC"/>
    <w:rsid w:val="00E91947"/>
    <w:rsid w:val="00E92434"/>
    <w:rsid w:val="00E933DE"/>
    <w:rsid w:val="00E94945"/>
    <w:rsid w:val="00E95006"/>
    <w:rsid w:val="00E95FDB"/>
    <w:rsid w:val="00E96583"/>
    <w:rsid w:val="00EA009A"/>
    <w:rsid w:val="00EA057D"/>
    <w:rsid w:val="00EA13F9"/>
    <w:rsid w:val="00EA194C"/>
    <w:rsid w:val="00EA3353"/>
    <w:rsid w:val="00EA6E74"/>
    <w:rsid w:val="00EA7980"/>
    <w:rsid w:val="00EB30E8"/>
    <w:rsid w:val="00EB3B6F"/>
    <w:rsid w:val="00EB5E9B"/>
    <w:rsid w:val="00EB631A"/>
    <w:rsid w:val="00EB65F5"/>
    <w:rsid w:val="00EB6BA3"/>
    <w:rsid w:val="00EB7CE3"/>
    <w:rsid w:val="00EC1A1C"/>
    <w:rsid w:val="00EC3360"/>
    <w:rsid w:val="00EC4C96"/>
    <w:rsid w:val="00EC55AF"/>
    <w:rsid w:val="00EC5A13"/>
    <w:rsid w:val="00EC6782"/>
    <w:rsid w:val="00ED0629"/>
    <w:rsid w:val="00ED33B1"/>
    <w:rsid w:val="00ED3E42"/>
    <w:rsid w:val="00ED54E7"/>
    <w:rsid w:val="00ED55B0"/>
    <w:rsid w:val="00ED7A5F"/>
    <w:rsid w:val="00EE040C"/>
    <w:rsid w:val="00EE06E0"/>
    <w:rsid w:val="00EE075B"/>
    <w:rsid w:val="00EE1EA9"/>
    <w:rsid w:val="00EE5E3F"/>
    <w:rsid w:val="00EE636D"/>
    <w:rsid w:val="00EF0790"/>
    <w:rsid w:val="00EF1B11"/>
    <w:rsid w:val="00EF1FB9"/>
    <w:rsid w:val="00EF2A9C"/>
    <w:rsid w:val="00EF340E"/>
    <w:rsid w:val="00EF3EDA"/>
    <w:rsid w:val="00EF4259"/>
    <w:rsid w:val="00EF4E53"/>
    <w:rsid w:val="00EF53E3"/>
    <w:rsid w:val="00EF6AB5"/>
    <w:rsid w:val="00EF73CF"/>
    <w:rsid w:val="00F066F8"/>
    <w:rsid w:val="00F06742"/>
    <w:rsid w:val="00F06AA9"/>
    <w:rsid w:val="00F12CB3"/>
    <w:rsid w:val="00F12FF6"/>
    <w:rsid w:val="00F157DD"/>
    <w:rsid w:val="00F159D7"/>
    <w:rsid w:val="00F17A65"/>
    <w:rsid w:val="00F201AE"/>
    <w:rsid w:val="00F202C4"/>
    <w:rsid w:val="00F20742"/>
    <w:rsid w:val="00F21905"/>
    <w:rsid w:val="00F238EE"/>
    <w:rsid w:val="00F23B51"/>
    <w:rsid w:val="00F25D52"/>
    <w:rsid w:val="00F2622C"/>
    <w:rsid w:val="00F26382"/>
    <w:rsid w:val="00F2732E"/>
    <w:rsid w:val="00F2778C"/>
    <w:rsid w:val="00F30EEA"/>
    <w:rsid w:val="00F3115B"/>
    <w:rsid w:val="00F31A75"/>
    <w:rsid w:val="00F31BBB"/>
    <w:rsid w:val="00F31D13"/>
    <w:rsid w:val="00F331D8"/>
    <w:rsid w:val="00F35B19"/>
    <w:rsid w:val="00F36281"/>
    <w:rsid w:val="00F400F2"/>
    <w:rsid w:val="00F41D89"/>
    <w:rsid w:val="00F42218"/>
    <w:rsid w:val="00F446CE"/>
    <w:rsid w:val="00F44E76"/>
    <w:rsid w:val="00F454A9"/>
    <w:rsid w:val="00F46A4B"/>
    <w:rsid w:val="00F52101"/>
    <w:rsid w:val="00F527C0"/>
    <w:rsid w:val="00F5479B"/>
    <w:rsid w:val="00F55AC6"/>
    <w:rsid w:val="00F55BB2"/>
    <w:rsid w:val="00F55DEA"/>
    <w:rsid w:val="00F55F47"/>
    <w:rsid w:val="00F56BF3"/>
    <w:rsid w:val="00F56DAB"/>
    <w:rsid w:val="00F574D7"/>
    <w:rsid w:val="00F57527"/>
    <w:rsid w:val="00F5758D"/>
    <w:rsid w:val="00F642A3"/>
    <w:rsid w:val="00F65107"/>
    <w:rsid w:val="00F6527A"/>
    <w:rsid w:val="00F6592D"/>
    <w:rsid w:val="00F65FFE"/>
    <w:rsid w:val="00F71E13"/>
    <w:rsid w:val="00F7616A"/>
    <w:rsid w:val="00F7696B"/>
    <w:rsid w:val="00F76B3A"/>
    <w:rsid w:val="00F7749B"/>
    <w:rsid w:val="00F86020"/>
    <w:rsid w:val="00F91693"/>
    <w:rsid w:val="00F948F3"/>
    <w:rsid w:val="00F979E9"/>
    <w:rsid w:val="00F97D27"/>
    <w:rsid w:val="00F97DA6"/>
    <w:rsid w:val="00FA01C6"/>
    <w:rsid w:val="00FA06EF"/>
    <w:rsid w:val="00FA0BA3"/>
    <w:rsid w:val="00FA0CCC"/>
    <w:rsid w:val="00FA215A"/>
    <w:rsid w:val="00FA2446"/>
    <w:rsid w:val="00FA48DD"/>
    <w:rsid w:val="00FA4987"/>
    <w:rsid w:val="00FA61C6"/>
    <w:rsid w:val="00FA6289"/>
    <w:rsid w:val="00FB153E"/>
    <w:rsid w:val="00FB160F"/>
    <w:rsid w:val="00FB193A"/>
    <w:rsid w:val="00FB2EB1"/>
    <w:rsid w:val="00FB3515"/>
    <w:rsid w:val="00FB4824"/>
    <w:rsid w:val="00FB495B"/>
    <w:rsid w:val="00FB6EDD"/>
    <w:rsid w:val="00FC2C33"/>
    <w:rsid w:val="00FC2F6E"/>
    <w:rsid w:val="00FC36DC"/>
    <w:rsid w:val="00FC4CA0"/>
    <w:rsid w:val="00FC75A8"/>
    <w:rsid w:val="00FD0678"/>
    <w:rsid w:val="00FD213A"/>
    <w:rsid w:val="00FD37B4"/>
    <w:rsid w:val="00FD3A91"/>
    <w:rsid w:val="00FD531E"/>
    <w:rsid w:val="00FD5332"/>
    <w:rsid w:val="00FE0BA8"/>
    <w:rsid w:val="00FE0BEA"/>
    <w:rsid w:val="00FE2D6C"/>
    <w:rsid w:val="00FE2FFA"/>
    <w:rsid w:val="00FE6A90"/>
    <w:rsid w:val="00FE7F40"/>
    <w:rsid w:val="00FF0CBC"/>
    <w:rsid w:val="00FF3219"/>
    <w:rsid w:val="00FF5CBB"/>
    <w:rsid w:val="00FF6266"/>
    <w:rsid w:val="00FF6389"/>
    <w:rsid w:val="00FF7022"/>
    <w:rsid w:val="00FF759F"/>
    <w:rsid w:val="00FF765A"/>
    <w:rsid w:val="00FF79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ECC"/>
    <w:rPr>
      <w:sz w:val="24"/>
      <w:szCs w:val="24"/>
      <w:lang w:val="en-US"/>
    </w:rPr>
  </w:style>
  <w:style w:type="paragraph" w:styleId="Heading1">
    <w:name w:val="heading 1"/>
    <w:basedOn w:val="Normal"/>
    <w:next w:val="Normal"/>
    <w:qFormat/>
    <w:rsid w:val="00024559"/>
    <w:pPr>
      <w:keepNext/>
      <w:tabs>
        <w:tab w:val="num" w:pos="432"/>
      </w:tabs>
      <w:suppressAutoHyphens/>
      <w:ind w:left="432" w:hanging="432"/>
      <w:jc w:val="center"/>
      <w:outlineLvl w:val="0"/>
    </w:pPr>
    <w:rPr>
      <w:rFonts w:ascii="Arial" w:hAnsi="Arial"/>
      <w:b/>
      <w:iCs/>
      <w:sz w:val="18"/>
      <w:szCs w:val="18"/>
      <w:lang w:eastAsia="ar-SA"/>
    </w:rPr>
  </w:style>
  <w:style w:type="paragraph" w:styleId="Heading2">
    <w:name w:val="heading 2"/>
    <w:basedOn w:val="Normal"/>
    <w:next w:val="Normal"/>
    <w:qFormat/>
    <w:rsid w:val="00024559"/>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qFormat/>
    <w:rsid w:val="00024559"/>
    <w:pPr>
      <w:keepNext/>
      <w:tabs>
        <w:tab w:val="num" w:pos="720"/>
      </w:tabs>
      <w:suppressAutoHyphens/>
      <w:spacing w:before="240" w:after="60"/>
      <w:ind w:left="720" w:hanging="720"/>
      <w:outlineLvl w:val="2"/>
    </w:pPr>
    <w:rPr>
      <w:rFonts w:ascii="Arial"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7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0799D"/>
    <w:rPr>
      <w:sz w:val="20"/>
      <w:szCs w:val="20"/>
    </w:rPr>
  </w:style>
  <w:style w:type="character" w:styleId="FootnoteReference">
    <w:name w:val="footnote reference"/>
    <w:uiPriority w:val="99"/>
    <w:semiHidden/>
    <w:rsid w:val="00D0799D"/>
    <w:rPr>
      <w:vertAlign w:val="superscript"/>
    </w:rPr>
  </w:style>
  <w:style w:type="paragraph" w:styleId="BalloonText">
    <w:name w:val="Balloon Text"/>
    <w:basedOn w:val="Normal"/>
    <w:semiHidden/>
    <w:rsid w:val="00BF17E5"/>
    <w:rPr>
      <w:rFonts w:ascii="Tahoma" w:hAnsi="Tahoma" w:cs="Tahoma"/>
      <w:sz w:val="16"/>
      <w:szCs w:val="16"/>
    </w:rPr>
  </w:style>
  <w:style w:type="character" w:styleId="Hyperlink">
    <w:name w:val="Hyperlink"/>
    <w:uiPriority w:val="99"/>
    <w:rsid w:val="00E81CDD"/>
    <w:rPr>
      <w:color w:val="0000FF"/>
      <w:u w:val="single"/>
    </w:rPr>
  </w:style>
  <w:style w:type="character" w:customStyle="1" w:styleId="FootnoteTextChar">
    <w:name w:val="Footnote Text Char"/>
    <w:link w:val="FootnoteText"/>
    <w:uiPriority w:val="99"/>
    <w:semiHidden/>
    <w:locked/>
    <w:rsid w:val="001F275D"/>
    <w:rPr>
      <w:lang w:eastAsia="tr-TR"/>
    </w:rPr>
  </w:style>
  <w:style w:type="paragraph" w:styleId="EndnoteText">
    <w:name w:val="endnote text"/>
    <w:basedOn w:val="Normal"/>
    <w:link w:val="EndnoteTextChar"/>
    <w:rsid w:val="0022179E"/>
    <w:rPr>
      <w:sz w:val="20"/>
      <w:szCs w:val="20"/>
    </w:rPr>
  </w:style>
  <w:style w:type="character" w:customStyle="1" w:styleId="EndnoteTextChar">
    <w:name w:val="Endnote Text Char"/>
    <w:link w:val="EndnoteText"/>
    <w:rsid w:val="0022179E"/>
    <w:rPr>
      <w:lang w:eastAsia="tr-TR"/>
    </w:rPr>
  </w:style>
  <w:style w:type="character" w:styleId="EndnoteReference">
    <w:name w:val="endnote reference"/>
    <w:rsid w:val="002217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ECC"/>
    <w:rPr>
      <w:sz w:val="24"/>
      <w:szCs w:val="24"/>
      <w:lang w:val="en-US"/>
    </w:rPr>
  </w:style>
  <w:style w:type="paragraph" w:styleId="Heading1">
    <w:name w:val="heading 1"/>
    <w:basedOn w:val="Normal"/>
    <w:next w:val="Normal"/>
    <w:qFormat/>
    <w:rsid w:val="00024559"/>
    <w:pPr>
      <w:keepNext/>
      <w:tabs>
        <w:tab w:val="num" w:pos="432"/>
      </w:tabs>
      <w:suppressAutoHyphens/>
      <w:ind w:left="432" w:hanging="432"/>
      <w:jc w:val="center"/>
      <w:outlineLvl w:val="0"/>
    </w:pPr>
    <w:rPr>
      <w:rFonts w:ascii="Arial" w:hAnsi="Arial"/>
      <w:b/>
      <w:iCs/>
      <w:sz w:val="18"/>
      <w:szCs w:val="18"/>
      <w:lang w:eastAsia="ar-SA"/>
    </w:rPr>
  </w:style>
  <w:style w:type="paragraph" w:styleId="Heading2">
    <w:name w:val="heading 2"/>
    <w:basedOn w:val="Normal"/>
    <w:next w:val="Normal"/>
    <w:qFormat/>
    <w:rsid w:val="00024559"/>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qFormat/>
    <w:rsid w:val="00024559"/>
    <w:pPr>
      <w:keepNext/>
      <w:tabs>
        <w:tab w:val="num" w:pos="720"/>
      </w:tabs>
      <w:suppressAutoHyphens/>
      <w:spacing w:before="240" w:after="60"/>
      <w:ind w:left="720" w:hanging="720"/>
      <w:outlineLvl w:val="2"/>
    </w:pPr>
    <w:rPr>
      <w:rFonts w:ascii="Arial"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7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0799D"/>
    <w:rPr>
      <w:sz w:val="20"/>
      <w:szCs w:val="20"/>
    </w:rPr>
  </w:style>
  <w:style w:type="character" w:styleId="FootnoteReference">
    <w:name w:val="footnote reference"/>
    <w:uiPriority w:val="99"/>
    <w:semiHidden/>
    <w:rsid w:val="00D0799D"/>
    <w:rPr>
      <w:vertAlign w:val="superscript"/>
    </w:rPr>
  </w:style>
  <w:style w:type="paragraph" w:styleId="BalloonText">
    <w:name w:val="Balloon Text"/>
    <w:basedOn w:val="Normal"/>
    <w:semiHidden/>
    <w:rsid w:val="00BF17E5"/>
    <w:rPr>
      <w:rFonts w:ascii="Tahoma" w:hAnsi="Tahoma" w:cs="Tahoma"/>
      <w:sz w:val="16"/>
      <w:szCs w:val="16"/>
    </w:rPr>
  </w:style>
  <w:style w:type="character" w:styleId="Hyperlink">
    <w:name w:val="Hyperlink"/>
    <w:uiPriority w:val="99"/>
    <w:rsid w:val="00E81CDD"/>
    <w:rPr>
      <w:color w:val="0000FF"/>
      <w:u w:val="single"/>
    </w:rPr>
  </w:style>
  <w:style w:type="character" w:customStyle="1" w:styleId="FootnoteTextChar">
    <w:name w:val="Footnote Text Char"/>
    <w:link w:val="FootnoteText"/>
    <w:uiPriority w:val="99"/>
    <w:semiHidden/>
    <w:locked/>
    <w:rsid w:val="001F275D"/>
    <w:rPr>
      <w:lang w:eastAsia="tr-TR"/>
    </w:rPr>
  </w:style>
  <w:style w:type="paragraph" w:styleId="EndnoteText">
    <w:name w:val="endnote text"/>
    <w:basedOn w:val="Normal"/>
    <w:link w:val="EndnoteTextChar"/>
    <w:rsid w:val="0022179E"/>
    <w:rPr>
      <w:sz w:val="20"/>
      <w:szCs w:val="20"/>
    </w:rPr>
  </w:style>
  <w:style w:type="character" w:customStyle="1" w:styleId="EndnoteTextChar">
    <w:name w:val="Endnote Text Char"/>
    <w:link w:val="EndnoteText"/>
    <w:rsid w:val="0022179E"/>
    <w:rPr>
      <w:lang w:eastAsia="tr-TR"/>
    </w:rPr>
  </w:style>
  <w:style w:type="character" w:styleId="EndnoteReference">
    <w:name w:val="endnote reference"/>
    <w:rsid w:val="002217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393025">
      <w:bodyDiv w:val="1"/>
      <w:marLeft w:val="0"/>
      <w:marRight w:val="0"/>
      <w:marTop w:val="0"/>
      <w:marBottom w:val="0"/>
      <w:divBdr>
        <w:top w:val="none" w:sz="0" w:space="0" w:color="auto"/>
        <w:left w:val="none" w:sz="0" w:space="0" w:color="auto"/>
        <w:bottom w:val="none" w:sz="0" w:space="0" w:color="auto"/>
        <w:right w:val="none" w:sz="0" w:space="0" w:color="auto"/>
      </w:divBdr>
    </w:div>
    <w:div w:id="1038817145">
      <w:bodyDiv w:val="1"/>
      <w:marLeft w:val="0"/>
      <w:marRight w:val="0"/>
      <w:marTop w:val="375"/>
      <w:marBottom w:val="0"/>
      <w:divBdr>
        <w:top w:val="none" w:sz="0" w:space="0" w:color="auto"/>
        <w:left w:val="none" w:sz="0" w:space="0" w:color="auto"/>
        <w:bottom w:val="none" w:sz="0" w:space="0" w:color="auto"/>
        <w:right w:val="none" w:sz="0" w:space="0" w:color="auto"/>
      </w:divBdr>
    </w:div>
    <w:div w:id="1229417040">
      <w:bodyDiv w:val="1"/>
      <w:marLeft w:val="0"/>
      <w:marRight w:val="0"/>
      <w:marTop w:val="0"/>
      <w:marBottom w:val="0"/>
      <w:divBdr>
        <w:top w:val="none" w:sz="0" w:space="0" w:color="auto"/>
        <w:left w:val="none" w:sz="0" w:space="0" w:color="auto"/>
        <w:bottom w:val="none" w:sz="0" w:space="0" w:color="auto"/>
        <w:right w:val="none" w:sz="0" w:space="0" w:color="auto"/>
      </w:divBdr>
    </w:div>
    <w:div w:id="1271354726">
      <w:bodyDiv w:val="1"/>
      <w:marLeft w:val="0"/>
      <w:marRight w:val="0"/>
      <w:marTop w:val="0"/>
      <w:marBottom w:val="0"/>
      <w:divBdr>
        <w:top w:val="none" w:sz="0" w:space="0" w:color="auto"/>
        <w:left w:val="none" w:sz="0" w:space="0" w:color="auto"/>
        <w:bottom w:val="none" w:sz="0" w:space="0" w:color="auto"/>
        <w:right w:val="none" w:sz="0" w:space="0" w:color="auto"/>
      </w:divBdr>
      <w:divsChild>
        <w:div w:id="1387685193">
          <w:marLeft w:val="0"/>
          <w:marRight w:val="0"/>
          <w:marTop w:val="0"/>
          <w:marBottom w:val="0"/>
          <w:divBdr>
            <w:top w:val="none" w:sz="0" w:space="0" w:color="auto"/>
            <w:left w:val="none" w:sz="0" w:space="0" w:color="auto"/>
            <w:bottom w:val="none" w:sz="0" w:space="0" w:color="auto"/>
            <w:right w:val="none" w:sz="0" w:space="0" w:color="auto"/>
          </w:divBdr>
          <w:divsChild>
            <w:div w:id="159916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DFF44-C0B0-407C-9868-B4CEFB5A4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baris.soybilgen</dc:creator>
  <cp:lastModifiedBy>merve.akgul</cp:lastModifiedBy>
  <cp:revision>3</cp:revision>
  <cp:lastPrinted>2014-05-30T10:54:00Z</cp:lastPrinted>
  <dcterms:created xsi:type="dcterms:W3CDTF">2014-05-30T10:54:00Z</dcterms:created>
  <dcterms:modified xsi:type="dcterms:W3CDTF">2014-05-30T11:07:00Z</dcterms:modified>
</cp:coreProperties>
</file>