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CC" w:rsidRPr="0053729E" w:rsidRDefault="00AB717C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729E">
        <w:rPr>
          <w:rFonts w:ascii="Arial" w:hAnsi="Arial" w:cs="Arial"/>
          <w:b/>
          <w:noProof/>
          <w:sz w:val="32"/>
          <w:szCs w:val="32"/>
          <w:lang w:val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315200" cy="1330325"/>
            <wp:effectExtent l="19050" t="0" r="0" b="0"/>
            <wp:wrapNone/>
            <wp:docPr id="61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068">
        <w:rPr>
          <w:rFonts w:ascii="Arial" w:hAnsi="Arial" w:cs="Arial"/>
          <w:b/>
          <w:noProof/>
          <w:sz w:val="32"/>
          <w:szCs w:val="32"/>
          <w:lang w:val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3963670" cy="56896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56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74" w:rsidRPr="00342E6B" w:rsidRDefault="00900E74" w:rsidP="00024559">
                            <w:pPr>
                              <w:pStyle w:val="Heading1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Economic Outlook and Forecasts: </w:t>
                            </w:r>
                            <w:r w:rsidR="00375FA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December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2013</w:t>
                            </w:r>
                          </w:p>
                          <w:p w:rsidR="00900E74" w:rsidRPr="00A75A46" w:rsidRDefault="00900E74" w:rsidP="00024559">
                            <w:pPr>
                              <w:pStyle w:val="Heading2"/>
                              <w:rPr>
                                <w:b w:val="0"/>
                                <w:i w:val="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7pt;margin-top:-45pt;width:312.1pt;height:44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" stroked="f">
                <v:fill opacity="0"/>
                <v:textbox inset="0,0,0,0">
                  <w:txbxContent>
                    <w:p w:rsidR="00900E74" w:rsidRPr="00342E6B" w:rsidRDefault="00900E74" w:rsidP="00024559">
                      <w:pPr>
                        <w:pStyle w:val="Heading1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Economic Outlook and Forecasts: </w:t>
                      </w:r>
                      <w:r w:rsidR="00375FA4">
                        <w:rPr>
                          <w:rFonts w:ascii="Times New Roman" w:hAnsi="Times New Roman"/>
                          <w:sz w:val="40"/>
                          <w:szCs w:val="40"/>
                        </w:rPr>
                        <w:t>December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2013</w:t>
                      </w:r>
                    </w:p>
                    <w:p w:rsidR="00900E74" w:rsidRPr="00A75A46" w:rsidRDefault="00900E74" w:rsidP="00024559">
                      <w:pPr>
                        <w:pStyle w:val="Heading2"/>
                        <w:rPr>
                          <w:b w:val="0"/>
                          <w:i w:val="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ECC" w:rsidRPr="0053729E" w:rsidRDefault="00D60068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val="tr-TR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114300</wp:posOffset>
                </wp:positionV>
                <wp:extent cx="1743710" cy="34861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74" w:rsidRPr="0015586B" w:rsidRDefault="0053729E" w:rsidP="00FA48DD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December</w:t>
                            </w:r>
                            <w:r w:rsidR="00A84B9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24</w:t>
                            </w:r>
                            <w:r w:rsidR="00900E74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,</w:t>
                            </w:r>
                            <w:r w:rsidR="00552C4F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2013</w:t>
                            </w:r>
                          </w:p>
                          <w:p w:rsidR="00900E74" w:rsidRDefault="00900E74" w:rsidP="000245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62.5pt;margin-top:9pt;width:137.3pt;height:2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zLjgIAACQ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" stroked="f">
                <v:fill opacity="0"/>
                <v:textbox inset="0,0,0,0">
                  <w:txbxContent>
                    <w:p w:rsidR="00900E74" w:rsidRPr="0015586B" w:rsidRDefault="0053729E" w:rsidP="00FA48DD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December</w:t>
                      </w:r>
                      <w:r w:rsidR="00A84B9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24</w:t>
                      </w:r>
                      <w:r w:rsidR="00900E74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,</w:t>
                      </w:r>
                      <w:r w:rsidR="00552C4F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2013</w:t>
                      </w:r>
                    </w:p>
                    <w:p w:rsidR="00900E74" w:rsidRDefault="00900E74" w:rsidP="00024559"/>
                  </w:txbxContent>
                </v:textbox>
              </v:shape>
            </w:pict>
          </mc:Fallback>
        </mc:AlternateContent>
      </w:r>
    </w:p>
    <w:p w:rsidR="00357ECC" w:rsidRPr="0053729E" w:rsidRDefault="00357ECC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  <w:sectPr w:rsidR="00357ECC" w:rsidRPr="0053729E" w:rsidSect="00357ECC"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357ECC" w:rsidRPr="0053729E" w:rsidRDefault="00357ECC" w:rsidP="001E4BF5">
      <w:pPr>
        <w:spacing w:line="360" w:lineRule="auto"/>
        <w:ind w:right="-319"/>
        <w:outlineLvl w:val="0"/>
        <w:rPr>
          <w:rFonts w:ascii="Arial" w:hAnsi="Arial" w:cs="Arial"/>
          <w:b/>
          <w:sz w:val="32"/>
          <w:szCs w:val="32"/>
        </w:rPr>
      </w:pPr>
    </w:p>
    <w:p w:rsidR="00CA0E59" w:rsidRDefault="006F7C8D" w:rsidP="00CA0E59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growth stagnates ın the last quarter</w:t>
      </w:r>
    </w:p>
    <w:p w:rsidR="00B67CD4" w:rsidRPr="0053729E" w:rsidRDefault="00B67CD4" w:rsidP="00CA0E59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FA0BA3" w:rsidRPr="0053729E" w:rsidRDefault="00FA0BA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:rsidR="00357ECC" w:rsidRPr="0053729E" w:rsidRDefault="00357ECC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 w:rsidRPr="0053729E">
        <w:rPr>
          <w:rFonts w:ascii="Arial" w:hAnsi="Arial" w:cs="Arial"/>
          <w:b/>
          <w:sz w:val="22"/>
          <w:szCs w:val="22"/>
        </w:rPr>
        <w:t>Zümrüt</w:t>
      </w:r>
      <w:r w:rsidR="0053729E">
        <w:rPr>
          <w:rFonts w:ascii="Arial" w:hAnsi="Arial" w:cs="Arial"/>
          <w:b/>
          <w:sz w:val="22"/>
          <w:szCs w:val="22"/>
        </w:rPr>
        <w:t xml:space="preserve"> </w:t>
      </w:r>
      <w:r w:rsidR="009A4CBF" w:rsidRPr="0053729E">
        <w:rPr>
          <w:rFonts w:ascii="Arial" w:hAnsi="Arial" w:cs="Arial"/>
          <w:b/>
          <w:sz w:val="22"/>
          <w:szCs w:val="22"/>
        </w:rPr>
        <w:t>İmamoğlu* and</w:t>
      </w:r>
      <w:r w:rsidR="0053729E">
        <w:rPr>
          <w:rFonts w:ascii="Arial" w:hAnsi="Arial" w:cs="Arial"/>
          <w:b/>
          <w:sz w:val="22"/>
          <w:szCs w:val="22"/>
        </w:rPr>
        <w:t xml:space="preserve"> </w:t>
      </w:r>
      <w:r w:rsidRPr="0053729E">
        <w:rPr>
          <w:rFonts w:ascii="Arial" w:hAnsi="Arial" w:cs="Arial"/>
          <w:b/>
          <w:sz w:val="22"/>
          <w:szCs w:val="22"/>
        </w:rPr>
        <w:t>Barış</w:t>
      </w:r>
      <w:r w:rsidR="0053729E">
        <w:rPr>
          <w:rFonts w:ascii="Arial" w:hAnsi="Arial" w:cs="Arial"/>
          <w:b/>
          <w:sz w:val="22"/>
          <w:szCs w:val="22"/>
        </w:rPr>
        <w:t xml:space="preserve"> </w:t>
      </w:r>
      <w:r w:rsidRPr="0053729E">
        <w:rPr>
          <w:rFonts w:ascii="Arial" w:hAnsi="Arial" w:cs="Arial"/>
          <w:b/>
          <w:sz w:val="22"/>
          <w:szCs w:val="22"/>
        </w:rPr>
        <w:t>Soybilgen</w:t>
      </w:r>
      <w:r w:rsidRPr="0053729E">
        <w:rPr>
          <w:rFonts w:ascii="Arial" w:hAnsi="Arial" w:cs="Arial"/>
          <w:b/>
          <w:sz w:val="22"/>
          <w:szCs w:val="22"/>
          <w:vertAlign w:val="superscript"/>
        </w:rPr>
        <w:t>†</w:t>
      </w:r>
    </w:p>
    <w:p w:rsidR="001A2051" w:rsidRPr="0053729E" w:rsidRDefault="001A2051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sz w:val="12"/>
          <w:szCs w:val="12"/>
          <w:vertAlign w:val="superscript"/>
        </w:rPr>
        <w:sectPr w:rsidR="001A2051" w:rsidRPr="0053729E" w:rsidSect="00357E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3EDA" w:rsidRDefault="00EF3EDA" w:rsidP="008C38E5">
      <w:pPr>
        <w:spacing w:line="360" w:lineRule="auto"/>
        <w:ind w:left="-360" w:right="42" w:firstLine="360"/>
        <w:jc w:val="center"/>
        <w:rPr>
          <w:b/>
          <w:sz w:val="22"/>
          <w:szCs w:val="22"/>
        </w:rPr>
      </w:pPr>
    </w:p>
    <w:p w:rsidR="008C38E5" w:rsidRPr="006F3F45" w:rsidRDefault="008C38E5" w:rsidP="008C38E5">
      <w:pPr>
        <w:spacing w:line="360" w:lineRule="auto"/>
        <w:ind w:left="-360" w:right="42" w:firstLine="360"/>
        <w:jc w:val="center"/>
        <w:rPr>
          <w:b/>
          <w:sz w:val="22"/>
          <w:szCs w:val="22"/>
        </w:rPr>
      </w:pPr>
      <w:r w:rsidRPr="006F3F45">
        <w:rPr>
          <w:b/>
          <w:sz w:val="22"/>
          <w:szCs w:val="22"/>
        </w:rPr>
        <w:t>Executive Summary</w:t>
      </w:r>
    </w:p>
    <w:p w:rsidR="008C38E5" w:rsidRPr="006F3F45" w:rsidRDefault="008C38E5" w:rsidP="008C38E5">
      <w:pPr>
        <w:spacing w:line="360" w:lineRule="auto"/>
        <w:ind w:left="-360" w:right="42" w:firstLine="360"/>
        <w:jc w:val="center"/>
        <w:rPr>
          <w:b/>
          <w:sz w:val="16"/>
          <w:szCs w:val="16"/>
        </w:rPr>
      </w:pPr>
    </w:p>
    <w:p w:rsidR="00375FA4" w:rsidRPr="006F3F45" w:rsidRDefault="00F91693" w:rsidP="00C07953">
      <w:pPr>
        <w:spacing w:line="360" w:lineRule="auto"/>
        <w:ind w:left="-360" w:right="40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In </w:t>
      </w:r>
      <w:r w:rsidR="00375FA4" w:rsidRPr="006F3F45">
        <w:rPr>
          <w:sz w:val="22"/>
          <w:szCs w:val="22"/>
        </w:rPr>
        <w:t>October</w:t>
      </w:r>
      <w:r w:rsidRPr="006F3F45">
        <w:rPr>
          <w:sz w:val="22"/>
          <w:szCs w:val="22"/>
        </w:rPr>
        <w:t xml:space="preserve">, the Industrial Production Index (IPI) </w:t>
      </w:r>
      <w:r w:rsidR="00375FA4" w:rsidRPr="006F3F45">
        <w:rPr>
          <w:sz w:val="22"/>
          <w:szCs w:val="22"/>
        </w:rPr>
        <w:t>decreased</w:t>
      </w:r>
      <w:r w:rsidRPr="006F3F45">
        <w:rPr>
          <w:sz w:val="22"/>
          <w:szCs w:val="22"/>
        </w:rPr>
        <w:t xml:space="preserve"> by </w:t>
      </w:r>
      <w:r w:rsidR="00375FA4" w:rsidRPr="006F3F45">
        <w:rPr>
          <w:sz w:val="22"/>
          <w:szCs w:val="22"/>
        </w:rPr>
        <w:t>3.1</w:t>
      </w:r>
      <w:r w:rsidRPr="006F3F45">
        <w:rPr>
          <w:sz w:val="22"/>
          <w:szCs w:val="22"/>
        </w:rPr>
        <w:t xml:space="preserve"> percent from </w:t>
      </w:r>
      <w:r w:rsidR="00375FA4" w:rsidRPr="006F3F45">
        <w:rPr>
          <w:sz w:val="22"/>
          <w:szCs w:val="22"/>
        </w:rPr>
        <w:t>September</w:t>
      </w:r>
      <w:r w:rsidRPr="006F3F45">
        <w:rPr>
          <w:sz w:val="22"/>
          <w:szCs w:val="22"/>
        </w:rPr>
        <w:t>.</w:t>
      </w:r>
      <w:r w:rsidR="00EB631A" w:rsidRPr="006F3F45">
        <w:rPr>
          <w:sz w:val="22"/>
          <w:szCs w:val="22"/>
        </w:rPr>
        <w:t xml:space="preserve"> </w:t>
      </w:r>
      <w:r w:rsidR="00375FA4" w:rsidRPr="006F3F45">
        <w:rPr>
          <w:sz w:val="22"/>
          <w:szCs w:val="22"/>
        </w:rPr>
        <w:t>E</w:t>
      </w:r>
      <w:r w:rsidR="00EF3EDA" w:rsidRPr="006F3F45">
        <w:rPr>
          <w:sz w:val="22"/>
          <w:szCs w:val="22"/>
        </w:rPr>
        <w:t>xport volume index</w:t>
      </w:r>
      <w:r w:rsidR="008F1DCC" w:rsidRPr="006F3F45">
        <w:rPr>
          <w:sz w:val="22"/>
          <w:szCs w:val="22"/>
        </w:rPr>
        <w:t xml:space="preserve"> declined by 3.7</w:t>
      </w:r>
      <w:r w:rsidR="00375FA4" w:rsidRPr="006F3F45">
        <w:rPr>
          <w:sz w:val="22"/>
          <w:szCs w:val="22"/>
        </w:rPr>
        <w:t xml:space="preserve"> percent, whereas </w:t>
      </w:r>
      <w:r w:rsidR="00284896">
        <w:rPr>
          <w:sz w:val="22"/>
          <w:szCs w:val="22"/>
        </w:rPr>
        <w:t xml:space="preserve">the </w:t>
      </w:r>
      <w:r w:rsidR="00375FA4" w:rsidRPr="006F3F45">
        <w:rPr>
          <w:sz w:val="22"/>
          <w:szCs w:val="22"/>
        </w:rPr>
        <w:t xml:space="preserve">import volume index increased by </w:t>
      </w:r>
      <w:r w:rsidR="008F1DCC" w:rsidRPr="006F3F45">
        <w:rPr>
          <w:sz w:val="22"/>
          <w:szCs w:val="22"/>
        </w:rPr>
        <w:t>2.8</w:t>
      </w:r>
      <w:r w:rsidR="00375FA4" w:rsidRPr="006F3F45">
        <w:rPr>
          <w:sz w:val="22"/>
          <w:szCs w:val="22"/>
        </w:rPr>
        <w:t xml:space="preserve"> percent.</w:t>
      </w:r>
      <w:r w:rsidR="008F1DCC" w:rsidRPr="006F3F45">
        <w:rPr>
          <w:sz w:val="22"/>
          <w:szCs w:val="22"/>
        </w:rPr>
        <w:t xml:space="preserve"> In October,</w:t>
      </w:r>
      <w:r w:rsidR="00375FA4" w:rsidRPr="006F3F45">
        <w:rPr>
          <w:sz w:val="22"/>
          <w:szCs w:val="22"/>
        </w:rPr>
        <w:t xml:space="preserve"> IPI fel</w:t>
      </w:r>
      <w:r w:rsidR="00B1619A">
        <w:rPr>
          <w:sz w:val="22"/>
          <w:szCs w:val="22"/>
        </w:rPr>
        <w:t>l mainly due to the holiday effect</w:t>
      </w:r>
      <w:r w:rsidR="00375FA4" w:rsidRPr="006F3F45">
        <w:rPr>
          <w:sz w:val="22"/>
          <w:szCs w:val="22"/>
        </w:rPr>
        <w:t xml:space="preserve"> </w:t>
      </w:r>
      <w:r w:rsidR="00B1619A">
        <w:rPr>
          <w:sz w:val="22"/>
          <w:szCs w:val="22"/>
        </w:rPr>
        <w:t>and we expect</w:t>
      </w:r>
      <w:r w:rsidR="00375FA4" w:rsidRPr="006F3F45">
        <w:rPr>
          <w:sz w:val="22"/>
          <w:szCs w:val="22"/>
        </w:rPr>
        <w:t xml:space="preserve"> </w:t>
      </w:r>
      <w:r w:rsidR="00B1619A">
        <w:rPr>
          <w:sz w:val="22"/>
          <w:szCs w:val="22"/>
        </w:rPr>
        <w:t>it</w:t>
      </w:r>
      <w:r w:rsidR="00375FA4" w:rsidRPr="006F3F45">
        <w:rPr>
          <w:sz w:val="22"/>
          <w:szCs w:val="22"/>
        </w:rPr>
        <w:t xml:space="preserve"> </w:t>
      </w:r>
      <w:r w:rsidR="00B1619A">
        <w:rPr>
          <w:sz w:val="22"/>
          <w:szCs w:val="22"/>
        </w:rPr>
        <w:t>to</w:t>
      </w:r>
      <w:r w:rsidR="00375FA4" w:rsidRPr="006F3F45">
        <w:rPr>
          <w:sz w:val="22"/>
          <w:szCs w:val="22"/>
        </w:rPr>
        <w:t xml:space="preserve"> recover in </w:t>
      </w:r>
      <w:r w:rsidR="00B1619A">
        <w:rPr>
          <w:sz w:val="22"/>
          <w:szCs w:val="22"/>
        </w:rPr>
        <w:t>Nove</w:t>
      </w:r>
      <w:r w:rsidR="00375FA4" w:rsidRPr="006F3F45">
        <w:rPr>
          <w:sz w:val="22"/>
          <w:szCs w:val="22"/>
        </w:rPr>
        <w:t xml:space="preserve">mber. Betam's first forecast for the last quarter indicates a </w:t>
      </w:r>
      <w:r w:rsidR="00284896">
        <w:rPr>
          <w:sz w:val="22"/>
          <w:szCs w:val="22"/>
        </w:rPr>
        <w:t>stagnation in real</w:t>
      </w:r>
      <w:r w:rsidR="00CD64C8" w:rsidRPr="006F3F45">
        <w:rPr>
          <w:sz w:val="22"/>
          <w:szCs w:val="22"/>
        </w:rPr>
        <w:t xml:space="preserve"> GDP</w:t>
      </w:r>
      <w:r w:rsidR="00375FA4" w:rsidRPr="006F3F45">
        <w:rPr>
          <w:sz w:val="22"/>
          <w:szCs w:val="22"/>
        </w:rPr>
        <w:t xml:space="preserve"> </w:t>
      </w:r>
      <w:r w:rsidR="00CD64C8" w:rsidRPr="006F3F45">
        <w:rPr>
          <w:sz w:val="22"/>
          <w:szCs w:val="22"/>
        </w:rPr>
        <w:t xml:space="preserve">growth. We predict that the mild increase in private consumption will continue and private investment </w:t>
      </w:r>
      <w:r w:rsidR="00B1619A">
        <w:rPr>
          <w:sz w:val="22"/>
          <w:szCs w:val="22"/>
        </w:rPr>
        <w:t>will stagnate</w:t>
      </w:r>
      <w:r w:rsidR="00CD64C8" w:rsidRPr="006F3F45">
        <w:rPr>
          <w:sz w:val="22"/>
          <w:szCs w:val="22"/>
        </w:rPr>
        <w:t xml:space="preserve">. Moreover, net exports </w:t>
      </w:r>
      <w:r w:rsidR="00B1619A">
        <w:rPr>
          <w:sz w:val="22"/>
          <w:szCs w:val="22"/>
        </w:rPr>
        <w:t>might contribute</w:t>
      </w:r>
      <w:r w:rsidR="00CD64C8" w:rsidRPr="006F3F45">
        <w:rPr>
          <w:sz w:val="22"/>
          <w:szCs w:val="22"/>
        </w:rPr>
        <w:t xml:space="preserve"> negative</w:t>
      </w:r>
      <w:r w:rsidR="00B1619A">
        <w:rPr>
          <w:sz w:val="22"/>
          <w:szCs w:val="22"/>
        </w:rPr>
        <w:t>ly once again</w:t>
      </w:r>
      <w:r w:rsidR="00CD64C8" w:rsidRPr="006F3F45">
        <w:rPr>
          <w:sz w:val="22"/>
          <w:szCs w:val="22"/>
        </w:rPr>
        <w:t xml:space="preserve"> due to the increase in imports. </w:t>
      </w:r>
    </w:p>
    <w:p w:rsidR="00375FA4" w:rsidRPr="006F3F45" w:rsidRDefault="00375FA4" w:rsidP="00C07953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C07953" w:rsidRDefault="00C07953" w:rsidP="00C07953">
      <w:pPr>
        <w:spacing w:line="360" w:lineRule="auto"/>
        <w:ind w:left="-360" w:right="40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Betam’s quarter on quarter forecast for the </w:t>
      </w:r>
      <w:r w:rsidR="00CD64C8" w:rsidRPr="006F3F45">
        <w:rPr>
          <w:sz w:val="22"/>
          <w:szCs w:val="22"/>
        </w:rPr>
        <w:t>last</w:t>
      </w:r>
      <w:r w:rsidRPr="006F3F45">
        <w:rPr>
          <w:sz w:val="22"/>
          <w:szCs w:val="22"/>
        </w:rPr>
        <w:t xml:space="preserve"> quarter </w:t>
      </w:r>
      <w:r w:rsidR="00CD64C8" w:rsidRPr="006F3F45">
        <w:rPr>
          <w:sz w:val="22"/>
          <w:szCs w:val="22"/>
        </w:rPr>
        <w:t>is 0.1</w:t>
      </w:r>
      <w:r w:rsidRPr="006F3F45">
        <w:rPr>
          <w:sz w:val="22"/>
          <w:szCs w:val="22"/>
        </w:rPr>
        <w:t xml:space="preserve"> percent. The corresponding year on year (YoY) growth rate forecast is </w:t>
      </w:r>
      <w:r w:rsidR="00CD64C8" w:rsidRPr="006F3F45">
        <w:rPr>
          <w:sz w:val="22"/>
          <w:szCs w:val="22"/>
        </w:rPr>
        <w:t>4.5</w:t>
      </w:r>
      <w:r w:rsidRPr="006F3F45">
        <w:rPr>
          <w:sz w:val="22"/>
          <w:szCs w:val="22"/>
        </w:rPr>
        <w:t xml:space="preserve"> percent.</w:t>
      </w:r>
      <w:r w:rsidR="00CD64C8" w:rsidRPr="006F3F45">
        <w:rPr>
          <w:sz w:val="22"/>
          <w:szCs w:val="22"/>
        </w:rPr>
        <w:t xml:space="preserve"> </w:t>
      </w:r>
      <w:r w:rsidR="00957C93" w:rsidRPr="006F3F45">
        <w:rPr>
          <w:sz w:val="22"/>
          <w:szCs w:val="22"/>
        </w:rPr>
        <w:t>Our</w:t>
      </w:r>
      <w:r w:rsidR="00CD64C8" w:rsidRPr="006F3F45">
        <w:rPr>
          <w:sz w:val="22"/>
          <w:szCs w:val="22"/>
        </w:rPr>
        <w:t xml:space="preserve"> annual growth forecast for 2013 is 4.1 percent.</w:t>
      </w:r>
    </w:p>
    <w:p w:rsidR="00B67CD4" w:rsidRPr="006F3F45" w:rsidRDefault="00B67CD4" w:rsidP="00C07953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280B55" w:rsidRDefault="007754EC" w:rsidP="004155A8">
      <w:pPr>
        <w:spacing w:line="360" w:lineRule="auto"/>
        <w:ind w:left="-360" w:right="40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In </w:t>
      </w:r>
      <w:r w:rsidR="00CD64C8" w:rsidRPr="006F3F45">
        <w:rPr>
          <w:sz w:val="22"/>
          <w:szCs w:val="22"/>
        </w:rPr>
        <w:t>October</w:t>
      </w:r>
      <w:r w:rsidRPr="006F3F45">
        <w:rPr>
          <w:sz w:val="22"/>
          <w:szCs w:val="22"/>
        </w:rPr>
        <w:t>,</w:t>
      </w:r>
      <w:r w:rsidR="00CD64C8" w:rsidRPr="006F3F45">
        <w:rPr>
          <w:sz w:val="22"/>
          <w:szCs w:val="22"/>
        </w:rPr>
        <w:t xml:space="preserve"> the current account deficit (CAD)</w:t>
      </w:r>
      <w:r w:rsidRPr="006F3F45">
        <w:rPr>
          <w:sz w:val="22"/>
          <w:szCs w:val="22"/>
        </w:rPr>
        <w:t xml:space="preserve"> </w:t>
      </w:r>
      <w:r w:rsidR="00EB631A" w:rsidRPr="006F3F45">
        <w:rPr>
          <w:sz w:val="22"/>
          <w:szCs w:val="22"/>
        </w:rPr>
        <w:t>was</w:t>
      </w:r>
      <w:r w:rsidRPr="006F3F45">
        <w:rPr>
          <w:sz w:val="22"/>
          <w:szCs w:val="22"/>
        </w:rPr>
        <w:t xml:space="preserve"> </w:t>
      </w:r>
      <w:r w:rsidR="0046347B">
        <w:rPr>
          <w:sz w:val="22"/>
          <w:szCs w:val="22"/>
        </w:rPr>
        <w:t>$2.9 billion</w:t>
      </w:r>
      <w:r w:rsidR="00CD64C8" w:rsidRPr="006F3F45">
        <w:rPr>
          <w:sz w:val="22"/>
          <w:szCs w:val="22"/>
        </w:rPr>
        <w:t>, and 12-month</w:t>
      </w:r>
      <w:r w:rsidR="0046347B">
        <w:rPr>
          <w:sz w:val="22"/>
          <w:szCs w:val="22"/>
        </w:rPr>
        <w:t xml:space="preserve"> total</w:t>
      </w:r>
      <w:r w:rsidR="00CD64C8" w:rsidRPr="006F3F45">
        <w:rPr>
          <w:sz w:val="22"/>
          <w:szCs w:val="22"/>
        </w:rPr>
        <w:t xml:space="preserve"> </w:t>
      </w:r>
      <w:r w:rsidR="0046347B">
        <w:rPr>
          <w:sz w:val="22"/>
          <w:szCs w:val="22"/>
        </w:rPr>
        <w:t>CAD</w:t>
      </w:r>
      <w:r w:rsidR="00CD64C8" w:rsidRPr="006F3F45">
        <w:rPr>
          <w:sz w:val="22"/>
          <w:szCs w:val="22"/>
        </w:rPr>
        <w:t xml:space="preserve"> increased to </w:t>
      </w:r>
      <w:r w:rsidR="0046347B">
        <w:rPr>
          <w:sz w:val="22"/>
          <w:szCs w:val="22"/>
        </w:rPr>
        <w:t>$</w:t>
      </w:r>
      <w:r w:rsidR="00CD64C8" w:rsidRPr="006F3F45">
        <w:rPr>
          <w:sz w:val="22"/>
          <w:szCs w:val="22"/>
        </w:rPr>
        <w:t>60.9</w:t>
      </w:r>
      <w:r w:rsidR="0046347B">
        <w:rPr>
          <w:sz w:val="22"/>
          <w:szCs w:val="22"/>
        </w:rPr>
        <w:t xml:space="preserve"> billion</w:t>
      </w:r>
      <w:r w:rsidR="00CD64C8" w:rsidRPr="006F3F45">
        <w:rPr>
          <w:sz w:val="22"/>
          <w:szCs w:val="22"/>
        </w:rPr>
        <w:t>.</w:t>
      </w:r>
      <w:r w:rsidR="00280B55" w:rsidRPr="00280B55">
        <w:rPr>
          <w:sz w:val="22"/>
          <w:szCs w:val="22"/>
        </w:rPr>
        <w:t xml:space="preserve"> </w:t>
      </w:r>
      <w:r w:rsidR="00280B55" w:rsidRPr="006F3F45">
        <w:rPr>
          <w:sz w:val="22"/>
          <w:szCs w:val="22"/>
        </w:rPr>
        <w:t>Betam expects the current account deficit to GDP ratio, which was 7.2 percent at the end of third quarter</w:t>
      </w:r>
      <w:r w:rsidR="0046347B">
        <w:rPr>
          <w:sz w:val="22"/>
          <w:szCs w:val="22"/>
        </w:rPr>
        <w:t>,</w:t>
      </w:r>
      <w:r w:rsidR="00280B55" w:rsidRPr="006F3F45">
        <w:rPr>
          <w:sz w:val="22"/>
          <w:szCs w:val="22"/>
        </w:rPr>
        <w:t xml:space="preserve"> to increase to 7.4 percent at the end of the </w:t>
      </w:r>
      <w:r w:rsidR="0046347B">
        <w:rPr>
          <w:sz w:val="22"/>
          <w:szCs w:val="22"/>
        </w:rPr>
        <w:t>year</w:t>
      </w:r>
      <w:r w:rsidR="00280B55" w:rsidRPr="006F3F45">
        <w:rPr>
          <w:sz w:val="22"/>
          <w:szCs w:val="22"/>
        </w:rPr>
        <w:t>.</w:t>
      </w:r>
    </w:p>
    <w:p w:rsidR="00A2686F" w:rsidRPr="006F3F45" w:rsidRDefault="00D60068" w:rsidP="00A2686F">
      <w:pPr>
        <w:spacing w:line="288" w:lineRule="auto"/>
        <w:ind w:left="-360" w:right="-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/>
        </w:rPr>
        <mc:AlternateContent>
          <mc:Choice Requires="wpc">
            <w:drawing>
              <wp:inline distT="0" distB="0" distL="0" distR="0">
                <wp:extent cx="2514600" cy="45720"/>
                <wp:effectExtent l="0" t="0" r="19050" b="0"/>
                <wp:docPr id="2" name="Canva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64"/>
                        <wps:cNvCnPr/>
                        <wps:spPr bwMode="auto">
                          <a:xfrm>
                            <a:off x="0" y="0"/>
                            <a:ext cx="2514600" cy="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2" o:spid="_x0000_s1026" editas="canvas" style="width:198pt;height:3.6pt;mso-position-horizontal-relative:char;mso-position-vertical-relative:line" coordsize="25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457;visibility:visible;mso-wrap-style:square">
                  <v:fill o:detectmouseclick="t"/>
                  <v:path o:connecttype="none"/>
                </v:shape>
                <v:line id="Line 64" o:spid="_x0000_s1028" style="position:absolute;visibility:visible;mso-wrap-style:square" from="0,0" to="2514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:rsidR="00A2686F" w:rsidRPr="006F3F45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6F3F45">
        <w:rPr>
          <w:sz w:val="16"/>
          <w:szCs w:val="16"/>
        </w:rPr>
        <w:t>* Dr. Zümrüt</w:t>
      </w:r>
      <w:r w:rsidR="0053729E" w:rsidRPr="006F3F45">
        <w:rPr>
          <w:sz w:val="16"/>
          <w:szCs w:val="16"/>
        </w:rPr>
        <w:t xml:space="preserve"> </w:t>
      </w:r>
      <w:r w:rsidRPr="006F3F45">
        <w:rPr>
          <w:sz w:val="16"/>
          <w:szCs w:val="16"/>
        </w:rPr>
        <w:t>İmamoğlu, Betam, Research Associate.</w:t>
      </w:r>
    </w:p>
    <w:p w:rsidR="00A2686F" w:rsidRPr="006F3F45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6F3F45">
        <w:rPr>
          <w:sz w:val="16"/>
          <w:szCs w:val="16"/>
        </w:rPr>
        <w:t xml:space="preserve">  zumrut.imamoglu@bahcesehir.edu.tr</w:t>
      </w:r>
    </w:p>
    <w:p w:rsidR="00A2686F" w:rsidRPr="006F3F45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6F3F45">
        <w:rPr>
          <w:sz w:val="16"/>
          <w:szCs w:val="16"/>
          <w:vertAlign w:val="superscript"/>
        </w:rPr>
        <w:t xml:space="preserve">† </w:t>
      </w:r>
      <w:r w:rsidRPr="006F3F45">
        <w:rPr>
          <w:sz w:val="16"/>
          <w:szCs w:val="16"/>
        </w:rPr>
        <w:t>Barış</w:t>
      </w:r>
      <w:r w:rsidR="0053729E" w:rsidRPr="006F3F45">
        <w:rPr>
          <w:sz w:val="16"/>
          <w:szCs w:val="16"/>
        </w:rPr>
        <w:t xml:space="preserve"> </w:t>
      </w:r>
      <w:r w:rsidRPr="006F3F45">
        <w:rPr>
          <w:sz w:val="16"/>
          <w:szCs w:val="16"/>
        </w:rPr>
        <w:t>Soybilgen, Betam, Research Assistant,</w:t>
      </w:r>
    </w:p>
    <w:p w:rsidR="006454DC" w:rsidRPr="006F3F45" w:rsidRDefault="0053729E" w:rsidP="00736C84">
      <w:pPr>
        <w:ind w:left="-360"/>
        <w:rPr>
          <w:sz w:val="16"/>
          <w:szCs w:val="16"/>
        </w:rPr>
      </w:pPr>
      <w:r w:rsidRPr="006F3F45">
        <w:rPr>
          <w:sz w:val="16"/>
          <w:szCs w:val="16"/>
        </w:rPr>
        <w:t xml:space="preserve">  </w:t>
      </w:r>
      <w:r w:rsidR="00E81CDD" w:rsidRPr="006F3F45">
        <w:rPr>
          <w:sz w:val="16"/>
          <w:szCs w:val="16"/>
        </w:rPr>
        <w:t>baris.soybilgen@bahcesehir.edu.tr</w:t>
      </w:r>
    </w:p>
    <w:p w:rsidR="007D4F28" w:rsidRPr="006F3F45" w:rsidRDefault="007D4F28" w:rsidP="004155A8">
      <w:pPr>
        <w:ind w:right="42"/>
        <w:jc w:val="both"/>
        <w:rPr>
          <w:b/>
          <w:sz w:val="22"/>
          <w:szCs w:val="22"/>
        </w:rPr>
      </w:pPr>
    </w:p>
    <w:p w:rsidR="00F91693" w:rsidRPr="006F3F45" w:rsidRDefault="00F91693" w:rsidP="00F91693">
      <w:pPr>
        <w:ind w:right="42"/>
        <w:jc w:val="both"/>
        <w:rPr>
          <w:b/>
          <w:sz w:val="22"/>
          <w:szCs w:val="22"/>
        </w:rPr>
      </w:pPr>
    </w:p>
    <w:p w:rsidR="00E83844" w:rsidRPr="006F3F45" w:rsidRDefault="00E83844" w:rsidP="00472FEC">
      <w:pPr>
        <w:ind w:right="42"/>
        <w:jc w:val="both"/>
        <w:rPr>
          <w:b/>
          <w:sz w:val="22"/>
          <w:szCs w:val="22"/>
        </w:rPr>
      </w:pPr>
    </w:p>
    <w:p w:rsidR="00280B55" w:rsidRDefault="00280B55" w:rsidP="002F56EC">
      <w:pPr>
        <w:ind w:left="-360" w:right="42"/>
        <w:jc w:val="both"/>
        <w:rPr>
          <w:b/>
          <w:sz w:val="22"/>
          <w:szCs w:val="22"/>
        </w:rPr>
      </w:pPr>
    </w:p>
    <w:p w:rsidR="008E32CB" w:rsidRPr="006F3F45" w:rsidRDefault="00B34B81" w:rsidP="002F56EC">
      <w:pPr>
        <w:ind w:left="-360" w:right="42"/>
        <w:jc w:val="both"/>
        <w:rPr>
          <w:b/>
          <w:sz w:val="22"/>
          <w:szCs w:val="22"/>
        </w:rPr>
      </w:pPr>
      <w:r w:rsidRPr="006F3F45">
        <w:rPr>
          <w:b/>
          <w:sz w:val="22"/>
          <w:szCs w:val="22"/>
        </w:rPr>
        <w:t xml:space="preserve">Table 1: </w:t>
      </w:r>
      <w:r w:rsidR="008C38E5" w:rsidRPr="006F3F45">
        <w:rPr>
          <w:b/>
          <w:sz w:val="22"/>
          <w:szCs w:val="22"/>
        </w:rPr>
        <w:t>Betam’s quarterly and annual growth rate forecasts</w:t>
      </w:r>
    </w:p>
    <w:tbl>
      <w:tblPr>
        <w:tblpPr w:leftFromText="141" w:rightFromText="141" w:vertAnchor="text" w:horzAnchor="margin" w:tblpXSpec="right" w:tblpY="129"/>
        <w:tblW w:w="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564"/>
      </w:tblGrid>
      <w:tr w:rsidR="000854F8" w:rsidRPr="006F3F45" w:rsidTr="000854F8">
        <w:trPr>
          <w:trHeight w:val="986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F174EC">
            <w:pPr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854F8" w:rsidRPr="006F3F45" w:rsidRDefault="000854F8" w:rsidP="00F174EC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6F3F45">
              <w:rPr>
                <w:b/>
                <w:bCs/>
                <w:sz w:val="20"/>
                <w:szCs w:val="20"/>
              </w:rPr>
              <w:t>2013</w:t>
            </w:r>
          </w:p>
          <w:p w:rsidR="000854F8" w:rsidRPr="006F3F45" w:rsidRDefault="0053729E" w:rsidP="00F174EC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6F3F45">
              <w:rPr>
                <w:b/>
                <w:bCs/>
                <w:sz w:val="20"/>
                <w:szCs w:val="20"/>
              </w:rPr>
              <w:t>4</w:t>
            </w:r>
            <w:r w:rsidRPr="006F3F4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0854F8" w:rsidRPr="006F3F45">
              <w:rPr>
                <w:b/>
                <w:bCs/>
                <w:sz w:val="20"/>
                <w:szCs w:val="20"/>
              </w:rPr>
              <w:t xml:space="preserve"> Quarter Forecast</w:t>
            </w:r>
          </w:p>
        </w:tc>
      </w:tr>
      <w:tr w:rsidR="000854F8" w:rsidRPr="006F3F45" w:rsidTr="000854F8">
        <w:trPr>
          <w:trHeight w:val="771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F174EC">
            <w:pPr>
              <w:spacing w:line="360" w:lineRule="auto"/>
              <w:ind w:right="42"/>
              <w:rPr>
                <w:b/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 xml:space="preserve">Real GDP growth, % </w:t>
            </w:r>
          </w:p>
          <w:p w:rsidR="000854F8" w:rsidRPr="006F3F45" w:rsidRDefault="000854F8" w:rsidP="00F174EC">
            <w:pPr>
              <w:ind w:right="42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(quarter on quarter, sa*)</w:t>
            </w:r>
          </w:p>
        </w:tc>
        <w:tc>
          <w:tcPr>
            <w:tcW w:w="1564" w:type="dxa"/>
            <w:vAlign w:val="center"/>
          </w:tcPr>
          <w:p w:rsidR="000854F8" w:rsidRPr="006F3F45" w:rsidRDefault="0053729E" w:rsidP="00F174EC">
            <w:pPr>
              <w:ind w:right="42"/>
              <w:jc w:val="center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0.1</w:t>
            </w:r>
          </w:p>
        </w:tc>
      </w:tr>
      <w:tr w:rsidR="000854F8" w:rsidRPr="006F3F45" w:rsidTr="000854F8">
        <w:trPr>
          <w:trHeight w:val="756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F174EC">
            <w:pPr>
              <w:spacing w:line="360" w:lineRule="auto"/>
              <w:ind w:right="42"/>
              <w:rPr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>Real GDP growth, %</w:t>
            </w:r>
          </w:p>
          <w:p w:rsidR="000854F8" w:rsidRPr="006F3F45" w:rsidRDefault="000854F8" w:rsidP="00F174EC">
            <w:pPr>
              <w:ind w:right="42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(year on year, ca**)</w:t>
            </w:r>
          </w:p>
        </w:tc>
        <w:tc>
          <w:tcPr>
            <w:tcW w:w="1564" w:type="dxa"/>
            <w:vAlign w:val="center"/>
          </w:tcPr>
          <w:p w:rsidR="000854F8" w:rsidRPr="006F3F45" w:rsidRDefault="0053729E" w:rsidP="00F174EC">
            <w:pPr>
              <w:ind w:right="42"/>
              <w:jc w:val="center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4.5</w:t>
            </w:r>
          </w:p>
        </w:tc>
      </w:tr>
      <w:tr w:rsidR="000854F8" w:rsidRPr="006F3F45" w:rsidTr="000854F8">
        <w:trPr>
          <w:trHeight w:val="583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F174EC">
            <w:pPr>
              <w:spacing w:line="360" w:lineRule="auto"/>
              <w:ind w:right="42"/>
              <w:rPr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>Current account deficit</w:t>
            </w:r>
          </w:p>
          <w:p w:rsidR="000854F8" w:rsidRPr="006F3F45" w:rsidRDefault="000854F8" w:rsidP="00F174EC">
            <w:pPr>
              <w:ind w:right="40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(% of GDP, annual)</w:t>
            </w:r>
          </w:p>
        </w:tc>
        <w:tc>
          <w:tcPr>
            <w:tcW w:w="1564" w:type="dxa"/>
            <w:vAlign w:val="center"/>
          </w:tcPr>
          <w:p w:rsidR="000854F8" w:rsidRPr="006F3F45" w:rsidRDefault="0053729E" w:rsidP="00F174EC">
            <w:pPr>
              <w:ind w:right="40"/>
              <w:jc w:val="center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7.4</w:t>
            </w:r>
          </w:p>
        </w:tc>
      </w:tr>
      <w:tr w:rsidR="0053729E" w:rsidRPr="006F3F45" w:rsidTr="000854F8">
        <w:trPr>
          <w:trHeight w:val="583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53729E" w:rsidRPr="006F3F45" w:rsidRDefault="0053729E" w:rsidP="00F174EC">
            <w:pPr>
              <w:spacing w:line="360" w:lineRule="auto"/>
              <w:ind w:right="42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3729E" w:rsidRPr="00CD3D19" w:rsidRDefault="0053729E" w:rsidP="00F174EC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CD3D19">
              <w:rPr>
                <w:b/>
                <w:sz w:val="20"/>
                <w:szCs w:val="20"/>
              </w:rPr>
              <w:t>2013 Annual Forecast</w:t>
            </w:r>
          </w:p>
        </w:tc>
      </w:tr>
      <w:tr w:rsidR="0053729E" w:rsidRPr="006F3F45" w:rsidTr="000854F8">
        <w:trPr>
          <w:trHeight w:val="583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53729E" w:rsidRPr="006F3F45" w:rsidRDefault="0053729E" w:rsidP="00F174EC">
            <w:pPr>
              <w:spacing w:line="360" w:lineRule="auto"/>
              <w:ind w:right="42"/>
              <w:rPr>
                <w:b/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>Real GDP growth, real (annual)</w:t>
            </w:r>
          </w:p>
        </w:tc>
        <w:tc>
          <w:tcPr>
            <w:tcW w:w="1564" w:type="dxa"/>
            <w:vAlign w:val="center"/>
          </w:tcPr>
          <w:p w:rsidR="0053729E" w:rsidRPr="006F3F45" w:rsidRDefault="0053729E" w:rsidP="00F174EC">
            <w:pPr>
              <w:ind w:right="40"/>
              <w:jc w:val="center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4.1</w:t>
            </w:r>
          </w:p>
        </w:tc>
      </w:tr>
    </w:tbl>
    <w:p w:rsidR="008B74EE" w:rsidRPr="006F3F45" w:rsidRDefault="008C38E5" w:rsidP="0046347B">
      <w:pPr>
        <w:ind w:left="-360" w:right="40"/>
        <w:jc w:val="both"/>
        <w:rPr>
          <w:sz w:val="16"/>
          <w:szCs w:val="16"/>
        </w:rPr>
      </w:pPr>
      <w:r w:rsidRPr="006F3F45">
        <w:rPr>
          <w:sz w:val="16"/>
          <w:szCs w:val="16"/>
        </w:rPr>
        <w:t>Source: Betam</w:t>
      </w:r>
      <w:r w:rsidR="00403B8D" w:rsidRPr="006F3F45">
        <w:rPr>
          <w:sz w:val="16"/>
          <w:szCs w:val="16"/>
        </w:rPr>
        <w:t>.</w:t>
      </w:r>
      <w:r w:rsidR="0046347B">
        <w:rPr>
          <w:sz w:val="16"/>
          <w:szCs w:val="16"/>
        </w:rPr>
        <w:t xml:space="preserve"> </w:t>
      </w:r>
      <w:r w:rsidRPr="006F3F45">
        <w:rPr>
          <w:sz w:val="16"/>
          <w:szCs w:val="16"/>
        </w:rPr>
        <w:t>*sa: seasonally and calendar day adjusted  **ca: calendar day adjusted</w:t>
      </w:r>
      <w:r w:rsidR="0046347B">
        <w:rPr>
          <w:sz w:val="16"/>
          <w:szCs w:val="16"/>
        </w:rPr>
        <w:t>.</w:t>
      </w:r>
    </w:p>
    <w:p w:rsidR="00F91693" w:rsidRPr="006F3F45" w:rsidRDefault="00F91693" w:rsidP="00F91693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53729E" w:rsidRPr="006F3F45" w:rsidRDefault="0053729E" w:rsidP="0053729E">
      <w:pPr>
        <w:ind w:left="-360"/>
        <w:jc w:val="center"/>
        <w:rPr>
          <w:b/>
          <w:bCs/>
          <w:sz w:val="22"/>
          <w:szCs w:val="22"/>
        </w:rPr>
      </w:pPr>
      <w:r w:rsidRPr="006F3F45">
        <w:rPr>
          <w:b/>
          <w:bCs/>
          <w:sz w:val="22"/>
          <w:szCs w:val="22"/>
        </w:rPr>
        <w:t xml:space="preserve">Third quarter </w:t>
      </w:r>
      <w:r w:rsidR="00280B55">
        <w:rPr>
          <w:b/>
          <w:bCs/>
          <w:sz w:val="22"/>
          <w:szCs w:val="22"/>
        </w:rPr>
        <w:t xml:space="preserve">growth </w:t>
      </w:r>
      <w:r w:rsidR="00B67CD4">
        <w:rPr>
          <w:b/>
          <w:bCs/>
          <w:sz w:val="22"/>
          <w:szCs w:val="22"/>
        </w:rPr>
        <w:t>was strong</w:t>
      </w:r>
    </w:p>
    <w:p w:rsidR="0053729E" w:rsidRPr="006F3F45" w:rsidRDefault="0053729E" w:rsidP="00AE1FE6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53729E" w:rsidRPr="006F3F45" w:rsidRDefault="0053729E" w:rsidP="00AE1FE6">
      <w:pPr>
        <w:spacing w:line="360" w:lineRule="auto"/>
        <w:ind w:left="-360" w:right="42"/>
        <w:jc w:val="both"/>
        <w:rPr>
          <w:sz w:val="22"/>
          <w:szCs w:val="22"/>
        </w:rPr>
      </w:pPr>
      <w:r w:rsidRPr="006F3F45">
        <w:rPr>
          <w:sz w:val="22"/>
          <w:szCs w:val="22"/>
        </w:rPr>
        <w:t>Third quarter growth whic</w:t>
      </w:r>
      <w:r w:rsidR="008467AF">
        <w:rPr>
          <w:sz w:val="22"/>
          <w:szCs w:val="22"/>
        </w:rPr>
        <w:t>h was announced as 4.4 percent on</w:t>
      </w:r>
      <w:r w:rsidRPr="006F3F45">
        <w:rPr>
          <w:sz w:val="22"/>
          <w:szCs w:val="22"/>
        </w:rPr>
        <w:t xml:space="preserve"> 10</w:t>
      </w:r>
      <w:r w:rsidRPr="006F3F45">
        <w:rPr>
          <w:sz w:val="22"/>
          <w:szCs w:val="22"/>
          <w:vertAlign w:val="superscript"/>
        </w:rPr>
        <w:t>th</w:t>
      </w:r>
      <w:r w:rsidRPr="006F3F45">
        <w:rPr>
          <w:sz w:val="22"/>
          <w:szCs w:val="22"/>
        </w:rPr>
        <w:t xml:space="preserve"> of December was below Betam's forecast of 5.1 percent and above </w:t>
      </w:r>
      <w:r w:rsidR="00B67CD4">
        <w:rPr>
          <w:sz w:val="22"/>
          <w:szCs w:val="22"/>
        </w:rPr>
        <w:t xml:space="preserve">market </w:t>
      </w:r>
      <w:r w:rsidR="00C15757">
        <w:rPr>
          <w:sz w:val="22"/>
          <w:szCs w:val="22"/>
        </w:rPr>
        <w:t>expectation of 4.</w:t>
      </w:r>
      <w:r w:rsidR="00B67CD4">
        <w:rPr>
          <w:sz w:val="22"/>
          <w:szCs w:val="22"/>
        </w:rPr>
        <w:t>1 percent</w:t>
      </w:r>
      <w:r w:rsidR="00DD7436" w:rsidRPr="006F3F45">
        <w:rPr>
          <w:sz w:val="22"/>
          <w:szCs w:val="22"/>
        </w:rPr>
        <w:t xml:space="preserve">. The difference between our forecast and the realized GDP growth rate </w:t>
      </w:r>
      <w:r w:rsidR="004137E6">
        <w:rPr>
          <w:sz w:val="22"/>
          <w:szCs w:val="22"/>
        </w:rPr>
        <w:t>wa</w:t>
      </w:r>
      <w:r w:rsidR="00DD7436" w:rsidRPr="006F3F45">
        <w:rPr>
          <w:sz w:val="22"/>
          <w:szCs w:val="22"/>
        </w:rPr>
        <w:t>s caused by the un</w:t>
      </w:r>
      <w:r w:rsidR="00294E8C" w:rsidRPr="006F3F45">
        <w:rPr>
          <w:sz w:val="22"/>
          <w:szCs w:val="22"/>
        </w:rPr>
        <w:t>expected fall in government expenditure</w:t>
      </w:r>
      <w:r w:rsidR="004137E6">
        <w:rPr>
          <w:sz w:val="22"/>
          <w:szCs w:val="22"/>
        </w:rPr>
        <w:t>s</w:t>
      </w:r>
      <w:r w:rsidR="00294E8C" w:rsidRPr="006F3F45">
        <w:rPr>
          <w:sz w:val="22"/>
          <w:szCs w:val="22"/>
        </w:rPr>
        <w:t>. Government expenditure</w:t>
      </w:r>
      <w:r w:rsidR="004137E6">
        <w:rPr>
          <w:sz w:val="22"/>
          <w:szCs w:val="22"/>
        </w:rPr>
        <w:t>s</w:t>
      </w:r>
      <w:r w:rsidR="00294E8C" w:rsidRPr="006F3F45">
        <w:rPr>
          <w:sz w:val="22"/>
          <w:szCs w:val="22"/>
        </w:rPr>
        <w:t xml:space="preserve"> decreased by 6.6 percent, and subtracted 1.0 percent</w:t>
      </w:r>
      <w:r w:rsidR="008467AF">
        <w:rPr>
          <w:sz w:val="22"/>
          <w:szCs w:val="22"/>
        </w:rPr>
        <w:t>age point</w:t>
      </w:r>
      <w:r w:rsidR="00294E8C" w:rsidRPr="006F3F45">
        <w:rPr>
          <w:sz w:val="22"/>
          <w:szCs w:val="22"/>
        </w:rPr>
        <w:t xml:space="preserve"> from the real GDP growth</w:t>
      </w:r>
      <w:r w:rsidR="004137E6">
        <w:rPr>
          <w:sz w:val="22"/>
          <w:szCs w:val="22"/>
        </w:rPr>
        <w:t xml:space="preserve"> in the third quarter</w:t>
      </w:r>
      <w:r w:rsidR="00294E8C" w:rsidRPr="006F3F45">
        <w:rPr>
          <w:sz w:val="22"/>
          <w:szCs w:val="22"/>
        </w:rPr>
        <w:t xml:space="preserve">. </w:t>
      </w:r>
      <w:r w:rsidR="00D538A4">
        <w:rPr>
          <w:sz w:val="22"/>
          <w:szCs w:val="22"/>
        </w:rPr>
        <w:t>C</w:t>
      </w:r>
      <w:r w:rsidR="00F31BBB" w:rsidRPr="006F3F45">
        <w:rPr>
          <w:sz w:val="22"/>
          <w:szCs w:val="22"/>
        </w:rPr>
        <w:t>ontributions of</w:t>
      </w:r>
      <w:r w:rsidR="00294E8C" w:rsidRPr="006F3F45">
        <w:rPr>
          <w:sz w:val="22"/>
          <w:szCs w:val="22"/>
        </w:rPr>
        <w:t xml:space="preserve"> net exports and private consumption was positive as </w:t>
      </w:r>
      <w:r w:rsidR="00D538A4">
        <w:rPr>
          <w:sz w:val="22"/>
          <w:szCs w:val="22"/>
        </w:rPr>
        <w:t xml:space="preserve">we </w:t>
      </w:r>
      <w:r w:rsidR="00294E8C" w:rsidRPr="006F3F45">
        <w:rPr>
          <w:sz w:val="22"/>
          <w:szCs w:val="22"/>
        </w:rPr>
        <w:t xml:space="preserve">expected. The </w:t>
      </w:r>
      <w:r w:rsidR="00294E8C" w:rsidRPr="006F3F45">
        <w:rPr>
          <w:sz w:val="22"/>
          <w:szCs w:val="22"/>
        </w:rPr>
        <w:lastRenderedPageBreak/>
        <w:t xml:space="preserve">mild increase in private investment continued. In line with our prediction, the current account deficit to GDP ratio </w:t>
      </w:r>
      <w:r w:rsidR="008467AF">
        <w:rPr>
          <w:sz w:val="22"/>
          <w:szCs w:val="22"/>
        </w:rPr>
        <w:t>realized</w:t>
      </w:r>
      <w:r w:rsidR="007567DC" w:rsidRPr="006F3F45">
        <w:rPr>
          <w:sz w:val="22"/>
          <w:szCs w:val="22"/>
        </w:rPr>
        <w:t xml:space="preserve"> as</w:t>
      </w:r>
      <w:r w:rsidR="00294E8C" w:rsidRPr="006F3F45">
        <w:rPr>
          <w:sz w:val="22"/>
          <w:szCs w:val="22"/>
        </w:rPr>
        <w:t xml:space="preserve"> 7.2 percent</w:t>
      </w:r>
      <w:r w:rsidR="007567DC" w:rsidRPr="006F3F45">
        <w:rPr>
          <w:sz w:val="22"/>
          <w:szCs w:val="22"/>
        </w:rPr>
        <w:t>.</w:t>
      </w:r>
    </w:p>
    <w:p w:rsidR="00106639" w:rsidRPr="006F3F45" w:rsidRDefault="00106639" w:rsidP="00AE1FE6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AF1ADE" w:rsidRPr="006F3F45" w:rsidRDefault="008467AF" w:rsidP="00AE1FE6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October data sent</w:t>
      </w:r>
      <w:r w:rsidR="00106639" w:rsidRPr="006F3F45">
        <w:rPr>
          <w:sz w:val="22"/>
          <w:szCs w:val="22"/>
        </w:rPr>
        <w:t xml:space="preserve"> out conflicting signals</w:t>
      </w:r>
      <w:r>
        <w:rPr>
          <w:sz w:val="22"/>
          <w:szCs w:val="22"/>
        </w:rPr>
        <w:t xml:space="preserve"> about last quarter growth</w:t>
      </w:r>
      <w:r w:rsidR="00106639" w:rsidRPr="006F3F45">
        <w:rPr>
          <w:sz w:val="22"/>
          <w:szCs w:val="22"/>
        </w:rPr>
        <w:t xml:space="preserve">. Even though </w:t>
      </w:r>
      <w:r>
        <w:rPr>
          <w:sz w:val="22"/>
          <w:szCs w:val="22"/>
        </w:rPr>
        <w:t xml:space="preserve">the </w:t>
      </w:r>
      <w:r w:rsidR="00106639" w:rsidRPr="006F3F45">
        <w:rPr>
          <w:sz w:val="22"/>
          <w:szCs w:val="22"/>
        </w:rPr>
        <w:t xml:space="preserve">IPI decreased in October, we </w:t>
      </w:r>
      <w:r w:rsidR="00F31BBB" w:rsidRPr="006F3F45">
        <w:rPr>
          <w:sz w:val="22"/>
          <w:szCs w:val="22"/>
        </w:rPr>
        <w:t>think</w:t>
      </w:r>
      <w:r w:rsidR="00106639" w:rsidRPr="006F3F45">
        <w:rPr>
          <w:sz w:val="22"/>
          <w:szCs w:val="22"/>
        </w:rPr>
        <w:t xml:space="preserve"> that the fall </w:t>
      </w:r>
      <w:r w:rsidR="00CD3D19">
        <w:rPr>
          <w:sz w:val="22"/>
          <w:szCs w:val="22"/>
        </w:rPr>
        <w:t>is</w:t>
      </w:r>
      <w:r w:rsidR="00106639" w:rsidRPr="006F3F45">
        <w:rPr>
          <w:sz w:val="22"/>
          <w:szCs w:val="22"/>
        </w:rPr>
        <w:t xml:space="preserve"> caused by the </w:t>
      </w:r>
      <w:r w:rsidR="00904436">
        <w:rPr>
          <w:sz w:val="22"/>
          <w:szCs w:val="22"/>
        </w:rPr>
        <w:t xml:space="preserve">bridge day </w:t>
      </w:r>
      <w:r w:rsidR="00106639" w:rsidRPr="006F3F45">
        <w:rPr>
          <w:sz w:val="22"/>
          <w:szCs w:val="22"/>
        </w:rPr>
        <w:t>effect</w:t>
      </w:r>
      <w:r w:rsidR="00904436">
        <w:rPr>
          <w:sz w:val="22"/>
          <w:szCs w:val="22"/>
        </w:rPr>
        <w:t xml:space="preserve"> during the holidays</w:t>
      </w:r>
      <w:r w:rsidR="00F31BBB" w:rsidRPr="006F3F45">
        <w:rPr>
          <w:sz w:val="22"/>
          <w:szCs w:val="22"/>
        </w:rPr>
        <w:t xml:space="preserve"> as in August</w:t>
      </w:r>
      <w:r>
        <w:rPr>
          <w:sz w:val="22"/>
          <w:szCs w:val="22"/>
        </w:rPr>
        <w:t>,</w:t>
      </w:r>
      <w:r w:rsidR="00106639" w:rsidRPr="006F3F45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expect the</w:t>
      </w:r>
      <w:r w:rsidR="00106639" w:rsidRPr="006F3F45">
        <w:rPr>
          <w:sz w:val="22"/>
          <w:szCs w:val="22"/>
        </w:rPr>
        <w:t xml:space="preserve"> IPI </w:t>
      </w:r>
      <w:r>
        <w:rPr>
          <w:sz w:val="22"/>
          <w:szCs w:val="22"/>
        </w:rPr>
        <w:t>to</w:t>
      </w:r>
      <w:r w:rsidR="00106639" w:rsidRPr="006F3F45">
        <w:rPr>
          <w:sz w:val="22"/>
          <w:szCs w:val="22"/>
        </w:rPr>
        <w:t xml:space="preserve"> recover in November.</w:t>
      </w:r>
      <w:r w:rsidR="00C93ABC" w:rsidRPr="006F3F45">
        <w:rPr>
          <w:rStyle w:val="FootnoteReference"/>
          <w:sz w:val="22"/>
          <w:szCs w:val="22"/>
        </w:rPr>
        <w:footnoteReference w:id="1"/>
      </w:r>
      <w:r w:rsidR="00106639" w:rsidRPr="006F3F45">
        <w:rPr>
          <w:sz w:val="22"/>
          <w:szCs w:val="22"/>
        </w:rPr>
        <w:t xml:space="preserve"> </w:t>
      </w:r>
      <w:r w:rsidR="00E246B9" w:rsidRPr="006F3F45">
        <w:rPr>
          <w:sz w:val="22"/>
          <w:szCs w:val="22"/>
        </w:rPr>
        <w:t xml:space="preserve">The </w:t>
      </w:r>
      <w:r w:rsidR="008E09A5">
        <w:rPr>
          <w:sz w:val="22"/>
          <w:szCs w:val="22"/>
        </w:rPr>
        <w:t>decrease</w:t>
      </w:r>
      <w:r w:rsidR="00E246B9" w:rsidRPr="006F3F45">
        <w:rPr>
          <w:sz w:val="22"/>
          <w:szCs w:val="22"/>
        </w:rPr>
        <w:t xml:space="preserve"> in</w:t>
      </w:r>
      <w:r w:rsidR="005030BD" w:rsidRPr="006F3F45">
        <w:rPr>
          <w:sz w:val="22"/>
          <w:szCs w:val="22"/>
        </w:rPr>
        <w:t xml:space="preserve"> </w:t>
      </w:r>
      <w:r w:rsidR="008E09A5">
        <w:rPr>
          <w:sz w:val="22"/>
          <w:szCs w:val="22"/>
        </w:rPr>
        <w:t>ex</w:t>
      </w:r>
      <w:r w:rsidR="005030BD" w:rsidRPr="006F3F45">
        <w:rPr>
          <w:sz w:val="22"/>
          <w:szCs w:val="22"/>
        </w:rPr>
        <w:t>ports affects the economic outlook</w:t>
      </w:r>
      <w:r w:rsidR="008E09A5">
        <w:rPr>
          <w:sz w:val="22"/>
          <w:szCs w:val="22"/>
        </w:rPr>
        <w:t xml:space="preserve"> </w:t>
      </w:r>
      <w:r w:rsidR="008E09A5" w:rsidRPr="006F3F45">
        <w:rPr>
          <w:sz w:val="22"/>
          <w:szCs w:val="22"/>
        </w:rPr>
        <w:t>negatively</w:t>
      </w:r>
      <w:r w:rsidR="008E09A5">
        <w:rPr>
          <w:sz w:val="22"/>
          <w:szCs w:val="22"/>
        </w:rPr>
        <w:t xml:space="preserve"> but</w:t>
      </w:r>
      <w:r w:rsidR="005030BD" w:rsidRPr="006F3F45">
        <w:rPr>
          <w:sz w:val="22"/>
          <w:szCs w:val="22"/>
        </w:rPr>
        <w:t xml:space="preserve"> </w:t>
      </w:r>
      <w:r w:rsidR="008E09A5">
        <w:rPr>
          <w:sz w:val="22"/>
          <w:szCs w:val="22"/>
        </w:rPr>
        <w:t>t</w:t>
      </w:r>
      <w:r w:rsidR="005030BD" w:rsidRPr="006F3F45">
        <w:rPr>
          <w:sz w:val="22"/>
          <w:szCs w:val="22"/>
        </w:rPr>
        <w:t xml:space="preserve">he increase in imports </w:t>
      </w:r>
      <w:r w:rsidR="008E09A5">
        <w:rPr>
          <w:sz w:val="22"/>
          <w:szCs w:val="22"/>
        </w:rPr>
        <w:t>wa</w:t>
      </w:r>
      <w:r w:rsidR="005030BD" w:rsidRPr="006F3F45">
        <w:rPr>
          <w:sz w:val="22"/>
          <w:szCs w:val="22"/>
        </w:rPr>
        <w:t>s mostly caused by the increase in intermediate goods imports</w:t>
      </w:r>
      <w:r w:rsidR="008E09A5">
        <w:rPr>
          <w:sz w:val="22"/>
          <w:szCs w:val="22"/>
        </w:rPr>
        <w:t>, implying future increases in the IPI</w:t>
      </w:r>
      <w:r w:rsidR="005030BD" w:rsidRPr="006F3F45">
        <w:rPr>
          <w:sz w:val="22"/>
          <w:szCs w:val="22"/>
        </w:rPr>
        <w:t xml:space="preserve">. </w:t>
      </w:r>
      <w:r w:rsidR="00B66F3D" w:rsidRPr="006F3F45">
        <w:rPr>
          <w:sz w:val="22"/>
          <w:szCs w:val="22"/>
        </w:rPr>
        <w:t xml:space="preserve">Increases in Capacity </w:t>
      </w:r>
      <w:r w:rsidR="008E09A5">
        <w:rPr>
          <w:sz w:val="22"/>
          <w:szCs w:val="22"/>
        </w:rPr>
        <w:t>Utilization R</w:t>
      </w:r>
      <w:r w:rsidR="00B66F3D" w:rsidRPr="006F3F45">
        <w:rPr>
          <w:sz w:val="22"/>
          <w:szCs w:val="22"/>
        </w:rPr>
        <w:t xml:space="preserve">ate (CUR) and </w:t>
      </w:r>
      <w:r w:rsidR="00AE3A6E">
        <w:rPr>
          <w:sz w:val="22"/>
          <w:szCs w:val="22"/>
        </w:rPr>
        <w:t xml:space="preserve">real sector </w:t>
      </w:r>
      <w:r w:rsidR="00B66F3D" w:rsidRPr="006F3F45">
        <w:rPr>
          <w:sz w:val="22"/>
          <w:szCs w:val="22"/>
        </w:rPr>
        <w:t>confidence index</w:t>
      </w:r>
      <w:r w:rsidR="00AE3A6E">
        <w:rPr>
          <w:sz w:val="22"/>
          <w:szCs w:val="22"/>
        </w:rPr>
        <w:t xml:space="preserve"> in October</w:t>
      </w:r>
      <w:r w:rsidR="00B66F3D" w:rsidRPr="006F3F45">
        <w:rPr>
          <w:sz w:val="22"/>
          <w:szCs w:val="22"/>
        </w:rPr>
        <w:t xml:space="preserve"> are </w:t>
      </w:r>
      <w:r w:rsidR="00DE69E3">
        <w:rPr>
          <w:sz w:val="22"/>
          <w:szCs w:val="22"/>
        </w:rPr>
        <w:t>encouraging.</w:t>
      </w:r>
    </w:p>
    <w:p w:rsidR="00B66F3D" w:rsidRPr="006F3F45" w:rsidRDefault="00B66F3D" w:rsidP="00AE1FE6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7567DC" w:rsidRPr="006F3F45" w:rsidRDefault="00A60202" w:rsidP="00AE1FE6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773A1" w:rsidRPr="006F3F45">
        <w:rPr>
          <w:sz w:val="22"/>
          <w:szCs w:val="22"/>
        </w:rPr>
        <w:t xml:space="preserve">he quarter on quarter growth </w:t>
      </w:r>
      <w:r>
        <w:rPr>
          <w:sz w:val="22"/>
          <w:szCs w:val="22"/>
        </w:rPr>
        <w:t>i</w:t>
      </w:r>
      <w:r w:rsidRPr="006F3F45">
        <w:rPr>
          <w:sz w:val="22"/>
          <w:szCs w:val="22"/>
        </w:rPr>
        <w:t xml:space="preserve">n the third quarter </w:t>
      </w:r>
      <w:r w:rsidR="000773A1" w:rsidRPr="006F3F45">
        <w:rPr>
          <w:sz w:val="22"/>
          <w:szCs w:val="22"/>
        </w:rPr>
        <w:t>declined to 0.9 percent from 2.0 percent</w:t>
      </w:r>
      <w:r>
        <w:rPr>
          <w:sz w:val="22"/>
          <w:szCs w:val="22"/>
        </w:rPr>
        <w:t xml:space="preserve"> in</w:t>
      </w:r>
      <w:r w:rsidRPr="006F3F45">
        <w:rPr>
          <w:sz w:val="22"/>
          <w:szCs w:val="22"/>
        </w:rPr>
        <w:t xml:space="preserve"> the second quarter</w:t>
      </w:r>
      <w:r w:rsidR="000773A1" w:rsidRPr="006F3F45">
        <w:rPr>
          <w:sz w:val="22"/>
          <w:szCs w:val="22"/>
        </w:rPr>
        <w:t xml:space="preserve">. We predict that the growth rate </w:t>
      </w:r>
      <w:r w:rsidR="00B66F3D" w:rsidRPr="006F3F45">
        <w:rPr>
          <w:sz w:val="22"/>
          <w:szCs w:val="22"/>
        </w:rPr>
        <w:t>may</w:t>
      </w:r>
      <w:r w:rsidR="000773A1" w:rsidRPr="006F3F45">
        <w:rPr>
          <w:sz w:val="22"/>
          <w:szCs w:val="22"/>
        </w:rPr>
        <w:t xml:space="preserve"> further decline in the last quarter. However</w:t>
      </w:r>
      <w:r w:rsidR="00CE0AE4">
        <w:rPr>
          <w:sz w:val="22"/>
          <w:szCs w:val="22"/>
        </w:rPr>
        <w:t xml:space="preserve">, annual growth might </w:t>
      </w:r>
      <w:r w:rsidR="00997CB0">
        <w:rPr>
          <w:sz w:val="22"/>
          <w:szCs w:val="22"/>
        </w:rPr>
        <w:t>remain</w:t>
      </w:r>
      <w:r w:rsidR="00997CB0" w:rsidRPr="006F3F45">
        <w:rPr>
          <w:sz w:val="22"/>
          <w:szCs w:val="22"/>
        </w:rPr>
        <w:t xml:space="preserve"> over </w:t>
      </w:r>
      <w:r w:rsidR="00997CB0">
        <w:rPr>
          <w:sz w:val="22"/>
          <w:szCs w:val="22"/>
        </w:rPr>
        <w:t xml:space="preserve">the </w:t>
      </w:r>
      <w:r w:rsidR="00997CB0" w:rsidRPr="006F3F45">
        <w:rPr>
          <w:sz w:val="22"/>
          <w:szCs w:val="22"/>
        </w:rPr>
        <w:t>medium term program's target of 3.6</w:t>
      </w:r>
      <w:r w:rsidR="00997CB0">
        <w:rPr>
          <w:sz w:val="22"/>
          <w:szCs w:val="22"/>
        </w:rPr>
        <w:t xml:space="preserve"> percent and even</w:t>
      </w:r>
      <w:r w:rsidR="00CE0AE4">
        <w:rPr>
          <w:sz w:val="22"/>
          <w:szCs w:val="22"/>
        </w:rPr>
        <w:t xml:space="preserve"> </w:t>
      </w:r>
      <w:r w:rsidR="000773A1" w:rsidRPr="006F3F45">
        <w:rPr>
          <w:sz w:val="22"/>
          <w:szCs w:val="22"/>
        </w:rPr>
        <w:t xml:space="preserve">exceed 4 percent </w:t>
      </w:r>
      <w:r w:rsidR="00CE0AE4">
        <w:rPr>
          <w:sz w:val="22"/>
          <w:szCs w:val="22"/>
        </w:rPr>
        <w:t>as long as the quarterly rate remains positive</w:t>
      </w:r>
      <w:r w:rsidR="00997CB0">
        <w:rPr>
          <w:sz w:val="22"/>
          <w:szCs w:val="22"/>
        </w:rPr>
        <w:t>.</w:t>
      </w:r>
    </w:p>
    <w:p w:rsidR="00413700" w:rsidRPr="006F3F45" w:rsidRDefault="00413700" w:rsidP="00C26A64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C26A64" w:rsidRPr="006F3F45" w:rsidRDefault="00C26A64" w:rsidP="00C26A64">
      <w:pPr>
        <w:spacing w:line="360" w:lineRule="auto"/>
        <w:ind w:left="-360" w:right="40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Betam’s first quarter on quarter forecast for the last quarter of 2013 is 0.1 percent. The corresponding year on year (YoY) growth rate forecast is </w:t>
      </w:r>
      <w:r w:rsidR="0047385A" w:rsidRPr="006F3F45">
        <w:rPr>
          <w:sz w:val="22"/>
          <w:szCs w:val="22"/>
        </w:rPr>
        <w:t>4.5</w:t>
      </w:r>
      <w:r w:rsidRPr="006F3F45">
        <w:rPr>
          <w:sz w:val="22"/>
          <w:szCs w:val="22"/>
        </w:rPr>
        <w:t xml:space="preserve"> percent.</w:t>
      </w:r>
      <w:r w:rsidR="0047385A" w:rsidRPr="006F3F45">
        <w:rPr>
          <w:sz w:val="22"/>
          <w:szCs w:val="22"/>
        </w:rPr>
        <w:t xml:space="preserve"> </w:t>
      </w:r>
      <w:r w:rsidR="00413700" w:rsidRPr="006F3F45">
        <w:rPr>
          <w:sz w:val="22"/>
          <w:szCs w:val="22"/>
        </w:rPr>
        <w:t>Our</w:t>
      </w:r>
      <w:r w:rsidR="0047385A" w:rsidRPr="006F3F45">
        <w:rPr>
          <w:sz w:val="22"/>
          <w:szCs w:val="22"/>
        </w:rPr>
        <w:t xml:space="preserve"> annual growth forecast for 2013 is 4.1 percent. </w:t>
      </w:r>
      <w:r w:rsidRPr="006F3F45">
        <w:rPr>
          <w:sz w:val="22"/>
          <w:szCs w:val="22"/>
        </w:rPr>
        <w:t>Betam expects the curre</w:t>
      </w:r>
      <w:r w:rsidR="0047385A" w:rsidRPr="006F3F45">
        <w:rPr>
          <w:sz w:val="22"/>
          <w:szCs w:val="22"/>
        </w:rPr>
        <w:t>nt account deficit to GDP ratio</w:t>
      </w:r>
      <w:r w:rsidRPr="006F3F45">
        <w:rPr>
          <w:sz w:val="22"/>
          <w:szCs w:val="22"/>
        </w:rPr>
        <w:t xml:space="preserve"> to increase to </w:t>
      </w:r>
      <w:r w:rsidR="0047385A" w:rsidRPr="006F3F45">
        <w:rPr>
          <w:sz w:val="22"/>
          <w:szCs w:val="22"/>
        </w:rPr>
        <w:t>7.4</w:t>
      </w:r>
      <w:r w:rsidRPr="006F3F45">
        <w:rPr>
          <w:sz w:val="22"/>
          <w:szCs w:val="22"/>
        </w:rPr>
        <w:t xml:space="preserve"> percent at the end of the </w:t>
      </w:r>
      <w:r w:rsidR="0047385A" w:rsidRPr="006F3F45">
        <w:rPr>
          <w:sz w:val="22"/>
          <w:szCs w:val="22"/>
        </w:rPr>
        <w:t>year.</w:t>
      </w:r>
    </w:p>
    <w:p w:rsidR="00F91693" w:rsidRPr="006F3F45" w:rsidRDefault="0055050D" w:rsidP="00F91693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Data is </w:t>
      </w:r>
      <w:r w:rsidR="0047385A" w:rsidRPr="006F3F45">
        <w:rPr>
          <w:b/>
          <w:bCs/>
          <w:sz w:val="22"/>
          <w:szCs w:val="22"/>
        </w:rPr>
        <w:t>noisy in October</w:t>
      </w:r>
    </w:p>
    <w:p w:rsidR="00F91693" w:rsidRPr="006F3F45" w:rsidRDefault="00F91693" w:rsidP="00F91693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</w:p>
    <w:p w:rsidR="0047385A" w:rsidRPr="006F3F45" w:rsidRDefault="0047385A" w:rsidP="00051119">
      <w:pPr>
        <w:spacing w:line="360" w:lineRule="auto"/>
        <w:ind w:left="-360" w:right="42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Consumption indicators in October are mostly negative. Consumer goods imports decreased by 2.0 percent in October from the previous month. In the same period, durable and non-durable goods  declined by 6.9 percent and 4,3 percent respectively. </w:t>
      </w:r>
      <w:r w:rsidR="00413700" w:rsidRPr="006F3F45">
        <w:rPr>
          <w:sz w:val="22"/>
          <w:szCs w:val="22"/>
        </w:rPr>
        <w:t>Therefore</w:t>
      </w:r>
      <w:r w:rsidR="00E83E7D" w:rsidRPr="006F3F45">
        <w:rPr>
          <w:sz w:val="22"/>
          <w:szCs w:val="22"/>
        </w:rPr>
        <w:t xml:space="preserve">, special consumer tax income fell by 3.2 percent. The only </w:t>
      </w:r>
      <w:r w:rsidR="009D4FE7">
        <w:rPr>
          <w:sz w:val="22"/>
          <w:szCs w:val="22"/>
        </w:rPr>
        <w:t>good news</w:t>
      </w:r>
      <w:r w:rsidR="00E83E7D" w:rsidRPr="006F3F45">
        <w:rPr>
          <w:sz w:val="22"/>
          <w:szCs w:val="22"/>
        </w:rPr>
        <w:t xml:space="preserve"> </w:t>
      </w:r>
      <w:r w:rsidR="00413700" w:rsidRPr="006F3F45">
        <w:rPr>
          <w:sz w:val="22"/>
          <w:szCs w:val="22"/>
        </w:rPr>
        <w:t xml:space="preserve"> this month </w:t>
      </w:r>
      <w:r w:rsidR="00E83E7D" w:rsidRPr="006F3F45">
        <w:rPr>
          <w:sz w:val="22"/>
          <w:szCs w:val="22"/>
        </w:rPr>
        <w:t xml:space="preserve">was </w:t>
      </w:r>
      <w:r w:rsidR="009D4FE7">
        <w:rPr>
          <w:sz w:val="22"/>
          <w:szCs w:val="22"/>
        </w:rPr>
        <w:t xml:space="preserve">the increase in the </w:t>
      </w:r>
      <w:r w:rsidR="00E83E7D" w:rsidRPr="006F3F45">
        <w:rPr>
          <w:sz w:val="22"/>
          <w:szCs w:val="22"/>
        </w:rPr>
        <w:t xml:space="preserve">consumer confidence index. </w:t>
      </w:r>
      <w:r w:rsidR="00903A15" w:rsidRPr="006F3F45">
        <w:rPr>
          <w:sz w:val="22"/>
          <w:szCs w:val="22"/>
        </w:rPr>
        <w:t>Following</w:t>
      </w:r>
      <w:r w:rsidR="00E83E7D" w:rsidRPr="006F3F45">
        <w:rPr>
          <w:sz w:val="22"/>
          <w:szCs w:val="22"/>
        </w:rPr>
        <w:t xml:space="preserve"> </w:t>
      </w:r>
      <w:r w:rsidR="00903A15" w:rsidRPr="006F3F45">
        <w:rPr>
          <w:sz w:val="22"/>
          <w:szCs w:val="22"/>
        </w:rPr>
        <w:t xml:space="preserve">the </w:t>
      </w:r>
      <w:r w:rsidR="00E83E7D" w:rsidRPr="006F3F45">
        <w:rPr>
          <w:sz w:val="22"/>
          <w:szCs w:val="22"/>
        </w:rPr>
        <w:t>5.1 percent</w:t>
      </w:r>
      <w:r w:rsidR="009D4FE7">
        <w:rPr>
          <w:sz w:val="22"/>
          <w:szCs w:val="22"/>
        </w:rPr>
        <w:t xml:space="preserve"> </w:t>
      </w:r>
      <w:r w:rsidR="009D4FE7" w:rsidRPr="006F3F45">
        <w:rPr>
          <w:sz w:val="22"/>
          <w:szCs w:val="22"/>
        </w:rPr>
        <w:t>increase</w:t>
      </w:r>
      <w:r w:rsidR="00413700" w:rsidRPr="006F3F45">
        <w:rPr>
          <w:sz w:val="22"/>
          <w:szCs w:val="22"/>
        </w:rPr>
        <w:t xml:space="preserve"> in October</w:t>
      </w:r>
      <w:r w:rsidR="00E83E7D" w:rsidRPr="006F3F45">
        <w:rPr>
          <w:sz w:val="22"/>
          <w:szCs w:val="22"/>
        </w:rPr>
        <w:t xml:space="preserve">, </w:t>
      </w:r>
      <w:r w:rsidR="00903A15" w:rsidRPr="006F3F45">
        <w:rPr>
          <w:sz w:val="22"/>
          <w:szCs w:val="22"/>
        </w:rPr>
        <w:t>consumer confidence index</w:t>
      </w:r>
      <w:r w:rsidR="00E83E7D" w:rsidRPr="006F3F45">
        <w:rPr>
          <w:sz w:val="22"/>
          <w:szCs w:val="22"/>
        </w:rPr>
        <w:t xml:space="preserve"> increased</w:t>
      </w:r>
      <w:r w:rsidR="009D4FE7">
        <w:rPr>
          <w:sz w:val="22"/>
          <w:szCs w:val="22"/>
        </w:rPr>
        <w:t xml:space="preserve"> again,</w:t>
      </w:r>
      <w:r w:rsidR="00E83E7D" w:rsidRPr="006F3F45">
        <w:rPr>
          <w:sz w:val="22"/>
          <w:szCs w:val="22"/>
        </w:rPr>
        <w:t xml:space="preserve"> by 3.5 percent</w:t>
      </w:r>
      <w:r w:rsidR="009D4FE7">
        <w:rPr>
          <w:sz w:val="22"/>
          <w:szCs w:val="22"/>
        </w:rPr>
        <w:t>,</w:t>
      </w:r>
      <w:r w:rsidR="00E83E7D" w:rsidRPr="006F3F45">
        <w:rPr>
          <w:sz w:val="22"/>
          <w:szCs w:val="22"/>
        </w:rPr>
        <w:t xml:space="preserve"> in November. As Erdem Başçı pointed out seasonally adjusted data</w:t>
      </w:r>
      <w:r w:rsidR="00903A15" w:rsidRPr="006F3F45">
        <w:rPr>
          <w:rStyle w:val="FootnoteReference"/>
          <w:sz w:val="22"/>
          <w:szCs w:val="22"/>
        </w:rPr>
        <w:footnoteReference w:id="2"/>
      </w:r>
      <w:r w:rsidR="00E83E7D" w:rsidRPr="006F3F45">
        <w:rPr>
          <w:sz w:val="22"/>
          <w:szCs w:val="22"/>
        </w:rPr>
        <w:t xml:space="preserve"> in October is "noisy" because of </w:t>
      </w:r>
      <w:r w:rsidR="00F202C4">
        <w:rPr>
          <w:sz w:val="22"/>
          <w:szCs w:val="22"/>
        </w:rPr>
        <w:t xml:space="preserve">the </w:t>
      </w:r>
      <w:r w:rsidR="00904436">
        <w:rPr>
          <w:sz w:val="22"/>
          <w:szCs w:val="22"/>
        </w:rPr>
        <w:t xml:space="preserve">bridge day effect in the </w:t>
      </w:r>
      <w:r w:rsidR="00F202C4">
        <w:rPr>
          <w:sz w:val="22"/>
          <w:szCs w:val="22"/>
        </w:rPr>
        <w:t>holiday</w:t>
      </w:r>
      <w:r w:rsidR="00E83E7D" w:rsidRPr="006F3F45">
        <w:rPr>
          <w:sz w:val="22"/>
          <w:szCs w:val="22"/>
        </w:rPr>
        <w:t xml:space="preserve">. Therefore, we need </w:t>
      </w:r>
      <w:r w:rsidR="00F202C4">
        <w:rPr>
          <w:sz w:val="22"/>
          <w:szCs w:val="22"/>
        </w:rPr>
        <w:t>the</w:t>
      </w:r>
      <w:r w:rsidR="00E83E7D" w:rsidRPr="006F3F45">
        <w:rPr>
          <w:sz w:val="22"/>
          <w:szCs w:val="22"/>
        </w:rPr>
        <w:t xml:space="preserve"> data for November to have a better picture </w:t>
      </w:r>
      <w:r w:rsidR="00903A15" w:rsidRPr="006F3F45">
        <w:rPr>
          <w:sz w:val="22"/>
          <w:szCs w:val="22"/>
        </w:rPr>
        <w:t>of</w:t>
      </w:r>
      <w:r w:rsidR="00E83E7D" w:rsidRPr="006F3F45">
        <w:rPr>
          <w:sz w:val="22"/>
          <w:szCs w:val="22"/>
        </w:rPr>
        <w:t xml:space="preserve"> the last quarter. </w:t>
      </w:r>
    </w:p>
    <w:p w:rsidR="008239FD" w:rsidRPr="006F3F45" w:rsidRDefault="008239FD" w:rsidP="00C605FF">
      <w:pPr>
        <w:spacing w:line="360" w:lineRule="auto"/>
        <w:ind w:left="-360" w:right="42"/>
        <w:jc w:val="center"/>
        <w:rPr>
          <w:b/>
          <w:sz w:val="22"/>
          <w:szCs w:val="22"/>
        </w:rPr>
      </w:pPr>
    </w:p>
    <w:p w:rsidR="0064166B" w:rsidRPr="006F3F45" w:rsidRDefault="007B2CF6" w:rsidP="00C605FF">
      <w:pPr>
        <w:spacing w:line="360" w:lineRule="auto"/>
        <w:ind w:left="-360" w:right="42"/>
        <w:jc w:val="center"/>
        <w:rPr>
          <w:b/>
          <w:sz w:val="22"/>
          <w:szCs w:val="22"/>
        </w:rPr>
      </w:pPr>
      <w:r w:rsidRPr="006F3F45">
        <w:rPr>
          <w:b/>
          <w:sz w:val="22"/>
          <w:szCs w:val="22"/>
        </w:rPr>
        <w:t>IPI declined due to holiday effect</w:t>
      </w:r>
    </w:p>
    <w:p w:rsidR="0064166B" w:rsidRPr="006F3F45" w:rsidRDefault="0064166B" w:rsidP="00051119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E75900" w:rsidRPr="006F3F45" w:rsidRDefault="00E75900" w:rsidP="009930E8">
      <w:pPr>
        <w:spacing w:line="360" w:lineRule="auto"/>
        <w:ind w:left="-360" w:right="42"/>
        <w:jc w:val="both"/>
        <w:rPr>
          <w:sz w:val="22"/>
          <w:szCs w:val="22"/>
        </w:rPr>
      </w:pPr>
      <w:r w:rsidRPr="006F3F45">
        <w:rPr>
          <w:sz w:val="22"/>
          <w:szCs w:val="22"/>
        </w:rPr>
        <w:t>Investment indicators</w:t>
      </w:r>
      <w:r w:rsidR="00F7616A" w:rsidRPr="006F3F45">
        <w:rPr>
          <w:sz w:val="22"/>
          <w:szCs w:val="22"/>
        </w:rPr>
        <w:t xml:space="preserve"> also include "noise" due to impact of bridge days. Therefore, they are mostly negative.</w:t>
      </w:r>
      <w:r w:rsidRPr="006F3F45">
        <w:rPr>
          <w:sz w:val="22"/>
          <w:szCs w:val="22"/>
        </w:rPr>
        <w:t xml:space="preserve"> In October, intermediate goods imports increased by 2.0 percent from the </w:t>
      </w:r>
      <w:r w:rsidR="00F7616A" w:rsidRPr="006F3F45">
        <w:rPr>
          <w:sz w:val="22"/>
          <w:szCs w:val="22"/>
        </w:rPr>
        <w:t>previous month</w:t>
      </w:r>
      <w:r w:rsidRPr="006F3F45">
        <w:rPr>
          <w:sz w:val="22"/>
          <w:szCs w:val="22"/>
        </w:rPr>
        <w:t>, whereas investment goods imports declined by 4.6 percent.</w:t>
      </w:r>
      <w:r w:rsidR="004514A8" w:rsidRPr="006F3F45">
        <w:rPr>
          <w:sz w:val="22"/>
          <w:szCs w:val="22"/>
        </w:rPr>
        <w:t xml:space="preserve"> In the same period, </w:t>
      </w:r>
      <w:r w:rsidR="00AB7D0C">
        <w:rPr>
          <w:sz w:val="22"/>
          <w:szCs w:val="22"/>
        </w:rPr>
        <w:t xml:space="preserve">the </w:t>
      </w:r>
      <w:r w:rsidR="004514A8" w:rsidRPr="006F3F45">
        <w:rPr>
          <w:sz w:val="22"/>
          <w:szCs w:val="22"/>
        </w:rPr>
        <w:t>IPI, passenger cars</w:t>
      </w:r>
      <w:r w:rsidR="00AB7D0C">
        <w:rPr>
          <w:sz w:val="22"/>
          <w:szCs w:val="22"/>
        </w:rPr>
        <w:t xml:space="preserve"> </w:t>
      </w:r>
      <w:r w:rsidR="004514A8" w:rsidRPr="006F3F45">
        <w:rPr>
          <w:sz w:val="22"/>
          <w:szCs w:val="22"/>
        </w:rPr>
        <w:t xml:space="preserve">and commercial cars </w:t>
      </w:r>
      <w:r w:rsidR="00AB7D0C">
        <w:rPr>
          <w:sz w:val="22"/>
          <w:szCs w:val="22"/>
        </w:rPr>
        <w:t>production</w:t>
      </w:r>
      <w:r w:rsidR="00AB7D0C" w:rsidRPr="006F3F45">
        <w:rPr>
          <w:sz w:val="22"/>
          <w:szCs w:val="22"/>
        </w:rPr>
        <w:t xml:space="preserve"> </w:t>
      </w:r>
      <w:r w:rsidR="004514A8" w:rsidRPr="006F3F45">
        <w:rPr>
          <w:sz w:val="22"/>
          <w:szCs w:val="22"/>
        </w:rPr>
        <w:t>decreased by 3.1 percent, 8.0 percent and 4.9 percent</w:t>
      </w:r>
      <w:r w:rsidR="00AB7D0C">
        <w:rPr>
          <w:sz w:val="22"/>
          <w:szCs w:val="22"/>
        </w:rPr>
        <w:t>,</w:t>
      </w:r>
      <w:r w:rsidR="004514A8" w:rsidRPr="006F3F45">
        <w:rPr>
          <w:sz w:val="22"/>
          <w:szCs w:val="22"/>
        </w:rPr>
        <w:t xml:space="preserve"> respectively.</w:t>
      </w:r>
      <w:r w:rsidR="0014254A" w:rsidRPr="006F3F45">
        <w:rPr>
          <w:sz w:val="22"/>
          <w:szCs w:val="22"/>
        </w:rPr>
        <w:t xml:space="preserve"> </w:t>
      </w:r>
      <w:r w:rsidR="00F7616A" w:rsidRPr="006F3F45">
        <w:rPr>
          <w:sz w:val="22"/>
          <w:szCs w:val="22"/>
        </w:rPr>
        <w:t>Following increases in</w:t>
      </w:r>
      <w:r w:rsidR="004514A8" w:rsidRPr="006F3F45">
        <w:rPr>
          <w:sz w:val="22"/>
          <w:szCs w:val="22"/>
        </w:rPr>
        <w:t xml:space="preserve"> </w:t>
      </w:r>
      <w:r w:rsidR="0014254A" w:rsidRPr="006F3F45">
        <w:rPr>
          <w:sz w:val="22"/>
          <w:szCs w:val="22"/>
        </w:rPr>
        <w:t xml:space="preserve">October, </w:t>
      </w:r>
      <w:r w:rsidR="00AB7D0C">
        <w:rPr>
          <w:sz w:val="22"/>
          <w:szCs w:val="22"/>
        </w:rPr>
        <w:t xml:space="preserve">the </w:t>
      </w:r>
      <w:r w:rsidR="00AB7D0C" w:rsidRPr="006F3F45">
        <w:rPr>
          <w:sz w:val="22"/>
          <w:szCs w:val="22"/>
        </w:rPr>
        <w:t xml:space="preserve">capacity utilization rate and </w:t>
      </w:r>
      <w:r w:rsidR="00AB7D0C">
        <w:rPr>
          <w:sz w:val="22"/>
          <w:szCs w:val="22"/>
        </w:rPr>
        <w:t xml:space="preserve">the </w:t>
      </w:r>
      <w:r w:rsidR="00AB7D0C" w:rsidRPr="006F3F45">
        <w:rPr>
          <w:sz w:val="22"/>
          <w:szCs w:val="22"/>
        </w:rPr>
        <w:t xml:space="preserve">real sector confidence index </w:t>
      </w:r>
      <w:r w:rsidR="0014254A" w:rsidRPr="006F3F45">
        <w:rPr>
          <w:sz w:val="22"/>
          <w:szCs w:val="22"/>
        </w:rPr>
        <w:t>declined by 0.8 percent</w:t>
      </w:r>
      <w:r w:rsidR="00AB7D0C">
        <w:rPr>
          <w:sz w:val="22"/>
          <w:szCs w:val="22"/>
        </w:rPr>
        <w:t>age</w:t>
      </w:r>
      <w:r w:rsidR="0014254A" w:rsidRPr="006F3F45">
        <w:rPr>
          <w:sz w:val="22"/>
          <w:szCs w:val="22"/>
        </w:rPr>
        <w:t xml:space="preserve"> points and 0.4 percent</w:t>
      </w:r>
      <w:r w:rsidR="00AB7D0C">
        <w:rPr>
          <w:sz w:val="22"/>
          <w:szCs w:val="22"/>
        </w:rPr>
        <w:t>,</w:t>
      </w:r>
      <w:r w:rsidR="0014254A" w:rsidRPr="006F3F45">
        <w:rPr>
          <w:sz w:val="22"/>
          <w:szCs w:val="22"/>
        </w:rPr>
        <w:t xml:space="preserve"> respectively</w:t>
      </w:r>
      <w:r w:rsidR="00AB7D0C">
        <w:rPr>
          <w:sz w:val="22"/>
          <w:szCs w:val="22"/>
        </w:rPr>
        <w:t>,</w:t>
      </w:r>
      <w:r w:rsidR="0014254A" w:rsidRPr="006F3F45">
        <w:rPr>
          <w:sz w:val="22"/>
          <w:szCs w:val="22"/>
        </w:rPr>
        <w:t xml:space="preserve"> in November.</w:t>
      </w:r>
    </w:p>
    <w:p w:rsidR="00F91693" w:rsidRPr="006F3F45" w:rsidRDefault="00F7616A" w:rsidP="009A302B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 w:rsidRPr="006F3F45">
        <w:rPr>
          <w:b/>
          <w:bCs/>
          <w:sz w:val="22"/>
          <w:szCs w:val="22"/>
        </w:rPr>
        <w:lastRenderedPageBreak/>
        <w:t>E</w:t>
      </w:r>
      <w:r w:rsidR="0014254A" w:rsidRPr="006F3F45">
        <w:rPr>
          <w:b/>
          <w:bCs/>
          <w:sz w:val="22"/>
          <w:szCs w:val="22"/>
        </w:rPr>
        <w:t>xports declined</w:t>
      </w:r>
      <w:r w:rsidRPr="006F3F45">
        <w:rPr>
          <w:b/>
          <w:bCs/>
          <w:sz w:val="22"/>
          <w:szCs w:val="22"/>
        </w:rPr>
        <w:t xml:space="preserve"> in October</w:t>
      </w:r>
    </w:p>
    <w:p w:rsidR="00F91693" w:rsidRPr="006F3F45" w:rsidRDefault="00F91693" w:rsidP="00F91693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9A302B" w:rsidRPr="006F3F45" w:rsidRDefault="00F91693" w:rsidP="009316E7">
      <w:pPr>
        <w:spacing w:line="360" w:lineRule="auto"/>
        <w:ind w:left="-360" w:right="42"/>
        <w:jc w:val="both"/>
        <w:rPr>
          <w:sz w:val="22"/>
          <w:szCs w:val="22"/>
        </w:rPr>
      </w:pPr>
      <w:r w:rsidRPr="006F3F45">
        <w:rPr>
          <w:sz w:val="22"/>
          <w:szCs w:val="22"/>
        </w:rPr>
        <w:t>Figure 2 shows monthly changes of seasonally adjusted import and export volume indices.</w:t>
      </w:r>
      <w:r w:rsidR="0014254A" w:rsidRPr="006F3F45">
        <w:rPr>
          <w:sz w:val="22"/>
          <w:szCs w:val="22"/>
        </w:rPr>
        <w:t xml:space="preserve"> In October from the previous month, </w:t>
      </w:r>
      <w:r w:rsidR="009316E7" w:rsidRPr="006F3F45">
        <w:rPr>
          <w:sz w:val="22"/>
          <w:szCs w:val="22"/>
        </w:rPr>
        <w:t>export volume index decreased by 3.7 percent, whereas import volume index increased 2.8 percent. In the same period, gold exclude</w:t>
      </w:r>
      <w:r w:rsidR="00F7616A" w:rsidRPr="006F3F45">
        <w:rPr>
          <w:sz w:val="22"/>
          <w:szCs w:val="22"/>
        </w:rPr>
        <w:t>d</w:t>
      </w:r>
      <w:r w:rsidR="009316E7" w:rsidRPr="006F3F45">
        <w:rPr>
          <w:sz w:val="22"/>
          <w:szCs w:val="22"/>
        </w:rPr>
        <w:t xml:space="preserve"> exports and imports declined by 4.3 percent and 2.1 percent</w:t>
      </w:r>
      <w:r w:rsidR="00AB7D0C">
        <w:rPr>
          <w:sz w:val="22"/>
          <w:szCs w:val="22"/>
        </w:rPr>
        <w:t>,</w:t>
      </w:r>
      <w:r w:rsidR="009316E7" w:rsidRPr="006F3F45">
        <w:rPr>
          <w:sz w:val="22"/>
          <w:szCs w:val="22"/>
        </w:rPr>
        <w:t xml:space="preserve"> respectively.</w:t>
      </w:r>
    </w:p>
    <w:p w:rsidR="009A302B" w:rsidRPr="006F3F45" w:rsidRDefault="009A302B" w:rsidP="00F91693">
      <w:pPr>
        <w:spacing w:line="360" w:lineRule="auto"/>
        <w:ind w:right="42"/>
        <w:jc w:val="both"/>
        <w:rPr>
          <w:sz w:val="22"/>
          <w:szCs w:val="22"/>
        </w:rPr>
      </w:pPr>
    </w:p>
    <w:p w:rsidR="00F91693" w:rsidRPr="006F3F45" w:rsidRDefault="00EC6782" w:rsidP="00142837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 w:rsidRPr="006F3F45">
        <w:rPr>
          <w:b/>
          <w:bCs/>
          <w:sz w:val="22"/>
          <w:szCs w:val="22"/>
        </w:rPr>
        <w:t>Gold excluded current account</w:t>
      </w:r>
      <w:r w:rsidR="00F7616A" w:rsidRPr="006F3F45">
        <w:rPr>
          <w:b/>
          <w:bCs/>
          <w:sz w:val="22"/>
          <w:szCs w:val="22"/>
        </w:rPr>
        <w:t xml:space="preserve"> deficit</w:t>
      </w:r>
      <w:r w:rsidRPr="006F3F45">
        <w:rPr>
          <w:b/>
          <w:bCs/>
          <w:sz w:val="22"/>
          <w:szCs w:val="22"/>
        </w:rPr>
        <w:t xml:space="preserve"> </w:t>
      </w:r>
      <w:r w:rsidR="00803E59">
        <w:rPr>
          <w:b/>
          <w:bCs/>
          <w:sz w:val="22"/>
          <w:szCs w:val="22"/>
        </w:rPr>
        <w:t>steady</w:t>
      </w:r>
    </w:p>
    <w:p w:rsidR="00C24330" w:rsidRPr="006F3F45" w:rsidRDefault="00C24330" w:rsidP="00C24330">
      <w:pPr>
        <w:spacing w:line="360" w:lineRule="auto"/>
        <w:ind w:right="42"/>
        <w:jc w:val="both"/>
        <w:rPr>
          <w:sz w:val="22"/>
          <w:szCs w:val="22"/>
        </w:rPr>
      </w:pPr>
    </w:p>
    <w:p w:rsidR="007267C7" w:rsidRDefault="00EC6782" w:rsidP="00BA53CE">
      <w:pPr>
        <w:spacing w:line="360" w:lineRule="auto"/>
        <w:ind w:left="-360" w:right="42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In October, the current account deficit increased by </w:t>
      </w:r>
      <w:r w:rsidR="007267C7">
        <w:rPr>
          <w:sz w:val="22"/>
          <w:szCs w:val="22"/>
        </w:rPr>
        <w:t>$</w:t>
      </w:r>
      <w:r w:rsidRPr="006F3F45">
        <w:rPr>
          <w:sz w:val="22"/>
          <w:szCs w:val="22"/>
        </w:rPr>
        <w:t xml:space="preserve">1.7 billion compared to the same month of the previous year and reached </w:t>
      </w:r>
      <w:r w:rsidR="007267C7">
        <w:rPr>
          <w:sz w:val="22"/>
          <w:szCs w:val="22"/>
        </w:rPr>
        <w:t>$2.9 billion</w:t>
      </w:r>
      <w:r w:rsidRPr="006F3F45">
        <w:rPr>
          <w:sz w:val="22"/>
          <w:szCs w:val="22"/>
        </w:rPr>
        <w:t xml:space="preserve">. On the other hand, gold excluded current account remained at </w:t>
      </w:r>
      <w:r w:rsidR="007267C7">
        <w:rPr>
          <w:sz w:val="22"/>
          <w:szCs w:val="22"/>
        </w:rPr>
        <w:t>$</w:t>
      </w:r>
      <w:r w:rsidRPr="006F3F45">
        <w:rPr>
          <w:sz w:val="22"/>
          <w:szCs w:val="22"/>
        </w:rPr>
        <w:t xml:space="preserve">2.2 billion. </w:t>
      </w:r>
    </w:p>
    <w:p w:rsidR="007267C7" w:rsidRDefault="007267C7" w:rsidP="00BA53CE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7385A" w:rsidRDefault="00EC6782" w:rsidP="00BA53CE">
      <w:pPr>
        <w:spacing w:line="360" w:lineRule="auto"/>
        <w:ind w:left="-360" w:right="42"/>
        <w:jc w:val="both"/>
        <w:rPr>
          <w:sz w:val="22"/>
          <w:szCs w:val="22"/>
        </w:rPr>
      </w:pPr>
      <w:r w:rsidRPr="006F3F45">
        <w:rPr>
          <w:sz w:val="22"/>
          <w:szCs w:val="22"/>
        </w:rPr>
        <w:t xml:space="preserve">At the end of third quarter, 12-month current account </w:t>
      </w:r>
      <w:r w:rsidR="00FE6A90" w:rsidRPr="006F3F45">
        <w:rPr>
          <w:sz w:val="22"/>
          <w:szCs w:val="22"/>
        </w:rPr>
        <w:t>was</w:t>
      </w:r>
      <w:r w:rsidRPr="006F3F45">
        <w:rPr>
          <w:sz w:val="22"/>
          <w:szCs w:val="22"/>
        </w:rPr>
        <w:t xml:space="preserve"> </w:t>
      </w:r>
      <w:r w:rsidR="007267C7">
        <w:rPr>
          <w:sz w:val="22"/>
          <w:szCs w:val="22"/>
        </w:rPr>
        <w:t>$</w:t>
      </w:r>
      <w:r w:rsidRPr="006F3F45">
        <w:rPr>
          <w:sz w:val="22"/>
          <w:szCs w:val="22"/>
        </w:rPr>
        <w:t xml:space="preserve">59.1 billion and </w:t>
      </w:r>
      <w:r w:rsidR="00B83EED" w:rsidRPr="006F3F45">
        <w:rPr>
          <w:sz w:val="22"/>
          <w:szCs w:val="22"/>
        </w:rPr>
        <w:t xml:space="preserve">the current account deficit to GDP ratio </w:t>
      </w:r>
      <w:r w:rsidRPr="006F3F45">
        <w:rPr>
          <w:sz w:val="22"/>
          <w:szCs w:val="22"/>
        </w:rPr>
        <w:t>reached 7.2 percent</w:t>
      </w:r>
      <w:r w:rsidR="00B83EED" w:rsidRPr="006F3F45">
        <w:rPr>
          <w:sz w:val="22"/>
          <w:szCs w:val="22"/>
        </w:rPr>
        <w:t xml:space="preserve">. </w:t>
      </w:r>
      <w:r w:rsidR="007267C7">
        <w:rPr>
          <w:sz w:val="22"/>
          <w:szCs w:val="22"/>
        </w:rPr>
        <w:t>However, the g</w:t>
      </w:r>
      <w:r w:rsidR="00B83EED" w:rsidRPr="006F3F45">
        <w:rPr>
          <w:sz w:val="22"/>
          <w:szCs w:val="22"/>
        </w:rPr>
        <w:t>old excluded current account deficit</w:t>
      </w:r>
      <w:r w:rsidR="00FE6A90" w:rsidRPr="006F3F45">
        <w:rPr>
          <w:sz w:val="22"/>
          <w:szCs w:val="22"/>
        </w:rPr>
        <w:t xml:space="preserve"> to GDP ratio</w:t>
      </w:r>
      <w:r w:rsidR="00B83EED" w:rsidRPr="006F3F45">
        <w:rPr>
          <w:sz w:val="22"/>
          <w:szCs w:val="22"/>
        </w:rPr>
        <w:t xml:space="preserve"> </w:t>
      </w:r>
      <w:r w:rsidR="00217C73">
        <w:rPr>
          <w:sz w:val="22"/>
          <w:szCs w:val="22"/>
        </w:rPr>
        <w:t>was</w:t>
      </w:r>
      <w:r w:rsidR="00B83EED" w:rsidRPr="006F3F45">
        <w:rPr>
          <w:sz w:val="22"/>
          <w:szCs w:val="22"/>
        </w:rPr>
        <w:t xml:space="preserve"> 6.3 percent. We expect a limited increase in the fourth quarter. At the end of the year, we expect the current account deficit to GDP ratio</w:t>
      </w:r>
      <w:r w:rsidR="00817E78">
        <w:rPr>
          <w:sz w:val="22"/>
          <w:szCs w:val="22"/>
        </w:rPr>
        <w:t xml:space="preserve"> to reach 7.4 percent</w:t>
      </w:r>
      <w:r w:rsidR="003F7D4C" w:rsidRPr="006F3F45">
        <w:rPr>
          <w:sz w:val="22"/>
          <w:szCs w:val="22"/>
        </w:rPr>
        <w:t>.</w:t>
      </w:r>
      <w:r w:rsidRPr="006F3F45">
        <w:rPr>
          <w:sz w:val="22"/>
          <w:szCs w:val="22"/>
        </w:rPr>
        <w:t xml:space="preserve"> </w:t>
      </w:r>
    </w:p>
    <w:p w:rsidR="00904436" w:rsidRPr="006F3F45" w:rsidRDefault="00904436" w:rsidP="00BA53CE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7385A" w:rsidRDefault="00904436" w:rsidP="0047385A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Economic growth in </w:t>
      </w:r>
      <w:r w:rsidR="00CF3DE8" w:rsidRPr="006F3F45">
        <w:rPr>
          <w:b/>
          <w:bCs/>
          <w:sz w:val="22"/>
          <w:szCs w:val="22"/>
        </w:rPr>
        <w:t xml:space="preserve">2014 </w:t>
      </w:r>
    </w:p>
    <w:p w:rsidR="00904436" w:rsidRPr="006F3F45" w:rsidRDefault="00904436" w:rsidP="0047385A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</w:p>
    <w:p w:rsidR="00CF3DE8" w:rsidRPr="006F3F45" w:rsidRDefault="00CF3DE8" w:rsidP="0047385A">
      <w:pPr>
        <w:spacing w:line="360" w:lineRule="auto"/>
        <w:ind w:left="-360" w:right="42"/>
        <w:jc w:val="both"/>
        <w:rPr>
          <w:bCs/>
          <w:sz w:val="22"/>
          <w:szCs w:val="22"/>
        </w:rPr>
      </w:pPr>
      <w:r w:rsidRPr="006F3F45">
        <w:rPr>
          <w:bCs/>
          <w:sz w:val="22"/>
          <w:szCs w:val="22"/>
        </w:rPr>
        <w:t>It seems that annual growth for 2013 will be around 4 percent.</w:t>
      </w:r>
      <w:r w:rsidR="003F7D4C" w:rsidRPr="006F3F45">
        <w:rPr>
          <w:bCs/>
          <w:sz w:val="22"/>
          <w:szCs w:val="22"/>
        </w:rPr>
        <w:t xml:space="preserve"> </w:t>
      </w:r>
      <w:r w:rsidR="00E812D4">
        <w:rPr>
          <w:bCs/>
          <w:sz w:val="22"/>
          <w:szCs w:val="22"/>
        </w:rPr>
        <w:t>T</w:t>
      </w:r>
      <w:r w:rsidR="003F7D4C" w:rsidRPr="006F3F45">
        <w:rPr>
          <w:bCs/>
          <w:sz w:val="22"/>
          <w:szCs w:val="22"/>
        </w:rPr>
        <w:t>his mild growth did</w:t>
      </w:r>
      <w:r w:rsidR="00E812D4">
        <w:rPr>
          <w:bCs/>
          <w:sz w:val="22"/>
          <w:szCs w:val="22"/>
        </w:rPr>
        <w:t xml:space="preserve"> not cause a significant increase in the</w:t>
      </w:r>
      <w:r w:rsidR="003F7D4C" w:rsidRPr="006F3F45">
        <w:rPr>
          <w:bCs/>
          <w:sz w:val="22"/>
          <w:szCs w:val="22"/>
        </w:rPr>
        <w:t xml:space="preserve"> current account,</w:t>
      </w:r>
      <w:r w:rsidR="00E812D4">
        <w:rPr>
          <w:bCs/>
          <w:sz w:val="22"/>
          <w:szCs w:val="22"/>
        </w:rPr>
        <w:t xml:space="preserve"> in fact the </w:t>
      </w:r>
      <w:r w:rsidR="00E812D4" w:rsidRPr="006F3F45">
        <w:rPr>
          <w:bCs/>
          <w:sz w:val="22"/>
          <w:szCs w:val="22"/>
        </w:rPr>
        <w:t>gold excluded current account deficit</w:t>
      </w:r>
      <w:r w:rsidR="00E812D4">
        <w:rPr>
          <w:bCs/>
          <w:sz w:val="22"/>
          <w:szCs w:val="22"/>
        </w:rPr>
        <w:t xml:space="preserve"> </w:t>
      </w:r>
      <w:r w:rsidR="00E812D4">
        <w:rPr>
          <w:bCs/>
          <w:sz w:val="22"/>
          <w:szCs w:val="22"/>
        </w:rPr>
        <w:lastRenderedPageBreak/>
        <w:t>decreased.</w:t>
      </w:r>
      <w:r w:rsidR="003F7D4C" w:rsidRPr="006F3F45">
        <w:rPr>
          <w:rStyle w:val="FootnoteReference"/>
          <w:bCs/>
          <w:sz w:val="22"/>
          <w:szCs w:val="22"/>
        </w:rPr>
        <w:footnoteReference w:id="3"/>
      </w:r>
      <w:r w:rsidR="00280897" w:rsidRPr="006F3F45">
        <w:rPr>
          <w:bCs/>
          <w:sz w:val="22"/>
          <w:szCs w:val="22"/>
        </w:rPr>
        <w:t xml:space="preserve"> In 2013, </w:t>
      </w:r>
      <w:r w:rsidRPr="006F3F45">
        <w:rPr>
          <w:bCs/>
          <w:sz w:val="22"/>
          <w:szCs w:val="22"/>
        </w:rPr>
        <w:t xml:space="preserve">global </w:t>
      </w:r>
      <w:r w:rsidR="00280897" w:rsidRPr="006F3F45">
        <w:rPr>
          <w:bCs/>
          <w:sz w:val="22"/>
          <w:szCs w:val="22"/>
        </w:rPr>
        <w:t>conditions</w:t>
      </w:r>
      <w:r w:rsidR="0050414E">
        <w:rPr>
          <w:bCs/>
          <w:sz w:val="22"/>
          <w:szCs w:val="22"/>
        </w:rPr>
        <w:t xml:space="preserve"> did not </w:t>
      </w:r>
      <w:r w:rsidR="0050414E">
        <w:rPr>
          <w:sz w:val="22"/>
          <w:szCs w:val="22"/>
        </w:rPr>
        <w:t>give much support to the Turkish economy.</w:t>
      </w:r>
      <w:r w:rsidR="0050414E">
        <w:rPr>
          <w:bCs/>
          <w:sz w:val="22"/>
          <w:szCs w:val="22"/>
        </w:rPr>
        <w:t xml:space="preserve"> Mild revival</w:t>
      </w:r>
      <w:r w:rsidR="00280897" w:rsidRPr="006F3F45">
        <w:rPr>
          <w:bCs/>
          <w:sz w:val="22"/>
          <w:szCs w:val="22"/>
        </w:rPr>
        <w:t xml:space="preserve"> in Germany and England</w:t>
      </w:r>
      <w:r w:rsidR="003F7D4C" w:rsidRPr="006F3F45">
        <w:rPr>
          <w:bCs/>
          <w:sz w:val="22"/>
          <w:szCs w:val="22"/>
        </w:rPr>
        <w:t xml:space="preserve"> at the end of year</w:t>
      </w:r>
      <w:r w:rsidR="00280897" w:rsidRPr="006F3F45">
        <w:rPr>
          <w:bCs/>
          <w:sz w:val="22"/>
          <w:szCs w:val="22"/>
        </w:rPr>
        <w:t xml:space="preserve"> </w:t>
      </w:r>
      <w:r w:rsidR="0050414E">
        <w:rPr>
          <w:bCs/>
          <w:sz w:val="22"/>
          <w:szCs w:val="22"/>
        </w:rPr>
        <w:t>did not make significant contribution</w:t>
      </w:r>
      <w:r w:rsidR="009842DF">
        <w:rPr>
          <w:bCs/>
          <w:sz w:val="22"/>
          <w:szCs w:val="22"/>
        </w:rPr>
        <w:t xml:space="preserve"> </w:t>
      </w:r>
      <w:r w:rsidR="0050414E">
        <w:rPr>
          <w:bCs/>
          <w:sz w:val="22"/>
          <w:szCs w:val="22"/>
        </w:rPr>
        <w:t>to</w:t>
      </w:r>
      <w:r w:rsidR="00280897" w:rsidRPr="006F3F45">
        <w:rPr>
          <w:bCs/>
          <w:sz w:val="22"/>
          <w:szCs w:val="22"/>
        </w:rPr>
        <w:t xml:space="preserve"> Turkey's exports.</w:t>
      </w:r>
      <w:r w:rsidR="000B5E0B" w:rsidRPr="006F3F45">
        <w:rPr>
          <w:bCs/>
          <w:sz w:val="22"/>
          <w:szCs w:val="22"/>
        </w:rPr>
        <w:t xml:space="preserve"> Furthermore,</w:t>
      </w:r>
      <w:r w:rsidR="00280897" w:rsidRPr="006F3F45">
        <w:rPr>
          <w:bCs/>
          <w:sz w:val="22"/>
          <w:szCs w:val="22"/>
        </w:rPr>
        <w:t xml:space="preserve"> </w:t>
      </w:r>
      <w:r w:rsidR="000B5E0B" w:rsidRPr="006F3F45">
        <w:rPr>
          <w:bCs/>
          <w:sz w:val="22"/>
          <w:szCs w:val="22"/>
        </w:rPr>
        <w:t>t</w:t>
      </w:r>
      <w:r w:rsidR="00280897" w:rsidRPr="006F3F45">
        <w:rPr>
          <w:bCs/>
          <w:sz w:val="22"/>
          <w:szCs w:val="22"/>
        </w:rPr>
        <w:t>he uncertainty c</w:t>
      </w:r>
      <w:r w:rsidR="009842DF">
        <w:rPr>
          <w:bCs/>
          <w:sz w:val="22"/>
          <w:szCs w:val="22"/>
        </w:rPr>
        <w:t>aused</w:t>
      </w:r>
      <w:r w:rsidR="00280897" w:rsidRPr="006F3F45">
        <w:rPr>
          <w:bCs/>
          <w:sz w:val="22"/>
          <w:szCs w:val="22"/>
        </w:rPr>
        <w:t xml:space="preserve"> by </w:t>
      </w:r>
      <w:r w:rsidR="009842DF">
        <w:rPr>
          <w:bCs/>
          <w:sz w:val="22"/>
          <w:szCs w:val="22"/>
        </w:rPr>
        <w:t xml:space="preserve">the </w:t>
      </w:r>
      <w:r w:rsidR="00280897" w:rsidRPr="006F3F45">
        <w:rPr>
          <w:bCs/>
          <w:sz w:val="22"/>
          <w:szCs w:val="22"/>
        </w:rPr>
        <w:t xml:space="preserve">FED </w:t>
      </w:r>
      <w:r w:rsidR="009842DF">
        <w:rPr>
          <w:bCs/>
          <w:sz w:val="22"/>
          <w:szCs w:val="22"/>
        </w:rPr>
        <w:t xml:space="preserve">in the second half of the year caused interest rates to increase and investment climate </w:t>
      </w:r>
      <w:r w:rsidR="00CA7E1D">
        <w:rPr>
          <w:bCs/>
          <w:sz w:val="22"/>
          <w:szCs w:val="22"/>
        </w:rPr>
        <w:t xml:space="preserve">to </w:t>
      </w:r>
      <w:r w:rsidR="009842DF">
        <w:rPr>
          <w:bCs/>
          <w:sz w:val="22"/>
          <w:szCs w:val="22"/>
        </w:rPr>
        <w:t>worsen.</w:t>
      </w:r>
    </w:p>
    <w:p w:rsidR="00CF3DE8" w:rsidRPr="006F3F45" w:rsidRDefault="00CF3DE8" w:rsidP="0047385A">
      <w:pPr>
        <w:spacing w:line="360" w:lineRule="auto"/>
        <w:ind w:left="-360" w:right="42"/>
        <w:jc w:val="both"/>
        <w:rPr>
          <w:bCs/>
          <w:sz w:val="22"/>
          <w:szCs w:val="22"/>
        </w:rPr>
      </w:pPr>
    </w:p>
    <w:p w:rsidR="00280897" w:rsidRPr="006F3F45" w:rsidRDefault="00280897" w:rsidP="0047385A">
      <w:pPr>
        <w:spacing w:line="360" w:lineRule="auto"/>
        <w:ind w:left="-360" w:right="42"/>
        <w:jc w:val="both"/>
        <w:rPr>
          <w:bCs/>
          <w:sz w:val="22"/>
          <w:szCs w:val="22"/>
        </w:rPr>
      </w:pPr>
      <w:r w:rsidRPr="006F3F45">
        <w:rPr>
          <w:bCs/>
          <w:sz w:val="22"/>
          <w:szCs w:val="22"/>
        </w:rPr>
        <w:t>If global conditions do</w:t>
      </w:r>
      <w:r w:rsidR="00606989">
        <w:rPr>
          <w:bCs/>
          <w:sz w:val="22"/>
          <w:szCs w:val="22"/>
        </w:rPr>
        <w:t xml:space="preserve"> not</w:t>
      </w:r>
      <w:r w:rsidRPr="006F3F45">
        <w:rPr>
          <w:bCs/>
          <w:sz w:val="22"/>
          <w:szCs w:val="22"/>
        </w:rPr>
        <w:t xml:space="preserve"> </w:t>
      </w:r>
      <w:r w:rsidR="00606989">
        <w:rPr>
          <w:bCs/>
          <w:sz w:val="22"/>
          <w:szCs w:val="22"/>
        </w:rPr>
        <w:t xml:space="preserve">change </w:t>
      </w:r>
      <w:r w:rsidRPr="006F3F45">
        <w:rPr>
          <w:bCs/>
          <w:sz w:val="22"/>
          <w:szCs w:val="22"/>
        </w:rPr>
        <w:t xml:space="preserve">in 2014, </w:t>
      </w:r>
      <w:r w:rsidR="005951DA" w:rsidRPr="006F3F45">
        <w:rPr>
          <w:bCs/>
          <w:sz w:val="22"/>
          <w:szCs w:val="22"/>
        </w:rPr>
        <w:t xml:space="preserve">a mild and balanced growth of 4 percent </w:t>
      </w:r>
      <w:r w:rsidR="00606989">
        <w:rPr>
          <w:bCs/>
          <w:sz w:val="22"/>
          <w:szCs w:val="22"/>
        </w:rPr>
        <w:t>might</w:t>
      </w:r>
      <w:r w:rsidR="005951DA" w:rsidRPr="006F3F45">
        <w:rPr>
          <w:bCs/>
          <w:sz w:val="22"/>
          <w:szCs w:val="22"/>
        </w:rPr>
        <w:t xml:space="preserve"> be achieved</w:t>
      </w:r>
      <w:r w:rsidRPr="006F3F45">
        <w:rPr>
          <w:bCs/>
          <w:sz w:val="22"/>
          <w:szCs w:val="22"/>
        </w:rPr>
        <w:t>.</w:t>
      </w:r>
      <w:r w:rsidR="00D50670" w:rsidRPr="006F3F45">
        <w:rPr>
          <w:bCs/>
          <w:sz w:val="22"/>
          <w:szCs w:val="22"/>
        </w:rPr>
        <w:t xml:space="preserve"> </w:t>
      </w:r>
      <w:r w:rsidR="00606989">
        <w:rPr>
          <w:bCs/>
          <w:sz w:val="22"/>
          <w:szCs w:val="22"/>
        </w:rPr>
        <w:t>However, n</w:t>
      </w:r>
      <w:r w:rsidR="00D50670" w:rsidRPr="006F3F45">
        <w:rPr>
          <w:bCs/>
          <w:sz w:val="22"/>
          <w:szCs w:val="22"/>
        </w:rPr>
        <w:t>ewly arisen uncertainties</w:t>
      </w:r>
      <w:r w:rsidRPr="006F3F45">
        <w:rPr>
          <w:bCs/>
          <w:sz w:val="22"/>
          <w:szCs w:val="22"/>
        </w:rPr>
        <w:t xml:space="preserve"> </w:t>
      </w:r>
      <w:r w:rsidR="00B3543A" w:rsidRPr="006F3F45">
        <w:rPr>
          <w:bCs/>
          <w:sz w:val="22"/>
          <w:szCs w:val="22"/>
        </w:rPr>
        <w:t xml:space="preserve">and </w:t>
      </w:r>
      <w:r w:rsidR="00606989">
        <w:rPr>
          <w:bCs/>
          <w:sz w:val="22"/>
          <w:szCs w:val="22"/>
        </w:rPr>
        <w:t>volatility</w:t>
      </w:r>
      <w:r w:rsidR="00B3543A" w:rsidRPr="006F3F45">
        <w:rPr>
          <w:bCs/>
          <w:sz w:val="22"/>
          <w:szCs w:val="22"/>
        </w:rPr>
        <w:t xml:space="preserve"> in </w:t>
      </w:r>
      <w:r w:rsidR="00606989">
        <w:rPr>
          <w:bCs/>
          <w:sz w:val="22"/>
          <w:szCs w:val="22"/>
        </w:rPr>
        <w:t>financial markets</w:t>
      </w:r>
      <w:r w:rsidR="00B3543A" w:rsidRPr="006F3F45">
        <w:rPr>
          <w:bCs/>
          <w:sz w:val="22"/>
          <w:szCs w:val="22"/>
        </w:rPr>
        <w:t xml:space="preserve"> adversely affect </w:t>
      </w:r>
      <w:r w:rsidR="0077295E">
        <w:rPr>
          <w:bCs/>
          <w:sz w:val="22"/>
          <w:szCs w:val="22"/>
        </w:rPr>
        <w:t>domestic demand</w:t>
      </w:r>
      <w:r w:rsidR="00B3543A" w:rsidRPr="006F3F45">
        <w:rPr>
          <w:bCs/>
          <w:sz w:val="22"/>
          <w:szCs w:val="22"/>
        </w:rPr>
        <w:t xml:space="preserve">. On the other hand, ongoing </w:t>
      </w:r>
      <w:r w:rsidR="00606989">
        <w:rPr>
          <w:bCs/>
          <w:sz w:val="22"/>
          <w:szCs w:val="22"/>
        </w:rPr>
        <w:t>improvement</w:t>
      </w:r>
      <w:r w:rsidR="00B3543A" w:rsidRPr="006F3F45">
        <w:rPr>
          <w:bCs/>
          <w:sz w:val="22"/>
          <w:szCs w:val="22"/>
        </w:rPr>
        <w:t xml:space="preserve"> in </w:t>
      </w:r>
      <w:r w:rsidR="00606989">
        <w:rPr>
          <w:bCs/>
          <w:sz w:val="22"/>
          <w:szCs w:val="22"/>
        </w:rPr>
        <w:t>the US economy</w:t>
      </w:r>
      <w:r w:rsidR="00B3543A" w:rsidRPr="006F3F45">
        <w:rPr>
          <w:bCs/>
          <w:sz w:val="22"/>
          <w:szCs w:val="22"/>
        </w:rPr>
        <w:t xml:space="preserve"> and recovery in Europe </w:t>
      </w:r>
      <w:r w:rsidR="00606989">
        <w:rPr>
          <w:bCs/>
          <w:sz w:val="22"/>
          <w:szCs w:val="22"/>
        </w:rPr>
        <w:t>could</w:t>
      </w:r>
      <w:r w:rsidR="0096210F" w:rsidRPr="006F3F45">
        <w:rPr>
          <w:bCs/>
          <w:sz w:val="22"/>
          <w:szCs w:val="22"/>
        </w:rPr>
        <w:t xml:space="preserve"> support the e</w:t>
      </w:r>
      <w:r w:rsidR="00E426EB">
        <w:rPr>
          <w:bCs/>
          <w:sz w:val="22"/>
          <w:szCs w:val="22"/>
        </w:rPr>
        <w:t>xporting sector</w:t>
      </w:r>
      <w:r w:rsidR="0096210F" w:rsidRPr="006F3F45">
        <w:rPr>
          <w:bCs/>
          <w:sz w:val="22"/>
          <w:szCs w:val="22"/>
        </w:rPr>
        <w:t>.</w:t>
      </w:r>
    </w:p>
    <w:p w:rsidR="0096210F" w:rsidRPr="006F3F45" w:rsidRDefault="0096210F" w:rsidP="0047385A">
      <w:pPr>
        <w:spacing w:line="360" w:lineRule="auto"/>
        <w:ind w:left="-360" w:right="42"/>
        <w:jc w:val="both"/>
        <w:rPr>
          <w:bCs/>
          <w:sz w:val="22"/>
          <w:szCs w:val="22"/>
        </w:rPr>
      </w:pPr>
    </w:p>
    <w:p w:rsidR="0096210F" w:rsidRDefault="0077295E" w:rsidP="0047385A">
      <w:pPr>
        <w:spacing w:line="360" w:lineRule="auto"/>
        <w:ind w:left="-360" w:right="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6F3F45" w:rsidRPr="006F3F45">
        <w:rPr>
          <w:bCs/>
          <w:sz w:val="22"/>
          <w:szCs w:val="22"/>
        </w:rPr>
        <w:t>abor market</w:t>
      </w:r>
      <w:r>
        <w:rPr>
          <w:bCs/>
          <w:sz w:val="22"/>
          <w:szCs w:val="22"/>
        </w:rPr>
        <w:t xml:space="preserve"> rigidities and high labor costs</w:t>
      </w:r>
      <w:r w:rsidR="006F3F45" w:rsidRPr="006F3F45">
        <w:rPr>
          <w:bCs/>
          <w:sz w:val="22"/>
          <w:szCs w:val="22"/>
        </w:rPr>
        <w:t xml:space="preserve"> are restrictive factors for </w:t>
      </w:r>
      <w:r>
        <w:rPr>
          <w:bCs/>
          <w:sz w:val="22"/>
          <w:szCs w:val="22"/>
        </w:rPr>
        <w:t xml:space="preserve">economic </w:t>
      </w:r>
      <w:r w:rsidR="006F3F45" w:rsidRPr="006F3F45">
        <w:rPr>
          <w:bCs/>
          <w:sz w:val="22"/>
          <w:szCs w:val="22"/>
        </w:rPr>
        <w:t xml:space="preserve">growth </w:t>
      </w:r>
      <w:r>
        <w:rPr>
          <w:bCs/>
          <w:sz w:val="22"/>
          <w:szCs w:val="22"/>
        </w:rPr>
        <w:t>in Turkey</w:t>
      </w:r>
      <w:r w:rsidR="006F3F45" w:rsidRPr="006F3F4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Reforms to change these have been on the agenda of the government for quite a while now, however, the upcoming elections and the newly arisen political risks cloud the reform perspective. Economic </w:t>
      </w:r>
      <w:r w:rsidR="0096210F" w:rsidRPr="006F3F45">
        <w:rPr>
          <w:bCs/>
          <w:sz w:val="22"/>
          <w:szCs w:val="22"/>
        </w:rPr>
        <w:t>reforms will</w:t>
      </w:r>
      <w:r w:rsidR="006F3F45" w:rsidRPr="006F3F45">
        <w:rPr>
          <w:bCs/>
          <w:sz w:val="22"/>
          <w:szCs w:val="22"/>
        </w:rPr>
        <w:t xml:space="preserve"> probably be</w:t>
      </w:r>
      <w:r w:rsidR="0096210F" w:rsidRPr="006F3F45">
        <w:rPr>
          <w:bCs/>
          <w:sz w:val="22"/>
          <w:szCs w:val="22"/>
        </w:rPr>
        <w:t xml:space="preserve"> left </w:t>
      </w:r>
      <w:r>
        <w:rPr>
          <w:bCs/>
          <w:sz w:val="22"/>
          <w:szCs w:val="22"/>
        </w:rPr>
        <w:t>beyond</w:t>
      </w:r>
      <w:r w:rsidR="0096210F" w:rsidRPr="006F3F45">
        <w:rPr>
          <w:bCs/>
          <w:sz w:val="22"/>
          <w:szCs w:val="22"/>
        </w:rPr>
        <w:t xml:space="preserve"> 2015.</w:t>
      </w:r>
      <w:r>
        <w:rPr>
          <w:bCs/>
          <w:sz w:val="22"/>
          <w:szCs w:val="22"/>
        </w:rPr>
        <w:t xml:space="preserve"> </w:t>
      </w:r>
      <w:r w:rsidR="008D739C">
        <w:rPr>
          <w:bCs/>
          <w:sz w:val="22"/>
          <w:szCs w:val="22"/>
        </w:rPr>
        <w:t xml:space="preserve">Hence, </w:t>
      </w:r>
      <w:r w:rsidR="0096210F" w:rsidRPr="006F3F45">
        <w:rPr>
          <w:bCs/>
          <w:sz w:val="22"/>
          <w:szCs w:val="22"/>
        </w:rPr>
        <w:t xml:space="preserve">2014 growth will </w:t>
      </w:r>
      <w:r>
        <w:rPr>
          <w:bCs/>
          <w:sz w:val="22"/>
          <w:szCs w:val="22"/>
        </w:rPr>
        <w:t>depend on</w:t>
      </w:r>
      <w:r w:rsidR="006F3F45" w:rsidRPr="006F3F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weak domestic demand and </w:t>
      </w:r>
      <w:r w:rsidR="008D739C">
        <w:rPr>
          <w:bCs/>
          <w:sz w:val="22"/>
          <w:szCs w:val="22"/>
        </w:rPr>
        <w:t>weak recovery</w:t>
      </w:r>
      <w:r>
        <w:rPr>
          <w:bCs/>
          <w:sz w:val="22"/>
          <w:szCs w:val="22"/>
        </w:rPr>
        <w:t xml:space="preserve"> in export markets</w:t>
      </w:r>
      <w:r w:rsidR="006F3F45" w:rsidRPr="006F3F45">
        <w:rPr>
          <w:bCs/>
          <w:sz w:val="22"/>
          <w:szCs w:val="22"/>
        </w:rPr>
        <w:t>.</w:t>
      </w:r>
    </w:p>
    <w:p w:rsidR="00280897" w:rsidRDefault="00280897" w:rsidP="0047385A">
      <w:pPr>
        <w:spacing w:line="360" w:lineRule="auto"/>
        <w:ind w:left="-360" w:right="42"/>
        <w:jc w:val="both"/>
        <w:rPr>
          <w:bCs/>
          <w:sz w:val="22"/>
          <w:szCs w:val="22"/>
        </w:rPr>
      </w:pPr>
    </w:p>
    <w:p w:rsidR="006E2D48" w:rsidRDefault="006E2D48" w:rsidP="00BA53CE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15757" w:rsidRPr="0053729E" w:rsidRDefault="00C15757" w:rsidP="00BA53CE">
      <w:pPr>
        <w:spacing w:line="360" w:lineRule="auto"/>
        <w:ind w:left="-360" w:right="42"/>
        <w:jc w:val="both"/>
        <w:rPr>
          <w:sz w:val="22"/>
          <w:szCs w:val="22"/>
        </w:rPr>
        <w:sectPr w:rsidR="00C15757" w:rsidRPr="0053729E" w:rsidSect="00523C5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C6E50" w:rsidRPr="0053729E" w:rsidRDefault="00E823E8" w:rsidP="00801493">
      <w:pPr>
        <w:spacing w:line="360" w:lineRule="auto"/>
        <w:ind w:right="42"/>
        <w:jc w:val="both"/>
        <w:rPr>
          <w:rFonts w:ascii="Arial" w:hAnsi="Arial" w:cs="Arial"/>
          <w:sz w:val="20"/>
          <w:szCs w:val="20"/>
        </w:rPr>
      </w:pPr>
      <w:r w:rsidRPr="0053729E">
        <w:rPr>
          <w:rFonts w:ascii="Arial" w:hAnsi="Arial" w:cs="Arial"/>
          <w:b/>
          <w:sz w:val="20"/>
          <w:szCs w:val="20"/>
        </w:rPr>
        <w:lastRenderedPageBreak/>
        <w:t>Table</w:t>
      </w:r>
      <w:r w:rsidR="00451918" w:rsidRPr="0053729E">
        <w:rPr>
          <w:rFonts w:ascii="Arial" w:hAnsi="Arial" w:cs="Arial"/>
          <w:b/>
          <w:sz w:val="20"/>
          <w:szCs w:val="20"/>
        </w:rPr>
        <w:t xml:space="preserve"> 2: </w:t>
      </w:r>
      <w:r w:rsidRPr="0053729E">
        <w:rPr>
          <w:rFonts w:ascii="Arial" w:hAnsi="Arial" w:cs="Arial"/>
          <w:b/>
          <w:sz w:val="20"/>
          <w:szCs w:val="20"/>
        </w:rPr>
        <w:t xml:space="preserve">Monthly and quarterly changes of Betam’s selected indicators (real </w:t>
      </w:r>
      <w:r w:rsidR="00455777" w:rsidRPr="0053729E">
        <w:rPr>
          <w:rFonts w:ascii="Arial" w:hAnsi="Arial" w:cs="Arial"/>
          <w:b/>
          <w:sz w:val="20"/>
          <w:szCs w:val="20"/>
        </w:rPr>
        <w:t>and</w:t>
      </w:r>
      <w:r w:rsidR="00906476">
        <w:rPr>
          <w:rFonts w:ascii="Arial" w:hAnsi="Arial" w:cs="Arial"/>
          <w:b/>
          <w:sz w:val="20"/>
          <w:szCs w:val="20"/>
        </w:rPr>
        <w:t xml:space="preserve"> </w:t>
      </w:r>
      <w:r w:rsidRPr="0053729E">
        <w:rPr>
          <w:rFonts w:ascii="Arial" w:hAnsi="Arial" w:cs="Arial"/>
          <w:b/>
          <w:sz w:val="20"/>
          <w:szCs w:val="20"/>
        </w:rPr>
        <w:t>sa</w:t>
      </w:r>
      <w:r w:rsidR="008C6E50" w:rsidRPr="0053729E">
        <w:rPr>
          <w:rFonts w:ascii="Arial" w:hAnsi="Arial" w:cs="Arial"/>
          <w:b/>
          <w:sz w:val="20"/>
          <w:szCs w:val="20"/>
        </w:rPr>
        <w:t>)</w:t>
      </w:r>
    </w:p>
    <w:p w:rsidR="008C6E50" w:rsidRPr="0053729E" w:rsidRDefault="008C6E50" w:rsidP="001E4BF5">
      <w:pPr>
        <w:spacing w:line="360" w:lineRule="auto"/>
        <w:ind w:left="-360" w:right="42"/>
        <w:jc w:val="both"/>
        <w:rPr>
          <w:rFonts w:ascii="Arial" w:hAnsi="Arial" w:cs="Arial"/>
          <w:sz w:val="20"/>
          <w:szCs w:val="20"/>
        </w:rPr>
        <w:sectPr w:rsidR="008C6E50" w:rsidRPr="0053729E" w:rsidSect="00750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4"/>
        <w:gridCol w:w="1134"/>
        <w:gridCol w:w="1417"/>
        <w:gridCol w:w="1134"/>
        <w:gridCol w:w="1361"/>
        <w:gridCol w:w="1035"/>
        <w:gridCol w:w="1035"/>
      </w:tblGrid>
      <w:tr w:rsidR="00D16045" w:rsidRPr="0053729E" w:rsidTr="00B94CDE">
        <w:trPr>
          <w:trHeight w:val="607"/>
        </w:trPr>
        <w:tc>
          <w:tcPr>
            <w:tcW w:w="3144" w:type="dxa"/>
            <w:vAlign w:val="center"/>
          </w:tcPr>
          <w:p w:rsidR="00D16045" w:rsidRPr="0053729E" w:rsidRDefault="00D16045" w:rsidP="00BB0703">
            <w:pPr>
              <w:ind w:right="42"/>
              <w:jc w:val="center"/>
              <w:rPr>
                <w:b/>
                <w:bCs/>
              </w:rPr>
            </w:pPr>
            <w:r w:rsidRPr="0053729E">
              <w:rPr>
                <w:b/>
                <w:bCs/>
              </w:rPr>
              <w:lastRenderedPageBreak/>
              <w:t>Economic Indicators</w:t>
            </w:r>
          </w:p>
        </w:tc>
        <w:tc>
          <w:tcPr>
            <w:tcW w:w="1134" w:type="dxa"/>
            <w:vAlign w:val="center"/>
          </w:tcPr>
          <w:p w:rsidR="00D16045" w:rsidRPr="0053729E" w:rsidRDefault="00B94CDE" w:rsidP="002E50A9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417" w:type="dxa"/>
            <w:vAlign w:val="center"/>
          </w:tcPr>
          <w:p w:rsidR="00D16045" w:rsidRPr="0053729E" w:rsidRDefault="00B94CDE" w:rsidP="002E50A9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1134" w:type="dxa"/>
            <w:vAlign w:val="center"/>
          </w:tcPr>
          <w:p w:rsidR="00D16045" w:rsidRPr="0053729E" w:rsidRDefault="00B94CDE" w:rsidP="000C7525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D16045" w:rsidRPr="0053729E" w:rsidRDefault="00B94CDE" w:rsidP="00BB0703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D16045" w:rsidRPr="0053729E" w:rsidRDefault="00D16045" w:rsidP="00B94CDE">
            <w:pPr>
              <w:ind w:right="42"/>
              <w:jc w:val="center"/>
              <w:rPr>
                <w:b/>
                <w:bCs/>
              </w:rPr>
            </w:pPr>
            <w:r w:rsidRPr="0053729E">
              <w:rPr>
                <w:b/>
                <w:bCs/>
                <w:sz w:val="22"/>
                <w:szCs w:val="22"/>
              </w:rPr>
              <w:t xml:space="preserve">2012 </w:t>
            </w:r>
            <w:r w:rsidR="00B94CDE">
              <w:rPr>
                <w:b/>
                <w:bCs/>
                <w:sz w:val="22"/>
                <w:szCs w:val="22"/>
              </w:rPr>
              <w:t>3</w:t>
            </w:r>
            <w:r w:rsidR="00B94CDE" w:rsidRPr="00B94CDE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53729E">
              <w:rPr>
                <w:b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1035" w:type="dxa"/>
            <w:vAlign w:val="center"/>
          </w:tcPr>
          <w:p w:rsidR="00D16045" w:rsidRPr="0053729E" w:rsidRDefault="00D16045" w:rsidP="00B94CDE">
            <w:pPr>
              <w:ind w:right="42"/>
              <w:jc w:val="center"/>
              <w:rPr>
                <w:b/>
                <w:bCs/>
              </w:rPr>
            </w:pPr>
            <w:r w:rsidRPr="0053729E">
              <w:rPr>
                <w:b/>
                <w:bCs/>
                <w:sz w:val="22"/>
                <w:szCs w:val="22"/>
              </w:rPr>
              <w:t xml:space="preserve">2013 </w:t>
            </w:r>
            <w:r w:rsidR="00B94CDE">
              <w:rPr>
                <w:b/>
                <w:bCs/>
                <w:sz w:val="22"/>
                <w:szCs w:val="22"/>
              </w:rPr>
              <w:t>4</w:t>
            </w:r>
            <w:r w:rsidR="00B94CDE" w:rsidRPr="00B94CDE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53729E">
              <w:rPr>
                <w:b/>
                <w:bCs/>
                <w:sz w:val="22"/>
                <w:szCs w:val="22"/>
              </w:rPr>
              <w:t xml:space="preserve"> Quarter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Exports</w:t>
            </w:r>
          </w:p>
        </w:tc>
        <w:tc>
          <w:tcPr>
            <w:tcW w:w="1134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-2.5</w:t>
            </w:r>
          </w:p>
        </w:tc>
        <w:tc>
          <w:tcPr>
            <w:tcW w:w="1417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9.8</w:t>
            </w:r>
          </w:p>
        </w:tc>
        <w:tc>
          <w:tcPr>
            <w:tcW w:w="1134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-3.7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035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Imports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-8.0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-4.0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Intermediate goods import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-12.2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5.3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2.0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-7.2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0.9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Consumer goods import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-12.0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9.3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-2.0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3.3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-0.5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Investment goods import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-18.4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-4.6</w:t>
            </w:r>
          </w:p>
        </w:tc>
        <w:tc>
          <w:tcPr>
            <w:tcW w:w="1361" w:type="dxa"/>
            <w:tcBorders>
              <w:top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-5.6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-0.8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Exports without gold***</w:t>
            </w:r>
          </w:p>
        </w:tc>
        <w:tc>
          <w:tcPr>
            <w:tcW w:w="1134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-6.1</w:t>
            </w:r>
          </w:p>
        </w:tc>
        <w:tc>
          <w:tcPr>
            <w:tcW w:w="1417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1134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-4.3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035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-1.9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Imports without gold***</w:t>
            </w:r>
          </w:p>
        </w:tc>
        <w:tc>
          <w:tcPr>
            <w:tcW w:w="1134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-12.4</w:t>
            </w:r>
          </w:p>
        </w:tc>
        <w:tc>
          <w:tcPr>
            <w:tcW w:w="1417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</w:t>
            </w:r>
          </w:p>
        </w:tc>
        <w:tc>
          <w:tcPr>
            <w:tcW w:w="1134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-2.1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035" w:type="dxa"/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-0.4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 xml:space="preserve">Industrial Production Index (IPI)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-3.8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-3.1</w:t>
            </w: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-0.7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Nondurable consumer goods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-2.6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4.4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-4.3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-2.4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Durable consumer goods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-3.5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12.0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-6.9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-0.9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Intermediate goods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-4.3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5.9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-2.6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-0.3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Investment goods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-5.7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9.0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-4.0</w:t>
            </w:r>
          </w:p>
        </w:tc>
        <w:tc>
          <w:tcPr>
            <w:tcW w:w="1361" w:type="dxa"/>
            <w:tcBorders>
              <w:top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4.6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-0.4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Capacity Utilization Rate (CUR)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-0.8</w:t>
            </w: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Nondurable consumer goods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0.3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-0.5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0.0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Durable consumer goods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0.9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-0.4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0.2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Intermediate goods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1.0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-0.2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0.9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Investment goods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-1.6</w:t>
            </w:r>
          </w:p>
        </w:tc>
        <w:tc>
          <w:tcPr>
            <w:tcW w:w="1361" w:type="dxa"/>
            <w:tcBorders>
              <w:top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1.2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0.5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-0.4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Soft Data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Consumer confidence index (Turkstat)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-1.1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-5.9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5.1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3.5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2.3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</w:tcBorders>
            <w:vAlign w:val="bottom"/>
          </w:tcPr>
          <w:p w:rsidR="00B94CDE" w:rsidRPr="0053729E" w:rsidRDefault="00AE3A6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  <w:r w:rsidR="00B94CDE" w:rsidRPr="0053729E">
              <w:rPr>
                <w:sz w:val="20"/>
                <w:szCs w:val="20"/>
              </w:rPr>
              <w:t>l sector confidence index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2.8</w:t>
            </w:r>
          </w:p>
        </w:tc>
        <w:tc>
          <w:tcPr>
            <w:tcW w:w="1361" w:type="dxa"/>
            <w:tcBorders>
              <w:top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-0.4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-0.1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4.3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Financial Data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  <w:rPr>
                <w:b/>
                <w:bCs/>
              </w:rPr>
            </w:pP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IMKB 100 (Stock Exchange)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-3.0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0.2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2.8</w:t>
            </w:r>
          </w:p>
        </w:tc>
        <w:tc>
          <w:tcPr>
            <w:tcW w:w="1361" w:type="dxa"/>
            <w:tcBorders>
              <w:top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-0.5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-12.0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1.6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b/>
                <w:sz w:val="20"/>
                <w:szCs w:val="20"/>
              </w:rPr>
            </w:pPr>
            <w:r w:rsidRPr="0053729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Special consumption tax* (SCT)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-3.2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-2.6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  <w:bottom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Passenger Cars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-9.3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4.8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-8.0</w:t>
            </w:r>
          </w:p>
        </w:tc>
        <w:tc>
          <w:tcPr>
            <w:tcW w:w="136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12.3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16.3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-2.6</w:t>
            </w:r>
          </w:p>
        </w:tc>
      </w:tr>
      <w:tr w:rsidR="00B94CDE" w:rsidRPr="0053729E" w:rsidTr="00B94CDE">
        <w:trPr>
          <w:trHeight w:val="370"/>
        </w:trPr>
        <w:tc>
          <w:tcPr>
            <w:tcW w:w="3144" w:type="dxa"/>
            <w:tcBorders>
              <w:top w:val="nil"/>
            </w:tcBorders>
            <w:vAlign w:val="bottom"/>
          </w:tcPr>
          <w:p w:rsidR="00B94CDE" w:rsidRPr="0053729E" w:rsidRDefault="00B94CDE" w:rsidP="00BB0703">
            <w:pPr>
              <w:spacing w:line="288" w:lineRule="auto"/>
              <w:ind w:right="77"/>
              <w:rPr>
                <w:sz w:val="20"/>
                <w:szCs w:val="20"/>
              </w:rPr>
            </w:pPr>
            <w:r w:rsidRPr="0053729E">
              <w:rPr>
                <w:sz w:val="20"/>
                <w:szCs w:val="20"/>
              </w:rPr>
              <w:t>Commercial Vehicles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-0.3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5.2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-4.9</w:t>
            </w:r>
          </w:p>
        </w:tc>
        <w:tc>
          <w:tcPr>
            <w:tcW w:w="1361" w:type="dxa"/>
            <w:tcBorders>
              <w:top w:val="nil"/>
              <w:righ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1.4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1.5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B94CDE" w:rsidRPr="00261A05" w:rsidRDefault="00B94CDE" w:rsidP="007238CC">
            <w:pPr>
              <w:ind w:right="42"/>
              <w:jc w:val="center"/>
            </w:pPr>
            <w:r>
              <w:t>-1.1</w:t>
            </w:r>
          </w:p>
        </w:tc>
      </w:tr>
    </w:tbl>
    <w:p w:rsidR="008C6E50" w:rsidRPr="0053729E" w:rsidRDefault="00E823E8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Source: TurkStat</w:t>
      </w:r>
      <w:r w:rsidR="00B94CDE">
        <w:rPr>
          <w:sz w:val="16"/>
          <w:szCs w:val="16"/>
        </w:rPr>
        <w:t>.</w:t>
      </w:r>
      <w:r w:rsidR="00E03485" w:rsidRPr="0053729E">
        <w:rPr>
          <w:sz w:val="16"/>
          <w:szCs w:val="16"/>
        </w:rPr>
        <w:t>CBRT</w:t>
      </w:r>
      <w:r w:rsidR="00B94CDE">
        <w:rPr>
          <w:sz w:val="16"/>
          <w:szCs w:val="16"/>
        </w:rPr>
        <w:t>.</w:t>
      </w:r>
      <w:r w:rsidRPr="0053729E">
        <w:rPr>
          <w:sz w:val="16"/>
          <w:szCs w:val="16"/>
        </w:rPr>
        <w:t>Treasury</w:t>
      </w:r>
      <w:r w:rsidR="00B94CDE">
        <w:rPr>
          <w:sz w:val="16"/>
          <w:szCs w:val="16"/>
        </w:rPr>
        <w:t>.</w:t>
      </w:r>
      <w:r w:rsidR="00E03485" w:rsidRPr="0053729E">
        <w:rPr>
          <w:sz w:val="16"/>
          <w:szCs w:val="16"/>
        </w:rPr>
        <w:t>ISE</w:t>
      </w:r>
      <w:r w:rsidR="00B94CDE">
        <w:rPr>
          <w:sz w:val="16"/>
          <w:szCs w:val="16"/>
        </w:rPr>
        <w:t>.</w:t>
      </w:r>
      <w:r w:rsidRPr="0053729E">
        <w:rPr>
          <w:sz w:val="16"/>
          <w:szCs w:val="16"/>
        </w:rPr>
        <w:t>Betam. All series are real (or inflation adjusted) wherever necessary and seasonally adjusted.</w:t>
      </w:r>
    </w:p>
    <w:p w:rsidR="00E823E8" w:rsidRPr="0053729E" w:rsidRDefault="00E823E8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*This tax is collected on sales of goods such as gas</w:t>
      </w:r>
      <w:r w:rsidR="00B94CDE">
        <w:rPr>
          <w:sz w:val="16"/>
          <w:szCs w:val="16"/>
        </w:rPr>
        <w:t>.</w:t>
      </w:r>
      <w:r w:rsidR="008D71E7" w:rsidRPr="0053729E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fuel oils</w:t>
      </w:r>
      <w:r w:rsidR="00B94CDE">
        <w:rPr>
          <w:sz w:val="16"/>
          <w:szCs w:val="16"/>
        </w:rPr>
        <w:t>.</w:t>
      </w:r>
      <w:r w:rsidR="008D71E7" w:rsidRPr="0053729E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alcohol</w:t>
      </w:r>
      <w:r w:rsidR="00B94CDE">
        <w:rPr>
          <w:sz w:val="16"/>
          <w:szCs w:val="16"/>
        </w:rPr>
        <w:t>.</w:t>
      </w:r>
      <w:r w:rsidR="008D71E7" w:rsidRPr="0053729E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tobacco products and automobiles.</w:t>
      </w:r>
    </w:p>
    <w:p w:rsidR="00E823E8" w:rsidRPr="0053729E" w:rsidRDefault="00E823E8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**Data not yet released</w:t>
      </w:r>
      <w:r w:rsidR="00544439" w:rsidRPr="0053729E">
        <w:rPr>
          <w:sz w:val="16"/>
          <w:szCs w:val="16"/>
        </w:rPr>
        <w:t>.</w:t>
      </w:r>
    </w:p>
    <w:p w:rsidR="00544439" w:rsidRPr="0053729E" w:rsidRDefault="00544439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***Betam’s calculations: Nominal exports (imports) minus non-monetary gold</w:t>
      </w:r>
      <w:r w:rsidR="00B94CDE">
        <w:rPr>
          <w:sz w:val="16"/>
          <w:szCs w:val="16"/>
        </w:rPr>
        <w:t>.</w:t>
      </w:r>
      <w:r w:rsidRPr="0053729E">
        <w:rPr>
          <w:sz w:val="16"/>
          <w:szCs w:val="16"/>
        </w:rPr>
        <w:t xml:space="preserve"> deflated </w:t>
      </w:r>
      <w:r w:rsidR="008D71E7" w:rsidRPr="0053729E">
        <w:rPr>
          <w:sz w:val="16"/>
          <w:szCs w:val="16"/>
        </w:rPr>
        <w:t>using</w:t>
      </w:r>
      <w:r w:rsidRPr="0053729E">
        <w:rPr>
          <w:sz w:val="16"/>
          <w:szCs w:val="16"/>
        </w:rPr>
        <w:t xml:space="preserve"> the export (import) unit value index.</w:t>
      </w:r>
    </w:p>
    <w:p w:rsidR="00544439" w:rsidRPr="0053729E" w:rsidRDefault="00544439" w:rsidP="006B60DC">
      <w:pPr>
        <w:spacing w:line="360" w:lineRule="auto"/>
        <w:ind w:left="-540" w:right="42"/>
        <w:jc w:val="both"/>
        <w:rPr>
          <w:rFonts w:ascii="Arial" w:hAnsi="Arial" w:cs="Arial"/>
          <w:sz w:val="16"/>
          <w:szCs w:val="16"/>
        </w:rPr>
      </w:pPr>
    </w:p>
    <w:p w:rsidR="00BD7514" w:rsidRPr="0053729E" w:rsidRDefault="00BD7514" w:rsidP="00150B84">
      <w:pPr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E03485" w:rsidRPr="0053729E" w:rsidRDefault="00E03485" w:rsidP="00150B84">
      <w:pPr>
        <w:ind w:right="42"/>
        <w:jc w:val="both"/>
        <w:rPr>
          <w:rFonts w:ascii="Arial" w:hAnsi="Arial" w:cs="Arial"/>
          <w:b/>
          <w:sz w:val="20"/>
          <w:szCs w:val="20"/>
        </w:rPr>
        <w:sectPr w:rsidR="00E03485" w:rsidRPr="0053729E" w:rsidSect="001E77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92B" w:rsidRPr="0053729E" w:rsidRDefault="001E192B" w:rsidP="00C22DC8">
      <w:pPr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53729E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706AE1" w:rsidRPr="0053729E" w:rsidRDefault="00706AE1" w:rsidP="000B3D82">
      <w:pPr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3A3575" w:rsidRPr="0053729E" w:rsidRDefault="00AC630B" w:rsidP="006B60DC">
      <w:pPr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>Figure</w:t>
      </w:r>
      <w:r w:rsidR="003A3575" w:rsidRPr="0053729E">
        <w:rPr>
          <w:b/>
          <w:sz w:val="20"/>
          <w:szCs w:val="20"/>
        </w:rPr>
        <w:t xml:space="preserve"> 1: </w:t>
      </w:r>
      <w:r w:rsidRPr="0053729E">
        <w:rPr>
          <w:b/>
          <w:sz w:val="20"/>
          <w:szCs w:val="20"/>
        </w:rPr>
        <w:t>Capacity utilization rate and industrial production index</w:t>
      </w:r>
      <w:r w:rsidR="003A3575" w:rsidRPr="0053729E">
        <w:rPr>
          <w:b/>
          <w:sz w:val="20"/>
          <w:szCs w:val="20"/>
        </w:rPr>
        <w:t xml:space="preserve"> (</w:t>
      </w:r>
      <w:r w:rsidRPr="0053729E">
        <w:rPr>
          <w:b/>
          <w:sz w:val="20"/>
          <w:szCs w:val="20"/>
        </w:rPr>
        <w:t>s</w:t>
      </w:r>
      <w:r w:rsidR="00F65107" w:rsidRPr="0053729E">
        <w:rPr>
          <w:b/>
          <w:sz w:val="20"/>
          <w:szCs w:val="20"/>
        </w:rPr>
        <w:t>a</w:t>
      </w:r>
      <w:r w:rsidR="0071337D" w:rsidRPr="0053729E">
        <w:rPr>
          <w:b/>
          <w:sz w:val="20"/>
          <w:szCs w:val="20"/>
        </w:rPr>
        <w:t>.</w:t>
      </w:r>
      <w:r w:rsidRPr="0053729E">
        <w:rPr>
          <w:b/>
          <w:sz w:val="20"/>
          <w:szCs w:val="20"/>
        </w:rPr>
        <w:t xml:space="preserve"> left axis for CUR and right axis for IPI</w:t>
      </w:r>
      <w:r w:rsidR="003A3575" w:rsidRPr="0053729E">
        <w:rPr>
          <w:b/>
          <w:sz w:val="20"/>
          <w:szCs w:val="20"/>
        </w:rPr>
        <w:t>)</w:t>
      </w:r>
    </w:p>
    <w:p w:rsidR="003A3575" w:rsidRPr="0053729E" w:rsidRDefault="00B94CDE" w:rsidP="008944FC">
      <w:pPr>
        <w:ind w:left="-360" w:right="42"/>
        <w:jc w:val="both"/>
        <w:rPr>
          <w:szCs w:val="20"/>
        </w:rPr>
      </w:pPr>
      <w:r w:rsidRPr="00B94CDE">
        <w:rPr>
          <w:noProof/>
          <w:szCs w:val="20"/>
          <w:lang w:val="tr-TR"/>
        </w:rPr>
        <w:drawing>
          <wp:inline distT="0" distB="0" distL="0" distR="0">
            <wp:extent cx="2655570" cy="222601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2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BF" w:rsidRPr="0053729E" w:rsidRDefault="00AC630B" w:rsidP="008944FC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Source</w:t>
      </w:r>
      <w:r w:rsidR="003A3575" w:rsidRPr="0053729E">
        <w:rPr>
          <w:sz w:val="16"/>
          <w:szCs w:val="16"/>
        </w:rPr>
        <w:t>:</w:t>
      </w:r>
      <w:r w:rsidR="00B94CDE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TurkStat</w:t>
      </w:r>
      <w:r w:rsidR="007A7008" w:rsidRPr="0053729E">
        <w:rPr>
          <w:sz w:val="16"/>
          <w:szCs w:val="16"/>
        </w:rPr>
        <w:t>.</w:t>
      </w:r>
      <w:r w:rsidR="00B94CDE">
        <w:rPr>
          <w:sz w:val="16"/>
          <w:szCs w:val="16"/>
        </w:rPr>
        <w:t xml:space="preserve"> </w:t>
      </w:r>
      <w:r w:rsidR="003A3575" w:rsidRPr="0053729E">
        <w:rPr>
          <w:sz w:val="16"/>
          <w:szCs w:val="16"/>
        </w:rPr>
        <w:t>Betam</w:t>
      </w:r>
      <w:r w:rsidR="00544439" w:rsidRPr="0053729E">
        <w:rPr>
          <w:sz w:val="16"/>
          <w:szCs w:val="16"/>
        </w:rPr>
        <w:t>.</w:t>
      </w:r>
    </w:p>
    <w:p w:rsidR="008C1509" w:rsidRPr="0053729E" w:rsidRDefault="008C1509" w:rsidP="00B677BF">
      <w:pPr>
        <w:ind w:left="-360" w:right="42"/>
        <w:jc w:val="both"/>
        <w:rPr>
          <w:sz w:val="16"/>
          <w:szCs w:val="16"/>
        </w:rPr>
      </w:pPr>
    </w:p>
    <w:p w:rsidR="008944FC" w:rsidRPr="0053729E" w:rsidRDefault="008944FC" w:rsidP="00A82F2C">
      <w:pPr>
        <w:ind w:left="-360" w:right="42"/>
        <w:jc w:val="both"/>
        <w:rPr>
          <w:b/>
          <w:sz w:val="20"/>
          <w:szCs w:val="20"/>
        </w:rPr>
      </w:pPr>
    </w:p>
    <w:p w:rsidR="008944FC" w:rsidRPr="0053729E" w:rsidRDefault="008944FC" w:rsidP="00A82F2C">
      <w:pPr>
        <w:ind w:left="-360" w:right="42"/>
        <w:jc w:val="both"/>
        <w:rPr>
          <w:b/>
          <w:sz w:val="20"/>
          <w:szCs w:val="20"/>
        </w:rPr>
      </w:pPr>
    </w:p>
    <w:p w:rsidR="008944FC" w:rsidRPr="0053729E" w:rsidRDefault="008944FC" w:rsidP="00A82F2C">
      <w:pPr>
        <w:ind w:left="-360" w:right="42"/>
        <w:jc w:val="both"/>
        <w:rPr>
          <w:b/>
          <w:sz w:val="20"/>
          <w:szCs w:val="20"/>
        </w:rPr>
      </w:pPr>
    </w:p>
    <w:p w:rsidR="00486239" w:rsidRPr="0053729E" w:rsidRDefault="00486239" w:rsidP="008944FC">
      <w:pPr>
        <w:ind w:left="-360" w:right="42"/>
        <w:jc w:val="both"/>
        <w:rPr>
          <w:b/>
          <w:sz w:val="20"/>
          <w:szCs w:val="20"/>
        </w:rPr>
      </w:pPr>
    </w:p>
    <w:p w:rsidR="00486239" w:rsidRPr="0053729E" w:rsidRDefault="00486239" w:rsidP="008944FC">
      <w:pPr>
        <w:ind w:left="-360" w:right="42"/>
        <w:jc w:val="both"/>
        <w:rPr>
          <w:b/>
          <w:sz w:val="20"/>
          <w:szCs w:val="20"/>
        </w:rPr>
      </w:pPr>
    </w:p>
    <w:p w:rsidR="00C3029B" w:rsidRPr="0053729E" w:rsidRDefault="00AC630B" w:rsidP="008944FC">
      <w:pPr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>Figure</w:t>
      </w:r>
      <w:r w:rsidR="007067F4" w:rsidRPr="0053729E">
        <w:rPr>
          <w:b/>
          <w:sz w:val="20"/>
          <w:szCs w:val="20"/>
        </w:rPr>
        <w:t xml:space="preserve"> 2: </w:t>
      </w:r>
      <w:r w:rsidRPr="0053729E">
        <w:rPr>
          <w:b/>
          <w:sz w:val="20"/>
          <w:szCs w:val="20"/>
        </w:rPr>
        <w:t>Volume indices of exports and imports</w:t>
      </w:r>
      <w:r w:rsidR="007067F4" w:rsidRPr="0053729E">
        <w:rPr>
          <w:b/>
          <w:sz w:val="20"/>
          <w:szCs w:val="20"/>
        </w:rPr>
        <w:t xml:space="preserve"> (</w:t>
      </w:r>
      <w:r w:rsidRPr="0053729E">
        <w:rPr>
          <w:b/>
          <w:sz w:val="20"/>
          <w:szCs w:val="20"/>
        </w:rPr>
        <w:t>sa</w:t>
      </w:r>
      <w:r w:rsidR="007067F4" w:rsidRPr="0053729E">
        <w:rPr>
          <w:b/>
          <w:sz w:val="20"/>
          <w:szCs w:val="20"/>
        </w:rPr>
        <w:t>)</w:t>
      </w:r>
    </w:p>
    <w:p w:rsidR="00D4205B" w:rsidRPr="0053729E" w:rsidRDefault="00486239" w:rsidP="00D4205B">
      <w:pPr>
        <w:ind w:left="-360" w:right="42"/>
        <w:rPr>
          <w:sz w:val="16"/>
          <w:szCs w:val="16"/>
        </w:rPr>
      </w:pPr>
      <w:r w:rsidRPr="0053729E">
        <w:rPr>
          <w:sz w:val="20"/>
          <w:szCs w:val="20"/>
        </w:rPr>
        <w:br/>
      </w:r>
      <w:r w:rsidR="00D4205B" w:rsidRPr="0053729E">
        <w:rPr>
          <w:sz w:val="16"/>
          <w:szCs w:val="16"/>
        </w:rPr>
        <w:br/>
      </w:r>
      <w:r w:rsidR="00B94CDE" w:rsidRPr="00B94CDE">
        <w:rPr>
          <w:noProof/>
          <w:szCs w:val="16"/>
          <w:lang w:val="tr-TR"/>
        </w:rPr>
        <w:drawing>
          <wp:inline distT="0" distB="0" distL="0" distR="0">
            <wp:extent cx="2574786" cy="2224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86" cy="22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05B" w:rsidRPr="0053729E">
        <w:rPr>
          <w:sz w:val="16"/>
          <w:szCs w:val="16"/>
        </w:rPr>
        <w:br/>
        <w:t>Source: Turkstat</w:t>
      </w:r>
      <w:r w:rsidR="00B94CDE">
        <w:rPr>
          <w:sz w:val="16"/>
          <w:szCs w:val="16"/>
        </w:rPr>
        <w:t>.</w:t>
      </w:r>
      <w:r w:rsidR="00D4205B" w:rsidRPr="0053729E">
        <w:rPr>
          <w:sz w:val="16"/>
          <w:szCs w:val="16"/>
        </w:rPr>
        <w:t xml:space="preserve"> Betam.</w:t>
      </w:r>
      <w:r w:rsidR="00D4205B" w:rsidRPr="0053729E">
        <w:rPr>
          <w:sz w:val="16"/>
          <w:szCs w:val="16"/>
        </w:rPr>
        <w:br/>
      </w:r>
    </w:p>
    <w:p w:rsidR="008944FC" w:rsidRPr="0053729E" w:rsidRDefault="008944FC" w:rsidP="008944FC">
      <w:pPr>
        <w:ind w:left="-360" w:right="42"/>
        <w:jc w:val="both"/>
        <w:rPr>
          <w:b/>
          <w:sz w:val="20"/>
          <w:szCs w:val="20"/>
        </w:rPr>
      </w:pPr>
    </w:p>
    <w:p w:rsidR="007067F4" w:rsidRPr="0053729E" w:rsidRDefault="007067F4" w:rsidP="00010DD1">
      <w:pPr>
        <w:spacing w:line="360" w:lineRule="auto"/>
        <w:ind w:right="42"/>
        <w:jc w:val="both"/>
        <w:rPr>
          <w:sz w:val="20"/>
          <w:szCs w:val="20"/>
        </w:rPr>
        <w:sectPr w:rsidR="007067F4" w:rsidRPr="0053729E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74D70" w:rsidRPr="0053729E" w:rsidRDefault="00A74D70" w:rsidP="00486239">
      <w:pPr>
        <w:spacing w:line="360" w:lineRule="auto"/>
        <w:ind w:right="42"/>
        <w:jc w:val="both"/>
        <w:rPr>
          <w:b/>
          <w:sz w:val="20"/>
          <w:szCs w:val="20"/>
        </w:rPr>
      </w:pPr>
    </w:p>
    <w:p w:rsidR="00EF6AB5" w:rsidRPr="0053729E" w:rsidRDefault="00AC630B" w:rsidP="00C3029B">
      <w:pPr>
        <w:spacing w:line="360" w:lineRule="auto"/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t>Figure</w:t>
      </w:r>
      <w:r w:rsidR="00150B84" w:rsidRPr="0053729E">
        <w:rPr>
          <w:b/>
          <w:sz w:val="20"/>
          <w:szCs w:val="20"/>
        </w:rPr>
        <w:t xml:space="preserve"> 3:</w:t>
      </w:r>
      <w:r w:rsidR="006878EA">
        <w:rPr>
          <w:b/>
          <w:sz w:val="20"/>
          <w:szCs w:val="20"/>
        </w:rPr>
        <w:t xml:space="preserve"> </w:t>
      </w:r>
      <w:r w:rsidRPr="0053729E">
        <w:rPr>
          <w:b/>
          <w:sz w:val="20"/>
          <w:szCs w:val="20"/>
        </w:rPr>
        <w:t>Ratio of current account deficit to</w:t>
      </w:r>
      <w:r w:rsidR="006878EA">
        <w:rPr>
          <w:b/>
          <w:sz w:val="20"/>
          <w:szCs w:val="20"/>
        </w:rPr>
        <w:t xml:space="preserve"> </w:t>
      </w:r>
      <w:r w:rsidRPr="0053729E">
        <w:rPr>
          <w:b/>
          <w:sz w:val="20"/>
          <w:szCs w:val="20"/>
        </w:rPr>
        <w:t>GDP</w:t>
      </w:r>
      <w:r w:rsidR="00455777" w:rsidRPr="0053729E">
        <w:rPr>
          <w:b/>
          <w:sz w:val="20"/>
          <w:szCs w:val="20"/>
        </w:rPr>
        <w:t xml:space="preserve"> (yearly)</w:t>
      </w:r>
    </w:p>
    <w:p w:rsidR="001E7720" w:rsidRPr="0053729E" w:rsidRDefault="006878EA" w:rsidP="00D4205B">
      <w:pPr>
        <w:ind w:left="-360" w:right="42"/>
        <w:rPr>
          <w:szCs w:val="20"/>
        </w:rPr>
      </w:pPr>
      <w:r w:rsidRPr="006878EA">
        <w:rPr>
          <w:noProof/>
          <w:szCs w:val="20"/>
          <w:lang w:val="tr-TR"/>
        </w:rPr>
        <w:drawing>
          <wp:inline distT="0" distB="0" distL="0" distR="0">
            <wp:extent cx="5760720" cy="24732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20" w:rsidRPr="0053729E" w:rsidRDefault="00AC630B" w:rsidP="00D4205B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 xml:space="preserve">Source: </w:t>
      </w:r>
      <w:r w:rsidR="00E03485" w:rsidRPr="0053729E">
        <w:rPr>
          <w:sz w:val="16"/>
          <w:szCs w:val="16"/>
        </w:rPr>
        <w:t>CBRT</w:t>
      </w:r>
      <w:r w:rsidR="007A7008" w:rsidRPr="0053729E">
        <w:rPr>
          <w:sz w:val="16"/>
          <w:szCs w:val="16"/>
        </w:rPr>
        <w:t>.</w:t>
      </w:r>
      <w:r w:rsidR="006878EA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TurkStat</w:t>
      </w:r>
      <w:r w:rsidR="007A7008" w:rsidRPr="0053729E">
        <w:rPr>
          <w:sz w:val="16"/>
          <w:szCs w:val="16"/>
        </w:rPr>
        <w:t>.</w:t>
      </w:r>
      <w:r w:rsidR="006878EA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Betam</w:t>
      </w:r>
      <w:r w:rsidR="00EF2A9C" w:rsidRPr="0053729E">
        <w:rPr>
          <w:sz w:val="16"/>
          <w:szCs w:val="16"/>
        </w:rPr>
        <w:t>.</w:t>
      </w:r>
    </w:p>
    <w:p w:rsidR="001E7720" w:rsidRPr="0053729E" w:rsidRDefault="001E7720" w:rsidP="00C30DC1">
      <w:pPr>
        <w:spacing w:line="360" w:lineRule="auto"/>
        <w:ind w:right="42"/>
        <w:jc w:val="both"/>
        <w:rPr>
          <w:sz w:val="20"/>
          <w:szCs w:val="20"/>
        </w:rPr>
      </w:pPr>
    </w:p>
    <w:p w:rsidR="00042C84" w:rsidRPr="0053729E" w:rsidRDefault="00042C84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42C84" w:rsidRPr="0053729E" w:rsidRDefault="00042C84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42C84" w:rsidRPr="0053729E" w:rsidRDefault="00042C84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42C84" w:rsidRPr="0053729E" w:rsidRDefault="00042C84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42C84" w:rsidRPr="0053729E" w:rsidRDefault="00042C84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B34B81" w:rsidRPr="0053729E" w:rsidRDefault="00B34B81" w:rsidP="004A70D1">
      <w:pPr>
        <w:spacing w:line="360" w:lineRule="auto"/>
        <w:ind w:right="42"/>
        <w:jc w:val="both"/>
        <w:rPr>
          <w:b/>
          <w:sz w:val="20"/>
          <w:szCs w:val="20"/>
        </w:rPr>
      </w:pPr>
    </w:p>
    <w:p w:rsidR="00D4205B" w:rsidRPr="0053729E" w:rsidRDefault="00D4205B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904AF2" w:rsidRPr="0053729E" w:rsidRDefault="00904AF2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878EA" w:rsidRDefault="006878EA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C30DC1" w:rsidRPr="0053729E" w:rsidRDefault="00451918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 xml:space="preserve">Figure 4: </w:t>
      </w:r>
      <w:r w:rsidR="00C30DC1" w:rsidRPr="0053729E">
        <w:rPr>
          <w:b/>
          <w:sz w:val="20"/>
          <w:szCs w:val="20"/>
        </w:rPr>
        <w:t>W</w:t>
      </w:r>
      <w:r w:rsidR="00042C84" w:rsidRPr="0053729E">
        <w:rPr>
          <w:b/>
          <w:sz w:val="20"/>
          <w:szCs w:val="20"/>
        </w:rPr>
        <w:t>eighted Average Interest Rates f</w:t>
      </w:r>
      <w:r w:rsidR="00C30DC1" w:rsidRPr="0053729E">
        <w:rPr>
          <w:b/>
          <w:sz w:val="20"/>
          <w:szCs w:val="20"/>
        </w:rPr>
        <w:t>or Turkish Lira Banks' Loans (%)</w:t>
      </w:r>
    </w:p>
    <w:p w:rsidR="00C30DC1" w:rsidRPr="0053729E" w:rsidRDefault="006878EA" w:rsidP="00D4205B">
      <w:pPr>
        <w:ind w:left="-360" w:right="42"/>
        <w:jc w:val="both"/>
        <w:rPr>
          <w:b/>
          <w:sz w:val="20"/>
          <w:szCs w:val="20"/>
        </w:rPr>
      </w:pPr>
      <w:r w:rsidRPr="006878EA">
        <w:rPr>
          <w:noProof/>
          <w:szCs w:val="20"/>
          <w:lang w:val="tr-TR"/>
        </w:rPr>
        <w:drawing>
          <wp:inline distT="0" distB="0" distL="0" distR="0">
            <wp:extent cx="5760720" cy="2759104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5B" w:rsidRPr="0053729E" w:rsidRDefault="00C30DC1" w:rsidP="00D4205B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 xml:space="preserve">Source: </w:t>
      </w:r>
      <w:r w:rsidR="00E03485" w:rsidRPr="0053729E">
        <w:rPr>
          <w:sz w:val="16"/>
          <w:szCs w:val="16"/>
        </w:rPr>
        <w:t>CBRT</w:t>
      </w:r>
      <w:r w:rsidR="00D4205B" w:rsidRPr="0053729E">
        <w:rPr>
          <w:sz w:val="16"/>
          <w:szCs w:val="16"/>
        </w:rPr>
        <w:t>.</w:t>
      </w:r>
    </w:p>
    <w:p w:rsidR="00D4205B" w:rsidRPr="0053729E" w:rsidRDefault="00D4205B" w:rsidP="000B3D82">
      <w:pPr>
        <w:spacing w:line="360" w:lineRule="auto"/>
        <w:ind w:left="-360" w:right="42"/>
        <w:jc w:val="both"/>
        <w:rPr>
          <w:sz w:val="16"/>
          <w:szCs w:val="16"/>
        </w:rPr>
      </w:pPr>
    </w:p>
    <w:p w:rsidR="00D4205B" w:rsidRPr="0053729E" w:rsidRDefault="00D4205B" w:rsidP="000B3D82">
      <w:pPr>
        <w:spacing w:line="360" w:lineRule="auto"/>
        <w:ind w:left="-360" w:right="42"/>
        <w:jc w:val="both"/>
        <w:rPr>
          <w:sz w:val="16"/>
          <w:szCs w:val="16"/>
        </w:rPr>
      </w:pPr>
      <w:r w:rsidRPr="0053729E">
        <w:rPr>
          <w:b/>
          <w:sz w:val="20"/>
          <w:szCs w:val="20"/>
        </w:rPr>
        <w:t>Figure 5: YoY increase in IPI in 2012 and 2013 (calendar day adjusted)</w:t>
      </w:r>
    </w:p>
    <w:p w:rsidR="004A70D1" w:rsidRPr="0053729E" w:rsidRDefault="0006043D" w:rsidP="00D4205B">
      <w:pPr>
        <w:ind w:left="-360" w:right="42"/>
        <w:jc w:val="both"/>
        <w:rPr>
          <w:b/>
          <w:sz w:val="20"/>
          <w:szCs w:val="20"/>
        </w:rPr>
      </w:pPr>
      <w:r w:rsidRPr="0006043D">
        <w:rPr>
          <w:noProof/>
          <w:szCs w:val="16"/>
          <w:lang w:val="tr-TR"/>
        </w:rPr>
        <w:drawing>
          <wp:inline distT="0" distB="0" distL="0" distR="0">
            <wp:extent cx="5760720" cy="280148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A9C" w:rsidRPr="0053729E">
        <w:rPr>
          <w:sz w:val="16"/>
          <w:szCs w:val="16"/>
        </w:rPr>
        <w:t>.</w:t>
      </w:r>
    </w:p>
    <w:p w:rsidR="00D4205B" w:rsidRPr="0053729E" w:rsidRDefault="00D4205B" w:rsidP="00D4205B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Source: Turkstat.</w:t>
      </w:r>
    </w:p>
    <w:sectPr w:rsidR="00D4205B" w:rsidRPr="0053729E" w:rsidSect="001E77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97" w:rsidRDefault="00ED7297">
      <w:r>
        <w:separator/>
      </w:r>
    </w:p>
  </w:endnote>
  <w:endnote w:type="continuationSeparator" w:id="0">
    <w:p w:rsidR="00ED7297" w:rsidRDefault="00ED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97" w:rsidRDefault="00ED7297">
      <w:r>
        <w:separator/>
      </w:r>
    </w:p>
  </w:footnote>
  <w:footnote w:type="continuationSeparator" w:id="0">
    <w:p w:rsidR="00ED7297" w:rsidRDefault="00ED7297">
      <w:r>
        <w:continuationSeparator/>
      </w:r>
    </w:p>
  </w:footnote>
  <w:footnote w:id="1">
    <w:p w:rsidR="00C93ABC" w:rsidRPr="00C93ABC" w:rsidRDefault="00C93ABC" w:rsidP="00F7616A">
      <w:pPr>
        <w:pStyle w:val="FootnoteText"/>
        <w:spacing w:line="360" w:lineRule="auto"/>
        <w:ind w:left="-425"/>
        <w:jc w:val="both"/>
        <w:rPr>
          <w:lang w:val="tr-TR"/>
        </w:rPr>
      </w:pPr>
      <w:r>
        <w:rPr>
          <w:rStyle w:val="FootnoteReference"/>
        </w:rPr>
        <w:footnoteRef/>
      </w:r>
      <w:r>
        <w:t xml:space="preserve"> See. The Central Bank inflation report October 2013, box 4.1, page </w:t>
      </w:r>
      <w:r w:rsidR="00E75900">
        <w:t>59</w:t>
      </w:r>
      <w:r>
        <w:t>, "</w:t>
      </w:r>
      <w:r w:rsidR="00E75900" w:rsidRPr="00E75900">
        <w:t xml:space="preserve"> </w:t>
      </w:r>
      <w:r w:rsidR="00E75900">
        <w:t>Impact of Bridge Days on the Industrial Production Index</w:t>
      </w:r>
      <w:r>
        <w:t>".</w:t>
      </w:r>
    </w:p>
  </w:footnote>
  <w:footnote w:id="2">
    <w:p w:rsidR="00903A15" w:rsidRPr="00903A15" w:rsidRDefault="00903A15" w:rsidP="00F7616A">
      <w:pPr>
        <w:pStyle w:val="FootnoteText"/>
        <w:spacing w:line="360" w:lineRule="auto"/>
        <w:ind w:left="-284"/>
        <w:jc w:val="both"/>
        <w:rPr>
          <w:lang w:val="tr-TR"/>
        </w:rPr>
      </w:pPr>
      <w:r>
        <w:rPr>
          <w:rStyle w:val="FootnoteReference"/>
        </w:rPr>
        <w:footnoteRef/>
      </w:r>
      <w:r>
        <w:t xml:space="preserve"> Erdem Başçı mentioned this issue for IPI, but other seasonally adjusted data that doesn't </w:t>
      </w:r>
      <w:r w:rsidR="00F7616A">
        <w:t>take into account of bridge days also suffers from the same problem.</w:t>
      </w:r>
    </w:p>
  </w:footnote>
  <w:footnote w:id="3">
    <w:p w:rsidR="003F7D4C" w:rsidRPr="003F7D4C" w:rsidRDefault="003F7D4C" w:rsidP="003F7D4C">
      <w:pPr>
        <w:pStyle w:val="FootnoteText"/>
        <w:spacing w:line="360" w:lineRule="auto"/>
        <w:ind w:left="-284"/>
        <w:jc w:val="both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İmamoglu and Soybilgen, 2013. "Gold-Excluded Current Account Deficit is Declining", Betam Research Note 13/156.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003F0"/>
    <w:rsid w:val="00001050"/>
    <w:rsid w:val="00003567"/>
    <w:rsid w:val="00003E34"/>
    <w:rsid w:val="0000434B"/>
    <w:rsid w:val="00004745"/>
    <w:rsid w:val="00004C0B"/>
    <w:rsid w:val="00007B8D"/>
    <w:rsid w:val="00010DD1"/>
    <w:rsid w:val="00013406"/>
    <w:rsid w:val="00013EE7"/>
    <w:rsid w:val="00017F2E"/>
    <w:rsid w:val="00024559"/>
    <w:rsid w:val="000247C6"/>
    <w:rsid w:val="00024B55"/>
    <w:rsid w:val="00026210"/>
    <w:rsid w:val="0002627E"/>
    <w:rsid w:val="00031B4E"/>
    <w:rsid w:val="0003258C"/>
    <w:rsid w:val="00032789"/>
    <w:rsid w:val="00033490"/>
    <w:rsid w:val="00034421"/>
    <w:rsid w:val="00037357"/>
    <w:rsid w:val="00037CE9"/>
    <w:rsid w:val="00041479"/>
    <w:rsid w:val="00042C84"/>
    <w:rsid w:val="00047B99"/>
    <w:rsid w:val="00050DCF"/>
    <w:rsid w:val="00050EC0"/>
    <w:rsid w:val="00051119"/>
    <w:rsid w:val="00051CD0"/>
    <w:rsid w:val="00055814"/>
    <w:rsid w:val="00055A3E"/>
    <w:rsid w:val="00057FC2"/>
    <w:rsid w:val="0006043D"/>
    <w:rsid w:val="000625E8"/>
    <w:rsid w:val="0006304A"/>
    <w:rsid w:val="00063758"/>
    <w:rsid w:val="00065B3C"/>
    <w:rsid w:val="00067DF6"/>
    <w:rsid w:val="000715CA"/>
    <w:rsid w:val="000717B5"/>
    <w:rsid w:val="00073915"/>
    <w:rsid w:val="000743ED"/>
    <w:rsid w:val="00074EEE"/>
    <w:rsid w:val="0007515D"/>
    <w:rsid w:val="000773A1"/>
    <w:rsid w:val="000820D2"/>
    <w:rsid w:val="0008367E"/>
    <w:rsid w:val="0008450A"/>
    <w:rsid w:val="00084ED0"/>
    <w:rsid w:val="000854F8"/>
    <w:rsid w:val="00085572"/>
    <w:rsid w:val="00086F46"/>
    <w:rsid w:val="00091D4B"/>
    <w:rsid w:val="00093515"/>
    <w:rsid w:val="000966DF"/>
    <w:rsid w:val="00097481"/>
    <w:rsid w:val="000A1E16"/>
    <w:rsid w:val="000A383B"/>
    <w:rsid w:val="000A3D92"/>
    <w:rsid w:val="000A6429"/>
    <w:rsid w:val="000A6472"/>
    <w:rsid w:val="000A701D"/>
    <w:rsid w:val="000B0553"/>
    <w:rsid w:val="000B0D88"/>
    <w:rsid w:val="000B3D82"/>
    <w:rsid w:val="000B5E0B"/>
    <w:rsid w:val="000B669B"/>
    <w:rsid w:val="000C3022"/>
    <w:rsid w:val="000C5B7E"/>
    <w:rsid w:val="000D029B"/>
    <w:rsid w:val="000D0DA7"/>
    <w:rsid w:val="000D0ECE"/>
    <w:rsid w:val="000D50D1"/>
    <w:rsid w:val="000D546F"/>
    <w:rsid w:val="000D5E8A"/>
    <w:rsid w:val="000D6420"/>
    <w:rsid w:val="000D7F65"/>
    <w:rsid w:val="000E0388"/>
    <w:rsid w:val="000E0BD1"/>
    <w:rsid w:val="000E10A3"/>
    <w:rsid w:val="000E4231"/>
    <w:rsid w:val="000E4C57"/>
    <w:rsid w:val="000E5826"/>
    <w:rsid w:val="000E5D7B"/>
    <w:rsid w:val="000E6B5D"/>
    <w:rsid w:val="000E7CC8"/>
    <w:rsid w:val="000F0BB8"/>
    <w:rsid w:val="000F219F"/>
    <w:rsid w:val="000F3017"/>
    <w:rsid w:val="000F396D"/>
    <w:rsid w:val="000F4941"/>
    <w:rsid w:val="000F68F9"/>
    <w:rsid w:val="000F6D02"/>
    <w:rsid w:val="00100665"/>
    <w:rsid w:val="00100750"/>
    <w:rsid w:val="00101EB7"/>
    <w:rsid w:val="00102C87"/>
    <w:rsid w:val="00102FC6"/>
    <w:rsid w:val="00104ACC"/>
    <w:rsid w:val="00105095"/>
    <w:rsid w:val="00106127"/>
    <w:rsid w:val="00106639"/>
    <w:rsid w:val="001105B2"/>
    <w:rsid w:val="001116C3"/>
    <w:rsid w:val="00111825"/>
    <w:rsid w:val="00114BC7"/>
    <w:rsid w:val="0012219C"/>
    <w:rsid w:val="0012238B"/>
    <w:rsid w:val="00124929"/>
    <w:rsid w:val="00127B4E"/>
    <w:rsid w:val="00127BA7"/>
    <w:rsid w:val="0013046D"/>
    <w:rsid w:val="00131702"/>
    <w:rsid w:val="00133054"/>
    <w:rsid w:val="00133571"/>
    <w:rsid w:val="001357C1"/>
    <w:rsid w:val="00135FEE"/>
    <w:rsid w:val="00137054"/>
    <w:rsid w:val="00137F02"/>
    <w:rsid w:val="00137F90"/>
    <w:rsid w:val="00141719"/>
    <w:rsid w:val="00141B93"/>
    <w:rsid w:val="0014254A"/>
    <w:rsid w:val="00142837"/>
    <w:rsid w:val="00143828"/>
    <w:rsid w:val="00147192"/>
    <w:rsid w:val="0015045A"/>
    <w:rsid w:val="00150B84"/>
    <w:rsid w:val="00154DC3"/>
    <w:rsid w:val="00157DC2"/>
    <w:rsid w:val="00161297"/>
    <w:rsid w:val="00163520"/>
    <w:rsid w:val="00163E33"/>
    <w:rsid w:val="001648A8"/>
    <w:rsid w:val="00164EDE"/>
    <w:rsid w:val="00165B20"/>
    <w:rsid w:val="001661B0"/>
    <w:rsid w:val="00166FE5"/>
    <w:rsid w:val="00167408"/>
    <w:rsid w:val="00167D69"/>
    <w:rsid w:val="00170085"/>
    <w:rsid w:val="00170DE7"/>
    <w:rsid w:val="00171355"/>
    <w:rsid w:val="00174745"/>
    <w:rsid w:val="00177F4E"/>
    <w:rsid w:val="00177FE3"/>
    <w:rsid w:val="00184678"/>
    <w:rsid w:val="001916DD"/>
    <w:rsid w:val="0019538C"/>
    <w:rsid w:val="00195EC6"/>
    <w:rsid w:val="0019733C"/>
    <w:rsid w:val="00197ACB"/>
    <w:rsid w:val="001A0237"/>
    <w:rsid w:val="001A189F"/>
    <w:rsid w:val="001A2051"/>
    <w:rsid w:val="001A3CDC"/>
    <w:rsid w:val="001A62FE"/>
    <w:rsid w:val="001A7136"/>
    <w:rsid w:val="001A787F"/>
    <w:rsid w:val="001B0683"/>
    <w:rsid w:val="001B0861"/>
    <w:rsid w:val="001B1CFE"/>
    <w:rsid w:val="001B34B5"/>
    <w:rsid w:val="001B4FC6"/>
    <w:rsid w:val="001B6256"/>
    <w:rsid w:val="001B6836"/>
    <w:rsid w:val="001B6AFA"/>
    <w:rsid w:val="001C295F"/>
    <w:rsid w:val="001C4576"/>
    <w:rsid w:val="001C457D"/>
    <w:rsid w:val="001C667E"/>
    <w:rsid w:val="001C6AAB"/>
    <w:rsid w:val="001D09B1"/>
    <w:rsid w:val="001D11F7"/>
    <w:rsid w:val="001D1F1B"/>
    <w:rsid w:val="001D3C27"/>
    <w:rsid w:val="001D478F"/>
    <w:rsid w:val="001D4B8B"/>
    <w:rsid w:val="001E0274"/>
    <w:rsid w:val="001E192B"/>
    <w:rsid w:val="001E4122"/>
    <w:rsid w:val="001E4BF5"/>
    <w:rsid w:val="001E7720"/>
    <w:rsid w:val="001E7DE1"/>
    <w:rsid w:val="001F1052"/>
    <w:rsid w:val="001F1361"/>
    <w:rsid w:val="001F275D"/>
    <w:rsid w:val="001F4CFB"/>
    <w:rsid w:val="001F5435"/>
    <w:rsid w:val="001F6E7D"/>
    <w:rsid w:val="001F707E"/>
    <w:rsid w:val="001F7216"/>
    <w:rsid w:val="0020115E"/>
    <w:rsid w:val="0020184F"/>
    <w:rsid w:val="00203CD9"/>
    <w:rsid w:val="00204364"/>
    <w:rsid w:val="002058EC"/>
    <w:rsid w:val="00207185"/>
    <w:rsid w:val="00207E31"/>
    <w:rsid w:val="00214A6C"/>
    <w:rsid w:val="002151FC"/>
    <w:rsid w:val="002166A1"/>
    <w:rsid w:val="002176C5"/>
    <w:rsid w:val="00217C73"/>
    <w:rsid w:val="0022179E"/>
    <w:rsid w:val="002220B5"/>
    <w:rsid w:val="002231B5"/>
    <w:rsid w:val="00225215"/>
    <w:rsid w:val="00227263"/>
    <w:rsid w:val="002303D1"/>
    <w:rsid w:val="00230A81"/>
    <w:rsid w:val="00235E37"/>
    <w:rsid w:val="00236A19"/>
    <w:rsid w:val="00236F07"/>
    <w:rsid w:val="002451C2"/>
    <w:rsid w:val="00245E19"/>
    <w:rsid w:val="0025445E"/>
    <w:rsid w:val="00260693"/>
    <w:rsid w:val="002639C0"/>
    <w:rsid w:val="00264000"/>
    <w:rsid w:val="00264FCA"/>
    <w:rsid w:val="002663F7"/>
    <w:rsid w:val="00271168"/>
    <w:rsid w:val="00272C27"/>
    <w:rsid w:val="002751F5"/>
    <w:rsid w:val="00275C4E"/>
    <w:rsid w:val="0027608D"/>
    <w:rsid w:val="002773DA"/>
    <w:rsid w:val="00277459"/>
    <w:rsid w:val="00280897"/>
    <w:rsid w:val="00280B55"/>
    <w:rsid w:val="00281BCA"/>
    <w:rsid w:val="00283EE6"/>
    <w:rsid w:val="00284896"/>
    <w:rsid w:val="00287ACE"/>
    <w:rsid w:val="002902DE"/>
    <w:rsid w:val="00293BAB"/>
    <w:rsid w:val="00294CF8"/>
    <w:rsid w:val="00294E8C"/>
    <w:rsid w:val="00297733"/>
    <w:rsid w:val="002A0155"/>
    <w:rsid w:val="002A27C0"/>
    <w:rsid w:val="002A3272"/>
    <w:rsid w:val="002A4F26"/>
    <w:rsid w:val="002A5E74"/>
    <w:rsid w:val="002A66ED"/>
    <w:rsid w:val="002A7800"/>
    <w:rsid w:val="002B015D"/>
    <w:rsid w:val="002B1FC3"/>
    <w:rsid w:val="002B294F"/>
    <w:rsid w:val="002B3644"/>
    <w:rsid w:val="002B460F"/>
    <w:rsid w:val="002B4D99"/>
    <w:rsid w:val="002B6036"/>
    <w:rsid w:val="002B748C"/>
    <w:rsid w:val="002C0475"/>
    <w:rsid w:val="002C0C55"/>
    <w:rsid w:val="002C17BC"/>
    <w:rsid w:val="002C1DEF"/>
    <w:rsid w:val="002C1FFF"/>
    <w:rsid w:val="002C28A4"/>
    <w:rsid w:val="002C2FAB"/>
    <w:rsid w:val="002C3757"/>
    <w:rsid w:val="002C391B"/>
    <w:rsid w:val="002C3E54"/>
    <w:rsid w:val="002C6F7E"/>
    <w:rsid w:val="002D101A"/>
    <w:rsid w:val="002D7743"/>
    <w:rsid w:val="002E1EA4"/>
    <w:rsid w:val="002E5892"/>
    <w:rsid w:val="002E5D1D"/>
    <w:rsid w:val="002E6BB4"/>
    <w:rsid w:val="002E6BD6"/>
    <w:rsid w:val="002F0BDE"/>
    <w:rsid w:val="002F1C42"/>
    <w:rsid w:val="002F2CD1"/>
    <w:rsid w:val="002F30D3"/>
    <w:rsid w:val="002F30F9"/>
    <w:rsid w:val="002F5134"/>
    <w:rsid w:val="002F56EC"/>
    <w:rsid w:val="00301758"/>
    <w:rsid w:val="00303166"/>
    <w:rsid w:val="0030414A"/>
    <w:rsid w:val="00304BD3"/>
    <w:rsid w:val="00306FA7"/>
    <w:rsid w:val="0031043B"/>
    <w:rsid w:val="0031201B"/>
    <w:rsid w:val="003124B6"/>
    <w:rsid w:val="0031360B"/>
    <w:rsid w:val="003142BA"/>
    <w:rsid w:val="0031587F"/>
    <w:rsid w:val="00316CE9"/>
    <w:rsid w:val="00316DB4"/>
    <w:rsid w:val="00317125"/>
    <w:rsid w:val="00321318"/>
    <w:rsid w:val="00322134"/>
    <w:rsid w:val="003223B0"/>
    <w:rsid w:val="00322EBE"/>
    <w:rsid w:val="003239F8"/>
    <w:rsid w:val="0032553E"/>
    <w:rsid w:val="003269F7"/>
    <w:rsid w:val="0033349F"/>
    <w:rsid w:val="00333B98"/>
    <w:rsid w:val="003345C8"/>
    <w:rsid w:val="00337824"/>
    <w:rsid w:val="00337AE5"/>
    <w:rsid w:val="003410B9"/>
    <w:rsid w:val="00341195"/>
    <w:rsid w:val="00341E70"/>
    <w:rsid w:val="0034232E"/>
    <w:rsid w:val="00344070"/>
    <w:rsid w:val="003443FB"/>
    <w:rsid w:val="00345308"/>
    <w:rsid w:val="003453E9"/>
    <w:rsid w:val="0034543C"/>
    <w:rsid w:val="00345CDD"/>
    <w:rsid w:val="0034600A"/>
    <w:rsid w:val="00347145"/>
    <w:rsid w:val="003474D9"/>
    <w:rsid w:val="00353B31"/>
    <w:rsid w:val="003552A4"/>
    <w:rsid w:val="00356765"/>
    <w:rsid w:val="00357ECC"/>
    <w:rsid w:val="00360133"/>
    <w:rsid w:val="00360F5D"/>
    <w:rsid w:val="00361D56"/>
    <w:rsid w:val="00362436"/>
    <w:rsid w:val="00363520"/>
    <w:rsid w:val="00366F2D"/>
    <w:rsid w:val="00367DBD"/>
    <w:rsid w:val="003729BF"/>
    <w:rsid w:val="00374618"/>
    <w:rsid w:val="00375FA4"/>
    <w:rsid w:val="00376AC1"/>
    <w:rsid w:val="003813FF"/>
    <w:rsid w:val="00381853"/>
    <w:rsid w:val="0038308B"/>
    <w:rsid w:val="00383A6E"/>
    <w:rsid w:val="00384212"/>
    <w:rsid w:val="0038488E"/>
    <w:rsid w:val="00386146"/>
    <w:rsid w:val="003866F7"/>
    <w:rsid w:val="00386866"/>
    <w:rsid w:val="003872AE"/>
    <w:rsid w:val="003919FD"/>
    <w:rsid w:val="00394358"/>
    <w:rsid w:val="00395C47"/>
    <w:rsid w:val="00396E44"/>
    <w:rsid w:val="00397518"/>
    <w:rsid w:val="00397C86"/>
    <w:rsid w:val="003A048F"/>
    <w:rsid w:val="003A219A"/>
    <w:rsid w:val="003A2B60"/>
    <w:rsid w:val="003A31B2"/>
    <w:rsid w:val="003A3575"/>
    <w:rsid w:val="003A5AD9"/>
    <w:rsid w:val="003B0F7E"/>
    <w:rsid w:val="003B109E"/>
    <w:rsid w:val="003B143C"/>
    <w:rsid w:val="003B199A"/>
    <w:rsid w:val="003B1C3A"/>
    <w:rsid w:val="003B237B"/>
    <w:rsid w:val="003B2454"/>
    <w:rsid w:val="003B2720"/>
    <w:rsid w:val="003B472B"/>
    <w:rsid w:val="003B5209"/>
    <w:rsid w:val="003B76F5"/>
    <w:rsid w:val="003B797F"/>
    <w:rsid w:val="003C3D0A"/>
    <w:rsid w:val="003C5112"/>
    <w:rsid w:val="003C640D"/>
    <w:rsid w:val="003D0BE4"/>
    <w:rsid w:val="003D142F"/>
    <w:rsid w:val="003D31C5"/>
    <w:rsid w:val="003D7E7F"/>
    <w:rsid w:val="003E14C7"/>
    <w:rsid w:val="003E15C4"/>
    <w:rsid w:val="003E488A"/>
    <w:rsid w:val="003E4FBD"/>
    <w:rsid w:val="003E5C49"/>
    <w:rsid w:val="003F347E"/>
    <w:rsid w:val="003F63B4"/>
    <w:rsid w:val="003F7D4C"/>
    <w:rsid w:val="00401183"/>
    <w:rsid w:val="00402158"/>
    <w:rsid w:val="00403B8D"/>
    <w:rsid w:val="00405F8D"/>
    <w:rsid w:val="00406615"/>
    <w:rsid w:val="0041351B"/>
    <w:rsid w:val="00413700"/>
    <w:rsid w:val="004137E6"/>
    <w:rsid w:val="004149F4"/>
    <w:rsid w:val="004155A8"/>
    <w:rsid w:val="004164BB"/>
    <w:rsid w:val="004178EE"/>
    <w:rsid w:val="00422832"/>
    <w:rsid w:val="00422E05"/>
    <w:rsid w:val="00422F8A"/>
    <w:rsid w:val="00437C99"/>
    <w:rsid w:val="0044201D"/>
    <w:rsid w:val="004475F5"/>
    <w:rsid w:val="004514A8"/>
    <w:rsid w:val="00451918"/>
    <w:rsid w:val="00451FEA"/>
    <w:rsid w:val="00452B69"/>
    <w:rsid w:val="00455777"/>
    <w:rsid w:val="0045793D"/>
    <w:rsid w:val="0046347B"/>
    <w:rsid w:val="00463BBF"/>
    <w:rsid w:val="0046518E"/>
    <w:rsid w:val="00467ACF"/>
    <w:rsid w:val="004716A6"/>
    <w:rsid w:val="00472FEC"/>
    <w:rsid w:val="0047385A"/>
    <w:rsid w:val="0047433A"/>
    <w:rsid w:val="0047789D"/>
    <w:rsid w:val="004814F0"/>
    <w:rsid w:val="0048329E"/>
    <w:rsid w:val="00485884"/>
    <w:rsid w:val="00486239"/>
    <w:rsid w:val="00486DB9"/>
    <w:rsid w:val="00487146"/>
    <w:rsid w:val="00490FC2"/>
    <w:rsid w:val="00491BE6"/>
    <w:rsid w:val="00493AC5"/>
    <w:rsid w:val="0049613B"/>
    <w:rsid w:val="00496378"/>
    <w:rsid w:val="004969FB"/>
    <w:rsid w:val="004A2E8D"/>
    <w:rsid w:val="004A3CB8"/>
    <w:rsid w:val="004A4DD6"/>
    <w:rsid w:val="004A6333"/>
    <w:rsid w:val="004A6537"/>
    <w:rsid w:val="004A70D1"/>
    <w:rsid w:val="004A724E"/>
    <w:rsid w:val="004A7343"/>
    <w:rsid w:val="004A7FE6"/>
    <w:rsid w:val="004B358D"/>
    <w:rsid w:val="004B7C7A"/>
    <w:rsid w:val="004C56D6"/>
    <w:rsid w:val="004C6A82"/>
    <w:rsid w:val="004C7FD0"/>
    <w:rsid w:val="004D0590"/>
    <w:rsid w:val="004D23D3"/>
    <w:rsid w:val="004D4B99"/>
    <w:rsid w:val="004D5CF2"/>
    <w:rsid w:val="004D60DE"/>
    <w:rsid w:val="004D67C5"/>
    <w:rsid w:val="004D7A57"/>
    <w:rsid w:val="004E2D21"/>
    <w:rsid w:val="004E341E"/>
    <w:rsid w:val="004E40D1"/>
    <w:rsid w:val="004E4109"/>
    <w:rsid w:val="004E4961"/>
    <w:rsid w:val="004E4C5E"/>
    <w:rsid w:val="004E5779"/>
    <w:rsid w:val="004E6DFD"/>
    <w:rsid w:val="004E7CBD"/>
    <w:rsid w:val="004F08D3"/>
    <w:rsid w:val="004F1286"/>
    <w:rsid w:val="004F1E07"/>
    <w:rsid w:val="004F4717"/>
    <w:rsid w:val="0050049B"/>
    <w:rsid w:val="00500C2E"/>
    <w:rsid w:val="005024EF"/>
    <w:rsid w:val="00502586"/>
    <w:rsid w:val="00502793"/>
    <w:rsid w:val="005030BD"/>
    <w:rsid w:val="0050414E"/>
    <w:rsid w:val="0050568A"/>
    <w:rsid w:val="00506264"/>
    <w:rsid w:val="00515398"/>
    <w:rsid w:val="005155AC"/>
    <w:rsid w:val="0051750C"/>
    <w:rsid w:val="00522ED0"/>
    <w:rsid w:val="00523C58"/>
    <w:rsid w:val="00526541"/>
    <w:rsid w:val="00536648"/>
    <w:rsid w:val="00536C48"/>
    <w:rsid w:val="0053729E"/>
    <w:rsid w:val="005425FA"/>
    <w:rsid w:val="00542728"/>
    <w:rsid w:val="00542834"/>
    <w:rsid w:val="00543E56"/>
    <w:rsid w:val="00544439"/>
    <w:rsid w:val="00546373"/>
    <w:rsid w:val="0055050D"/>
    <w:rsid w:val="00551E19"/>
    <w:rsid w:val="00552C4F"/>
    <w:rsid w:val="00552D5D"/>
    <w:rsid w:val="00555A4D"/>
    <w:rsid w:val="00556328"/>
    <w:rsid w:val="00556F7E"/>
    <w:rsid w:val="005631CE"/>
    <w:rsid w:val="00563B28"/>
    <w:rsid w:val="00567E14"/>
    <w:rsid w:val="00571B47"/>
    <w:rsid w:val="00572778"/>
    <w:rsid w:val="00573338"/>
    <w:rsid w:val="00574E21"/>
    <w:rsid w:val="005758D1"/>
    <w:rsid w:val="00585800"/>
    <w:rsid w:val="00586493"/>
    <w:rsid w:val="005871D8"/>
    <w:rsid w:val="0058799A"/>
    <w:rsid w:val="00592676"/>
    <w:rsid w:val="00593B80"/>
    <w:rsid w:val="005951DA"/>
    <w:rsid w:val="005A03EE"/>
    <w:rsid w:val="005A06D3"/>
    <w:rsid w:val="005A0AF8"/>
    <w:rsid w:val="005A2B2E"/>
    <w:rsid w:val="005A3159"/>
    <w:rsid w:val="005A5144"/>
    <w:rsid w:val="005B19CA"/>
    <w:rsid w:val="005B2CF3"/>
    <w:rsid w:val="005B5D93"/>
    <w:rsid w:val="005B63A2"/>
    <w:rsid w:val="005C42DE"/>
    <w:rsid w:val="005C4CC3"/>
    <w:rsid w:val="005C571D"/>
    <w:rsid w:val="005C59F0"/>
    <w:rsid w:val="005C7783"/>
    <w:rsid w:val="005D451C"/>
    <w:rsid w:val="005D5D43"/>
    <w:rsid w:val="005D7C6B"/>
    <w:rsid w:val="005D7E62"/>
    <w:rsid w:val="005E0781"/>
    <w:rsid w:val="005E0E66"/>
    <w:rsid w:val="005E2983"/>
    <w:rsid w:val="005E4164"/>
    <w:rsid w:val="005E45BB"/>
    <w:rsid w:val="005E680D"/>
    <w:rsid w:val="005E6ECC"/>
    <w:rsid w:val="005F1C44"/>
    <w:rsid w:val="005F2A5B"/>
    <w:rsid w:val="005F2ECA"/>
    <w:rsid w:val="005F31BE"/>
    <w:rsid w:val="005F62CB"/>
    <w:rsid w:val="005F79D9"/>
    <w:rsid w:val="00600A02"/>
    <w:rsid w:val="00602EB0"/>
    <w:rsid w:val="00606989"/>
    <w:rsid w:val="00610482"/>
    <w:rsid w:val="00613B72"/>
    <w:rsid w:val="00620E28"/>
    <w:rsid w:val="00621E46"/>
    <w:rsid w:val="006221AA"/>
    <w:rsid w:val="00623B31"/>
    <w:rsid w:val="00624D79"/>
    <w:rsid w:val="006274E1"/>
    <w:rsid w:val="0062776E"/>
    <w:rsid w:val="006305E4"/>
    <w:rsid w:val="00631163"/>
    <w:rsid w:val="00631270"/>
    <w:rsid w:val="00632044"/>
    <w:rsid w:val="006360F2"/>
    <w:rsid w:val="00636B7A"/>
    <w:rsid w:val="0064166B"/>
    <w:rsid w:val="006419AA"/>
    <w:rsid w:val="00644C74"/>
    <w:rsid w:val="006454DC"/>
    <w:rsid w:val="006461CC"/>
    <w:rsid w:val="00655C49"/>
    <w:rsid w:val="00656560"/>
    <w:rsid w:val="00656983"/>
    <w:rsid w:val="00657119"/>
    <w:rsid w:val="006601EB"/>
    <w:rsid w:val="00662C10"/>
    <w:rsid w:val="00663B47"/>
    <w:rsid w:val="00664C1C"/>
    <w:rsid w:val="0066576D"/>
    <w:rsid w:val="00667305"/>
    <w:rsid w:val="006713C0"/>
    <w:rsid w:val="00671CB6"/>
    <w:rsid w:val="0067212C"/>
    <w:rsid w:val="00672830"/>
    <w:rsid w:val="00672CA0"/>
    <w:rsid w:val="00674758"/>
    <w:rsid w:val="00682DF3"/>
    <w:rsid w:val="006836A7"/>
    <w:rsid w:val="006837F6"/>
    <w:rsid w:val="00683A24"/>
    <w:rsid w:val="00683B0E"/>
    <w:rsid w:val="00684541"/>
    <w:rsid w:val="006878EA"/>
    <w:rsid w:val="00691365"/>
    <w:rsid w:val="00691D96"/>
    <w:rsid w:val="00695727"/>
    <w:rsid w:val="0069686F"/>
    <w:rsid w:val="006A06A9"/>
    <w:rsid w:val="006A292F"/>
    <w:rsid w:val="006A3F76"/>
    <w:rsid w:val="006A507F"/>
    <w:rsid w:val="006A7446"/>
    <w:rsid w:val="006B08B4"/>
    <w:rsid w:val="006B1779"/>
    <w:rsid w:val="006B22D6"/>
    <w:rsid w:val="006B3B9F"/>
    <w:rsid w:val="006B54D7"/>
    <w:rsid w:val="006B560C"/>
    <w:rsid w:val="006B60DC"/>
    <w:rsid w:val="006B69D2"/>
    <w:rsid w:val="006B6F5B"/>
    <w:rsid w:val="006B7B76"/>
    <w:rsid w:val="006C0D52"/>
    <w:rsid w:val="006C162B"/>
    <w:rsid w:val="006C2BFE"/>
    <w:rsid w:val="006C4642"/>
    <w:rsid w:val="006C6C6F"/>
    <w:rsid w:val="006D00CF"/>
    <w:rsid w:val="006D13C9"/>
    <w:rsid w:val="006E2D48"/>
    <w:rsid w:val="006F0116"/>
    <w:rsid w:val="006F1A82"/>
    <w:rsid w:val="006F2049"/>
    <w:rsid w:val="006F309B"/>
    <w:rsid w:val="006F3C21"/>
    <w:rsid w:val="006F3F45"/>
    <w:rsid w:val="006F6A80"/>
    <w:rsid w:val="006F7C8D"/>
    <w:rsid w:val="0070004A"/>
    <w:rsid w:val="007008D1"/>
    <w:rsid w:val="00704765"/>
    <w:rsid w:val="007067F4"/>
    <w:rsid w:val="00706AE1"/>
    <w:rsid w:val="0071290B"/>
    <w:rsid w:val="0071337D"/>
    <w:rsid w:val="00714FBF"/>
    <w:rsid w:val="0071687F"/>
    <w:rsid w:val="00717236"/>
    <w:rsid w:val="00720303"/>
    <w:rsid w:val="0072169E"/>
    <w:rsid w:val="0072379E"/>
    <w:rsid w:val="0072465E"/>
    <w:rsid w:val="00724CF0"/>
    <w:rsid w:val="007267C7"/>
    <w:rsid w:val="00726C38"/>
    <w:rsid w:val="007320A1"/>
    <w:rsid w:val="00733AE3"/>
    <w:rsid w:val="007361F6"/>
    <w:rsid w:val="00736C84"/>
    <w:rsid w:val="007415EE"/>
    <w:rsid w:val="007456DA"/>
    <w:rsid w:val="0075074A"/>
    <w:rsid w:val="007533D7"/>
    <w:rsid w:val="007567DC"/>
    <w:rsid w:val="0075696F"/>
    <w:rsid w:val="00761F9C"/>
    <w:rsid w:val="0076324E"/>
    <w:rsid w:val="007633AD"/>
    <w:rsid w:val="00765414"/>
    <w:rsid w:val="007670E1"/>
    <w:rsid w:val="00770832"/>
    <w:rsid w:val="00770BBA"/>
    <w:rsid w:val="00770E2D"/>
    <w:rsid w:val="00771203"/>
    <w:rsid w:val="0077295E"/>
    <w:rsid w:val="00774EA6"/>
    <w:rsid w:val="00774F2C"/>
    <w:rsid w:val="007754EC"/>
    <w:rsid w:val="0078192F"/>
    <w:rsid w:val="00782D82"/>
    <w:rsid w:val="007834AF"/>
    <w:rsid w:val="00790380"/>
    <w:rsid w:val="007924A5"/>
    <w:rsid w:val="00797035"/>
    <w:rsid w:val="0079752F"/>
    <w:rsid w:val="007975F4"/>
    <w:rsid w:val="007A0897"/>
    <w:rsid w:val="007A35F3"/>
    <w:rsid w:val="007A64EE"/>
    <w:rsid w:val="007A6702"/>
    <w:rsid w:val="007A7008"/>
    <w:rsid w:val="007B208E"/>
    <w:rsid w:val="007B2CF6"/>
    <w:rsid w:val="007B6D46"/>
    <w:rsid w:val="007C21C4"/>
    <w:rsid w:val="007C28AB"/>
    <w:rsid w:val="007C4EAE"/>
    <w:rsid w:val="007C543A"/>
    <w:rsid w:val="007C56C1"/>
    <w:rsid w:val="007D04CC"/>
    <w:rsid w:val="007D08AB"/>
    <w:rsid w:val="007D27EB"/>
    <w:rsid w:val="007D3176"/>
    <w:rsid w:val="007D4F28"/>
    <w:rsid w:val="007D513C"/>
    <w:rsid w:val="007E041E"/>
    <w:rsid w:val="007E0C5C"/>
    <w:rsid w:val="007E16B9"/>
    <w:rsid w:val="007E182F"/>
    <w:rsid w:val="007E3D0F"/>
    <w:rsid w:val="007E4F5D"/>
    <w:rsid w:val="007E51AB"/>
    <w:rsid w:val="007E5E9A"/>
    <w:rsid w:val="007F1E8F"/>
    <w:rsid w:val="007F2156"/>
    <w:rsid w:val="007F50E5"/>
    <w:rsid w:val="007F76EC"/>
    <w:rsid w:val="00801493"/>
    <w:rsid w:val="00803E59"/>
    <w:rsid w:val="00807202"/>
    <w:rsid w:val="0080748E"/>
    <w:rsid w:val="008129C1"/>
    <w:rsid w:val="00814665"/>
    <w:rsid w:val="00814DF4"/>
    <w:rsid w:val="008158D2"/>
    <w:rsid w:val="00817438"/>
    <w:rsid w:val="00817E78"/>
    <w:rsid w:val="00817FBF"/>
    <w:rsid w:val="00820714"/>
    <w:rsid w:val="00820814"/>
    <w:rsid w:val="008226C9"/>
    <w:rsid w:val="008239FD"/>
    <w:rsid w:val="00831E42"/>
    <w:rsid w:val="00831E59"/>
    <w:rsid w:val="008332DD"/>
    <w:rsid w:val="00833C7C"/>
    <w:rsid w:val="00833D58"/>
    <w:rsid w:val="00834691"/>
    <w:rsid w:val="00837B20"/>
    <w:rsid w:val="00837F15"/>
    <w:rsid w:val="00841063"/>
    <w:rsid w:val="00841898"/>
    <w:rsid w:val="00842EA5"/>
    <w:rsid w:val="00845505"/>
    <w:rsid w:val="00846685"/>
    <w:rsid w:val="008467AF"/>
    <w:rsid w:val="00847ADC"/>
    <w:rsid w:val="00847BD0"/>
    <w:rsid w:val="00851738"/>
    <w:rsid w:val="00852961"/>
    <w:rsid w:val="00852D1A"/>
    <w:rsid w:val="0085713D"/>
    <w:rsid w:val="008572C9"/>
    <w:rsid w:val="00861348"/>
    <w:rsid w:val="00861740"/>
    <w:rsid w:val="00862B92"/>
    <w:rsid w:val="008631DD"/>
    <w:rsid w:val="0086333C"/>
    <w:rsid w:val="008665DB"/>
    <w:rsid w:val="008672F6"/>
    <w:rsid w:val="0087056B"/>
    <w:rsid w:val="00871E2A"/>
    <w:rsid w:val="008721A8"/>
    <w:rsid w:val="008729A3"/>
    <w:rsid w:val="00872BE1"/>
    <w:rsid w:val="00875229"/>
    <w:rsid w:val="008865B7"/>
    <w:rsid w:val="00887060"/>
    <w:rsid w:val="008876FB"/>
    <w:rsid w:val="00892423"/>
    <w:rsid w:val="008944FC"/>
    <w:rsid w:val="008954D6"/>
    <w:rsid w:val="00895541"/>
    <w:rsid w:val="00895E6C"/>
    <w:rsid w:val="00896E61"/>
    <w:rsid w:val="008A29CB"/>
    <w:rsid w:val="008A38AB"/>
    <w:rsid w:val="008A4ABD"/>
    <w:rsid w:val="008A6B57"/>
    <w:rsid w:val="008A6C67"/>
    <w:rsid w:val="008B2149"/>
    <w:rsid w:val="008B4FA9"/>
    <w:rsid w:val="008B6B91"/>
    <w:rsid w:val="008B74EE"/>
    <w:rsid w:val="008C0F43"/>
    <w:rsid w:val="008C14F4"/>
    <w:rsid w:val="008C1509"/>
    <w:rsid w:val="008C15FD"/>
    <w:rsid w:val="008C17F4"/>
    <w:rsid w:val="008C2826"/>
    <w:rsid w:val="008C38E5"/>
    <w:rsid w:val="008C6E50"/>
    <w:rsid w:val="008D3484"/>
    <w:rsid w:val="008D3976"/>
    <w:rsid w:val="008D3ACA"/>
    <w:rsid w:val="008D5D64"/>
    <w:rsid w:val="008D71E7"/>
    <w:rsid w:val="008D739C"/>
    <w:rsid w:val="008E09A5"/>
    <w:rsid w:val="008E0E3C"/>
    <w:rsid w:val="008E1151"/>
    <w:rsid w:val="008E32CB"/>
    <w:rsid w:val="008E4FCE"/>
    <w:rsid w:val="008E63CB"/>
    <w:rsid w:val="008E7436"/>
    <w:rsid w:val="008F1CBB"/>
    <w:rsid w:val="008F1DCC"/>
    <w:rsid w:val="008F391E"/>
    <w:rsid w:val="008F5ED9"/>
    <w:rsid w:val="00900E74"/>
    <w:rsid w:val="00903A15"/>
    <w:rsid w:val="0090421E"/>
    <w:rsid w:val="00904332"/>
    <w:rsid w:val="00904436"/>
    <w:rsid w:val="00904AF2"/>
    <w:rsid w:val="0090604F"/>
    <w:rsid w:val="00906476"/>
    <w:rsid w:val="009125B5"/>
    <w:rsid w:val="009128F9"/>
    <w:rsid w:val="00912976"/>
    <w:rsid w:val="0091302D"/>
    <w:rsid w:val="0091403E"/>
    <w:rsid w:val="0091587A"/>
    <w:rsid w:val="00915CF1"/>
    <w:rsid w:val="00916E57"/>
    <w:rsid w:val="009174AD"/>
    <w:rsid w:val="00917702"/>
    <w:rsid w:val="009178BB"/>
    <w:rsid w:val="00920786"/>
    <w:rsid w:val="00922269"/>
    <w:rsid w:val="00923AE7"/>
    <w:rsid w:val="00924E54"/>
    <w:rsid w:val="009260AC"/>
    <w:rsid w:val="009316E7"/>
    <w:rsid w:val="00931B8C"/>
    <w:rsid w:val="00931D18"/>
    <w:rsid w:val="00932093"/>
    <w:rsid w:val="00934BE6"/>
    <w:rsid w:val="0093780A"/>
    <w:rsid w:val="00942357"/>
    <w:rsid w:val="00942492"/>
    <w:rsid w:val="009441DB"/>
    <w:rsid w:val="00944AFC"/>
    <w:rsid w:val="00944BC4"/>
    <w:rsid w:val="00945ABA"/>
    <w:rsid w:val="009478EE"/>
    <w:rsid w:val="00953C28"/>
    <w:rsid w:val="00955ABF"/>
    <w:rsid w:val="00957C93"/>
    <w:rsid w:val="0096210F"/>
    <w:rsid w:val="00964B29"/>
    <w:rsid w:val="009652E9"/>
    <w:rsid w:val="00965AA7"/>
    <w:rsid w:val="00967365"/>
    <w:rsid w:val="00967E92"/>
    <w:rsid w:val="00971D26"/>
    <w:rsid w:val="009730C2"/>
    <w:rsid w:val="00973386"/>
    <w:rsid w:val="00973503"/>
    <w:rsid w:val="00973AE1"/>
    <w:rsid w:val="00974030"/>
    <w:rsid w:val="009743FB"/>
    <w:rsid w:val="0097528A"/>
    <w:rsid w:val="00976449"/>
    <w:rsid w:val="009801EB"/>
    <w:rsid w:val="0098063D"/>
    <w:rsid w:val="00981D6D"/>
    <w:rsid w:val="00983473"/>
    <w:rsid w:val="009842DF"/>
    <w:rsid w:val="009848D3"/>
    <w:rsid w:val="00984D79"/>
    <w:rsid w:val="009853AB"/>
    <w:rsid w:val="00985B72"/>
    <w:rsid w:val="0098721A"/>
    <w:rsid w:val="00990226"/>
    <w:rsid w:val="00992B27"/>
    <w:rsid w:val="00992BC5"/>
    <w:rsid w:val="009930E8"/>
    <w:rsid w:val="00993679"/>
    <w:rsid w:val="00993957"/>
    <w:rsid w:val="00995E1B"/>
    <w:rsid w:val="00995F40"/>
    <w:rsid w:val="00996ECD"/>
    <w:rsid w:val="00997046"/>
    <w:rsid w:val="00997733"/>
    <w:rsid w:val="00997CB0"/>
    <w:rsid w:val="009A302B"/>
    <w:rsid w:val="009A480A"/>
    <w:rsid w:val="009A4CB8"/>
    <w:rsid w:val="009A4CBF"/>
    <w:rsid w:val="009A6149"/>
    <w:rsid w:val="009B2569"/>
    <w:rsid w:val="009B39A4"/>
    <w:rsid w:val="009B43D6"/>
    <w:rsid w:val="009B4E4D"/>
    <w:rsid w:val="009B5407"/>
    <w:rsid w:val="009B6635"/>
    <w:rsid w:val="009C1CFB"/>
    <w:rsid w:val="009C2397"/>
    <w:rsid w:val="009C53F9"/>
    <w:rsid w:val="009C59AC"/>
    <w:rsid w:val="009C6716"/>
    <w:rsid w:val="009C76B3"/>
    <w:rsid w:val="009D1323"/>
    <w:rsid w:val="009D3B55"/>
    <w:rsid w:val="009D4079"/>
    <w:rsid w:val="009D4275"/>
    <w:rsid w:val="009D4FE7"/>
    <w:rsid w:val="009D6690"/>
    <w:rsid w:val="009D77CC"/>
    <w:rsid w:val="009D7880"/>
    <w:rsid w:val="009E0464"/>
    <w:rsid w:val="009E2A57"/>
    <w:rsid w:val="009E6C01"/>
    <w:rsid w:val="009E73C4"/>
    <w:rsid w:val="009F00D8"/>
    <w:rsid w:val="009F0111"/>
    <w:rsid w:val="009F0550"/>
    <w:rsid w:val="009F1B4D"/>
    <w:rsid w:val="009F2088"/>
    <w:rsid w:val="009F29F3"/>
    <w:rsid w:val="009F47B5"/>
    <w:rsid w:val="009F6583"/>
    <w:rsid w:val="00A01223"/>
    <w:rsid w:val="00A0243A"/>
    <w:rsid w:val="00A03166"/>
    <w:rsid w:val="00A05DEF"/>
    <w:rsid w:val="00A0725A"/>
    <w:rsid w:val="00A0768E"/>
    <w:rsid w:val="00A11CB3"/>
    <w:rsid w:val="00A1473F"/>
    <w:rsid w:val="00A1493B"/>
    <w:rsid w:val="00A1561F"/>
    <w:rsid w:val="00A158E0"/>
    <w:rsid w:val="00A1775E"/>
    <w:rsid w:val="00A208D0"/>
    <w:rsid w:val="00A217FD"/>
    <w:rsid w:val="00A21B51"/>
    <w:rsid w:val="00A229EA"/>
    <w:rsid w:val="00A22AF3"/>
    <w:rsid w:val="00A24957"/>
    <w:rsid w:val="00A25773"/>
    <w:rsid w:val="00A265E2"/>
    <w:rsid w:val="00A2686F"/>
    <w:rsid w:val="00A32CC6"/>
    <w:rsid w:val="00A35FDD"/>
    <w:rsid w:val="00A50451"/>
    <w:rsid w:val="00A50B01"/>
    <w:rsid w:val="00A522BD"/>
    <w:rsid w:val="00A55C1E"/>
    <w:rsid w:val="00A56E94"/>
    <w:rsid w:val="00A60202"/>
    <w:rsid w:val="00A60C01"/>
    <w:rsid w:val="00A64100"/>
    <w:rsid w:val="00A6642E"/>
    <w:rsid w:val="00A67A86"/>
    <w:rsid w:val="00A704DD"/>
    <w:rsid w:val="00A71B18"/>
    <w:rsid w:val="00A726B4"/>
    <w:rsid w:val="00A74D70"/>
    <w:rsid w:val="00A757FF"/>
    <w:rsid w:val="00A75A46"/>
    <w:rsid w:val="00A75A6A"/>
    <w:rsid w:val="00A8069D"/>
    <w:rsid w:val="00A80C2F"/>
    <w:rsid w:val="00A82A89"/>
    <w:rsid w:val="00A82F2C"/>
    <w:rsid w:val="00A83CAB"/>
    <w:rsid w:val="00A84B9A"/>
    <w:rsid w:val="00A86049"/>
    <w:rsid w:val="00A878F4"/>
    <w:rsid w:val="00A917AD"/>
    <w:rsid w:val="00A93175"/>
    <w:rsid w:val="00A9385F"/>
    <w:rsid w:val="00A93A56"/>
    <w:rsid w:val="00A94086"/>
    <w:rsid w:val="00A9596F"/>
    <w:rsid w:val="00A96EF6"/>
    <w:rsid w:val="00A977CF"/>
    <w:rsid w:val="00A97896"/>
    <w:rsid w:val="00AA0B7F"/>
    <w:rsid w:val="00AA179B"/>
    <w:rsid w:val="00AA2044"/>
    <w:rsid w:val="00AA2704"/>
    <w:rsid w:val="00AA2962"/>
    <w:rsid w:val="00AA3845"/>
    <w:rsid w:val="00AA50EA"/>
    <w:rsid w:val="00AA59EF"/>
    <w:rsid w:val="00AA76E6"/>
    <w:rsid w:val="00AB31A8"/>
    <w:rsid w:val="00AB4B5B"/>
    <w:rsid w:val="00AB501A"/>
    <w:rsid w:val="00AB717C"/>
    <w:rsid w:val="00AB7D0C"/>
    <w:rsid w:val="00AB7E39"/>
    <w:rsid w:val="00AC1A14"/>
    <w:rsid w:val="00AC1C97"/>
    <w:rsid w:val="00AC4805"/>
    <w:rsid w:val="00AC4B72"/>
    <w:rsid w:val="00AC595F"/>
    <w:rsid w:val="00AC630B"/>
    <w:rsid w:val="00AD2AAA"/>
    <w:rsid w:val="00AD4568"/>
    <w:rsid w:val="00AD5A12"/>
    <w:rsid w:val="00AD63AE"/>
    <w:rsid w:val="00AD6D9C"/>
    <w:rsid w:val="00AD6E7B"/>
    <w:rsid w:val="00AD78F5"/>
    <w:rsid w:val="00AE06D6"/>
    <w:rsid w:val="00AE1FE6"/>
    <w:rsid w:val="00AE3A6E"/>
    <w:rsid w:val="00AE4A9A"/>
    <w:rsid w:val="00AE5F4F"/>
    <w:rsid w:val="00AE7542"/>
    <w:rsid w:val="00AF0503"/>
    <w:rsid w:val="00AF1ADE"/>
    <w:rsid w:val="00AF2D7A"/>
    <w:rsid w:val="00AF34E9"/>
    <w:rsid w:val="00AF501D"/>
    <w:rsid w:val="00AF5338"/>
    <w:rsid w:val="00AF6051"/>
    <w:rsid w:val="00AF6500"/>
    <w:rsid w:val="00AF7076"/>
    <w:rsid w:val="00AF76F9"/>
    <w:rsid w:val="00B01B40"/>
    <w:rsid w:val="00B0281D"/>
    <w:rsid w:val="00B02E94"/>
    <w:rsid w:val="00B050DE"/>
    <w:rsid w:val="00B05AA6"/>
    <w:rsid w:val="00B062A2"/>
    <w:rsid w:val="00B07677"/>
    <w:rsid w:val="00B10F74"/>
    <w:rsid w:val="00B115D5"/>
    <w:rsid w:val="00B1244F"/>
    <w:rsid w:val="00B12FD3"/>
    <w:rsid w:val="00B13662"/>
    <w:rsid w:val="00B14F53"/>
    <w:rsid w:val="00B1612F"/>
    <w:rsid w:val="00B1619A"/>
    <w:rsid w:val="00B169C6"/>
    <w:rsid w:val="00B17E8D"/>
    <w:rsid w:val="00B21AB3"/>
    <w:rsid w:val="00B25C21"/>
    <w:rsid w:val="00B270E0"/>
    <w:rsid w:val="00B320C7"/>
    <w:rsid w:val="00B34B81"/>
    <w:rsid w:val="00B34C83"/>
    <w:rsid w:val="00B3543A"/>
    <w:rsid w:val="00B377EE"/>
    <w:rsid w:val="00B37FEB"/>
    <w:rsid w:val="00B40675"/>
    <w:rsid w:val="00B42B18"/>
    <w:rsid w:val="00B46671"/>
    <w:rsid w:val="00B47161"/>
    <w:rsid w:val="00B510B9"/>
    <w:rsid w:val="00B51417"/>
    <w:rsid w:val="00B51DCC"/>
    <w:rsid w:val="00B52D16"/>
    <w:rsid w:val="00B55EDE"/>
    <w:rsid w:val="00B66F3D"/>
    <w:rsid w:val="00B677BF"/>
    <w:rsid w:val="00B67CD4"/>
    <w:rsid w:val="00B70239"/>
    <w:rsid w:val="00B71BC1"/>
    <w:rsid w:val="00B734D3"/>
    <w:rsid w:val="00B73649"/>
    <w:rsid w:val="00B7481B"/>
    <w:rsid w:val="00B7575B"/>
    <w:rsid w:val="00B76E7C"/>
    <w:rsid w:val="00B77886"/>
    <w:rsid w:val="00B800C0"/>
    <w:rsid w:val="00B80469"/>
    <w:rsid w:val="00B80B22"/>
    <w:rsid w:val="00B83EED"/>
    <w:rsid w:val="00B8531E"/>
    <w:rsid w:val="00B869FB"/>
    <w:rsid w:val="00B86CC0"/>
    <w:rsid w:val="00B878CC"/>
    <w:rsid w:val="00B9215F"/>
    <w:rsid w:val="00B9376A"/>
    <w:rsid w:val="00B94CDE"/>
    <w:rsid w:val="00B95352"/>
    <w:rsid w:val="00B95373"/>
    <w:rsid w:val="00B96E66"/>
    <w:rsid w:val="00B97F6C"/>
    <w:rsid w:val="00BA47FF"/>
    <w:rsid w:val="00BA53CE"/>
    <w:rsid w:val="00BB0877"/>
    <w:rsid w:val="00BB08BD"/>
    <w:rsid w:val="00BB186F"/>
    <w:rsid w:val="00BB4CA7"/>
    <w:rsid w:val="00BB53AD"/>
    <w:rsid w:val="00BB5C35"/>
    <w:rsid w:val="00BB7CE9"/>
    <w:rsid w:val="00BC17C0"/>
    <w:rsid w:val="00BC50EF"/>
    <w:rsid w:val="00BD0DAF"/>
    <w:rsid w:val="00BD4ADF"/>
    <w:rsid w:val="00BD5E4D"/>
    <w:rsid w:val="00BD7514"/>
    <w:rsid w:val="00BE4CDD"/>
    <w:rsid w:val="00BE505A"/>
    <w:rsid w:val="00BE56E0"/>
    <w:rsid w:val="00BE61FB"/>
    <w:rsid w:val="00BF059A"/>
    <w:rsid w:val="00BF07F5"/>
    <w:rsid w:val="00BF14F1"/>
    <w:rsid w:val="00BF17E5"/>
    <w:rsid w:val="00BF22C5"/>
    <w:rsid w:val="00BF37B8"/>
    <w:rsid w:val="00BF409F"/>
    <w:rsid w:val="00BF5712"/>
    <w:rsid w:val="00BF60D3"/>
    <w:rsid w:val="00BF79CD"/>
    <w:rsid w:val="00C02556"/>
    <w:rsid w:val="00C05D67"/>
    <w:rsid w:val="00C071B8"/>
    <w:rsid w:val="00C07953"/>
    <w:rsid w:val="00C11348"/>
    <w:rsid w:val="00C142EC"/>
    <w:rsid w:val="00C15156"/>
    <w:rsid w:val="00C15757"/>
    <w:rsid w:val="00C15A9A"/>
    <w:rsid w:val="00C16CFB"/>
    <w:rsid w:val="00C171D9"/>
    <w:rsid w:val="00C17D57"/>
    <w:rsid w:val="00C22DC8"/>
    <w:rsid w:val="00C2420F"/>
    <w:rsid w:val="00C24330"/>
    <w:rsid w:val="00C24665"/>
    <w:rsid w:val="00C25007"/>
    <w:rsid w:val="00C2528A"/>
    <w:rsid w:val="00C25495"/>
    <w:rsid w:val="00C2555C"/>
    <w:rsid w:val="00C25959"/>
    <w:rsid w:val="00C26A64"/>
    <w:rsid w:val="00C26F26"/>
    <w:rsid w:val="00C3029B"/>
    <w:rsid w:val="00C30485"/>
    <w:rsid w:val="00C309DF"/>
    <w:rsid w:val="00C30DC1"/>
    <w:rsid w:val="00C317F7"/>
    <w:rsid w:val="00C322D2"/>
    <w:rsid w:val="00C32A34"/>
    <w:rsid w:val="00C34B55"/>
    <w:rsid w:val="00C3642A"/>
    <w:rsid w:val="00C3674A"/>
    <w:rsid w:val="00C369DA"/>
    <w:rsid w:val="00C37220"/>
    <w:rsid w:val="00C37AB3"/>
    <w:rsid w:val="00C410CC"/>
    <w:rsid w:val="00C4382B"/>
    <w:rsid w:val="00C43E1F"/>
    <w:rsid w:val="00C44A6C"/>
    <w:rsid w:val="00C45821"/>
    <w:rsid w:val="00C45FC0"/>
    <w:rsid w:val="00C527FE"/>
    <w:rsid w:val="00C54FB9"/>
    <w:rsid w:val="00C56CA3"/>
    <w:rsid w:val="00C56E8D"/>
    <w:rsid w:val="00C60595"/>
    <w:rsid w:val="00C605FF"/>
    <w:rsid w:val="00C61305"/>
    <w:rsid w:val="00C61472"/>
    <w:rsid w:val="00C61DF0"/>
    <w:rsid w:val="00C62404"/>
    <w:rsid w:val="00C6427A"/>
    <w:rsid w:val="00C643D3"/>
    <w:rsid w:val="00C652C0"/>
    <w:rsid w:val="00C6542A"/>
    <w:rsid w:val="00C6608D"/>
    <w:rsid w:val="00C67EFE"/>
    <w:rsid w:val="00C70E3C"/>
    <w:rsid w:val="00C71DD6"/>
    <w:rsid w:val="00C74078"/>
    <w:rsid w:val="00C745CE"/>
    <w:rsid w:val="00C76273"/>
    <w:rsid w:val="00C80F88"/>
    <w:rsid w:val="00C82107"/>
    <w:rsid w:val="00C8451F"/>
    <w:rsid w:val="00C84C95"/>
    <w:rsid w:val="00C875DE"/>
    <w:rsid w:val="00C91E59"/>
    <w:rsid w:val="00C93ABC"/>
    <w:rsid w:val="00C944BB"/>
    <w:rsid w:val="00C9569C"/>
    <w:rsid w:val="00C97958"/>
    <w:rsid w:val="00CA0E59"/>
    <w:rsid w:val="00CA17D7"/>
    <w:rsid w:val="00CA3FDA"/>
    <w:rsid w:val="00CA604D"/>
    <w:rsid w:val="00CA650F"/>
    <w:rsid w:val="00CA6DDE"/>
    <w:rsid w:val="00CA7E1D"/>
    <w:rsid w:val="00CB4CC5"/>
    <w:rsid w:val="00CB6431"/>
    <w:rsid w:val="00CB7096"/>
    <w:rsid w:val="00CC23AA"/>
    <w:rsid w:val="00CC26C6"/>
    <w:rsid w:val="00CC41EB"/>
    <w:rsid w:val="00CC5ACD"/>
    <w:rsid w:val="00CC6200"/>
    <w:rsid w:val="00CD09EB"/>
    <w:rsid w:val="00CD3014"/>
    <w:rsid w:val="00CD3056"/>
    <w:rsid w:val="00CD3D19"/>
    <w:rsid w:val="00CD4535"/>
    <w:rsid w:val="00CD47C9"/>
    <w:rsid w:val="00CD56CE"/>
    <w:rsid w:val="00CD64C8"/>
    <w:rsid w:val="00CD6716"/>
    <w:rsid w:val="00CE0AE4"/>
    <w:rsid w:val="00CE15C2"/>
    <w:rsid w:val="00CE3983"/>
    <w:rsid w:val="00CE482F"/>
    <w:rsid w:val="00CE6C1E"/>
    <w:rsid w:val="00CE75B1"/>
    <w:rsid w:val="00CF1326"/>
    <w:rsid w:val="00CF3257"/>
    <w:rsid w:val="00CF3DE8"/>
    <w:rsid w:val="00CF4040"/>
    <w:rsid w:val="00CF51B2"/>
    <w:rsid w:val="00CF7B69"/>
    <w:rsid w:val="00D002D6"/>
    <w:rsid w:val="00D01964"/>
    <w:rsid w:val="00D039D1"/>
    <w:rsid w:val="00D067E1"/>
    <w:rsid w:val="00D0799D"/>
    <w:rsid w:val="00D1092D"/>
    <w:rsid w:val="00D11B9C"/>
    <w:rsid w:val="00D126AA"/>
    <w:rsid w:val="00D1434F"/>
    <w:rsid w:val="00D15819"/>
    <w:rsid w:val="00D15D49"/>
    <w:rsid w:val="00D16045"/>
    <w:rsid w:val="00D22D58"/>
    <w:rsid w:val="00D26378"/>
    <w:rsid w:val="00D271E9"/>
    <w:rsid w:val="00D312DB"/>
    <w:rsid w:val="00D4205B"/>
    <w:rsid w:val="00D43831"/>
    <w:rsid w:val="00D43E2F"/>
    <w:rsid w:val="00D446CF"/>
    <w:rsid w:val="00D50670"/>
    <w:rsid w:val="00D509B0"/>
    <w:rsid w:val="00D50D78"/>
    <w:rsid w:val="00D51F05"/>
    <w:rsid w:val="00D52D84"/>
    <w:rsid w:val="00D535DB"/>
    <w:rsid w:val="00D538A4"/>
    <w:rsid w:val="00D54D53"/>
    <w:rsid w:val="00D55327"/>
    <w:rsid w:val="00D55759"/>
    <w:rsid w:val="00D60068"/>
    <w:rsid w:val="00D61432"/>
    <w:rsid w:val="00D62A48"/>
    <w:rsid w:val="00D62EB2"/>
    <w:rsid w:val="00D63012"/>
    <w:rsid w:val="00D645E9"/>
    <w:rsid w:val="00D64E8A"/>
    <w:rsid w:val="00D674E0"/>
    <w:rsid w:val="00D71B1A"/>
    <w:rsid w:val="00D72039"/>
    <w:rsid w:val="00D72318"/>
    <w:rsid w:val="00D74A5F"/>
    <w:rsid w:val="00D7539A"/>
    <w:rsid w:val="00D77152"/>
    <w:rsid w:val="00D7792C"/>
    <w:rsid w:val="00D80EA5"/>
    <w:rsid w:val="00D82349"/>
    <w:rsid w:val="00D83206"/>
    <w:rsid w:val="00D83262"/>
    <w:rsid w:val="00D91644"/>
    <w:rsid w:val="00D93574"/>
    <w:rsid w:val="00D93A03"/>
    <w:rsid w:val="00D959C2"/>
    <w:rsid w:val="00D96D24"/>
    <w:rsid w:val="00D97A35"/>
    <w:rsid w:val="00DA40A8"/>
    <w:rsid w:val="00DA6778"/>
    <w:rsid w:val="00DB16F5"/>
    <w:rsid w:val="00DB209F"/>
    <w:rsid w:val="00DB2CA8"/>
    <w:rsid w:val="00DB4089"/>
    <w:rsid w:val="00DB6B1A"/>
    <w:rsid w:val="00DB7121"/>
    <w:rsid w:val="00DC0405"/>
    <w:rsid w:val="00DC0504"/>
    <w:rsid w:val="00DC064C"/>
    <w:rsid w:val="00DC1D93"/>
    <w:rsid w:val="00DC3ABC"/>
    <w:rsid w:val="00DC6F7B"/>
    <w:rsid w:val="00DC72CD"/>
    <w:rsid w:val="00DD0F50"/>
    <w:rsid w:val="00DD3C93"/>
    <w:rsid w:val="00DD6027"/>
    <w:rsid w:val="00DD6B4B"/>
    <w:rsid w:val="00DD7436"/>
    <w:rsid w:val="00DD78E4"/>
    <w:rsid w:val="00DE22D8"/>
    <w:rsid w:val="00DE24A1"/>
    <w:rsid w:val="00DE2C07"/>
    <w:rsid w:val="00DE2EC9"/>
    <w:rsid w:val="00DE427E"/>
    <w:rsid w:val="00DE69E3"/>
    <w:rsid w:val="00DF0CD9"/>
    <w:rsid w:val="00DF11EE"/>
    <w:rsid w:val="00DF379E"/>
    <w:rsid w:val="00DF5061"/>
    <w:rsid w:val="00DF5067"/>
    <w:rsid w:val="00E030DE"/>
    <w:rsid w:val="00E03485"/>
    <w:rsid w:val="00E035E9"/>
    <w:rsid w:val="00E0426E"/>
    <w:rsid w:val="00E06ADA"/>
    <w:rsid w:val="00E1274E"/>
    <w:rsid w:val="00E13B16"/>
    <w:rsid w:val="00E16A20"/>
    <w:rsid w:val="00E1729A"/>
    <w:rsid w:val="00E21A09"/>
    <w:rsid w:val="00E246B9"/>
    <w:rsid w:val="00E24F8C"/>
    <w:rsid w:val="00E272FC"/>
    <w:rsid w:val="00E2796E"/>
    <w:rsid w:val="00E36093"/>
    <w:rsid w:val="00E36595"/>
    <w:rsid w:val="00E401E1"/>
    <w:rsid w:val="00E41099"/>
    <w:rsid w:val="00E426EB"/>
    <w:rsid w:val="00E4542C"/>
    <w:rsid w:val="00E50C36"/>
    <w:rsid w:val="00E54780"/>
    <w:rsid w:val="00E57FF6"/>
    <w:rsid w:val="00E60FC8"/>
    <w:rsid w:val="00E6151B"/>
    <w:rsid w:val="00E63C04"/>
    <w:rsid w:val="00E63FD3"/>
    <w:rsid w:val="00E64197"/>
    <w:rsid w:val="00E64338"/>
    <w:rsid w:val="00E64518"/>
    <w:rsid w:val="00E646F1"/>
    <w:rsid w:val="00E651A3"/>
    <w:rsid w:val="00E71111"/>
    <w:rsid w:val="00E73B4F"/>
    <w:rsid w:val="00E74B0A"/>
    <w:rsid w:val="00E75900"/>
    <w:rsid w:val="00E75979"/>
    <w:rsid w:val="00E8064F"/>
    <w:rsid w:val="00E80B9E"/>
    <w:rsid w:val="00E80EEC"/>
    <w:rsid w:val="00E812D4"/>
    <w:rsid w:val="00E81CDD"/>
    <w:rsid w:val="00E823E8"/>
    <w:rsid w:val="00E83844"/>
    <w:rsid w:val="00E83E7D"/>
    <w:rsid w:val="00E84728"/>
    <w:rsid w:val="00E86B67"/>
    <w:rsid w:val="00E906D5"/>
    <w:rsid w:val="00E918FC"/>
    <w:rsid w:val="00E91947"/>
    <w:rsid w:val="00E94945"/>
    <w:rsid w:val="00E95006"/>
    <w:rsid w:val="00E95FDB"/>
    <w:rsid w:val="00E96583"/>
    <w:rsid w:val="00EA009A"/>
    <w:rsid w:val="00EA057D"/>
    <w:rsid w:val="00EA13F9"/>
    <w:rsid w:val="00EA194C"/>
    <w:rsid w:val="00EA6E74"/>
    <w:rsid w:val="00EA7980"/>
    <w:rsid w:val="00EB30E8"/>
    <w:rsid w:val="00EB3B6F"/>
    <w:rsid w:val="00EB5E9B"/>
    <w:rsid w:val="00EB631A"/>
    <w:rsid w:val="00EB65F5"/>
    <w:rsid w:val="00EB6BA3"/>
    <w:rsid w:val="00EB7CE3"/>
    <w:rsid w:val="00EC1A1C"/>
    <w:rsid w:val="00EC3360"/>
    <w:rsid w:val="00EC4C96"/>
    <w:rsid w:val="00EC55AF"/>
    <w:rsid w:val="00EC5A13"/>
    <w:rsid w:val="00EC6782"/>
    <w:rsid w:val="00ED0629"/>
    <w:rsid w:val="00ED33B1"/>
    <w:rsid w:val="00ED3E42"/>
    <w:rsid w:val="00ED54E7"/>
    <w:rsid w:val="00ED55B0"/>
    <w:rsid w:val="00ED7297"/>
    <w:rsid w:val="00ED7A5F"/>
    <w:rsid w:val="00EE040C"/>
    <w:rsid w:val="00EE06E0"/>
    <w:rsid w:val="00EE075B"/>
    <w:rsid w:val="00EE1EA9"/>
    <w:rsid w:val="00EE5E3F"/>
    <w:rsid w:val="00EE636D"/>
    <w:rsid w:val="00EF0790"/>
    <w:rsid w:val="00EF1B11"/>
    <w:rsid w:val="00EF2A9C"/>
    <w:rsid w:val="00EF340E"/>
    <w:rsid w:val="00EF3EDA"/>
    <w:rsid w:val="00EF4259"/>
    <w:rsid w:val="00EF4E53"/>
    <w:rsid w:val="00EF6AB5"/>
    <w:rsid w:val="00EF73CF"/>
    <w:rsid w:val="00F06742"/>
    <w:rsid w:val="00F12CB3"/>
    <w:rsid w:val="00F12FF6"/>
    <w:rsid w:val="00F157DD"/>
    <w:rsid w:val="00F159D7"/>
    <w:rsid w:val="00F17A65"/>
    <w:rsid w:val="00F201AE"/>
    <w:rsid w:val="00F202C4"/>
    <w:rsid w:val="00F20742"/>
    <w:rsid w:val="00F21905"/>
    <w:rsid w:val="00F238EE"/>
    <w:rsid w:val="00F23B51"/>
    <w:rsid w:val="00F25D52"/>
    <w:rsid w:val="00F2622C"/>
    <w:rsid w:val="00F2732E"/>
    <w:rsid w:val="00F2778C"/>
    <w:rsid w:val="00F30EEA"/>
    <w:rsid w:val="00F3115B"/>
    <w:rsid w:val="00F31A75"/>
    <w:rsid w:val="00F31BBB"/>
    <w:rsid w:val="00F331D8"/>
    <w:rsid w:val="00F35B19"/>
    <w:rsid w:val="00F41D89"/>
    <w:rsid w:val="00F446CE"/>
    <w:rsid w:val="00F454A9"/>
    <w:rsid w:val="00F46A4B"/>
    <w:rsid w:val="00F52101"/>
    <w:rsid w:val="00F5479B"/>
    <w:rsid w:val="00F55AC6"/>
    <w:rsid w:val="00F55BB2"/>
    <w:rsid w:val="00F55DEA"/>
    <w:rsid w:val="00F55F47"/>
    <w:rsid w:val="00F56BF3"/>
    <w:rsid w:val="00F56DAB"/>
    <w:rsid w:val="00F574D7"/>
    <w:rsid w:val="00F57527"/>
    <w:rsid w:val="00F5758D"/>
    <w:rsid w:val="00F642A3"/>
    <w:rsid w:val="00F65107"/>
    <w:rsid w:val="00F6527A"/>
    <w:rsid w:val="00F6592D"/>
    <w:rsid w:val="00F65FFE"/>
    <w:rsid w:val="00F71E13"/>
    <w:rsid w:val="00F7616A"/>
    <w:rsid w:val="00F76B3A"/>
    <w:rsid w:val="00F86020"/>
    <w:rsid w:val="00F91693"/>
    <w:rsid w:val="00F948F3"/>
    <w:rsid w:val="00F979E9"/>
    <w:rsid w:val="00F97D27"/>
    <w:rsid w:val="00F97DA6"/>
    <w:rsid w:val="00FA01C6"/>
    <w:rsid w:val="00FA06EF"/>
    <w:rsid w:val="00FA0BA3"/>
    <w:rsid w:val="00FA0CCC"/>
    <w:rsid w:val="00FA215A"/>
    <w:rsid w:val="00FA2446"/>
    <w:rsid w:val="00FA48DD"/>
    <w:rsid w:val="00FA4987"/>
    <w:rsid w:val="00FA61C6"/>
    <w:rsid w:val="00FA6289"/>
    <w:rsid w:val="00FB153E"/>
    <w:rsid w:val="00FB160F"/>
    <w:rsid w:val="00FB193A"/>
    <w:rsid w:val="00FB2EB1"/>
    <w:rsid w:val="00FB3515"/>
    <w:rsid w:val="00FB4824"/>
    <w:rsid w:val="00FB495B"/>
    <w:rsid w:val="00FB6EDD"/>
    <w:rsid w:val="00FC2C33"/>
    <w:rsid w:val="00FC2F6E"/>
    <w:rsid w:val="00FC36DC"/>
    <w:rsid w:val="00FC4CA0"/>
    <w:rsid w:val="00FC75A8"/>
    <w:rsid w:val="00FD0678"/>
    <w:rsid w:val="00FD213A"/>
    <w:rsid w:val="00FD37B4"/>
    <w:rsid w:val="00FD531E"/>
    <w:rsid w:val="00FD5332"/>
    <w:rsid w:val="00FE0BA8"/>
    <w:rsid w:val="00FE0BEA"/>
    <w:rsid w:val="00FE2D6C"/>
    <w:rsid w:val="00FE2FFA"/>
    <w:rsid w:val="00FE6A90"/>
    <w:rsid w:val="00FE7F40"/>
    <w:rsid w:val="00FF5CBB"/>
    <w:rsid w:val="00FF6389"/>
    <w:rsid w:val="00FF7022"/>
    <w:rsid w:val="00FF759F"/>
    <w:rsid w:val="00FF765A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CC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99D"/>
    <w:rPr>
      <w:vertAlign w:val="superscript"/>
    </w:rPr>
  </w:style>
  <w:style w:type="paragraph" w:styleId="BalloonText">
    <w:name w:val="Balloon Text"/>
    <w:basedOn w:val="Normal"/>
    <w:semiHidden/>
    <w:rsid w:val="00BF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CD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75D"/>
    <w:rPr>
      <w:lang w:eastAsia="tr-TR"/>
    </w:rPr>
  </w:style>
  <w:style w:type="paragraph" w:styleId="EndnoteText">
    <w:name w:val="endnote text"/>
    <w:basedOn w:val="Normal"/>
    <w:link w:val="EndnoteTextChar"/>
    <w:rsid w:val="002217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179E"/>
    <w:rPr>
      <w:lang w:eastAsia="tr-TR"/>
    </w:rPr>
  </w:style>
  <w:style w:type="character" w:styleId="EndnoteReference">
    <w:name w:val="endnote reference"/>
    <w:basedOn w:val="DefaultParagraphFont"/>
    <w:rsid w:val="0022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CC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99D"/>
    <w:rPr>
      <w:vertAlign w:val="superscript"/>
    </w:rPr>
  </w:style>
  <w:style w:type="paragraph" w:styleId="BalloonText">
    <w:name w:val="Balloon Text"/>
    <w:basedOn w:val="Normal"/>
    <w:semiHidden/>
    <w:rsid w:val="00BF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CD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75D"/>
    <w:rPr>
      <w:lang w:eastAsia="tr-TR"/>
    </w:rPr>
  </w:style>
  <w:style w:type="paragraph" w:styleId="EndnoteText">
    <w:name w:val="endnote text"/>
    <w:basedOn w:val="Normal"/>
    <w:link w:val="EndnoteTextChar"/>
    <w:rsid w:val="002217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179E"/>
    <w:rPr>
      <w:lang w:eastAsia="tr-TR"/>
    </w:rPr>
  </w:style>
  <w:style w:type="character" w:styleId="EndnoteReference">
    <w:name w:val="endnote reference"/>
    <w:basedOn w:val="DefaultParagraphFont"/>
    <w:rsid w:val="0022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145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C206-9478-4C59-BF00-E75E060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baris.soybilgen</dc:creator>
  <cp:lastModifiedBy>merve.akgul</cp:lastModifiedBy>
  <cp:revision>2</cp:revision>
  <cp:lastPrinted>2013-12-24T13:27:00Z</cp:lastPrinted>
  <dcterms:created xsi:type="dcterms:W3CDTF">2015-08-20T07:28:00Z</dcterms:created>
  <dcterms:modified xsi:type="dcterms:W3CDTF">2015-08-20T07:28:00Z</dcterms:modified>
</cp:coreProperties>
</file>