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ECC" w:rsidRPr="00B320C7" w:rsidRDefault="00AB717C" w:rsidP="001E4BF5">
      <w:pPr>
        <w:spacing w:line="360" w:lineRule="auto"/>
        <w:ind w:right="-319"/>
        <w:jc w:val="center"/>
        <w:outlineLvl w:val="0"/>
        <w:rPr>
          <w:rFonts w:ascii="Arial" w:hAnsi="Arial" w:cs="Arial"/>
          <w:b/>
          <w:sz w:val="32"/>
          <w:szCs w:val="32"/>
        </w:rPr>
      </w:pPr>
      <w:r w:rsidRPr="00B320C7">
        <w:rPr>
          <w:rFonts w:ascii="Arial" w:hAnsi="Arial" w:cs="Arial"/>
          <w:b/>
          <w:noProof/>
          <w:sz w:val="32"/>
          <w:szCs w:val="32"/>
          <w:lang w:eastAsia="en-US"/>
        </w:rPr>
        <w:drawing>
          <wp:anchor distT="0" distB="0" distL="114300" distR="114300" simplePos="0" relativeHeight="251658240" behindDoc="1" locked="0" layoutInCell="1" allowOverlap="1">
            <wp:simplePos x="0" y="0"/>
            <wp:positionH relativeFrom="column">
              <wp:posOffset>-800100</wp:posOffset>
            </wp:positionH>
            <wp:positionV relativeFrom="paragraph">
              <wp:posOffset>-800100</wp:posOffset>
            </wp:positionV>
            <wp:extent cx="7315200" cy="1330325"/>
            <wp:effectExtent l="19050" t="0" r="0" b="0"/>
            <wp:wrapNone/>
            <wp:docPr id="6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0325"/>
                    </a:xfrm>
                    <a:prstGeom prst="rect">
                      <a:avLst/>
                    </a:prstGeom>
                    <a:noFill/>
                    <a:ln w="9525">
                      <a:noFill/>
                      <a:miter lim="800000"/>
                      <a:headEnd/>
                      <a:tailEnd/>
                    </a:ln>
                  </pic:spPr>
                </pic:pic>
              </a:graphicData>
            </a:graphic>
          </wp:anchor>
        </w:drawing>
      </w:r>
      <w:r w:rsidR="00A75A6A">
        <w:rPr>
          <w:rFonts w:ascii="Arial" w:hAnsi="Arial" w:cs="Arial"/>
          <w:b/>
          <w:sz w:val="32"/>
          <w:szCs w:val="32"/>
          <w:lang w:eastAsia="en-US"/>
        </w:rPr>
        <w:pict>
          <v:shapetype id="_x0000_t202" coordsize="21600,21600" o:spt="202" path="m,l,21600r21600,l21600,xe">
            <v:stroke joinstyle="miter"/>
            <v:path gradientshapeok="t" o:connecttype="rect"/>
          </v:shapetype>
          <v:shape id="Text Box 26" o:spid="_x0000_s1026" type="#_x0000_t202" style="position:absolute;left:0;text-align:left;margin-left:117pt;margin-top:-45pt;width:312.1pt;height:44.8pt;z-index:2516561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" stroked="f">
            <v:fill opacity="0"/>
            <v:textbox inset="0,0,0,0">
              <w:txbxContent>
                <w:p w:rsidR="00900E74" w:rsidRPr="00342E6B" w:rsidRDefault="00900E74" w:rsidP="00024559">
                  <w:pPr>
                    <w:pStyle w:val="Heading1"/>
                    <w:rPr>
                      <w:rFonts w:ascii="Times New Roman" w:hAnsi="Times New Roman"/>
                      <w:sz w:val="40"/>
                      <w:szCs w:val="40"/>
                    </w:rPr>
                  </w:pPr>
                  <w:r>
                    <w:rPr>
                      <w:rFonts w:ascii="Times New Roman" w:hAnsi="Times New Roman"/>
                      <w:sz w:val="40"/>
                      <w:szCs w:val="40"/>
                    </w:rPr>
                    <w:t xml:space="preserve">Economic Outlook and Forecasts: </w:t>
                  </w:r>
                  <w:r w:rsidR="00A84B9A">
                    <w:rPr>
                      <w:rFonts w:ascii="Times New Roman" w:hAnsi="Times New Roman"/>
                      <w:sz w:val="40"/>
                      <w:szCs w:val="40"/>
                    </w:rPr>
                    <w:t>May</w:t>
                  </w:r>
                  <w:r>
                    <w:rPr>
                      <w:rFonts w:ascii="Times New Roman" w:hAnsi="Times New Roman"/>
                      <w:sz w:val="40"/>
                      <w:szCs w:val="40"/>
                    </w:rPr>
                    <w:t xml:space="preserve"> 2013</w:t>
                  </w:r>
                </w:p>
                <w:p w:rsidR="00900E74" w:rsidRPr="00A75A46" w:rsidRDefault="00900E74" w:rsidP="00024559">
                  <w:pPr>
                    <w:pStyle w:val="Heading2"/>
                    <w:rPr>
                      <w:b w:val="0"/>
                      <w:i w:val="0"/>
                      <w:lang w:val="nl-NL"/>
                    </w:rPr>
                  </w:pPr>
                </w:p>
              </w:txbxContent>
            </v:textbox>
          </v:shape>
        </w:pict>
      </w:r>
    </w:p>
    <w:p w:rsidR="00357ECC" w:rsidRPr="00B320C7" w:rsidRDefault="00A75A6A" w:rsidP="001E4BF5">
      <w:pPr>
        <w:spacing w:line="360" w:lineRule="auto"/>
        <w:ind w:right="-319"/>
        <w:jc w:val="center"/>
        <w:outlineLvl w:val="0"/>
        <w:rPr>
          <w:rFonts w:ascii="Arial" w:hAnsi="Arial" w:cs="Arial"/>
          <w:b/>
          <w:sz w:val="32"/>
          <w:szCs w:val="32"/>
        </w:rPr>
      </w:pPr>
      <w:r w:rsidRPr="00A75A6A">
        <w:rPr>
          <w:rFonts w:ascii="Arial" w:hAnsi="Arial" w:cs="Arial"/>
          <w:b/>
          <w:lang w:eastAsia="en-US"/>
        </w:rPr>
        <w:lastRenderedPageBreak/>
        <w:pict>
          <v:shape id="Text Box 27" o:spid="_x0000_s1027" type="#_x0000_t202" style="position:absolute;left:0;text-align:left;margin-left:189.3pt;margin-top:9pt;width:137.3pt;height:27.4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3aLjwIAACQ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" stroked="f">
            <v:fill opacity="0"/>
            <v:textbox inset="0,0,0,0">
              <w:txbxContent>
                <w:p w:rsidR="00900E74" w:rsidRPr="0015586B" w:rsidRDefault="00A84B9A" w:rsidP="00FA48DD">
                  <w:pPr>
                    <w:pStyle w:val="Heading3"/>
                    <w:tabs>
                      <w:tab w:val="clear" w:pos="720"/>
                    </w:tabs>
                    <w:ind w:left="0" w:firstLine="0"/>
                    <w:rPr>
                      <w:color w:val="FFFFFF"/>
                      <w:sz w:val="22"/>
                      <w:szCs w:val="22"/>
                      <w:lang w:val="tr-TR"/>
                    </w:rPr>
                  </w:pPr>
                  <w:r>
                    <w:rPr>
                      <w:color w:val="FFFFFF"/>
                      <w:sz w:val="22"/>
                      <w:szCs w:val="22"/>
                      <w:lang w:val="tr-TR"/>
                    </w:rPr>
                    <w:t xml:space="preserve">May </w:t>
                  </w:r>
                  <w:r w:rsidR="008E4FCE">
                    <w:rPr>
                      <w:color w:val="FFFFFF"/>
                      <w:sz w:val="22"/>
                      <w:szCs w:val="22"/>
                      <w:lang w:val="tr-TR"/>
                    </w:rPr>
                    <w:t>31</w:t>
                  </w:r>
                  <w:r w:rsidR="00900E74">
                    <w:rPr>
                      <w:color w:val="FFFFFF"/>
                      <w:sz w:val="22"/>
                      <w:szCs w:val="22"/>
                      <w:lang w:val="tr-TR"/>
                    </w:rPr>
                    <w:t>,</w:t>
                  </w:r>
                  <w:r w:rsidR="00552C4F">
                    <w:rPr>
                      <w:color w:val="FFFFFF"/>
                      <w:sz w:val="22"/>
                      <w:szCs w:val="22"/>
                      <w:lang w:val="tr-TR"/>
                    </w:rPr>
                    <w:t xml:space="preserve"> 2013</w:t>
                  </w:r>
                </w:p>
                <w:p w:rsidR="00900E74" w:rsidRDefault="00900E74" w:rsidP="00024559"/>
              </w:txbxContent>
            </v:textbox>
          </v:shape>
        </w:pict>
      </w:r>
    </w:p>
    <w:p w:rsidR="00357ECC" w:rsidRPr="00B320C7" w:rsidRDefault="00357ECC" w:rsidP="001E4BF5">
      <w:pPr>
        <w:spacing w:line="360" w:lineRule="auto"/>
        <w:ind w:right="-319"/>
        <w:jc w:val="center"/>
        <w:outlineLvl w:val="0"/>
        <w:rPr>
          <w:rFonts w:ascii="Arial" w:hAnsi="Arial" w:cs="Arial"/>
          <w:b/>
          <w:sz w:val="32"/>
          <w:szCs w:val="32"/>
        </w:rPr>
        <w:sectPr w:rsidR="00357ECC" w:rsidRPr="00B320C7" w:rsidSect="00357ECC">
          <w:pgSz w:w="11906" w:h="16838"/>
          <w:pgMar w:top="1417" w:right="1417" w:bottom="1417" w:left="1417" w:header="708" w:footer="708" w:gutter="0"/>
          <w:cols w:num="2" w:space="708" w:equalWidth="0">
            <w:col w:w="4182" w:space="708"/>
            <w:col w:w="4182"/>
          </w:cols>
          <w:docGrid w:linePitch="360"/>
        </w:sectPr>
      </w:pPr>
    </w:p>
    <w:p w:rsidR="00357ECC" w:rsidRPr="00B320C7" w:rsidRDefault="00357ECC" w:rsidP="001E4BF5">
      <w:pPr>
        <w:spacing w:line="360" w:lineRule="auto"/>
        <w:ind w:right="-319"/>
        <w:outlineLvl w:val="0"/>
        <w:rPr>
          <w:rFonts w:ascii="Arial" w:hAnsi="Arial" w:cs="Arial"/>
          <w:b/>
          <w:sz w:val="32"/>
          <w:szCs w:val="32"/>
        </w:rPr>
      </w:pPr>
    </w:p>
    <w:p w:rsidR="00CA0E59" w:rsidRDefault="00FE0BA8" w:rsidP="00CA0E59">
      <w:pPr>
        <w:ind w:right="-317"/>
        <w:jc w:val="center"/>
        <w:outlineLvl w:val="0"/>
        <w:rPr>
          <w:rFonts w:ascii="Arial" w:hAnsi="Arial" w:cs="Arial"/>
          <w:b/>
          <w:bCs/>
          <w:caps/>
          <w:sz w:val="28"/>
          <w:szCs w:val="28"/>
        </w:rPr>
      </w:pPr>
      <w:r>
        <w:rPr>
          <w:rFonts w:ascii="Arial" w:hAnsi="Arial" w:cs="Arial"/>
          <w:b/>
          <w:bCs/>
          <w:caps/>
          <w:sz w:val="28"/>
          <w:szCs w:val="28"/>
        </w:rPr>
        <w:t xml:space="preserve">weak </w:t>
      </w:r>
      <w:r w:rsidR="00FF765A">
        <w:rPr>
          <w:rFonts w:ascii="Arial" w:hAnsi="Arial" w:cs="Arial"/>
          <w:b/>
          <w:bCs/>
          <w:caps/>
          <w:sz w:val="28"/>
          <w:szCs w:val="28"/>
        </w:rPr>
        <w:t xml:space="preserve">Growth </w:t>
      </w:r>
      <w:r>
        <w:rPr>
          <w:rFonts w:ascii="Arial" w:hAnsi="Arial" w:cs="Arial"/>
          <w:b/>
          <w:bCs/>
          <w:caps/>
          <w:sz w:val="28"/>
          <w:szCs w:val="28"/>
        </w:rPr>
        <w:t>ın the fırst quarter</w:t>
      </w:r>
    </w:p>
    <w:p w:rsidR="00B05AA6" w:rsidRPr="000A4DA1" w:rsidRDefault="00B05AA6" w:rsidP="00B05AA6">
      <w:pPr>
        <w:ind w:right="-317"/>
        <w:outlineLvl w:val="0"/>
        <w:rPr>
          <w:rFonts w:ascii="Arial" w:hAnsi="Arial" w:cs="Arial"/>
          <w:b/>
          <w:bCs/>
          <w:caps/>
          <w:sz w:val="28"/>
          <w:szCs w:val="28"/>
        </w:rPr>
      </w:pPr>
    </w:p>
    <w:p w:rsidR="00FA0BA3" w:rsidRPr="00F91693" w:rsidRDefault="00FA0BA3" w:rsidP="001E4BF5">
      <w:pPr>
        <w:spacing w:line="360" w:lineRule="auto"/>
        <w:ind w:right="-319"/>
        <w:jc w:val="center"/>
        <w:outlineLvl w:val="0"/>
        <w:rPr>
          <w:rFonts w:ascii="Arial" w:hAnsi="Arial" w:cs="Arial"/>
          <w:b/>
          <w:sz w:val="12"/>
          <w:szCs w:val="12"/>
        </w:rPr>
      </w:pPr>
    </w:p>
    <w:p w:rsidR="00357ECC" w:rsidRDefault="00357ECC" w:rsidP="003B5209">
      <w:pPr>
        <w:spacing w:line="360" w:lineRule="auto"/>
        <w:ind w:right="-319"/>
        <w:jc w:val="center"/>
        <w:outlineLvl w:val="0"/>
        <w:rPr>
          <w:rFonts w:ascii="Arial" w:hAnsi="Arial" w:cs="Arial"/>
          <w:b/>
          <w:sz w:val="22"/>
          <w:szCs w:val="22"/>
          <w:vertAlign w:val="superscript"/>
        </w:rPr>
      </w:pPr>
      <w:r w:rsidRPr="00F91693">
        <w:rPr>
          <w:rFonts w:ascii="Arial" w:hAnsi="Arial" w:cs="Arial"/>
          <w:b/>
          <w:sz w:val="22"/>
          <w:szCs w:val="22"/>
        </w:rPr>
        <w:t>Zümrüt</w:t>
      </w:r>
      <w:r w:rsidR="00851738" w:rsidRPr="00F91693">
        <w:rPr>
          <w:rFonts w:ascii="Arial" w:hAnsi="Arial" w:cs="Arial"/>
          <w:b/>
          <w:sz w:val="22"/>
          <w:szCs w:val="22"/>
        </w:rPr>
        <w:t xml:space="preserve"> </w:t>
      </w:r>
      <w:r w:rsidR="009A4CBF" w:rsidRPr="00F91693">
        <w:rPr>
          <w:rFonts w:ascii="Arial" w:hAnsi="Arial" w:cs="Arial"/>
          <w:b/>
          <w:sz w:val="22"/>
          <w:szCs w:val="22"/>
        </w:rPr>
        <w:t>İmamoğlu* and</w:t>
      </w:r>
      <w:r w:rsidR="00851738" w:rsidRPr="00F91693">
        <w:rPr>
          <w:rFonts w:ascii="Arial" w:hAnsi="Arial" w:cs="Arial"/>
          <w:b/>
          <w:sz w:val="22"/>
          <w:szCs w:val="22"/>
        </w:rPr>
        <w:t xml:space="preserve"> </w:t>
      </w:r>
      <w:r w:rsidRPr="00F91693">
        <w:rPr>
          <w:rFonts w:ascii="Arial" w:hAnsi="Arial" w:cs="Arial"/>
          <w:b/>
          <w:sz w:val="22"/>
          <w:szCs w:val="22"/>
        </w:rPr>
        <w:t>Barış</w:t>
      </w:r>
      <w:r w:rsidR="00851738" w:rsidRPr="00F91693">
        <w:rPr>
          <w:rFonts w:ascii="Arial" w:hAnsi="Arial" w:cs="Arial"/>
          <w:b/>
          <w:sz w:val="22"/>
          <w:szCs w:val="22"/>
        </w:rPr>
        <w:t xml:space="preserve"> </w:t>
      </w:r>
      <w:r w:rsidRPr="00F91693">
        <w:rPr>
          <w:rFonts w:ascii="Arial" w:hAnsi="Arial" w:cs="Arial"/>
          <w:b/>
          <w:sz w:val="22"/>
          <w:szCs w:val="22"/>
        </w:rPr>
        <w:t>Soybilgen</w:t>
      </w:r>
      <w:r w:rsidRPr="00F91693">
        <w:rPr>
          <w:rFonts w:ascii="Arial" w:hAnsi="Arial" w:cs="Arial"/>
          <w:b/>
          <w:sz w:val="22"/>
          <w:szCs w:val="22"/>
          <w:vertAlign w:val="superscript"/>
        </w:rPr>
        <w:t>†</w:t>
      </w:r>
    </w:p>
    <w:p w:rsidR="00C322D2" w:rsidRPr="00F91693" w:rsidRDefault="00C322D2" w:rsidP="003B5209">
      <w:pPr>
        <w:spacing w:line="360" w:lineRule="auto"/>
        <w:ind w:right="-319"/>
        <w:jc w:val="center"/>
        <w:outlineLvl w:val="0"/>
        <w:rPr>
          <w:rFonts w:ascii="Arial" w:hAnsi="Arial" w:cs="Arial"/>
          <w:b/>
          <w:sz w:val="22"/>
          <w:szCs w:val="22"/>
          <w:vertAlign w:val="superscript"/>
        </w:rPr>
      </w:pPr>
    </w:p>
    <w:p w:rsidR="00FC36DC" w:rsidRPr="00F91693" w:rsidRDefault="00FC36DC" w:rsidP="003B5209">
      <w:pPr>
        <w:spacing w:line="360" w:lineRule="auto"/>
        <w:ind w:right="-319"/>
        <w:jc w:val="center"/>
        <w:outlineLvl w:val="0"/>
        <w:rPr>
          <w:rFonts w:ascii="Arial" w:hAnsi="Arial" w:cs="Arial"/>
          <w:sz w:val="12"/>
          <w:szCs w:val="12"/>
          <w:vertAlign w:val="superscript"/>
        </w:rPr>
      </w:pPr>
    </w:p>
    <w:p w:rsidR="001A2051" w:rsidRPr="00F91693" w:rsidRDefault="001A2051" w:rsidP="003B5209">
      <w:pPr>
        <w:spacing w:line="360" w:lineRule="auto"/>
        <w:ind w:right="-319"/>
        <w:jc w:val="center"/>
        <w:outlineLvl w:val="0"/>
        <w:rPr>
          <w:rFonts w:ascii="Arial" w:hAnsi="Arial" w:cs="Arial"/>
          <w:sz w:val="12"/>
          <w:szCs w:val="12"/>
          <w:vertAlign w:val="superscript"/>
        </w:rPr>
        <w:sectPr w:rsidR="001A2051" w:rsidRPr="00F91693" w:rsidSect="00357ECC">
          <w:type w:val="continuous"/>
          <w:pgSz w:w="11906" w:h="16838"/>
          <w:pgMar w:top="1417" w:right="1417" w:bottom="1417" w:left="1417" w:header="708" w:footer="708" w:gutter="0"/>
          <w:cols w:space="708"/>
          <w:docGrid w:linePitch="360"/>
        </w:sectPr>
      </w:pPr>
    </w:p>
    <w:p w:rsidR="00EF3EDA" w:rsidRDefault="00EF3EDA" w:rsidP="008C38E5">
      <w:pPr>
        <w:spacing w:line="360" w:lineRule="auto"/>
        <w:ind w:left="-360" w:right="42" w:firstLine="360"/>
        <w:jc w:val="center"/>
        <w:rPr>
          <w:b/>
          <w:sz w:val="22"/>
          <w:szCs w:val="22"/>
        </w:rPr>
      </w:pPr>
    </w:p>
    <w:p w:rsidR="008C38E5" w:rsidRPr="00B320C7" w:rsidRDefault="008C38E5" w:rsidP="008C38E5">
      <w:pPr>
        <w:spacing w:line="360" w:lineRule="auto"/>
        <w:ind w:left="-360" w:right="42" w:firstLine="360"/>
        <w:jc w:val="center"/>
        <w:rPr>
          <w:b/>
          <w:sz w:val="22"/>
          <w:szCs w:val="22"/>
        </w:rPr>
      </w:pPr>
      <w:r w:rsidRPr="00B320C7">
        <w:rPr>
          <w:b/>
          <w:sz w:val="22"/>
          <w:szCs w:val="22"/>
        </w:rPr>
        <w:t>Executive Summary</w:t>
      </w:r>
    </w:p>
    <w:p w:rsidR="008C38E5" w:rsidRPr="00F91693" w:rsidRDefault="008C38E5" w:rsidP="008C38E5">
      <w:pPr>
        <w:spacing w:line="360" w:lineRule="auto"/>
        <w:ind w:left="-360" w:right="42" w:firstLine="360"/>
        <w:jc w:val="center"/>
        <w:rPr>
          <w:b/>
          <w:sz w:val="16"/>
          <w:szCs w:val="16"/>
        </w:rPr>
      </w:pPr>
    </w:p>
    <w:p w:rsidR="00EF3EDA" w:rsidRDefault="00F91693" w:rsidP="00B05AA6">
      <w:pPr>
        <w:spacing w:line="360" w:lineRule="auto"/>
        <w:ind w:left="-360" w:right="40"/>
        <w:jc w:val="both"/>
        <w:rPr>
          <w:sz w:val="22"/>
          <w:szCs w:val="22"/>
        </w:rPr>
      </w:pPr>
      <w:r w:rsidRPr="00047F4D">
        <w:rPr>
          <w:sz w:val="22"/>
          <w:szCs w:val="22"/>
        </w:rPr>
        <w:t xml:space="preserve">In </w:t>
      </w:r>
      <w:r w:rsidR="00EF3EDA">
        <w:rPr>
          <w:sz w:val="22"/>
          <w:szCs w:val="22"/>
        </w:rPr>
        <w:t>March</w:t>
      </w:r>
      <w:r w:rsidRPr="00047F4D">
        <w:rPr>
          <w:sz w:val="22"/>
          <w:szCs w:val="22"/>
        </w:rPr>
        <w:t xml:space="preserve">, the Industrial Production Index (IPI) </w:t>
      </w:r>
      <w:r w:rsidR="00EF3EDA">
        <w:rPr>
          <w:sz w:val="22"/>
          <w:szCs w:val="22"/>
        </w:rPr>
        <w:t>decreased</w:t>
      </w:r>
      <w:r w:rsidRPr="00047F4D">
        <w:rPr>
          <w:sz w:val="22"/>
          <w:szCs w:val="22"/>
        </w:rPr>
        <w:t xml:space="preserve"> by </w:t>
      </w:r>
      <w:r w:rsidR="00EF3EDA">
        <w:rPr>
          <w:sz w:val="22"/>
          <w:szCs w:val="22"/>
        </w:rPr>
        <w:t>0.9</w:t>
      </w:r>
      <w:r w:rsidRPr="00047F4D">
        <w:rPr>
          <w:sz w:val="22"/>
          <w:szCs w:val="22"/>
        </w:rPr>
        <w:t xml:space="preserve"> percent from </w:t>
      </w:r>
      <w:r w:rsidR="00EF3EDA">
        <w:rPr>
          <w:sz w:val="22"/>
          <w:szCs w:val="22"/>
        </w:rPr>
        <w:t>February</w:t>
      </w:r>
      <w:r w:rsidRPr="00047F4D">
        <w:rPr>
          <w:sz w:val="22"/>
          <w:szCs w:val="22"/>
        </w:rPr>
        <w:t xml:space="preserve">. </w:t>
      </w:r>
      <w:r w:rsidR="00EF3EDA">
        <w:rPr>
          <w:sz w:val="22"/>
          <w:szCs w:val="22"/>
        </w:rPr>
        <w:t>Export volume index and import volume index decreased by 2.5 and 1.5 percent</w:t>
      </w:r>
      <w:r w:rsidR="00F331D8">
        <w:rPr>
          <w:sz w:val="22"/>
          <w:szCs w:val="22"/>
        </w:rPr>
        <w:t>,</w:t>
      </w:r>
      <w:r w:rsidR="00EF3EDA">
        <w:rPr>
          <w:sz w:val="22"/>
          <w:szCs w:val="22"/>
        </w:rPr>
        <w:t xml:space="preserve"> respectively. Even though declines in indices lowered the spirits, the economy continues to recover.</w:t>
      </w:r>
      <w:r w:rsidR="00B05AA6">
        <w:rPr>
          <w:sz w:val="22"/>
          <w:szCs w:val="22"/>
        </w:rPr>
        <w:t xml:space="preserve"> </w:t>
      </w:r>
      <w:r w:rsidR="00F331D8">
        <w:rPr>
          <w:sz w:val="22"/>
          <w:szCs w:val="22"/>
        </w:rPr>
        <w:t>In fact, i</w:t>
      </w:r>
      <w:r w:rsidR="00EF3EDA">
        <w:rPr>
          <w:sz w:val="22"/>
          <w:szCs w:val="22"/>
        </w:rPr>
        <w:t>ncreases in consumer goods</w:t>
      </w:r>
      <w:r w:rsidR="00B05AA6">
        <w:rPr>
          <w:sz w:val="22"/>
          <w:szCs w:val="22"/>
        </w:rPr>
        <w:t xml:space="preserve"> production and imports imply</w:t>
      </w:r>
      <w:r w:rsidR="00EF3EDA">
        <w:rPr>
          <w:sz w:val="22"/>
          <w:szCs w:val="22"/>
        </w:rPr>
        <w:t xml:space="preserve"> that </w:t>
      </w:r>
      <w:r w:rsidR="00B05AA6">
        <w:rPr>
          <w:sz w:val="22"/>
          <w:szCs w:val="22"/>
        </w:rPr>
        <w:t>consumption is reviving. Betam</w:t>
      </w:r>
      <w:r w:rsidR="00F331D8">
        <w:rPr>
          <w:sz w:val="22"/>
          <w:szCs w:val="22"/>
        </w:rPr>
        <w:t xml:space="preserve"> keeps its</w:t>
      </w:r>
      <w:r w:rsidR="00B05AA6">
        <w:rPr>
          <w:sz w:val="22"/>
          <w:szCs w:val="22"/>
        </w:rPr>
        <w:t xml:space="preserve"> quarter on quarter (QoQ) forecast for the first quarter </w:t>
      </w:r>
      <w:r w:rsidR="00F331D8">
        <w:rPr>
          <w:sz w:val="22"/>
          <w:szCs w:val="22"/>
        </w:rPr>
        <w:t>at</w:t>
      </w:r>
      <w:r w:rsidR="00B05AA6">
        <w:rPr>
          <w:sz w:val="22"/>
          <w:szCs w:val="22"/>
        </w:rPr>
        <w:t xml:space="preserve"> 0.7 percent </w:t>
      </w:r>
      <w:r w:rsidR="00F331D8">
        <w:rPr>
          <w:sz w:val="22"/>
          <w:szCs w:val="22"/>
        </w:rPr>
        <w:t>and t</w:t>
      </w:r>
      <w:r w:rsidR="00B05AA6" w:rsidRPr="00047F4D">
        <w:rPr>
          <w:sz w:val="22"/>
          <w:szCs w:val="22"/>
        </w:rPr>
        <w:t>he corresponding year on year (YoY) growth rate</w:t>
      </w:r>
      <w:r w:rsidR="00997046">
        <w:rPr>
          <w:sz w:val="22"/>
          <w:szCs w:val="22"/>
        </w:rPr>
        <w:t xml:space="preserve"> forecast</w:t>
      </w:r>
      <w:r w:rsidR="00B05AA6" w:rsidRPr="00047F4D">
        <w:rPr>
          <w:sz w:val="22"/>
          <w:szCs w:val="22"/>
        </w:rPr>
        <w:t xml:space="preserve"> is 2.4 percent.</w:t>
      </w:r>
      <w:r w:rsidR="00B05AA6">
        <w:rPr>
          <w:sz w:val="22"/>
          <w:szCs w:val="22"/>
        </w:rPr>
        <w:t xml:space="preserve"> </w:t>
      </w:r>
    </w:p>
    <w:p w:rsidR="00F91693" w:rsidRPr="00047F4D" w:rsidRDefault="00F91693" w:rsidP="00B05AA6">
      <w:pPr>
        <w:spacing w:line="360" w:lineRule="auto"/>
        <w:ind w:right="40"/>
        <w:jc w:val="both"/>
        <w:rPr>
          <w:sz w:val="22"/>
          <w:szCs w:val="22"/>
        </w:rPr>
      </w:pPr>
    </w:p>
    <w:p w:rsidR="004155A8" w:rsidRDefault="00B05AA6" w:rsidP="004155A8">
      <w:pPr>
        <w:spacing w:line="360" w:lineRule="auto"/>
        <w:ind w:left="-360" w:right="40"/>
        <w:jc w:val="both"/>
        <w:rPr>
          <w:sz w:val="22"/>
          <w:szCs w:val="22"/>
        </w:rPr>
      </w:pPr>
      <w:r>
        <w:rPr>
          <w:sz w:val="22"/>
          <w:szCs w:val="22"/>
        </w:rPr>
        <w:t>Due to the increase in tourism income, the current account deficit</w:t>
      </w:r>
      <w:r w:rsidR="008E1151">
        <w:rPr>
          <w:sz w:val="22"/>
          <w:szCs w:val="22"/>
        </w:rPr>
        <w:t xml:space="preserve"> (CAD)</w:t>
      </w:r>
      <w:r w:rsidR="006601EB">
        <w:rPr>
          <w:sz w:val="22"/>
          <w:szCs w:val="22"/>
        </w:rPr>
        <w:t>,</w:t>
      </w:r>
      <w:r>
        <w:rPr>
          <w:sz w:val="22"/>
          <w:szCs w:val="22"/>
        </w:rPr>
        <w:t xml:space="preserve"> which</w:t>
      </w:r>
      <w:r w:rsidR="006601EB">
        <w:rPr>
          <w:sz w:val="22"/>
          <w:szCs w:val="22"/>
        </w:rPr>
        <w:t xml:space="preserve"> had</w:t>
      </w:r>
      <w:r>
        <w:rPr>
          <w:sz w:val="22"/>
          <w:szCs w:val="22"/>
        </w:rPr>
        <w:t xml:space="preserve"> increased by </w:t>
      </w:r>
      <w:r w:rsidR="006601EB">
        <w:rPr>
          <w:sz w:val="22"/>
          <w:szCs w:val="22"/>
        </w:rPr>
        <w:t>$</w:t>
      </w:r>
      <w:r>
        <w:rPr>
          <w:sz w:val="22"/>
          <w:szCs w:val="22"/>
        </w:rPr>
        <w:t>1 billion</w:t>
      </w:r>
      <w:r w:rsidR="008E1151">
        <w:rPr>
          <w:sz w:val="22"/>
          <w:szCs w:val="22"/>
        </w:rPr>
        <w:t xml:space="preserve"> in February</w:t>
      </w:r>
      <w:r w:rsidR="006601EB">
        <w:rPr>
          <w:sz w:val="22"/>
          <w:szCs w:val="22"/>
        </w:rPr>
        <w:t>,</w:t>
      </w:r>
      <w:r>
        <w:rPr>
          <w:sz w:val="22"/>
          <w:szCs w:val="22"/>
        </w:rPr>
        <w:t xml:space="preserve"> </w:t>
      </w:r>
      <w:r w:rsidR="00DE427E">
        <w:rPr>
          <w:sz w:val="22"/>
          <w:szCs w:val="22"/>
        </w:rPr>
        <w:t>declined again in March</w:t>
      </w:r>
      <w:r w:rsidR="008E1151">
        <w:rPr>
          <w:sz w:val="22"/>
          <w:szCs w:val="22"/>
        </w:rPr>
        <w:t>. As a result, t</w:t>
      </w:r>
      <w:r w:rsidR="008E1151" w:rsidRPr="00047F4D">
        <w:rPr>
          <w:sz w:val="22"/>
          <w:szCs w:val="22"/>
        </w:rPr>
        <w:t xml:space="preserve">he 12-month </w:t>
      </w:r>
      <w:r w:rsidR="008E1151">
        <w:rPr>
          <w:sz w:val="22"/>
          <w:szCs w:val="22"/>
        </w:rPr>
        <w:t>CAD</w:t>
      </w:r>
      <w:r w:rsidR="006601EB">
        <w:rPr>
          <w:sz w:val="22"/>
          <w:szCs w:val="22"/>
        </w:rPr>
        <w:t xml:space="preserve"> fell down to $47.1 billion in March. The CAD was $</w:t>
      </w:r>
      <w:r w:rsidR="008E1151">
        <w:rPr>
          <w:sz w:val="22"/>
          <w:szCs w:val="22"/>
        </w:rPr>
        <w:t xml:space="preserve">48 billion in February. </w:t>
      </w:r>
      <w:r w:rsidR="004155A8" w:rsidRPr="00047F4D">
        <w:rPr>
          <w:sz w:val="22"/>
          <w:szCs w:val="22"/>
        </w:rPr>
        <w:t>Betam expects the current account deficit to GDP ratio</w:t>
      </w:r>
      <w:r w:rsidR="006601EB">
        <w:rPr>
          <w:sz w:val="22"/>
          <w:szCs w:val="22"/>
        </w:rPr>
        <w:t>,</w:t>
      </w:r>
      <w:r w:rsidR="004155A8">
        <w:rPr>
          <w:sz w:val="22"/>
          <w:szCs w:val="22"/>
        </w:rPr>
        <w:t xml:space="preserve"> which was 6 percent at the end of 201</w:t>
      </w:r>
      <w:r w:rsidR="00DE427E">
        <w:rPr>
          <w:sz w:val="22"/>
          <w:szCs w:val="22"/>
        </w:rPr>
        <w:t>2</w:t>
      </w:r>
      <w:r w:rsidR="004155A8">
        <w:rPr>
          <w:sz w:val="22"/>
          <w:szCs w:val="22"/>
        </w:rPr>
        <w:t xml:space="preserve"> to decline to 5.8 </w:t>
      </w:r>
      <w:r w:rsidR="0041351B">
        <w:rPr>
          <w:sz w:val="22"/>
          <w:szCs w:val="22"/>
        </w:rPr>
        <w:t>percent</w:t>
      </w:r>
      <w:r w:rsidR="004155A8" w:rsidRPr="00047F4D">
        <w:rPr>
          <w:sz w:val="22"/>
          <w:szCs w:val="22"/>
        </w:rPr>
        <w:t xml:space="preserve"> at the end of the first quarter. </w:t>
      </w:r>
      <w:r w:rsidR="004155A8" w:rsidRPr="000A4DA1">
        <w:rPr>
          <w:sz w:val="22"/>
          <w:szCs w:val="22"/>
        </w:rPr>
        <w:t xml:space="preserve">  </w:t>
      </w:r>
    </w:p>
    <w:p w:rsidR="00A2686F" w:rsidRPr="00B320C7" w:rsidRDefault="00A75A6A" w:rsidP="00A2686F">
      <w:pPr>
        <w:spacing w:line="288" w:lineRule="auto"/>
        <w:ind w:left="-360" w:right="-318"/>
        <w:jc w:val="both"/>
        <w:rPr>
          <w:rFonts w:ascii="Arial" w:hAnsi="Arial" w:cs="Arial"/>
          <w:sz w:val="20"/>
          <w:szCs w:val="20"/>
        </w:rPr>
      </w:pPr>
      <w:r>
        <w:rPr>
          <w:rFonts w:ascii="Arial" w:hAnsi="Arial" w:cs="Arial"/>
          <w:sz w:val="20"/>
          <w:szCs w:val="20"/>
          <w:lang w:eastAsia="en-US"/>
        </w:rPr>
      </w:r>
      <w:r>
        <w:rPr>
          <w:rFonts w:ascii="Arial" w:hAnsi="Arial" w:cs="Arial"/>
          <w:sz w:val="20"/>
          <w:szCs w:val="20"/>
          <w:lang w:eastAsia="en-US"/>
        </w:rPr>
        <w:pict>
          <v:group id="Canvas 62" o:spid="_x0000_s1029" editas="canvas" style="width:198pt;height:3.6pt;mso-position-horizontal-relative:char;mso-position-vertical-relative:line" coordsize="2514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5146;height:457;visibility:visible">
              <v:fill o:detectmouseclick="t"/>
              <v:path o:connecttype="none"/>
            </v:shape>
            <v:line id="Line 64" o:spid="_x0000_s1028" style="position:absolute;visibility:visible" from="0,0" to="25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wrap type="none"/>
            <w10:anchorlock/>
          </v:group>
        </w:pict>
      </w:r>
    </w:p>
    <w:p w:rsidR="00A2686F" w:rsidRPr="00B320C7" w:rsidRDefault="00A2686F" w:rsidP="00A2686F">
      <w:pPr>
        <w:spacing w:line="288" w:lineRule="auto"/>
        <w:ind w:left="-360" w:right="-318"/>
        <w:jc w:val="both"/>
        <w:rPr>
          <w:sz w:val="16"/>
          <w:szCs w:val="16"/>
        </w:rPr>
      </w:pPr>
      <w:r w:rsidRPr="00B320C7">
        <w:rPr>
          <w:sz w:val="16"/>
          <w:szCs w:val="16"/>
        </w:rPr>
        <w:t>* Dr. Zümrüt</w:t>
      </w:r>
      <w:r w:rsidR="00E73B4F">
        <w:rPr>
          <w:sz w:val="16"/>
          <w:szCs w:val="16"/>
        </w:rPr>
        <w:t xml:space="preserve"> </w:t>
      </w:r>
      <w:r w:rsidRPr="00B320C7">
        <w:rPr>
          <w:sz w:val="16"/>
          <w:szCs w:val="16"/>
        </w:rPr>
        <w:t>İmamoğlu, Betam, Research Associate.</w:t>
      </w:r>
    </w:p>
    <w:p w:rsidR="00A2686F" w:rsidRPr="00B320C7" w:rsidRDefault="00A2686F" w:rsidP="00A2686F">
      <w:pPr>
        <w:spacing w:line="288" w:lineRule="auto"/>
        <w:ind w:left="-360" w:right="-318"/>
        <w:jc w:val="both"/>
        <w:rPr>
          <w:sz w:val="16"/>
          <w:szCs w:val="16"/>
        </w:rPr>
      </w:pPr>
      <w:r w:rsidRPr="00B320C7">
        <w:rPr>
          <w:sz w:val="16"/>
          <w:szCs w:val="16"/>
        </w:rPr>
        <w:t xml:space="preserve">  zumrut.imamoglu@bahcesehir.edu.tr</w:t>
      </w:r>
    </w:p>
    <w:p w:rsidR="00A2686F" w:rsidRPr="00B320C7" w:rsidRDefault="00A2686F" w:rsidP="00A2686F">
      <w:pPr>
        <w:spacing w:line="288" w:lineRule="auto"/>
        <w:ind w:left="-360" w:right="-318"/>
        <w:jc w:val="both"/>
        <w:rPr>
          <w:sz w:val="16"/>
          <w:szCs w:val="16"/>
        </w:rPr>
      </w:pPr>
      <w:r w:rsidRPr="00B320C7">
        <w:rPr>
          <w:sz w:val="16"/>
          <w:szCs w:val="16"/>
          <w:vertAlign w:val="superscript"/>
        </w:rPr>
        <w:t xml:space="preserve">† </w:t>
      </w:r>
      <w:r w:rsidRPr="00B320C7">
        <w:rPr>
          <w:sz w:val="16"/>
          <w:szCs w:val="16"/>
        </w:rPr>
        <w:t>Barış</w:t>
      </w:r>
      <w:r w:rsidR="00E73B4F">
        <w:rPr>
          <w:sz w:val="16"/>
          <w:szCs w:val="16"/>
        </w:rPr>
        <w:t xml:space="preserve"> </w:t>
      </w:r>
      <w:r w:rsidRPr="00B320C7">
        <w:rPr>
          <w:sz w:val="16"/>
          <w:szCs w:val="16"/>
        </w:rPr>
        <w:t>Soybilgen, Betam, Research Assistant,</w:t>
      </w:r>
    </w:p>
    <w:p w:rsidR="006454DC" w:rsidRPr="00B320C7" w:rsidRDefault="00E81CDD" w:rsidP="00736C84">
      <w:pPr>
        <w:ind w:left="-360"/>
        <w:rPr>
          <w:sz w:val="16"/>
          <w:szCs w:val="16"/>
        </w:rPr>
      </w:pPr>
      <w:r w:rsidRPr="00B320C7">
        <w:rPr>
          <w:sz w:val="16"/>
          <w:szCs w:val="16"/>
        </w:rPr>
        <w:t>baris.soybilgen@bahcesehir.edu.tr</w:t>
      </w:r>
    </w:p>
    <w:p w:rsidR="007D4F28" w:rsidRPr="00B320C7" w:rsidRDefault="007D4F28" w:rsidP="004155A8">
      <w:pPr>
        <w:ind w:right="42"/>
        <w:jc w:val="both"/>
        <w:rPr>
          <w:b/>
          <w:sz w:val="22"/>
          <w:szCs w:val="22"/>
        </w:rPr>
      </w:pPr>
    </w:p>
    <w:p w:rsidR="002F56EC" w:rsidRDefault="002F56EC" w:rsidP="00F91693">
      <w:pPr>
        <w:ind w:right="42"/>
        <w:jc w:val="both"/>
        <w:rPr>
          <w:b/>
          <w:sz w:val="22"/>
          <w:szCs w:val="22"/>
        </w:rPr>
      </w:pPr>
    </w:p>
    <w:p w:rsidR="00F91693" w:rsidRDefault="00F91693" w:rsidP="00F91693">
      <w:pPr>
        <w:ind w:right="42"/>
        <w:jc w:val="both"/>
        <w:rPr>
          <w:b/>
          <w:sz w:val="22"/>
          <w:szCs w:val="22"/>
        </w:rPr>
      </w:pPr>
    </w:p>
    <w:p w:rsidR="008E32CB" w:rsidRDefault="00B34B81" w:rsidP="002F56EC">
      <w:pPr>
        <w:ind w:left="-360" w:right="42"/>
        <w:jc w:val="both"/>
        <w:rPr>
          <w:b/>
          <w:sz w:val="22"/>
          <w:szCs w:val="22"/>
        </w:rPr>
      </w:pPr>
      <w:r>
        <w:rPr>
          <w:b/>
          <w:sz w:val="22"/>
          <w:szCs w:val="22"/>
        </w:rPr>
        <w:lastRenderedPageBreak/>
        <w:t xml:space="preserve">Table 1: </w:t>
      </w:r>
      <w:r w:rsidR="008C38E5" w:rsidRPr="00B320C7">
        <w:rPr>
          <w:b/>
          <w:sz w:val="22"/>
          <w:szCs w:val="22"/>
        </w:rPr>
        <w:t>Betam’s quarterly and annual growth rate forecasts</w:t>
      </w:r>
    </w:p>
    <w:tbl>
      <w:tblPr>
        <w:tblpPr w:leftFromText="141" w:rightFromText="141" w:vertAnchor="text" w:horzAnchor="margin" w:tblpXSpec="right" w:tblpY="129"/>
        <w:tblW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8"/>
        <w:gridCol w:w="1564"/>
      </w:tblGrid>
      <w:tr w:rsidR="000854F8" w:rsidRPr="000A4DA1" w:rsidTr="000854F8">
        <w:trPr>
          <w:trHeight w:val="986"/>
        </w:trPr>
        <w:tc>
          <w:tcPr>
            <w:tcW w:w="3088" w:type="dxa"/>
            <w:tcMar>
              <w:left w:w="28" w:type="dxa"/>
              <w:right w:w="28" w:type="dxa"/>
            </w:tcMar>
            <w:vAlign w:val="center"/>
          </w:tcPr>
          <w:p w:rsidR="000854F8" w:rsidRPr="000A4DA1" w:rsidRDefault="000854F8" w:rsidP="00F174EC">
            <w:pPr>
              <w:ind w:right="42"/>
              <w:jc w:val="center"/>
              <w:rPr>
                <w:sz w:val="20"/>
                <w:szCs w:val="20"/>
              </w:rPr>
            </w:pPr>
          </w:p>
        </w:tc>
        <w:tc>
          <w:tcPr>
            <w:tcW w:w="1564" w:type="dxa"/>
            <w:vAlign w:val="center"/>
          </w:tcPr>
          <w:p w:rsidR="000854F8" w:rsidRPr="000A4DA1" w:rsidRDefault="000854F8" w:rsidP="00F174EC">
            <w:pPr>
              <w:ind w:right="40"/>
              <w:jc w:val="center"/>
              <w:rPr>
                <w:b/>
                <w:bCs/>
                <w:sz w:val="20"/>
                <w:szCs w:val="20"/>
              </w:rPr>
            </w:pPr>
            <w:r w:rsidRPr="000A4DA1">
              <w:rPr>
                <w:b/>
                <w:bCs/>
                <w:sz w:val="20"/>
                <w:szCs w:val="20"/>
              </w:rPr>
              <w:t>2013</w:t>
            </w:r>
          </w:p>
          <w:p w:rsidR="000854F8" w:rsidRPr="000A4DA1" w:rsidRDefault="000854F8" w:rsidP="00F174EC">
            <w:pPr>
              <w:ind w:right="40"/>
              <w:jc w:val="center"/>
              <w:rPr>
                <w:b/>
                <w:bCs/>
                <w:sz w:val="20"/>
                <w:szCs w:val="20"/>
              </w:rPr>
            </w:pPr>
            <w:r w:rsidRPr="000A4DA1">
              <w:rPr>
                <w:b/>
                <w:bCs/>
                <w:sz w:val="20"/>
                <w:szCs w:val="20"/>
              </w:rPr>
              <w:t>1</w:t>
            </w:r>
            <w:r w:rsidRPr="000A4DA1">
              <w:rPr>
                <w:b/>
                <w:bCs/>
                <w:sz w:val="20"/>
                <w:szCs w:val="20"/>
                <w:vertAlign w:val="superscript"/>
              </w:rPr>
              <w:t>st</w:t>
            </w:r>
            <w:r w:rsidRPr="000A4DA1">
              <w:rPr>
                <w:b/>
                <w:bCs/>
                <w:sz w:val="20"/>
                <w:szCs w:val="20"/>
              </w:rPr>
              <w:t xml:space="preserve"> Quarter Forecast</w:t>
            </w:r>
          </w:p>
        </w:tc>
      </w:tr>
      <w:tr w:rsidR="000854F8" w:rsidRPr="000A4DA1" w:rsidTr="000854F8">
        <w:trPr>
          <w:trHeight w:val="771"/>
        </w:trPr>
        <w:tc>
          <w:tcPr>
            <w:tcW w:w="3088" w:type="dxa"/>
            <w:tcMar>
              <w:left w:w="28" w:type="dxa"/>
              <w:right w:w="28" w:type="dxa"/>
            </w:tcMar>
            <w:vAlign w:val="center"/>
          </w:tcPr>
          <w:p w:rsidR="000854F8" w:rsidRPr="000A4DA1" w:rsidRDefault="000854F8" w:rsidP="00F174EC">
            <w:pPr>
              <w:spacing w:line="360" w:lineRule="auto"/>
              <w:ind w:right="42"/>
              <w:rPr>
                <w:b/>
                <w:sz w:val="20"/>
                <w:szCs w:val="20"/>
              </w:rPr>
            </w:pPr>
            <w:r w:rsidRPr="000A4DA1">
              <w:rPr>
                <w:b/>
                <w:sz w:val="20"/>
                <w:szCs w:val="20"/>
              </w:rPr>
              <w:t xml:space="preserve">Real GDP growth, % </w:t>
            </w:r>
          </w:p>
          <w:p w:rsidR="000854F8" w:rsidRPr="000A4DA1" w:rsidRDefault="000854F8" w:rsidP="00F174EC">
            <w:pPr>
              <w:ind w:right="42"/>
              <w:rPr>
                <w:sz w:val="20"/>
                <w:szCs w:val="20"/>
              </w:rPr>
            </w:pPr>
            <w:r w:rsidRPr="000A4DA1">
              <w:rPr>
                <w:sz w:val="20"/>
                <w:szCs w:val="20"/>
              </w:rPr>
              <w:t>(quarter on quarter, sa*)</w:t>
            </w:r>
          </w:p>
        </w:tc>
        <w:tc>
          <w:tcPr>
            <w:tcW w:w="1564" w:type="dxa"/>
            <w:vAlign w:val="center"/>
          </w:tcPr>
          <w:p w:rsidR="000854F8" w:rsidRPr="000A4DA1" w:rsidRDefault="00F91693" w:rsidP="00F174EC">
            <w:pPr>
              <w:ind w:right="42"/>
              <w:jc w:val="center"/>
              <w:rPr>
                <w:sz w:val="20"/>
                <w:szCs w:val="20"/>
              </w:rPr>
            </w:pPr>
            <w:r>
              <w:rPr>
                <w:sz w:val="20"/>
                <w:szCs w:val="20"/>
              </w:rPr>
              <w:t>0.7</w:t>
            </w:r>
          </w:p>
        </w:tc>
      </w:tr>
      <w:tr w:rsidR="000854F8" w:rsidRPr="000A4DA1" w:rsidTr="000854F8">
        <w:trPr>
          <w:trHeight w:val="756"/>
        </w:trPr>
        <w:tc>
          <w:tcPr>
            <w:tcW w:w="3088" w:type="dxa"/>
            <w:tcMar>
              <w:left w:w="28" w:type="dxa"/>
              <w:right w:w="28" w:type="dxa"/>
            </w:tcMar>
            <w:vAlign w:val="center"/>
          </w:tcPr>
          <w:p w:rsidR="000854F8" w:rsidRPr="000A4DA1" w:rsidRDefault="000854F8" w:rsidP="00F174EC">
            <w:pPr>
              <w:spacing w:line="360" w:lineRule="auto"/>
              <w:ind w:right="42"/>
              <w:rPr>
                <w:sz w:val="20"/>
                <w:szCs w:val="20"/>
              </w:rPr>
            </w:pPr>
            <w:r w:rsidRPr="000A4DA1">
              <w:rPr>
                <w:b/>
                <w:sz w:val="20"/>
                <w:szCs w:val="20"/>
              </w:rPr>
              <w:t>Real GDP growth, %</w:t>
            </w:r>
          </w:p>
          <w:p w:rsidR="000854F8" w:rsidRPr="000A4DA1" w:rsidRDefault="000854F8" w:rsidP="00F174EC">
            <w:pPr>
              <w:ind w:right="42"/>
              <w:rPr>
                <w:sz w:val="20"/>
                <w:szCs w:val="20"/>
              </w:rPr>
            </w:pPr>
            <w:r w:rsidRPr="000A4DA1">
              <w:rPr>
                <w:sz w:val="20"/>
                <w:szCs w:val="20"/>
              </w:rPr>
              <w:t>(year on year, ca**)</w:t>
            </w:r>
          </w:p>
        </w:tc>
        <w:tc>
          <w:tcPr>
            <w:tcW w:w="1564" w:type="dxa"/>
            <w:vAlign w:val="center"/>
          </w:tcPr>
          <w:p w:rsidR="000854F8" w:rsidRPr="000A4DA1" w:rsidRDefault="00F91693" w:rsidP="00F174EC">
            <w:pPr>
              <w:ind w:right="42"/>
              <w:jc w:val="center"/>
              <w:rPr>
                <w:sz w:val="20"/>
                <w:szCs w:val="20"/>
              </w:rPr>
            </w:pPr>
            <w:r>
              <w:rPr>
                <w:sz w:val="20"/>
                <w:szCs w:val="20"/>
              </w:rPr>
              <w:t>2.4</w:t>
            </w:r>
          </w:p>
        </w:tc>
      </w:tr>
      <w:tr w:rsidR="000854F8" w:rsidRPr="000A4DA1" w:rsidTr="000854F8">
        <w:trPr>
          <w:trHeight w:val="583"/>
        </w:trPr>
        <w:tc>
          <w:tcPr>
            <w:tcW w:w="3088" w:type="dxa"/>
            <w:tcMar>
              <w:left w:w="28" w:type="dxa"/>
              <w:right w:w="28" w:type="dxa"/>
            </w:tcMar>
            <w:vAlign w:val="center"/>
          </w:tcPr>
          <w:p w:rsidR="000854F8" w:rsidRPr="000A4DA1" w:rsidRDefault="000854F8" w:rsidP="00F174EC">
            <w:pPr>
              <w:spacing w:line="360" w:lineRule="auto"/>
              <w:ind w:right="42"/>
              <w:rPr>
                <w:sz w:val="20"/>
                <w:szCs w:val="20"/>
              </w:rPr>
            </w:pPr>
            <w:r w:rsidRPr="000A4DA1">
              <w:rPr>
                <w:b/>
                <w:sz w:val="20"/>
                <w:szCs w:val="20"/>
              </w:rPr>
              <w:t>Current account deficit</w:t>
            </w:r>
          </w:p>
          <w:p w:rsidR="000854F8" w:rsidRPr="000A4DA1" w:rsidRDefault="000854F8" w:rsidP="00F174EC">
            <w:pPr>
              <w:ind w:right="40"/>
              <w:rPr>
                <w:sz w:val="20"/>
                <w:szCs w:val="20"/>
              </w:rPr>
            </w:pPr>
            <w:r w:rsidRPr="000A4DA1">
              <w:rPr>
                <w:sz w:val="20"/>
                <w:szCs w:val="20"/>
              </w:rPr>
              <w:t>(% of GDP, annual)</w:t>
            </w:r>
          </w:p>
        </w:tc>
        <w:tc>
          <w:tcPr>
            <w:tcW w:w="1564" w:type="dxa"/>
            <w:vAlign w:val="center"/>
          </w:tcPr>
          <w:p w:rsidR="000854F8" w:rsidRPr="000A4DA1" w:rsidRDefault="004155A8" w:rsidP="00F174EC">
            <w:pPr>
              <w:ind w:right="40"/>
              <w:jc w:val="center"/>
              <w:rPr>
                <w:sz w:val="20"/>
                <w:szCs w:val="20"/>
              </w:rPr>
            </w:pPr>
            <w:r>
              <w:rPr>
                <w:sz w:val="20"/>
                <w:szCs w:val="20"/>
              </w:rPr>
              <w:t>5.8</w:t>
            </w:r>
          </w:p>
        </w:tc>
      </w:tr>
    </w:tbl>
    <w:p w:rsidR="00E73B4F" w:rsidRPr="00D4205B" w:rsidRDefault="008C38E5" w:rsidP="008C38E5">
      <w:pPr>
        <w:ind w:left="-360" w:right="40"/>
        <w:jc w:val="both"/>
        <w:rPr>
          <w:sz w:val="16"/>
          <w:szCs w:val="16"/>
        </w:rPr>
      </w:pPr>
      <w:r w:rsidRPr="00D4205B">
        <w:rPr>
          <w:sz w:val="16"/>
          <w:szCs w:val="16"/>
        </w:rPr>
        <w:t>Source: Betam</w:t>
      </w:r>
      <w:r w:rsidR="00403B8D" w:rsidRPr="00D4205B">
        <w:rPr>
          <w:sz w:val="16"/>
          <w:szCs w:val="16"/>
        </w:rPr>
        <w:t>.</w:t>
      </w:r>
      <w:r w:rsidRPr="00D4205B">
        <w:rPr>
          <w:sz w:val="16"/>
          <w:szCs w:val="16"/>
        </w:rPr>
        <w:t xml:space="preserve"> </w:t>
      </w:r>
    </w:p>
    <w:p w:rsidR="008C38E5" w:rsidRPr="00D4205B" w:rsidRDefault="008C38E5" w:rsidP="008C38E5">
      <w:pPr>
        <w:ind w:left="-360" w:right="40"/>
        <w:jc w:val="both"/>
        <w:rPr>
          <w:sz w:val="16"/>
          <w:szCs w:val="16"/>
        </w:rPr>
      </w:pPr>
      <w:r w:rsidRPr="00D4205B">
        <w:rPr>
          <w:sz w:val="16"/>
          <w:szCs w:val="16"/>
        </w:rPr>
        <w:t xml:space="preserve">*sa: seasonally and calendar day adjusted </w:t>
      </w:r>
    </w:p>
    <w:p w:rsidR="008B74EE" w:rsidRPr="00D4205B" w:rsidRDefault="008C38E5" w:rsidP="00E73B4F">
      <w:pPr>
        <w:spacing w:line="360" w:lineRule="auto"/>
        <w:ind w:left="-360" w:right="42"/>
        <w:jc w:val="both"/>
        <w:rPr>
          <w:sz w:val="16"/>
          <w:szCs w:val="16"/>
        </w:rPr>
      </w:pPr>
      <w:r w:rsidRPr="00D4205B">
        <w:rPr>
          <w:sz w:val="16"/>
          <w:szCs w:val="16"/>
        </w:rPr>
        <w:t xml:space="preserve"> **ca: calendar day adjusted</w:t>
      </w:r>
    </w:p>
    <w:p w:rsidR="00B12FD3" w:rsidRPr="00B320C7" w:rsidRDefault="00B12FD3" w:rsidP="008B74EE">
      <w:pPr>
        <w:ind w:left="-360"/>
        <w:rPr>
          <w:b/>
          <w:sz w:val="22"/>
          <w:szCs w:val="22"/>
        </w:rPr>
      </w:pPr>
    </w:p>
    <w:p w:rsidR="00F91693" w:rsidRPr="00047F4D" w:rsidRDefault="00B77886" w:rsidP="00F91693">
      <w:pPr>
        <w:ind w:left="-360"/>
        <w:jc w:val="center"/>
        <w:rPr>
          <w:b/>
          <w:bCs/>
          <w:sz w:val="22"/>
          <w:szCs w:val="22"/>
        </w:rPr>
      </w:pPr>
      <w:r>
        <w:rPr>
          <w:b/>
          <w:bCs/>
          <w:sz w:val="22"/>
          <w:szCs w:val="22"/>
        </w:rPr>
        <w:t>Revival</w:t>
      </w:r>
      <w:r w:rsidR="0085713D">
        <w:rPr>
          <w:b/>
          <w:bCs/>
          <w:sz w:val="22"/>
          <w:szCs w:val="22"/>
        </w:rPr>
        <w:t xml:space="preserve"> is weak in the first quarter</w:t>
      </w:r>
    </w:p>
    <w:p w:rsidR="00F91693" w:rsidRPr="00047F4D" w:rsidRDefault="00F91693" w:rsidP="00F91693">
      <w:pPr>
        <w:spacing w:line="360" w:lineRule="auto"/>
        <w:ind w:left="-360" w:right="42"/>
        <w:jc w:val="both"/>
        <w:rPr>
          <w:sz w:val="22"/>
          <w:szCs w:val="22"/>
        </w:rPr>
      </w:pPr>
    </w:p>
    <w:p w:rsidR="00A60C01" w:rsidRDefault="00A60C01" w:rsidP="00F91693">
      <w:pPr>
        <w:spacing w:line="360" w:lineRule="auto"/>
        <w:ind w:left="-360" w:right="42"/>
        <w:jc w:val="both"/>
        <w:rPr>
          <w:sz w:val="22"/>
          <w:szCs w:val="22"/>
        </w:rPr>
      </w:pPr>
      <w:r>
        <w:rPr>
          <w:sz w:val="22"/>
          <w:szCs w:val="22"/>
        </w:rPr>
        <w:t>In the first quarter, the IPI increased by 2.5 percent from the same quarter of the previo</w:t>
      </w:r>
      <w:r w:rsidR="00B07677">
        <w:rPr>
          <w:sz w:val="22"/>
          <w:szCs w:val="22"/>
        </w:rPr>
        <w:t>us year (calendar day adjusted), and</w:t>
      </w:r>
      <w:r>
        <w:rPr>
          <w:sz w:val="22"/>
          <w:szCs w:val="22"/>
        </w:rPr>
        <w:t xml:space="preserve"> </w:t>
      </w:r>
      <w:r w:rsidR="00B07677">
        <w:rPr>
          <w:sz w:val="22"/>
          <w:szCs w:val="22"/>
        </w:rPr>
        <w:t>i</w:t>
      </w:r>
      <w:r>
        <w:rPr>
          <w:sz w:val="22"/>
          <w:szCs w:val="22"/>
        </w:rPr>
        <w:t>t increased by 1 percent QoQ (seasonal and calendar day adjusted). In the last quarter of 2012</w:t>
      </w:r>
      <w:r w:rsidR="009B6635">
        <w:rPr>
          <w:sz w:val="22"/>
          <w:szCs w:val="22"/>
        </w:rPr>
        <w:t>, these numbers were 0.9</w:t>
      </w:r>
      <w:r>
        <w:rPr>
          <w:sz w:val="22"/>
          <w:szCs w:val="22"/>
        </w:rPr>
        <w:t xml:space="preserve"> and 0.8 percent</w:t>
      </w:r>
      <w:r w:rsidR="009B6635">
        <w:rPr>
          <w:sz w:val="22"/>
          <w:szCs w:val="22"/>
        </w:rPr>
        <w:t>,</w:t>
      </w:r>
      <w:r>
        <w:rPr>
          <w:sz w:val="22"/>
          <w:szCs w:val="22"/>
        </w:rPr>
        <w:t xml:space="preserve"> respectively. </w:t>
      </w:r>
      <w:r w:rsidR="00360F5D">
        <w:rPr>
          <w:sz w:val="22"/>
          <w:szCs w:val="22"/>
        </w:rPr>
        <w:t xml:space="preserve">We observe that the IPI continued to increase in the first quarter but the increase </w:t>
      </w:r>
      <w:r w:rsidR="009B6635">
        <w:rPr>
          <w:sz w:val="22"/>
          <w:szCs w:val="22"/>
        </w:rPr>
        <w:t>is not large enough to push the growth rate to 4 percent</w:t>
      </w:r>
      <w:r w:rsidR="00360F5D">
        <w:rPr>
          <w:sz w:val="22"/>
          <w:szCs w:val="22"/>
        </w:rPr>
        <w:t xml:space="preserve">. </w:t>
      </w:r>
    </w:p>
    <w:p w:rsidR="00360F5D" w:rsidRDefault="00360F5D" w:rsidP="00F91693">
      <w:pPr>
        <w:spacing w:line="360" w:lineRule="auto"/>
        <w:ind w:left="-360" w:right="42"/>
        <w:jc w:val="both"/>
        <w:rPr>
          <w:sz w:val="22"/>
          <w:szCs w:val="22"/>
        </w:rPr>
      </w:pPr>
    </w:p>
    <w:p w:rsidR="00D80EA5" w:rsidRDefault="00B07677" w:rsidP="00F91693">
      <w:pPr>
        <w:spacing w:line="360" w:lineRule="auto"/>
        <w:ind w:left="-360" w:right="42"/>
        <w:jc w:val="both"/>
        <w:rPr>
          <w:sz w:val="22"/>
          <w:szCs w:val="22"/>
        </w:rPr>
      </w:pPr>
      <w:r>
        <w:rPr>
          <w:sz w:val="22"/>
          <w:szCs w:val="22"/>
        </w:rPr>
        <w:t>On the other hand, there is</w:t>
      </w:r>
      <w:r w:rsidR="00D80EA5">
        <w:rPr>
          <w:sz w:val="22"/>
          <w:szCs w:val="22"/>
        </w:rPr>
        <w:t xml:space="preserve"> a significant revival in imports. Both consumer and investment goods imports surged compared to the previous quarter. </w:t>
      </w:r>
      <w:r w:rsidR="00A229EA">
        <w:rPr>
          <w:sz w:val="22"/>
          <w:szCs w:val="22"/>
        </w:rPr>
        <w:t>However, e</w:t>
      </w:r>
      <w:r w:rsidR="00D80EA5">
        <w:rPr>
          <w:sz w:val="22"/>
          <w:szCs w:val="22"/>
        </w:rPr>
        <w:t>xport performance is below expectations due to weak foreign demand</w:t>
      </w:r>
      <w:r w:rsidR="00E41099">
        <w:rPr>
          <w:sz w:val="22"/>
          <w:szCs w:val="22"/>
        </w:rPr>
        <w:t>.</w:t>
      </w:r>
      <w:r w:rsidR="00D80EA5">
        <w:rPr>
          <w:sz w:val="22"/>
          <w:szCs w:val="22"/>
        </w:rPr>
        <w:t xml:space="preserve"> </w:t>
      </w:r>
      <w:r w:rsidR="00E41099">
        <w:rPr>
          <w:sz w:val="22"/>
          <w:szCs w:val="22"/>
        </w:rPr>
        <w:t>G</w:t>
      </w:r>
      <w:r w:rsidR="00D80EA5">
        <w:rPr>
          <w:sz w:val="22"/>
          <w:szCs w:val="22"/>
        </w:rPr>
        <w:t xml:space="preserve">old </w:t>
      </w:r>
      <w:r w:rsidR="00D80EA5">
        <w:rPr>
          <w:sz w:val="22"/>
          <w:szCs w:val="22"/>
        </w:rPr>
        <w:lastRenderedPageBreak/>
        <w:t xml:space="preserve">excluded exports increased </w:t>
      </w:r>
      <w:r w:rsidR="00E41099">
        <w:rPr>
          <w:sz w:val="22"/>
          <w:szCs w:val="22"/>
        </w:rPr>
        <w:t xml:space="preserve">only </w:t>
      </w:r>
      <w:r w:rsidR="00D80EA5">
        <w:rPr>
          <w:sz w:val="22"/>
          <w:szCs w:val="22"/>
        </w:rPr>
        <w:t>slightly</w:t>
      </w:r>
      <w:r w:rsidR="002A0155">
        <w:rPr>
          <w:sz w:val="22"/>
          <w:szCs w:val="22"/>
        </w:rPr>
        <w:t xml:space="preserve"> QoQ</w:t>
      </w:r>
      <w:r w:rsidR="00D80EA5">
        <w:rPr>
          <w:sz w:val="22"/>
          <w:szCs w:val="22"/>
        </w:rPr>
        <w:t xml:space="preserve">. We </w:t>
      </w:r>
      <w:r w:rsidR="002A0155">
        <w:rPr>
          <w:sz w:val="22"/>
          <w:szCs w:val="22"/>
        </w:rPr>
        <w:t>believe</w:t>
      </w:r>
      <w:r w:rsidR="00D80EA5">
        <w:rPr>
          <w:sz w:val="22"/>
          <w:szCs w:val="22"/>
        </w:rPr>
        <w:t xml:space="preserve"> that net exports </w:t>
      </w:r>
      <w:r w:rsidR="003E15C4">
        <w:rPr>
          <w:sz w:val="22"/>
          <w:szCs w:val="22"/>
        </w:rPr>
        <w:t>will contribute negatively to</w:t>
      </w:r>
      <w:r w:rsidR="00D80EA5">
        <w:rPr>
          <w:sz w:val="22"/>
          <w:szCs w:val="22"/>
        </w:rPr>
        <w:t xml:space="preserve"> real G</w:t>
      </w:r>
      <w:r w:rsidR="002A0155">
        <w:rPr>
          <w:sz w:val="22"/>
          <w:szCs w:val="22"/>
        </w:rPr>
        <w:t>DP growth in the first quarter</w:t>
      </w:r>
      <w:r w:rsidR="00D80EA5">
        <w:rPr>
          <w:sz w:val="22"/>
          <w:szCs w:val="22"/>
        </w:rPr>
        <w:t xml:space="preserve">. </w:t>
      </w:r>
    </w:p>
    <w:p w:rsidR="00D80EA5" w:rsidRDefault="00D80EA5" w:rsidP="00F91693">
      <w:pPr>
        <w:spacing w:line="360" w:lineRule="auto"/>
        <w:ind w:left="-360" w:right="42"/>
        <w:jc w:val="both"/>
        <w:rPr>
          <w:sz w:val="22"/>
          <w:szCs w:val="22"/>
        </w:rPr>
      </w:pPr>
      <w:r>
        <w:rPr>
          <w:sz w:val="22"/>
          <w:szCs w:val="22"/>
        </w:rPr>
        <w:t xml:space="preserve">  </w:t>
      </w:r>
    </w:p>
    <w:p w:rsidR="00C652C0" w:rsidRDefault="007E0C5C" w:rsidP="00F91693">
      <w:pPr>
        <w:spacing w:line="360" w:lineRule="auto"/>
        <w:ind w:left="-360" w:right="42"/>
        <w:jc w:val="both"/>
        <w:rPr>
          <w:sz w:val="22"/>
          <w:szCs w:val="22"/>
        </w:rPr>
      </w:pPr>
      <w:r>
        <w:rPr>
          <w:sz w:val="22"/>
          <w:szCs w:val="22"/>
        </w:rPr>
        <w:t xml:space="preserve">Consumer and investment goods imports and production </w:t>
      </w:r>
      <w:r w:rsidR="005E6ECC">
        <w:rPr>
          <w:sz w:val="22"/>
          <w:szCs w:val="22"/>
        </w:rPr>
        <w:t>increased showing signs that</w:t>
      </w:r>
      <w:r>
        <w:rPr>
          <w:sz w:val="22"/>
          <w:szCs w:val="22"/>
        </w:rPr>
        <w:t xml:space="preserve"> investment and consumption</w:t>
      </w:r>
      <w:r w:rsidR="005E6ECC">
        <w:rPr>
          <w:sz w:val="22"/>
          <w:szCs w:val="22"/>
        </w:rPr>
        <w:t xml:space="preserve"> expenditures</w:t>
      </w:r>
      <w:r>
        <w:rPr>
          <w:sz w:val="22"/>
          <w:szCs w:val="22"/>
        </w:rPr>
        <w:t xml:space="preserve"> increased in the first quarter. Even though durable goods production</w:t>
      </w:r>
      <w:r w:rsidR="008D3ACA">
        <w:rPr>
          <w:sz w:val="22"/>
          <w:szCs w:val="22"/>
        </w:rPr>
        <w:t>,</w:t>
      </w:r>
      <w:r>
        <w:rPr>
          <w:sz w:val="22"/>
          <w:szCs w:val="22"/>
        </w:rPr>
        <w:t xml:space="preserve"> which is an important indicator for consumption</w:t>
      </w:r>
      <w:r w:rsidR="008D3ACA">
        <w:rPr>
          <w:sz w:val="22"/>
          <w:szCs w:val="22"/>
        </w:rPr>
        <w:t>,</w:t>
      </w:r>
      <w:r>
        <w:rPr>
          <w:sz w:val="22"/>
          <w:szCs w:val="22"/>
        </w:rPr>
        <w:t xml:space="preserve"> surged in March, it declined in the first quarter </w:t>
      </w:r>
      <w:r w:rsidR="00A229EA">
        <w:rPr>
          <w:sz w:val="22"/>
          <w:szCs w:val="22"/>
        </w:rPr>
        <w:t>from</w:t>
      </w:r>
      <w:r>
        <w:rPr>
          <w:sz w:val="22"/>
          <w:szCs w:val="22"/>
        </w:rPr>
        <w:t xml:space="preserve"> the previous quarter. </w:t>
      </w:r>
      <w:r w:rsidR="008D3ACA">
        <w:rPr>
          <w:sz w:val="22"/>
          <w:szCs w:val="22"/>
        </w:rPr>
        <w:t>C</w:t>
      </w:r>
      <w:r>
        <w:rPr>
          <w:sz w:val="22"/>
          <w:szCs w:val="22"/>
        </w:rPr>
        <w:t xml:space="preserve">onsumer confidence index was above the level of </w:t>
      </w:r>
      <w:r w:rsidR="008D3ACA">
        <w:rPr>
          <w:sz w:val="22"/>
          <w:szCs w:val="22"/>
        </w:rPr>
        <w:t xml:space="preserve">the </w:t>
      </w:r>
      <w:r>
        <w:rPr>
          <w:sz w:val="22"/>
          <w:szCs w:val="22"/>
        </w:rPr>
        <w:t xml:space="preserve">previous quarter, but real sector confidence index fell slightly in the same period. </w:t>
      </w:r>
    </w:p>
    <w:p w:rsidR="00C652C0" w:rsidRDefault="00C652C0" w:rsidP="00F91693">
      <w:pPr>
        <w:spacing w:line="360" w:lineRule="auto"/>
        <w:ind w:left="-360" w:right="42"/>
        <w:jc w:val="both"/>
        <w:rPr>
          <w:sz w:val="22"/>
          <w:szCs w:val="22"/>
        </w:rPr>
      </w:pPr>
    </w:p>
    <w:p w:rsidR="0041351B" w:rsidRDefault="00C652C0" w:rsidP="0041351B">
      <w:pPr>
        <w:spacing w:line="360" w:lineRule="auto"/>
        <w:ind w:left="-360" w:right="40"/>
        <w:jc w:val="both"/>
        <w:rPr>
          <w:sz w:val="22"/>
          <w:szCs w:val="22"/>
        </w:rPr>
      </w:pPr>
      <w:r>
        <w:rPr>
          <w:sz w:val="22"/>
          <w:szCs w:val="22"/>
        </w:rPr>
        <w:t xml:space="preserve">We are still receiving mixed signals from economic indicators. We think that declines in </w:t>
      </w:r>
      <w:r w:rsidR="0041351B">
        <w:rPr>
          <w:sz w:val="22"/>
          <w:szCs w:val="22"/>
        </w:rPr>
        <w:t>both foreign trade indicators and industr</w:t>
      </w:r>
      <w:r w:rsidR="00A229EA">
        <w:rPr>
          <w:sz w:val="22"/>
          <w:szCs w:val="22"/>
        </w:rPr>
        <w:t>ial production index in March was</w:t>
      </w:r>
      <w:r w:rsidR="0041351B">
        <w:rPr>
          <w:sz w:val="22"/>
          <w:szCs w:val="22"/>
        </w:rPr>
        <w:t xml:space="preserve"> caused by monthly fluctuations and the economy continues to recover</w:t>
      </w:r>
      <w:r w:rsidR="00A229EA">
        <w:rPr>
          <w:sz w:val="22"/>
          <w:szCs w:val="22"/>
        </w:rPr>
        <w:t xml:space="preserve"> overall</w:t>
      </w:r>
      <w:r w:rsidR="0041351B">
        <w:rPr>
          <w:sz w:val="22"/>
          <w:szCs w:val="22"/>
        </w:rPr>
        <w:t xml:space="preserve">. </w:t>
      </w:r>
      <w:r w:rsidR="008D3ACA">
        <w:rPr>
          <w:sz w:val="22"/>
          <w:szCs w:val="22"/>
        </w:rPr>
        <w:t>O</w:t>
      </w:r>
      <w:r w:rsidR="0041351B">
        <w:rPr>
          <w:sz w:val="22"/>
          <w:szCs w:val="22"/>
        </w:rPr>
        <w:t>ur QoQ forecast for the first quarter remains a</w:t>
      </w:r>
      <w:r w:rsidR="008D3ACA">
        <w:rPr>
          <w:sz w:val="22"/>
          <w:szCs w:val="22"/>
        </w:rPr>
        <w:t>t</w:t>
      </w:r>
      <w:r w:rsidR="0041351B">
        <w:rPr>
          <w:sz w:val="22"/>
          <w:szCs w:val="22"/>
        </w:rPr>
        <w:t xml:space="preserve"> 0.7 percent. </w:t>
      </w:r>
      <w:r w:rsidR="0041351B" w:rsidRPr="00047F4D">
        <w:rPr>
          <w:sz w:val="22"/>
          <w:szCs w:val="22"/>
        </w:rPr>
        <w:t xml:space="preserve">The corresponding </w:t>
      </w:r>
      <w:r w:rsidR="0041351B">
        <w:rPr>
          <w:sz w:val="22"/>
          <w:szCs w:val="22"/>
        </w:rPr>
        <w:t>YoY</w:t>
      </w:r>
      <w:r w:rsidR="0041351B" w:rsidRPr="00047F4D">
        <w:rPr>
          <w:sz w:val="22"/>
          <w:szCs w:val="22"/>
        </w:rPr>
        <w:t xml:space="preserve"> growth rate is 2.4 percent.</w:t>
      </w:r>
      <w:r w:rsidR="00A229EA">
        <w:rPr>
          <w:sz w:val="22"/>
          <w:szCs w:val="22"/>
        </w:rPr>
        <w:t xml:space="preserve"> </w:t>
      </w:r>
      <w:r w:rsidR="00074EEE">
        <w:rPr>
          <w:sz w:val="22"/>
          <w:szCs w:val="22"/>
        </w:rPr>
        <w:t>The d</w:t>
      </w:r>
      <w:r w:rsidR="00A229EA">
        <w:rPr>
          <w:sz w:val="22"/>
          <w:szCs w:val="22"/>
        </w:rPr>
        <w:t xml:space="preserve">ecline in imports </w:t>
      </w:r>
      <w:r w:rsidR="00074EEE">
        <w:rPr>
          <w:sz w:val="22"/>
          <w:szCs w:val="22"/>
        </w:rPr>
        <w:t xml:space="preserve">in March </w:t>
      </w:r>
      <w:r w:rsidR="00A229EA">
        <w:rPr>
          <w:sz w:val="22"/>
          <w:szCs w:val="22"/>
        </w:rPr>
        <w:t>reduce</w:t>
      </w:r>
      <w:r w:rsidR="00074EEE">
        <w:rPr>
          <w:sz w:val="22"/>
          <w:szCs w:val="22"/>
        </w:rPr>
        <w:t>d</w:t>
      </w:r>
      <w:r w:rsidR="00A229EA">
        <w:rPr>
          <w:sz w:val="22"/>
          <w:szCs w:val="22"/>
        </w:rPr>
        <w:t xml:space="preserve"> our current account deficit forecast slightly.</w:t>
      </w:r>
      <w:r w:rsidR="0041351B">
        <w:rPr>
          <w:sz w:val="22"/>
          <w:szCs w:val="22"/>
        </w:rPr>
        <w:t xml:space="preserve"> </w:t>
      </w:r>
      <w:r w:rsidR="0041351B" w:rsidRPr="00047F4D">
        <w:rPr>
          <w:sz w:val="22"/>
          <w:szCs w:val="22"/>
        </w:rPr>
        <w:t>Betam expects the current account deficit to GDP ratio</w:t>
      </w:r>
      <w:r w:rsidR="0041351B">
        <w:rPr>
          <w:sz w:val="22"/>
          <w:szCs w:val="22"/>
        </w:rPr>
        <w:t xml:space="preserve"> to decline to 5.8 percent</w:t>
      </w:r>
      <w:r w:rsidR="00B13662">
        <w:rPr>
          <w:sz w:val="22"/>
          <w:szCs w:val="22"/>
        </w:rPr>
        <w:t xml:space="preserve"> </w:t>
      </w:r>
      <w:r w:rsidR="00B13662" w:rsidRPr="00047F4D">
        <w:rPr>
          <w:sz w:val="22"/>
          <w:szCs w:val="22"/>
        </w:rPr>
        <w:t>at the end of the first quarter</w:t>
      </w:r>
      <w:r w:rsidR="0041351B">
        <w:rPr>
          <w:sz w:val="22"/>
          <w:szCs w:val="22"/>
        </w:rPr>
        <w:t xml:space="preserve"> from 6 percent</w:t>
      </w:r>
      <w:r w:rsidR="00B13662">
        <w:rPr>
          <w:sz w:val="22"/>
          <w:szCs w:val="22"/>
        </w:rPr>
        <w:t xml:space="preserve"> </w:t>
      </w:r>
      <w:r w:rsidR="00EE06E0">
        <w:rPr>
          <w:sz w:val="22"/>
          <w:szCs w:val="22"/>
        </w:rPr>
        <w:t xml:space="preserve">at </w:t>
      </w:r>
      <w:r w:rsidR="00B13662">
        <w:rPr>
          <w:sz w:val="22"/>
          <w:szCs w:val="22"/>
        </w:rPr>
        <w:t>year end in 2012</w:t>
      </w:r>
      <w:r w:rsidR="0041351B" w:rsidRPr="00047F4D">
        <w:rPr>
          <w:sz w:val="22"/>
          <w:szCs w:val="22"/>
        </w:rPr>
        <w:t xml:space="preserve">. </w:t>
      </w:r>
      <w:r w:rsidR="0041351B" w:rsidRPr="000A4DA1">
        <w:rPr>
          <w:sz w:val="22"/>
          <w:szCs w:val="22"/>
        </w:rPr>
        <w:t xml:space="preserve">  </w:t>
      </w:r>
    </w:p>
    <w:p w:rsidR="00F91693" w:rsidRPr="00F7641F" w:rsidRDefault="00C652C0" w:rsidP="0046518E">
      <w:pPr>
        <w:spacing w:line="360" w:lineRule="auto"/>
        <w:ind w:left="-360" w:right="42"/>
        <w:jc w:val="both"/>
        <w:rPr>
          <w:sz w:val="22"/>
          <w:szCs w:val="22"/>
        </w:rPr>
      </w:pPr>
      <w:r>
        <w:rPr>
          <w:sz w:val="22"/>
          <w:szCs w:val="22"/>
        </w:rPr>
        <w:t xml:space="preserve"> </w:t>
      </w:r>
      <w:r w:rsidR="007E0C5C">
        <w:rPr>
          <w:sz w:val="22"/>
          <w:szCs w:val="22"/>
        </w:rPr>
        <w:t xml:space="preserve"> </w:t>
      </w:r>
    </w:p>
    <w:p w:rsidR="00B9376A" w:rsidRDefault="0046518E" w:rsidP="00F91693">
      <w:pPr>
        <w:spacing w:line="360" w:lineRule="auto"/>
        <w:ind w:left="-360" w:right="42"/>
        <w:jc w:val="center"/>
        <w:rPr>
          <w:b/>
          <w:bCs/>
          <w:sz w:val="22"/>
          <w:szCs w:val="22"/>
        </w:rPr>
      </w:pPr>
      <w:r>
        <w:rPr>
          <w:b/>
          <w:bCs/>
          <w:sz w:val="22"/>
          <w:szCs w:val="22"/>
        </w:rPr>
        <w:t xml:space="preserve">Expansionary monetary </w:t>
      </w:r>
      <w:r w:rsidR="00C25495">
        <w:rPr>
          <w:b/>
          <w:bCs/>
          <w:sz w:val="22"/>
          <w:szCs w:val="22"/>
        </w:rPr>
        <w:t>policy continued</w:t>
      </w:r>
    </w:p>
    <w:p w:rsidR="0046518E" w:rsidRDefault="0046518E" w:rsidP="00F91693">
      <w:pPr>
        <w:spacing w:line="360" w:lineRule="auto"/>
        <w:ind w:left="-360" w:right="42"/>
        <w:jc w:val="center"/>
        <w:rPr>
          <w:b/>
          <w:bCs/>
          <w:sz w:val="22"/>
          <w:szCs w:val="22"/>
        </w:rPr>
      </w:pPr>
    </w:p>
    <w:p w:rsidR="00945ABA" w:rsidRDefault="0046518E" w:rsidP="000E0BD1">
      <w:pPr>
        <w:spacing w:line="360" w:lineRule="auto"/>
        <w:ind w:left="-360" w:right="42"/>
        <w:jc w:val="both"/>
        <w:rPr>
          <w:bCs/>
          <w:sz w:val="22"/>
          <w:szCs w:val="22"/>
        </w:rPr>
      </w:pPr>
      <w:r w:rsidRPr="0046518E">
        <w:rPr>
          <w:bCs/>
          <w:sz w:val="22"/>
          <w:szCs w:val="22"/>
        </w:rPr>
        <w:t>The Central Bank of the Republic of Turkey</w:t>
      </w:r>
      <w:r>
        <w:rPr>
          <w:bCs/>
          <w:sz w:val="22"/>
          <w:szCs w:val="22"/>
        </w:rPr>
        <w:t xml:space="preserve"> (CBRT) </w:t>
      </w:r>
      <w:r w:rsidR="000E0BD1">
        <w:rPr>
          <w:bCs/>
          <w:sz w:val="22"/>
          <w:szCs w:val="22"/>
        </w:rPr>
        <w:t>cut</w:t>
      </w:r>
      <w:r>
        <w:rPr>
          <w:bCs/>
          <w:sz w:val="22"/>
          <w:szCs w:val="22"/>
        </w:rPr>
        <w:t xml:space="preserve"> the policy interest rate from 5.5 percent to 5 percent last month</w:t>
      </w:r>
      <w:r w:rsidR="00C25495">
        <w:rPr>
          <w:bCs/>
          <w:sz w:val="22"/>
          <w:szCs w:val="22"/>
        </w:rPr>
        <w:t xml:space="preserve"> and further reduced to 4,5 percent in May</w:t>
      </w:r>
      <w:r>
        <w:rPr>
          <w:bCs/>
          <w:sz w:val="22"/>
          <w:szCs w:val="22"/>
        </w:rPr>
        <w:t xml:space="preserve">. </w:t>
      </w:r>
      <w:r w:rsidR="00A01223">
        <w:rPr>
          <w:bCs/>
          <w:sz w:val="22"/>
          <w:szCs w:val="22"/>
        </w:rPr>
        <w:t>CBRT</w:t>
      </w:r>
      <w:r>
        <w:rPr>
          <w:bCs/>
          <w:sz w:val="22"/>
          <w:szCs w:val="22"/>
        </w:rPr>
        <w:t xml:space="preserve"> also announced that interest rate corridor</w:t>
      </w:r>
      <w:r w:rsidR="00A01223">
        <w:rPr>
          <w:bCs/>
          <w:sz w:val="22"/>
          <w:szCs w:val="22"/>
        </w:rPr>
        <w:t xml:space="preserve"> will not be used as a policy instrument</w:t>
      </w:r>
      <w:r>
        <w:rPr>
          <w:bCs/>
          <w:sz w:val="22"/>
          <w:szCs w:val="22"/>
        </w:rPr>
        <w:t xml:space="preserve"> </w:t>
      </w:r>
      <w:r w:rsidR="00A01223">
        <w:rPr>
          <w:bCs/>
          <w:sz w:val="22"/>
          <w:szCs w:val="22"/>
        </w:rPr>
        <w:t>anymore;</w:t>
      </w:r>
      <w:r>
        <w:rPr>
          <w:bCs/>
          <w:sz w:val="22"/>
          <w:szCs w:val="22"/>
        </w:rPr>
        <w:t xml:space="preserve"> </w:t>
      </w:r>
      <w:r w:rsidR="00945ABA">
        <w:rPr>
          <w:bCs/>
          <w:sz w:val="22"/>
          <w:szCs w:val="22"/>
        </w:rPr>
        <w:t>instead CBRT stated</w:t>
      </w:r>
      <w:r w:rsidR="00A01223">
        <w:rPr>
          <w:bCs/>
          <w:sz w:val="22"/>
          <w:szCs w:val="22"/>
        </w:rPr>
        <w:t xml:space="preserve"> that </w:t>
      </w:r>
      <w:r w:rsidR="00945ABA">
        <w:rPr>
          <w:bCs/>
          <w:sz w:val="22"/>
          <w:szCs w:val="22"/>
        </w:rPr>
        <w:t xml:space="preserve">the </w:t>
      </w:r>
      <w:r w:rsidR="00945ABA">
        <w:rPr>
          <w:bCs/>
          <w:sz w:val="22"/>
          <w:szCs w:val="22"/>
        </w:rPr>
        <w:lastRenderedPageBreak/>
        <w:t>R</w:t>
      </w:r>
      <w:r w:rsidR="00A01223">
        <w:rPr>
          <w:bCs/>
          <w:sz w:val="22"/>
          <w:szCs w:val="22"/>
        </w:rPr>
        <w:t xml:space="preserve">eserve </w:t>
      </w:r>
      <w:r w:rsidR="00945ABA">
        <w:rPr>
          <w:bCs/>
          <w:sz w:val="22"/>
          <w:szCs w:val="22"/>
        </w:rPr>
        <w:t>O</w:t>
      </w:r>
      <w:r w:rsidR="00A01223">
        <w:rPr>
          <w:bCs/>
          <w:sz w:val="22"/>
          <w:szCs w:val="22"/>
        </w:rPr>
        <w:t xml:space="preserve">ptions </w:t>
      </w:r>
      <w:r w:rsidR="00945ABA">
        <w:rPr>
          <w:bCs/>
          <w:sz w:val="22"/>
          <w:szCs w:val="22"/>
        </w:rPr>
        <w:t>M</w:t>
      </w:r>
      <w:r w:rsidR="00A01223">
        <w:rPr>
          <w:bCs/>
          <w:sz w:val="22"/>
          <w:szCs w:val="22"/>
        </w:rPr>
        <w:t xml:space="preserve">echanism (ROM) will be used to preserve financial stability. </w:t>
      </w:r>
      <w:r w:rsidR="00945ABA">
        <w:rPr>
          <w:bCs/>
          <w:sz w:val="22"/>
          <w:szCs w:val="22"/>
        </w:rPr>
        <w:t>We believe that a</w:t>
      </w:r>
      <w:r w:rsidR="000E0BD1">
        <w:rPr>
          <w:bCs/>
          <w:sz w:val="22"/>
          <w:szCs w:val="22"/>
        </w:rPr>
        <w:t>bandoning the interest rate corri</w:t>
      </w:r>
      <w:r w:rsidR="00945ABA">
        <w:rPr>
          <w:bCs/>
          <w:sz w:val="22"/>
          <w:szCs w:val="22"/>
        </w:rPr>
        <w:t>dor will decrease the uncertaint</w:t>
      </w:r>
      <w:r w:rsidR="000E0BD1">
        <w:rPr>
          <w:bCs/>
          <w:sz w:val="22"/>
          <w:szCs w:val="22"/>
        </w:rPr>
        <w:t xml:space="preserve">y on interest rates and ease the communication </w:t>
      </w:r>
      <w:r w:rsidR="00945ABA">
        <w:rPr>
          <w:bCs/>
          <w:sz w:val="22"/>
          <w:szCs w:val="22"/>
        </w:rPr>
        <w:t>by</w:t>
      </w:r>
      <w:r w:rsidR="000E0BD1">
        <w:rPr>
          <w:bCs/>
          <w:sz w:val="22"/>
          <w:szCs w:val="22"/>
        </w:rPr>
        <w:t xml:space="preserve"> CBRT. </w:t>
      </w:r>
    </w:p>
    <w:p w:rsidR="00945ABA" w:rsidRDefault="00945ABA" w:rsidP="000E0BD1">
      <w:pPr>
        <w:spacing w:line="360" w:lineRule="auto"/>
        <w:ind w:left="-360" w:right="42"/>
        <w:jc w:val="both"/>
        <w:rPr>
          <w:bCs/>
          <w:sz w:val="22"/>
          <w:szCs w:val="22"/>
        </w:rPr>
      </w:pPr>
    </w:p>
    <w:p w:rsidR="000E0BD1" w:rsidRDefault="00945ABA" w:rsidP="000E0BD1">
      <w:pPr>
        <w:spacing w:line="360" w:lineRule="auto"/>
        <w:ind w:left="-360" w:right="42"/>
        <w:jc w:val="both"/>
        <w:rPr>
          <w:bCs/>
          <w:sz w:val="22"/>
          <w:szCs w:val="22"/>
        </w:rPr>
      </w:pPr>
      <w:r>
        <w:rPr>
          <w:bCs/>
          <w:sz w:val="22"/>
          <w:szCs w:val="22"/>
        </w:rPr>
        <w:t>The i</w:t>
      </w:r>
      <w:r w:rsidR="000E0BD1">
        <w:rPr>
          <w:bCs/>
          <w:sz w:val="22"/>
          <w:szCs w:val="22"/>
        </w:rPr>
        <w:t>nterest rate</w:t>
      </w:r>
      <w:r>
        <w:rPr>
          <w:bCs/>
          <w:sz w:val="22"/>
          <w:szCs w:val="22"/>
        </w:rPr>
        <w:t xml:space="preserve"> cut</w:t>
      </w:r>
      <w:r w:rsidR="000E0BD1">
        <w:rPr>
          <w:bCs/>
          <w:sz w:val="22"/>
          <w:szCs w:val="22"/>
        </w:rPr>
        <w:t xml:space="preserve"> </w:t>
      </w:r>
      <w:r>
        <w:rPr>
          <w:bCs/>
          <w:sz w:val="22"/>
          <w:szCs w:val="22"/>
        </w:rPr>
        <w:t xml:space="preserve">has pushed the </w:t>
      </w:r>
      <w:r w:rsidR="000E0BD1">
        <w:rPr>
          <w:bCs/>
          <w:sz w:val="22"/>
          <w:szCs w:val="22"/>
        </w:rPr>
        <w:t xml:space="preserve">market interest rate </w:t>
      </w:r>
      <w:r w:rsidR="00CF7B69">
        <w:rPr>
          <w:bCs/>
          <w:sz w:val="22"/>
          <w:szCs w:val="22"/>
        </w:rPr>
        <w:t>below 5 percent</w:t>
      </w:r>
      <w:r w:rsidR="000E0BD1">
        <w:rPr>
          <w:bCs/>
          <w:sz w:val="22"/>
          <w:szCs w:val="22"/>
        </w:rPr>
        <w:t>.</w:t>
      </w:r>
      <w:r w:rsidR="00CF7B69">
        <w:rPr>
          <w:bCs/>
          <w:sz w:val="22"/>
          <w:szCs w:val="22"/>
        </w:rPr>
        <w:t xml:space="preserve"> The cuts since last year has also been pushing credit loan rates down.</w:t>
      </w:r>
      <w:r>
        <w:rPr>
          <w:bCs/>
          <w:sz w:val="22"/>
          <w:szCs w:val="22"/>
        </w:rPr>
        <w:t xml:space="preserve"> </w:t>
      </w:r>
      <w:r w:rsidR="009F00D8">
        <w:rPr>
          <w:bCs/>
          <w:sz w:val="22"/>
          <w:szCs w:val="22"/>
        </w:rPr>
        <w:t xml:space="preserve">In January 2012, average interest rate </w:t>
      </w:r>
      <w:r w:rsidR="007D513C">
        <w:rPr>
          <w:bCs/>
          <w:sz w:val="22"/>
          <w:szCs w:val="22"/>
        </w:rPr>
        <w:t xml:space="preserve">for </w:t>
      </w:r>
      <w:r w:rsidR="00CF7B69">
        <w:rPr>
          <w:bCs/>
          <w:sz w:val="22"/>
          <w:szCs w:val="22"/>
        </w:rPr>
        <w:t>housing and commercial</w:t>
      </w:r>
      <w:r w:rsidR="007D513C">
        <w:rPr>
          <w:bCs/>
          <w:sz w:val="22"/>
          <w:szCs w:val="22"/>
        </w:rPr>
        <w:t xml:space="preserve"> loans reached their highest point </w:t>
      </w:r>
      <w:r w:rsidR="003443FB">
        <w:rPr>
          <w:bCs/>
          <w:sz w:val="22"/>
          <w:szCs w:val="22"/>
        </w:rPr>
        <w:t>of</w:t>
      </w:r>
      <w:r w:rsidR="007D513C">
        <w:rPr>
          <w:bCs/>
          <w:sz w:val="22"/>
          <w:szCs w:val="22"/>
        </w:rPr>
        <w:t xml:space="preserve"> 15 percent (Figure 4). Since the CBRT </w:t>
      </w:r>
      <w:r w:rsidR="003443FB">
        <w:rPr>
          <w:bCs/>
          <w:sz w:val="22"/>
          <w:szCs w:val="22"/>
        </w:rPr>
        <w:t xml:space="preserve">started </w:t>
      </w:r>
      <w:r w:rsidR="007D513C">
        <w:rPr>
          <w:bCs/>
          <w:sz w:val="22"/>
          <w:szCs w:val="22"/>
        </w:rPr>
        <w:t>loosen</w:t>
      </w:r>
      <w:r w:rsidR="003443FB">
        <w:rPr>
          <w:bCs/>
          <w:sz w:val="22"/>
          <w:szCs w:val="22"/>
        </w:rPr>
        <w:t>ing</w:t>
      </w:r>
      <w:r w:rsidR="007D513C">
        <w:rPr>
          <w:bCs/>
          <w:sz w:val="22"/>
          <w:szCs w:val="22"/>
        </w:rPr>
        <w:t xml:space="preserve"> monetary policy to</w:t>
      </w:r>
      <w:r w:rsidR="003443FB">
        <w:rPr>
          <w:bCs/>
          <w:sz w:val="22"/>
          <w:szCs w:val="22"/>
        </w:rPr>
        <w:t xml:space="preserve"> foster growth,</w:t>
      </w:r>
      <w:r w:rsidR="007D513C">
        <w:rPr>
          <w:bCs/>
          <w:sz w:val="22"/>
          <w:szCs w:val="22"/>
        </w:rPr>
        <w:t xml:space="preserve"> rate</w:t>
      </w:r>
      <w:r w:rsidR="003443FB">
        <w:rPr>
          <w:bCs/>
          <w:sz w:val="22"/>
          <w:szCs w:val="22"/>
        </w:rPr>
        <w:t>s</w:t>
      </w:r>
      <w:r w:rsidR="007D513C">
        <w:rPr>
          <w:bCs/>
          <w:sz w:val="22"/>
          <w:szCs w:val="22"/>
        </w:rPr>
        <w:t xml:space="preserve"> has been declining.</w:t>
      </w:r>
      <w:r w:rsidR="00797035">
        <w:rPr>
          <w:bCs/>
          <w:sz w:val="22"/>
          <w:szCs w:val="22"/>
        </w:rPr>
        <w:t xml:space="preserve"> In April, </w:t>
      </w:r>
      <w:r w:rsidR="003443FB">
        <w:rPr>
          <w:bCs/>
          <w:sz w:val="22"/>
          <w:szCs w:val="22"/>
        </w:rPr>
        <w:t xml:space="preserve">average </w:t>
      </w:r>
      <w:r w:rsidR="00797035">
        <w:rPr>
          <w:bCs/>
          <w:sz w:val="22"/>
          <w:szCs w:val="22"/>
        </w:rPr>
        <w:t xml:space="preserve">interest on housing loans </w:t>
      </w:r>
      <w:r w:rsidR="003443FB">
        <w:rPr>
          <w:bCs/>
          <w:sz w:val="22"/>
          <w:szCs w:val="22"/>
        </w:rPr>
        <w:t>was</w:t>
      </w:r>
      <w:r w:rsidR="00797035">
        <w:rPr>
          <w:bCs/>
          <w:sz w:val="22"/>
          <w:szCs w:val="22"/>
        </w:rPr>
        <w:t xml:space="preserve"> 9.1 percent, </w:t>
      </w:r>
      <w:r w:rsidR="003443FB">
        <w:rPr>
          <w:bCs/>
          <w:sz w:val="22"/>
          <w:szCs w:val="22"/>
        </w:rPr>
        <w:t>close to all time low level</w:t>
      </w:r>
      <w:r w:rsidR="00797035">
        <w:rPr>
          <w:bCs/>
          <w:sz w:val="22"/>
          <w:szCs w:val="22"/>
        </w:rPr>
        <w:t xml:space="preserve">, whereas </w:t>
      </w:r>
      <w:r w:rsidR="00D22D58">
        <w:rPr>
          <w:bCs/>
          <w:sz w:val="22"/>
          <w:szCs w:val="22"/>
        </w:rPr>
        <w:t>the average rate</w:t>
      </w:r>
      <w:r w:rsidR="00797035">
        <w:rPr>
          <w:bCs/>
          <w:sz w:val="22"/>
          <w:szCs w:val="22"/>
        </w:rPr>
        <w:t xml:space="preserve"> on commercial loans </w:t>
      </w:r>
      <w:r w:rsidR="003443FB">
        <w:rPr>
          <w:bCs/>
          <w:sz w:val="22"/>
          <w:szCs w:val="22"/>
        </w:rPr>
        <w:t>wa</w:t>
      </w:r>
      <w:r w:rsidR="00797035">
        <w:rPr>
          <w:bCs/>
          <w:sz w:val="22"/>
          <w:szCs w:val="22"/>
        </w:rPr>
        <w:t>s 10.7 percent</w:t>
      </w:r>
      <w:r w:rsidR="00D22D58">
        <w:rPr>
          <w:bCs/>
          <w:sz w:val="22"/>
          <w:szCs w:val="22"/>
        </w:rPr>
        <w:t>,</w:t>
      </w:r>
      <w:r w:rsidR="00797035">
        <w:rPr>
          <w:bCs/>
          <w:sz w:val="22"/>
          <w:szCs w:val="22"/>
        </w:rPr>
        <w:t xml:space="preserve"> above </w:t>
      </w:r>
      <w:r w:rsidR="00D22D58">
        <w:rPr>
          <w:bCs/>
          <w:sz w:val="22"/>
          <w:szCs w:val="22"/>
        </w:rPr>
        <w:t xml:space="preserve">the </w:t>
      </w:r>
      <w:r w:rsidR="00797035">
        <w:rPr>
          <w:bCs/>
          <w:sz w:val="22"/>
          <w:szCs w:val="22"/>
        </w:rPr>
        <w:t>all time low of 8.5 percent.</w:t>
      </w:r>
      <w:r w:rsidR="00797035">
        <w:rPr>
          <w:rStyle w:val="FootnoteReference"/>
          <w:bCs/>
          <w:sz w:val="22"/>
          <w:szCs w:val="22"/>
        </w:rPr>
        <w:footnoteReference w:id="2"/>
      </w:r>
      <w:r w:rsidR="00797035">
        <w:rPr>
          <w:bCs/>
          <w:sz w:val="22"/>
          <w:szCs w:val="22"/>
        </w:rPr>
        <w:t xml:space="preserve"> </w:t>
      </w:r>
      <w:r w:rsidR="00790380">
        <w:rPr>
          <w:bCs/>
          <w:sz w:val="22"/>
          <w:szCs w:val="22"/>
        </w:rPr>
        <w:t xml:space="preserve">Policy makers </w:t>
      </w:r>
      <w:r w:rsidR="00D22D58">
        <w:rPr>
          <w:bCs/>
          <w:sz w:val="22"/>
          <w:szCs w:val="22"/>
        </w:rPr>
        <w:t xml:space="preserve">want to decrease the </w:t>
      </w:r>
      <w:r w:rsidR="00790380">
        <w:rPr>
          <w:bCs/>
          <w:sz w:val="22"/>
          <w:szCs w:val="22"/>
        </w:rPr>
        <w:t>interest rate</w:t>
      </w:r>
      <w:r w:rsidR="00D22D58">
        <w:rPr>
          <w:bCs/>
          <w:sz w:val="22"/>
          <w:szCs w:val="22"/>
        </w:rPr>
        <w:t>s</w:t>
      </w:r>
      <w:r w:rsidR="00790380">
        <w:rPr>
          <w:bCs/>
          <w:sz w:val="22"/>
          <w:szCs w:val="22"/>
        </w:rPr>
        <w:t xml:space="preserve"> on commercial loans </w:t>
      </w:r>
      <w:r w:rsidR="00D22D58">
        <w:rPr>
          <w:bCs/>
          <w:sz w:val="22"/>
          <w:szCs w:val="22"/>
        </w:rPr>
        <w:t>further to encourage</w:t>
      </w:r>
      <w:r w:rsidR="00790380">
        <w:rPr>
          <w:bCs/>
          <w:sz w:val="22"/>
          <w:szCs w:val="22"/>
        </w:rPr>
        <w:t xml:space="preserve"> investment.</w:t>
      </w:r>
      <w:r w:rsidR="00FA06EF">
        <w:rPr>
          <w:bCs/>
          <w:sz w:val="22"/>
          <w:szCs w:val="22"/>
        </w:rPr>
        <w:t xml:space="preserve"> </w:t>
      </w:r>
      <w:r w:rsidR="00790380">
        <w:rPr>
          <w:bCs/>
          <w:sz w:val="22"/>
          <w:szCs w:val="22"/>
        </w:rPr>
        <w:t xml:space="preserve">However, </w:t>
      </w:r>
      <w:r w:rsidR="00D22D58">
        <w:rPr>
          <w:bCs/>
          <w:sz w:val="22"/>
          <w:szCs w:val="22"/>
        </w:rPr>
        <w:t>one</w:t>
      </w:r>
      <w:r w:rsidR="00790380">
        <w:rPr>
          <w:bCs/>
          <w:sz w:val="22"/>
          <w:szCs w:val="22"/>
        </w:rPr>
        <w:t xml:space="preserve"> should kee</w:t>
      </w:r>
      <w:r w:rsidR="00B07677">
        <w:rPr>
          <w:bCs/>
          <w:sz w:val="22"/>
          <w:szCs w:val="22"/>
        </w:rPr>
        <w:t>p in mind that monetary policy a</w:t>
      </w:r>
      <w:r w:rsidR="00790380">
        <w:rPr>
          <w:bCs/>
          <w:sz w:val="22"/>
          <w:szCs w:val="22"/>
        </w:rPr>
        <w:t>ffect</w:t>
      </w:r>
      <w:r w:rsidR="00B07677">
        <w:rPr>
          <w:bCs/>
          <w:sz w:val="22"/>
          <w:szCs w:val="22"/>
        </w:rPr>
        <w:t>s</w:t>
      </w:r>
      <w:r w:rsidR="00790380">
        <w:rPr>
          <w:bCs/>
          <w:sz w:val="22"/>
          <w:szCs w:val="22"/>
        </w:rPr>
        <w:t xml:space="preserve"> </w:t>
      </w:r>
      <w:r w:rsidR="00E95006">
        <w:rPr>
          <w:bCs/>
          <w:sz w:val="22"/>
          <w:szCs w:val="22"/>
        </w:rPr>
        <w:t xml:space="preserve">the </w:t>
      </w:r>
      <w:r w:rsidR="00790380">
        <w:rPr>
          <w:bCs/>
          <w:sz w:val="22"/>
          <w:szCs w:val="22"/>
        </w:rPr>
        <w:t xml:space="preserve">economy with a lag and </w:t>
      </w:r>
      <w:r w:rsidR="00FA06EF">
        <w:rPr>
          <w:bCs/>
          <w:sz w:val="22"/>
          <w:szCs w:val="22"/>
        </w:rPr>
        <w:t xml:space="preserve">taking hasty decisions before observing the impact of </w:t>
      </w:r>
      <w:r w:rsidR="00D22D58">
        <w:rPr>
          <w:bCs/>
          <w:sz w:val="22"/>
          <w:szCs w:val="22"/>
        </w:rPr>
        <w:t xml:space="preserve">outstanding </w:t>
      </w:r>
      <w:r w:rsidR="00FA06EF">
        <w:rPr>
          <w:bCs/>
          <w:sz w:val="22"/>
          <w:szCs w:val="22"/>
        </w:rPr>
        <w:t xml:space="preserve">interest rate cuts </w:t>
      </w:r>
      <w:r w:rsidR="00D22D58">
        <w:rPr>
          <w:bCs/>
          <w:sz w:val="22"/>
          <w:szCs w:val="22"/>
        </w:rPr>
        <w:t>might</w:t>
      </w:r>
      <w:r w:rsidR="00FA06EF">
        <w:rPr>
          <w:bCs/>
          <w:sz w:val="22"/>
          <w:szCs w:val="22"/>
        </w:rPr>
        <w:t xml:space="preserve"> </w:t>
      </w:r>
      <w:r w:rsidR="00D22D58">
        <w:rPr>
          <w:bCs/>
          <w:sz w:val="22"/>
          <w:szCs w:val="22"/>
        </w:rPr>
        <w:t>encourage</w:t>
      </w:r>
      <w:r w:rsidR="00FA06EF">
        <w:rPr>
          <w:bCs/>
          <w:sz w:val="22"/>
          <w:szCs w:val="22"/>
        </w:rPr>
        <w:t xml:space="preserve"> risky </w:t>
      </w:r>
      <w:r w:rsidR="00D22D58">
        <w:rPr>
          <w:bCs/>
          <w:sz w:val="22"/>
          <w:szCs w:val="22"/>
        </w:rPr>
        <w:t>behavior</w:t>
      </w:r>
      <w:r w:rsidR="00FA06EF">
        <w:rPr>
          <w:bCs/>
          <w:sz w:val="22"/>
          <w:szCs w:val="22"/>
        </w:rPr>
        <w:t xml:space="preserve">. </w:t>
      </w:r>
    </w:p>
    <w:p w:rsidR="0046518E" w:rsidRPr="0046518E" w:rsidRDefault="0046518E" w:rsidP="000E0BD1">
      <w:pPr>
        <w:spacing w:line="360" w:lineRule="auto"/>
        <w:ind w:left="-360" w:right="42"/>
        <w:rPr>
          <w:bCs/>
          <w:sz w:val="22"/>
          <w:szCs w:val="22"/>
        </w:rPr>
      </w:pPr>
    </w:p>
    <w:p w:rsidR="00F91693" w:rsidRPr="00047F4D" w:rsidRDefault="0006304A" w:rsidP="00F91693">
      <w:pPr>
        <w:spacing w:line="360" w:lineRule="auto"/>
        <w:ind w:left="-360" w:right="42"/>
        <w:jc w:val="center"/>
        <w:rPr>
          <w:b/>
          <w:bCs/>
          <w:sz w:val="22"/>
          <w:szCs w:val="22"/>
        </w:rPr>
      </w:pPr>
      <w:r>
        <w:rPr>
          <w:b/>
          <w:bCs/>
          <w:sz w:val="22"/>
          <w:szCs w:val="22"/>
        </w:rPr>
        <w:t>Private consumption is the driving force</w:t>
      </w:r>
      <w:r w:rsidR="004969FB">
        <w:rPr>
          <w:b/>
          <w:bCs/>
          <w:sz w:val="22"/>
          <w:szCs w:val="22"/>
        </w:rPr>
        <w:t xml:space="preserve"> in the first quarter</w:t>
      </w:r>
    </w:p>
    <w:p w:rsidR="00F91693" w:rsidRPr="00047F4D" w:rsidRDefault="00F91693" w:rsidP="00F91693">
      <w:pPr>
        <w:spacing w:line="360" w:lineRule="auto"/>
        <w:ind w:left="-360" w:right="42"/>
        <w:jc w:val="center"/>
        <w:rPr>
          <w:b/>
          <w:bCs/>
          <w:sz w:val="22"/>
          <w:szCs w:val="22"/>
        </w:rPr>
      </w:pPr>
    </w:p>
    <w:p w:rsidR="00F91693" w:rsidRPr="00047F4D" w:rsidRDefault="00F91693" w:rsidP="00051119">
      <w:pPr>
        <w:spacing w:line="360" w:lineRule="auto"/>
        <w:ind w:left="-360" w:right="42"/>
        <w:jc w:val="both"/>
        <w:rPr>
          <w:sz w:val="22"/>
          <w:szCs w:val="22"/>
        </w:rPr>
      </w:pPr>
      <w:r w:rsidRPr="00047F4D">
        <w:rPr>
          <w:sz w:val="22"/>
          <w:szCs w:val="22"/>
        </w:rPr>
        <w:t>Consumer and non-durable goods imports</w:t>
      </w:r>
      <w:r>
        <w:rPr>
          <w:sz w:val="22"/>
          <w:szCs w:val="22"/>
        </w:rPr>
        <w:t xml:space="preserve"> increased by </w:t>
      </w:r>
      <w:r w:rsidR="004E6DFD">
        <w:rPr>
          <w:sz w:val="22"/>
          <w:szCs w:val="22"/>
        </w:rPr>
        <w:t>4.4</w:t>
      </w:r>
      <w:r>
        <w:rPr>
          <w:sz w:val="22"/>
          <w:szCs w:val="22"/>
        </w:rPr>
        <w:t xml:space="preserve"> and </w:t>
      </w:r>
      <w:r w:rsidR="004E6DFD">
        <w:rPr>
          <w:sz w:val="22"/>
          <w:szCs w:val="22"/>
        </w:rPr>
        <w:t>2.1</w:t>
      </w:r>
      <w:r w:rsidRPr="00047F4D">
        <w:rPr>
          <w:sz w:val="22"/>
          <w:szCs w:val="22"/>
        </w:rPr>
        <w:t xml:space="preserve"> percent</w:t>
      </w:r>
      <w:r w:rsidR="008D3484">
        <w:rPr>
          <w:sz w:val="22"/>
          <w:szCs w:val="22"/>
        </w:rPr>
        <w:t>,</w:t>
      </w:r>
      <w:r w:rsidRPr="00047F4D">
        <w:rPr>
          <w:sz w:val="22"/>
          <w:szCs w:val="22"/>
        </w:rPr>
        <w:t xml:space="preserve"> respectively</w:t>
      </w:r>
      <w:r w:rsidR="008D3484">
        <w:rPr>
          <w:sz w:val="22"/>
          <w:szCs w:val="22"/>
        </w:rPr>
        <w:t>,</w:t>
      </w:r>
      <w:r w:rsidRPr="00047F4D">
        <w:rPr>
          <w:sz w:val="22"/>
          <w:szCs w:val="22"/>
        </w:rPr>
        <w:t xml:space="preserve"> in </w:t>
      </w:r>
      <w:r w:rsidR="004E6DFD">
        <w:rPr>
          <w:sz w:val="22"/>
          <w:szCs w:val="22"/>
        </w:rPr>
        <w:t>the first quarter</w:t>
      </w:r>
      <w:r w:rsidRPr="00047F4D">
        <w:rPr>
          <w:sz w:val="22"/>
          <w:szCs w:val="22"/>
        </w:rPr>
        <w:t xml:space="preserve"> from the previous </w:t>
      </w:r>
      <w:r w:rsidR="004E6DFD">
        <w:rPr>
          <w:sz w:val="22"/>
          <w:szCs w:val="22"/>
        </w:rPr>
        <w:t>quarter</w:t>
      </w:r>
      <w:r w:rsidRPr="00047F4D">
        <w:rPr>
          <w:sz w:val="22"/>
          <w:szCs w:val="22"/>
        </w:rPr>
        <w:t xml:space="preserve">. </w:t>
      </w:r>
      <w:r w:rsidR="004E6DFD">
        <w:rPr>
          <w:sz w:val="22"/>
          <w:szCs w:val="22"/>
        </w:rPr>
        <w:t xml:space="preserve">However, durable goods production </w:t>
      </w:r>
      <w:r w:rsidR="004969FB">
        <w:rPr>
          <w:sz w:val="22"/>
          <w:szCs w:val="22"/>
        </w:rPr>
        <w:t>de</w:t>
      </w:r>
      <w:r w:rsidR="004E6DFD">
        <w:rPr>
          <w:sz w:val="22"/>
          <w:szCs w:val="22"/>
        </w:rPr>
        <w:t>creased by 0.7 percent in the same period. Consumer confidence index in the first quarter was</w:t>
      </w:r>
      <w:r w:rsidR="004969FB">
        <w:rPr>
          <w:sz w:val="22"/>
          <w:szCs w:val="22"/>
        </w:rPr>
        <w:t xml:space="preserve"> not</w:t>
      </w:r>
      <w:r w:rsidR="004E6DFD">
        <w:rPr>
          <w:sz w:val="22"/>
          <w:szCs w:val="22"/>
        </w:rPr>
        <w:t xml:space="preserve"> </w:t>
      </w:r>
      <w:r w:rsidR="004969FB">
        <w:rPr>
          <w:sz w:val="22"/>
          <w:szCs w:val="22"/>
        </w:rPr>
        <w:lastRenderedPageBreak/>
        <w:t>promising due to decreases in February and March</w:t>
      </w:r>
      <w:r w:rsidR="00B07677">
        <w:rPr>
          <w:sz w:val="22"/>
          <w:szCs w:val="22"/>
        </w:rPr>
        <w:t>,</w:t>
      </w:r>
      <w:r w:rsidR="004E6DFD">
        <w:rPr>
          <w:sz w:val="22"/>
          <w:szCs w:val="22"/>
        </w:rPr>
        <w:t xml:space="preserve"> but </w:t>
      </w:r>
      <w:r w:rsidR="004969FB">
        <w:rPr>
          <w:sz w:val="22"/>
          <w:szCs w:val="22"/>
        </w:rPr>
        <w:t>overall it</w:t>
      </w:r>
      <w:r w:rsidR="004E6DFD">
        <w:rPr>
          <w:sz w:val="22"/>
          <w:szCs w:val="22"/>
        </w:rPr>
        <w:t xml:space="preserve"> increased 2.9 percent </w:t>
      </w:r>
      <w:r w:rsidR="004969FB">
        <w:rPr>
          <w:sz w:val="22"/>
          <w:szCs w:val="22"/>
        </w:rPr>
        <w:t>over the last quarter</w:t>
      </w:r>
      <w:r w:rsidR="004E6DFD">
        <w:rPr>
          <w:sz w:val="22"/>
          <w:szCs w:val="22"/>
        </w:rPr>
        <w:t xml:space="preserve">. </w:t>
      </w:r>
      <w:r w:rsidR="002773DA">
        <w:rPr>
          <w:sz w:val="22"/>
          <w:szCs w:val="22"/>
        </w:rPr>
        <w:t>Similarly,</w:t>
      </w:r>
      <w:r w:rsidR="004E6DFD">
        <w:rPr>
          <w:sz w:val="22"/>
          <w:szCs w:val="22"/>
        </w:rPr>
        <w:t xml:space="preserve"> special </w:t>
      </w:r>
      <w:r w:rsidR="002773DA">
        <w:rPr>
          <w:sz w:val="22"/>
          <w:szCs w:val="22"/>
        </w:rPr>
        <w:t xml:space="preserve">consumption </w:t>
      </w:r>
      <w:r w:rsidR="004E6DFD">
        <w:rPr>
          <w:sz w:val="22"/>
          <w:szCs w:val="22"/>
        </w:rPr>
        <w:t xml:space="preserve">tax </w:t>
      </w:r>
      <w:r w:rsidR="002773DA">
        <w:rPr>
          <w:sz w:val="22"/>
          <w:szCs w:val="22"/>
        </w:rPr>
        <w:t>revenue</w:t>
      </w:r>
      <w:r w:rsidR="004E6DFD">
        <w:rPr>
          <w:sz w:val="22"/>
          <w:szCs w:val="22"/>
        </w:rPr>
        <w:t xml:space="preserve"> was </w:t>
      </w:r>
      <w:r w:rsidR="002773DA">
        <w:rPr>
          <w:sz w:val="22"/>
          <w:szCs w:val="22"/>
        </w:rPr>
        <w:t>higher than that of the</w:t>
      </w:r>
      <w:r w:rsidR="004E6DFD">
        <w:rPr>
          <w:sz w:val="22"/>
          <w:szCs w:val="22"/>
        </w:rPr>
        <w:t xml:space="preserve"> previous quarter, although it declined both in Fe</w:t>
      </w:r>
      <w:r w:rsidR="00051119">
        <w:rPr>
          <w:sz w:val="22"/>
          <w:szCs w:val="22"/>
        </w:rPr>
        <w:t xml:space="preserve">bruary and March. </w:t>
      </w:r>
      <w:r w:rsidR="002773DA">
        <w:rPr>
          <w:sz w:val="22"/>
          <w:szCs w:val="22"/>
        </w:rPr>
        <w:t>Overall w</w:t>
      </w:r>
      <w:r w:rsidRPr="00047F4D">
        <w:rPr>
          <w:sz w:val="22"/>
          <w:szCs w:val="22"/>
        </w:rPr>
        <w:t xml:space="preserve">e expect private consumption expenditure </w:t>
      </w:r>
      <w:r w:rsidR="002773DA">
        <w:rPr>
          <w:sz w:val="22"/>
          <w:szCs w:val="22"/>
        </w:rPr>
        <w:t xml:space="preserve">to increase and </w:t>
      </w:r>
      <w:r w:rsidR="00051119">
        <w:rPr>
          <w:sz w:val="22"/>
          <w:szCs w:val="22"/>
        </w:rPr>
        <w:t>be the main driving force</w:t>
      </w:r>
      <w:r w:rsidRPr="00047F4D">
        <w:rPr>
          <w:sz w:val="22"/>
          <w:szCs w:val="22"/>
        </w:rPr>
        <w:t xml:space="preserve"> </w:t>
      </w:r>
      <w:r w:rsidR="002773DA">
        <w:rPr>
          <w:sz w:val="22"/>
          <w:szCs w:val="22"/>
        </w:rPr>
        <w:t>behind</w:t>
      </w:r>
      <w:r w:rsidRPr="00047F4D">
        <w:rPr>
          <w:sz w:val="22"/>
          <w:szCs w:val="22"/>
        </w:rPr>
        <w:t xml:space="preserve"> GDP growth in the first quarter of. </w:t>
      </w:r>
    </w:p>
    <w:p w:rsidR="00F91693" w:rsidRPr="00047F4D" w:rsidRDefault="00F91693" w:rsidP="00F91693">
      <w:pPr>
        <w:spacing w:line="360" w:lineRule="auto"/>
        <w:ind w:right="42"/>
        <w:rPr>
          <w:b/>
          <w:bCs/>
          <w:sz w:val="22"/>
          <w:szCs w:val="22"/>
        </w:rPr>
      </w:pPr>
    </w:p>
    <w:p w:rsidR="00F91693" w:rsidRPr="00047F4D" w:rsidRDefault="0071290B" w:rsidP="00F91693">
      <w:pPr>
        <w:spacing w:line="360" w:lineRule="auto"/>
        <w:ind w:left="-360" w:right="42"/>
        <w:jc w:val="center"/>
        <w:rPr>
          <w:b/>
          <w:bCs/>
          <w:sz w:val="22"/>
          <w:szCs w:val="22"/>
        </w:rPr>
      </w:pPr>
      <w:r>
        <w:rPr>
          <w:b/>
          <w:bCs/>
          <w:sz w:val="22"/>
          <w:szCs w:val="22"/>
        </w:rPr>
        <w:t>R</w:t>
      </w:r>
      <w:r w:rsidR="00F91693" w:rsidRPr="00047F4D">
        <w:rPr>
          <w:b/>
          <w:bCs/>
          <w:sz w:val="22"/>
          <w:szCs w:val="22"/>
        </w:rPr>
        <w:t>ecovery in private investment expenditure</w:t>
      </w:r>
    </w:p>
    <w:p w:rsidR="00F91693" w:rsidRPr="00047F4D" w:rsidRDefault="00F91693" w:rsidP="00F91693">
      <w:pPr>
        <w:spacing w:line="360" w:lineRule="auto"/>
        <w:ind w:left="-360" w:right="42"/>
        <w:jc w:val="center"/>
        <w:rPr>
          <w:b/>
          <w:bCs/>
          <w:sz w:val="22"/>
          <w:szCs w:val="22"/>
        </w:rPr>
      </w:pPr>
    </w:p>
    <w:p w:rsidR="00F91693" w:rsidRPr="00047F4D" w:rsidRDefault="00147192" w:rsidP="00F91693">
      <w:pPr>
        <w:spacing w:line="360" w:lineRule="auto"/>
        <w:ind w:left="-360" w:right="42"/>
        <w:jc w:val="both"/>
        <w:rPr>
          <w:sz w:val="22"/>
          <w:szCs w:val="22"/>
        </w:rPr>
      </w:pPr>
      <w:r>
        <w:rPr>
          <w:sz w:val="22"/>
          <w:szCs w:val="22"/>
        </w:rPr>
        <w:t>T</w:t>
      </w:r>
      <w:r w:rsidR="00AE5F4F">
        <w:rPr>
          <w:sz w:val="22"/>
          <w:szCs w:val="22"/>
        </w:rPr>
        <w:t xml:space="preserve">he </w:t>
      </w:r>
      <w:r w:rsidR="00F91693" w:rsidRPr="00047F4D">
        <w:rPr>
          <w:sz w:val="22"/>
          <w:szCs w:val="22"/>
        </w:rPr>
        <w:t>intermediate and investment goods imports</w:t>
      </w:r>
      <w:r>
        <w:rPr>
          <w:sz w:val="22"/>
          <w:szCs w:val="22"/>
        </w:rPr>
        <w:t xml:space="preserve"> increased 1.9 and 7.5 percent, respectively, in the first quarter from the previous quarter.</w:t>
      </w:r>
      <w:r w:rsidR="00C70E3C">
        <w:rPr>
          <w:sz w:val="22"/>
          <w:szCs w:val="22"/>
        </w:rPr>
        <w:t xml:space="preserve"> In line with imports,</w:t>
      </w:r>
      <w:r>
        <w:rPr>
          <w:sz w:val="22"/>
          <w:szCs w:val="22"/>
        </w:rPr>
        <w:t xml:space="preserve"> </w:t>
      </w:r>
      <w:r w:rsidR="00C70E3C">
        <w:rPr>
          <w:sz w:val="22"/>
          <w:szCs w:val="22"/>
        </w:rPr>
        <w:t xml:space="preserve">the </w:t>
      </w:r>
      <w:r w:rsidR="00C70E3C" w:rsidRPr="00047F4D">
        <w:rPr>
          <w:sz w:val="22"/>
          <w:szCs w:val="22"/>
        </w:rPr>
        <w:t>intermediate and investment goods</w:t>
      </w:r>
      <w:r w:rsidR="00C70E3C">
        <w:rPr>
          <w:sz w:val="22"/>
          <w:szCs w:val="22"/>
        </w:rPr>
        <w:t xml:space="preserve"> production </w:t>
      </w:r>
      <w:r w:rsidR="000E0388">
        <w:rPr>
          <w:sz w:val="22"/>
          <w:szCs w:val="22"/>
        </w:rPr>
        <w:t xml:space="preserve">also </w:t>
      </w:r>
      <w:r w:rsidR="00C70E3C">
        <w:rPr>
          <w:sz w:val="22"/>
          <w:szCs w:val="22"/>
        </w:rPr>
        <w:t>increased 0.6 and 2.5 percent, respectively, in the same period. Industrial production index</w:t>
      </w:r>
      <w:r w:rsidR="000E0388">
        <w:rPr>
          <w:sz w:val="22"/>
          <w:szCs w:val="22"/>
        </w:rPr>
        <w:t>,</w:t>
      </w:r>
      <w:r w:rsidR="00C70E3C">
        <w:rPr>
          <w:sz w:val="22"/>
          <w:szCs w:val="22"/>
        </w:rPr>
        <w:t xml:space="preserve"> </w:t>
      </w:r>
      <w:r w:rsidR="000E0388">
        <w:rPr>
          <w:sz w:val="22"/>
          <w:szCs w:val="22"/>
        </w:rPr>
        <w:t xml:space="preserve">overall, </w:t>
      </w:r>
      <w:r w:rsidR="00C70E3C">
        <w:rPr>
          <w:sz w:val="22"/>
          <w:szCs w:val="22"/>
        </w:rPr>
        <w:t xml:space="preserve">increased by 1 percent in the first quarter. Moreover, </w:t>
      </w:r>
      <w:r w:rsidR="00C70E3C">
        <w:rPr>
          <w:sz w:val="20"/>
          <w:szCs w:val="20"/>
        </w:rPr>
        <w:t>passenger cars declined by 2.3 percent, whereas commercial vehicles increased by 13.8 percent. On the other hand, real sector confidence index fell by 0.7 percent in spite of increases in production and imports.</w:t>
      </w:r>
      <w:r w:rsidR="00C70E3C">
        <w:rPr>
          <w:sz w:val="22"/>
          <w:szCs w:val="22"/>
        </w:rPr>
        <w:t xml:space="preserve"> </w:t>
      </w:r>
      <w:r w:rsidR="0067212C">
        <w:rPr>
          <w:sz w:val="22"/>
          <w:szCs w:val="22"/>
        </w:rPr>
        <w:t xml:space="preserve">We believe that increases in </w:t>
      </w:r>
      <w:r w:rsidR="00F91693" w:rsidRPr="00047F4D">
        <w:rPr>
          <w:sz w:val="22"/>
          <w:szCs w:val="22"/>
        </w:rPr>
        <w:t>investment goods production and imports</w:t>
      </w:r>
      <w:r w:rsidR="0067212C">
        <w:rPr>
          <w:sz w:val="22"/>
          <w:szCs w:val="22"/>
        </w:rPr>
        <w:t xml:space="preserve"> imply a revival in investment demand and we expect an increase in investment expenditures in</w:t>
      </w:r>
      <w:r w:rsidR="00F91693" w:rsidRPr="00047F4D">
        <w:rPr>
          <w:sz w:val="22"/>
          <w:szCs w:val="22"/>
        </w:rPr>
        <w:t xml:space="preserve"> the first quarter. </w:t>
      </w:r>
    </w:p>
    <w:p w:rsidR="00F91693" w:rsidRPr="00047F4D" w:rsidRDefault="00F91693" w:rsidP="00F91693">
      <w:pPr>
        <w:spacing w:line="360" w:lineRule="auto"/>
        <w:ind w:left="-360" w:right="42"/>
        <w:jc w:val="both"/>
        <w:rPr>
          <w:sz w:val="22"/>
          <w:szCs w:val="22"/>
        </w:rPr>
      </w:pPr>
    </w:p>
    <w:p w:rsidR="00F91693" w:rsidRPr="00047F4D" w:rsidRDefault="00837B20" w:rsidP="00051119">
      <w:pPr>
        <w:spacing w:line="360" w:lineRule="auto"/>
        <w:ind w:left="-360" w:right="42"/>
        <w:jc w:val="center"/>
        <w:rPr>
          <w:b/>
          <w:bCs/>
          <w:sz w:val="22"/>
          <w:szCs w:val="22"/>
        </w:rPr>
      </w:pPr>
      <w:r>
        <w:rPr>
          <w:b/>
          <w:bCs/>
          <w:sz w:val="22"/>
          <w:szCs w:val="22"/>
        </w:rPr>
        <w:t>C</w:t>
      </w:r>
      <w:r w:rsidR="00F91693" w:rsidRPr="00047F4D">
        <w:rPr>
          <w:b/>
          <w:bCs/>
          <w:sz w:val="22"/>
          <w:szCs w:val="22"/>
        </w:rPr>
        <w:t>ontribution o</w:t>
      </w:r>
      <w:r>
        <w:rPr>
          <w:b/>
          <w:bCs/>
          <w:sz w:val="22"/>
          <w:szCs w:val="22"/>
        </w:rPr>
        <w:t>f net exports could</w:t>
      </w:r>
      <w:r w:rsidR="00F91693" w:rsidRPr="00047F4D">
        <w:rPr>
          <w:b/>
          <w:bCs/>
          <w:sz w:val="22"/>
          <w:szCs w:val="22"/>
        </w:rPr>
        <w:t xml:space="preserve"> be negative in the 1</w:t>
      </w:r>
      <w:r w:rsidR="00F91693" w:rsidRPr="00B96612">
        <w:rPr>
          <w:b/>
          <w:bCs/>
          <w:sz w:val="22"/>
          <w:szCs w:val="22"/>
          <w:vertAlign w:val="superscript"/>
        </w:rPr>
        <w:t>st</w:t>
      </w:r>
      <w:r w:rsidR="00F91693" w:rsidRPr="00047F4D">
        <w:rPr>
          <w:b/>
          <w:bCs/>
          <w:sz w:val="22"/>
          <w:szCs w:val="22"/>
        </w:rPr>
        <w:t xml:space="preserve"> quarter</w:t>
      </w:r>
    </w:p>
    <w:p w:rsidR="00F91693" w:rsidRPr="00047F4D" w:rsidRDefault="00F91693" w:rsidP="00F91693">
      <w:pPr>
        <w:spacing w:line="360" w:lineRule="auto"/>
        <w:ind w:left="-360" w:right="42"/>
        <w:jc w:val="both"/>
        <w:rPr>
          <w:sz w:val="22"/>
          <w:szCs w:val="22"/>
        </w:rPr>
      </w:pPr>
    </w:p>
    <w:p w:rsidR="005D7C6B" w:rsidRDefault="00F91693" w:rsidP="00F91693">
      <w:pPr>
        <w:spacing w:line="360" w:lineRule="auto"/>
        <w:ind w:left="-360" w:right="42"/>
        <w:jc w:val="both"/>
        <w:rPr>
          <w:sz w:val="22"/>
          <w:szCs w:val="22"/>
        </w:rPr>
      </w:pPr>
      <w:r w:rsidRPr="00047F4D">
        <w:rPr>
          <w:sz w:val="22"/>
          <w:szCs w:val="22"/>
        </w:rPr>
        <w:t xml:space="preserve">Figure 2 shows monthly changes of seasonally adjusted import and export volume indices. In </w:t>
      </w:r>
      <w:r w:rsidR="005D7C6B">
        <w:rPr>
          <w:sz w:val="22"/>
          <w:szCs w:val="22"/>
        </w:rPr>
        <w:t>the first quarter</w:t>
      </w:r>
      <w:r w:rsidRPr="00047F4D">
        <w:rPr>
          <w:sz w:val="22"/>
          <w:szCs w:val="22"/>
        </w:rPr>
        <w:t xml:space="preserve">, export volume index </w:t>
      </w:r>
      <w:r w:rsidR="005D7C6B">
        <w:rPr>
          <w:sz w:val="22"/>
          <w:szCs w:val="22"/>
        </w:rPr>
        <w:t>decreased</w:t>
      </w:r>
      <w:r w:rsidRPr="00047F4D">
        <w:rPr>
          <w:sz w:val="22"/>
          <w:szCs w:val="22"/>
        </w:rPr>
        <w:t xml:space="preserve"> by </w:t>
      </w:r>
      <w:r w:rsidR="005D7C6B">
        <w:rPr>
          <w:sz w:val="22"/>
          <w:szCs w:val="22"/>
        </w:rPr>
        <w:t>2.4 percent, whereas</w:t>
      </w:r>
      <w:r w:rsidRPr="00047F4D">
        <w:rPr>
          <w:sz w:val="22"/>
          <w:szCs w:val="22"/>
        </w:rPr>
        <w:t xml:space="preserve"> </w:t>
      </w:r>
      <w:r w:rsidR="00102C87">
        <w:rPr>
          <w:sz w:val="22"/>
          <w:szCs w:val="22"/>
        </w:rPr>
        <w:t xml:space="preserve">the import volume index increased by </w:t>
      </w:r>
      <w:r w:rsidR="005D7C6B">
        <w:rPr>
          <w:sz w:val="22"/>
          <w:szCs w:val="22"/>
        </w:rPr>
        <w:t>4.2</w:t>
      </w:r>
      <w:r w:rsidR="00102C87">
        <w:rPr>
          <w:sz w:val="22"/>
          <w:szCs w:val="22"/>
        </w:rPr>
        <w:t xml:space="preserve"> percent</w:t>
      </w:r>
      <w:r w:rsidRPr="00047F4D">
        <w:rPr>
          <w:sz w:val="22"/>
          <w:szCs w:val="22"/>
        </w:rPr>
        <w:t>.</w:t>
      </w:r>
      <w:r w:rsidR="005D7C6B">
        <w:rPr>
          <w:sz w:val="22"/>
          <w:szCs w:val="22"/>
        </w:rPr>
        <w:t xml:space="preserve"> In March, both export volume index and export volume index declined </w:t>
      </w:r>
      <w:r w:rsidR="005D7C6B">
        <w:rPr>
          <w:sz w:val="22"/>
          <w:szCs w:val="22"/>
        </w:rPr>
        <w:lastRenderedPageBreak/>
        <w:t xml:space="preserve">by 2.5 percent and 1.5 percent. As seen in </w:t>
      </w:r>
      <w:r w:rsidR="00AC595F">
        <w:rPr>
          <w:sz w:val="22"/>
          <w:szCs w:val="22"/>
        </w:rPr>
        <w:t>F</w:t>
      </w:r>
      <w:r w:rsidR="005D7C6B">
        <w:rPr>
          <w:sz w:val="22"/>
          <w:szCs w:val="22"/>
        </w:rPr>
        <w:t>igure 2, t</w:t>
      </w:r>
      <w:r w:rsidR="005D7C6B" w:rsidRPr="00047F4D">
        <w:rPr>
          <w:sz w:val="22"/>
          <w:szCs w:val="22"/>
        </w:rPr>
        <w:t>he divergence between export and import volume indices is getting larger</w:t>
      </w:r>
      <w:r w:rsidR="005D7C6B">
        <w:rPr>
          <w:sz w:val="22"/>
          <w:szCs w:val="22"/>
        </w:rPr>
        <w:t xml:space="preserve">. </w:t>
      </w:r>
      <w:r w:rsidR="005D7C6B" w:rsidRPr="00047F4D">
        <w:rPr>
          <w:sz w:val="22"/>
          <w:szCs w:val="22"/>
        </w:rPr>
        <w:t>Therefore, we expect net exports</w:t>
      </w:r>
      <w:r w:rsidR="005D7C6B">
        <w:rPr>
          <w:sz w:val="22"/>
          <w:szCs w:val="22"/>
        </w:rPr>
        <w:t xml:space="preserve"> to</w:t>
      </w:r>
      <w:r w:rsidR="005D7C6B" w:rsidRPr="00047F4D">
        <w:rPr>
          <w:sz w:val="22"/>
          <w:szCs w:val="22"/>
        </w:rPr>
        <w:t xml:space="preserve"> subtract from GDP growth in the first quarter.       </w:t>
      </w:r>
    </w:p>
    <w:p w:rsidR="00F91693" w:rsidRPr="00047F4D" w:rsidRDefault="00F91693" w:rsidP="00F91693">
      <w:pPr>
        <w:spacing w:line="360" w:lineRule="auto"/>
        <w:ind w:right="42"/>
        <w:jc w:val="both"/>
        <w:rPr>
          <w:sz w:val="22"/>
          <w:szCs w:val="22"/>
        </w:rPr>
      </w:pPr>
    </w:p>
    <w:p w:rsidR="00F91693" w:rsidRPr="00047F4D" w:rsidRDefault="00F91693" w:rsidP="00F91693">
      <w:pPr>
        <w:spacing w:line="360" w:lineRule="auto"/>
        <w:ind w:right="42"/>
        <w:jc w:val="center"/>
        <w:rPr>
          <w:b/>
          <w:bCs/>
          <w:sz w:val="22"/>
          <w:szCs w:val="22"/>
        </w:rPr>
      </w:pPr>
      <w:r w:rsidRPr="00047F4D">
        <w:rPr>
          <w:b/>
          <w:bCs/>
          <w:sz w:val="22"/>
          <w:szCs w:val="22"/>
        </w:rPr>
        <w:t xml:space="preserve">The current account </w:t>
      </w:r>
      <w:r w:rsidR="00174745">
        <w:rPr>
          <w:b/>
          <w:bCs/>
          <w:sz w:val="22"/>
          <w:szCs w:val="22"/>
        </w:rPr>
        <w:t>rebounds</w:t>
      </w:r>
    </w:p>
    <w:p w:rsidR="00F91693" w:rsidRPr="00047F4D" w:rsidRDefault="00F91693" w:rsidP="00F91693">
      <w:pPr>
        <w:spacing w:line="360" w:lineRule="auto"/>
        <w:ind w:right="42"/>
        <w:jc w:val="center"/>
        <w:rPr>
          <w:b/>
          <w:bCs/>
          <w:sz w:val="22"/>
          <w:szCs w:val="22"/>
        </w:rPr>
      </w:pPr>
    </w:p>
    <w:p w:rsidR="005E680D" w:rsidRDefault="00F91693" w:rsidP="007456DA">
      <w:pPr>
        <w:spacing w:line="360" w:lineRule="auto"/>
        <w:ind w:left="-360" w:right="42"/>
        <w:jc w:val="both"/>
        <w:rPr>
          <w:sz w:val="22"/>
          <w:szCs w:val="22"/>
        </w:rPr>
      </w:pPr>
      <w:r w:rsidRPr="00047F4D">
        <w:rPr>
          <w:sz w:val="22"/>
          <w:szCs w:val="22"/>
        </w:rPr>
        <w:t xml:space="preserve">In </w:t>
      </w:r>
      <w:r w:rsidR="005D7C6B">
        <w:rPr>
          <w:sz w:val="22"/>
          <w:szCs w:val="22"/>
        </w:rPr>
        <w:t>March</w:t>
      </w:r>
      <w:r w:rsidRPr="00047F4D">
        <w:rPr>
          <w:sz w:val="22"/>
          <w:szCs w:val="22"/>
        </w:rPr>
        <w:t xml:space="preserve">, the trade deficit </w:t>
      </w:r>
      <w:r w:rsidR="005D7C6B">
        <w:rPr>
          <w:sz w:val="22"/>
          <w:szCs w:val="22"/>
        </w:rPr>
        <w:t>decreased</w:t>
      </w:r>
      <w:r w:rsidRPr="00047F4D">
        <w:rPr>
          <w:sz w:val="22"/>
          <w:szCs w:val="22"/>
        </w:rPr>
        <w:t xml:space="preserve"> slightly</w:t>
      </w:r>
      <w:r w:rsidR="005D7C6B">
        <w:rPr>
          <w:sz w:val="22"/>
          <w:szCs w:val="22"/>
        </w:rPr>
        <w:t>, $0.9</w:t>
      </w:r>
      <w:r w:rsidR="00EF4259">
        <w:rPr>
          <w:sz w:val="22"/>
          <w:szCs w:val="22"/>
        </w:rPr>
        <w:t xml:space="preserve"> billion</w:t>
      </w:r>
      <w:r w:rsidR="005D7C6B">
        <w:rPr>
          <w:sz w:val="22"/>
          <w:szCs w:val="22"/>
        </w:rPr>
        <w:t xml:space="preserve">, </w:t>
      </w:r>
      <w:r w:rsidR="007456DA">
        <w:rPr>
          <w:sz w:val="22"/>
          <w:szCs w:val="22"/>
        </w:rPr>
        <w:t>over</w:t>
      </w:r>
      <w:r w:rsidR="005D7C6B">
        <w:rPr>
          <w:sz w:val="22"/>
          <w:szCs w:val="22"/>
        </w:rPr>
        <w:t xml:space="preserve"> the same month of </w:t>
      </w:r>
      <w:r w:rsidR="009C6716">
        <w:rPr>
          <w:sz w:val="22"/>
          <w:szCs w:val="22"/>
        </w:rPr>
        <w:t xml:space="preserve">the </w:t>
      </w:r>
      <w:r w:rsidR="005D7C6B">
        <w:rPr>
          <w:sz w:val="22"/>
          <w:szCs w:val="22"/>
        </w:rPr>
        <w:t>previous year</w:t>
      </w:r>
      <w:r w:rsidRPr="00047F4D">
        <w:rPr>
          <w:sz w:val="22"/>
          <w:szCs w:val="22"/>
        </w:rPr>
        <w:t xml:space="preserve"> and </w:t>
      </w:r>
      <w:r w:rsidR="007456DA">
        <w:rPr>
          <w:sz w:val="22"/>
          <w:szCs w:val="22"/>
        </w:rPr>
        <w:t>fell</w:t>
      </w:r>
      <w:r w:rsidR="005D7C6B">
        <w:rPr>
          <w:sz w:val="22"/>
          <w:szCs w:val="22"/>
        </w:rPr>
        <w:t xml:space="preserve"> to </w:t>
      </w:r>
      <w:r w:rsidR="009C6716">
        <w:rPr>
          <w:sz w:val="22"/>
          <w:szCs w:val="22"/>
        </w:rPr>
        <w:t>$</w:t>
      </w:r>
      <w:r w:rsidR="005D7C6B">
        <w:rPr>
          <w:sz w:val="22"/>
          <w:szCs w:val="22"/>
        </w:rPr>
        <w:t>5.4 billion</w:t>
      </w:r>
      <w:r w:rsidRPr="00047F4D">
        <w:rPr>
          <w:sz w:val="22"/>
          <w:szCs w:val="22"/>
        </w:rPr>
        <w:t xml:space="preserve">. </w:t>
      </w:r>
      <w:r w:rsidR="009C6716">
        <w:rPr>
          <w:sz w:val="22"/>
          <w:szCs w:val="22"/>
        </w:rPr>
        <w:t xml:space="preserve">The decrease was </w:t>
      </w:r>
      <w:r w:rsidR="007456DA">
        <w:rPr>
          <w:sz w:val="22"/>
          <w:szCs w:val="22"/>
        </w:rPr>
        <w:t xml:space="preserve">due to the decline in imports and the increase in tourism income. </w:t>
      </w:r>
      <w:r w:rsidR="00AF7076">
        <w:rPr>
          <w:sz w:val="22"/>
          <w:szCs w:val="22"/>
        </w:rPr>
        <w:t xml:space="preserve">Gold trade also contributed to the current account deficit by $0.6 billion. </w:t>
      </w:r>
      <w:r w:rsidR="00CA604D">
        <w:rPr>
          <w:sz w:val="22"/>
          <w:szCs w:val="22"/>
        </w:rPr>
        <w:t>Consequently,</w:t>
      </w:r>
      <w:r w:rsidR="009C6716">
        <w:rPr>
          <w:sz w:val="22"/>
          <w:szCs w:val="22"/>
        </w:rPr>
        <w:t xml:space="preserve"> the</w:t>
      </w:r>
      <w:r w:rsidRPr="00047F4D">
        <w:rPr>
          <w:sz w:val="22"/>
          <w:szCs w:val="22"/>
        </w:rPr>
        <w:t xml:space="preserve"> 12-month </w:t>
      </w:r>
      <w:r w:rsidR="00985B72">
        <w:rPr>
          <w:sz w:val="22"/>
          <w:szCs w:val="22"/>
        </w:rPr>
        <w:t>total current account deficit</w:t>
      </w:r>
      <w:r w:rsidRPr="00047F4D">
        <w:rPr>
          <w:sz w:val="22"/>
          <w:szCs w:val="22"/>
        </w:rPr>
        <w:t xml:space="preserve"> </w:t>
      </w:r>
      <w:r w:rsidR="007456DA">
        <w:rPr>
          <w:sz w:val="22"/>
          <w:szCs w:val="22"/>
        </w:rPr>
        <w:t xml:space="preserve">declined from </w:t>
      </w:r>
      <w:r w:rsidR="00CA604D">
        <w:rPr>
          <w:sz w:val="22"/>
          <w:szCs w:val="22"/>
        </w:rPr>
        <w:t>$</w:t>
      </w:r>
      <w:r w:rsidR="007456DA">
        <w:rPr>
          <w:sz w:val="22"/>
          <w:szCs w:val="22"/>
        </w:rPr>
        <w:t xml:space="preserve">48 billion to </w:t>
      </w:r>
      <w:r w:rsidR="00CA604D">
        <w:rPr>
          <w:sz w:val="22"/>
          <w:szCs w:val="22"/>
        </w:rPr>
        <w:t>$</w:t>
      </w:r>
      <w:r w:rsidR="007456DA">
        <w:rPr>
          <w:sz w:val="22"/>
          <w:szCs w:val="22"/>
        </w:rPr>
        <w:t>47.1 billion at the end of March</w:t>
      </w:r>
      <w:r w:rsidRPr="00047F4D">
        <w:rPr>
          <w:sz w:val="22"/>
          <w:szCs w:val="22"/>
        </w:rPr>
        <w:t>.</w:t>
      </w:r>
      <w:r w:rsidR="007456DA">
        <w:rPr>
          <w:sz w:val="22"/>
          <w:szCs w:val="22"/>
        </w:rPr>
        <w:t xml:space="preserve"> </w:t>
      </w:r>
      <w:r w:rsidR="007456DA" w:rsidRPr="00047F4D">
        <w:rPr>
          <w:sz w:val="22"/>
          <w:szCs w:val="22"/>
        </w:rPr>
        <w:t>Betam expects the current account deficit to GDP ratio</w:t>
      </w:r>
      <w:r w:rsidR="007456DA">
        <w:rPr>
          <w:sz w:val="22"/>
          <w:szCs w:val="22"/>
        </w:rPr>
        <w:t xml:space="preserve"> which was 6 percent at the end of 2012 to decline to 5.8 percent</w:t>
      </w:r>
      <w:r w:rsidR="007456DA" w:rsidRPr="00047F4D">
        <w:rPr>
          <w:sz w:val="22"/>
          <w:szCs w:val="22"/>
        </w:rPr>
        <w:t xml:space="preserve"> at the end of the first quarter.</w:t>
      </w:r>
    </w:p>
    <w:p w:rsidR="005E680D" w:rsidRDefault="005E680D" w:rsidP="007456DA">
      <w:pPr>
        <w:spacing w:line="360" w:lineRule="auto"/>
        <w:ind w:left="-360" w:right="42"/>
        <w:jc w:val="both"/>
        <w:rPr>
          <w:sz w:val="22"/>
          <w:szCs w:val="22"/>
        </w:rPr>
      </w:pPr>
    </w:p>
    <w:p w:rsidR="007456DA" w:rsidRDefault="005E680D" w:rsidP="007456DA">
      <w:pPr>
        <w:spacing w:line="360" w:lineRule="auto"/>
        <w:ind w:left="-360" w:right="42"/>
        <w:jc w:val="both"/>
        <w:rPr>
          <w:sz w:val="22"/>
          <w:szCs w:val="22"/>
        </w:rPr>
      </w:pPr>
      <w:r>
        <w:rPr>
          <w:sz w:val="22"/>
          <w:szCs w:val="22"/>
        </w:rPr>
        <w:t xml:space="preserve">On the other hand, capital inflow in March was </w:t>
      </w:r>
      <w:r w:rsidR="00CD09EB">
        <w:rPr>
          <w:sz w:val="22"/>
          <w:szCs w:val="22"/>
        </w:rPr>
        <w:t>high, $</w:t>
      </w:r>
      <w:r>
        <w:rPr>
          <w:sz w:val="22"/>
          <w:szCs w:val="22"/>
        </w:rPr>
        <w:t>9.3 billion</w:t>
      </w:r>
      <w:r w:rsidR="00CD09EB">
        <w:rPr>
          <w:sz w:val="22"/>
          <w:szCs w:val="22"/>
        </w:rPr>
        <w:t xml:space="preserve"> but</w:t>
      </w:r>
      <w:r>
        <w:rPr>
          <w:sz w:val="22"/>
          <w:szCs w:val="22"/>
        </w:rPr>
        <w:t xml:space="preserve"> </w:t>
      </w:r>
      <w:r w:rsidR="00CD09EB">
        <w:rPr>
          <w:sz w:val="22"/>
          <w:szCs w:val="22"/>
        </w:rPr>
        <w:t>o</w:t>
      </w:r>
      <w:r w:rsidR="003D31C5">
        <w:rPr>
          <w:sz w:val="22"/>
          <w:szCs w:val="22"/>
        </w:rPr>
        <w:t xml:space="preserve">nly </w:t>
      </w:r>
      <w:r w:rsidR="000E5826">
        <w:rPr>
          <w:sz w:val="22"/>
          <w:szCs w:val="22"/>
        </w:rPr>
        <w:t>$</w:t>
      </w:r>
      <w:r w:rsidR="003D31C5">
        <w:rPr>
          <w:sz w:val="22"/>
          <w:szCs w:val="22"/>
        </w:rPr>
        <w:t xml:space="preserve">0.4 billion of this </w:t>
      </w:r>
      <w:r w:rsidR="00F21905">
        <w:rPr>
          <w:sz w:val="22"/>
          <w:szCs w:val="22"/>
        </w:rPr>
        <w:t>inflow</w:t>
      </w:r>
      <w:r w:rsidR="003D31C5">
        <w:rPr>
          <w:sz w:val="22"/>
          <w:szCs w:val="22"/>
        </w:rPr>
        <w:t xml:space="preserve"> was foreign direct investment. </w:t>
      </w:r>
      <w:r w:rsidR="00CD09EB">
        <w:rPr>
          <w:sz w:val="22"/>
          <w:szCs w:val="22"/>
        </w:rPr>
        <w:t>The increase in the financial account</w:t>
      </w:r>
      <w:r w:rsidR="003D31C5">
        <w:rPr>
          <w:sz w:val="22"/>
          <w:szCs w:val="22"/>
        </w:rPr>
        <w:t xml:space="preserve"> </w:t>
      </w:r>
      <w:r w:rsidR="00CD09EB">
        <w:rPr>
          <w:sz w:val="22"/>
          <w:szCs w:val="22"/>
        </w:rPr>
        <w:t>was</w:t>
      </w:r>
      <w:r w:rsidR="003D31C5">
        <w:rPr>
          <w:sz w:val="22"/>
          <w:szCs w:val="22"/>
        </w:rPr>
        <w:t xml:space="preserve"> mainly caused by the increase in credits and deposits. Strong capital inflow</w:t>
      </w:r>
      <w:r w:rsidR="00CD09EB">
        <w:rPr>
          <w:sz w:val="22"/>
          <w:szCs w:val="22"/>
        </w:rPr>
        <w:t>s</w:t>
      </w:r>
      <w:r w:rsidR="003D31C5">
        <w:rPr>
          <w:sz w:val="22"/>
          <w:szCs w:val="22"/>
        </w:rPr>
        <w:t xml:space="preserve"> which w</w:t>
      </w:r>
      <w:r w:rsidR="00D645E9">
        <w:rPr>
          <w:sz w:val="22"/>
          <w:szCs w:val="22"/>
        </w:rPr>
        <w:t>ere</w:t>
      </w:r>
      <w:r w:rsidR="003D31C5">
        <w:rPr>
          <w:sz w:val="22"/>
          <w:szCs w:val="22"/>
        </w:rPr>
        <w:t xml:space="preserve"> higher than the current account deficit increased CBRT reserves by </w:t>
      </w:r>
      <w:r w:rsidR="000E5826">
        <w:rPr>
          <w:sz w:val="22"/>
          <w:szCs w:val="22"/>
        </w:rPr>
        <w:t>$</w:t>
      </w:r>
      <w:r w:rsidR="003D31C5">
        <w:rPr>
          <w:sz w:val="22"/>
          <w:szCs w:val="22"/>
        </w:rPr>
        <w:t>2.4 billion. The monetary easing by Japanese Central Bank</w:t>
      </w:r>
      <w:r w:rsidR="007456DA" w:rsidRPr="00047F4D">
        <w:rPr>
          <w:sz w:val="22"/>
          <w:szCs w:val="22"/>
        </w:rPr>
        <w:t xml:space="preserve"> </w:t>
      </w:r>
      <w:r w:rsidR="003D31C5">
        <w:rPr>
          <w:sz w:val="22"/>
          <w:szCs w:val="22"/>
        </w:rPr>
        <w:t>caused capital inflow</w:t>
      </w:r>
      <w:r w:rsidR="000E5826">
        <w:rPr>
          <w:sz w:val="22"/>
          <w:szCs w:val="22"/>
        </w:rPr>
        <w:t>s to accelerate and i</w:t>
      </w:r>
      <w:r w:rsidR="00207E31">
        <w:rPr>
          <w:sz w:val="22"/>
          <w:szCs w:val="22"/>
        </w:rPr>
        <w:t>n spite of CBRT’</w:t>
      </w:r>
      <w:r w:rsidR="00F21905">
        <w:rPr>
          <w:sz w:val="22"/>
          <w:szCs w:val="22"/>
        </w:rPr>
        <w:t>s interest cuts</w:t>
      </w:r>
      <w:r w:rsidR="00207E31">
        <w:rPr>
          <w:sz w:val="22"/>
          <w:szCs w:val="22"/>
        </w:rPr>
        <w:t>, strong capital inflows prevent</w:t>
      </w:r>
      <w:r w:rsidR="00CD09EB">
        <w:rPr>
          <w:sz w:val="22"/>
          <w:szCs w:val="22"/>
        </w:rPr>
        <w:t>ed</w:t>
      </w:r>
      <w:r w:rsidR="00207E31">
        <w:rPr>
          <w:sz w:val="22"/>
          <w:szCs w:val="22"/>
        </w:rPr>
        <w:t xml:space="preserve"> real exchange rate to drop below 120</w:t>
      </w:r>
      <w:r w:rsidR="00CD09EB">
        <w:rPr>
          <w:sz w:val="22"/>
          <w:szCs w:val="22"/>
        </w:rPr>
        <w:t xml:space="preserve"> until FED chair Ben Bernanke’s warning of a FED pullback</w:t>
      </w:r>
      <w:r w:rsidR="000E5826">
        <w:rPr>
          <w:sz w:val="22"/>
          <w:szCs w:val="22"/>
        </w:rPr>
        <w:t xml:space="preserve"> started the recent emerging market sell-off</w:t>
      </w:r>
      <w:r w:rsidR="00207E31">
        <w:rPr>
          <w:sz w:val="22"/>
          <w:szCs w:val="22"/>
        </w:rPr>
        <w:t>.</w:t>
      </w:r>
      <w:r w:rsidR="003D31C5">
        <w:rPr>
          <w:sz w:val="22"/>
          <w:szCs w:val="22"/>
        </w:rPr>
        <w:t xml:space="preserve"> </w:t>
      </w:r>
      <w:r w:rsidR="007456DA" w:rsidRPr="000A4DA1">
        <w:rPr>
          <w:sz w:val="22"/>
          <w:szCs w:val="22"/>
        </w:rPr>
        <w:t xml:space="preserve">  </w:t>
      </w:r>
    </w:p>
    <w:p w:rsidR="007456DA" w:rsidRDefault="007456DA" w:rsidP="007456DA">
      <w:pPr>
        <w:spacing w:line="360" w:lineRule="auto"/>
        <w:ind w:left="-360" w:right="42"/>
        <w:jc w:val="both"/>
        <w:rPr>
          <w:sz w:val="22"/>
          <w:szCs w:val="22"/>
        </w:rPr>
      </w:pPr>
    </w:p>
    <w:p w:rsidR="006E2D48" w:rsidRPr="002F56EC" w:rsidRDefault="002F56EC" w:rsidP="00F91693">
      <w:pPr>
        <w:ind w:left="-360"/>
        <w:jc w:val="center"/>
        <w:rPr>
          <w:sz w:val="22"/>
          <w:szCs w:val="22"/>
        </w:rPr>
        <w:sectPr w:rsidR="006E2D48" w:rsidRPr="002F56EC" w:rsidSect="00523C58">
          <w:type w:val="continuous"/>
          <w:pgSz w:w="11906" w:h="16838"/>
          <w:pgMar w:top="1417" w:right="1417" w:bottom="1417" w:left="1417" w:header="708" w:footer="708" w:gutter="0"/>
          <w:cols w:num="2" w:space="708" w:equalWidth="0">
            <w:col w:w="4182" w:space="708"/>
            <w:col w:w="4182"/>
          </w:cols>
          <w:docGrid w:linePitch="360"/>
        </w:sectPr>
      </w:pPr>
      <w:r w:rsidRPr="000A4DA1">
        <w:rPr>
          <w:sz w:val="22"/>
          <w:szCs w:val="22"/>
        </w:rPr>
        <w:t xml:space="preserve">  </w:t>
      </w:r>
      <w:r w:rsidR="00AE7542" w:rsidRPr="00B320C7">
        <w:rPr>
          <w:sz w:val="22"/>
          <w:szCs w:val="22"/>
        </w:rPr>
        <w:br w:type="column"/>
      </w:r>
    </w:p>
    <w:p w:rsidR="008C6E50" w:rsidRPr="00B320C7" w:rsidRDefault="00E823E8" w:rsidP="00801493">
      <w:pPr>
        <w:spacing w:line="360" w:lineRule="auto"/>
        <w:ind w:right="42"/>
        <w:jc w:val="both"/>
        <w:rPr>
          <w:rFonts w:ascii="Arial" w:hAnsi="Arial" w:cs="Arial"/>
          <w:sz w:val="20"/>
          <w:szCs w:val="20"/>
        </w:rPr>
      </w:pPr>
      <w:r w:rsidRPr="00B320C7">
        <w:rPr>
          <w:rFonts w:ascii="Arial" w:hAnsi="Arial" w:cs="Arial"/>
          <w:b/>
          <w:sz w:val="20"/>
          <w:szCs w:val="20"/>
        </w:rPr>
        <w:lastRenderedPageBreak/>
        <w:t>Table</w:t>
      </w:r>
      <w:r w:rsidR="00451918">
        <w:rPr>
          <w:rFonts w:ascii="Arial" w:hAnsi="Arial" w:cs="Arial"/>
          <w:b/>
          <w:sz w:val="20"/>
          <w:szCs w:val="20"/>
        </w:rPr>
        <w:t xml:space="preserve"> 2: </w:t>
      </w:r>
      <w:r w:rsidRPr="00B320C7">
        <w:rPr>
          <w:rFonts w:ascii="Arial" w:hAnsi="Arial" w:cs="Arial"/>
          <w:b/>
          <w:sz w:val="20"/>
          <w:szCs w:val="20"/>
        </w:rPr>
        <w:t xml:space="preserve">Monthly and quarterly changes of Betam’s selected indicators (real </w:t>
      </w:r>
      <w:r w:rsidR="00455777" w:rsidRPr="00B320C7">
        <w:rPr>
          <w:rFonts w:ascii="Arial" w:hAnsi="Arial" w:cs="Arial"/>
          <w:b/>
          <w:sz w:val="20"/>
          <w:szCs w:val="20"/>
        </w:rPr>
        <w:t>and</w:t>
      </w:r>
      <w:r w:rsidR="005B2CF3">
        <w:rPr>
          <w:rFonts w:ascii="Arial" w:hAnsi="Arial" w:cs="Arial"/>
          <w:b/>
          <w:sz w:val="20"/>
          <w:szCs w:val="20"/>
        </w:rPr>
        <w:t xml:space="preserve"> </w:t>
      </w:r>
      <w:r w:rsidRPr="00B320C7">
        <w:rPr>
          <w:rFonts w:ascii="Arial" w:hAnsi="Arial" w:cs="Arial"/>
          <w:b/>
          <w:sz w:val="20"/>
          <w:szCs w:val="20"/>
        </w:rPr>
        <w:t>sa</w:t>
      </w:r>
      <w:r w:rsidR="008C6E50" w:rsidRPr="00B320C7">
        <w:rPr>
          <w:rFonts w:ascii="Arial" w:hAnsi="Arial" w:cs="Arial"/>
          <w:b/>
          <w:sz w:val="20"/>
          <w:szCs w:val="20"/>
        </w:rPr>
        <w:t>)</w:t>
      </w:r>
    </w:p>
    <w:p w:rsidR="008C6E50" w:rsidRPr="00B320C7" w:rsidRDefault="008C6E50" w:rsidP="001E4BF5">
      <w:pPr>
        <w:spacing w:line="360" w:lineRule="auto"/>
        <w:ind w:left="-360" w:right="42"/>
        <w:jc w:val="both"/>
        <w:rPr>
          <w:rFonts w:ascii="Arial" w:hAnsi="Arial" w:cs="Arial"/>
          <w:sz w:val="20"/>
          <w:szCs w:val="20"/>
        </w:rPr>
        <w:sectPr w:rsidR="008C6E50" w:rsidRPr="00B320C7" w:rsidSect="0075074A">
          <w:type w:val="continuous"/>
          <w:pgSz w:w="11906" w:h="16838"/>
          <w:pgMar w:top="1417" w:right="1417" w:bottom="1417" w:left="1417" w:header="708" w:footer="708" w:gutter="0"/>
          <w:cols w:space="708"/>
          <w:docGrid w:linePitch="360"/>
        </w:sect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20"/>
        <w:gridCol w:w="1260"/>
        <w:gridCol w:w="1170"/>
        <w:gridCol w:w="1147"/>
        <w:gridCol w:w="1193"/>
        <w:gridCol w:w="1035"/>
        <w:gridCol w:w="1035"/>
      </w:tblGrid>
      <w:tr w:rsidR="00486239" w:rsidRPr="00047F4D" w:rsidTr="00486239">
        <w:trPr>
          <w:trHeight w:val="607"/>
        </w:trPr>
        <w:tc>
          <w:tcPr>
            <w:tcW w:w="3420" w:type="dxa"/>
            <w:vAlign w:val="center"/>
          </w:tcPr>
          <w:p w:rsidR="00486239" w:rsidRPr="00486239" w:rsidRDefault="00486239" w:rsidP="00BB0703">
            <w:pPr>
              <w:ind w:right="42"/>
              <w:jc w:val="center"/>
              <w:rPr>
                <w:b/>
                <w:bCs/>
              </w:rPr>
            </w:pPr>
            <w:r w:rsidRPr="00486239">
              <w:rPr>
                <w:b/>
                <w:bCs/>
              </w:rPr>
              <w:lastRenderedPageBreak/>
              <w:t>Economic Indicators</w:t>
            </w:r>
          </w:p>
        </w:tc>
        <w:tc>
          <w:tcPr>
            <w:tcW w:w="1260" w:type="dxa"/>
            <w:vAlign w:val="center"/>
          </w:tcPr>
          <w:p w:rsidR="00486239" w:rsidRPr="00F91693" w:rsidRDefault="00486239" w:rsidP="00E3564A">
            <w:pPr>
              <w:ind w:right="42"/>
              <w:jc w:val="center"/>
              <w:rPr>
                <w:b/>
                <w:bCs/>
              </w:rPr>
            </w:pPr>
            <w:r w:rsidRPr="00F91693">
              <w:rPr>
                <w:b/>
                <w:bCs/>
                <w:sz w:val="22"/>
                <w:szCs w:val="22"/>
              </w:rPr>
              <w:t>January</w:t>
            </w:r>
          </w:p>
        </w:tc>
        <w:tc>
          <w:tcPr>
            <w:tcW w:w="1170" w:type="dxa"/>
            <w:vAlign w:val="center"/>
          </w:tcPr>
          <w:p w:rsidR="00486239" w:rsidRPr="00F91693" w:rsidRDefault="00486239" w:rsidP="00E3564A">
            <w:pPr>
              <w:ind w:right="42"/>
              <w:jc w:val="center"/>
              <w:rPr>
                <w:b/>
                <w:bCs/>
              </w:rPr>
            </w:pPr>
            <w:r w:rsidRPr="00F91693">
              <w:rPr>
                <w:b/>
                <w:bCs/>
                <w:sz w:val="22"/>
                <w:szCs w:val="22"/>
              </w:rPr>
              <w:t>February</w:t>
            </w:r>
          </w:p>
        </w:tc>
        <w:tc>
          <w:tcPr>
            <w:tcW w:w="1147" w:type="dxa"/>
            <w:vAlign w:val="center"/>
          </w:tcPr>
          <w:p w:rsidR="00486239" w:rsidRPr="00F91693" w:rsidRDefault="00486239" w:rsidP="00E3564A">
            <w:pPr>
              <w:ind w:right="42"/>
              <w:jc w:val="center"/>
              <w:rPr>
                <w:b/>
                <w:bCs/>
              </w:rPr>
            </w:pPr>
            <w:r w:rsidRPr="00F91693">
              <w:rPr>
                <w:b/>
                <w:bCs/>
                <w:sz w:val="22"/>
                <w:szCs w:val="22"/>
              </w:rPr>
              <w:t>March</w:t>
            </w:r>
          </w:p>
        </w:tc>
        <w:tc>
          <w:tcPr>
            <w:tcW w:w="1193" w:type="dxa"/>
            <w:tcBorders>
              <w:right w:val="double" w:sz="4" w:space="0" w:color="auto"/>
            </w:tcBorders>
            <w:vAlign w:val="center"/>
          </w:tcPr>
          <w:p w:rsidR="00486239" w:rsidRPr="00F91693" w:rsidRDefault="00486239" w:rsidP="00BB0703">
            <w:pPr>
              <w:ind w:right="42"/>
              <w:jc w:val="center"/>
              <w:rPr>
                <w:b/>
                <w:bCs/>
              </w:rPr>
            </w:pPr>
            <w:r>
              <w:rPr>
                <w:b/>
                <w:bCs/>
              </w:rPr>
              <w:t>April</w:t>
            </w:r>
          </w:p>
        </w:tc>
        <w:tc>
          <w:tcPr>
            <w:tcW w:w="1035" w:type="dxa"/>
            <w:tcBorders>
              <w:left w:val="double" w:sz="4" w:space="0" w:color="auto"/>
            </w:tcBorders>
            <w:vAlign w:val="center"/>
          </w:tcPr>
          <w:p w:rsidR="00486239" w:rsidRPr="00F91693" w:rsidRDefault="00486239" w:rsidP="00BB0703">
            <w:pPr>
              <w:ind w:right="42"/>
              <w:jc w:val="center"/>
              <w:rPr>
                <w:b/>
                <w:bCs/>
              </w:rPr>
            </w:pPr>
            <w:r w:rsidRPr="00F91693">
              <w:rPr>
                <w:b/>
                <w:bCs/>
                <w:sz w:val="22"/>
                <w:szCs w:val="22"/>
              </w:rPr>
              <w:t>2012 4</w:t>
            </w:r>
            <w:r w:rsidRPr="00F91693">
              <w:rPr>
                <w:b/>
                <w:bCs/>
                <w:sz w:val="22"/>
                <w:szCs w:val="22"/>
                <w:vertAlign w:val="superscript"/>
              </w:rPr>
              <w:t>th</w:t>
            </w:r>
            <w:r w:rsidRPr="00F91693">
              <w:rPr>
                <w:b/>
                <w:bCs/>
                <w:sz w:val="22"/>
                <w:szCs w:val="22"/>
              </w:rPr>
              <w:t xml:space="preserve"> Quarter</w:t>
            </w:r>
          </w:p>
        </w:tc>
        <w:tc>
          <w:tcPr>
            <w:tcW w:w="1035" w:type="dxa"/>
            <w:vAlign w:val="center"/>
          </w:tcPr>
          <w:p w:rsidR="00486239" w:rsidRPr="00F91693" w:rsidRDefault="00486239" w:rsidP="00BB0703">
            <w:pPr>
              <w:ind w:right="42"/>
              <w:jc w:val="center"/>
              <w:rPr>
                <w:b/>
                <w:bCs/>
              </w:rPr>
            </w:pPr>
            <w:r w:rsidRPr="00F91693">
              <w:rPr>
                <w:b/>
                <w:bCs/>
                <w:sz w:val="22"/>
                <w:szCs w:val="22"/>
              </w:rPr>
              <w:t>2013 1</w:t>
            </w:r>
            <w:r w:rsidRPr="00F91693">
              <w:rPr>
                <w:b/>
                <w:bCs/>
                <w:sz w:val="22"/>
                <w:szCs w:val="22"/>
                <w:vertAlign w:val="superscript"/>
              </w:rPr>
              <w:t>st</w:t>
            </w:r>
            <w:r w:rsidRPr="00F91693">
              <w:rPr>
                <w:b/>
                <w:bCs/>
                <w:sz w:val="22"/>
                <w:szCs w:val="22"/>
              </w:rPr>
              <w:t xml:space="preserve"> Quarter</w:t>
            </w:r>
          </w:p>
        </w:tc>
      </w:tr>
      <w:tr w:rsidR="00486239" w:rsidRPr="00047F4D" w:rsidTr="00486239">
        <w:trPr>
          <w:trHeight w:val="370"/>
        </w:trPr>
        <w:tc>
          <w:tcPr>
            <w:tcW w:w="3420" w:type="dxa"/>
            <w:vAlign w:val="bottom"/>
          </w:tcPr>
          <w:p w:rsidR="00486239" w:rsidRPr="00F91693" w:rsidRDefault="00486239" w:rsidP="00BB0703">
            <w:pPr>
              <w:spacing w:line="288" w:lineRule="auto"/>
              <w:ind w:right="77"/>
              <w:rPr>
                <w:b/>
                <w:sz w:val="20"/>
                <w:szCs w:val="20"/>
              </w:rPr>
            </w:pPr>
            <w:r w:rsidRPr="00F91693">
              <w:rPr>
                <w:b/>
                <w:sz w:val="20"/>
                <w:szCs w:val="20"/>
              </w:rPr>
              <w:t>Exports</w:t>
            </w:r>
          </w:p>
        </w:tc>
        <w:tc>
          <w:tcPr>
            <w:tcW w:w="1260" w:type="dxa"/>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4</w:t>
            </w:r>
          </w:p>
        </w:tc>
        <w:tc>
          <w:tcPr>
            <w:tcW w:w="1170" w:type="dxa"/>
            <w:vAlign w:val="center"/>
          </w:tcPr>
          <w:p w:rsidR="00486239" w:rsidRPr="00486239" w:rsidRDefault="00486239" w:rsidP="00E3564A">
            <w:pPr>
              <w:ind w:right="42"/>
              <w:jc w:val="center"/>
              <w:rPr>
                <w:b/>
                <w:bCs/>
                <w:sz w:val="20"/>
                <w:szCs w:val="20"/>
              </w:rPr>
            </w:pPr>
            <w:r w:rsidRPr="00486239">
              <w:rPr>
                <w:b/>
                <w:bCs/>
                <w:sz w:val="20"/>
                <w:szCs w:val="20"/>
              </w:rPr>
              <w:t>4</w:t>
            </w:r>
            <w:r w:rsidR="00973386">
              <w:rPr>
                <w:b/>
                <w:bCs/>
                <w:sz w:val="20"/>
                <w:szCs w:val="20"/>
              </w:rPr>
              <w:t>.</w:t>
            </w:r>
            <w:r w:rsidRPr="00486239">
              <w:rPr>
                <w:b/>
                <w:bCs/>
                <w:sz w:val="20"/>
                <w:szCs w:val="20"/>
              </w:rPr>
              <w:t>8</w:t>
            </w:r>
          </w:p>
        </w:tc>
        <w:tc>
          <w:tcPr>
            <w:tcW w:w="1147" w:type="dxa"/>
            <w:vAlign w:val="center"/>
          </w:tcPr>
          <w:p w:rsidR="00486239" w:rsidRPr="00486239" w:rsidRDefault="00486239" w:rsidP="00E3564A">
            <w:pPr>
              <w:ind w:right="42"/>
              <w:jc w:val="center"/>
              <w:rPr>
                <w:b/>
                <w:bCs/>
                <w:sz w:val="20"/>
                <w:szCs w:val="20"/>
              </w:rPr>
            </w:pPr>
            <w:r w:rsidRPr="00486239">
              <w:rPr>
                <w:b/>
                <w:bCs/>
                <w:sz w:val="20"/>
                <w:szCs w:val="20"/>
              </w:rPr>
              <w:t>-2</w:t>
            </w:r>
            <w:r w:rsidR="00973386">
              <w:rPr>
                <w:b/>
                <w:bCs/>
                <w:sz w:val="20"/>
                <w:szCs w:val="20"/>
              </w:rPr>
              <w:t>.</w:t>
            </w:r>
            <w:r w:rsidRPr="00486239">
              <w:rPr>
                <w:b/>
                <w:bCs/>
                <w:sz w:val="20"/>
                <w:szCs w:val="20"/>
              </w:rPr>
              <w:t>5</w:t>
            </w:r>
          </w:p>
        </w:tc>
        <w:tc>
          <w:tcPr>
            <w:tcW w:w="1193" w:type="dxa"/>
            <w:tcBorders>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left w:val="double" w:sz="4" w:space="0" w:color="auto"/>
            </w:tcBorders>
            <w:vAlign w:val="center"/>
          </w:tcPr>
          <w:p w:rsidR="00486239" w:rsidRPr="00486239" w:rsidRDefault="00486239" w:rsidP="00E3564A">
            <w:pPr>
              <w:ind w:right="42"/>
              <w:jc w:val="center"/>
              <w:rPr>
                <w:b/>
                <w:bCs/>
                <w:sz w:val="20"/>
                <w:szCs w:val="20"/>
              </w:rPr>
            </w:pPr>
            <w:r w:rsidRPr="00486239">
              <w:rPr>
                <w:b/>
                <w:bCs/>
                <w:sz w:val="20"/>
                <w:szCs w:val="20"/>
              </w:rPr>
              <w:t>-2</w:t>
            </w:r>
            <w:r w:rsidR="00973386">
              <w:rPr>
                <w:b/>
                <w:bCs/>
                <w:sz w:val="20"/>
                <w:szCs w:val="20"/>
              </w:rPr>
              <w:t>.</w:t>
            </w:r>
            <w:r w:rsidRPr="00486239">
              <w:rPr>
                <w:b/>
                <w:bCs/>
                <w:sz w:val="20"/>
                <w:szCs w:val="20"/>
              </w:rPr>
              <w:t>1</w:t>
            </w:r>
          </w:p>
        </w:tc>
        <w:tc>
          <w:tcPr>
            <w:tcW w:w="1035" w:type="dxa"/>
            <w:vAlign w:val="center"/>
          </w:tcPr>
          <w:p w:rsidR="00486239" w:rsidRPr="00486239" w:rsidRDefault="00486239" w:rsidP="00E3564A">
            <w:pPr>
              <w:ind w:right="42"/>
              <w:jc w:val="center"/>
              <w:rPr>
                <w:b/>
                <w:bCs/>
                <w:sz w:val="20"/>
                <w:szCs w:val="20"/>
              </w:rPr>
            </w:pPr>
            <w:r w:rsidRPr="00486239">
              <w:rPr>
                <w:b/>
                <w:bCs/>
                <w:sz w:val="20"/>
                <w:szCs w:val="20"/>
              </w:rPr>
              <w:t>-2</w:t>
            </w:r>
            <w:r w:rsidR="00973386">
              <w:rPr>
                <w:b/>
                <w:bCs/>
                <w:sz w:val="20"/>
                <w:szCs w:val="20"/>
              </w:rPr>
              <w:t>.</w:t>
            </w:r>
            <w:r w:rsidRPr="00486239">
              <w:rPr>
                <w:b/>
                <w:bCs/>
                <w:sz w:val="20"/>
                <w:szCs w:val="20"/>
              </w:rPr>
              <w:t>4</w:t>
            </w:r>
          </w:p>
        </w:tc>
      </w:tr>
      <w:tr w:rsidR="00486239" w:rsidRPr="00047F4D" w:rsidTr="00486239">
        <w:trPr>
          <w:trHeight w:val="370"/>
        </w:trPr>
        <w:tc>
          <w:tcPr>
            <w:tcW w:w="3420" w:type="dxa"/>
            <w:tcBorders>
              <w:bottom w:val="nil"/>
            </w:tcBorders>
            <w:vAlign w:val="bottom"/>
          </w:tcPr>
          <w:p w:rsidR="00486239" w:rsidRPr="00F91693" w:rsidRDefault="00486239" w:rsidP="00BB0703">
            <w:pPr>
              <w:spacing w:line="288" w:lineRule="auto"/>
              <w:ind w:right="77"/>
              <w:rPr>
                <w:b/>
                <w:sz w:val="20"/>
                <w:szCs w:val="20"/>
              </w:rPr>
            </w:pPr>
            <w:r w:rsidRPr="00F91693">
              <w:rPr>
                <w:b/>
                <w:sz w:val="20"/>
                <w:szCs w:val="20"/>
              </w:rPr>
              <w:t>Imports</w:t>
            </w:r>
          </w:p>
        </w:tc>
        <w:tc>
          <w:tcPr>
            <w:tcW w:w="1260"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5</w:t>
            </w:r>
            <w:r w:rsidR="00973386">
              <w:rPr>
                <w:b/>
                <w:bCs/>
                <w:sz w:val="20"/>
                <w:szCs w:val="20"/>
              </w:rPr>
              <w:t>.</w:t>
            </w:r>
            <w:r w:rsidRPr="00486239">
              <w:rPr>
                <w:b/>
                <w:bCs/>
                <w:sz w:val="20"/>
                <w:szCs w:val="20"/>
              </w:rPr>
              <w:t>7</w:t>
            </w:r>
          </w:p>
        </w:tc>
        <w:tc>
          <w:tcPr>
            <w:tcW w:w="1170"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2</w:t>
            </w:r>
            <w:r w:rsidR="00973386">
              <w:rPr>
                <w:b/>
                <w:bCs/>
                <w:sz w:val="20"/>
                <w:szCs w:val="20"/>
              </w:rPr>
              <w:t>.</w:t>
            </w:r>
            <w:r w:rsidRPr="00486239">
              <w:rPr>
                <w:b/>
                <w:bCs/>
                <w:sz w:val="20"/>
                <w:szCs w:val="20"/>
              </w:rPr>
              <w:t>5</w:t>
            </w:r>
          </w:p>
        </w:tc>
        <w:tc>
          <w:tcPr>
            <w:tcW w:w="1147"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-1</w:t>
            </w:r>
            <w:r w:rsidR="00973386">
              <w:rPr>
                <w:b/>
                <w:bCs/>
                <w:sz w:val="20"/>
                <w:szCs w:val="20"/>
              </w:rPr>
              <w:t>.</w:t>
            </w:r>
            <w:r w:rsidRPr="00486239">
              <w:rPr>
                <w:b/>
                <w:bCs/>
                <w:sz w:val="20"/>
                <w:szCs w:val="20"/>
              </w:rPr>
              <w:t>5</w:t>
            </w:r>
          </w:p>
        </w:tc>
        <w:tc>
          <w:tcPr>
            <w:tcW w:w="1193" w:type="dxa"/>
            <w:tcBorders>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left w:val="double" w:sz="4" w:space="0" w:color="auto"/>
              <w:bottom w:val="nil"/>
            </w:tcBorders>
            <w:vAlign w:val="center"/>
          </w:tcPr>
          <w:p w:rsidR="00486239" w:rsidRPr="00486239" w:rsidRDefault="00486239" w:rsidP="00E3564A">
            <w:pPr>
              <w:ind w:right="42"/>
              <w:jc w:val="center"/>
              <w:rPr>
                <w:b/>
                <w:bCs/>
                <w:sz w:val="20"/>
                <w:szCs w:val="20"/>
              </w:rPr>
            </w:pPr>
            <w:r w:rsidRPr="00486239">
              <w:rPr>
                <w:b/>
                <w:bCs/>
                <w:sz w:val="20"/>
                <w:szCs w:val="20"/>
              </w:rPr>
              <w:t>-1</w:t>
            </w:r>
            <w:r w:rsidR="00973386">
              <w:rPr>
                <w:b/>
                <w:bCs/>
                <w:sz w:val="20"/>
                <w:szCs w:val="20"/>
              </w:rPr>
              <w:t>.</w:t>
            </w:r>
            <w:r w:rsidRPr="00486239">
              <w:rPr>
                <w:b/>
                <w:bCs/>
                <w:sz w:val="20"/>
                <w:szCs w:val="20"/>
              </w:rPr>
              <w:t>8</w:t>
            </w:r>
          </w:p>
        </w:tc>
        <w:tc>
          <w:tcPr>
            <w:tcW w:w="1035"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4</w:t>
            </w:r>
            <w:r w:rsidR="00973386">
              <w:rPr>
                <w:b/>
                <w:bCs/>
                <w:sz w:val="20"/>
                <w:szCs w:val="20"/>
              </w:rPr>
              <w:t>.</w:t>
            </w:r>
            <w:r w:rsidRPr="00486239">
              <w:rPr>
                <w:b/>
                <w:bCs/>
                <w:sz w:val="20"/>
                <w:szCs w:val="20"/>
              </w:rPr>
              <w:t>2</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Intermediate goods import</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10</w:t>
            </w:r>
            <w:r w:rsidR="00973386">
              <w:rPr>
                <w:sz w:val="20"/>
                <w:szCs w:val="20"/>
              </w:rPr>
              <w:t>.</w:t>
            </w:r>
            <w:r w:rsidRPr="00486239">
              <w:rPr>
                <w:sz w:val="20"/>
                <w:szCs w:val="20"/>
              </w:rPr>
              <w:t>8</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0</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-4</w:t>
            </w:r>
            <w:r w:rsidR="00973386">
              <w:rPr>
                <w:sz w:val="20"/>
                <w:szCs w:val="20"/>
              </w:rPr>
              <w:t>.</w:t>
            </w:r>
            <w:r w:rsidRPr="00486239">
              <w:rPr>
                <w:sz w:val="20"/>
                <w:szCs w:val="20"/>
              </w:rPr>
              <w:t>5</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8</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9</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Consumer goods import</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9</w:t>
            </w:r>
            <w:r w:rsidR="00973386">
              <w:rPr>
                <w:sz w:val="20"/>
                <w:szCs w:val="20"/>
              </w:rPr>
              <w:t>.</w:t>
            </w:r>
            <w:r w:rsidRPr="00486239">
              <w:rPr>
                <w:sz w:val="20"/>
                <w:szCs w:val="20"/>
              </w:rPr>
              <w:t>3</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6</w:t>
            </w:r>
            <w:r w:rsidR="00973386">
              <w:rPr>
                <w:sz w:val="20"/>
                <w:szCs w:val="20"/>
              </w:rPr>
              <w:t>.</w:t>
            </w:r>
            <w:r w:rsidRPr="00486239">
              <w:rPr>
                <w:sz w:val="20"/>
                <w:szCs w:val="20"/>
              </w:rPr>
              <w:t>4</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6</w:t>
            </w:r>
            <w:r w:rsidR="00973386">
              <w:rPr>
                <w:sz w:val="20"/>
                <w:szCs w:val="20"/>
              </w:rPr>
              <w:t>.</w:t>
            </w:r>
            <w:r w:rsidRPr="00486239">
              <w:rPr>
                <w:sz w:val="20"/>
                <w:szCs w:val="20"/>
              </w:rPr>
              <w:t>3</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6</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4</w:t>
            </w:r>
            <w:r w:rsidR="00973386">
              <w:rPr>
                <w:sz w:val="20"/>
                <w:szCs w:val="20"/>
              </w:rPr>
              <w:t>.</w:t>
            </w:r>
            <w:r w:rsidRPr="00486239">
              <w:rPr>
                <w:sz w:val="20"/>
                <w:szCs w:val="20"/>
              </w:rPr>
              <w:t>4</w:t>
            </w:r>
          </w:p>
        </w:tc>
      </w:tr>
      <w:tr w:rsidR="00486239" w:rsidRPr="00047F4D" w:rsidTr="00486239">
        <w:trPr>
          <w:trHeight w:val="370"/>
        </w:trPr>
        <w:tc>
          <w:tcPr>
            <w:tcW w:w="3420" w:type="dxa"/>
            <w:tcBorders>
              <w:top w:val="nil"/>
            </w:tcBorders>
            <w:vAlign w:val="bottom"/>
          </w:tcPr>
          <w:p w:rsidR="00486239" w:rsidRPr="00F91693" w:rsidRDefault="00486239" w:rsidP="00BB0703">
            <w:pPr>
              <w:spacing w:line="288" w:lineRule="auto"/>
              <w:ind w:right="77"/>
              <w:rPr>
                <w:sz w:val="20"/>
                <w:szCs w:val="20"/>
              </w:rPr>
            </w:pPr>
            <w:r w:rsidRPr="00F91693">
              <w:rPr>
                <w:sz w:val="20"/>
                <w:szCs w:val="20"/>
              </w:rPr>
              <w:t>Investment goods import</w:t>
            </w:r>
          </w:p>
        </w:tc>
        <w:tc>
          <w:tcPr>
            <w:tcW w:w="1260" w:type="dxa"/>
            <w:tcBorders>
              <w:top w:val="nil"/>
            </w:tcBorders>
            <w:vAlign w:val="center"/>
          </w:tcPr>
          <w:p w:rsidR="00486239" w:rsidRPr="00486239" w:rsidRDefault="00486239" w:rsidP="00E3564A">
            <w:pPr>
              <w:ind w:right="42"/>
              <w:jc w:val="center"/>
              <w:rPr>
                <w:sz w:val="20"/>
                <w:szCs w:val="20"/>
              </w:rPr>
            </w:pPr>
            <w:r w:rsidRPr="00486239">
              <w:rPr>
                <w:sz w:val="20"/>
                <w:szCs w:val="20"/>
              </w:rPr>
              <w:t>11</w:t>
            </w:r>
            <w:r w:rsidR="00973386">
              <w:rPr>
                <w:sz w:val="20"/>
                <w:szCs w:val="20"/>
              </w:rPr>
              <w:t>.</w:t>
            </w:r>
            <w:r w:rsidRPr="00486239">
              <w:rPr>
                <w:sz w:val="20"/>
                <w:szCs w:val="20"/>
              </w:rPr>
              <w:t>7</w:t>
            </w:r>
          </w:p>
        </w:tc>
        <w:tc>
          <w:tcPr>
            <w:tcW w:w="1170" w:type="dxa"/>
            <w:tcBorders>
              <w:top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7</w:t>
            </w:r>
          </w:p>
        </w:tc>
        <w:tc>
          <w:tcPr>
            <w:tcW w:w="1147" w:type="dxa"/>
            <w:tcBorders>
              <w:top w:val="nil"/>
            </w:tcBorders>
            <w:vAlign w:val="center"/>
          </w:tcPr>
          <w:p w:rsidR="00486239" w:rsidRPr="00486239" w:rsidRDefault="00486239" w:rsidP="00E3564A">
            <w:pPr>
              <w:ind w:right="42"/>
              <w:jc w:val="center"/>
              <w:rPr>
                <w:sz w:val="20"/>
                <w:szCs w:val="20"/>
              </w:rPr>
            </w:pPr>
            <w:r w:rsidRPr="00486239">
              <w:rPr>
                <w:sz w:val="20"/>
                <w:szCs w:val="20"/>
              </w:rPr>
              <w:t>-3</w:t>
            </w:r>
            <w:r w:rsidR="00973386">
              <w:rPr>
                <w:sz w:val="20"/>
                <w:szCs w:val="20"/>
              </w:rPr>
              <w:t>.</w:t>
            </w:r>
            <w:r w:rsidRPr="00486239">
              <w:rPr>
                <w:sz w:val="20"/>
                <w:szCs w:val="20"/>
              </w:rPr>
              <w:t>9</w:t>
            </w:r>
          </w:p>
        </w:tc>
        <w:tc>
          <w:tcPr>
            <w:tcW w:w="1193" w:type="dxa"/>
            <w:tcBorders>
              <w:top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tcBorders>
            <w:vAlign w:val="center"/>
          </w:tcPr>
          <w:p w:rsidR="00486239" w:rsidRPr="00486239" w:rsidRDefault="00486239" w:rsidP="00E3564A">
            <w:pPr>
              <w:ind w:right="42"/>
              <w:jc w:val="center"/>
              <w:rPr>
                <w:sz w:val="20"/>
                <w:szCs w:val="20"/>
              </w:rPr>
            </w:pPr>
            <w:r w:rsidRPr="00486239">
              <w:rPr>
                <w:sz w:val="20"/>
                <w:szCs w:val="20"/>
              </w:rPr>
              <w:t>5</w:t>
            </w:r>
            <w:r w:rsidR="00973386">
              <w:rPr>
                <w:sz w:val="20"/>
                <w:szCs w:val="20"/>
              </w:rPr>
              <w:t>.</w:t>
            </w:r>
            <w:r w:rsidRPr="00486239">
              <w:rPr>
                <w:sz w:val="20"/>
                <w:szCs w:val="20"/>
              </w:rPr>
              <w:t>7</w:t>
            </w:r>
          </w:p>
        </w:tc>
        <w:tc>
          <w:tcPr>
            <w:tcW w:w="1035" w:type="dxa"/>
            <w:tcBorders>
              <w:top w:val="nil"/>
            </w:tcBorders>
            <w:vAlign w:val="center"/>
          </w:tcPr>
          <w:p w:rsidR="00486239" w:rsidRPr="00486239" w:rsidRDefault="00486239" w:rsidP="00E3564A">
            <w:pPr>
              <w:ind w:right="42"/>
              <w:jc w:val="center"/>
              <w:rPr>
                <w:sz w:val="20"/>
                <w:szCs w:val="20"/>
              </w:rPr>
            </w:pPr>
            <w:r w:rsidRPr="00486239">
              <w:rPr>
                <w:sz w:val="20"/>
                <w:szCs w:val="20"/>
              </w:rPr>
              <w:t>7</w:t>
            </w:r>
            <w:r w:rsidR="00973386">
              <w:rPr>
                <w:sz w:val="20"/>
                <w:szCs w:val="20"/>
              </w:rPr>
              <w:t>.</w:t>
            </w:r>
            <w:r w:rsidRPr="00486239">
              <w:rPr>
                <w:sz w:val="20"/>
                <w:szCs w:val="20"/>
              </w:rPr>
              <w:t>5</w:t>
            </w:r>
          </w:p>
        </w:tc>
      </w:tr>
      <w:tr w:rsidR="00486239" w:rsidRPr="00047F4D" w:rsidTr="00486239">
        <w:trPr>
          <w:trHeight w:val="370"/>
        </w:trPr>
        <w:tc>
          <w:tcPr>
            <w:tcW w:w="3420" w:type="dxa"/>
            <w:vAlign w:val="bottom"/>
          </w:tcPr>
          <w:p w:rsidR="00486239" w:rsidRPr="00F91693" w:rsidRDefault="00486239" w:rsidP="00BB0703">
            <w:pPr>
              <w:spacing w:line="288" w:lineRule="auto"/>
              <w:ind w:right="77"/>
              <w:rPr>
                <w:b/>
                <w:sz w:val="20"/>
                <w:szCs w:val="20"/>
              </w:rPr>
            </w:pPr>
            <w:r w:rsidRPr="00F91693">
              <w:rPr>
                <w:b/>
                <w:sz w:val="20"/>
                <w:szCs w:val="20"/>
              </w:rPr>
              <w:t>Exports without gold***</w:t>
            </w:r>
          </w:p>
        </w:tc>
        <w:tc>
          <w:tcPr>
            <w:tcW w:w="1260" w:type="dxa"/>
            <w:vAlign w:val="center"/>
          </w:tcPr>
          <w:p w:rsidR="00486239" w:rsidRPr="00486239" w:rsidRDefault="00486239" w:rsidP="00E3564A">
            <w:pPr>
              <w:ind w:right="42"/>
              <w:jc w:val="center"/>
              <w:rPr>
                <w:b/>
                <w:bCs/>
                <w:sz w:val="20"/>
                <w:szCs w:val="20"/>
              </w:rPr>
            </w:pPr>
            <w:r w:rsidRPr="00486239">
              <w:rPr>
                <w:b/>
                <w:bCs/>
                <w:sz w:val="20"/>
                <w:szCs w:val="20"/>
              </w:rPr>
              <w:t>5</w:t>
            </w:r>
            <w:r w:rsidR="00973386">
              <w:rPr>
                <w:b/>
                <w:bCs/>
                <w:sz w:val="20"/>
                <w:szCs w:val="20"/>
              </w:rPr>
              <w:t>.</w:t>
            </w:r>
            <w:r w:rsidRPr="00486239">
              <w:rPr>
                <w:b/>
                <w:bCs/>
                <w:sz w:val="20"/>
                <w:szCs w:val="20"/>
              </w:rPr>
              <w:t>2</w:t>
            </w:r>
          </w:p>
        </w:tc>
        <w:tc>
          <w:tcPr>
            <w:tcW w:w="1170" w:type="dxa"/>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6</w:t>
            </w:r>
          </w:p>
        </w:tc>
        <w:tc>
          <w:tcPr>
            <w:tcW w:w="1147" w:type="dxa"/>
            <w:vAlign w:val="center"/>
          </w:tcPr>
          <w:p w:rsidR="00486239" w:rsidRPr="00486239" w:rsidRDefault="00486239" w:rsidP="00E3564A">
            <w:pPr>
              <w:ind w:right="42"/>
              <w:jc w:val="center"/>
              <w:rPr>
                <w:b/>
                <w:bCs/>
                <w:sz w:val="20"/>
                <w:szCs w:val="20"/>
              </w:rPr>
            </w:pPr>
            <w:r w:rsidRPr="00486239">
              <w:rPr>
                <w:b/>
                <w:bCs/>
                <w:sz w:val="20"/>
                <w:szCs w:val="20"/>
              </w:rPr>
              <w:t>-1</w:t>
            </w:r>
            <w:r w:rsidR="00973386">
              <w:rPr>
                <w:b/>
                <w:bCs/>
                <w:sz w:val="20"/>
                <w:szCs w:val="20"/>
              </w:rPr>
              <w:t>.</w:t>
            </w:r>
            <w:r w:rsidRPr="00486239">
              <w:rPr>
                <w:b/>
                <w:bCs/>
                <w:sz w:val="20"/>
                <w:szCs w:val="20"/>
              </w:rPr>
              <w:t>6</w:t>
            </w:r>
          </w:p>
        </w:tc>
        <w:tc>
          <w:tcPr>
            <w:tcW w:w="1193" w:type="dxa"/>
            <w:tcBorders>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left w:val="double" w:sz="4" w:space="0" w:color="auto"/>
            </w:tcBorders>
            <w:vAlign w:val="center"/>
          </w:tcPr>
          <w:p w:rsidR="00486239" w:rsidRPr="00486239" w:rsidRDefault="00486239" w:rsidP="00E3564A">
            <w:pPr>
              <w:ind w:right="42"/>
              <w:jc w:val="center"/>
              <w:rPr>
                <w:b/>
                <w:bCs/>
                <w:sz w:val="20"/>
                <w:szCs w:val="20"/>
              </w:rPr>
            </w:pPr>
            <w:r w:rsidRPr="00486239">
              <w:rPr>
                <w:b/>
                <w:bCs/>
                <w:sz w:val="20"/>
                <w:szCs w:val="20"/>
              </w:rPr>
              <w:t>3</w:t>
            </w:r>
            <w:r w:rsidR="00973386">
              <w:rPr>
                <w:b/>
                <w:bCs/>
                <w:sz w:val="20"/>
                <w:szCs w:val="20"/>
              </w:rPr>
              <w:t>.</w:t>
            </w:r>
            <w:r w:rsidRPr="00486239">
              <w:rPr>
                <w:b/>
                <w:bCs/>
                <w:sz w:val="20"/>
                <w:szCs w:val="20"/>
              </w:rPr>
              <w:t>4</w:t>
            </w:r>
          </w:p>
        </w:tc>
        <w:tc>
          <w:tcPr>
            <w:tcW w:w="1035" w:type="dxa"/>
            <w:vAlign w:val="center"/>
          </w:tcPr>
          <w:p w:rsidR="00486239" w:rsidRPr="00486239" w:rsidRDefault="00486239" w:rsidP="00E3564A">
            <w:pPr>
              <w:ind w:right="42"/>
              <w:jc w:val="center"/>
              <w:rPr>
                <w:b/>
                <w:bCs/>
                <w:sz w:val="20"/>
                <w:szCs w:val="20"/>
              </w:rPr>
            </w:pPr>
            <w:r w:rsidRPr="00486239">
              <w:rPr>
                <w:b/>
                <w:bCs/>
                <w:sz w:val="20"/>
                <w:szCs w:val="20"/>
              </w:rPr>
              <w:t>1</w:t>
            </w:r>
            <w:r w:rsidR="00973386">
              <w:rPr>
                <w:b/>
                <w:bCs/>
                <w:sz w:val="20"/>
                <w:szCs w:val="20"/>
              </w:rPr>
              <w:t>.</w:t>
            </w:r>
            <w:r w:rsidRPr="00486239">
              <w:rPr>
                <w:b/>
                <w:bCs/>
                <w:sz w:val="20"/>
                <w:szCs w:val="20"/>
              </w:rPr>
              <w:t>0</w:t>
            </w:r>
          </w:p>
        </w:tc>
      </w:tr>
      <w:tr w:rsidR="00486239" w:rsidRPr="00047F4D" w:rsidTr="00486239">
        <w:trPr>
          <w:trHeight w:val="370"/>
        </w:trPr>
        <w:tc>
          <w:tcPr>
            <w:tcW w:w="3420" w:type="dxa"/>
            <w:vAlign w:val="bottom"/>
          </w:tcPr>
          <w:p w:rsidR="00486239" w:rsidRPr="00F91693" w:rsidRDefault="00486239" w:rsidP="00BB0703">
            <w:pPr>
              <w:spacing w:line="288" w:lineRule="auto"/>
              <w:ind w:right="77"/>
              <w:rPr>
                <w:b/>
                <w:sz w:val="20"/>
                <w:szCs w:val="20"/>
              </w:rPr>
            </w:pPr>
            <w:r w:rsidRPr="00F91693">
              <w:rPr>
                <w:b/>
                <w:sz w:val="20"/>
                <w:szCs w:val="20"/>
              </w:rPr>
              <w:t>Imports without gold***</w:t>
            </w:r>
          </w:p>
        </w:tc>
        <w:tc>
          <w:tcPr>
            <w:tcW w:w="1260" w:type="dxa"/>
            <w:vAlign w:val="center"/>
          </w:tcPr>
          <w:p w:rsidR="00486239" w:rsidRPr="00486239" w:rsidRDefault="00486239" w:rsidP="00E3564A">
            <w:pPr>
              <w:ind w:right="42"/>
              <w:jc w:val="center"/>
              <w:rPr>
                <w:b/>
                <w:bCs/>
                <w:sz w:val="20"/>
                <w:szCs w:val="20"/>
              </w:rPr>
            </w:pPr>
            <w:r w:rsidRPr="00486239">
              <w:rPr>
                <w:b/>
                <w:bCs/>
                <w:sz w:val="20"/>
                <w:szCs w:val="20"/>
              </w:rPr>
              <w:t>10</w:t>
            </w:r>
            <w:r w:rsidR="00973386">
              <w:rPr>
                <w:b/>
                <w:bCs/>
                <w:sz w:val="20"/>
                <w:szCs w:val="20"/>
              </w:rPr>
              <w:t>.</w:t>
            </w:r>
            <w:r w:rsidRPr="00486239">
              <w:rPr>
                <w:b/>
                <w:bCs/>
                <w:sz w:val="20"/>
                <w:szCs w:val="20"/>
              </w:rPr>
              <w:t>1</w:t>
            </w:r>
          </w:p>
        </w:tc>
        <w:tc>
          <w:tcPr>
            <w:tcW w:w="1170" w:type="dxa"/>
            <w:vAlign w:val="center"/>
          </w:tcPr>
          <w:p w:rsidR="00486239" w:rsidRPr="00486239" w:rsidRDefault="00486239" w:rsidP="00E3564A">
            <w:pPr>
              <w:ind w:right="42"/>
              <w:jc w:val="center"/>
              <w:rPr>
                <w:b/>
                <w:bCs/>
                <w:sz w:val="20"/>
                <w:szCs w:val="20"/>
              </w:rPr>
            </w:pPr>
            <w:r w:rsidRPr="00486239">
              <w:rPr>
                <w:b/>
                <w:bCs/>
                <w:sz w:val="20"/>
                <w:szCs w:val="20"/>
              </w:rPr>
              <w:t>-2</w:t>
            </w:r>
            <w:r w:rsidR="00973386">
              <w:rPr>
                <w:b/>
                <w:bCs/>
                <w:sz w:val="20"/>
                <w:szCs w:val="20"/>
              </w:rPr>
              <w:t>.</w:t>
            </w:r>
            <w:r w:rsidRPr="00486239">
              <w:rPr>
                <w:b/>
                <w:bCs/>
                <w:sz w:val="20"/>
                <w:szCs w:val="20"/>
              </w:rPr>
              <w:t>7</w:t>
            </w:r>
          </w:p>
        </w:tc>
        <w:tc>
          <w:tcPr>
            <w:tcW w:w="1147" w:type="dxa"/>
            <w:vAlign w:val="center"/>
          </w:tcPr>
          <w:p w:rsidR="00486239" w:rsidRPr="00486239" w:rsidRDefault="00486239" w:rsidP="00E3564A">
            <w:pPr>
              <w:ind w:right="42"/>
              <w:jc w:val="center"/>
              <w:rPr>
                <w:b/>
                <w:bCs/>
                <w:sz w:val="20"/>
                <w:szCs w:val="20"/>
              </w:rPr>
            </w:pPr>
            <w:r w:rsidRPr="00486239">
              <w:rPr>
                <w:b/>
                <w:bCs/>
                <w:sz w:val="20"/>
                <w:szCs w:val="20"/>
              </w:rPr>
              <w:t>-2</w:t>
            </w:r>
            <w:r w:rsidR="00973386">
              <w:rPr>
                <w:b/>
                <w:bCs/>
                <w:sz w:val="20"/>
                <w:szCs w:val="20"/>
              </w:rPr>
              <w:t>.</w:t>
            </w:r>
            <w:r w:rsidRPr="00486239">
              <w:rPr>
                <w:b/>
                <w:bCs/>
                <w:sz w:val="20"/>
                <w:szCs w:val="20"/>
              </w:rPr>
              <w:t>6</w:t>
            </w:r>
          </w:p>
        </w:tc>
        <w:tc>
          <w:tcPr>
            <w:tcW w:w="1193" w:type="dxa"/>
            <w:tcBorders>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left w:val="double" w:sz="4" w:space="0" w:color="auto"/>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3</w:t>
            </w:r>
          </w:p>
        </w:tc>
        <w:tc>
          <w:tcPr>
            <w:tcW w:w="1035" w:type="dxa"/>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2</w:t>
            </w:r>
          </w:p>
        </w:tc>
      </w:tr>
      <w:tr w:rsidR="00486239" w:rsidRPr="00047F4D" w:rsidTr="00486239">
        <w:trPr>
          <w:trHeight w:val="370"/>
        </w:trPr>
        <w:tc>
          <w:tcPr>
            <w:tcW w:w="3420" w:type="dxa"/>
            <w:tcBorders>
              <w:bottom w:val="nil"/>
            </w:tcBorders>
            <w:vAlign w:val="bottom"/>
          </w:tcPr>
          <w:p w:rsidR="00486239" w:rsidRPr="00F91693" w:rsidRDefault="00486239" w:rsidP="00BB0703">
            <w:pPr>
              <w:spacing w:line="288" w:lineRule="auto"/>
              <w:ind w:right="77"/>
              <w:rPr>
                <w:b/>
                <w:sz w:val="20"/>
                <w:szCs w:val="20"/>
              </w:rPr>
            </w:pPr>
            <w:r w:rsidRPr="00F91693">
              <w:rPr>
                <w:b/>
                <w:sz w:val="20"/>
                <w:szCs w:val="20"/>
              </w:rPr>
              <w:t xml:space="preserve">Industrial Production Index (IPI) </w:t>
            </w:r>
          </w:p>
        </w:tc>
        <w:tc>
          <w:tcPr>
            <w:tcW w:w="1260"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2</w:t>
            </w:r>
            <w:r w:rsidR="00973386">
              <w:rPr>
                <w:b/>
                <w:bCs/>
                <w:sz w:val="20"/>
                <w:szCs w:val="20"/>
              </w:rPr>
              <w:t>.</w:t>
            </w:r>
            <w:r w:rsidRPr="00486239">
              <w:rPr>
                <w:b/>
                <w:bCs/>
                <w:sz w:val="20"/>
                <w:szCs w:val="20"/>
              </w:rPr>
              <w:t>3</w:t>
            </w:r>
          </w:p>
        </w:tc>
        <w:tc>
          <w:tcPr>
            <w:tcW w:w="1170"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1</w:t>
            </w:r>
            <w:r w:rsidR="00973386">
              <w:rPr>
                <w:b/>
                <w:bCs/>
                <w:sz w:val="20"/>
                <w:szCs w:val="20"/>
              </w:rPr>
              <w:t>.</w:t>
            </w:r>
            <w:r w:rsidRPr="00486239">
              <w:rPr>
                <w:b/>
                <w:bCs/>
                <w:sz w:val="20"/>
                <w:szCs w:val="20"/>
              </w:rPr>
              <w:t>5</w:t>
            </w:r>
          </w:p>
        </w:tc>
        <w:tc>
          <w:tcPr>
            <w:tcW w:w="1147"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9</w:t>
            </w:r>
          </w:p>
        </w:tc>
        <w:tc>
          <w:tcPr>
            <w:tcW w:w="1193" w:type="dxa"/>
            <w:tcBorders>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left w:val="double" w:sz="4" w:space="0" w:color="auto"/>
              <w:bottom w:val="nil"/>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8</w:t>
            </w:r>
          </w:p>
        </w:tc>
        <w:tc>
          <w:tcPr>
            <w:tcW w:w="1035"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1</w:t>
            </w:r>
            <w:r w:rsidR="00973386">
              <w:rPr>
                <w:b/>
                <w:bCs/>
                <w:sz w:val="20"/>
                <w:szCs w:val="20"/>
              </w:rPr>
              <w:t>.</w:t>
            </w:r>
            <w:r w:rsidRPr="00486239">
              <w:rPr>
                <w:b/>
                <w:bCs/>
                <w:sz w:val="20"/>
                <w:szCs w:val="20"/>
              </w:rPr>
              <w:t>0</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Nondurable consumer goods</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1</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3</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3</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3</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1</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Durable consumer goods</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6</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3</w:t>
            </w:r>
            <w:r w:rsidR="00973386">
              <w:rPr>
                <w:sz w:val="20"/>
                <w:szCs w:val="20"/>
              </w:rPr>
              <w:t>.</w:t>
            </w:r>
            <w:r w:rsidRPr="00486239">
              <w:rPr>
                <w:sz w:val="20"/>
                <w:szCs w:val="20"/>
              </w:rPr>
              <w:t>2</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6</w:t>
            </w:r>
            <w:r w:rsidR="00973386">
              <w:rPr>
                <w:sz w:val="20"/>
                <w:szCs w:val="20"/>
              </w:rPr>
              <w:t>.</w:t>
            </w:r>
            <w:r w:rsidRPr="00486239">
              <w:rPr>
                <w:sz w:val="20"/>
                <w:szCs w:val="20"/>
              </w:rPr>
              <w:t>2</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8</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7</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Intermediate goods</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3</w:t>
            </w:r>
            <w:r w:rsidR="00973386">
              <w:rPr>
                <w:sz w:val="20"/>
                <w:szCs w:val="20"/>
              </w:rPr>
              <w:t>.</w:t>
            </w:r>
            <w:r w:rsidRPr="00486239">
              <w:rPr>
                <w:sz w:val="20"/>
                <w:szCs w:val="20"/>
              </w:rPr>
              <w:t>2</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4</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4</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6</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6</w:t>
            </w:r>
          </w:p>
        </w:tc>
      </w:tr>
      <w:tr w:rsidR="00486239" w:rsidRPr="00047F4D" w:rsidTr="00486239">
        <w:trPr>
          <w:trHeight w:val="370"/>
        </w:trPr>
        <w:tc>
          <w:tcPr>
            <w:tcW w:w="3420" w:type="dxa"/>
            <w:tcBorders>
              <w:top w:val="nil"/>
            </w:tcBorders>
            <w:vAlign w:val="bottom"/>
          </w:tcPr>
          <w:p w:rsidR="00486239" w:rsidRPr="00F91693" w:rsidRDefault="00486239" w:rsidP="00BB0703">
            <w:pPr>
              <w:spacing w:line="288" w:lineRule="auto"/>
              <w:ind w:right="77"/>
              <w:rPr>
                <w:sz w:val="20"/>
                <w:szCs w:val="20"/>
              </w:rPr>
            </w:pPr>
            <w:r w:rsidRPr="00F91693">
              <w:rPr>
                <w:sz w:val="20"/>
                <w:szCs w:val="20"/>
              </w:rPr>
              <w:t>Investment goods</w:t>
            </w:r>
          </w:p>
        </w:tc>
        <w:tc>
          <w:tcPr>
            <w:tcW w:w="1260" w:type="dxa"/>
            <w:tcBorders>
              <w:top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3</w:t>
            </w:r>
          </w:p>
        </w:tc>
        <w:tc>
          <w:tcPr>
            <w:tcW w:w="1170" w:type="dxa"/>
            <w:tcBorders>
              <w:top w:val="nil"/>
            </w:tcBorders>
            <w:vAlign w:val="center"/>
          </w:tcPr>
          <w:p w:rsidR="00486239" w:rsidRPr="00486239" w:rsidRDefault="00486239" w:rsidP="00E3564A">
            <w:pPr>
              <w:ind w:right="42"/>
              <w:jc w:val="center"/>
              <w:rPr>
                <w:sz w:val="20"/>
                <w:szCs w:val="20"/>
              </w:rPr>
            </w:pPr>
            <w:r w:rsidRPr="00486239">
              <w:rPr>
                <w:sz w:val="20"/>
                <w:szCs w:val="20"/>
              </w:rPr>
              <w:t>5</w:t>
            </w:r>
            <w:r w:rsidR="00973386">
              <w:rPr>
                <w:sz w:val="20"/>
                <w:szCs w:val="20"/>
              </w:rPr>
              <w:t>.</w:t>
            </w:r>
            <w:r w:rsidRPr="00486239">
              <w:rPr>
                <w:sz w:val="20"/>
                <w:szCs w:val="20"/>
              </w:rPr>
              <w:t>8</w:t>
            </w:r>
          </w:p>
        </w:tc>
        <w:tc>
          <w:tcPr>
            <w:tcW w:w="1147" w:type="dxa"/>
            <w:tcBorders>
              <w:top w:val="nil"/>
            </w:tcBorders>
            <w:vAlign w:val="center"/>
          </w:tcPr>
          <w:p w:rsidR="00486239" w:rsidRPr="00486239" w:rsidRDefault="00486239" w:rsidP="00E3564A">
            <w:pPr>
              <w:ind w:right="42"/>
              <w:jc w:val="center"/>
              <w:rPr>
                <w:sz w:val="20"/>
                <w:szCs w:val="20"/>
              </w:rPr>
            </w:pPr>
            <w:r w:rsidRPr="00486239">
              <w:rPr>
                <w:sz w:val="20"/>
                <w:szCs w:val="20"/>
              </w:rPr>
              <w:t>-5</w:t>
            </w:r>
            <w:r w:rsidR="00973386">
              <w:rPr>
                <w:sz w:val="20"/>
                <w:szCs w:val="20"/>
              </w:rPr>
              <w:t>.</w:t>
            </w:r>
            <w:r w:rsidRPr="00486239">
              <w:rPr>
                <w:sz w:val="20"/>
                <w:szCs w:val="20"/>
              </w:rPr>
              <w:t>7</w:t>
            </w:r>
          </w:p>
        </w:tc>
        <w:tc>
          <w:tcPr>
            <w:tcW w:w="1193" w:type="dxa"/>
            <w:tcBorders>
              <w:top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5</w:t>
            </w:r>
          </w:p>
        </w:tc>
        <w:tc>
          <w:tcPr>
            <w:tcW w:w="1035" w:type="dxa"/>
            <w:tcBorders>
              <w:top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5</w:t>
            </w:r>
          </w:p>
        </w:tc>
      </w:tr>
      <w:tr w:rsidR="00486239" w:rsidRPr="00047F4D" w:rsidTr="00486239">
        <w:trPr>
          <w:trHeight w:val="370"/>
        </w:trPr>
        <w:tc>
          <w:tcPr>
            <w:tcW w:w="3420" w:type="dxa"/>
            <w:tcBorders>
              <w:bottom w:val="nil"/>
            </w:tcBorders>
            <w:vAlign w:val="bottom"/>
          </w:tcPr>
          <w:p w:rsidR="00486239" w:rsidRPr="00F91693" w:rsidRDefault="00486239" w:rsidP="00BB0703">
            <w:pPr>
              <w:spacing w:line="288" w:lineRule="auto"/>
              <w:ind w:right="77"/>
              <w:rPr>
                <w:b/>
                <w:sz w:val="20"/>
                <w:szCs w:val="20"/>
              </w:rPr>
            </w:pPr>
            <w:r w:rsidRPr="00F91693">
              <w:rPr>
                <w:b/>
                <w:sz w:val="20"/>
                <w:szCs w:val="20"/>
              </w:rPr>
              <w:t>Capacity Utilization Rate (CUR)</w:t>
            </w:r>
          </w:p>
        </w:tc>
        <w:tc>
          <w:tcPr>
            <w:tcW w:w="1260"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5</w:t>
            </w:r>
          </w:p>
        </w:tc>
        <w:tc>
          <w:tcPr>
            <w:tcW w:w="1170"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2</w:t>
            </w:r>
          </w:p>
        </w:tc>
        <w:tc>
          <w:tcPr>
            <w:tcW w:w="1147"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6</w:t>
            </w:r>
          </w:p>
        </w:tc>
        <w:tc>
          <w:tcPr>
            <w:tcW w:w="1193" w:type="dxa"/>
            <w:tcBorders>
              <w:bottom w:val="nil"/>
              <w:right w:val="double" w:sz="4" w:space="0" w:color="auto"/>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4</w:t>
            </w:r>
          </w:p>
        </w:tc>
        <w:tc>
          <w:tcPr>
            <w:tcW w:w="1035" w:type="dxa"/>
            <w:tcBorders>
              <w:left w:val="double" w:sz="4" w:space="0" w:color="auto"/>
              <w:bottom w:val="nil"/>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2</w:t>
            </w:r>
          </w:p>
        </w:tc>
        <w:tc>
          <w:tcPr>
            <w:tcW w:w="1035" w:type="dxa"/>
            <w:tcBorders>
              <w:bottom w:val="nil"/>
            </w:tcBorders>
            <w:vAlign w:val="center"/>
          </w:tcPr>
          <w:p w:rsidR="00486239" w:rsidRPr="00486239" w:rsidRDefault="00486239" w:rsidP="00E3564A">
            <w:pPr>
              <w:ind w:right="42"/>
              <w:jc w:val="center"/>
              <w:rPr>
                <w:b/>
                <w:bCs/>
                <w:sz w:val="20"/>
                <w:szCs w:val="20"/>
              </w:rPr>
            </w:pPr>
            <w:r w:rsidRPr="00486239">
              <w:rPr>
                <w:b/>
                <w:bCs/>
                <w:sz w:val="20"/>
                <w:szCs w:val="20"/>
              </w:rPr>
              <w:t>-0</w:t>
            </w:r>
            <w:r w:rsidR="00973386">
              <w:rPr>
                <w:b/>
                <w:bCs/>
                <w:sz w:val="20"/>
                <w:szCs w:val="20"/>
              </w:rPr>
              <w:t>.</w:t>
            </w:r>
            <w:r w:rsidRPr="00486239">
              <w:rPr>
                <w:b/>
                <w:bCs/>
                <w:sz w:val="20"/>
                <w:szCs w:val="20"/>
              </w:rPr>
              <w:t>2</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Nondurable consumer goods</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8</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6</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2</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6</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2</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1</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Durable consumer goods</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9</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4</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6</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2</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5</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6</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Intermediate goods</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6</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1</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3</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4</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2</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5</w:t>
            </w:r>
          </w:p>
        </w:tc>
      </w:tr>
      <w:tr w:rsidR="00486239" w:rsidRPr="00047F4D" w:rsidTr="00486239">
        <w:trPr>
          <w:trHeight w:val="370"/>
        </w:trPr>
        <w:tc>
          <w:tcPr>
            <w:tcW w:w="3420" w:type="dxa"/>
            <w:tcBorders>
              <w:top w:val="nil"/>
            </w:tcBorders>
            <w:vAlign w:val="bottom"/>
          </w:tcPr>
          <w:p w:rsidR="00486239" w:rsidRPr="00F91693" w:rsidRDefault="00486239" w:rsidP="00BB0703">
            <w:pPr>
              <w:spacing w:line="288" w:lineRule="auto"/>
              <w:ind w:right="77"/>
              <w:rPr>
                <w:sz w:val="20"/>
                <w:szCs w:val="20"/>
              </w:rPr>
            </w:pPr>
            <w:r w:rsidRPr="00F91693">
              <w:rPr>
                <w:sz w:val="20"/>
                <w:szCs w:val="20"/>
              </w:rPr>
              <w:t>Investment goods</w:t>
            </w:r>
          </w:p>
        </w:tc>
        <w:tc>
          <w:tcPr>
            <w:tcW w:w="1260" w:type="dxa"/>
            <w:tcBorders>
              <w:top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1</w:t>
            </w:r>
          </w:p>
        </w:tc>
        <w:tc>
          <w:tcPr>
            <w:tcW w:w="1170" w:type="dxa"/>
            <w:tcBorders>
              <w:top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1</w:t>
            </w:r>
          </w:p>
        </w:tc>
        <w:tc>
          <w:tcPr>
            <w:tcW w:w="1147" w:type="dxa"/>
            <w:tcBorders>
              <w:top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5</w:t>
            </w:r>
          </w:p>
        </w:tc>
        <w:tc>
          <w:tcPr>
            <w:tcW w:w="1193" w:type="dxa"/>
            <w:tcBorders>
              <w:top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1</w:t>
            </w:r>
          </w:p>
        </w:tc>
        <w:tc>
          <w:tcPr>
            <w:tcW w:w="1035" w:type="dxa"/>
            <w:tcBorders>
              <w:top w:val="nil"/>
              <w:left w:val="double" w:sz="4" w:space="0" w:color="auto"/>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6</w:t>
            </w:r>
          </w:p>
        </w:tc>
        <w:tc>
          <w:tcPr>
            <w:tcW w:w="1035" w:type="dxa"/>
            <w:tcBorders>
              <w:top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2</w:t>
            </w:r>
          </w:p>
        </w:tc>
      </w:tr>
      <w:tr w:rsidR="00486239" w:rsidRPr="00047F4D" w:rsidTr="00486239">
        <w:trPr>
          <w:trHeight w:val="370"/>
        </w:trPr>
        <w:tc>
          <w:tcPr>
            <w:tcW w:w="3420" w:type="dxa"/>
            <w:tcBorders>
              <w:bottom w:val="nil"/>
            </w:tcBorders>
            <w:vAlign w:val="bottom"/>
          </w:tcPr>
          <w:p w:rsidR="00486239" w:rsidRPr="00F91693" w:rsidRDefault="00486239" w:rsidP="00BB0703">
            <w:pPr>
              <w:spacing w:line="288" w:lineRule="auto"/>
              <w:ind w:right="77"/>
              <w:rPr>
                <w:b/>
                <w:sz w:val="20"/>
                <w:szCs w:val="20"/>
              </w:rPr>
            </w:pPr>
            <w:r w:rsidRPr="00F91693">
              <w:rPr>
                <w:b/>
                <w:sz w:val="20"/>
                <w:szCs w:val="20"/>
              </w:rPr>
              <w:t>Soft Data</w:t>
            </w:r>
          </w:p>
        </w:tc>
        <w:tc>
          <w:tcPr>
            <w:tcW w:w="1260" w:type="dxa"/>
            <w:tcBorders>
              <w:bottom w:val="nil"/>
            </w:tcBorders>
            <w:vAlign w:val="center"/>
          </w:tcPr>
          <w:p w:rsidR="00486239" w:rsidRPr="00486239" w:rsidRDefault="00486239" w:rsidP="00E3564A">
            <w:pPr>
              <w:ind w:right="42"/>
              <w:jc w:val="center"/>
              <w:rPr>
                <w:b/>
                <w:bCs/>
                <w:sz w:val="20"/>
                <w:szCs w:val="20"/>
              </w:rPr>
            </w:pPr>
          </w:p>
        </w:tc>
        <w:tc>
          <w:tcPr>
            <w:tcW w:w="1170" w:type="dxa"/>
            <w:tcBorders>
              <w:bottom w:val="nil"/>
            </w:tcBorders>
            <w:vAlign w:val="center"/>
          </w:tcPr>
          <w:p w:rsidR="00486239" w:rsidRPr="00486239" w:rsidRDefault="00486239" w:rsidP="00E3564A">
            <w:pPr>
              <w:ind w:right="42"/>
              <w:jc w:val="center"/>
              <w:rPr>
                <w:b/>
                <w:bCs/>
                <w:sz w:val="20"/>
                <w:szCs w:val="20"/>
              </w:rPr>
            </w:pPr>
          </w:p>
        </w:tc>
        <w:tc>
          <w:tcPr>
            <w:tcW w:w="1147" w:type="dxa"/>
            <w:tcBorders>
              <w:bottom w:val="nil"/>
            </w:tcBorders>
            <w:vAlign w:val="center"/>
          </w:tcPr>
          <w:p w:rsidR="00486239" w:rsidRPr="00486239" w:rsidRDefault="00486239" w:rsidP="00E3564A">
            <w:pPr>
              <w:ind w:right="42"/>
              <w:jc w:val="center"/>
              <w:rPr>
                <w:b/>
                <w:bCs/>
                <w:sz w:val="20"/>
                <w:szCs w:val="20"/>
              </w:rPr>
            </w:pPr>
          </w:p>
        </w:tc>
        <w:tc>
          <w:tcPr>
            <w:tcW w:w="1193" w:type="dxa"/>
            <w:tcBorders>
              <w:bottom w:val="nil"/>
              <w:right w:val="double" w:sz="4" w:space="0" w:color="auto"/>
            </w:tcBorders>
            <w:vAlign w:val="center"/>
          </w:tcPr>
          <w:p w:rsidR="00486239" w:rsidRPr="00486239" w:rsidRDefault="00486239" w:rsidP="00E3564A">
            <w:pPr>
              <w:ind w:right="42"/>
              <w:jc w:val="center"/>
              <w:rPr>
                <w:b/>
                <w:bCs/>
                <w:sz w:val="20"/>
                <w:szCs w:val="20"/>
              </w:rPr>
            </w:pPr>
          </w:p>
        </w:tc>
        <w:tc>
          <w:tcPr>
            <w:tcW w:w="1035" w:type="dxa"/>
            <w:tcBorders>
              <w:left w:val="double" w:sz="4" w:space="0" w:color="auto"/>
              <w:bottom w:val="nil"/>
            </w:tcBorders>
            <w:vAlign w:val="center"/>
          </w:tcPr>
          <w:p w:rsidR="00486239" w:rsidRPr="00486239" w:rsidRDefault="00486239" w:rsidP="00E3564A">
            <w:pPr>
              <w:ind w:right="42"/>
              <w:jc w:val="center"/>
              <w:rPr>
                <w:b/>
                <w:bCs/>
                <w:sz w:val="20"/>
                <w:szCs w:val="20"/>
              </w:rPr>
            </w:pPr>
          </w:p>
        </w:tc>
        <w:tc>
          <w:tcPr>
            <w:tcW w:w="1035" w:type="dxa"/>
            <w:tcBorders>
              <w:bottom w:val="nil"/>
            </w:tcBorders>
            <w:vAlign w:val="center"/>
          </w:tcPr>
          <w:p w:rsidR="00486239" w:rsidRPr="00486239" w:rsidRDefault="00486239" w:rsidP="00E3564A">
            <w:pPr>
              <w:ind w:right="42"/>
              <w:jc w:val="center"/>
              <w:rPr>
                <w:b/>
                <w:bCs/>
                <w:sz w:val="20"/>
                <w:szCs w:val="20"/>
              </w:rPr>
            </w:pP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Consumer confidence index (Turkstat)</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7</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1</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3</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1</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-1</w:t>
            </w:r>
            <w:r w:rsidR="00973386">
              <w:rPr>
                <w:sz w:val="20"/>
                <w:szCs w:val="20"/>
              </w:rPr>
              <w:t>.</w:t>
            </w:r>
            <w:r w:rsidRPr="00486239">
              <w:rPr>
                <w:sz w:val="20"/>
                <w:szCs w:val="20"/>
              </w:rPr>
              <w:t>7</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9</w:t>
            </w:r>
          </w:p>
        </w:tc>
      </w:tr>
      <w:tr w:rsidR="00486239" w:rsidRPr="00047F4D" w:rsidTr="00486239">
        <w:trPr>
          <w:trHeight w:val="370"/>
        </w:trPr>
        <w:tc>
          <w:tcPr>
            <w:tcW w:w="3420" w:type="dxa"/>
            <w:tcBorders>
              <w:top w:val="nil"/>
            </w:tcBorders>
            <w:vAlign w:val="bottom"/>
          </w:tcPr>
          <w:p w:rsidR="00486239" w:rsidRPr="00F91693" w:rsidRDefault="00486239" w:rsidP="00BB0703">
            <w:pPr>
              <w:spacing w:line="288" w:lineRule="auto"/>
              <w:ind w:right="77"/>
              <w:rPr>
                <w:sz w:val="20"/>
                <w:szCs w:val="20"/>
              </w:rPr>
            </w:pPr>
            <w:r w:rsidRPr="00F91693">
              <w:rPr>
                <w:sz w:val="20"/>
                <w:szCs w:val="20"/>
              </w:rPr>
              <w:t>Reel sector confidence index</w:t>
            </w:r>
          </w:p>
        </w:tc>
        <w:tc>
          <w:tcPr>
            <w:tcW w:w="1260" w:type="dxa"/>
            <w:tcBorders>
              <w:top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1</w:t>
            </w:r>
          </w:p>
        </w:tc>
        <w:tc>
          <w:tcPr>
            <w:tcW w:w="1170" w:type="dxa"/>
            <w:tcBorders>
              <w:top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7</w:t>
            </w:r>
          </w:p>
        </w:tc>
        <w:tc>
          <w:tcPr>
            <w:tcW w:w="1147" w:type="dxa"/>
            <w:tcBorders>
              <w:top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7</w:t>
            </w:r>
          </w:p>
        </w:tc>
        <w:tc>
          <w:tcPr>
            <w:tcW w:w="1193" w:type="dxa"/>
            <w:tcBorders>
              <w:top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-3</w:t>
            </w:r>
            <w:r w:rsidR="00973386">
              <w:rPr>
                <w:sz w:val="20"/>
                <w:szCs w:val="20"/>
              </w:rPr>
              <w:t>.</w:t>
            </w:r>
            <w:r w:rsidRPr="00486239">
              <w:rPr>
                <w:sz w:val="20"/>
                <w:szCs w:val="20"/>
              </w:rPr>
              <w:t>4</w:t>
            </w:r>
          </w:p>
        </w:tc>
        <w:tc>
          <w:tcPr>
            <w:tcW w:w="1035" w:type="dxa"/>
            <w:tcBorders>
              <w:top w:val="nil"/>
              <w:left w:val="double" w:sz="4" w:space="0" w:color="auto"/>
            </w:tcBorders>
            <w:vAlign w:val="center"/>
          </w:tcPr>
          <w:p w:rsidR="00486239" w:rsidRPr="00486239" w:rsidRDefault="00486239" w:rsidP="00E3564A">
            <w:pPr>
              <w:ind w:right="42"/>
              <w:jc w:val="center"/>
              <w:rPr>
                <w:sz w:val="20"/>
                <w:szCs w:val="20"/>
              </w:rPr>
            </w:pPr>
            <w:r w:rsidRPr="00486239">
              <w:rPr>
                <w:sz w:val="20"/>
                <w:szCs w:val="20"/>
              </w:rPr>
              <w:t>4</w:t>
            </w:r>
            <w:r w:rsidR="00973386">
              <w:rPr>
                <w:sz w:val="20"/>
                <w:szCs w:val="20"/>
              </w:rPr>
              <w:t>.</w:t>
            </w:r>
            <w:r w:rsidRPr="00486239">
              <w:rPr>
                <w:sz w:val="20"/>
                <w:szCs w:val="20"/>
              </w:rPr>
              <w:t>5</w:t>
            </w:r>
          </w:p>
        </w:tc>
        <w:tc>
          <w:tcPr>
            <w:tcW w:w="1035" w:type="dxa"/>
            <w:tcBorders>
              <w:top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7</w:t>
            </w:r>
          </w:p>
        </w:tc>
      </w:tr>
      <w:tr w:rsidR="00486239" w:rsidRPr="00047F4D" w:rsidTr="00486239">
        <w:trPr>
          <w:trHeight w:val="370"/>
        </w:trPr>
        <w:tc>
          <w:tcPr>
            <w:tcW w:w="3420" w:type="dxa"/>
            <w:tcBorders>
              <w:bottom w:val="nil"/>
            </w:tcBorders>
            <w:vAlign w:val="bottom"/>
          </w:tcPr>
          <w:p w:rsidR="00486239" w:rsidRPr="00F91693" w:rsidRDefault="00486239" w:rsidP="00BB0703">
            <w:pPr>
              <w:spacing w:line="288" w:lineRule="auto"/>
              <w:ind w:right="77"/>
              <w:rPr>
                <w:b/>
                <w:sz w:val="20"/>
                <w:szCs w:val="20"/>
              </w:rPr>
            </w:pPr>
            <w:r w:rsidRPr="00F91693">
              <w:rPr>
                <w:b/>
                <w:sz w:val="20"/>
                <w:szCs w:val="20"/>
              </w:rPr>
              <w:t>Financial Data</w:t>
            </w:r>
          </w:p>
        </w:tc>
        <w:tc>
          <w:tcPr>
            <w:tcW w:w="1260" w:type="dxa"/>
            <w:tcBorders>
              <w:bottom w:val="nil"/>
            </w:tcBorders>
            <w:vAlign w:val="center"/>
          </w:tcPr>
          <w:p w:rsidR="00486239" w:rsidRPr="00486239" w:rsidRDefault="00486239" w:rsidP="00E3564A">
            <w:pPr>
              <w:ind w:right="42"/>
              <w:jc w:val="center"/>
              <w:rPr>
                <w:b/>
                <w:bCs/>
                <w:sz w:val="20"/>
                <w:szCs w:val="20"/>
              </w:rPr>
            </w:pPr>
          </w:p>
        </w:tc>
        <w:tc>
          <w:tcPr>
            <w:tcW w:w="1170" w:type="dxa"/>
            <w:tcBorders>
              <w:bottom w:val="nil"/>
            </w:tcBorders>
            <w:vAlign w:val="center"/>
          </w:tcPr>
          <w:p w:rsidR="00486239" w:rsidRPr="00486239" w:rsidRDefault="00486239" w:rsidP="00E3564A">
            <w:pPr>
              <w:ind w:right="42"/>
              <w:jc w:val="center"/>
              <w:rPr>
                <w:b/>
                <w:bCs/>
                <w:sz w:val="20"/>
                <w:szCs w:val="20"/>
              </w:rPr>
            </w:pPr>
          </w:p>
        </w:tc>
        <w:tc>
          <w:tcPr>
            <w:tcW w:w="1147" w:type="dxa"/>
            <w:tcBorders>
              <w:bottom w:val="nil"/>
            </w:tcBorders>
            <w:vAlign w:val="center"/>
          </w:tcPr>
          <w:p w:rsidR="00486239" w:rsidRPr="00486239" w:rsidRDefault="00486239" w:rsidP="00E3564A">
            <w:pPr>
              <w:ind w:right="42"/>
              <w:jc w:val="center"/>
              <w:rPr>
                <w:b/>
                <w:bCs/>
                <w:sz w:val="20"/>
                <w:szCs w:val="20"/>
              </w:rPr>
            </w:pPr>
          </w:p>
        </w:tc>
        <w:tc>
          <w:tcPr>
            <w:tcW w:w="1193" w:type="dxa"/>
            <w:tcBorders>
              <w:bottom w:val="nil"/>
              <w:right w:val="double" w:sz="4" w:space="0" w:color="auto"/>
            </w:tcBorders>
            <w:vAlign w:val="center"/>
          </w:tcPr>
          <w:p w:rsidR="00486239" w:rsidRPr="00486239" w:rsidRDefault="00486239" w:rsidP="00E3564A">
            <w:pPr>
              <w:ind w:right="42"/>
              <w:jc w:val="center"/>
              <w:rPr>
                <w:b/>
                <w:bCs/>
                <w:sz w:val="20"/>
                <w:szCs w:val="20"/>
              </w:rPr>
            </w:pPr>
          </w:p>
        </w:tc>
        <w:tc>
          <w:tcPr>
            <w:tcW w:w="1035" w:type="dxa"/>
            <w:tcBorders>
              <w:left w:val="double" w:sz="4" w:space="0" w:color="auto"/>
              <w:bottom w:val="nil"/>
            </w:tcBorders>
            <w:vAlign w:val="center"/>
          </w:tcPr>
          <w:p w:rsidR="00486239" w:rsidRPr="00486239" w:rsidRDefault="00486239" w:rsidP="00E3564A">
            <w:pPr>
              <w:ind w:right="42"/>
              <w:jc w:val="center"/>
              <w:rPr>
                <w:b/>
                <w:bCs/>
                <w:sz w:val="20"/>
                <w:szCs w:val="20"/>
              </w:rPr>
            </w:pPr>
          </w:p>
        </w:tc>
        <w:tc>
          <w:tcPr>
            <w:tcW w:w="1035" w:type="dxa"/>
            <w:tcBorders>
              <w:bottom w:val="nil"/>
            </w:tcBorders>
            <w:vAlign w:val="center"/>
          </w:tcPr>
          <w:p w:rsidR="00486239" w:rsidRPr="00486239" w:rsidRDefault="00486239" w:rsidP="00E3564A">
            <w:pPr>
              <w:ind w:right="42"/>
              <w:jc w:val="center"/>
              <w:rPr>
                <w:b/>
                <w:bCs/>
                <w:sz w:val="20"/>
                <w:szCs w:val="20"/>
              </w:rPr>
            </w:pPr>
          </w:p>
        </w:tc>
      </w:tr>
      <w:tr w:rsidR="00486239" w:rsidRPr="00047F4D" w:rsidTr="00486239">
        <w:trPr>
          <w:trHeight w:val="370"/>
        </w:trPr>
        <w:tc>
          <w:tcPr>
            <w:tcW w:w="3420" w:type="dxa"/>
            <w:tcBorders>
              <w:top w:val="nil"/>
            </w:tcBorders>
            <w:vAlign w:val="bottom"/>
          </w:tcPr>
          <w:p w:rsidR="00486239" w:rsidRPr="00F91693" w:rsidRDefault="00486239" w:rsidP="00BB0703">
            <w:pPr>
              <w:spacing w:line="288" w:lineRule="auto"/>
              <w:ind w:right="77"/>
              <w:rPr>
                <w:sz w:val="20"/>
                <w:szCs w:val="20"/>
              </w:rPr>
            </w:pPr>
            <w:r w:rsidRPr="00F91693">
              <w:rPr>
                <w:sz w:val="20"/>
                <w:szCs w:val="20"/>
              </w:rPr>
              <w:t>IMKB 100 (Stock Exchange)</w:t>
            </w:r>
          </w:p>
        </w:tc>
        <w:tc>
          <w:tcPr>
            <w:tcW w:w="1260" w:type="dxa"/>
            <w:tcBorders>
              <w:top w:val="nil"/>
            </w:tcBorders>
            <w:vAlign w:val="center"/>
          </w:tcPr>
          <w:p w:rsidR="00486239" w:rsidRPr="00486239" w:rsidRDefault="00486239" w:rsidP="00E3564A">
            <w:pPr>
              <w:ind w:right="42"/>
              <w:jc w:val="center"/>
              <w:rPr>
                <w:sz w:val="20"/>
                <w:szCs w:val="20"/>
              </w:rPr>
            </w:pPr>
            <w:r w:rsidRPr="00486239">
              <w:rPr>
                <w:sz w:val="20"/>
                <w:szCs w:val="20"/>
              </w:rPr>
              <w:t>3</w:t>
            </w:r>
            <w:r w:rsidR="00973386">
              <w:rPr>
                <w:sz w:val="20"/>
                <w:szCs w:val="20"/>
              </w:rPr>
              <w:t>.</w:t>
            </w:r>
            <w:r w:rsidRPr="00486239">
              <w:rPr>
                <w:sz w:val="20"/>
                <w:szCs w:val="20"/>
              </w:rPr>
              <w:t>9</w:t>
            </w:r>
          </w:p>
        </w:tc>
        <w:tc>
          <w:tcPr>
            <w:tcW w:w="1170" w:type="dxa"/>
            <w:tcBorders>
              <w:top w:val="nil"/>
            </w:tcBorders>
            <w:vAlign w:val="center"/>
          </w:tcPr>
          <w:p w:rsidR="00486239" w:rsidRPr="00486239" w:rsidRDefault="00486239" w:rsidP="00E3564A">
            <w:pPr>
              <w:ind w:right="42"/>
              <w:jc w:val="center"/>
              <w:rPr>
                <w:sz w:val="20"/>
                <w:szCs w:val="20"/>
              </w:rPr>
            </w:pPr>
            <w:r w:rsidRPr="00486239">
              <w:rPr>
                <w:sz w:val="20"/>
                <w:szCs w:val="20"/>
              </w:rPr>
              <w:t>-4</w:t>
            </w:r>
            <w:r w:rsidR="00973386">
              <w:rPr>
                <w:sz w:val="20"/>
                <w:szCs w:val="20"/>
              </w:rPr>
              <w:t>.</w:t>
            </w:r>
            <w:r w:rsidRPr="00486239">
              <w:rPr>
                <w:sz w:val="20"/>
                <w:szCs w:val="20"/>
              </w:rPr>
              <w:t>0</w:t>
            </w:r>
          </w:p>
        </w:tc>
        <w:tc>
          <w:tcPr>
            <w:tcW w:w="1147" w:type="dxa"/>
            <w:tcBorders>
              <w:top w:val="nil"/>
            </w:tcBorders>
            <w:vAlign w:val="center"/>
          </w:tcPr>
          <w:p w:rsidR="00486239" w:rsidRPr="00486239" w:rsidRDefault="00486239" w:rsidP="00E3564A">
            <w:pPr>
              <w:ind w:right="42"/>
              <w:jc w:val="center"/>
              <w:rPr>
                <w:sz w:val="20"/>
                <w:szCs w:val="20"/>
              </w:rPr>
            </w:pPr>
            <w:r w:rsidRPr="00486239">
              <w:rPr>
                <w:sz w:val="20"/>
                <w:szCs w:val="20"/>
              </w:rPr>
              <w:t>6</w:t>
            </w:r>
            <w:r w:rsidR="00973386">
              <w:rPr>
                <w:sz w:val="20"/>
                <w:szCs w:val="20"/>
              </w:rPr>
              <w:t>.</w:t>
            </w:r>
            <w:r w:rsidRPr="00486239">
              <w:rPr>
                <w:sz w:val="20"/>
                <w:szCs w:val="20"/>
              </w:rPr>
              <w:t>1</w:t>
            </w:r>
          </w:p>
        </w:tc>
        <w:tc>
          <w:tcPr>
            <w:tcW w:w="1193" w:type="dxa"/>
            <w:tcBorders>
              <w:top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7</w:t>
            </w:r>
          </w:p>
        </w:tc>
        <w:tc>
          <w:tcPr>
            <w:tcW w:w="1035" w:type="dxa"/>
            <w:tcBorders>
              <w:top w:val="nil"/>
              <w:left w:val="double" w:sz="4" w:space="0" w:color="auto"/>
            </w:tcBorders>
            <w:vAlign w:val="center"/>
          </w:tcPr>
          <w:p w:rsidR="00486239" w:rsidRPr="00486239" w:rsidRDefault="00486239" w:rsidP="00E3564A">
            <w:pPr>
              <w:ind w:right="42"/>
              <w:jc w:val="center"/>
              <w:rPr>
                <w:sz w:val="20"/>
                <w:szCs w:val="20"/>
              </w:rPr>
            </w:pPr>
            <w:r w:rsidRPr="00486239">
              <w:rPr>
                <w:sz w:val="20"/>
                <w:szCs w:val="20"/>
              </w:rPr>
              <w:t>8</w:t>
            </w:r>
            <w:r w:rsidR="00973386">
              <w:rPr>
                <w:sz w:val="20"/>
                <w:szCs w:val="20"/>
              </w:rPr>
              <w:t>.</w:t>
            </w:r>
            <w:r w:rsidRPr="00486239">
              <w:rPr>
                <w:sz w:val="20"/>
                <w:szCs w:val="20"/>
              </w:rPr>
              <w:t>3</w:t>
            </w:r>
          </w:p>
        </w:tc>
        <w:tc>
          <w:tcPr>
            <w:tcW w:w="1035" w:type="dxa"/>
            <w:tcBorders>
              <w:top w:val="nil"/>
            </w:tcBorders>
            <w:vAlign w:val="center"/>
          </w:tcPr>
          <w:p w:rsidR="00486239" w:rsidRPr="00486239" w:rsidRDefault="00486239" w:rsidP="00E3564A">
            <w:pPr>
              <w:ind w:right="42"/>
              <w:jc w:val="center"/>
              <w:rPr>
                <w:sz w:val="20"/>
                <w:szCs w:val="20"/>
              </w:rPr>
            </w:pPr>
            <w:r w:rsidRPr="00486239">
              <w:rPr>
                <w:sz w:val="20"/>
                <w:szCs w:val="20"/>
              </w:rPr>
              <w:t>8</w:t>
            </w:r>
            <w:r w:rsidR="00973386">
              <w:rPr>
                <w:sz w:val="20"/>
                <w:szCs w:val="20"/>
              </w:rPr>
              <w:t>.</w:t>
            </w:r>
            <w:r w:rsidRPr="00486239">
              <w:rPr>
                <w:sz w:val="20"/>
                <w:szCs w:val="20"/>
              </w:rPr>
              <w:t>7</w:t>
            </w:r>
          </w:p>
        </w:tc>
      </w:tr>
      <w:tr w:rsidR="00486239" w:rsidRPr="00047F4D" w:rsidTr="00486239">
        <w:trPr>
          <w:trHeight w:val="370"/>
        </w:trPr>
        <w:tc>
          <w:tcPr>
            <w:tcW w:w="3420" w:type="dxa"/>
            <w:tcBorders>
              <w:bottom w:val="nil"/>
            </w:tcBorders>
            <w:vAlign w:val="bottom"/>
          </w:tcPr>
          <w:p w:rsidR="00486239" w:rsidRPr="00F91693" w:rsidRDefault="00486239" w:rsidP="00BB0703">
            <w:pPr>
              <w:spacing w:line="288" w:lineRule="auto"/>
              <w:ind w:right="77"/>
              <w:rPr>
                <w:b/>
                <w:sz w:val="20"/>
                <w:szCs w:val="20"/>
              </w:rPr>
            </w:pPr>
            <w:r w:rsidRPr="00F91693">
              <w:rPr>
                <w:b/>
                <w:sz w:val="20"/>
                <w:szCs w:val="20"/>
              </w:rPr>
              <w:t>Other</w:t>
            </w:r>
          </w:p>
        </w:tc>
        <w:tc>
          <w:tcPr>
            <w:tcW w:w="1260" w:type="dxa"/>
            <w:tcBorders>
              <w:bottom w:val="nil"/>
            </w:tcBorders>
            <w:vAlign w:val="center"/>
          </w:tcPr>
          <w:p w:rsidR="00486239" w:rsidRPr="00486239" w:rsidRDefault="00486239" w:rsidP="00E3564A">
            <w:pPr>
              <w:ind w:right="42"/>
              <w:jc w:val="center"/>
              <w:rPr>
                <w:sz w:val="20"/>
                <w:szCs w:val="20"/>
              </w:rPr>
            </w:pPr>
          </w:p>
        </w:tc>
        <w:tc>
          <w:tcPr>
            <w:tcW w:w="1170" w:type="dxa"/>
            <w:tcBorders>
              <w:bottom w:val="nil"/>
            </w:tcBorders>
            <w:vAlign w:val="center"/>
          </w:tcPr>
          <w:p w:rsidR="00486239" w:rsidRPr="00486239" w:rsidRDefault="00486239" w:rsidP="00E3564A">
            <w:pPr>
              <w:ind w:right="42"/>
              <w:jc w:val="center"/>
              <w:rPr>
                <w:sz w:val="20"/>
                <w:szCs w:val="20"/>
              </w:rPr>
            </w:pPr>
          </w:p>
        </w:tc>
        <w:tc>
          <w:tcPr>
            <w:tcW w:w="1147" w:type="dxa"/>
            <w:tcBorders>
              <w:bottom w:val="nil"/>
            </w:tcBorders>
            <w:vAlign w:val="center"/>
          </w:tcPr>
          <w:p w:rsidR="00486239" w:rsidRPr="00486239" w:rsidRDefault="00486239" w:rsidP="00E3564A">
            <w:pPr>
              <w:ind w:right="42"/>
              <w:jc w:val="center"/>
              <w:rPr>
                <w:sz w:val="20"/>
                <w:szCs w:val="20"/>
              </w:rPr>
            </w:pPr>
          </w:p>
        </w:tc>
        <w:tc>
          <w:tcPr>
            <w:tcW w:w="1193" w:type="dxa"/>
            <w:tcBorders>
              <w:bottom w:val="nil"/>
              <w:right w:val="double" w:sz="4" w:space="0" w:color="auto"/>
            </w:tcBorders>
            <w:vAlign w:val="center"/>
          </w:tcPr>
          <w:p w:rsidR="00486239" w:rsidRPr="00486239" w:rsidRDefault="00486239" w:rsidP="00E3564A">
            <w:pPr>
              <w:ind w:right="42"/>
              <w:jc w:val="center"/>
              <w:rPr>
                <w:sz w:val="20"/>
                <w:szCs w:val="20"/>
              </w:rPr>
            </w:pPr>
          </w:p>
        </w:tc>
        <w:tc>
          <w:tcPr>
            <w:tcW w:w="1035" w:type="dxa"/>
            <w:tcBorders>
              <w:left w:val="double" w:sz="4" w:space="0" w:color="auto"/>
              <w:bottom w:val="nil"/>
            </w:tcBorders>
            <w:vAlign w:val="center"/>
          </w:tcPr>
          <w:p w:rsidR="00486239" w:rsidRPr="00486239" w:rsidRDefault="00486239" w:rsidP="00E3564A">
            <w:pPr>
              <w:ind w:right="42"/>
              <w:jc w:val="center"/>
              <w:rPr>
                <w:sz w:val="20"/>
                <w:szCs w:val="20"/>
              </w:rPr>
            </w:pPr>
          </w:p>
        </w:tc>
        <w:tc>
          <w:tcPr>
            <w:tcW w:w="1035" w:type="dxa"/>
            <w:tcBorders>
              <w:bottom w:val="nil"/>
            </w:tcBorders>
            <w:vAlign w:val="center"/>
          </w:tcPr>
          <w:p w:rsidR="00486239" w:rsidRPr="00486239" w:rsidRDefault="00486239" w:rsidP="00E3564A">
            <w:pPr>
              <w:ind w:right="42"/>
              <w:jc w:val="center"/>
              <w:rPr>
                <w:sz w:val="20"/>
                <w:szCs w:val="20"/>
              </w:rPr>
            </w:pP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sidRPr="00F91693">
              <w:rPr>
                <w:sz w:val="20"/>
                <w:szCs w:val="20"/>
              </w:rPr>
              <w:t>Special consumption tax* (SCT)</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8</w:t>
            </w:r>
            <w:r w:rsidR="00973386">
              <w:rPr>
                <w:sz w:val="20"/>
                <w:szCs w:val="20"/>
              </w:rPr>
              <w:t>.</w:t>
            </w:r>
            <w:r w:rsidRPr="00486239">
              <w:rPr>
                <w:sz w:val="20"/>
                <w:szCs w:val="20"/>
              </w:rPr>
              <w:t>3</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-8</w:t>
            </w:r>
            <w:r w:rsidR="00973386">
              <w:rPr>
                <w:sz w:val="20"/>
                <w:szCs w:val="20"/>
              </w:rPr>
              <w:t>.</w:t>
            </w:r>
            <w:r w:rsidRPr="00486239">
              <w:rPr>
                <w:sz w:val="20"/>
                <w:szCs w:val="20"/>
              </w:rPr>
              <w:t>6</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-3</w:t>
            </w:r>
            <w:r w:rsidR="00973386">
              <w:rPr>
                <w:sz w:val="20"/>
                <w:szCs w:val="20"/>
              </w:rPr>
              <w:t>.</w:t>
            </w:r>
            <w:r w:rsidRPr="00486239">
              <w:rPr>
                <w:sz w:val="20"/>
                <w:szCs w:val="20"/>
              </w:rPr>
              <w:t>6</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8</w:t>
            </w:r>
            <w:r w:rsidR="00973386">
              <w:rPr>
                <w:sz w:val="20"/>
                <w:szCs w:val="20"/>
              </w:rPr>
              <w:t>.</w:t>
            </w:r>
            <w:r w:rsidRPr="00486239">
              <w:rPr>
                <w:sz w:val="20"/>
                <w:szCs w:val="20"/>
              </w:rPr>
              <w:t>8</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0</w:t>
            </w:r>
            <w:r w:rsidR="00973386">
              <w:rPr>
                <w:sz w:val="20"/>
                <w:szCs w:val="20"/>
              </w:rPr>
              <w:t>.</w:t>
            </w:r>
            <w:r w:rsidRPr="00486239">
              <w:rPr>
                <w:sz w:val="20"/>
                <w:szCs w:val="20"/>
              </w:rPr>
              <w:t>6</w:t>
            </w:r>
          </w:p>
        </w:tc>
      </w:tr>
      <w:tr w:rsidR="00486239" w:rsidRPr="00047F4D" w:rsidTr="00486239">
        <w:trPr>
          <w:trHeight w:val="370"/>
        </w:trPr>
        <w:tc>
          <w:tcPr>
            <w:tcW w:w="3420" w:type="dxa"/>
            <w:tcBorders>
              <w:top w:val="nil"/>
              <w:bottom w:val="nil"/>
            </w:tcBorders>
            <w:vAlign w:val="bottom"/>
          </w:tcPr>
          <w:p w:rsidR="00486239" w:rsidRPr="00F91693" w:rsidRDefault="00486239" w:rsidP="00BB0703">
            <w:pPr>
              <w:spacing w:line="288" w:lineRule="auto"/>
              <w:ind w:right="77"/>
              <w:rPr>
                <w:sz w:val="20"/>
                <w:szCs w:val="20"/>
              </w:rPr>
            </w:pPr>
            <w:r>
              <w:rPr>
                <w:sz w:val="20"/>
                <w:szCs w:val="20"/>
              </w:rPr>
              <w:t>Passenger Cars</w:t>
            </w:r>
          </w:p>
        </w:tc>
        <w:tc>
          <w:tcPr>
            <w:tcW w:w="126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4</w:t>
            </w:r>
          </w:p>
        </w:tc>
        <w:tc>
          <w:tcPr>
            <w:tcW w:w="1170"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5</w:t>
            </w:r>
            <w:r w:rsidR="00973386">
              <w:rPr>
                <w:sz w:val="20"/>
                <w:szCs w:val="20"/>
              </w:rPr>
              <w:t>.</w:t>
            </w:r>
            <w:r w:rsidRPr="00486239">
              <w:rPr>
                <w:sz w:val="20"/>
                <w:szCs w:val="20"/>
              </w:rPr>
              <w:t>3</w:t>
            </w:r>
          </w:p>
        </w:tc>
        <w:tc>
          <w:tcPr>
            <w:tcW w:w="1147"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3</w:t>
            </w:r>
          </w:p>
        </w:tc>
        <w:tc>
          <w:tcPr>
            <w:tcW w:w="1193" w:type="dxa"/>
            <w:tcBorders>
              <w:top w:val="nil"/>
              <w:bottom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bottom w:val="nil"/>
            </w:tcBorders>
            <w:vAlign w:val="center"/>
          </w:tcPr>
          <w:p w:rsidR="00486239" w:rsidRPr="00486239" w:rsidRDefault="00486239" w:rsidP="00E3564A">
            <w:pPr>
              <w:ind w:right="42"/>
              <w:jc w:val="center"/>
              <w:rPr>
                <w:sz w:val="20"/>
                <w:szCs w:val="20"/>
              </w:rPr>
            </w:pPr>
            <w:r w:rsidRPr="00486239">
              <w:rPr>
                <w:sz w:val="20"/>
                <w:szCs w:val="20"/>
              </w:rPr>
              <w:t>4</w:t>
            </w:r>
            <w:r w:rsidR="00973386">
              <w:rPr>
                <w:sz w:val="20"/>
                <w:szCs w:val="20"/>
              </w:rPr>
              <w:t>.</w:t>
            </w:r>
            <w:r w:rsidRPr="00486239">
              <w:rPr>
                <w:sz w:val="20"/>
                <w:szCs w:val="20"/>
              </w:rPr>
              <w:t>2</w:t>
            </w:r>
          </w:p>
        </w:tc>
        <w:tc>
          <w:tcPr>
            <w:tcW w:w="1035" w:type="dxa"/>
            <w:tcBorders>
              <w:top w:val="nil"/>
              <w:bottom w:val="nil"/>
            </w:tcBorders>
            <w:vAlign w:val="center"/>
          </w:tcPr>
          <w:p w:rsidR="00486239" w:rsidRPr="00486239" w:rsidRDefault="00486239" w:rsidP="00E3564A">
            <w:pPr>
              <w:ind w:right="42"/>
              <w:jc w:val="center"/>
              <w:rPr>
                <w:sz w:val="20"/>
                <w:szCs w:val="20"/>
              </w:rPr>
            </w:pPr>
            <w:r w:rsidRPr="00486239">
              <w:rPr>
                <w:sz w:val="20"/>
                <w:szCs w:val="20"/>
              </w:rPr>
              <w:t>-2</w:t>
            </w:r>
            <w:r w:rsidR="00973386">
              <w:rPr>
                <w:sz w:val="20"/>
                <w:szCs w:val="20"/>
              </w:rPr>
              <w:t>.</w:t>
            </w:r>
            <w:r w:rsidRPr="00486239">
              <w:rPr>
                <w:sz w:val="20"/>
                <w:szCs w:val="20"/>
              </w:rPr>
              <w:t>3</w:t>
            </w:r>
          </w:p>
        </w:tc>
      </w:tr>
      <w:tr w:rsidR="00486239" w:rsidRPr="00047F4D" w:rsidTr="00486239">
        <w:trPr>
          <w:trHeight w:val="370"/>
        </w:trPr>
        <w:tc>
          <w:tcPr>
            <w:tcW w:w="3420" w:type="dxa"/>
            <w:tcBorders>
              <w:top w:val="nil"/>
            </w:tcBorders>
            <w:vAlign w:val="bottom"/>
          </w:tcPr>
          <w:p w:rsidR="00486239" w:rsidRPr="00F91693" w:rsidRDefault="00486239" w:rsidP="00BB0703">
            <w:pPr>
              <w:spacing w:line="288" w:lineRule="auto"/>
              <w:ind w:right="77"/>
              <w:rPr>
                <w:sz w:val="20"/>
                <w:szCs w:val="20"/>
              </w:rPr>
            </w:pPr>
            <w:r w:rsidRPr="00F91693">
              <w:rPr>
                <w:sz w:val="20"/>
                <w:szCs w:val="20"/>
              </w:rPr>
              <w:t>Commercial Vehicles</w:t>
            </w:r>
          </w:p>
        </w:tc>
        <w:tc>
          <w:tcPr>
            <w:tcW w:w="1260" w:type="dxa"/>
            <w:tcBorders>
              <w:top w:val="nil"/>
            </w:tcBorders>
            <w:vAlign w:val="center"/>
          </w:tcPr>
          <w:p w:rsidR="00486239" w:rsidRPr="00486239" w:rsidRDefault="00486239" w:rsidP="00E3564A">
            <w:pPr>
              <w:ind w:right="42"/>
              <w:jc w:val="center"/>
              <w:rPr>
                <w:sz w:val="20"/>
                <w:szCs w:val="20"/>
              </w:rPr>
            </w:pPr>
            <w:r w:rsidRPr="00486239">
              <w:rPr>
                <w:sz w:val="20"/>
                <w:szCs w:val="20"/>
              </w:rPr>
              <w:t>50</w:t>
            </w:r>
            <w:r w:rsidR="00973386">
              <w:rPr>
                <w:sz w:val="20"/>
                <w:szCs w:val="20"/>
              </w:rPr>
              <w:t>.</w:t>
            </w:r>
            <w:r w:rsidRPr="00486239">
              <w:rPr>
                <w:sz w:val="20"/>
                <w:szCs w:val="20"/>
              </w:rPr>
              <w:t>5</w:t>
            </w:r>
          </w:p>
        </w:tc>
        <w:tc>
          <w:tcPr>
            <w:tcW w:w="1170" w:type="dxa"/>
            <w:tcBorders>
              <w:top w:val="nil"/>
            </w:tcBorders>
            <w:vAlign w:val="center"/>
          </w:tcPr>
          <w:p w:rsidR="00486239" w:rsidRPr="00486239" w:rsidRDefault="00486239" w:rsidP="00E3564A">
            <w:pPr>
              <w:ind w:right="42"/>
              <w:jc w:val="center"/>
              <w:rPr>
                <w:sz w:val="20"/>
                <w:szCs w:val="20"/>
              </w:rPr>
            </w:pPr>
            <w:r w:rsidRPr="00486239">
              <w:rPr>
                <w:sz w:val="20"/>
                <w:szCs w:val="20"/>
              </w:rPr>
              <w:t>-5</w:t>
            </w:r>
            <w:r w:rsidR="00973386">
              <w:rPr>
                <w:sz w:val="20"/>
                <w:szCs w:val="20"/>
              </w:rPr>
              <w:t>.</w:t>
            </w:r>
            <w:r w:rsidRPr="00486239">
              <w:rPr>
                <w:sz w:val="20"/>
                <w:szCs w:val="20"/>
              </w:rPr>
              <w:t>6</w:t>
            </w:r>
          </w:p>
        </w:tc>
        <w:tc>
          <w:tcPr>
            <w:tcW w:w="1147" w:type="dxa"/>
            <w:tcBorders>
              <w:top w:val="nil"/>
            </w:tcBorders>
            <w:vAlign w:val="center"/>
          </w:tcPr>
          <w:p w:rsidR="00486239" w:rsidRPr="00486239" w:rsidRDefault="00486239" w:rsidP="00E3564A">
            <w:pPr>
              <w:ind w:right="42"/>
              <w:jc w:val="center"/>
              <w:rPr>
                <w:sz w:val="20"/>
                <w:szCs w:val="20"/>
              </w:rPr>
            </w:pPr>
            <w:r w:rsidRPr="00486239">
              <w:rPr>
                <w:sz w:val="20"/>
                <w:szCs w:val="20"/>
              </w:rPr>
              <w:t>-4</w:t>
            </w:r>
            <w:r w:rsidR="00973386">
              <w:rPr>
                <w:sz w:val="20"/>
                <w:szCs w:val="20"/>
              </w:rPr>
              <w:t>.</w:t>
            </w:r>
            <w:r w:rsidRPr="00486239">
              <w:rPr>
                <w:sz w:val="20"/>
                <w:szCs w:val="20"/>
              </w:rPr>
              <w:t>0</w:t>
            </w:r>
          </w:p>
        </w:tc>
        <w:tc>
          <w:tcPr>
            <w:tcW w:w="1193" w:type="dxa"/>
            <w:tcBorders>
              <w:top w:val="nil"/>
              <w:right w:val="double" w:sz="4" w:space="0" w:color="auto"/>
            </w:tcBorders>
            <w:vAlign w:val="center"/>
          </w:tcPr>
          <w:p w:rsidR="00486239" w:rsidRPr="00486239" w:rsidRDefault="00486239" w:rsidP="00E3564A">
            <w:pPr>
              <w:ind w:right="42"/>
              <w:jc w:val="center"/>
              <w:rPr>
                <w:sz w:val="20"/>
                <w:szCs w:val="20"/>
              </w:rPr>
            </w:pPr>
            <w:r w:rsidRPr="00486239">
              <w:rPr>
                <w:sz w:val="20"/>
                <w:szCs w:val="20"/>
              </w:rPr>
              <w:t>**</w:t>
            </w:r>
          </w:p>
        </w:tc>
        <w:tc>
          <w:tcPr>
            <w:tcW w:w="1035" w:type="dxa"/>
            <w:tcBorders>
              <w:top w:val="nil"/>
              <w:left w:val="double" w:sz="4" w:space="0" w:color="auto"/>
            </w:tcBorders>
            <w:vAlign w:val="center"/>
          </w:tcPr>
          <w:p w:rsidR="00486239" w:rsidRPr="00486239" w:rsidRDefault="00486239" w:rsidP="00E3564A">
            <w:pPr>
              <w:ind w:right="42"/>
              <w:jc w:val="center"/>
              <w:rPr>
                <w:sz w:val="20"/>
                <w:szCs w:val="20"/>
              </w:rPr>
            </w:pPr>
            <w:r w:rsidRPr="00486239">
              <w:rPr>
                <w:sz w:val="20"/>
                <w:szCs w:val="20"/>
              </w:rPr>
              <w:t>-6</w:t>
            </w:r>
            <w:r w:rsidR="00973386">
              <w:rPr>
                <w:sz w:val="20"/>
                <w:szCs w:val="20"/>
              </w:rPr>
              <w:t>.</w:t>
            </w:r>
            <w:r w:rsidRPr="00486239">
              <w:rPr>
                <w:sz w:val="20"/>
                <w:szCs w:val="20"/>
              </w:rPr>
              <w:t>3</w:t>
            </w:r>
          </w:p>
        </w:tc>
        <w:tc>
          <w:tcPr>
            <w:tcW w:w="1035" w:type="dxa"/>
            <w:tcBorders>
              <w:top w:val="nil"/>
            </w:tcBorders>
            <w:vAlign w:val="center"/>
          </w:tcPr>
          <w:p w:rsidR="00486239" w:rsidRPr="00486239" w:rsidRDefault="00486239" w:rsidP="00E3564A">
            <w:pPr>
              <w:ind w:right="42"/>
              <w:jc w:val="center"/>
              <w:rPr>
                <w:sz w:val="20"/>
                <w:szCs w:val="20"/>
              </w:rPr>
            </w:pPr>
            <w:r w:rsidRPr="00486239">
              <w:rPr>
                <w:sz w:val="20"/>
                <w:szCs w:val="20"/>
              </w:rPr>
              <w:t>13</w:t>
            </w:r>
            <w:r w:rsidR="00973386">
              <w:rPr>
                <w:sz w:val="20"/>
                <w:szCs w:val="20"/>
              </w:rPr>
              <w:t>.</w:t>
            </w:r>
            <w:r w:rsidRPr="00486239">
              <w:rPr>
                <w:sz w:val="20"/>
                <w:szCs w:val="20"/>
              </w:rPr>
              <w:t>8</w:t>
            </w:r>
          </w:p>
        </w:tc>
      </w:tr>
    </w:tbl>
    <w:p w:rsidR="008C6E50" w:rsidRPr="00F91693" w:rsidRDefault="00F91693" w:rsidP="008D71E7">
      <w:pPr>
        <w:spacing w:line="276" w:lineRule="auto"/>
        <w:ind w:left="-540" w:right="42"/>
        <w:jc w:val="both"/>
        <w:rPr>
          <w:sz w:val="16"/>
          <w:szCs w:val="16"/>
        </w:rPr>
      </w:pPr>
      <w:r>
        <w:rPr>
          <w:sz w:val="16"/>
          <w:szCs w:val="16"/>
        </w:rPr>
        <w:t xml:space="preserve">  </w:t>
      </w:r>
      <w:r w:rsidR="00E823E8" w:rsidRPr="00F91693">
        <w:rPr>
          <w:sz w:val="16"/>
          <w:szCs w:val="16"/>
        </w:rPr>
        <w:t>Source: TurkStat</w:t>
      </w:r>
      <w:r w:rsidR="008D71E7" w:rsidRPr="00F91693">
        <w:rPr>
          <w:sz w:val="16"/>
          <w:szCs w:val="16"/>
        </w:rPr>
        <w:t>,</w:t>
      </w:r>
      <w:r>
        <w:rPr>
          <w:sz w:val="16"/>
          <w:szCs w:val="16"/>
        </w:rPr>
        <w:t xml:space="preserve"> </w:t>
      </w:r>
      <w:r w:rsidR="00E03485" w:rsidRPr="00F91693">
        <w:rPr>
          <w:sz w:val="16"/>
          <w:szCs w:val="16"/>
        </w:rPr>
        <w:t>CBRT</w:t>
      </w:r>
      <w:r w:rsidR="008D71E7" w:rsidRPr="00F91693">
        <w:rPr>
          <w:sz w:val="16"/>
          <w:szCs w:val="16"/>
        </w:rPr>
        <w:t>,</w:t>
      </w:r>
      <w:r>
        <w:rPr>
          <w:sz w:val="16"/>
          <w:szCs w:val="16"/>
        </w:rPr>
        <w:t xml:space="preserve"> </w:t>
      </w:r>
      <w:r w:rsidR="00E823E8" w:rsidRPr="00F91693">
        <w:rPr>
          <w:sz w:val="16"/>
          <w:szCs w:val="16"/>
        </w:rPr>
        <w:t>Treasury</w:t>
      </w:r>
      <w:r w:rsidR="008D71E7" w:rsidRPr="00F91693">
        <w:rPr>
          <w:sz w:val="16"/>
          <w:szCs w:val="16"/>
        </w:rPr>
        <w:t>,</w:t>
      </w:r>
      <w:r>
        <w:rPr>
          <w:sz w:val="16"/>
          <w:szCs w:val="16"/>
        </w:rPr>
        <w:t xml:space="preserve"> </w:t>
      </w:r>
      <w:r w:rsidR="00E03485" w:rsidRPr="00F91693">
        <w:rPr>
          <w:sz w:val="16"/>
          <w:szCs w:val="16"/>
        </w:rPr>
        <w:t>ISE</w:t>
      </w:r>
      <w:r w:rsidR="008D71E7" w:rsidRPr="00F91693">
        <w:rPr>
          <w:sz w:val="16"/>
          <w:szCs w:val="16"/>
        </w:rPr>
        <w:t>,</w:t>
      </w:r>
      <w:r>
        <w:rPr>
          <w:sz w:val="16"/>
          <w:szCs w:val="16"/>
        </w:rPr>
        <w:t xml:space="preserve"> </w:t>
      </w:r>
      <w:r w:rsidR="00E823E8" w:rsidRPr="00F91693">
        <w:rPr>
          <w:sz w:val="16"/>
          <w:szCs w:val="16"/>
        </w:rPr>
        <w:t>Betam. All series are real (or inflation adjusted) wherever necessary and seasonally adjusted.</w:t>
      </w:r>
    </w:p>
    <w:p w:rsidR="00E823E8" w:rsidRPr="00F91693" w:rsidRDefault="00F91693" w:rsidP="008D71E7">
      <w:pPr>
        <w:spacing w:line="276" w:lineRule="auto"/>
        <w:ind w:left="-540" w:right="42"/>
        <w:jc w:val="both"/>
        <w:rPr>
          <w:sz w:val="16"/>
          <w:szCs w:val="16"/>
        </w:rPr>
      </w:pPr>
      <w:r>
        <w:rPr>
          <w:sz w:val="16"/>
          <w:szCs w:val="16"/>
        </w:rPr>
        <w:t xml:space="preserve">  </w:t>
      </w:r>
      <w:r w:rsidR="00E823E8" w:rsidRPr="00F91693">
        <w:rPr>
          <w:sz w:val="16"/>
          <w:szCs w:val="16"/>
        </w:rPr>
        <w:t>*This tax is collected on sales of goods such as gas</w:t>
      </w:r>
      <w:r w:rsidR="008D71E7" w:rsidRPr="00F91693">
        <w:rPr>
          <w:sz w:val="16"/>
          <w:szCs w:val="16"/>
        </w:rPr>
        <w:t xml:space="preserve">, </w:t>
      </w:r>
      <w:r w:rsidR="00E823E8" w:rsidRPr="00F91693">
        <w:rPr>
          <w:sz w:val="16"/>
          <w:szCs w:val="16"/>
        </w:rPr>
        <w:t>fuel oils</w:t>
      </w:r>
      <w:r w:rsidR="008D71E7" w:rsidRPr="00F91693">
        <w:rPr>
          <w:sz w:val="16"/>
          <w:szCs w:val="16"/>
        </w:rPr>
        <w:t xml:space="preserve">, </w:t>
      </w:r>
      <w:r w:rsidR="00E823E8" w:rsidRPr="00F91693">
        <w:rPr>
          <w:sz w:val="16"/>
          <w:szCs w:val="16"/>
        </w:rPr>
        <w:t>alcohol</w:t>
      </w:r>
      <w:r w:rsidR="008D71E7" w:rsidRPr="00F91693">
        <w:rPr>
          <w:sz w:val="16"/>
          <w:szCs w:val="16"/>
        </w:rPr>
        <w:t xml:space="preserve">, </w:t>
      </w:r>
      <w:r w:rsidR="00E823E8" w:rsidRPr="00F91693">
        <w:rPr>
          <w:sz w:val="16"/>
          <w:szCs w:val="16"/>
        </w:rPr>
        <w:t>tobacco products and automobiles.</w:t>
      </w:r>
    </w:p>
    <w:p w:rsidR="00E823E8" w:rsidRPr="00F91693" w:rsidRDefault="00F91693" w:rsidP="008D71E7">
      <w:pPr>
        <w:spacing w:line="276" w:lineRule="auto"/>
        <w:ind w:left="-540" w:right="42"/>
        <w:jc w:val="both"/>
        <w:rPr>
          <w:sz w:val="16"/>
          <w:szCs w:val="16"/>
        </w:rPr>
      </w:pPr>
      <w:r>
        <w:rPr>
          <w:sz w:val="16"/>
          <w:szCs w:val="16"/>
        </w:rPr>
        <w:t xml:space="preserve">  </w:t>
      </w:r>
      <w:r w:rsidR="00E823E8" w:rsidRPr="00F91693">
        <w:rPr>
          <w:sz w:val="16"/>
          <w:szCs w:val="16"/>
        </w:rPr>
        <w:t>**Data not yet released</w:t>
      </w:r>
      <w:r w:rsidR="00544439" w:rsidRPr="00F91693">
        <w:rPr>
          <w:sz w:val="16"/>
          <w:szCs w:val="16"/>
        </w:rPr>
        <w:t>.</w:t>
      </w:r>
    </w:p>
    <w:p w:rsidR="00544439" w:rsidRPr="00F91693" w:rsidRDefault="00F91693" w:rsidP="008D71E7">
      <w:pPr>
        <w:spacing w:line="276" w:lineRule="auto"/>
        <w:ind w:left="-540" w:right="42"/>
        <w:jc w:val="both"/>
        <w:rPr>
          <w:sz w:val="16"/>
          <w:szCs w:val="16"/>
        </w:rPr>
      </w:pPr>
      <w:r>
        <w:rPr>
          <w:sz w:val="16"/>
          <w:szCs w:val="16"/>
        </w:rPr>
        <w:t xml:space="preserve">  </w:t>
      </w:r>
      <w:r w:rsidR="00544439" w:rsidRPr="00F91693">
        <w:rPr>
          <w:sz w:val="16"/>
          <w:szCs w:val="16"/>
        </w:rPr>
        <w:t>***Betam’s calculations: Nominal exports (imports) minus non-monetary gold</w:t>
      </w:r>
      <w:r w:rsidR="008D71E7" w:rsidRPr="00F91693">
        <w:rPr>
          <w:sz w:val="16"/>
          <w:szCs w:val="16"/>
        </w:rPr>
        <w:t>,</w:t>
      </w:r>
      <w:r w:rsidR="00544439" w:rsidRPr="00F91693">
        <w:rPr>
          <w:sz w:val="16"/>
          <w:szCs w:val="16"/>
        </w:rPr>
        <w:t xml:space="preserve"> deflated </w:t>
      </w:r>
      <w:r w:rsidR="008D71E7" w:rsidRPr="00F91693">
        <w:rPr>
          <w:sz w:val="16"/>
          <w:szCs w:val="16"/>
        </w:rPr>
        <w:t>using</w:t>
      </w:r>
      <w:r w:rsidR="00544439" w:rsidRPr="00F91693">
        <w:rPr>
          <w:sz w:val="16"/>
          <w:szCs w:val="16"/>
        </w:rPr>
        <w:t xml:space="preserve"> the export (import) unit value index.</w:t>
      </w:r>
    </w:p>
    <w:p w:rsidR="00544439" w:rsidRPr="00B320C7" w:rsidRDefault="00544439" w:rsidP="006B60DC">
      <w:pPr>
        <w:spacing w:line="360" w:lineRule="auto"/>
        <w:ind w:left="-540" w:right="42"/>
        <w:jc w:val="both"/>
        <w:rPr>
          <w:rFonts w:ascii="Arial" w:hAnsi="Arial" w:cs="Arial"/>
          <w:sz w:val="16"/>
          <w:szCs w:val="16"/>
        </w:rPr>
      </w:pPr>
    </w:p>
    <w:p w:rsidR="00BD7514" w:rsidRPr="00B320C7" w:rsidRDefault="00BD7514" w:rsidP="00150B84">
      <w:pPr>
        <w:ind w:right="42"/>
        <w:jc w:val="both"/>
        <w:rPr>
          <w:rFonts w:ascii="Arial" w:hAnsi="Arial" w:cs="Arial"/>
          <w:b/>
          <w:sz w:val="20"/>
          <w:szCs w:val="20"/>
        </w:rPr>
      </w:pPr>
    </w:p>
    <w:p w:rsidR="00E03485" w:rsidRPr="00B320C7" w:rsidRDefault="00E03485" w:rsidP="00150B84">
      <w:pPr>
        <w:ind w:right="42"/>
        <w:jc w:val="both"/>
        <w:rPr>
          <w:rFonts w:ascii="Arial" w:hAnsi="Arial" w:cs="Arial"/>
          <w:b/>
          <w:sz w:val="20"/>
          <w:szCs w:val="20"/>
        </w:rPr>
        <w:sectPr w:rsidR="00E03485" w:rsidRPr="00B320C7" w:rsidSect="001E7720">
          <w:type w:val="continuous"/>
          <w:pgSz w:w="11906" w:h="16838"/>
          <w:pgMar w:top="1417" w:right="1417" w:bottom="1417" w:left="1417" w:header="708" w:footer="708" w:gutter="0"/>
          <w:cols w:space="708"/>
          <w:docGrid w:linePitch="360"/>
        </w:sectPr>
      </w:pPr>
    </w:p>
    <w:p w:rsidR="001E192B" w:rsidRPr="00B320C7" w:rsidRDefault="001E192B" w:rsidP="00C22DC8">
      <w:pPr>
        <w:ind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Pr="00B320C7" w:rsidRDefault="009D7880" w:rsidP="006B60DC">
      <w:pPr>
        <w:ind w:left="-360" w:right="42"/>
        <w:jc w:val="both"/>
        <w:rPr>
          <w:rFonts w:ascii="Arial" w:hAnsi="Arial" w:cs="Arial"/>
          <w:b/>
          <w:sz w:val="20"/>
          <w:szCs w:val="20"/>
        </w:rPr>
      </w:pPr>
    </w:p>
    <w:p w:rsidR="009D7880" w:rsidRDefault="009D7880"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Default="00B02E94" w:rsidP="006B60DC">
      <w:pPr>
        <w:ind w:left="-360" w:right="42"/>
        <w:jc w:val="both"/>
        <w:rPr>
          <w:rFonts w:ascii="Arial" w:hAnsi="Arial" w:cs="Arial"/>
          <w:b/>
          <w:sz w:val="20"/>
          <w:szCs w:val="20"/>
        </w:rPr>
      </w:pPr>
    </w:p>
    <w:p w:rsidR="00B02E94" w:rsidRPr="00B320C7" w:rsidRDefault="00B02E94" w:rsidP="006B60DC">
      <w:pPr>
        <w:ind w:left="-360" w:right="42"/>
        <w:jc w:val="both"/>
        <w:rPr>
          <w:rFonts w:ascii="Arial" w:hAnsi="Arial" w:cs="Arial"/>
          <w:b/>
          <w:sz w:val="20"/>
          <w:szCs w:val="20"/>
        </w:rPr>
      </w:pPr>
    </w:p>
    <w:p w:rsidR="00706AE1" w:rsidRDefault="00706AE1" w:rsidP="000B3D82">
      <w:pPr>
        <w:ind w:right="42"/>
        <w:jc w:val="both"/>
        <w:rPr>
          <w:rFonts w:ascii="Arial" w:hAnsi="Arial" w:cs="Arial"/>
          <w:b/>
          <w:sz w:val="20"/>
          <w:szCs w:val="20"/>
        </w:rPr>
      </w:pPr>
    </w:p>
    <w:p w:rsidR="003A3575" w:rsidRPr="00D4205B" w:rsidRDefault="00AC630B" w:rsidP="006B60DC">
      <w:pPr>
        <w:ind w:left="-360" w:right="42"/>
        <w:jc w:val="both"/>
        <w:rPr>
          <w:b/>
          <w:sz w:val="20"/>
          <w:szCs w:val="20"/>
        </w:rPr>
      </w:pPr>
      <w:r w:rsidRPr="00D4205B">
        <w:rPr>
          <w:b/>
          <w:sz w:val="20"/>
          <w:szCs w:val="20"/>
        </w:rPr>
        <w:lastRenderedPageBreak/>
        <w:t>Figure</w:t>
      </w:r>
      <w:r w:rsidR="003A3575" w:rsidRPr="00D4205B">
        <w:rPr>
          <w:b/>
          <w:sz w:val="20"/>
          <w:szCs w:val="20"/>
        </w:rPr>
        <w:t xml:space="preserve"> 1: </w:t>
      </w:r>
      <w:r w:rsidRPr="00D4205B">
        <w:rPr>
          <w:b/>
          <w:sz w:val="20"/>
          <w:szCs w:val="20"/>
        </w:rPr>
        <w:t>Capacity utilization rate and industrial production index</w:t>
      </w:r>
      <w:r w:rsidR="003A3575" w:rsidRPr="00D4205B">
        <w:rPr>
          <w:b/>
          <w:sz w:val="20"/>
          <w:szCs w:val="20"/>
        </w:rPr>
        <w:t xml:space="preserve"> (</w:t>
      </w:r>
      <w:r w:rsidRPr="00D4205B">
        <w:rPr>
          <w:b/>
          <w:sz w:val="20"/>
          <w:szCs w:val="20"/>
        </w:rPr>
        <w:t>s</w:t>
      </w:r>
      <w:r w:rsidR="00F65107" w:rsidRPr="00D4205B">
        <w:rPr>
          <w:b/>
          <w:sz w:val="20"/>
          <w:szCs w:val="20"/>
        </w:rPr>
        <w:t>a</w:t>
      </w:r>
      <w:r w:rsidR="0071337D" w:rsidRPr="00D4205B">
        <w:rPr>
          <w:b/>
          <w:sz w:val="20"/>
          <w:szCs w:val="20"/>
        </w:rPr>
        <w:t>.</w:t>
      </w:r>
      <w:r w:rsidRPr="00D4205B">
        <w:rPr>
          <w:b/>
          <w:sz w:val="20"/>
          <w:szCs w:val="20"/>
        </w:rPr>
        <w:t xml:space="preserve"> left axis for CUR and right axis for IPI</w:t>
      </w:r>
      <w:r w:rsidR="003A3575" w:rsidRPr="00D4205B">
        <w:rPr>
          <w:b/>
          <w:sz w:val="20"/>
          <w:szCs w:val="20"/>
        </w:rPr>
        <w:t>)</w:t>
      </w:r>
    </w:p>
    <w:p w:rsidR="003A3575" w:rsidRPr="00D4205B" w:rsidRDefault="00486239" w:rsidP="008944FC">
      <w:pPr>
        <w:ind w:left="-360" w:right="42"/>
        <w:jc w:val="both"/>
        <w:rPr>
          <w:szCs w:val="20"/>
        </w:rPr>
      </w:pPr>
      <w:r w:rsidRPr="00486239">
        <w:rPr>
          <w:noProof/>
          <w:szCs w:val="20"/>
          <w:lang w:eastAsia="en-US"/>
        </w:rPr>
        <w:drawing>
          <wp:inline distT="0" distB="0" distL="0" distR="0">
            <wp:extent cx="2655570" cy="2226812"/>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655570" cy="2226812"/>
                    </a:xfrm>
                    <a:prstGeom prst="rect">
                      <a:avLst/>
                    </a:prstGeom>
                    <a:noFill/>
                    <a:ln w="9525">
                      <a:noFill/>
                      <a:miter lim="800000"/>
                      <a:headEnd/>
                      <a:tailEnd/>
                    </a:ln>
                  </pic:spPr>
                </pic:pic>
              </a:graphicData>
            </a:graphic>
          </wp:inline>
        </w:drawing>
      </w:r>
    </w:p>
    <w:p w:rsidR="00B677BF" w:rsidRPr="00D4205B" w:rsidRDefault="00AC630B" w:rsidP="008944FC">
      <w:pPr>
        <w:ind w:left="-360" w:right="42"/>
        <w:jc w:val="both"/>
        <w:rPr>
          <w:sz w:val="16"/>
          <w:szCs w:val="16"/>
        </w:rPr>
      </w:pPr>
      <w:r w:rsidRPr="00D4205B">
        <w:rPr>
          <w:sz w:val="16"/>
          <w:szCs w:val="16"/>
        </w:rPr>
        <w:t>Source</w:t>
      </w:r>
      <w:r w:rsidR="003A3575" w:rsidRPr="00D4205B">
        <w:rPr>
          <w:sz w:val="16"/>
          <w:szCs w:val="16"/>
        </w:rPr>
        <w:t>:</w:t>
      </w:r>
      <w:r w:rsidR="008C1509" w:rsidRPr="00D4205B">
        <w:rPr>
          <w:sz w:val="16"/>
          <w:szCs w:val="16"/>
        </w:rPr>
        <w:t xml:space="preserve"> </w:t>
      </w:r>
      <w:r w:rsidRPr="00D4205B">
        <w:rPr>
          <w:sz w:val="16"/>
          <w:szCs w:val="16"/>
        </w:rPr>
        <w:t>TurkStat</w:t>
      </w:r>
      <w:r w:rsidR="007A7008" w:rsidRPr="00D4205B">
        <w:rPr>
          <w:sz w:val="16"/>
          <w:szCs w:val="16"/>
        </w:rPr>
        <w:t>.</w:t>
      </w:r>
      <w:r w:rsidR="008C1509" w:rsidRPr="00D4205B">
        <w:rPr>
          <w:sz w:val="16"/>
          <w:szCs w:val="16"/>
        </w:rPr>
        <w:t xml:space="preserve"> </w:t>
      </w:r>
      <w:r w:rsidR="003A3575" w:rsidRPr="00D4205B">
        <w:rPr>
          <w:sz w:val="16"/>
          <w:szCs w:val="16"/>
        </w:rPr>
        <w:t>Betam</w:t>
      </w:r>
      <w:r w:rsidR="00544439" w:rsidRPr="00D4205B">
        <w:rPr>
          <w:sz w:val="16"/>
          <w:szCs w:val="16"/>
        </w:rPr>
        <w:t>.</w:t>
      </w:r>
    </w:p>
    <w:p w:rsidR="008C1509" w:rsidRPr="00D4205B" w:rsidRDefault="008C1509" w:rsidP="00B677BF">
      <w:pPr>
        <w:ind w:left="-360" w:right="42"/>
        <w:jc w:val="both"/>
        <w:rPr>
          <w:sz w:val="16"/>
          <w:szCs w:val="16"/>
        </w:rPr>
      </w:pPr>
    </w:p>
    <w:p w:rsidR="008944FC" w:rsidRPr="00D4205B" w:rsidRDefault="008944FC" w:rsidP="00A82F2C">
      <w:pPr>
        <w:ind w:left="-360" w:right="42"/>
        <w:jc w:val="both"/>
        <w:rPr>
          <w:b/>
          <w:sz w:val="20"/>
          <w:szCs w:val="20"/>
        </w:rPr>
      </w:pPr>
    </w:p>
    <w:p w:rsidR="008944FC" w:rsidRPr="00D4205B" w:rsidRDefault="008944FC" w:rsidP="00A82F2C">
      <w:pPr>
        <w:ind w:left="-360" w:right="42"/>
        <w:jc w:val="both"/>
        <w:rPr>
          <w:b/>
          <w:sz w:val="20"/>
          <w:szCs w:val="20"/>
        </w:rPr>
      </w:pPr>
    </w:p>
    <w:p w:rsidR="008944FC" w:rsidRPr="00D4205B" w:rsidRDefault="008944FC" w:rsidP="00A82F2C">
      <w:pPr>
        <w:ind w:left="-360" w:right="42"/>
        <w:jc w:val="both"/>
        <w:rPr>
          <w:b/>
          <w:sz w:val="20"/>
          <w:szCs w:val="20"/>
        </w:rPr>
      </w:pPr>
    </w:p>
    <w:p w:rsidR="00486239" w:rsidRDefault="00486239" w:rsidP="008944FC">
      <w:pPr>
        <w:ind w:left="-360" w:right="42"/>
        <w:jc w:val="both"/>
        <w:rPr>
          <w:b/>
          <w:sz w:val="20"/>
          <w:szCs w:val="20"/>
        </w:rPr>
      </w:pPr>
    </w:p>
    <w:p w:rsidR="00486239" w:rsidRDefault="00486239" w:rsidP="008944FC">
      <w:pPr>
        <w:ind w:left="-360" w:right="42"/>
        <w:jc w:val="both"/>
        <w:rPr>
          <w:b/>
          <w:sz w:val="20"/>
          <w:szCs w:val="20"/>
        </w:rPr>
      </w:pPr>
    </w:p>
    <w:p w:rsidR="00C3029B" w:rsidRPr="00D4205B" w:rsidRDefault="00AC630B" w:rsidP="008944FC">
      <w:pPr>
        <w:ind w:left="-360" w:right="42"/>
        <w:jc w:val="both"/>
        <w:rPr>
          <w:b/>
          <w:sz w:val="20"/>
          <w:szCs w:val="20"/>
        </w:rPr>
      </w:pPr>
      <w:r w:rsidRPr="00D4205B">
        <w:rPr>
          <w:b/>
          <w:sz w:val="20"/>
          <w:szCs w:val="20"/>
        </w:rPr>
        <w:lastRenderedPageBreak/>
        <w:t>Figure</w:t>
      </w:r>
      <w:r w:rsidR="007067F4" w:rsidRPr="00D4205B">
        <w:rPr>
          <w:b/>
          <w:sz w:val="20"/>
          <w:szCs w:val="20"/>
        </w:rPr>
        <w:t xml:space="preserve"> 2: </w:t>
      </w:r>
      <w:r w:rsidRPr="00D4205B">
        <w:rPr>
          <w:b/>
          <w:sz w:val="20"/>
          <w:szCs w:val="20"/>
        </w:rPr>
        <w:t>Volume indices of exports and imports</w:t>
      </w:r>
      <w:r w:rsidR="007067F4" w:rsidRPr="00D4205B">
        <w:rPr>
          <w:b/>
          <w:sz w:val="20"/>
          <w:szCs w:val="20"/>
        </w:rPr>
        <w:t xml:space="preserve"> (</w:t>
      </w:r>
      <w:r w:rsidRPr="00D4205B">
        <w:rPr>
          <w:b/>
          <w:sz w:val="20"/>
          <w:szCs w:val="20"/>
        </w:rPr>
        <w:t>sa</w:t>
      </w:r>
      <w:r w:rsidR="007067F4" w:rsidRPr="00D4205B">
        <w:rPr>
          <w:b/>
          <w:sz w:val="20"/>
          <w:szCs w:val="20"/>
        </w:rPr>
        <w:t>)</w:t>
      </w:r>
    </w:p>
    <w:p w:rsidR="00D4205B" w:rsidRPr="00D4205B" w:rsidRDefault="00486239" w:rsidP="00D4205B">
      <w:pPr>
        <w:ind w:left="-360" w:right="42"/>
        <w:rPr>
          <w:sz w:val="16"/>
          <w:szCs w:val="16"/>
        </w:rPr>
      </w:pPr>
      <w:r>
        <w:rPr>
          <w:sz w:val="20"/>
          <w:szCs w:val="20"/>
        </w:rPr>
        <w:br/>
      </w:r>
      <w:r w:rsidR="00D4205B">
        <w:rPr>
          <w:sz w:val="16"/>
          <w:szCs w:val="16"/>
        </w:rPr>
        <w:br/>
      </w:r>
      <w:r w:rsidRPr="00486239">
        <w:rPr>
          <w:noProof/>
          <w:szCs w:val="16"/>
          <w:lang w:eastAsia="en-US"/>
        </w:rPr>
        <w:drawing>
          <wp:inline distT="0" distB="0" distL="0" distR="0">
            <wp:extent cx="2655138" cy="2231136"/>
            <wp:effectExtent l="19050" t="0" r="0" b="0"/>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0"/>
                    <a:srcRect/>
                    <a:stretch>
                      <a:fillRect/>
                    </a:stretch>
                  </pic:blipFill>
                  <pic:spPr bwMode="auto">
                    <a:xfrm>
                      <a:off x="0" y="0"/>
                      <a:ext cx="2655138" cy="2231136"/>
                    </a:xfrm>
                    <a:prstGeom prst="rect">
                      <a:avLst/>
                    </a:prstGeom>
                    <a:noFill/>
                    <a:ln w="9525">
                      <a:noFill/>
                      <a:miter lim="800000"/>
                      <a:headEnd/>
                      <a:tailEnd/>
                    </a:ln>
                  </pic:spPr>
                </pic:pic>
              </a:graphicData>
            </a:graphic>
          </wp:inline>
        </w:drawing>
      </w:r>
      <w:r w:rsidR="00D4205B">
        <w:rPr>
          <w:sz w:val="16"/>
          <w:szCs w:val="16"/>
        </w:rPr>
        <w:br/>
        <w:t>Source: Turkstat, Betam.</w:t>
      </w:r>
      <w:r w:rsidR="00D4205B">
        <w:rPr>
          <w:sz w:val="16"/>
          <w:szCs w:val="16"/>
        </w:rPr>
        <w:br/>
      </w:r>
    </w:p>
    <w:p w:rsidR="008944FC" w:rsidRPr="00D4205B" w:rsidRDefault="008944FC" w:rsidP="008944FC">
      <w:pPr>
        <w:ind w:left="-360" w:right="42"/>
        <w:jc w:val="both"/>
        <w:rPr>
          <w:b/>
          <w:sz w:val="20"/>
          <w:szCs w:val="20"/>
        </w:rPr>
      </w:pPr>
    </w:p>
    <w:p w:rsidR="007067F4" w:rsidRPr="00D4205B" w:rsidRDefault="007067F4" w:rsidP="00010DD1">
      <w:pPr>
        <w:spacing w:line="360" w:lineRule="auto"/>
        <w:ind w:right="42"/>
        <w:jc w:val="both"/>
        <w:rPr>
          <w:sz w:val="20"/>
          <w:szCs w:val="20"/>
        </w:rPr>
        <w:sectPr w:rsidR="007067F4" w:rsidRPr="00D4205B" w:rsidSect="007067F4">
          <w:type w:val="continuous"/>
          <w:pgSz w:w="11906" w:h="16838"/>
          <w:pgMar w:top="1417" w:right="1417" w:bottom="1417" w:left="1417" w:header="708" w:footer="708" w:gutter="0"/>
          <w:cols w:num="2" w:space="708" w:equalWidth="0">
            <w:col w:w="4182" w:space="708"/>
            <w:col w:w="4182"/>
          </w:cols>
          <w:docGrid w:linePitch="360"/>
        </w:sectPr>
      </w:pPr>
    </w:p>
    <w:p w:rsidR="00A74D70" w:rsidRPr="00D4205B" w:rsidRDefault="00A74D70" w:rsidP="00486239">
      <w:pPr>
        <w:spacing w:line="360" w:lineRule="auto"/>
        <w:ind w:right="42"/>
        <w:jc w:val="both"/>
        <w:rPr>
          <w:b/>
          <w:sz w:val="20"/>
          <w:szCs w:val="20"/>
        </w:rPr>
      </w:pPr>
    </w:p>
    <w:p w:rsidR="00EF6AB5" w:rsidRPr="00D4205B" w:rsidRDefault="00AC630B" w:rsidP="00C3029B">
      <w:pPr>
        <w:spacing w:line="360" w:lineRule="auto"/>
        <w:ind w:left="-360" w:right="42"/>
        <w:jc w:val="both"/>
        <w:rPr>
          <w:b/>
          <w:sz w:val="20"/>
          <w:szCs w:val="20"/>
        </w:rPr>
      </w:pPr>
      <w:r w:rsidRPr="00D4205B">
        <w:rPr>
          <w:b/>
          <w:sz w:val="20"/>
          <w:szCs w:val="20"/>
        </w:rPr>
        <w:t>Figure</w:t>
      </w:r>
      <w:r w:rsidR="00150B84" w:rsidRPr="00D4205B">
        <w:rPr>
          <w:b/>
          <w:sz w:val="20"/>
          <w:szCs w:val="20"/>
        </w:rPr>
        <w:t xml:space="preserve"> 3:</w:t>
      </w:r>
      <w:r w:rsidR="005B2CF3" w:rsidRPr="00D4205B">
        <w:rPr>
          <w:b/>
          <w:sz w:val="20"/>
          <w:szCs w:val="20"/>
        </w:rPr>
        <w:t xml:space="preserve"> </w:t>
      </w:r>
      <w:r w:rsidRPr="00D4205B">
        <w:rPr>
          <w:b/>
          <w:sz w:val="20"/>
          <w:szCs w:val="20"/>
        </w:rPr>
        <w:t>Ratio of current account deficit to</w:t>
      </w:r>
      <w:r w:rsidR="005B2CF3" w:rsidRPr="00D4205B">
        <w:rPr>
          <w:b/>
          <w:sz w:val="20"/>
          <w:szCs w:val="20"/>
        </w:rPr>
        <w:t xml:space="preserve"> </w:t>
      </w:r>
      <w:r w:rsidRPr="00D4205B">
        <w:rPr>
          <w:b/>
          <w:sz w:val="20"/>
          <w:szCs w:val="20"/>
        </w:rPr>
        <w:t>GDP</w:t>
      </w:r>
      <w:r w:rsidR="00455777" w:rsidRPr="00D4205B">
        <w:rPr>
          <w:b/>
          <w:sz w:val="20"/>
          <w:szCs w:val="20"/>
        </w:rPr>
        <w:t xml:space="preserve"> (yearly)</w:t>
      </w:r>
    </w:p>
    <w:p w:rsidR="001E7720" w:rsidRPr="00D4205B" w:rsidRDefault="00C84C95" w:rsidP="00D4205B">
      <w:pPr>
        <w:ind w:left="-360" w:right="42"/>
        <w:rPr>
          <w:szCs w:val="20"/>
        </w:rPr>
      </w:pPr>
      <w:r w:rsidRPr="00C84C95">
        <w:rPr>
          <w:noProof/>
          <w:szCs w:val="20"/>
          <w:lang w:eastAsia="en-US"/>
        </w:rPr>
        <w:drawing>
          <wp:inline distT="0" distB="0" distL="0" distR="0">
            <wp:extent cx="5760648" cy="2845705"/>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762672" cy="2846705"/>
                    </a:xfrm>
                    <a:prstGeom prst="rect">
                      <a:avLst/>
                    </a:prstGeom>
                    <a:noFill/>
                    <a:ln w="9525">
                      <a:noFill/>
                      <a:miter lim="800000"/>
                      <a:headEnd/>
                      <a:tailEnd/>
                    </a:ln>
                  </pic:spPr>
                </pic:pic>
              </a:graphicData>
            </a:graphic>
          </wp:inline>
        </w:drawing>
      </w:r>
    </w:p>
    <w:p w:rsidR="001E7720" w:rsidRPr="00D4205B" w:rsidRDefault="00AC630B" w:rsidP="00D4205B">
      <w:pPr>
        <w:ind w:left="-360" w:right="42"/>
        <w:jc w:val="both"/>
        <w:rPr>
          <w:sz w:val="16"/>
          <w:szCs w:val="16"/>
        </w:rPr>
      </w:pPr>
      <w:r w:rsidRPr="00D4205B">
        <w:rPr>
          <w:sz w:val="16"/>
          <w:szCs w:val="16"/>
        </w:rPr>
        <w:t xml:space="preserve">Source: </w:t>
      </w:r>
      <w:r w:rsidR="00E03485" w:rsidRPr="00D4205B">
        <w:rPr>
          <w:sz w:val="16"/>
          <w:szCs w:val="16"/>
        </w:rPr>
        <w:t>CBRT</w:t>
      </w:r>
      <w:r w:rsidR="007A7008" w:rsidRPr="00D4205B">
        <w:rPr>
          <w:sz w:val="16"/>
          <w:szCs w:val="16"/>
        </w:rPr>
        <w:t>.</w:t>
      </w:r>
      <w:r w:rsidR="005B2CF3" w:rsidRPr="00D4205B">
        <w:rPr>
          <w:sz w:val="16"/>
          <w:szCs w:val="16"/>
        </w:rPr>
        <w:t xml:space="preserve"> </w:t>
      </w:r>
      <w:r w:rsidRPr="00D4205B">
        <w:rPr>
          <w:sz w:val="16"/>
          <w:szCs w:val="16"/>
        </w:rPr>
        <w:t>TurkStat</w:t>
      </w:r>
      <w:r w:rsidR="007A7008" w:rsidRPr="00D4205B">
        <w:rPr>
          <w:sz w:val="16"/>
          <w:szCs w:val="16"/>
        </w:rPr>
        <w:t>.</w:t>
      </w:r>
      <w:r w:rsidR="005B2CF3" w:rsidRPr="00D4205B">
        <w:rPr>
          <w:sz w:val="16"/>
          <w:szCs w:val="16"/>
        </w:rPr>
        <w:t xml:space="preserve"> </w:t>
      </w:r>
      <w:r w:rsidRPr="00D4205B">
        <w:rPr>
          <w:sz w:val="16"/>
          <w:szCs w:val="16"/>
        </w:rPr>
        <w:t>Betam</w:t>
      </w:r>
      <w:r w:rsidR="00EF2A9C" w:rsidRPr="00D4205B">
        <w:rPr>
          <w:sz w:val="16"/>
          <w:szCs w:val="16"/>
        </w:rPr>
        <w:t>.</w:t>
      </w:r>
    </w:p>
    <w:p w:rsidR="001E7720" w:rsidRPr="00D4205B" w:rsidRDefault="001E7720" w:rsidP="00C30DC1">
      <w:pPr>
        <w:spacing w:line="360" w:lineRule="auto"/>
        <w:ind w:right="42"/>
        <w:jc w:val="both"/>
        <w:rPr>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042C84" w:rsidRPr="00D4205B" w:rsidRDefault="00042C84" w:rsidP="001E4BF5">
      <w:pPr>
        <w:spacing w:line="360" w:lineRule="auto"/>
        <w:ind w:left="-360" w:right="42"/>
        <w:jc w:val="both"/>
        <w:rPr>
          <w:b/>
          <w:sz w:val="20"/>
          <w:szCs w:val="20"/>
        </w:rPr>
      </w:pPr>
    </w:p>
    <w:p w:rsidR="00B34B81" w:rsidRPr="00D4205B" w:rsidRDefault="00B34B81" w:rsidP="004A70D1">
      <w:pPr>
        <w:spacing w:line="360" w:lineRule="auto"/>
        <w:ind w:right="42"/>
        <w:jc w:val="both"/>
        <w:rPr>
          <w:b/>
          <w:sz w:val="20"/>
          <w:szCs w:val="20"/>
        </w:rPr>
      </w:pPr>
    </w:p>
    <w:p w:rsidR="00D4205B" w:rsidRDefault="00D4205B" w:rsidP="001E4BF5">
      <w:pPr>
        <w:spacing w:line="360" w:lineRule="auto"/>
        <w:ind w:left="-360" w:right="42"/>
        <w:jc w:val="both"/>
        <w:rPr>
          <w:b/>
          <w:sz w:val="20"/>
          <w:szCs w:val="20"/>
        </w:rPr>
      </w:pPr>
    </w:p>
    <w:p w:rsidR="00C30DC1" w:rsidRPr="00D4205B" w:rsidRDefault="00451918" w:rsidP="001E4BF5">
      <w:pPr>
        <w:spacing w:line="360" w:lineRule="auto"/>
        <w:ind w:left="-360" w:right="42"/>
        <w:jc w:val="both"/>
        <w:rPr>
          <w:b/>
          <w:sz w:val="20"/>
          <w:szCs w:val="20"/>
        </w:rPr>
      </w:pPr>
      <w:r w:rsidRPr="00D4205B">
        <w:rPr>
          <w:b/>
          <w:sz w:val="20"/>
          <w:szCs w:val="20"/>
        </w:rPr>
        <w:lastRenderedPageBreak/>
        <w:t xml:space="preserve">Figure 4: </w:t>
      </w:r>
      <w:r w:rsidR="00C30DC1" w:rsidRPr="00D4205B">
        <w:rPr>
          <w:b/>
          <w:sz w:val="20"/>
          <w:szCs w:val="20"/>
        </w:rPr>
        <w:t>W</w:t>
      </w:r>
      <w:r w:rsidR="00042C84" w:rsidRPr="00D4205B">
        <w:rPr>
          <w:b/>
          <w:sz w:val="20"/>
          <w:szCs w:val="20"/>
        </w:rPr>
        <w:t>eighted Average Interest Rates f</w:t>
      </w:r>
      <w:r w:rsidR="00C30DC1" w:rsidRPr="00D4205B">
        <w:rPr>
          <w:b/>
          <w:sz w:val="20"/>
          <w:szCs w:val="20"/>
        </w:rPr>
        <w:t>or Turkish Lira Banks' Loans (%)</w:t>
      </w:r>
    </w:p>
    <w:p w:rsidR="00C30DC1" w:rsidRPr="00D4205B" w:rsidRDefault="00C84C95" w:rsidP="00D4205B">
      <w:pPr>
        <w:ind w:left="-360" w:right="42"/>
        <w:jc w:val="both"/>
        <w:rPr>
          <w:b/>
          <w:sz w:val="20"/>
          <w:szCs w:val="20"/>
        </w:rPr>
      </w:pPr>
      <w:r w:rsidRPr="00C84C95">
        <w:rPr>
          <w:noProof/>
          <w:szCs w:val="20"/>
          <w:lang w:eastAsia="en-US"/>
        </w:rPr>
        <w:drawing>
          <wp:inline distT="0" distB="0" distL="0" distR="0">
            <wp:extent cx="5760720" cy="2765917"/>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760720" cy="2765917"/>
                    </a:xfrm>
                    <a:prstGeom prst="rect">
                      <a:avLst/>
                    </a:prstGeom>
                    <a:noFill/>
                    <a:ln w="9525">
                      <a:noFill/>
                      <a:miter lim="800000"/>
                      <a:headEnd/>
                      <a:tailEnd/>
                    </a:ln>
                  </pic:spPr>
                </pic:pic>
              </a:graphicData>
            </a:graphic>
          </wp:inline>
        </w:drawing>
      </w:r>
    </w:p>
    <w:p w:rsidR="00D4205B" w:rsidRPr="00D4205B" w:rsidRDefault="00C30DC1" w:rsidP="00D4205B">
      <w:pPr>
        <w:ind w:left="-360" w:right="42"/>
        <w:jc w:val="both"/>
        <w:rPr>
          <w:sz w:val="16"/>
          <w:szCs w:val="16"/>
        </w:rPr>
      </w:pPr>
      <w:r w:rsidRPr="00D4205B">
        <w:rPr>
          <w:sz w:val="16"/>
          <w:szCs w:val="16"/>
        </w:rPr>
        <w:t xml:space="preserve">Source: </w:t>
      </w:r>
      <w:r w:rsidR="00E03485" w:rsidRPr="00D4205B">
        <w:rPr>
          <w:sz w:val="16"/>
          <w:szCs w:val="16"/>
        </w:rPr>
        <w:t>CBRT</w:t>
      </w:r>
      <w:r w:rsidR="00D4205B">
        <w:rPr>
          <w:sz w:val="16"/>
          <w:szCs w:val="16"/>
        </w:rPr>
        <w:t>.</w:t>
      </w:r>
    </w:p>
    <w:p w:rsidR="00D4205B" w:rsidRPr="00D4205B" w:rsidRDefault="00D4205B" w:rsidP="000B3D82">
      <w:pPr>
        <w:spacing w:line="360" w:lineRule="auto"/>
        <w:ind w:left="-360" w:right="42"/>
        <w:jc w:val="both"/>
        <w:rPr>
          <w:sz w:val="16"/>
          <w:szCs w:val="16"/>
        </w:rPr>
      </w:pPr>
    </w:p>
    <w:p w:rsidR="00D4205B" w:rsidRPr="00D4205B" w:rsidRDefault="00D4205B" w:rsidP="000B3D82">
      <w:pPr>
        <w:spacing w:line="360" w:lineRule="auto"/>
        <w:ind w:left="-360" w:right="42"/>
        <w:jc w:val="both"/>
        <w:rPr>
          <w:sz w:val="16"/>
          <w:szCs w:val="16"/>
        </w:rPr>
      </w:pPr>
      <w:r>
        <w:rPr>
          <w:b/>
          <w:sz w:val="20"/>
          <w:szCs w:val="20"/>
        </w:rPr>
        <w:t>Figure 5</w:t>
      </w:r>
      <w:r w:rsidRPr="00D4205B">
        <w:rPr>
          <w:b/>
          <w:sz w:val="20"/>
          <w:szCs w:val="20"/>
        </w:rPr>
        <w:t>: YoY increase in IPI in 2012 and 2013 (calendar day adjusted)</w:t>
      </w:r>
    </w:p>
    <w:p w:rsidR="004A70D1" w:rsidRPr="00D4205B" w:rsidRDefault="00C84C95" w:rsidP="00D4205B">
      <w:pPr>
        <w:ind w:left="-360" w:right="42"/>
        <w:jc w:val="both"/>
        <w:rPr>
          <w:b/>
          <w:sz w:val="20"/>
          <w:szCs w:val="20"/>
        </w:rPr>
      </w:pPr>
      <w:r w:rsidRPr="00C84C95">
        <w:rPr>
          <w:noProof/>
          <w:szCs w:val="16"/>
          <w:lang w:eastAsia="en-US"/>
        </w:rPr>
        <w:drawing>
          <wp:inline distT="0" distB="0" distL="0" distR="0">
            <wp:extent cx="5760648" cy="2983521"/>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62539" cy="2984500"/>
                    </a:xfrm>
                    <a:prstGeom prst="rect">
                      <a:avLst/>
                    </a:prstGeom>
                    <a:noFill/>
                    <a:ln w="9525">
                      <a:noFill/>
                      <a:miter lim="800000"/>
                      <a:headEnd/>
                      <a:tailEnd/>
                    </a:ln>
                  </pic:spPr>
                </pic:pic>
              </a:graphicData>
            </a:graphic>
          </wp:inline>
        </w:drawing>
      </w:r>
      <w:r w:rsidR="00EF2A9C" w:rsidRPr="00D4205B">
        <w:rPr>
          <w:sz w:val="16"/>
          <w:szCs w:val="16"/>
        </w:rPr>
        <w:t>.</w:t>
      </w:r>
      <w:r w:rsidR="000B3D82" w:rsidRPr="00D4205B">
        <w:rPr>
          <w:b/>
          <w:sz w:val="20"/>
          <w:szCs w:val="20"/>
        </w:rPr>
        <w:t xml:space="preserve"> </w:t>
      </w:r>
    </w:p>
    <w:p w:rsidR="00D4205B" w:rsidRPr="00D4205B" w:rsidRDefault="00D4205B" w:rsidP="00D4205B">
      <w:pPr>
        <w:ind w:left="-360" w:right="42"/>
        <w:jc w:val="both"/>
        <w:rPr>
          <w:sz w:val="16"/>
          <w:szCs w:val="16"/>
        </w:rPr>
      </w:pPr>
      <w:r w:rsidRPr="00D4205B">
        <w:rPr>
          <w:sz w:val="16"/>
          <w:szCs w:val="16"/>
        </w:rPr>
        <w:t>Source: Turkstat.</w:t>
      </w:r>
    </w:p>
    <w:sectPr w:rsidR="00D4205B" w:rsidRPr="00D4205B" w:rsidSect="001E772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355" w:rsidRDefault="00171355">
      <w:r>
        <w:separator/>
      </w:r>
    </w:p>
  </w:endnote>
  <w:endnote w:type="continuationSeparator" w:id="1">
    <w:p w:rsidR="00171355" w:rsidRDefault="00171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355" w:rsidRDefault="00171355">
      <w:r>
        <w:separator/>
      </w:r>
    </w:p>
  </w:footnote>
  <w:footnote w:type="continuationSeparator" w:id="1">
    <w:p w:rsidR="00171355" w:rsidRDefault="00171355">
      <w:r>
        <w:continuationSeparator/>
      </w:r>
    </w:p>
  </w:footnote>
  <w:footnote w:id="2">
    <w:p w:rsidR="00797035" w:rsidRPr="0006304A" w:rsidRDefault="00797035" w:rsidP="00D93574">
      <w:pPr>
        <w:pStyle w:val="FootnoteText"/>
        <w:ind w:left="-360"/>
        <w:jc w:val="both"/>
        <w:rPr>
          <w:sz w:val="18"/>
          <w:szCs w:val="18"/>
          <w:lang w:val="tr-TR"/>
        </w:rPr>
      </w:pPr>
      <w:r w:rsidRPr="0006304A">
        <w:rPr>
          <w:rStyle w:val="FootnoteReference"/>
          <w:sz w:val="18"/>
          <w:szCs w:val="18"/>
        </w:rPr>
        <w:footnoteRef/>
      </w:r>
      <w:r w:rsidRPr="0006304A">
        <w:rPr>
          <w:sz w:val="18"/>
          <w:szCs w:val="18"/>
        </w:rPr>
        <w:t xml:space="preserve"> </w:t>
      </w:r>
      <w:r w:rsidRPr="0006304A">
        <w:rPr>
          <w:sz w:val="18"/>
          <w:szCs w:val="18"/>
          <w:lang w:val="tr-TR"/>
        </w:rPr>
        <w:t xml:space="preserve">Following the decision of the monetary policy committee </w:t>
      </w:r>
      <w:r w:rsidR="00D93574" w:rsidRPr="0006304A">
        <w:rPr>
          <w:sz w:val="18"/>
          <w:szCs w:val="18"/>
          <w:lang w:val="tr-TR"/>
        </w:rPr>
        <w:t xml:space="preserve">at the last week of April, interest rates on commercial loans fell back to 8.84 percent.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14"/>
  <w:hyphenationZone w:val="425"/>
  <w:characterSpacingControl w:val="doNotCompress"/>
  <w:footnotePr>
    <w:footnote w:id="0"/>
    <w:footnote w:id="1"/>
  </w:footnotePr>
  <w:endnotePr>
    <w:endnote w:id="0"/>
    <w:endnote w:id="1"/>
  </w:endnotePr>
  <w:compat/>
  <w:rsids>
    <w:rsidRoot w:val="00357ECC"/>
    <w:rsid w:val="000003F0"/>
    <w:rsid w:val="00001050"/>
    <w:rsid w:val="00003567"/>
    <w:rsid w:val="00003E34"/>
    <w:rsid w:val="0000434B"/>
    <w:rsid w:val="00004745"/>
    <w:rsid w:val="00004C0B"/>
    <w:rsid w:val="00007B8D"/>
    <w:rsid w:val="00010DD1"/>
    <w:rsid w:val="00013406"/>
    <w:rsid w:val="00013EE7"/>
    <w:rsid w:val="00017F2E"/>
    <w:rsid w:val="00024559"/>
    <w:rsid w:val="000247C6"/>
    <w:rsid w:val="00024B55"/>
    <w:rsid w:val="00026210"/>
    <w:rsid w:val="0002627E"/>
    <w:rsid w:val="00031B4E"/>
    <w:rsid w:val="0003258C"/>
    <w:rsid w:val="00032789"/>
    <w:rsid w:val="00033490"/>
    <w:rsid w:val="00034421"/>
    <w:rsid w:val="00037357"/>
    <w:rsid w:val="00037CE9"/>
    <w:rsid w:val="00041479"/>
    <w:rsid w:val="00042C84"/>
    <w:rsid w:val="00047B99"/>
    <w:rsid w:val="00050DCF"/>
    <w:rsid w:val="00050EC0"/>
    <w:rsid w:val="00051119"/>
    <w:rsid w:val="00051CD0"/>
    <w:rsid w:val="00055814"/>
    <w:rsid w:val="00055A3E"/>
    <w:rsid w:val="00057FC2"/>
    <w:rsid w:val="000625E8"/>
    <w:rsid w:val="0006304A"/>
    <w:rsid w:val="00063758"/>
    <w:rsid w:val="00065B3C"/>
    <w:rsid w:val="00067DF6"/>
    <w:rsid w:val="000715CA"/>
    <w:rsid w:val="000717B5"/>
    <w:rsid w:val="00073915"/>
    <w:rsid w:val="000743ED"/>
    <w:rsid w:val="00074EEE"/>
    <w:rsid w:val="0007515D"/>
    <w:rsid w:val="000820D2"/>
    <w:rsid w:val="0008367E"/>
    <w:rsid w:val="00084ED0"/>
    <w:rsid w:val="000854F8"/>
    <w:rsid w:val="00086F46"/>
    <w:rsid w:val="00091D4B"/>
    <w:rsid w:val="00093515"/>
    <w:rsid w:val="000966DF"/>
    <w:rsid w:val="00097481"/>
    <w:rsid w:val="000A1E16"/>
    <w:rsid w:val="000A383B"/>
    <w:rsid w:val="000A3D92"/>
    <w:rsid w:val="000A6429"/>
    <w:rsid w:val="000A701D"/>
    <w:rsid w:val="000B0553"/>
    <w:rsid w:val="000B0D88"/>
    <w:rsid w:val="000B3D82"/>
    <w:rsid w:val="000B669B"/>
    <w:rsid w:val="000C3022"/>
    <w:rsid w:val="000C5B7E"/>
    <w:rsid w:val="000D029B"/>
    <w:rsid w:val="000D0DA7"/>
    <w:rsid w:val="000D0ECE"/>
    <w:rsid w:val="000D50D1"/>
    <w:rsid w:val="000D546F"/>
    <w:rsid w:val="000D6420"/>
    <w:rsid w:val="000D7F65"/>
    <w:rsid w:val="000E0388"/>
    <w:rsid w:val="000E0BD1"/>
    <w:rsid w:val="000E10A3"/>
    <w:rsid w:val="000E4231"/>
    <w:rsid w:val="000E4C57"/>
    <w:rsid w:val="000E5826"/>
    <w:rsid w:val="000E6B5D"/>
    <w:rsid w:val="000E7CC8"/>
    <w:rsid w:val="000F0BB8"/>
    <w:rsid w:val="000F219F"/>
    <w:rsid w:val="000F3017"/>
    <w:rsid w:val="000F396D"/>
    <w:rsid w:val="000F4941"/>
    <w:rsid w:val="000F68F9"/>
    <w:rsid w:val="000F6D02"/>
    <w:rsid w:val="00100665"/>
    <w:rsid w:val="00100750"/>
    <w:rsid w:val="00101EB7"/>
    <w:rsid w:val="00102C87"/>
    <w:rsid w:val="00102FC6"/>
    <w:rsid w:val="00106127"/>
    <w:rsid w:val="001105B2"/>
    <w:rsid w:val="001116C3"/>
    <w:rsid w:val="00111825"/>
    <w:rsid w:val="00114BC7"/>
    <w:rsid w:val="0012219C"/>
    <w:rsid w:val="00124929"/>
    <w:rsid w:val="00127B4E"/>
    <w:rsid w:val="0013046D"/>
    <w:rsid w:val="00131702"/>
    <w:rsid w:val="00133054"/>
    <w:rsid w:val="00133571"/>
    <w:rsid w:val="001357C1"/>
    <w:rsid w:val="00135FEE"/>
    <w:rsid w:val="00137054"/>
    <w:rsid w:val="00137F02"/>
    <w:rsid w:val="00141B93"/>
    <w:rsid w:val="00143828"/>
    <w:rsid w:val="00147192"/>
    <w:rsid w:val="0015045A"/>
    <w:rsid w:val="00150B84"/>
    <w:rsid w:val="00154DC3"/>
    <w:rsid w:val="00157DC2"/>
    <w:rsid w:val="00161297"/>
    <w:rsid w:val="00163520"/>
    <w:rsid w:val="00163E33"/>
    <w:rsid w:val="001648A8"/>
    <w:rsid w:val="00164EDE"/>
    <w:rsid w:val="001661B0"/>
    <w:rsid w:val="00166FE5"/>
    <w:rsid w:val="00167408"/>
    <w:rsid w:val="00167D69"/>
    <w:rsid w:val="00170085"/>
    <w:rsid w:val="00170DE7"/>
    <w:rsid w:val="00171355"/>
    <w:rsid w:val="00174745"/>
    <w:rsid w:val="00177F4E"/>
    <w:rsid w:val="00177FE3"/>
    <w:rsid w:val="00184678"/>
    <w:rsid w:val="0019538C"/>
    <w:rsid w:val="00195EC6"/>
    <w:rsid w:val="0019733C"/>
    <w:rsid w:val="00197ACB"/>
    <w:rsid w:val="001A0237"/>
    <w:rsid w:val="001A2051"/>
    <w:rsid w:val="001A3CDC"/>
    <w:rsid w:val="001A787F"/>
    <w:rsid w:val="001B0683"/>
    <w:rsid w:val="001B0861"/>
    <w:rsid w:val="001B1CFE"/>
    <w:rsid w:val="001B34B5"/>
    <w:rsid w:val="001B4FC6"/>
    <w:rsid w:val="001B6256"/>
    <w:rsid w:val="001B6836"/>
    <w:rsid w:val="001B6AFA"/>
    <w:rsid w:val="001C295F"/>
    <w:rsid w:val="001C457D"/>
    <w:rsid w:val="001C667E"/>
    <w:rsid w:val="001D09B1"/>
    <w:rsid w:val="001D11F7"/>
    <w:rsid w:val="001D1F1B"/>
    <w:rsid w:val="001D3C27"/>
    <w:rsid w:val="001D478F"/>
    <w:rsid w:val="001D4B8B"/>
    <w:rsid w:val="001E0274"/>
    <w:rsid w:val="001E192B"/>
    <w:rsid w:val="001E4122"/>
    <w:rsid w:val="001E4BF5"/>
    <w:rsid w:val="001E7720"/>
    <w:rsid w:val="001E7DE1"/>
    <w:rsid w:val="001F1052"/>
    <w:rsid w:val="001F1361"/>
    <w:rsid w:val="001F275D"/>
    <w:rsid w:val="001F4CFB"/>
    <w:rsid w:val="001F5435"/>
    <w:rsid w:val="001F6E7D"/>
    <w:rsid w:val="001F707E"/>
    <w:rsid w:val="001F7216"/>
    <w:rsid w:val="0020115E"/>
    <w:rsid w:val="0020184F"/>
    <w:rsid w:val="00203CD9"/>
    <w:rsid w:val="00204364"/>
    <w:rsid w:val="002058EC"/>
    <w:rsid w:val="00207185"/>
    <w:rsid w:val="00207E31"/>
    <w:rsid w:val="00214A6C"/>
    <w:rsid w:val="002151FC"/>
    <w:rsid w:val="002166A1"/>
    <w:rsid w:val="002176C5"/>
    <w:rsid w:val="0022179E"/>
    <w:rsid w:val="002220B5"/>
    <w:rsid w:val="00225215"/>
    <w:rsid w:val="00230A81"/>
    <w:rsid w:val="00236A19"/>
    <w:rsid w:val="00236F07"/>
    <w:rsid w:val="002451C2"/>
    <w:rsid w:val="00245E19"/>
    <w:rsid w:val="0025445E"/>
    <w:rsid w:val="00260693"/>
    <w:rsid w:val="002639C0"/>
    <w:rsid w:val="00264000"/>
    <w:rsid w:val="00264FCA"/>
    <w:rsid w:val="002663F7"/>
    <w:rsid w:val="00271168"/>
    <w:rsid w:val="00272C27"/>
    <w:rsid w:val="002751F5"/>
    <w:rsid w:val="00275C4E"/>
    <w:rsid w:val="0027608D"/>
    <w:rsid w:val="002773DA"/>
    <w:rsid w:val="00281BCA"/>
    <w:rsid w:val="00283EE6"/>
    <w:rsid w:val="00287ACE"/>
    <w:rsid w:val="002902DE"/>
    <w:rsid w:val="00293BAB"/>
    <w:rsid w:val="00294CF8"/>
    <w:rsid w:val="002A0155"/>
    <w:rsid w:val="002A27C0"/>
    <w:rsid w:val="002A3272"/>
    <w:rsid w:val="002A4F26"/>
    <w:rsid w:val="002A5E74"/>
    <w:rsid w:val="002A66ED"/>
    <w:rsid w:val="002B015D"/>
    <w:rsid w:val="002B1FC3"/>
    <w:rsid w:val="002B3644"/>
    <w:rsid w:val="002B460F"/>
    <w:rsid w:val="002B4D99"/>
    <w:rsid w:val="002B6036"/>
    <w:rsid w:val="002B748C"/>
    <w:rsid w:val="002C0475"/>
    <w:rsid w:val="002C0C55"/>
    <w:rsid w:val="002C17BC"/>
    <w:rsid w:val="002C1DEF"/>
    <w:rsid w:val="002C28A4"/>
    <w:rsid w:val="002C3757"/>
    <w:rsid w:val="002C391B"/>
    <w:rsid w:val="002C3E54"/>
    <w:rsid w:val="002C6F7E"/>
    <w:rsid w:val="002D7743"/>
    <w:rsid w:val="002E1EA4"/>
    <w:rsid w:val="002E5892"/>
    <w:rsid w:val="002E5D1D"/>
    <w:rsid w:val="002E6BB4"/>
    <w:rsid w:val="002E6BD6"/>
    <w:rsid w:val="002F0BDE"/>
    <w:rsid w:val="002F1C42"/>
    <w:rsid w:val="002F2CD1"/>
    <w:rsid w:val="002F30D3"/>
    <w:rsid w:val="002F30F9"/>
    <w:rsid w:val="002F5134"/>
    <w:rsid w:val="002F56EC"/>
    <w:rsid w:val="00303166"/>
    <w:rsid w:val="0030414A"/>
    <w:rsid w:val="00304BD3"/>
    <w:rsid w:val="00306FA7"/>
    <w:rsid w:val="0031043B"/>
    <w:rsid w:val="0031201B"/>
    <w:rsid w:val="0031360B"/>
    <w:rsid w:val="003142BA"/>
    <w:rsid w:val="0031587F"/>
    <w:rsid w:val="00316CE9"/>
    <w:rsid w:val="00316DB4"/>
    <w:rsid w:val="00317125"/>
    <w:rsid w:val="00321318"/>
    <w:rsid w:val="00322134"/>
    <w:rsid w:val="003223B0"/>
    <w:rsid w:val="00322EBE"/>
    <w:rsid w:val="003239F8"/>
    <w:rsid w:val="0032553E"/>
    <w:rsid w:val="003269F7"/>
    <w:rsid w:val="0033349F"/>
    <w:rsid w:val="00333B98"/>
    <w:rsid w:val="003345C8"/>
    <w:rsid w:val="00337824"/>
    <w:rsid w:val="00337AE5"/>
    <w:rsid w:val="003410B9"/>
    <w:rsid w:val="00341195"/>
    <w:rsid w:val="00341E70"/>
    <w:rsid w:val="0034232E"/>
    <w:rsid w:val="00344070"/>
    <w:rsid w:val="003443FB"/>
    <w:rsid w:val="00345308"/>
    <w:rsid w:val="003453E9"/>
    <w:rsid w:val="0034543C"/>
    <w:rsid w:val="00345CDD"/>
    <w:rsid w:val="0034600A"/>
    <w:rsid w:val="00347145"/>
    <w:rsid w:val="003474D9"/>
    <w:rsid w:val="00353B31"/>
    <w:rsid w:val="003552A4"/>
    <w:rsid w:val="00356765"/>
    <w:rsid w:val="00357ECC"/>
    <w:rsid w:val="00360133"/>
    <w:rsid w:val="00360F5D"/>
    <w:rsid w:val="00361D56"/>
    <w:rsid w:val="00362436"/>
    <w:rsid w:val="00363520"/>
    <w:rsid w:val="00366F2D"/>
    <w:rsid w:val="00367DBD"/>
    <w:rsid w:val="003729BF"/>
    <w:rsid w:val="00376AC1"/>
    <w:rsid w:val="00381853"/>
    <w:rsid w:val="0038308B"/>
    <w:rsid w:val="00383A6E"/>
    <w:rsid w:val="00384212"/>
    <w:rsid w:val="0038488E"/>
    <w:rsid w:val="00386146"/>
    <w:rsid w:val="003866F7"/>
    <w:rsid w:val="00386866"/>
    <w:rsid w:val="003872AE"/>
    <w:rsid w:val="003919FD"/>
    <w:rsid w:val="00394358"/>
    <w:rsid w:val="00395C47"/>
    <w:rsid w:val="00396E44"/>
    <w:rsid w:val="00397518"/>
    <w:rsid w:val="00397C86"/>
    <w:rsid w:val="003A048F"/>
    <w:rsid w:val="003A219A"/>
    <w:rsid w:val="003A2B60"/>
    <w:rsid w:val="003A31B2"/>
    <w:rsid w:val="003A3575"/>
    <w:rsid w:val="003A5AD9"/>
    <w:rsid w:val="003B0F7E"/>
    <w:rsid w:val="003B109E"/>
    <w:rsid w:val="003B199A"/>
    <w:rsid w:val="003B1C3A"/>
    <w:rsid w:val="003B2454"/>
    <w:rsid w:val="003B2720"/>
    <w:rsid w:val="003B472B"/>
    <w:rsid w:val="003B5209"/>
    <w:rsid w:val="003B76F5"/>
    <w:rsid w:val="003B797F"/>
    <w:rsid w:val="003C5112"/>
    <w:rsid w:val="003C640D"/>
    <w:rsid w:val="003D0BE4"/>
    <w:rsid w:val="003D142F"/>
    <w:rsid w:val="003D31C5"/>
    <w:rsid w:val="003D7E7F"/>
    <w:rsid w:val="003E14C7"/>
    <w:rsid w:val="003E15C4"/>
    <w:rsid w:val="003E5C49"/>
    <w:rsid w:val="003F347E"/>
    <w:rsid w:val="00402158"/>
    <w:rsid w:val="00403B8D"/>
    <w:rsid w:val="00405F8D"/>
    <w:rsid w:val="00406615"/>
    <w:rsid w:val="0041351B"/>
    <w:rsid w:val="004149F4"/>
    <w:rsid w:val="004155A8"/>
    <w:rsid w:val="00422832"/>
    <w:rsid w:val="00422E05"/>
    <w:rsid w:val="00422F8A"/>
    <w:rsid w:val="00437C99"/>
    <w:rsid w:val="004475F5"/>
    <w:rsid w:val="00451918"/>
    <w:rsid w:val="00451FEA"/>
    <w:rsid w:val="00452B69"/>
    <w:rsid w:val="00455777"/>
    <w:rsid w:val="00463BBF"/>
    <w:rsid w:val="0046518E"/>
    <w:rsid w:val="00467ACF"/>
    <w:rsid w:val="004716A6"/>
    <w:rsid w:val="004814F0"/>
    <w:rsid w:val="0048329E"/>
    <w:rsid w:val="00485884"/>
    <w:rsid w:val="00486239"/>
    <w:rsid w:val="00486DB9"/>
    <w:rsid w:val="00487146"/>
    <w:rsid w:val="00490FC2"/>
    <w:rsid w:val="00491BE6"/>
    <w:rsid w:val="0049613B"/>
    <w:rsid w:val="00496378"/>
    <w:rsid w:val="004969FB"/>
    <w:rsid w:val="004A2E8D"/>
    <w:rsid w:val="004A3CB8"/>
    <w:rsid w:val="004A4DD6"/>
    <w:rsid w:val="004A6333"/>
    <w:rsid w:val="004A6537"/>
    <w:rsid w:val="004A70D1"/>
    <w:rsid w:val="004A724E"/>
    <w:rsid w:val="004A7343"/>
    <w:rsid w:val="004A7FE6"/>
    <w:rsid w:val="004B358D"/>
    <w:rsid w:val="004B7C7A"/>
    <w:rsid w:val="004C56D6"/>
    <w:rsid w:val="004C6A82"/>
    <w:rsid w:val="004C7FD0"/>
    <w:rsid w:val="004D0590"/>
    <w:rsid w:val="004D23D3"/>
    <w:rsid w:val="004D4B99"/>
    <w:rsid w:val="004D5CF2"/>
    <w:rsid w:val="004D60DE"/>
    <w:rsid w:val="004D67C5"/>
    <w:rsid w:val="004D7A57"/>
    <w:rsid w:val="004E2D21"/>
    <w:rsid w:val="004E40D1"/>
    <w:rsid w:val="004E4109"/>
    <w:rsid w:val="004E4961"/>
    <w:rsid w:val="004E4C5E"/>
    <w:rsid w:val="004E5779"/>
    <w:rsid w:val="004E6DFD"/>
    <w:rsid w:val="004E7CBD"/>
    <w:rsid w:val="004F08D3"/>
    <w:rsid w:val="004F1286"/>
    <w:rsid w:val="004F1E07"/>
    <w:rsid w:val="004F4717"/>
    <w:rsid w:val="0050049B"/>
    <w:rsid w:val="00500C2E"/>
    <w:rsid w:val="005024EF"/>
    <w:rsid w:val="00502586"/>
    <w:rsid w:val="00502793"/>
    <w:rsid w:val="0050568A"/>
    <w:rsid w:val="00506264"/>
    <w:rsid w:val="00515398"/>
    <w:rsid w:val="005155AC"/>
    <w:rsid w:val="0051750C"/>
    <w:rsid w:val="00522ED0"/>
    <w:rsid w:val="00523C58"/>
    <w:rsid w:val="00526541"/>
    <w:rsid w:val="00536C48"/>
    <w:rsid w:val="00542728"/>
    <w:rsid w:val="00542834"/>
    <w:rsid w:val="00543E56"/>
    <w:rsid w:val="00544439"/>
    <w:rsid w:val="00546373"/>
    <w:rsid w:val="00551E19"/>
    <w:rsid w:val="00552C4F"/>
    <w:rsid w:val="00552D5D"/>
    <w:rsid w:val="00555A4D"/>
    <w:rsid w:val="00556328"/>
    <w:rsid w:val="00556F7E"/>
    <w:rsid w:val="005631CE"/>
    <w:rsid w:val="00567E14"/>
    <w:rsid w:val="00571B47"/>
    <w:rsid w:val="00572778"/>
    <w:rsid w:val="00573338"/>
    <w:rsid w:val="005758D1"/>
    <w:rsid w:val="00585800"/>
    <w:rsid w:val="00586493"/>
    <w:rsid w:val="005871D8"/>
    <w:rsid w:val="0058799A"/>
    <w:rsid w:val="00592676"/>
    <w:rsid w:val="00593B80"/>
    <w:rsid w:val="005A03EE"/>
    <w:rsid w:val="005A06D3"/>
    <w:rsid w:val="005A0AF8"/>
    <w:rsid w:val="005A2B2E"/>
    <w:rsid w:val="005A3159"/>
    <w:rsid w:val="005A5144"/>
    <w:rsid w:val="005B19CA"/>
    <w:rsid w:val="005B2CF3"/>
    <w:rsid w:val="005B5D93"/>
    <w:rsid w:val="005B63A2"/>
    <w:rsid w:val="005C42DE"/>
    <w:rsid w:val="005C4CC3"/>
    <w:rsid w:val="005C571D"/>
    <w:rsid w:val="005C59F0"/>
    <w:rsid w:val="005C7783"/>
    <w:rsid w:val="005D451C"/>
    <w:rsid w:val="005D7C6B"/>
    <w:rsid w:val="005D7E62"/>
    <w:rsid w:val="005E0781"/>
    <w:rsid w:val="005E0E66"/>
    <w:rsid w:val="005E2983"/>
    <w:rsid w:val="005E45BB"/>
    <w:rsid w:val="005E680D"/>
    <w:rsid w:val="005E6ECC"/>
    <w:rsid w:val="005F1C44"/>
    <w:rsid w:val="005F2A5B"/>
    <w:rsid w:val="005F2ECA"/>
    <w:rsid w:val="005F31BE"/>
    <w:rsid w:val="005F62CB"/>
    <w:rsid w:val="005F79D9"/>
    <w:rsid w:val="00600A02"/>
    <w:rsid w:val="00602EB0"/>
    <w:rsid w:val="00610482"/>
    <w:rsid w:val="00613B72"/>
    <w:rsid w:val="00620E28"/>
    <w:rsid w:val="006221AA"/>
    <w:rsid w:val="00623B31"/>
    <w:rsid w:val="00624D79"/>
    <w:rsid w:val="006274E1"/>
    <w:rsid w:val="0062776E"/>
    <w:rsid w:val="006305E4"/>
    <w:rsid w:val="00631163"/>
    <w:rsid w:val="00631270"/>
    <w:rsid w:val="00632044"/>
    <w:rsid w:val="006360F2"/>
    <w:rsid w:val="006419AA"/>
    <w:rsid w:val="00644C74"/>
    <w:rsid w:val="006454DC"/>
    <w:rsid w:val="006461CC"/>
    <w:rsid w:val="00656560"/>
    <w:rsid w:val="00657119"/>
    <w:rsid w:val="006601EB"/>
    <w:rsid w:val="00662C10"/>
    <w:rsid w:val="00663B47"/>
    <w:rsid w:val="00664C1C"/>
    <w:rsid w:val="0066576D"/>
    <w:rsid w:val="00667305"/>
    <w:rsid w:val="006713C0"/>
    <w:rsid w:val="00671CB6"/>
    <w:rsid w:val="0067212C"/>
    <w:rsid w:val="00672830"/>
    <w:rsid w:val="00672CA0"/>
    <w:rsid w:val="00674758"/>
    <w:rsid w:val="00682DF3"/>
    <w:rsid w:val="006836A7"/>
    <w:rsid w:val="006837F6"/>
    <w:rsid w:val="00683A24"/>
    <w:rsid w:val="00683B0E"/>
    <w:rsid w:val="00691365"/>
    <w:rsid w:val="00691D96"/>
    <w:rsid w:val="00695727"/>
    <w:rsid w:val="0069686F"/>
    <w:rsid w:val="006A292F"/>
    <w:rsid w:val="006A3F76"/>
    <w:rsid w:val="006A507F"/>
    <w:rsid w:val="006A7446"/>
    <w:rsid w:val="006B08B4"/>
    <w:rsid w:val="006B1779"/>
    <w:rsid w:val="006B22D6"/>
    <w:rsid w:val="006B3B9F"/>
    <w:rsid w:val="006B54D7"/>
    <w:rsid w:val="006B60DC"/>
    <w:rsid w:val="006B6F5B"/>
    <w:rsid w:val="006B7B76"/>
    <w:rsid w:val="006C162B"/>
    <w:rsid w:val="006C2BFE"/>
    <w:rsid w:val="006C4642"/>
    <w:rsid w:val="006C6C6F"/>
    <w:rsid w:val="006D00CF"/>
    <w:rsid w:val="006D13C9"/>
    <w:rsid w:val="006E2D48"/>
    <w:rsid w:val="006F0116"/>
    <w:rsid w:val="006F1A82"/>
    <w:rsid w:val="006F2049"/>
    <w:rsid w:val="006F309B"/>
    <w:rsid w:val="006F3C21"/>
    <w:rsid w:val="006F6A80"/>
    <w:rsid w:val="0070004A"/>
    <w:rsid w:val="007008D1"/>
    <w:rsid w:val="00704765"/>
    <w:rsid w:val="007067F4"/>
    <w:rsid w:val="00706AE1"/>
    <w:rsid w:val="0071290B"/>
    <w:rsid w:val="0071337D"/>
    <w:rsid w:val="00714FBF"/>
    <w:rsid w:val="0071687F"/>
    <w:rsid w:val="00717236"/>
    <w:rsid w:val="00720303"/>
    <w:rsid w:val="0072169E"/>
    <w:rsid w:val="0072379E"/>
    <w:rsid w:val="0072465E"/>
    <w:rsid w:val="00724CF0"/>
    <w:rsid w:val="00726C38"/>
    <w:rsid w:val="007320A1"/>
    <w:rsid w:val="007361F6"/>
    <w:rsid w:val="00736C84"/>
    <w:rsid w:val="007415EE"/>
    <w:rsid w:val="007456DA"/>
    <w:rsid w:val="0075074A"/>
    <w:rsid w:val="007533D7"/>
    <w:rsid w:val="0075696F"/>
    <w:rsid w:val="00761F9C"/>
    <w:rsid w:val="0076324E"/>
    <w:rsid w:val="007633AD"/>
    <w:rsid w:val="00765414"/>
    <w:rsid w:val="007670E1"/>
    <w:rsid w:val="00770832"/>
    <w:rsid w:val="00770BBA"/>
    <w:rsid w:val="00770E2D"/>
    <w:rsid w:val="00774EA6"/>
    <w:rsid w:val="00774F2C"/>
    <w:rsid w:val="0078192F"/>
    <w:rsid w:val="00782D82"/>
    <w:rsid w:val="007834AF"/>
    <w:rsid w:val="00790380"/>
    <w:rsid w:val="00797035"/>
    <w:rsid w:val="0079752F"/>
    <w:rsid w:val="007975F4"/>
    <w:rsid w:val="007A0897"/>
    <w:rsid w:val="007A35F3"/>
    <w:rsid w:val="007A64EE"/>
    <w:rsid w:val="007A6702"/>
    <w:rsid w:val="007A7008"/>
    <w:rsid w:val="007B208E"/>
    <w:rsid w:val="007C21C4"/>
    <w:rsid w:val="007C4EAE"/>
    <w:rsid w:val="007C543A"/>
    <w:rsid w:val="007C56C1"/>
    <w:rsid w:val="007D04CC"/>
    <w:rsid w:val="007D08AB"/>
    <w:rsid w:val="007D3176"/>
    <w:rsid w:val="007D4F28"/>
    <w:rsid w:val="007D513C"/>
    <w:rsid w:val="007E041E"/>
    <w:rsid w:val="007E0C5C"/>
    <w:rsid w:val="007E16B9"/>
    <w:rsid w:val="007E182F"/>
    <w:rsid w:val="007E3D0F"/>
    <w:rsid w:val="007E51AB"/>
    <w:rsid w:val="007E5E9A"/>
    <w:rsid w:val="007F1E8F"/>
    <w:rsid w:val="007F2156"/>
    <w:rsid w:val="007F50E5"/>
    <w:rsid w:val="007F76EC"/>
    <w:rsid w:val="00801493"/>
    <w:rsid w:val="00807202"/>
    <w:rsid w:val="0080748E"/>
    <w:rsid w:val="008129C1"/>
    <w:rsid w:val="00814665"/>
    <w:rsid w:val="00814DF4"/>
    <w:rsid w:val="008158D2"/>
    <w:rsid w:val="00817438"/>
    <w:rsid w:val="00817FBF"/>
    <w:rsid w:val="00820714"/>
    <w:rsid w:val="008226C9"/>
    <w:rsid w:val="00831E42"/>
    <w:rsid w:val="00831E59"/>
    <w:rsid w:val="008332DD"/>
    <w:rsid w:val="00833C7C"/>
    <w:rsid w:val="00833D58"/>
    <w:rsid w:val="00834691"/>
    <w:rsid w:val="00837B20"/>
    <w:rsid w:val="00841063"/>
    <w:rsid w:val="00841898"/>
    <w:rsid w:val="00842EA5"/>
    <w:rsid w:val="00845505"/>
    <w:rsid w:val="00846685"/>
    <w:rsid w:val="00847ADC"/>
    <w:rsid w:val="00851738"/>
    <w:rsid w:val="00852961"/>
    <w:rsid w:val="00852D1A"/>
    <w:rsid w:val="0085713D"/>
    <w:rsid w:val="008572C9"/>
    <w:rsid w:val="00861348"/>
    <w:rsid w:val="00861740"/>
    <w:rsid w:val="00862B92"/>
    <w:rsid w:val="0086333C"/>
    <w:rsid w:val="008665DB"/>
    <w:rsid w:val="008672F6"/>
    <w:rsid w:val="0087056B"/>
    <w:rsid w:val="00871E2A"/>
    <w:rsid w:val="008721A8"/>
    <w:rsid w:val="008729A3"/>
    <w:rsid w:val="00872BE1"/>
    <w:rsid w:val="00875229"/>
    <w:rsid w:val="008865B7"/>
    <w:rsid w:val="00887060"/>
    <w:rsid w:val="008876FB"/>
    <w:rsid w:val="00892423"/>
    <w:rsid w:val="008944FC"/>
    <w:rsid w:val="008954D6"/>
    <w:rsid w:val="00895541"/>
    <w:rsid w:val="00895E6C"/>
    <w:rsid w:val="00896E61"/>
    <w:rsid w:val="008A29CB"/>
    <w:rsid w:val="008A38AB"/>
    <w:rsid w:val="008A6B57"/>
    <w:rsid w:val="008A6C67"/>
    <w:rsid w:val="008B2149"/>
    <w:rsid w:val="008B4FA9"/>
    <w:rsid w:val="008B6B91"/>
    <w:rsid w:val="008B74EE"/>
    <w:rsid w:val="008C0F43"/>
    <w:rsid w:val="008C14F4"/>
    <w:rsid w:val="008C1509"/>
    <w:rsid w:val="008C15FD"/>
    <w:rsid w:val="008C17F4"/>
    <w:rsid w:val="008C2826"/>
    <w:rsid w:val="008C38E5"/>
    <w:rsid w:val="008C6E50"/>
    <w:rsid w:val="008D3484"/>
    <w:rsid w:val="008D3976"/>
    <w:rsid w:val="008D3ACA"/>
    <w:rsid w:val="008D5D64"/>
    <w:rsid w:val="008D71E7"/>
    <w:rsid w:val="008E1151"/>
    <w:rsid w:val="008E32CB"/>
    <w:rsid w:val="008E4FCE"/>
    <w:rsid w:val="008E63CB"/>
    <w:rsid w:val="008E7436"/>
    <w:rsid w:val="008F1CBB"/>
    <w:rsid w:val="008F391E"/>
    <w:rsid w:val="008F5ED9"/>
    <w:rsid w:val="00900E74"/>
    <w:rsid w:val="0090421E"/>
    <w:rsid w:val="0090604F"/>
    <w:rsid w:val="009125B5"/>
    <w:rsid w:val="009128F9"/>
    <w:rsid w:val="00912976"/>
    <w:rsid w:val="0091302D"/>
    <w:rsid w:val="0091403E"/>
    <w:rsid w:val="0091587A"/>
    <w:rsid w:val="00915CF1"/>
    <w:rsid w:val="00916E57"/>
    <w:rsid w:val="009174AD"/>
    <w:rsid w:val="00917702"/>
    <w:rsid w:val="009178BB"/>
    <w:rsid w:val="00920786"/>
    <w:rsid w:val="00923AE7"/>
    <w:rsid w:val="00924E54"/>
    <w:rsid w:val="009260AC"/>
    <w:rsid w:val="00931B8C"/>
    <w:rsid w:val="00931D18"/>
    <w:rsid w:val="00932093"/>
    <w:rsid w:val="00934BE6"/>
    <w:rsid w:val="0093780A"/>
    <w:rsid w:val="00942492"/>
    <w:rsid w:val="009441DB"/>
    <w:rsid w:val="00944AFC"/>
    <w:rsid w:val="00944BC4"/>
    <w:rsid w:val="00945ABA"/>
    <w:rsid w:val="00953C28"/>
    <w:rsid w:val="00955ABF"/>
    <w:rsid w:val="00964B29"/>
    <w:rsid w:val="009652E9"/>
    <w:rsid w:val="00965AA7"/>
    <w:rsid w:val="00967E92"/>
    <w:rsid w:val="00971D26"/>
    <w:rsid w:val="00973386"/>
    <w:rsid w:val="00973503"/>
    <w:rsid w:val="00973AE1"/>
    <w:rsid w:val="00974030"/>
    <w:rsid w:val="009743FB"/>
    <w:rsid w:val="009801EB"/>
    <w:rsid w:val="0098063D"/>
    <w:rsid w:val="00981D6D"/>
    <w:rsid w:val="009848D3"/>
    <w:rsid w:val="00984D79"/>
    <w:rsid w:val="009853AB"/>
    <w:rsid w:val="00985B72"/>
    <w:rsid w:val="0098721A"/>
    <w:rsid w:val="00990226"/>
    <w:rsid w:val="00992B27"/>
    <w:rsid w:val="00992BC5"/>
    <w:rsid w:val="00993679"/>
    <w:rsid w:val="00993957"/>
    <w:rsid w:val="00995E1B"/>
    <w:rsid w:val="00995F40"/>
    <w:rsid w:val="00996ECD"/>
    <w:rsid w:val="00997046"/>
    <w:rsid w:val="00997733"/>
    <w:rsid w:val="009A480A"/>
    <w:rsid w:val="009A4CB8"/>
    <w:rsid w:val="009A4CBF"/>
    <w:rsid w:val="009A6149"/>
    <w:rsid w:val="009B2569"/>
    <w:rsid w:val="009B39A4"/>
    <w:rsid w:val="009B43D6"/>
    <w:rsid w:val="009B5407"/>
    <w:rsid w:val="009B6635"/>
    <w:rsid w:val="009C2397"/>
    <w:rsid w:val="009C53F9"/>
    <w:rsid w:val="009C59AC"/>
    <w:rsid w:val="009C6716"/>
    <w:rsid w:val="009C76B3"/>
    <w:rsid w:val="009D1323"/>
    <w:rsid w:val="009D3B55"/>
    <w:rsid w:val="009D4079"/>
    <w:rsid w:val="009D4275"/>
    <w:rsid w:val="009D6690"/>
    <w:rsid w:val="009D77CC"/>
    <w:rsid w:val="009D7880"/>
    <w:rsid w:val="009E0464"/>
    <w:rsid w:val="009E2A57"/>
    <w:rsid w:val="009E6C01"/>
    <w:rsid w:val="009E73C4"/>
    <w:rsid w:val="009F00D8"/>
    <w:rsid w:val="009F0111"/>
    <w:rsid w:val="009F0550"/>
    <w:rsid w:val="009F1B4D"/>
    <w:rsid w:val="009F2088"/>
    <w:rsid w:val="009F29F3"/>
    <w:rsid w:val="009F6583"/>
    <w:rsid w:val="00A01223"/>
    <w:rsid w:val="00A0243A"/>
    <w:rsid w:val="00A03166"/>
    <w:rsid w:val="00A05DEF"/>
    <w:rsid w:val="00A0725A"/>
    <w:rsid w:val="00A0768E"/>
    <w:rsid w:val="00A11CB3"/>
    <w:rsid w:val="00A1493B"/>
    <w:rsid w:val="00A1561F"/>
    <w:rsid w:val="00A158E0"/>
    <w:rsid w:val="00A1775E"/>
    <w:rsid w:val="00A208D0"/>
    <w:rsid w:val="00A217FD"/>
    <w:rsid w:val="00A21B51"/>
    <w:rsid w:val="00A229EA"/>
    <w:rsid w:val="00A22AF3"/>
    <w:rsid w:val="00A24957"/>
    <w:rsid w:val="00A265E2"/>
    <w:rsid w:val="00A2686F"/>
    <w:rsid w:val="00A32CC6"/>
    <w:rsid w:val="00A35FDD"/>
    <w:rsid w:val="00A50451"/>
    <w:rsid w:val="00A50B01"/>
    <w:rsid w:val="00A55C1E"/>
    <w:rsid w:val="00A56E94"/>
    <w:rsid w:val="00A60C01"/>
    <w:rsid w:val="00A64100"/>
    <w:rsid w:val="00A6642E"/>
    <w:rsid w:val="00A67A86"/>
    <w:rsid w:val="00A704DD"/>
    <w:rsid w:val="00A71B18"/>
    <w:rsid w:val="00A726B4"/>
    <w:rsid w:val="00A74D70"/>
    <w:rsid w:val="00A757FF"/>
    <w:rsid w:val="00A75A46"/>
    <w:rsid w:val="00A75A6A"/>
    <w:rsid w:val="00A8069D"/>
    <w:rsid w:val="00A80C2F"/>
    <w:rsid w:val="00A82A89"/>
    <w:rsid w:val="00A82F2C"/>
    <w:rsid w:val="00A83CAB"/>
    <w:rsid w:val="00A84B9A"/>
    <w:rsid w:val="00A86049"/>
    <w:rsid w:val="00A878F4"/>
    <w:rsid w:val="00A917AD"/>
    <w:rsid w:val="00A9385F"/>
    <w:rsid w:val="00A93A56"/>
    <w:rsid w:val="00A94086"/>
    <w:rsid w:val="00A9596F"/>
    <w:rsid w:val="00A96EF6"/>
    <w:rsid w:val="00A977CF"/>
    <w:rsid w:val="00A97896"/>
    <w:rsid w:val="00AA179B"/>
    <w:rsid w:val="00AA2044"/>
    <w:rsid w:val="00AA2704"/>
    <w:rsid w:val="00AA2962"/>
    <w:rsid w:val="00AA3845"/>
    <w:rsid w:val="00AA50EA"/>
    <w:rsid w:val="00AA59EF"/>
    <w:rsid w:val="00AA76E6"/>
    <w:rsid w:val="00AB4B5B"/>
    <w:rsid w:val="00AB717C"/>
    <w:rsid w:val="00AB7E39"/>
    <w:rsid w:val="00AC1A14"/>
    <w:rsid w:val="00AC1C97"/>
    <w:rsid w:val="00AC4805"/>
    <w:rsid w:val="00AC4B72"/>
    <w:rsid w:val="00AC595F"/>
    <w:rsid w:val="00AC630B"/>
    <w:rsid w:val="00AD2AAA"/>
    <w:rsid w:val="00AD4568"/>
    <w:rsid w:val="00AD5A12"/>
    <w:rsid w:val="00AD63AE"/>
    <w:rsid w:val="00AD6D9C"/>
    <w:rsid w:val="00AD6E7B"/>
    <w:rsid w:val="00AD78F5"/>
    <w:rsid w:val="00AE06D6"/>
    <w:rsid w:val="00AE5F4F"/>
    <w:rsid w:val="00AE7542"/>
    <w:rsid w:val="00AF0503"/>
    <w:rsid w:val="00AF2D7A"/>
    <w:rsid w:val="00AF34E9"/>
    <w:rsid w:val="00AF501D"/>
    <w:rsid w:val="00AF6051"/>
    <w:rsid w:val="00AF6500"/>
    <w:rsid w:val="00AF7076"/>
    <w:rsid w:val="00AF76F9"/>
    <w:rsid w:val="00B01B40"/>
    <w:rsid w:val="00B0281D"/>
    <w:rsid w:val="00B02E94"/>
    <w:rsid w:val="00B050DE"/>
    <w:rsid w:val="00B05AA6"/>
    <w:rsid w:val="00B062A2"/>
    <w:rsid w:val="00B07677"/>
    <w:rsid w:val="00B10F74"/>
    <w:rsid w:val="00B115D5"/>
    <w:rsid w:val="00B1244F"/>
    <w:rsid w:val="00B12FD3"/>
    <w:rsid w:val="00B13662"/>
    <w:rsid w:val="00B14F53"/>
    <w:rsid w:val="00B1612F"/>
    <w:rsid w:val="00B169C6"/>
    <w:rsid w:val="00B21AB3"/>
    <w:rsid w:val="00B25C21"/>
    <w:rsid w:val="00B320C7"/>
    <w:rsid w:val="00B34B81"/>
    <w:rsid w:val="00B34C83"/>
    <w:rsid w:val="00B377EE"/>
    <w:rsid w:val="00B37FEB"/>
    <w:rsid w:val="00B42B18"/>
    <w:rsid w:val="00B46671"/>
    <w:rsid w:val="00B47161"/>
    <w:rsid w:val="00B510B9"/>
    <w:rsid w:val="00B51DCC"/>
    <w:rsid w:val="00B52D16"/>
    <w:rsid w:val="00B55EDE"/>
    <w:rsid w:val="00B677BF"/>
    <w:rsid w:val="00B70239"/>
    <w:rsid w:val="00B71BC1"/>
    <w:rsid w:val="00B734D3"/>
    <w:rsid w:val="00B73649"/>
    <w:rsid w:val="00B7481B"/>
    <w:rsid w:val="00B7575B"/>
    <w:rsid w:val="00B77886"/>
    <w:rsid w:val="00B800C0"/>
    <w:rsid w:val="00B80B22"/>
    <w:rsid w:val="00B8531E"/>
    <w:rsid w:val="00B869FB"/>
    <w:rsid w:val="00B86CC0"/>
    <w:rsid w:val="00B878CC"/>
    <w:rsid w:val="00B9215F"/>
    <w:rsid w:val="00B9376A"/>
    <w:rsid w:val="00B95352"/>
    <w:rsid w:val="00B95373"/>
    <w:rsid w:val="00B96E66"/>
    <w:rsid w:val="00B97F6C"/>
    <w:rsid w:val="00BA47FF"/>
    <w:rsid w:val="00BB0877"/>
    <w:rsid w:val="00BB08BD"/>
    <w:rsid w:val="00BB186F"/>
    <w:rsid w:val="00BB4CA7"/>
    <w:rsid w:val="00BB53AD"/>
    <w:rsid w:val="00BB5C35"/>
    <w:rsid w:val="00BB7CE9"/>
    <w:rsid w:val="00BC17C0"/>
    <w:rsid w:val="00BD0DAF"/>
    <w:rsid w:val="00BD4ADF"/>
    <w:rsid w:val="00BD7514"/>
    <w:rsid w:val="00BE4CDD"/>
    <w:rsid w:val="00BE505A"/>
    <w:rsid w:val="00BE56E0"/>
    <w:rsid w:val="00BE61FB"/>
    <w:rsid w:val="00BF059A"/>
    <w:rsid w:val="00BF07F5"/>
    <w:rsid w:val="00BF14F1"/>
    <w:rsid w:val="00BF17E5"/>
    <w:rsid w:val="00BF22C5"/>
    <w:rsid w:val="00BF37B8"/>
    <w:rsid w:val="00BF409F"/>
    <w:rsid w:val="00BF5712"/>
    <w:rsid w:val="00BF60D3"/>
    <w:rsid w:val="00BF79CD"/>
    <w:rsid w:val="00C02556"/>
    <w:rsid w:val="00C05D67"/>
    <w:rsid w:val="00C071B8"/>
    <w:rsid w:val="00C11348"/>
    <w:rsid w:val="00C142EC"/>
    <w:rsid w:val="00C15156"/>
    <w:rsid w:val="00C15A9A"/>
    <w:rsid w:val="00C16CFB"/>
    <w:rsid w:val="00C171D9"/>
    <w:rsid w:val="00C22DC8"/>
    <w:rsid w:val="00C2420F"/>
    <w:rsid w:val="00C24665"/>
    <w:rsid w:val="00C25007"/>
    <w:rsid w:val="00C2528A"/>
    <w:rsid w:val="00C25495"/>
    <w:rsid w:val="00C25959"/>
    <w:rsid w:val="00C26F26"/>
    <w:rsid w:val="00C3029B"/>
    <w:rsid w:val="00C30485"/>
    <w:rsid w:val="00C309DF"/>
    <w:rsid w:val="00C30DC1"/>
    <w:rsid w:val="00C317F7"/>
    <w:rsid w:val="00C322D2"/>
    <w:rsid w:val="00C32A34"/>
    <w:rsid w:val="00C34B55"/>
    <w:rsid w:val="00C3674A"/>
    <w:rsid w:val="00C369DA"/>
    <w:rsid w:val="00C37220"/>
    <w:rsid w:val="00C37AB3"/>
    <w:rsid w:val="00C410CC"/>
    <w:rsid w:val="00C4382B"/>
    <w:rsid w:val="00C43E1F"/>
    <w:rsid w:val="00C44A6C"/>
    <w:rsid w:val="00C45821"/>
    <w:rsid w:val="00C45FC0"/>
    <w:rsid w:val="00C527FE"/>
    <w:rsid w:val="00C54FB9"/>
    <w:rsid w:val="00C56CA3"/>
    <w:rsid w:val="00C56E8D"/>
    <w:rsid w:val="00C60595"/>
    <w:rsid w:val="00C61305"/>
    <w:rsid w:val="00C61472"/>
    <w:rsid w:val="00C61DF0"/>
    <w:rsid w:val="00C62404"/>
    <w:rsid w:val="00C6427A"/>
    <w:rsid w:val="00C643D3"/>
    <w:rsid w:val="00C652C0"/>
    <w:rsid w:val="00C6542A"/>
    <w:rsid w:val="00C6608D"/>
    <w:rsid w:val="00C67EFE"/>
    <w:rsid w:val="00C70E3C"/>
    <w:rsid w:val="00C71DD6"/>
    <w:rsid w:val="00C74078"/>
    <w:rsid w:val="00C745CE"/>
    <w:rsid w:val="00C76273"/>
    <w:rsid w:val="00C80F88"/>
    <w:rsid w:val="00C82107"/>
    <w:rsid w:val="00C8451F"/>
    <w:rsid w:val="00C84C95"/>
    <w:rsid w:val="00C875DE"/>
    <w:rsid w:val="00C91E59"/>
    <w:rsid w:val="00C944BB"/>
    <w:rsid w:val="00C9569C"/>
    <w:rsid w:val="00C97958"/>
    <w:rsid w:val="00CA0E59"/>
    <w:rsid w:val="00CA17D7"/>
    <w:rsid w:val="00CA3FDA"/>
    <w:rsid w:val="00CA604D"/>
    <w:rsid w:val="00CA6DDE"/>
    <w:rsid w:val="00CB4CC5"/>
    <w:rsid w:val="00CB6431"/>
    <w:rsid w:val="00CB7096"/>
    <w:rsid w:val="00CC23AA"/>
    <w:rsid w:val="00CC26C6"/>
    <w:rsid w:val="00CC41EB"/>
    <w:rsid w:val="00CC5ACD"/>
    <w:rsid w:val="00CC6200"/>
    <w:rsid w:val="00CD09EB"/>
    <w:rsid w:val="00CD3014"/>
    <w:rsid w:val="00CD3056"/>
    <w:rsid w:val="00CD4535"/>
    <w:rsid w:val="00CD6716"/>
    <w:rsid w:val="00CE15C2"/>
    <w:rsid w:val="00CE3983"/>
    <w:rsid w:val="00CE482F"/>
    <w:rsid w:val="00CE6C1E"/>
    <w:rsid w:val="00CE75B1"/>
    <w:rsid w:val="00CF1326"/>
    <w:rsid w:val="00CF3257"/>
    <w:rsid w:val="00CF4040"/>
    <w:rsid w:val="00CF51B2"/>
    <w:rsid w:val="00CF7B69"/>
    <w:rsid w:val="00D002D6"/>
    <w:rsid w:val="00D039D1"/>
    <w:rsid w:val="00D067E1"/>
    <w:rsid w:val="00D0799D"/>
    <w:rsid w:val="00D1092D"/>
    <w:rsid w:val="00D11B9C"/>
    <w:rsid w:val="00D126AA"/>
    <w:rsid w:val="00D1434F"/>
    <w:rsid w:val="00D15819"/>
    <w:rsid w:val="00D15D49"/>
    <w:rsid w:val="00D22D58"/>
    <w:rsid w:val="00D26378"/>
    <w:rsid w:val="00D271E9"/>
    <w:rsid w:val="00D312DB"/>
    <w:rsid w:val="00D4205B"/>
    <w:rsid w:val="00D43831"/>
    <w:rsid w:val="00D43E2F"/>
    <w:rsid w:val="00D446CF"/>
    <w:rsid w:val="00D509B0"/>
    <w:rsid w:val="00D50D78"/>
    <w:rsid w:val="00D51F05"/>
    <w:rsid w:val="00D535DB"/>
    <w:rsid w:val="00D54D53"/>
    <w:rsid w:val="00D55327"/>
    <w:rsid w:val="00D61432"/>
    <w:rsid w:val="00D62A48"/>
    <w:rsid w:val="00D62EB2"/>
    <w:rsid w:val="00D63012"/>
    <w:rsid w:val="00D645E9"/>
    <w:rsid w:val="00D64E8A"/>
    <w:rsid w:val="00D674E0"/>
    <w:rsid w:val="00D71B1A"/>
    <w:rsid w:val="00D72039"/>
    <w:rsid w:val="00D72318"/>
    <w:rsid w:val="00D74A5F"/>
    <w:rsid w:val="00D7539A"/>
    <w:rsid w:val="00D77152"/>
    <w:rsid w:val="00D7792C"/>
    <w:rsid w:val="00D80EA5"/>
    <w:rsid w:val="00D82349"/>
    <w:rsid w:val="00D83206"/>
    <w:rsid w:val="00D83262"/>
    <w:rsid w:val="00D91644"/>
    <w:rsid w:val="00D93574"/>
    <w:rsid w:val="00D959C2"/>
    <w:rsid w:val="00D96D24"/>
    <w:rsid w:val="00D97A35"/>
    <w:rsid w:val="00DA40A8"/>
    <w:rsid w:val="00DA6778"/>
    <w:rsid w:val="00DB16F5"/>
    <w:rsid w:val="00DB209F"/>
    <w:rsid w:val="00DB2CA8"/>
    <w:rsid w:val="00DB4089"/>
    <w:rsid w:val="00DB6B1A"/>
    <w:rsid w:val="00DC0405"/>
    <w:rsid w:val="00DC0504"/>
    <w:rsid w:val="00DC064C"/>
    <w:rsid w:val="00DC1D93"/>
    <w:rsid w:val="00DC3ABC"/>
    <w:rsid w:val="00DC6F7B"/>
    <w:rsid w:val="00DC72CD"/>
    <w:rsid w:val="00DD0F50"/>
    <w:rsid w:val="00DD3C93"/>
    <w:rsid w:val="00DD6027"/>
    <w:rsid w:val="00DE22D8"/>
    <w:rsid w:val="00DE24A1"/>
    <w:rsid w:val="00DE2C07"/>
    <w:rsid w:val="00DE2EC9"/>
    <w:rsid w:val="00DE427E"/>
    <w:rsid w:val="00DF0CD9"/>
    <w:rsid w:val="00DF11EE"/>
    <w:rsid w:val="00DF379E"/>
    <w:rsid w:val="00DF5061"/>
    <w:rsid w:val="00DF5067"/>
    <w:rsid w:val="00E030DE"/>
    <w:rsid w:val="00E03485"/>
    <w:rsid w:val="00E035E9"/>
    <w:rsid w:val="00E0426E"/>
    <w:rsid w:val="00E06ADA"/>
    <w:rsid w:val="00E16A20"/>
    <w:rsid w:val="00E1729A"/>
    <w:rsid w:val="00E21A09"/>
    <w:rsid w:val="00E24F8C"/>
    <w:rsid w:val="00E272FC"/>
    <w:rsid w:val="00E36093"/>
    <w:rsid w:val="00E401E1"/>
    <w:rsid w:val="00E41099"/>
    <w:rsid w:val="00E4542C"/>
    <w:rsid w:val="00E50C36"/>
    <w:rsid w:val="00E54780"/>
    <w:rsid w:val="00E57FF6"/>
    <w:rsid w:val="00E60FC8"/>
    <w:rsid w:val="00E6151B"/>
    <w:rsid w:val="00E63C04"/>
    <w:rsid w:val="00E63FD3"/>
    <w:rsid w:val="00E64197"/>
    <w:rsid w:val="00E64338"/>
    <w:rsid w:val="00E646F1"/>
    <w:rsid w:val="00E651A3"/>
    <w:rsid w:val="00E71111"/>
    <w:rsid w:val="00E73B4F"/>
    <w:rsid w:val="00E74B0A"/>
    <w:rsid w:val="00E75979"/>
    <w:rsid w:val="00E8064F"/>
    <w:rsid w:val="00E80B9E"/>
    <w:rsid w:val="00E80EEC"/>
    <w:rsid w:val="00E81CDD"/>
    <w:rsid w:val="00E823E8"/>
    <w:rsid w:val="00E84728"/>
    <w:rsid w:val="00E91947"/>
    <w:rsid w:val="00E94945"/>
    <w:rsid w:val="00E95006"/>
    <w:rsid w:val="00E95FDB"/>
    <w:rsid w:val="00E96583"/>
    <w:rsid w:val="00EA009A"/>
    <w:rsid w:val="00EA057D"/>
    <w:rsid w:val="00EA194C"/>
    <w:rsid w:val="00EA6E74"/>
    <w:rsid w:val="00EA7980"/>
    <w:rsid w:val="00EB30E8"/>
    <w:rsid w:val="00EB3B6F"/>
    <w:rsid w:val="00EB5E9B"/>
    <w:rsid w:val="00EB65F5"/>
    <w:rsid w:val="00EB6BA3"/>
    <w:rsid w:val="00EB7CE3"/>
    <w:rsid w:val="00EC1A1C"/>
    <w:rsid w:val="00EC3360"/>
    <w:rsid w:val="00EC4C96"/>
    <w:rsid w:val="00EC55AF"/>
    <w:rsid w:val="00EC5A13"/>
    <w:rsid w:val="00ED0629"/>
    <w:rsid w:val="00ED3E42"/>
    <w:rsid w:val="00ED55B0"/>
    <w:rsid w:val="00ED7A5F"/>
    <w:rsid w:val="00EE040C"/>
    <w:rsid w:val="00EE06E0"/>
    <w:rsid w:val="00EE075B"/>
    <w:rsid w:val="00EE1EA9"/>
    <w:rsid w:val="00EE5E3F"/>
    <w:rsid w:val="00EE636D"/>
    <w:rsid w:val="00EF0790"/>
    <w:rsid w:val="00EF1B11"/>
    <w:rsid w:val="00EF2A9C"/>
    <w:rsid w:val="00EF3EDA"/>
    <w:rsid w:val="00EF4259"/>
    <w:rsid w:val="00EF6AB5"/>
    <w:rsid w:val="00F06742"/>
    <w:rsid w:val="00F12CB3"/>
    <w:rsid w:val="00F12FF6"/>
    <w:rsid w:val="00F157DD"/>
    <w:rsid w:val="00F159D7"/>
    <w:rsid w:val="00F17A65"/>
    <w:rsid w:val="00F201AE"/>
    <w:rsid w:val="00F20742"/>
    <w:rsid w:val="00F21905"/>
    <w:rsid w:val="00F238EE"/>
    <w:rsid w:val="00F25D52"/>
    <w:rsid w:val="00F2622C"/>
    <w:rsid w:val="00F2732E"/>
    <w:rsid w:val="00F2778C"/>
    <w:rsid w:val="00F30EEA"/>
    <w:rsid w:val="00F3115B"/>
    <w:rsid w:val="00F31A75"/>
    <w:rsid w:val="00F331D8"/>
    <w:rsid w:val="00F41D89"/>
    <w:rsid w:val="00F446CE"/>
    <w:rsid w:val="00F454A9"/>
    <w:rsid w:val="00F46A4B"/>
    <w:rsid w:val="00F52101"/>
    <w:rsid w:val="00F5479B"/>
    <w:rsid w:val="00F55AC6"/>
    <w:rsid w:val="00F55BB2"/>
    <w:rsid w:val="00F55DEA"/>
    <w:rsid w:val="00F55F47"/>
    <w:rsid w:val="00F56BF3"/>
    <w:rsid w:val="00F56DAB"/>
    <w:rsid w:val="00F574D7"/>
    <w:rsid w:val="00F57527"/>
    <w:rsid w:val="00F5758D"/>
    <w:rsid w:val="00F642A3"/>
    <w:rsid w:val="00F65107"/>
    <w:rsid w:val="00F6527A"/>
    <w:rsid w:val="00F6592D"/>
    <w:rsid w:val="00F71E13"/>
    <w:rsid w:val="00F86020"/>
    <w:rsid w:val="00F91693"/>
    <w:rsid w:val="00F948F3"/>
    <w:rsid w:val="00F979E9"/>
    <w:rsid w:val="00F97D27"/>
    <w:rsid w:val="00F97DA6"/>
    <w:rsid w:val="00FA01C6"/>
    <w:rsid w:val="00FA06EF"/>
    <w:rsid w:val="00FA0BA3"/>
    <w:rsid w:val="00FA215A"/>
    <w:rsid w:val="00FA2446"/>
    <w:rsid w:val="00FA48DD"/>
    <w:rsid w:val="00FA61C6"/>
    <w:rsid w:val="00FA6289"/>
    <w:rsid w:val="00FB153E"/>
    <w:rsid w:val="00FB160F"/>
    <w:rsid w:val="00FB193A"/>
    <w:rsid w:val="00FB3515"/>
    <w:rsid w:val="00FB4824"/>
    <w:rsid w:val="00FB495B"/>
    <w:rsid w:val="00FB6EDD"/>
    <w:rsid w:val="00FC2F6E"/>
    <w:rsid w:val="00FC36DC"/>
    <w:rsid w:val="00FC75A8"/>
    <w:rsid w:val="00FD0678"/>
    <w:rsid w:val="00FD213A"/>
    <w:rsid w:val="00FD37B4"/>
    <w:rsid w:val="00FD531E"/>
    <w:rsid w:val="00FD5332"/>
    <w:rsid w:val="00FE0BA8"/>
    <w:rsid w:val="00FE0BEA"/>
    <w:rsid w:val="00FE2D6C"/>
    <w:rsid w:val="00FE2FFA"/>
    <w:rsid w:val="00FE7F40"/>
    <w:rsid w:val="00FF5CBB"/>
    <w:rsid w:val="00FF6389"/>
    <w:rsid w:val="00FF7022"/>
    <w:rsid w:val="00FF759F"/>
    <w:rsid w:val="00FF765A"/>
    <w:rsid w:val="00FF7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basedOn w:val="DefaultParagraphFont"/>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basedOn w:val="DefaultParagraphFont"/>
    <w:rsid w:val="00E81CDD"/>
    <w:rPr>
      <w:color w:val="0000FF"/>
      <w:u w:val="single"/>
    </w:rPr>
  </w:style>
  <w:style w:type="character" w:customStyle="1" w:styleId="FootnoteTextChar">
    <w:name w:val="Footnote Text Char"/>
    <w:basedOn w:val="DefaultParagraphFont"/>
    <w:link w:val="FootnoteText"/>
    <w:uiPriority w:val="99"/>
    <w:semiHidden/>
    <w:locked/>
    <w:rsid w:val="001F275D"/>
    <w:rPr>
      <w:lang w:eastAsia="tr-TR"/>
    </w:rPr>
  </w:style>
  <w:style w:type="paragraph" w:styleId="EndnoteText">
    <w:name w:val="endnote text"/>
    <w:basedOn w:val="Normal"/>
    <w:link w:val="EndnoteTextChar"/>
    <w:rsid w:val="0022179E"/>
    <w:rPr>
      <w:sz w:val="20"/>
      <w:szCs w:val="20"/>
    </w:rPr>
  </w:style>
  <w:style w:type="character" w:customStyle="1" w:styleId="EndnoteTextChar">
    <w:name w:val="Endnote Text Char"/>
    <w:basedOn w:val="DefaultParagraphFont"/>
    <w:link w:val="EndnoteText"/>
    <w:rsid w:val="0022179E"/>
    <w:rPr>
      <w:lang w:eastAsia="tr-TR"/>
    </w:rPr>
  </w:style>
  <w:style w:type="character" w:styleId="EndnoteReference">
    <w:name w:val="endnote reference"/>
    <w:basedOn w:val="DefaultParagraphFont"/>
    <w:rsid w:val="002217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ECC"/>
    <w:rPr>
      <w:sz w:val="24"/>
      <w:szCs w:val="24"/>
      <w:lang w:eastAsia="tr-TR"/>
    </w:rPr>
  </w:style>
  <w:style w:type="paragraph" w:styleId="Heading1">
    <w:name w:val="heading 1"/>
    <w:basedOn w:val="Normal"/>
    <w:next w:val="Normal"/>
    <w:qFormat/>
    <w:rsid w:val="00024559"/>
    <w:pPr>
      <w:keepNext/>
      <w:tabs>
        <w:tab w:val="num" w:pos="432"/>
      </w:tabs>
      <w:suppressAutoHyphens/>
      <w:ind w:left="432" w:hanging="432"/>
      <w:jc w:val="center"/>
      <w:outlineLvl w:val="0"/>
    </w:pPr>
    <w:rPr>
      <w:rFonts w:ascii="Arial" w:hAnsi="Arial"/>
      <w:b/>
      <w:iCs/>
      <w:sz w:val="18"/>
      <w:szCs w:val="18"/>
      <w:lang w:eastAsia="ar-SA"/>
    </w:rPr>
  </w:style>
  <w:style w:type="paragraph" w:styleId="Heading2">
    <w:name w:val="heading 2"/>
    <w:basedOn w:val="Normal"/>
    <w:next w:val="Normal"/>
    <w:qFormat/>
    <w:rsid w:val="00024559"/>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qFormat/>
    <w:rsid w:val="00024559"/>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0799D"/>
    <w:rPr>
      <w:sz w:val="20"/>
      <w:szCs w:val="20"/>
    </w:rPr>
  </w:style>
  <w:style w:type="character" w:styleId="FootnoteReference">
    <w:name w:val="footnote reference"/>
    <w:basedOn w:val="DefaultParagraphFont"/>
    <w:uiPriority w:val="99"/>
    <w:semiHidden/>
    <w:rsid w:val="00D0799D"/>
    <w:rPr>
      <w:vertAlign w:val="superscript"/>
    </w:rPr>
  </w:style>
  <w:style w:type="paragraph" w:styleId="BalloonText">
    <w:name w:val="Balloon Text"/>
    <w:basedOn w:val="Normal"/>
    <w:semiHidden/>
    <w:rsid w:val="00BF17E5"/>
    <w:rPr>
      <w:rFonts w:ascii="Tahoma" w:hAnsi="Tahoma" w:cs="Tahoma"/>
      <w:sz w:val="16"/>
      <w:szCs w:val="16"/>
    </w:rPr>
  </w:style>
  <w:style w:type="character" w:styleId="Hyperlink">
    <w:name w:val="Hyperlink"/>
    <w:basedOn w:val="DefaultParagraphFont"/>
    <w:rsid w:val="00E81CDD"/>
    <w:rPr>
      <w:color w:val="0000FF"/>
      <w:u w:val="single"/>
    </w:rPr>
  </w:style>
  <w:style w:type="character" w:customStyle="1" w:styleId="FootnoteTextChar">
    <w:name w:val="Footnote Text Char"/>
    <w:basedOn w:val="DefaultParagraphFont"/>
    <w:link w:val="FootnoteText"/>
    <w:uiPriority w:val="99"/>
    <w:semiHidden/>
    <w:locked/>
    <w:rsid w:val="001F275D"/>
    <w:rPr>
      <w:lang w:eastAsia="tr-TR"/>
    </w:rPr>
  </w:style>
</w:styles>
</file>

<file path=word/webSettings.xml><?xml version="1.0" encoding="utf-8"?>
<w:webSettings xmlns:r="http://schemas.openxmlformats.org/officeDocument/2006/relationships" xmlns:w="http://schemas.openxmlformats.org/wordprocessingml/2006/main">
  <w:divs>
    <w:div w:id="1038817145">
      <w:bodyDiv w:val="1"/>
      <w:marLeft w:val="0"/>
      <w:marRight w:val="0"/>
      <w:marTop w:val="375"/>
      <w:marBottom w:val="0"/>
      <w:divBdr>
        <w:top w:val="none" w:sz="0" w:space="0" w:color="auto"/>
        <w:left w:val="none" w:sz="0" w:space="0" w:color="auto"/>
        <w:bottom w:val="none" w:sz="0" w:space="0" w:color="auto"/>
        <w:right w:val="none" w:sz="0" w:space="0" w:color="auto"/>
      </w:divBdr>
    </w:div>
    <w:div w:id="1229417040">
      <w:bodyDiv w:val="1"/>
      <w:marLeft w:val="0"/>
      <w:marRight w:val="0"/>
      <w:marTop w:val="0"/>
      <w:marBottom w:val="0"/>
      <w:divBdr>
        <w:top w:val="none" w:sz="0" w:space="0" w:color="auto"/>
        <w:left w:val="none" w:sz="0" w:space="0" w:color="auto"/>
        <w:bottom w:val="none" w:sz="0" w:space="0" w:color="auto"/>
        <w:right w:val="none" w:sz="0" w:space="0" w:color="auto"/>
      </w:divBdr>
    </w:div>
    <w:div w:id="1271354726">
      <w:bodyDiv w:val="1"/>
      <w:marLeft w:val="0"/>
      <w:marRight w:val="0"/>
      <w:marTop w:val="0"/>
      <w:marBottom w:val="0"/>
      <w:divBdr>
        <w:top w:val="none" w:sz="0" w:space="0" w:color="auto"/>
        <w:left w:val="none" w:sz="0" w:space="0" w:color="auto"/>
        <w:bottom w:val="none" w:sz="0" w:space="0" w:color="auto"/>
        <w:right w:val="none" w:sz="0" w:space="0" w:color="auto"/>
      </w:divBdr>
      <w:divsChild>
        <w:div w:id="1387685193">
          <w:marLeft w:val="0"/>
          <w:marRight w:val="0"/>
          <w:marTop w:val="0"/>
          <w:marBottom w:val="0"/>
          <w:divBdr>
            <w:top w:val="none" w:sz="0" w:space="0" w:color="auto"/>
            <w:left w:val="none" w:sz="0" w:space="0" w:color="auto"/>
            <w:bottom w:val="none" w:sz="0" w:space="0" w:color="auto"/>
            <w:right w:val="none" w:sz="0" w:space="0" w:color="auto"/>
          </w:divBdr>
          <w:divsChild>
            <w:div w:id="15991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0B1C-57CA-49F8-8AD8-04742AEA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baris.soybilgen</dc:creator>
  <cp:lastModifiedBy>baris.soybilgen</cp:lastModifiedBy>
  <cp:revision>2</cp:revision>
  <cp:lastPrinted>2013-05-20T10:52:00Z</cp:lastPrinted>
  <dcterms:created xsi:type="dcterms:W3CDTF">2013-05-31T15:44:00Z</dcterms:created>
  <dcterms:modified xsi:type="dcterms:W3CDTF">2013-05-31T15:44:00Z</dcterms:modified>
</cp:coreProperties>
</file>