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B320C7" w:rsidRDefault="00AB717C" w:rsidP="001E4BF5">
      <w:pPr>
        <w:spacing w:line="360" w:lineRule="auto"/>
        <w:ind w:right="-319"/>
        <w:jc w:val="center"/>
        <w:outlineLvl w:val="0"/>
        <w:rPr>
          <w:rFonts w:ascii="Arial" w:hAnsi="Arial" w:cs="Arial"/>
          <w:b/>
          <w:sz w:val="32"/>
          <w:szCs w:val="32"/>
        </w:rPr>
      </w:pPr>
      <w:r w:rsidRPr="00B320C7">
        <w:rPr>
          <w:rFonts w:ascii="Arial" w:hAnsi="Arial" w:cs="Arial"/>
          <w:b/>
          <w:noProof/>
          <w:sz w:val="32"/>
          <w:szCs w:val="32"/>
          <w:lang w:val="tr-TR"/>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8C15FD" w:rsidRPr="008C15FD">
        <w:rPr>
          <w:rFonts w:ascii="Arial" w:hAnsi="Arial" w:cs="Arial"/>
          <w:b/>
          <w:sz w:val="32"/>
          <w:szCs w:val="32"/>
          <w:lang w:eastAsia="en-US"/>
        </w:rPr>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OUaS9FCiRzY6dKNGNC98egZtK/B60ODnRliHModQrb5XzTeLpLrtiNyya2PU0DFCgV7mTyYvjkYc&#10;60E2w0dF4R6ycyoAja3pfe4gGwjQoUxPx9J4Lg0snpfFeXEBWw3sLYplWYTaJaSaTmtj3XumeuSN&#10;GhsofUAn+3vrPBtSTS7+MqsEp2suRJiY7eZWGLQnIJN1+OJZoTsSV6frbHQNeCcYQnokqTxmvC6u&#10;QARAwO/5WIImfpbZPE9v5uVsXSwvZvk6X8zKi3Q5S7PyBiLLy/xu/cszyPKq45Qyec8lm/SZ5X9X&#10;/0OnRGUFhaKhxuVivgjBnbA/hHWINfVfKOGrRPXcQbsK3td4eXQila/6O0khbFI5wkW0k1P6IWWQ&#10;g+kfshI04mURBeLGzQgoXjgbRZ9ALUZBMaHu8MaA0SnzA6MB+rXG9vuOGIaR+CBBcb65J8NMxmYy&#10;iGzgaI0dRtG8dfER2GnDtx0gR01LdQ2qbHkQzDMLoOwn0IOB/OG98E3+ch68nl+11W8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YPzkYYwCAAAdBQAADgAAAAAAAAAAAAAAAAAuAgAAZHJzL2Uyb0RvYy54bWxQSwECLQAU&#10;AAYACAAAACEAbnw7794AAAAJAQAADwAAAAAAAAAAAAAAAADmBAAAZHJzL2Rvd25yZXYueG1sUEsF&#10;BgAAAAAEAAQA8wAAAPEFAAAAAA==&#10;" stroked="f">
            <v:fill opacity="0"/>
            <v:textbox inset="0,0,0,0">
              <w:txbxContent>
                <w:p w:rsidR="00900E74" w:rsidRPr="00342E6B" w:rsidRDefault="00900E74" w:rsidP="00024559">
                  <w:pPr>
                    <w:pStyle w:val="Balk1"/>
                    <w:rPr>
                      <w:rFonts w:ascii="Times New Roman" w:hAnsi="Times New Roman"/>
                      <w:sz w:val="40"/>
                      <w:szCs w:val="40"/>
                    </w:rPr>
                  </w:pPr>
                  <w:r>
                    <w:rPr>
                      <w:rFonts w:ascii="Times New Roman" w:hAnsi="Times New Roman"/>
                      <w:sz w:val="40"/>
                      <w:szCs w:val="40"/>
                    </w:rPr>
                    <w:t xml:space="preserve">Economic Outlook and Forecasts: </w:t>
                  </w:r>
                  <w:r w:rsidR="000B3D82">
                    <w:rPr>
                      <w:rFonts w:ascii="Times New Roman" w:hAnsi="Times New Roman"/>
                      <w:sz w:val="40"/>
                      <w:szCs w:val="40"/>
                    </w:rPr>
                    <w:t>April</w:t>
                  </w:r>
                  <w:r>
                    <w:rPr>
                      <w:rFonts w:ascii="Times New Roman" w:hAnsi="Times New Roman"/>
                      <w:sz w:val="40"/>
                      <w:szCs w:val="40"/>
                    </w:rPr>
                    <w:t xml:space="preserve"> 2013</w:t>
                  </w:r>
                </w:p>
                <w:p w:rsidR="00900E74" w:rsidRPr="00A75A46" w:rsidRDefault="00900E74" w:rsidP="00024559">
                  <w:pPr>
                    <w:pStyle w:val="Balk2"/>
                    <w:rPr>
                      <w:b w:val="0"/>
                      <w:i w:val="0"/>
                      <w:lang w:val="nl-NL"/>
                    </w:rPr>
                  </w:pPr>
                </w:p>
              </w:txbxContent>
            </v:textbox>
          </v:shape>
        </w:pict>
      </w:r>
    </w:p>
    <w:p w:rsidR="00357ECC" w:rsidRPr="00B320C7" w:rsidRDefault="008C15FD" w:rsidP="001E4BF5">
      <w:pPr>
        <w:spacing w:line="360" w:lineRule="auto"/>
        <w:ind w:right="-319"/>
        <w:jc w:val="center"/>
        <w:outlineLvl w:val="0"/>
        <w:rPr>
          <w:rFonts w:ascii="Arial" w:hAnsi="Arial" w:cs="Arial"/>
          <w:b/>
          <w:sz w:val="32"/>
          <w:szCs w:val="32"/>
        </w:rPr>
      </w:pPr>
      <w:r w:rsidRPr="008C15FD">
        <w:rPr>
          <w:rFonts w:ascii="Arial" w:hAnsi="Arial" w:cs="Arial"/>
          <w:b/>
          <w:lang w:eastAsia="en-US"/>
        </w:rPr>
        <w:lastRenderedPageBreak/>
        <w:pict>
          <v:shape id="Text Box 27" o:spid="_x0000_s1027" type="#_x0000_t202" style="position:absolute;left:0;text-align:left;margin-left:170.3pt;margin-top:9pt;width:137.3pt;height:27.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aLjwIAACQ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jypU/PoG0FXg8a/NwI61DmEKrV94p+tUiq247IHbs2Rg0dIw3Qy/zJ5MXRiGM9&#10;yHb4oBq4h+ydCkBja3qfO8gGAnQo09OpNJ4L9VcuizfLDLYo7L0pVotsHq4g1XRaG+veMdUjb9TY&#10;QOkDOjncW+fZkGpy8ZdZJXiz4UKEidltb4VBBwIy2YQvnhW6I3E1SAUwbHQNeGcYQnokqTxmvC6u&#10;QARAwO/5WIImfpRZXqQ3eTnbLFbLWbEp5rNyma5maVbelIu0KIu7zU/PICuqjjcNk/dcskmfWfF3&#10;9T92SlRWUCgaalzO83kI7oz9MaxjrKn/jvk9c+u5g3YVvK/x6uREKl/1t7KBsEnlCBfRTs7ph5RB&#10;DqZ/yErQiJdFFIgbt2NQYxCQ189WNU8gGqOgplB+eGrA6JT5jtEAbVtj+21PDMNIvJcgPN/jk2Em&#10;YzsZRFI4WmOHUTRvXXwL9trwXQfIUdpSXYM4Wx5088wCmPsJtGKI4fhs+F5/OQ9ez4/b+hcAAAD/&#10;/wMAUEsDBBQABgAIAAAAIQBZYQTb3QAAAAkBAAAPAAAAZHJzL2Rvd25yZXYueG1sTI/LTsMwEEX3&#10;SP0Hayqxo05TlTyIU0ERbBEBqVs3mcZR4nEUu234e4YVXY7u0Z1zi91sB3HByXeOFKxXEQik2jUd&#10;tQq+v94eUhA+aGr04AgV/KCHXbm4K3TeuCt94qUKreAS8rlWYEIYcyl9bdBqv3IjEmcnN1kd+Jxa&#10;2Uz6yuV2kHEUPUqrO+IPRo+4N1j31dkq2HzEycG/V6/78YBZn/qX/kRGqfvl/PwEIuAc/mH402d1&#10;KNnp6M7UeDEoiLN0yygHKW9iYJts1iCOCpI4A1kW8nZB+QsAAP//AwBQSwECLQAUAAYACAAAACEA&#10;toM4kv4AAADhAQAAEwAAAAAAAAAAAAAAAAAAAAAAW0NvbnRlbnRfVHlwZXNdLnhtbFBLAQItABQA&#10;BgAIAAAAIQA4/SH/1gAAAJQBAAALAAAAAAAAAAAAAAAAAC8BAABfcmVscy8ucmVsc1BLAQItABQA&#10;BgAIAAAAIQCMP3aLjwIAACQFAAAOAAAAAAAAAAAAAAAAAC4CAABkcnMvZTJvRG9jLnhtbFBLAQIt&#10;ABQABgAIAAAAIQBZYQTb3QAAAAkBAAAPAAAAAAAAAAAAAAAAAOkEAABkcnMvZG93bnJldi54bWxQ&#10;SwUGAAAAAAQABADzAAAA8wUAAAAA&#10;" stroked="f">
            <v:fill opacity="0"/>
            <v:textbox inset="0,0,0,0">
              <w:txbxContent>
                <w:p w:rsidR="00900E74" w:rsidRPr="0015586B" w:rsidRDefault="0076324E" w:rsidP="00FA48DD">
                  <w:pPr>
                    <w:pStyle w:val="Balk3"/>
                    <w:tabs>
                      <w:tab w:val="clear" w:pos="720"/>
                    </w:tabs>
                    <w:ind w:left="0" w:firstLine="0"/>
                    <w:rPr>
                      <w:color w:val="FFFFFF"/>
                      <w:sz w:val="22"/>
                      <w:szCs w:val="22"/>
                      <w:lang w:val="tr-TR"/>
                    </w:rPr>
                  </w:pPr>
                  <w:r>
                    <w:rPr>
                      <w:color w:val="FFFFFF"/>
                      <w:sz w:val="22"/>
                      <w:szCs w:val="22"/>
                      <w:lang w:val="tr-TR"/>
                    </w:rPr>
                    <w:t>April</w:t>
                  </w:r>
                  <w:r w:rsidR="002F56EC">
                    <w:rPr>
                      <w:color w:val="FFFFFF"/>
                      <w:sz w:val="22"/>
                      <w:szCs w:val="22"/>
                      <w:lang w:val="tr-TR"/>
                    </w:rPr>
                    <w:t xml:space="preserve"> </w:t>
                  </w:r>
                  <w:r w:rsidR="000B3D82">
                    <w:rPr>
                      <w:color w:val="FFFFFF"/>
                      <w:sz w:val="22"/>
                      <w:szCs w:val="22"/>
                      <w:lang w:val="tr-TR"/>
                    </w:rPr>
                    <w:t>2</w:t>
                  </w:r>
                  <w:r w:rsidR="006305E4">
                    <w:rPr>
                      <w:color w:val="FFFFFF"/>
                      <w:sz w:val="22"/>
                      <w:szCs w:val="22"/>
                      <w:lang w:val="tr-TR"/>
                    </w:rPr>
                    <w:t>5</w:t>
                  </w:r>
                  <w:r w:rsidR="00900E74">
                    <w:rPr>
                      <w:color w:val="FFFFFF"/>
                      <w:sz w:val="22"/>
                      <w:szCs w:val="22"/>
                      <w:lang w:val="tr-TR"/>
                    </w:rPr>
                    <w:t>,</w:t>
                  </w:r>
                  <w:r w:rsidR="00552C4F">
                    <w:rPr>
                      <w:color w:val="FFFFFF"/>
                      <w:sz w:val="22"/>
                      <w:szCs w:val="22"/>
                      <w:lang w:val="tr-TR"/>
                    </w:rPr>
                    <w:t xml:space="preserve"> 2013</w:t>
                  </w:r>
                </w:p>
                <w:p w:rsidR="00900E74" w:rsidRDefault="00900E74" w:rsidP="00024559"/>
              </w:txbxContent>
            </v:textbox>
          </v:shape>
        </w:pict>
      </w:r>
    </w:p>
    <w:p w:rsidR="00357ECC" w:rsidRPr="00B320C7" w:rsidRDefault="00357ECC" w:rsidP="001E4BF5">
      <w:pPr>
        <w:spacing w:line="360" w:lineRule="auto"/>
        <w:ind w:right="-319"/>
        <w:jc w:val="center"/>
        <w:outlineLvl w:val="0"/>
        <w:rPr>
          <w:rFonts w:ascii="Arial" w:hAnsi="Arial" w:cs="Arial"/>
          <w:b/>
          <w:sz w:val="32"/>
          <w:szCs w:val="32"/>
        </w:rPr>
        <w:sectPr w:rsidR="00357ECC" w:rsidRPr="00B320C7" w:rsidSect="00357ECC">
          <w:pgSz w:w="11906" w:h="16838"/>
          <w:pgMar w:top="1417" w:right="1417" w:bottom="1417" w:left="1417" w:header="708" w:footer="708" w:gutter="0"/>
          <w:cols w:num="2" w:space="708" w:equalWidth="0">
            <w:col w:w="4182" w:space="708"/>
            <w:col w:w="4182"/>
          </w:cols>
          <w:docGrid w:linePitch="360"/>
        </w:sectPr>
      </w:pPr>
    </w:p>
    <w:p w:rsidR="00357ECC" w:rsidRPr="00B320C7" w:rsidRDefault="00357ECC" w:rsidP="001E4BF5">
      <w:pPr>
        <w:spacing w:line="360" w:lineRule="auto"/>
        <w:ind w:right="-319"/>
        <w:outlineLvl w:val="0"/>
        <w:rPr>
          <w:rFonts w:ascii="Arial" w:hAnsi="Arial" w:cs="Arial"/>
          <w:b/>
          <w:sz w:val="32"/>
          <w:szCs w:val="32"/>
        </w:rPr>
      </w:pPr>
    </w:p>
    <w:p w:rsidR="000B0D88" w:rsidRDefault="00004C0B" w:rsidP="00CA0E59">
      <w:pPr>
        <w:ind w:right="-317"/>
        <w:jc w:val="center"/>
        <w:outlineLvl w:val="0"/>
        <w:rPr>
          <w:rFonts w:ascii="Arial" w:hAnsi="Arial" w:cs="Arial"/>
          <w:b/>
          <w:bCs/>
          <w:caps/>
          <w:sz w:val="28"/>
          <w:szCs w:val="28"/>
        </w:rPr>
      </w:pPr>
      <w:r>
        <w:rPr>
          <w:rFonts w:ascii="Arial" w:hAnsi="Arial" w:cs="Arial"/>
          <w:b/>
          <w:bCs/>
          <w:caps/>
          <w:sz w:val="28"/>
          <w:szCs w:val="28"/>
        </w:rPr>
        <w:t xml:space="preserve">current account defıcıt </w:t>
      </w:r>
      <w:r w:rsidR="0032553E">
        <w:rPr>
          <w:rFonts w:ascii="Arial" w:hAnsi="Arial" w:cs="Arial"/>
          <w:b/>
          <w:bCs/>
          <w:caps/>
          <w:sz w:val="28"/>
          <w:szCs w:val="28"/>
        </w:rPr>
        <w:t xml:space="preserve">wıdens </w:t>
      </w:r>
    </w:p>
    <w:p w:rsidR="00CA0E59" w:rsidRPr="000A4DA1" w:rsidRDefault="0032553E" w:rsidP="00CA0E59">
      <w:pPr>
        <w:ind w:right="-317"/>
        <w:jc w:val="center"/>
        <w:outlineLvl w:val="0"/>
        <w:rPr>
          <w:rFonts w:ascii="Arial" w:hAnsi="Arial" w:cs="Arial"/>
          <w:b/>
          <w:bCs/>
          <w:caps/>
          <w:sz w:val="28"/>
          <w:szCs w:val="28"/>
        </w:rPr>
      </w:pPr>
      <w:r>
        <w:rPr>
          <w:rFonts w:ascii="Arial" w:hAnsi="Arial" w:cs="Arial"/>
          <w:b/>
          <w:bCs/>
          <w:caps/>
          <w:sz w:val="28"/>
          <w:szCs w:val="28"/>
        </w:rPr>
        <w:t>As Economy recovers</w:t>
      </w:r>
    </w:p>
    <w:p w:rsidR="00FA0BA3" w:rsidRPr="00F91693" w:rsidRDefault="00FA0BA3" w:rsidP="001E4BF5">
      <w:pPr>
        <w:spacing w:line="360" w:lineRule="auto"/>
        <w:ind w:right="-319"/>
        <w:jc w:val="center"/>
        <w:outlineLvl w:val="0"/>
        <w:rPr>
          <w:rFonts w:ascii="Arial" w:hAnsi="Arial" w:cs="Arial"/>
          <w:b/>
          <w:sz w:val="12"/>
          <w:szCs w:val="12"/>
        </w:rPr>
      </w:pPr>
    </w:p>
    <w:p w:rsidR="00357ECC" w:rsidRPr="00F91693" w:rsidRDefault="00357ECC" w:rsidP="003B5209">
      <w:pPr>
        <w:spacing w:line="360" w:lineRule="auto"/>
        <w:ind w:right="-319"/>
        <w:jc w:val="center"/>
        <w:outlineLvl w:val="0"/>
        <w:rPr>
          <w:rFonts w:ascii="Arial" w:hAnsi="Arial" w:cs="Arial"/>
          <w:b/>
          <w:sz w:val="22"/>
          <w:szCs w:val="22"/>
          <w:vertAlign w:val="superscript"/>
        </w:rPr>
      </w:pPr>
      <w:r w:rsidRPr="00F91693">
        <w:rPr>
          <w:rFonts w:ascii="Arial" w:hAnsi="Arial" w:cs="Arial"/>
          <w:b/>
          <w:sz w:val="22"/>
          <w:szCs w:val="22"/>
        </w:rPr>
        <w:t>Zümrüt</w:t>
      </w:r>
      <w:r w:rsidR="00851738" w:rsidRPr="00F91693">
        <w:rPr>
          <w:rFonts w:ascii="Arial" w:hAnsi="Arial" w:cs="Arial"/>
          <w:b/>
          <w:sz w:val="22"/>
          <w:szCs w:val="22"/>
        </w:rPr>
        <w:t xml:space="preserve"> </w:t>
      </w:r>
      <w:r w:rsidR="009A4CBF" w:rsidRPr="00F91693">
        <w:rPr>
          <w:rFonts w:ascii="Arial" w:hAnsi="Arial" w:cs="Arial"/>
          <w:b/>
          <w:sz w:val="22"/>
          <w:szCs w:val="22"/>
        </w:rPr>
        <w:t>İmamoğlu* and</w:t>
      </w:r>
      <w:r w:rsidR="00851738" w:rsidRPr="00F91693">
        <w:rPr>
          <w:rFonts w:ascii="Arial" w:hAnsi="Arial" w:cs="Arial"/>
          <w:b/>
          <w:sz w:val="22"/>
          <w:szCs w:val="22"/>
        </w:rPr>
        <w:t xml:space="preserve"> </w:t>
      </w:r>
      <w:r w:rsidRPr="00F91693">
        <w:rPr>
          <w:rFonts w:ascii="Arial" w:hAnsi="Arial" w:cs="Arial"/>
          <w:b/>
          <w:sz w:val="22"/>
          <w:szCs w:val="22"/>
        </w:rPr>
        <w:t>Barış</w:t>
      </w:r>
      <w:r w:rsidR="00851738" w:rsidRPr="00F91693">
        <w:rPr>
          <w:rFonts w:ascii="Arial" w:hAnsi="Arial" w:cs="Arial"/>
          <w:b/>
          <w:sz w:val="22"/>
          <w:szCs w:val="22"/>
        </w:rPr>
        <w:t xml:space="preserve"> </w:t>
      </w:r>
      <w:r w:rsidRPr="00F91693">
        <w:rPr>
          <w:rFonts w:ascii="Arial" w:hAnsi="Arial" w:cs="Arial"/>
          <w:b/>
          <w:sz w:val="22"/>
          <w:szCs w:val="22"/>
        </w:rPr>
        <w:t>Soybilgen</w:t>
      </w:r>
      <w:r w:rsidRPr="00F91693">
        <w:rPr>
          <w:rFonts w:ascii="Arial" w:hAnsi="Arial" w:cs="Arial"/>
          <w:b/>
          <w:sz w:val="22"/>
          <w:szCs w:val="22"/>
          <w:vertAlign w:val="superscript"/>
        </w:rPr>
        <w:t>†</w:t>
      </w:r>
    </w:p>
    <w:p w:rsidR="00FC36DC" w:rsidRPr="00F91693" w:rsidRDefault="00FC36DC" w:rsidP="003B5209">
      <w:pPr>
        <w:spacing w:line="360" w:lineRule="auto"/>
        <w:ind w:right="-319"/>
        <w:jc w:val="center"/>
        <w:outlineLvl w:val="0"/>
        <w:rPr>
          <w:rFonts w:ascii="Arial" w:hAnsi="Arial" w:cs="Arial"/>
          <w:sz w:val="12"/>
          <w:szCs w:val="12"/>
          <w:vertAlign w:val="superscript"/>
        </w:rPr>
      </w:pPr>
    </w:p>
    <w:p w:rsidR="001A2051" w:rsidRPr="00F91693" w:rsidRDefault="001A2051" w:rsidP="003B5209">
      <w:pPr>
        <w:spacing w:line="360" w:lineRule="auto"/>
        <w:ind w:right="-319"/>
        <w:jc w:val="center"/>
        <w:outlineLvl w:val="0"/>
        <w:rPr>
          <w:rFonts w:ascii="Arial" w:hAnsi="Arial" w:cs="Arial"/>
          <w:sz w:val="12"/>
          <w:szCs w:val="12"/>
          <w:vertAlign w:val="superscript"/>
        </w:rPr>
        <w:sectPr w:rsidR="001A2051" w:rsidRPr="00F91693" w:rsidSect="00357ECC">
          <w:type w:val="continuous"/>
          <w:pgSz w:w="11906" w:h="16838"/>
          <w:pgMar w:top="1417" w:right="1417" w:bottom="1417" w:left="1417" w:header="708" w:footer="708" w:gutter="0"/>
          <w:cols w:space="708"/>
          <w:docGrid w:linePitch="360"/>
        </w:sectPr>
      </w:pPr>
    </w:p>
    <w:p w:rsidR="008C38E5" w:rsidRPr="00B320C7" w:rsidRDefault="008C38E5" w:rsidP="008C38E5">
      <w:pPr>
        <w:spacing w:line="360" w:lineRule="auto"/>
        <w:ind w:left="-360" w:right="42" w:firstLine="360"/>
        <w:jc w:val="center"/>
        <w:rPr>
          <w:b/>
          <w:sz w:val="22"/>
          <w:szCs w:val="22"/>
        </w:rPr>
      </w:pPr>
      <w:r w:rsidRPr="00B320C7">
        <w:rPr>
          <w:b/>
          <w:sz w:val="22"/>
          <w:szCs w:val="22"/>
        </w:rPr>
        <w:lastRenderedPageBreak/>
        <w:t>Executive Summary</w:t>
      </w:r>
    </w:p>
    <w:p w:rsidR="008C38E5" w:rsidRPr="00F91693" w:rsidRDefault="008C38E5" w:rsidP="008C38E5">
      <w:pPr>
        <w:spacing w:line="360" w:lineRule="auto"/>
        <w:ind w:left="-360" w:right="42" w:firstLine="360"/>
        <w:jc w:val="center"/>
        <w:rPr>
          <w:b/>
          <w:sz w:val="16"/>
          <w:szCs w:val="16"/>
        </w:rPr>
      </w:pPr>
    </w:p>
    <w:p w:rsidR="00F91693" w:rsidRPr="00047F4D" w:rsidRDefault="00F91693" w:rsidP="00F91693">
      <w:pPr>
        <w:spacing w:line="360" w:lineRule="auto"/>
        <w:ind w:left="-360" w:right="40"/>
        <w:jc w:val="both"/>
        <w:rPr>
          <w:sz w:val="22"/>
          <w:szCs w:val="22"/>
        </w:rPr>
      </w:pPr>
      <w:r w:rsidRPr="00047F4D">
        <w:rPr>
          <w:sz w:val="22"/>
          <w:szCs w:val="22"/>
        </w:rPr>
        <w:t xml:space="preserve">In February, the Industrial Production Index (IPI) increased by 1.5 percent from </w:t>
      </w:r>
      <w:r w:rsidR="00037357">
        <w:rPr>
          <w:sz w:val="22"/>
          <w:szCs w:val="22"/>
        </w:rPr>
        <w:t>January</w:t>
      </w:r>
      <w:r w:rsidRPr="00047F4D">
        <w:rPr>
          <w:sz w:val="22"/>
          <w:szCs w:val="22"/>
        </w:rPr>
        <w:t xml:space="preserve">. Export volume index increased by 5.1 percent and import volume index increased by 2.6 percent. The increase in the IPI in February turned the quarterly outlook of the IPI from stagnant to positive. </w:t>
      </w:r>
      <w:r w:rsidR="002A3272">
        <w:rPr>
          <w:sz w:val="22"/>
          <w:szCs w:val="22"/>
        </w:rPr>
        <w:t>As</w:t>
      </w:r>
      <w:r w:rsidR="00037357">
        <w:rPr>
          <w:sz w:val="22"/>
          <w:szCs w:val="22"/>
        </w:rPr>
        <w:t xml:space="preserve"> </w:t>
      </w:r>
      <w:r w:rsidRPr="00037357">
        <w:rPr>
          <w:sz w:val="22"/>
          <w:szCs w:val="22"/>
        </w:rPr>
        <w:t>exports</w:t>
      </w:r>
      <w:r w:rsidR="00037357" w:rsidRPr="00037357">
        <w:rPr>
          <w:sz w:val="22"/>
          <w:szCs w:val="22"/>
        </w:rPr>
        <w:t xml:space="preserve"> recover</w:t>
      </w:r>
      <w:r w:rsidR="00774F2C">
        <w:rPr>
          <w:sz w:val="22"/>
          <w:szCs w:val="22"/>
        </w:rPr>
        <w:t>ed its</w:t>
      </w:r>
      <w:r w:rsidR="00037357" w:rsidRPr="00037357">
        <w:rPr>
          <w:sz w:val="22"/>
          <w:szCs w:val="22"/>
        </w:rPr>
        <w:t xml:space="preserve"> losses in December and January and </w:t>
      </w:r>
      <w:r w:rsidRPr="00037357">
        <w:rPr>
          <w:sz w:val="22"/>
          <w:szCs w:val="22"/>
        </w:rPr>
        <w:t>imports</w:t>
      </w:r>
      <w:r w:rsidR="00037357" w:rsidRPr="00037357">
        <w:rPr>
          <w:sz w:val="22"/>
          <w:szCs w:val="22"/>
        </w:rPr>
        <w:t xml:space="preserve"> continue</w:t>
      </w:r>
      <w:r w:rsidR="00774F2C">
        <w:rPr>
          <w:sz w:val="22"/>
          <w:szCs w:val="22"/>
        </w:rPr>
        <w:t>d</w:t>
      </w:r>
      <w:r w:rsidR="00037357" w:rsidRPr="00037357">
        <w:rPr>
          <w:sz w:val="22"/>
          <w:szCs w:val="22"/>
        </w:rPr>
        <w:t xml:space="preserve"> increasing</w:t>
      </w:r>
      <w:r w:rsidR="00037357">
        <w:rPr>
          <w:sz w:val="22"/>
          <w:szCs w:val="22"/>
        </w:rPr>
        <w:t xml:space="preserve">, the </w:t>
      </w:r>
      <w:r w:rsidR="00037357" w:rsidRPr="00037357">
        <w:rPr>
          <w:sz w:val="22"/>
          <w:szCs w:val="22"/>
        </w:rPr>
        <w:t>first quarter growth seems more promising.</w:t>
      </w:r>
      <w:r w:rsidRPr="00047F4D">
        <w:rPr>
          <w:sz w:val="22"/>
          <w:szCs w:val="22"/>
        </w:rPr>
        <w:t xml:space="preserve"> </w:t>
      </w:r>
      <w:r w:rsidR="00037357">
        <w:rPr>
          <w:sz w:val="22"/>
          <w:szCs w:val="22"/>
        </w:rPr>
        <w:t>Betam</w:t>
      </w:r>
      <w:r w:rsidRPr="00047F4D">
        <w:rPr>
          <w:sz w:val="22"/>
          <w:szCs w:val="22"/>
        </w:rPr>
        <w:t xml:space="preserve"> </w:t>
      </w:r>
      <w:r w:rsidR="00037357">
        <w:rPr>
          <w:sz w:val="22"/>
          <w:szCs w:val="22"/>
        </w:rPr>
        <w:t xml:space="preserve">increased its </w:t>
      </w:r>
      <w:r w:rsidRPr="00047F4D">
        <w:rPr>
          <w:sz w:val="22"/>
          <w:szCs w:val="22"/>
        </w:rPr>
        <w:t xml:space="preserve">quarter on quarter (QoQ) forecast for the first quarter from 0.5 percent to 0.7 percent. The corresponding year on year (YoY) growth rate is 2.4 percent. </w:t>
      </w:r>
    </w:p>
    <w:p w:rsidR="00F91693" w:rsidRPr="00047F4D" w:rsidRDefault="00F91693" w:rsidP="00F91693">
      <w:pPr>
        <w:spacing w:line="360" w:lineRule="auto"/>
        <w:ind w:left="-360" w:right="40"/>
        <w:jc w:val="both"/>
        <w:rPr>
          <w:sz w:val="22"/>
          <w:szCs w:val="22"/>
        </w:rPr>
      </w:pPr>
    </w:p>
    <w:p w:rsidR="002F56EC" w:rsidRPr="00F91693" w:rsidRDefault="00F91693" w:rsidP="00F91693">
      <w:pPr>
        <w:spacing w:line="360" w:lineRule="auto"/>
        <w:ind w:left="-360" w:right="40"/>
        <w:jc w:val="both"/>
        <w:rPr>
          <w:sz w:val="22"/>
          <w:szCs w:val="22"/>
        </w:rPr>
      </w:pPr>
      <w:r w:rsidRPr="00047F4D">
        <w:rPr>
          <w:sz w:val="22"/>
          <w:szCs w:val="22"/>
        </w:rPr>
        <w:t xml:space="preserve">In January, </w:t>
      </w:r>
      <w:r w:rsidR="000D0ECE">
        <w:rPr>
          <w:sz w:val="22"/>
          <w:szCs w:val="22"/>
        </w:rPr>
        <w:t>the</w:t>
      </w:r>
      <w:r w:rsidRPr="00047F4D">
        <w:rPr>
          <w:sz w:val="22"/>
          <w:szCs w:val="22"/>
        </w:rPr>
        <w:t xml:space="preserve"> trade deficit</w:t>
      </w:r>
      <w:r w:rsidR="000D0ECE">
        <w:rPr>
          <w:sz w:val="22"/>
          <w:szCs w:val="22"/>
        </w:rPr>
        <w:t xml:space="preserve"> was almost stagnant, increasing only $0,2 </w:t>
      </w:r>
      <w:r w:rsidR="000966DF">
        <w:rPr>
          <w:sz w:val="22"/>
          <w:szCs w:val="22"/>
        </w:rPr>
        <w:t>b</w:t>
      </w:r>
      <w:r w:rsidR="000D0ECE">
        <w:rPr>
          <w:sz w:val="22"/>
          <w:szCs w:val="22"/>
        </w:rPr>
        <w:t>illion</w:t>
      </w:r>
      <w:r w:rsidRPr="00047F4D">
        <w:rPr>
          <w:sz w:val="22"/>
          <w:szCs w:val="22"/>
        </w:rPr>
        <w:t>.</w:t>
      </w:r>
      <w:r>
        <w:rPr>
          <w:sz w:val="22"/>
          <w:szCs w:val="22"/>
        </w:rPr>
        <w:t xml:space="preserve"> </w:t>
      </w:r>
      <w:r w:rsidR="000D0ECE">
        <w:rPr>
          <w:sz w:val="22"/>
          <w:szCs w:val="22"/>
        </w:rPr>
        <w:t>In February</w:t>
      </w:r>
      <w:r>
        <w:rPr>
          <w:sz w:val="22"/>
          <w:szCs w:val="22"/>
        </w:rPr>
        <w:t>,</w:t>
      </w:r>
      <w:r w:rsidRPr="00047F4D">
        <w:rPr>
          <w:sz w:val="22"/>
          <w:szCs w:val="22"/>
        </w:rPr>
        <w:t xml:space="preserve"> </w:t>
      </w:r>
      <w:r w:rsidR="000D0ECE">
        <w:rPr>
          <w:sz w:val="22"/>
          <w:szCs w:val="22"/>
        </w:rPr>
        <w:t>it</w:t>
      </w:r>
      <w:r w:rsidRPr="00047F4D">
        <w:rPr>
          <w:sz w:val="22"/>
          <w:szCs w:val="22"/>
        </w:rPr>
        <w:t xml:space="preserve"> increased by </w:t>
      </w:r>
      <w:r w:rsidR="000D0ECE">
        <w:rPr>
          <w:sz w:val="22"/>
          <w:szCs w:val="22"/>
        </w:rPr>
        <w:t>$</w:t>
      </w:r>
      <w:r w:rsidRPr="00047F4D">
        <w:rPr>
          <w:sz w:val="22"/>
          <w:szCs w:val="22"/>
        </w:rPr>
        <w:t>1 billion</w:t>
      </w:r>
      <w:r w:rsidR="000D0ECE">
        <w:rPr>
          <w:sz w:val="22"/>
          <w:szCs w:val="22"/>
        </w:rPr>
        <w:t xml:space="preserve"> over the same month of last year,</w:t>
      </w:r>
      <w:r w:rsidRPr="00047F4D">
        <w:rPr>
          <w:sz w:val="22"/>
          <w:szCs w:val="22"/>
        </w:rPr>
        <w:t xml:space="preserve"> </w:t>
      </w:r>
      <w:r w:rsidR="000D0ECE">
        <w:rPr>
          <w:sz w:val="22"/>
          <w:szCs w:val="22"/>
        </w:rPr>
        <w:t>reaching</w:t>
      </w:r>
      <w:r w:rsidRPr="00047F4D">
        <w:rPr>
          <w:sz w:val="22"/>
          <w:szCs w:val="22"/>
        </w:rPr>
        <w:t xml:space="preserve"> </w:t>
      </w:r>
      <w:r w:rsidR="000D0ECE">
        <w:rPr>
          <w:sz w:val="22"/>
          <w:szCs w:val="22"/>
        </w:rPr>
        <w:t>$</w:t>
      </w:r>
      <w:r w:rsidRPr="00047F4D">
        <w:rPr>
          <w:sz w:val="22"/>
          <w:szCs w:val="22"/>
        </w:rPr>
        <w:t xml:space="preserve">6.9 billion. </w:t>
      </w:r>
      <w:r w:rsidR="004A2E8D">
        <w:rPr>
          <w:sz w:val="22"/>
          <w:szCs w:val="22"/>
        </w:rPr>
        <w:t>T</w:t>
      </w:r>
      <w:r w:rsidRPr="00047F4D">
        <w:rPr>
          <w:sz w:val="22"/>
          <w:szCs w:val="22"/>
        </w:rPr>
        <w:t>he current account deficit</w:t>
      </w:r>
      <w:r>
        <w:rPr>
          <w:sz w:val="22"/>
          <w:szCs w:val="22"/>
        </w:rPr>
        <w:t xml:space="preserve"> (CAD)</w:t>
      </w:r>
      <w:r w:rsidRPr="00047F4D">
        <w:rPr>
          <w:sz w:val="22"/>
          <w:szCs w:val="22"/>
        </w:rPr>
        <w:t xml:space="preserve"> </w:t>
      </w:r>
      <w:r w:rsidR="00B70239">
        <w:rPr>
          <w:sz w:val="22"/>
          <w:szCs w:val="22"/>
        </w:rPr>
        <w:t xml:space="preserve">also </w:t>
      </w:r>
      <w:r w:rsidR="004A2E8D">
        <w:rPr>
          <w:sz w:val="22"/>
          <w:szCs w:val="22"/>
        </w:rPr>
        <w:t xml:space="preserve">followed, </w:t>
      </w:r>
      <w:r>
        <w:rPr>
          <w:sz w:val="22"/>
          <w:szCs w:val="22"/>
        </w:rPr>
        <w:t>increas</w:t>
      </w:r>
      <w:r w:rsidR="004A2E8D">
        <w:rPr>
          <w:sz w:val="22"/>
          <w:szCs w:val="22"/>
        </w:rPr>
        <w:t xml:space="preserve">ing </w:t>
      </w:r>
      <w:r w:rsidR="00B70239">
        <w:rPr>
          <w:sz w:val="22"/>
          <w:szCs w:val="22"/>
        </w:rPr>
        <w:t>up</w:t>
      </w:r>
      <w:r>
        <w:rPr>
          <w:sz w:val="22"/>
          <w:szCs w:val="22"/>
        </w:rPr>
        <w:t xml:space="preserve"> to</w:t>
      </w:r>
      <w:r w:rsidRPr="00047F4D">
        <w:rPr>
          <w:sz w:val="22"/>
          <w:szCs w:val="22"/>
        </w:rPr>
        <w:t xml:space="preserve"> </w:t>
      </w:r>
      <w:r w:rsidR="00B70239">
        <w:rPr>
          <w:sz w:val="22"/>
          <w:szCs w:val="22"/>
        </w:rPr>
        <w:t>$</w:t>
      </w:r>
      <w:r w:rsidRPr="00047F4D">
        <w:rPr>
          <w:sz w:val="22"/>
          <w:szCs w:val="22"/>
        </w:rPr>
        <w:t>5.1 billion</w:t>
      </w:r>
      <w:r w:rsidR="00D51F05">
        <w:rPr>
          <w:sz w:val="22"/>
          <w:szCs w:val="22"/>
        </w:rPr>
        <w:t xml:space="preserve"> in February</w:t>
      </w:r>
      <w:r w:rsidRPr="00047F4D">
        <w:rPr>
          <w:sz w:val="22"/>
          <w:szCs w:val="22"/>
        </w:rPr>
        <w:t xml:space="preserve">. </w:t>
      </w:r>
      <w:r w:rsidR="00D51F05">
        <w:rPr>
          <w:sz w:val="22"/>
          <w:szCs w:val="22"/>
        </w:rPr>
        <w:t>As a result, t</w:t>
      </w:r>
      <w:r w:rsidRPr="00047F4D">
        <w:rPr>
          <w:sz w:val="22"/>
          <w:szCs w:val="22"/>
        </w:rPr>
        <w:t xml:space="preserve">he 12-month </w:t>
      </w:r>
      <w:r>
        <w:rPr>
          <w:sz w:val="22"/>
          <w:szCs w:val="22"/>
        </w:rPr>
        <w:t>CAD</w:t>
      </w:r>
      <w:r w:rsidRPr="00047F4D">
        <w:rPr>
          <w:sz w:val="22"/>
          <w:szCs w:val="22"/>
        </w:rPr>
        <w:t xml:space="preserve"> increased significantly</w:t>
      </w:r>
      <w:r>
        <w:rPr>
          <w:sz w:val="22"/>
          <w:szCs w:val="22"/>
        </w:rPr>
        <w:t xml:space="preserve"> </w:t>
      </w:r>
      <w:r w:rsidRPr="00047F4D">
        <w:rPr>
          <w:sz w:val="22"/>
          <w:szCs w:val="22"/>
        </w:rPr>
        <w:t xml:space="preserve">for the first time since </w:t>
      </w:r>
      <w:r>
        <w:rPr>
          <w:sz w:val="22"/>
          <w:szCs w:val="22"/>
        </w:rPr>
        <w:t>October 2011</w:t>
      </w:r>
      <w:r w:rsidRPr="00047F4D">
        <w:rPr>
          <w:sz w:val="22"/>
          <w:szCs w:val="22"/>
        </w:rPr>
        <w:t xml:space="preserve"> and reached </w:t>
      </w:r>
      <w:r w:rsidR="00B70239">
        <w:rPr>
          <w:sz w:val="22"/>
          <w:szCs w:val="22"/>
        </w:rPr>
        <w:t>$</w:t>
      </w:r>
      <w:r w:rsidRPr="00047F4D">
        <w:rPr>
          <w:sz w:val="22"/>
          <w:szCs w:val="22"/>
        </w:rPr>
        <w:t>48.4 billion. Betam expects the current account deficit to GDP ratio</w:t>
      </w:r>
      <w:r w:rsidR="004A724E">
        <w:rPr>
          <w:sz w:val="22"/>
          <w:szCs w:val="22"/>
        </w:rPr>
        <w:t xml:space="preserve"> to stay at </w:t>
      </w:r>
      <w:r w:rsidRPr="00047F4D">
        <w:rPr>
          <w:sz w:val="22"/>
          <w:szCs w:val="22"/>
        </w:rPr>
        <w:t>6 percent at the end of the first quarter</w:t>
      </w:r>
      <w:r w:rsidR="00D54D53">
        <w:rPr>
          <w:sz w:val="22"/>
          <w:szCs w:val="22"/>
        </w:rPr>
        <w:t xml:space="preserve">, same as the </w:t>
      </w:r>
      <w:r w:rsidR="00997733">
        <w:rPr>
          <w:sz w:val="22"/>
          <w:szCs w:val="22"/>
        </w:rPr>
        <w:t xml:space="preserve">previous </w:t>
      </w:r>
      <w:r w:rsidR="00D54D53">
        <w:rPr>
          <w:sz w:val="22"/>
          <w:szCs w:val="22"/>
        </w:rPr>
        <w:t>quarter</w:t>
      </w:r>
      <w:r w:rsidRPr="00047F4D">
        <w:rPr>
          <w:sz w:val="22"/>
          <w:szCs w:val="22"/>
        </w:rPr>
        <w:t xml:space="preserve">. </w:t>
      </w:r>
      <w:r w:rsidR="002F56EC" w:rsidRPr="000A4DA1">
        <w:rPr>
          <w:sz w:val="22"/>
          <w:szCs w:val="22"/>
        </w:rPr>
        <w:t xml:space="preserve">  </w:t>
      </w:r>
    </w:p>
    <w:p w:rsidR="00A2686F" w:rsidRPr="00B320C7" w:rsidRDefault="008C15FD" w:rsidP="00A2686F">
      <w:pPr>
        <w:spacing w:line="288" w:lineRule="auto"/>
        <w:ind w:left="-360" w:right="-318"/>
        <w:jc w:val="both"/>
        <w:rPr>
          <w:rFonts w:ascii="Arial" w:hAnsi="Arial" w:cs="Arial"/>
          <w:sz w:val="20"/>
          <w:szCs w:val="20"/>
        </w:rPr>
      </w:pPr>
      <w:r w:rsidRPr="008C15FD">
        <w:rPr>
          <w:rFonts w:ascii="Arial" w:hAnsi="Arial" w:cs="Arial"/>
          <w:sz w:val="20"/>
          <w:szCs w:val="20"/>
          <w:lang w:eastAsia="en-US"/>
        </w:rPr>
      </w:r>
      <w:r>
        <w:rPr>
          <w:rFonts w:ascii="Arial" w:hAnsi="Arial" w:cs="Arial"/>
          <w:sz w:val="20"/>
          <w:szCs w:val="20"/>
          <w:lang w:eastAsia="en-US"/>
        </w:rPr>
        <w:pict>
          <v:group id="Canvas 62" o:spid="_x0000_s1029"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cIwIAAIQEAAAOAAAAZHJzL2Uyb0RvYy54bWysVNGOGiEUfW/SfyC868y4o1XiuGkc7cu2&#10;u0nbD0BgHBIGCKCjafrvveDo1valaesDA5fL4dx7Di4fT51CR+G8NLrCxTjHSGhmuNT7Cn/9sh3N&#10;MfKBak6V0aLCZ+Hx4+rtm2VviZiY1iguHAIQ7UlvK9yGYEmWedaKjvqxsULDZmNcRwMs3T7jjvaA&#10;3qlskuezrDeOW2eY8B6i9WUTrxJ+0wgWnpvGi4BUhYFbSKNL4y6O2WpJyd5R20o20KB/waKjUsOl&#10;N6iaBooOTv4G1UnmjDdNGDPTZaZpJBOpBqimyH+pZk31kfpUDIPuXAnC7D/i7vaRtzZbqRR0IwN0&#10;EmPx24M+AoK9BXW8venk/+3+zy21IpXlCft0fHFIcjAPRpp24JEnqQWalVGbeDFkrPWLG1beQvqu&#10;/2g4ZNJDMKntp8Z1sQxoKDoldc83dcUpIAbBybQoZzmYgMHeQ5nwM0quR63z4YMwHYqTCisgkaDp&#10;8cmH2BhKril3DaNEadRXeDGdTNMBb5TksZsxzbv9bq0cOtJowPSLdQHYXZozB80hTkkrKN8M80Cl&#10;uswhX+m4DcUAnWF2cdi3Rb7YzDfzclROZptRmdf16P12XY5m2+LdtH6o1+u6+B6pFSVpJedCR3ZX&#10;txfln4k5vLuLT29+f/XNPXoqEchev4k0eMuTKOBF2J3h56RrioO/IDm5zrJ0bHiW8S39vE5Zr38e&#10;qx8AAAD//wMAUEsDBBQABgAIAAAAIQB3oNSW2wAAAAMBAAAPAAAAZHJzL2Rvd25yZXYueG1sTI9B&#10;S8NAEIXvgv9hGcGb3RhL2sZsigiK6KHaBrxus9MkuDsbstsm+usdvejlweMN731TrCdnxQmH0HlS&#10;cD1LQCDV3nTUKKh2D1dLECFqMtp6QgWfGGBdnp8VOjd+pDc8bWMjuIRCrhW0Mfa5lKFu0ekw8z0S&#10;Zwc/OB3ZDo00gx653FmZJkkmne6IF1rd432L9cf26BTM04Ndvj5mL19PVTU+v8+7RbLplLq8mO5u&#10;QUSc4t8x/OAzOpTMtPdHMkFYBfxI/FXOblYZ272CRQqyLOR/9vIbAAD//wMAUEsBAi0AFAAGAAgA&#10;AAAhALaDOJL+AAAA4QEAABMAAAAAAAAAAAAAAAAAAAAAAFtDb250ZW50X1R5cGVzXS54bWxQSwEC&#10;LQAUAAYACAAAACEAOP0h/9YAAACUAQAACwAAAAAAAAAAAAAAAAAvAQAAX3JlbHMvLnJlbHNQSwEC&#10;LQAUAAYACAAAACEAYMnGHCMCAACEBAAADgAAAAAAAAAAAAAAAAAuAgAAZHJzL2Uyb0RvYy54bWxQ&#10;SwECLQAUAAYACAAAACEAd6DUltsAAAADAQAADwAAAAAAAAAAAAAAAAB9BAAAZHJzL2Rvd25yZXYu&#10;eG1sUEsFBgAAAAAEAAQA8wAAAI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457;visibility:visible">
              <v:fill o:detectmouseclick="t"/>
              <v:path o:connecttype="none"/>
            </v:shape>
            <v:line id="Line 64" o:spid="_x0000_s1028" style="position:absolute;visibility:visible" from="0,0" to="2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A2686F" w:rsidRPr="00B320C7" w:rsidRDefault="00A2686F" w:rsidP="00A2686F">
      <w:pPr>
        <w:spacing w:line="288" w:lineRule="auto"/>
        <w:ind w:left="-360" w:right="-318"/>
        <w:jc w:val="both"/>
        <w:rPr>
          <w:sz w:val="16"/>
          <w:szCs w:val="16"/>
        </w:rPr>
      </w:pPr>
      <w:r w:rsidRPr="00B320C7">
        <w:rPr>
          <w:sz w:val="16"/>
          <w:szCs w:val="16"/>
        </w:rPr>
        <w:t>* Dr. Zümrüt</w:t>
      </w:r>
      <w:r w:rsidR="00E73B4F">
        <w:rPr>
          <w:sz w:val="16"/>
          <w:szCs w:val="16"/>
        </w:rPr>
        <w:t xml:space="preserve"> </w:t>
      </w:r>
      <w:r w:rsidRPr="00B320C7">
        <w:rPr>
          <w:sz w:val="16"/>
          <w:szCs w:val="16"/>
        </w:rPr>
        <w:t>İmamoğlu, Betam, Research Associate.</w:t>
      </w:r>
    </w:p>
    <w:p w:rsidR="00A2686F" w:rsidRPr="00B320C7" w:rsidRDefault="00A2686F" w:rsidP="00A2686F">
      <w:pPr>
        <w:spacing w:line="288" w:lineRule="auto"/>
        <w:ind w:left="-360" w:right="-318"/>
        <w:jc w:val="both"/>
        <w:rPr>
          <w:sz w:val="16"/>
          <w:szCs w:val="16"/>
        </w:rPr>
      </w:pPr>
      <w:r w:rsidRPr="00B320C7">
        <w:rPr>
          <w:sz w:val="16"/>
          <w:szCs w:val="16"/>
        </w:rPr>
        <w:t xml:space="preserve">  zumrut.imamoglu@bahcesehir.edu.tr</w:t>
      </w:r>
    </w:p>
    <w:p w:rsidR="00A2686F" w:rsidRPr="00B320C7" w:rsidRDefault="00A2686F" w:rsidP="00A2686F">
      <w:pPr>
        <w:spacing w:line="288" w:lineRule="auto"/>
        <w:ind w:left="-360" w:right="-318"/>
        <w:jc w:val="both"/>
        <w:rPr>
          <w:sz w:val="16"/>
          <w:szCs w:val="16"/>
        </w:rPr>
      </w:pPr>
      <w:r w:rsidRPr="00B320C7">
        <w:rPr>
          <w:sz w:val="16"/>
          <w:szCs w:val="16"/>
          <w:vertAlign w:val="superscript"/>
        </w:rPr>
        <w:t xml:space="preserve">† </w:t>
      </w:r>
      <w:r w:rsidRPr="00B320C7">
        <w:rPr>
          <w:sz w:val="16"/>
          <w:szCs w:val="16"/>
        </w:rPr>
        <w:t>Barış</w:t>
      </w:r>
      <w:r w:rsidR="00E73B4F">
        <w:rPr>
          <w:sz w:val="16"/>
          <w:szCs w:val="16"/>
        </w:rPr>
        <w:t xml:space="preserve"> </w:t>
      </w:r>
      <w:r w:rsidRPr="00B320C7">
        <w:rPr>
          <w:sz w:val="16"/>
          <w:szCs w:val="16"/>
        </w:rPr>
        <w:t>Soybilgen, Betam, Research Assistant,</w:t>
      </w:r>
    </w:p>
    <w:p w:rsidR="006454DC" w:rsidRPr="00B320C7" w:rsidRDefault="00E81CDD" w:rsidP="00736C84">
      <w:pPr>
        <w:ind w:left="-360"/>
        <w:rPr>
          <w:sz w:val="16"/>
          <w:szCs w:val="16"/>
        </w:rPr>
      </w:pPr>
      <w:r w:rsidRPr="00B320C7">
        <w:rPr>
          <w:sz w:val="16"/>
          <w:szCs w:val="16"/>
        </w:rPr>
        <w:t>baris.soybilgen@bahcesehir.edu.tr</w:t>
      </w:r>
    </w:p>
    <w:p w:rsidR="007D4F28" w:rsidRPr="00B320C7" w:rsidRDefault="007D4F28" w:rsidP="008C38E5">
      <w:pPr>
        <w:ind w:left="-360" w:right="42"/>
        <w:jc w:val="both"/>
        <w:rPr>
          <w:b/>
          <w:sz w:val="22"/>
          <w:szCs w:val="22"/>
        </w:rPr>
      </w:pPr>
    </w:p>
    <w:p w:rsidR="002F56EC" w:rsidRDefault="002F56EC" w:rsidP="00F91693">
      <w:pPr>
        <w:ind w:right="42"/>
        <w:jc w:val="both"/>
        <w:rPr>
          <w:b/>
          <w:sz w:val="22"/>
          <w:szCs w:val="22"/>
        </w:rPr>
      </w:pPr>
    </w:p>
    <w:p w:rsidR="00F91693" w:rsidRDefault="00F91693" w:rsidP="00F91693">
      <w:pPr>
        <w:ind w:right="42"/>
        <w:jc w:val="both"/>
        <w:rPr>
          <w:b/>
          <w:sz w:val="22"/>
          <w:szCs w:val="22"/>
        </w:rPr>
      </w:pPr>
    </w:p>
    <w:p w:rsidR="008E32CB" w:rsidRDefault="00B34B81" w:rsidP="002F56EC">
      <w:pPr>
        <w:ind w:left="-360" w:right="42"/>
        <w:jc w:val="both"/>
        <w:rPr>
          <w:b/>
          <w:sz w:val="22"/>
          <w:szCs w:val="22"/>
        </w:rPr>
      </w:pPr>
      <w:r>
        <w:rPr>
          <w:b/>
          <w:sz w:val="22"/>
          <w:szCs w:val="22"/>
        </w:rPr>
        <w:t xml:space="preserve">Table 1: </w:t>
      </w:r>
      <w:r w:rsidR="008C38E5" w:rsidRPr="00B320C7">
        <w:rPr>
          <w:b/>
          <w:sz w:val="22"/>
          <w:szCs w:val="22"/>
        </w:rPr>
        <w:t>Betam’s quarterly and annual growth rate forecasts</w:t>
      </w:r>
    </w:p>
    <w:tbl>
      <w:tblPr>
        <w:tblpPr w:leftFromText="141" w:rightFromText="141" w:vertAnchor="text" w:horzAnchor="margin" w:tblpXSpec="right" w:tblpY="129"/>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1564"/>
      </w:tblGrid>
      <w:tr w:rsidR="000854F8" w:rsidRPr="000A4DA1" w:rsidTr="000854F8">
        <w:trPr>
          <w:trHeight w:val="986"/>
        </w:trPr>
        <w:tc>
          <w:tcPr>
            <w:tcW w:w="3088" w:type="dxa"/>
            <w:tcMar>
              <w:left w:w="28" w:type="dxa"/>
              <w:right w:w="28" w:type="dxa"/>
            </w:tcMar>
            <w:vAlign w:val="center"/>
          </w:tcPr>
          <w:p w:rsidR="000854F8" w:rsidRPr="000A4DA1" w:rsidRDefault="000854F8" w:rsidP="00F174EC">
            <w:pPr>
              <w:ind w:right="42"/>
              <w:jc w:val="center"/>
              <w:rPr>
                <w:sz w:val="20"/>
                <w:szCs w:val="20"/>
              </w:rPr>
            </w:pPr>
          </w:p>
        </w:tc>
        <w:tc>
          <w:tcPr>
            <w:tcW w:w="1564" w:type="dxa"/>
            <w:vAlign w:val="center"/>
          </w:tcPr>
          <w:p w:rsidR="000854F8" w:rsidRPr="000A4DA1" w:rsidRDefault="000854F8" w:rsidP="00F174EC">
            <w:pPr>
              <w:ind w:right="40"/>
              <w:jc w:val="center"/>
              <w:rPr>
                <w:b/>
                <w:bCs/>
                <w:sz w:val="20"/>
                <w:szCs w:val="20"/>
              </w:rPr>
            </w:pPr>
            <w:r w:rsidRPr="000A4DA1">
              <w:rPr>
                <w:b/>
                <w:bCs/>
                <w:sz w:val="20"/>
                <w:szCs w:val="20"/>
              </w:rPr>
              <w:t>2013</w:t>
            </w:r>
          </w:p>
          <w:p w:rsidR="000854F8" w:rsidRPr="000A4DA1" w:rsidRDefault="000854F8" w:rsidP="00F174EC">
            <w:pPr>
              <w:ind w:right="40"/>
              <w:jc w:val="center"/>
              <w:rPr>
                <w:b/>
                <w:bCs/>
                <w:sz w:val="20"/>
                <w:szCs w:val="20"/>
              </w:rPr>
            </w:pPr>
            <w:r w:rsidRPr="000A4DA1">
              <w:rPr>
                <w:b/>
                <w:bCs/>
                <w:sz w:val="20"/>
                <w:szCs w:val="20"/>
              </w:rPr>
              <w:t>1</w:t>
            </w:r>
            <w:r w:rsidRPr="000A4DA1">
              <w:rPr>
                <w:b/>
                <w:bCs/>
                <w:sz w:val="20"/>
                <w:szCs w:val="20"/>
                <w:vertAlign w:val="superscript"/>
              </w:rPr>
              <w:t>st</w:t>
            </w:r>
            <w:r w:rsidRPr="000A4DA1">
              <w:rPr>
                <w:b/>
                <w:bCs/>
                <w:sz w:val="20"/>
                <w:szCs w:val="20"/>
              </w:rPr>
              <w:t xml:space="preserve"> Quarter Forecast</w:t>
            </w:r>
          </w:p>
        </w:tc>
      </w:tr>
      <w:tr w:rsidR="000854F8" w:rsidRPr="000A4DA1" w:rsidTr="000854F8">
        <w:trPr>
          <w:trHeight w:val="771"/>
        </w:trPr>
        <w:tc>
          <w:tcPr>
            <w:tcW w:w="3088" w:type="dxa"/>
            <w:tcMar>
              <w:left w:w="28" w:type="dxa"/>
              <w:right w:w="28" w:type="dxa"/>
            </w:tcMar>
            <w:vAlign w:val="center"/>
          </w:tcPr>
          <w:p w:rsidR="000854F8" w:rsidRPr="000A4DA1" w:rsidRDefault="000854F8" w:rsidP="00F174EC">
            <w:pPr>
              <w:spacing w:line="360" w:lineRule="auto"/>
              <w:ind w:right="42"/>
              <w:rPr>
                <w:b/>
                <w:sz w:val="20"/>
                <w:szCs w:val="20"/>
              </w:rPr>
            </w:pPr>
            <w:r w:rsidRPr="000A4DA1">
              <w:rPr>
                <w:b/>
                <w:sz w:val="20"/>
                <w:szCs w:val="20"/>
              </w:rPr>
              <w:t xml:space="preserve">Real GDP growth, % </w:t>
            </w:r>
          </w:p>
          <w:p w:rsidR="000854F8" w:rsidRPr="000A4DA1" w:rsidRDefault="000854F8" w:rsidP="00F174EC">
            <w:pPr>
              <w:ind w:right="42"/>
              <w:rPr>
                <w:sz w:val="20"/>
                <w:szCs w:val="20"/>
              </w:rPr>
            </w:pPr>
            <w:r w:rsidRPr="000A4DA1">
              <w:rPr>
                <w:sz w:val="20"/>
                <w:szCs w:val="20"/>
              </w:rPr>
              <w:t>(quarter on quarter, sa*)</w:t>
            </w:r>
          </w:p>
        </w:tc>
        <w:tc>
          <w:tcPr>
            <w:tcW w:w="1564" w:type="dxa"/>
            <w:vAlign w:val="center"/>
          </w:tcPr>
          <w:p w:rsidR="000854F8" w:rsidRPr="000A4DA1" w:rsidRDefault="00F91693" w:rsidP="00F174EC">
            <w:pPr>
              <w:ind w:right="42"/>
              <w:jc w:val="center"/>
              <w:rPr>
                <w:sz w:val="20"/>
                <w:szCs w:val="20"/>
              </w:rPr>
            </w:pPr>
            <w:r>
              <w:rPr>
                <w:sz w:val="20"/>
                <w:szCs w:val="20"/>
              </w:rPr>
              <w:t>0.7</w:t>
            </w:r>
          </w:p>
        </w:tc>
      </w:tr>
      <w:tr w:rsidR="000854F8" w:rsidRPr="000A4DA1" w:rsidTr="000854F8">
        <w:trPr>
          <w:trHeight w:val="756"/>
        </w:trPr>
        <w:tc>
          <w:tcPr>
            <w:tcW w:w="3088" w:type="dxa"/>
            <w:tcMar>
              <w:left w:w="28" w:type="dxa"/>
              <w:right w:w="28" w:type="dxa"/>
            </w:tcMar>
            <w:vAlign w:val="center"/>
          </w:tcPr>
          <w:p w:rsidR="000854F8" w:rsidRPr="000A4DA1" w:rsidRDefault="000854F8" w:rsidP="00F174EC">
            <w:pPr>
              <w:spacing w:line="360" w:lineRule="auto"/>
              <w:ind w:right="42"/>
              <w:rPr>
                <w:sz w:val="20"/>
                <w:szCs w:val="20"/>
              </w:rPr>
            </w:pPr>
            <w:r w:rsidRPr="000A4DA1">
              <w:rPr>
                <w:b/>
                <w:sz w:val="20"/>
                <w:szCs w:val="20"/>
              </w:rPr>
              <w:t>Real GDP growth, %</w:t>
            </w:r>
          </w:p>
          <w:p w:rsidR="000854F8" w:rsidRPr="000A4DA1" w:rsidRDefault="000854F8" w:rsidP="00F174EC">
            <w:pPr>
              <w:ind w:right="42"/>
              <w:rPr>
                <w:sz w:val="20"/>
                <w:szCs w:val="20"/>
              </w:rPr>
            </w:pPr>
            <w:r w:rsidRPr="000A4DA1">
              <w:rPr>
                <w:sz w:val="20"/>
                <w:szCs w:val="20"/>
              </w:rPr>
              <w:t>(year on year, ca**)</w:t>
            </w:r>
          </w:p>
        </w:tc>
        <w:tc>
          <w:tcPr>
            <w:tcW w:w="1564" w:type="dxa"/>
            <w:vAlign w:val="center"/>
          </w:tcPr>
          <w:p w:rsidR="000854F8" w:rsidRPr="000A4DA1" w:rsidRDefault="00F91693" w:rsidP="00F174EC">
            <w:pPr>
              <w:ind w:right="42"/>
              <w:jc w:val="center"/>
              <w:rPr>
                <w:sz w:val="20"/>
                <w:szCs w:val="20"/>
              </w:rPr>
            </w:pPr>
            <w:r>
              <w:rPr>
                <w:sz w:val="20"/>
                <w:szCs w:val="20"/>
              </w:rPr>
              <w:t>2.4</w:t>
            </w:r>
          </w:p>
        </w:tc>
      </w:tr>
      <w:tr w:rsidR="000854F8" w:rsidRPr="000A4DA1" w:rsidTr="000854F8">
        <w:trPr>
          <w:trHeight w:val="583"/>
        </w:trPr>
        <w:tc>
          <w:tcPr>
            <w:tcW w:w="3088" w:type="dxa"/>
            <w:tcMar>
              <w:left w:w="28" w:type="dxa"/>
              <w:right w:w="28" w:type="dxa"/>
            </w:tcMar>
            <w:vAlign w:val="center"/>
          </w:tcPr>
          <w:p w:rsidR="000854F8" w:rsidRPr="000A4DA1" w:rsidRDefault="000854F8" w:rsidP="00F174EC">
            <w:pPr>
              <w:spacing w:line="360" w:lineRule="auto"/>
              <w:ind w:right="42"/>
              <w:rPr>
                <w:sz w:val="20"/>
                <w:szCs w:val="20"/>
              </w:rPr>
            </w:pPr>
            <w:r w:rsidRPr="000A4DA1">
              <w:rPr>
                <w:b/>
                <w:sz w:val="20"/>
                <w:szCs w:val="20"/>
              </w:rPr>
              <w:t>Current account deficit</w:t>
            </w:r>
          </w:p>
          <w:p w:rsidR="000854F8" w:rsidRPr="000A4DA1" w:rsidRDefault="000854F8" w:rsidP="00F174EC">
            <w:pPr>
              <w:ind w:right="40"/>
              <w:rPr>
                <w:sz w:val="20"/>
                <w:szCs w:val="20"/>
              </w:rPr>
            </w:pPr>
            <w:r w:rsidRPr="000A4DA1">
              <w:rPr>
                <w:sz w:val="20"/>
                <w:szCs w:val="20"/>
              </w:rPr>
              <w:t>(% of GDP, annual)</w:t>
            </w:r>
          </w:p>
        </w:tc>
        <w:tc>
          <w:tcPr>
            <w:tcW w:w="1564" w:type="dxa"/>
            <w:vAlign w:val="center"/>
          </w:tcPr>
          <w:p w:rsidR="000854F8" w:rsidRPr="000A4DA1" w:rsidRDefault="00F91693" w:rsidP="00F174EC">
            <w:pPr>
              <w:ind w:right="40"/>
              <w:jc w:val="center"/>
              <w:rPr>
                <w:sz w:val="20"/>
                <w:szCs w:val="20"/>
              </w:rPr>
            </w:pPr>
            <w:r>
              <w:rPr>
                <w:sz w:val="20"/>
                <w:szCs w:val="20"/>
              </w:rPr>
              <w:t>6.0</w:t>
            </w:r>
          </w:p>
        </w:tc>
      </w:tr>
    </w:tbl>
    <w:p w:rsidR="00E73B4F" w:rsidRPr="00D4205B" w:rsidRDefault="008C38E5" w:rsidP="008C38E5">
      <w:pPr>
        <w:ind w:left="-360" w:right="40"/>
        <w:jc w:val="both"/>
        <w:rPr>
          <w:sz w:val="16"/>
          <w:szCs w:val="16"/>
        </w:rPr>
      </w:pPr>
      <w:r w:rsidRPr="00D4205B">
        <w:rPr>
          <w:sz w:val="16"/>
          <w:szCs w:val="16"/>
        </w:rPr>
        <w:t>Source: Betam</w:t>
      </w:r>
      <w:r w:rsidR="00403B8D" w:rsidRPr="00D4205B">
        <w:rPr>
          <w:sz w:val="16"/>
          <w:szCs w:val="16"/>
        </w:rPr>
        <w:t>.</w:t>
      </w:r>
      <w:r w:rsidRPr="00D4205B">
        <w:rPr>
          <w:sz w:val="16"/>
          <w:szCs w:val="16"/>
        </w:rPr>
        <w:t xml:space="preserve"> </w:t>
      </w:r>
    </w:p>
    <w:p w:rsidR="008C38E5" w:rsidRPr="00D4205B" w:rsidRDefault="008C38E5" w:rsidP="008C38E5">
      <w:pPr>
        <w:ind w:left="-360" w:right="40"/>
        <w:jc w:val="both"/>
        <w:rPr>
          <w:sz w:val="16"/>
          <w:szCs w:val="16"/>
        </w:rPr>
      </w:pPr>
      <w:r w:rsidRPr="00D4205B">
        <w:rPr>
          <w:sz w:val="16"/>
          <w:szCs w:val="16"/>
        </w:rPr>
        <w:t xml:space="preserve">*sa: seasonally and calendar day adjusted </w:t>
      </w:r>
    </w:p>
    <w:p w:rsidR="008B74EE" w:rsidRPr="00D4205B" w:rsidRDefault="008C38E5" w:rsidP="00E73B4F">
      <w:pPr>
        <w:spacing w:line="360" w:lineRule="auto"/>
        <w:ind w:left="-360" w:right="42"/>
        <w:jc w:val="both"/>
        <w:rPr>
          <w:sz w:val="16"/>
          <w:szCs w:val="16"/>
        </w:rPr>
      </w:pPr>
      <w:r w:rsidRPr="00D4205B">
        <w:rPr>
          <w:sz w:val="16"/>
          <w:szCs w:val="16"/>
        </w:rPr>
        <w:t xml:space="preserve"> **ca: calendar day adjusted</w:t>
      </w:r>
    </w:p>
    <w:p w:rsidR="00B12FD3" w:rsidRPr="00B320C7" w:rsidRDefault="00B12FD3" w:rsidP="008B74EE">
      <w:pPr>
        <w:ind w:left="-360"/>
        <w:rPr>
          <w:b/>
          <w:sz w:val="22"/>
          <w:szCs w:val="22"/>
        </w:rPr>
      </w:pPr>
    </w:p>
    <w:p w:rsidR="00F91693" w:rsidRPr="00047F4D" w:rsidRDefault="00B55EDE" w:rsidP="00F91693">
      <w:pPr>
        <w:ind w:left="-360"/>
        <w:jc w:val="center"/>
        <w:rPr>
          <w:b/>
          <w:bCs/>
          <w:sz w:val="22"/>
          <w:szCs w:val="22"/>
        </w:rPr>
      </w:pPr>
      <w:r>
        <w:rPr>
          <w:b/>
          <w:bCs/>
          <w:sz w:val="22"/>
          <w:szCs w:val="22"/>
        </w:rPr>
        <w:t>F</w:t>
      </w:r>
      <w:r w:rsidR="00F91693" w:rsidRPr="00047F4D">
        <w:rPr>
          <w:b/>
          <w:bCs/>
          <w:sz w:val="22"/>
          <w:szCs w:val="22"/>
        </w:rPr>
        <w:t xml:space="preserve">irst clear </w:t>
      </w:r>
      <w:r>
        <w:rPr>
          <w:b/>
          <w:bCs/>
          <w:sz w:val="22"/>
          <w:szCs w:val="22"/>
        </w:rPr>
        <w:t>sign</w:t>
      </w:r>
      <w:r w:rsidR="00F91693" w:rsidRPr="00047F4D">
        <w:rPr>
          <w:b/>
          <w:bCs/>
          <w:sz w:val="22"/>
          <w:szCs w:val="22"/>
        </w:rPr>
        <w:t xml:space="preserve"> of revival</w:t>
      </w:r>
      <w:r>
        <w:rPr>
          <w:b/>
          <w:bCs/>
          <w:sz w:val="22"/>
          <w:szCs w:val="22"/>
        </w:rPr>
        <w:t xml:space="preserve"> in 2013</w:t>
      </w:r>
    </w:p>
    <w:p w:rsidR="00F91693" w:rsidRPr="00047F4D" w:rsidRDefault="00F91693" w:rsidP="00F91693">
      <w:pPr>
        <w:spacing w:line="360" w:lineRule="auto"/>
        <w:ind w:left="-360" w:right="42"/>
        <w:jc w:val="both"/>
        <w:rPr>
          <w:sz w:val="22"/>
          <w:szCs w:val="22"/>
        </w:rPr>
      </w:pPr>
    </w:p>
    <w:p w:rsidR="00F91693" w:rsidRPr="00047F4D" w:rsidRDefault="00F91693" w:rsidP="00F91693">
      <w:pPr>
        <w:spacing w:line="360" w:lineRule="auto"/>
        <w:ind w:left="-360" w:right="42"/>
        <w:jc w:val="both"/>
        <w:rPr>
          <w:sz w:val="22"/>
          <w:szCs w:val="22"/>
        </w:rPr>
      </w:pPr>
      <w:r>
        <w:rPr>
          <w:sz w:val="22"/>
          <w:szCs w:val="22"/>
        </w:rPr>
        <w:t>T</w:t>
      </w:r>
      <w:r w:rsidRPr="00047F4D">
        <w:rPr>
          <w:sz w:val="22"/>
          <w:szCs w:val="22"/>
        </w:rPr>
        <w:t xml:space="preserve">he IPI </w:t>
      </w:r>
      <w:r>
        <w:rPr>
          <w:sz w:val="22"/>
          <w:szCs w:val="22"/>
        </w:rPr>
        <w:t>surged in February</w:t>
      </w:r>
      <w:r w:rsidRPr="00047F4D">
        <w:rPr>
          <w:sz w:val="22"/>
          <w:szCs w:val="22"/>
        </w:rPr>
        <w:t xml:space="preserve">. </w:t>
      </w:r>
      <w:r>
        <w:rPr>
          <w:sz w:val="22"/>
          <w:szCs w:val="22"/>
        </w:rPr>
        <w:t>T</w:t>
      </w:r>
      <w:r w:rsidRPr="00047F4D">
        <w:rPr>
          <w:sz w:val="22"/>
          <w:szCs w:val="22"/>
        </w:rPr>
        <w:t>he YoY increase in the IPI is above 4 percent for the first time</w:t>
      </w:r>
      <w:r>
        <w:rPr>
          <w:sz w:val="22"/>
          <w:szCs w:val="22"/>
        </w:rPr>
        <w:t xml:space="preserve"> since last May</w:t>
      </w:r>
      <w:r w:rsidRPr="00047F4D">
        <w:rPr>
          <w:sz w:val="22"/>
          <w:szCs w:val="22"/>
        </w:rPr>
        <w:t xml:space="preserve"> (Figure 5). Therefore, the IPI </w:t>
      </w:r>
      <w:r w:rsidR="000D50D1">
        <w:rPr>
          <w:sz w:val="22"/>
          <w:szCs w:val="22"/>
        </w:rPr>
        <w:t xml:space="preserve">more than </w:t>
      </w:r>
      <w:r w:rsidRPr="00047F4D">
        <w:rPr>
          <w:sz w:val="22"/>
          <w:szCs w:val="22"/>
        </w:rPr>
        <w:t>compensate</w:t>
      </w:r>
      <w:r>
        <w:rPr>
          <w:sz w:val="22"/>
          <w:szCs w:val="22"/>
        </w:rPr>
        <w:t>d</w:t>
      </w:r>
      <w:r w:rsidRPr="00047F4D">
        <w:rPr>
          <w:sz w:val="22"/>
          <w:szCs w:val="22"/>
        </w:rPr>
        <w:t xml:space="preserve"> </w:t>
      </w:r>
      <w:r w:rsidR="000D50D1">
        <w:rPr>
          <w:sz w:val="22"/>
          <w:szCs w:val="22"/>
        </w:rPr>
        <w:t xml:space="preserve">for its </w:t>
      </w:r>
      <w:r w:rsidRPr="00047F4D">
        <w:rPr>
          <w:sz w:val="22"/>
          <w:szCs w:val="22"/>
        </w:rPr>
        <w:t xml:space="preserve">fall in December. </w:t>
      </w:r>
      <w:r w:rsidR="000D50D1">
        <w:rPr>
          <w:sz w:val="22"/>
          <w:szCs w:val="22"/>
        </w:rPr>
        <w:t>T</w:t>
      </w:r>
      <w:r w:rsidRPr="00047F4D">
        <w:rPr>
          <w:sz w:val="22"/>
          <w:szCs w:val="22"/>
        </w:rPr>
        <w:t xml:space="preserve">he average </w:t>
      </w:r>
      <w:r w:rsidR="000D50D1">
        <w:rPr>
          <w:sz w:val="22"/>
          <w:szCs w:val="22"/>
        </w:rPr>
        <w:t xml:space="preserve">index value for </w:t>
      </w:r>
      <w:r w:rsidR="006D00CF">
        <w:rPr>
          <w:sz w:val="22"/>
          <w:szCs w:val="22"/>
        </w:rPr>
        <w:t>the first two months of the year, has</w:t>
      </w:r>
      <w:r w:rsidRPr="00047F4D">
        <w:rPr>
          <w:sz w:val="22"/>
          <w:szCs w:val="22"/>
        </w:rPr>
        <w:t xml:space="preserve"> increased</w:t>
      </w:r>
      <w:r>
        <w:rPr>
          <w:sz w:val="22"/>
          <w:szCs w:val="22"/>
        </w:rPr>
        <w:t xml:space="preserve"> </w:t>
      </w:r>
      <w:r w:rsidR="006D00CF">
        <w:rPr>
          <w:sz w:val="22"/>
          <w:szCs w:val="22"/>
        </w:rPr>
        <w:t xml:space="preserve">by </w:t>
      </w:r>
      <w:r w:rsidRPr="00047F4D">
        <w:rPr>
          <w:sz w:val="22"/>
          <w:szCs w:val="22"/>
        </w:rPr>
        <w:t xml:space="preserve">3.2 percent YoY and 1.1 percent QoQ. </w:t>
      </w:r>
      <w:r>
        <w:rPr>
          <w:sz w:val="22"/>
          <w:szCs w:val="22"/>
        </w:rPr>
        <w:t>The March industrial production</w:t>
      </w:r>
      <w:r w:rsidR="00163520">
        <w:rPr>
          <w:sz w:val="22"/>
          <w:szCs w:val="22"/>
        </w:rPr>
        <w:t xml:space="preserve"> figure</w:t>
      </w:r>
      <w:r w:rsidRPr="00047F4D">
        <w:rPr>
          <w:sz w:val="22"/>
          <w:szCs w:val="22"/>
        </w:rPr>
        <w:t xml:space="preserve"> </w:t>
      </w:r>
      <w:r>
        <w:rPr>
          <w:sz w:val="22"/>
          <w:szCs w:val="22"/>
        </w:rPr>
        <w:t>is of uttermost importance</w:t>
      </w:r>
      <w:r w:rsidRPr="00047F4D">
        <w:rPr>
          <w:sz w:val="22"/>
          <w:szCs w:val="22"/>
        </w:rPr>
        <w:t xml:space="preserve"> for first quarter growth. If the </w:t>
      </w:r>
      <w:r w:rsidR="00163520">
        <w:rPr>
          <w:sz w:val="22"/>
          <w:szCs w:val="22"/>
        </w:rPr>
        <w:t>IPI continues its increase</w:t>
      </w:r>
      <w:r w:rsidRPr="00047F4D">
        <w:rPr>
          <w:sz w:val="22"/>
          <w:szCs w:val="22"/>
        </w:rPr>
        <w:t>, the revival</w:t>
      </w:r>
      <w:r>
        <w:rPr>
          <w:sz w:val="22"/>
          <w:szCs w:val="22"/>
        </w:rPr>
        <w:t xml:space="preserve"> in the economy</w:t>
      </w:r>
      <w:r w:rsidRPr="00047F4D">
        <w:rPr>
          <w:sz w:val="22"/>
          <w:szCs w:val="22"/>
        </w:rPr>
        <w:t xml:space="preserve"> will be confirmed</w:t>
      </w:r>
      <w:r w:rsidR="00D43831">
        <w:rPr>
          <w:sz w:val="22"/>
          <w:szCs w:val="22"/>
        </w:rPr>
        <w:t>, at least for the first quarter</w:t>
      </w:r>
      <w:r w:rsidRPr="00047F4D">
        <w:rPr>
          <w:sz w:val="22"/>
          <w:szCs w:val="22"/>
        </w:rPr>
        <w:t xml:space="preserve">. </w:t>
      </w:r>
    </w:p>
    <w:p w:rsidR="00F91693" w:rsidRPr="00047F4D" w:rsidRDefault="00F91693" w:rsidP="00F91693">
      <w:pPr>
        <w:spacing w:line="360" w:lineRule="auto"/>
        <w:ind w:left="-360" w:right="42"/>
        <w:jc w:val="both"/>
        <w:rPr>
          <w:sz w:val="22"/>
          <w:szCs w:val="22"/>
        </w:rPr>
      </w:pPr>
    </w:p>
    <w:p w:rsidR="00F91693" w:rsidRPr="00047F4D" w:rsidRDefault="00D43831" w:rsidP="00F91693">
      <w:pPr>
        <w:spacing w:line="360" w:lineRule="auto"/>
        <w:ind w:left="-360" w:right="42"/>
        <w:jc w:val="both"/>
        <w:rPr>
          <w:sz w:val="22"/>
          <w:szCs w:val="22"/>
        </w:rPr>
      </w:pPr>
      <w:r>
        <w:rPr>
          <w:sz w:val="22"/>
          <w:szCs w:val="22"/>
        </w:rPr>
        <w:t>On the downside,</w:t>
      </w:r>
      <w:r w:rsidR="00F91693" w:rsidRPr="00047F4D">
        <w:rPr>
          <w:sz w:val="22"/>
          <w:szCs w:val="22"/>
        </w:rPr>
        <w:t xml:space="preserve"> the</w:t>
      </w:r>
      <w:r w:rsidR="00F91693">
        <w:rPr>
          <w:sz w:val="22"/>
          <w:szCs w:val="22"/>
        </w:rPr>
        <w:t xml:space="preserve"> ongoing</w:t>
      </w:r>
      <w:r w:rsidR="00F91693" w:rsidRPr="00047F4D">
        <w:rPr>
          <w:sz w:val="22"/>
          <w:szCs w:val="22"/>
        </w:rPr>
        <w:t xml:space="preserve"> decline in the CAD stopped </w:t>
      </w:r>
      <w:r w:rsidR="00DE2C07">
        <w:rPr>
          <w:sz w:val="22"/>
          <w:szCs w:val="22"/>
        </w:rPr>
        <w:t xml:space="preserve">in January </w:t>
      </w:r>
      <w:r w:rsidR="00F91693" w:rsidRPr="00047F4D">
        <w:rPr>
          <w:sz w:val="22"/>
          <w:szCs w:val="22"/>
        </w:rPr>
        <w:t xml:space="preserve">after </w:t>
      </w:r>
      <w:r w:rsidR="009C76B3">
        <w:rPr>
          <w:sz w:val="22"/>
          <w:szCs w:val="22"/>
        </w:rPr>
        <w:t>a</w:t>
      </w:r>
      <w:r w:rsidR="00F91693">
        <w:rPr>
          <w:sz w:val="22"/>
          <w:szCs w:val="22"/>
        </w:rPr>
        <w:t xml:space="preserve"> year and a half</w:t>
      </w:r>
      <w:r w:rsidR="00F91693" w:rsidRPr="00047F4D">
        <w:rPr>
          <w:sz w:val="22"/>
          <w:szCs w:val="22"/>
        </w:rPr>
        <w:t xml:space="preserve">, and it </w:t>
      </w:r>
      <w:r w:rsidR="00F91693" w:rsidRPr="00047F4D">
        <w:rPr>
          <w:sz w:val="22"/>
          <w:szCs w:val="22"/>
        </w:rPr>
        <w:lastRenderedPageBreak/>
        <w:t xml:space="preserve">increased for the first time </w:t>
      </w:r>
      <w:r w:rsidR="00DE2C07">
        <w:rPr>
          <w:sz w:val="22"/>
          <w:szCs w:val="22"/>
        </w:rPr>
        <w:t>in February</w:t>
      </w:r>
      <w:r w:rsidR="00F91693" w:rsidRPr="00047F4D">
        <w:rPr>
          <w:sz w:val="22"/>
          <w:szCs w:val="22"/>
        </w:rPr>
        <w:t xml:space="preserve">. </w:t>
      </w:r>
      <w:r w:rsidR="00C26F26">
        <w:rPr>
          <w:sz w:val="22"/>
          <w:szCs w:val="22"/>
        </w:rPr>
        <w:t>T</w:t>
      </w:r>
      <w:r w:rsidR="00F91693" w:rsidRPr="00047F4D">
        <w:rPr>
          <w:sz w:val="22"/>
          <w:szCs w:val="22"/>
        </w:rPr>
        <w:t>he</w:t>
      </w:r>
      <w:r w:rsidR="00C26F26">
        <w:rPr>
          <w:sz w:val="22"/>
          <w:szCs w:val="22"/>
        </w:rPr>
        <w:t xml:space="preserve"> strong negative relationship between</w:t>
      </w:r>
      <w:r w:rsidR="00F91693" w:rsidRPr="00047F4D">
        <w:rPr>
          <w:sz w:val="22"/>
          <w:szCs w:val="22"/>
        </w:rPr>
        <w:t xml:space="preserve"> growth and the current account </w:t>
      </w:r>
      <w:r w:rsidR="00C26F26">
        <w:rPr>
          <w:sz w:val="22"/>
          <w:szCs w:val="22"/>
        </w:rPr>
        <w:t>balance remains as a structural problem</w:t>
      </w:r>
      <w:r w:rsidR="00F91693" w:rsidRPr="00047F4D">
        <w:rPr>
          <w:sz w:val="22"/>
          <w:szCs w:val="22"/>
        </w:rPr>
        <w:t>. Without a structural change, Turkey cannot balance</w:t>
      </w:r>
      <w:r w:rsidR="00F91693">
        <w:rPr>
          <w:sz w:val="22"/>
          <w:szCs w:val="22"/>
        </w:rPr>
        <w:t xml:space="preserve"> both</w:t>
      </w:r>
      <w:r w:rsidR="00F91693" w:rsidRPr="00047F4D">
        <w:rPr>
          <w:sz w:val="22"/>
          <w:szCs w:val="22"/>
        </w:rPr>
        <w:t xml:space="preserve"> net export</w:t>
      </w:r>
      <w:r w:rsidR="003919FD">
        <w:rPr>
          <w:sz w:val="22"/>
          <w:szCs w:val="22"/>
        </w:rPr>
        <w:t>s</w:t>
      </w:r>
      <w:r w:rsidR="00F91693" w:rsidRPr="00047F4D">
        <w:rPr>
          <w:sz w:val="22"/>
          <w:szCs w:val="22"/>
        </w:rPr>
        <w:t xml:space="preserve"> and domestic demand. In other words, </w:t>
      </w:r>
      <w:r w:rsidR="00F91693">
        <w:rPr>
          <w:sz w:val="22"/>
          <w:szCs w:val="22"/>
        </w:rPr>
        <w:t>Turkey cannot sustain a balanced growth</w:t>
      </w:r>
      <w:r w:rsidR="00F91693" w:rsidRPr="00047F4D">
        <w:rPr>
          <w:sz w:val="22"/>
          <w:szCs w:val="22"/>
        </w:rPr>
        <w:t xml:space="preserve"> regime</w:t>
      </w:r>
      <w:r w:rsidR="00F91693">
        <w:rPr>
          <w:sz w:val="22"/>
          <w:szCs w:val="22"/>
        </w:rPr>
        <w:t xml:space="preserve"> where</w:t>
      </w:r>
      <w:r w:rsidR="00F91693" w:rsidRPr="00047F4D">
        <w:rPr>
          <w:sz w:val="22"/>
          <w:szCs w:val="22"/>
        </w:rPr>
        <w:t xml:space="preserve"> both net exports and domestic demand contribute</w:t>
      </w:r>
      <w:r w:rsidR="003919FD">
        <w:rPr>
          <w:sz w:val="22"/>
          <w:szCs w:val="22"/>
        </w:rPr>
        <w:t>s</w:t>
      </w:r>
      <w:r w:rsidR="00F91693" w:rsidRPr="00047F4D">
        <w:rPr>
          <w:sz w:val="22"/>
          <w:szCs w:val="22"/>
        </w:rPr>
        <w:t xml:space="preserve"> positively</w:t>
      </w:r>
      <w:r w:rsidR="003919FD">
        <w:rPr>
          <w:sz w:val="22"/>
          <w:szCs w:val="22"/>
        </w:rPr>
        <w:t xml:space="preserve"> to GDP growth</w:t>
      </w:r>
      <w:r w:rsidR="00F91693" w:rsidRPr="00047F4D">
        <w:rPr>
          <w:sz w:val="22"/>
          <w:szCs w:val="22"/>
        </w:rPr>
        <w:t xml:space="preserve">. </w:t>
      </w:r>
    </w:p>
    <w:p w:rsidR="00F91693" w:rsidRPr="00047F4D" w:rsidRDefault="00F91693" w:rsidP="00F91693">
      <w:pPr>
        <w:spacing w:line="360" w:lineRule="auto"/>
        <w:ind w:left="-360" w:right="42"/>
        <w:jc w:val="both"/>
        <w:rPr>
          <w:sz w:val="22"/>
          <w:szCs w:val="22"/>
        </w:rPr>
      </w:pPr>
    </w:p>
    <w:p w:rsidR="00F91693" w:rsidRPr="00047F4D" w:rsidRDefault="00F91693" w:rsidP="00F91693">
      <w:pPr>
        <w:spacing w:line="360" w:lineRule="auto"/>
        <w:ind w:left="-360" w:right="42"/>
        <w:jc w:val="both"/>
        <w:rPr>
          <w:sz w:val="22"/>
          <w:szCs w:val="22"/>
        </w:rPr>
      </w:pPr>
      <w:r w:rsidRPr="00047F4D">
        <w:rPr>
          <w:sz w:val="22"/>
          <w:szCs w:val="22"/>
        </w:rPr>
        <w:t>Imports continue</w:t>
      </w:r>
      <w:r w:rsidR="00486DB9">
        <w:rPr>
          <w:sz w:val="22"/>
          <w:szCs w:val="22"/>
        </w:rPr>
        <w:t>d</w:t>
      </w:r>
      <w:r w:rsidRPr="00047F4D">
        <w:rPr>
          <w:sz w:val="22"/>
          <w:szCs w:val="22"/>
        </w:rPr>
        <w:t xml:space="preserve"> to rise in February </w:t>
      </w:r>
      <w:r>
        <w:rPr>
          <w:sz w:val="22"/>
          <w:szCs w:val="22"/>
        </w:rPr>
        <w:t>following the surge in</w:t>
      </w:r>
      <w:r w:rsidRPr="00047F4D">
        <w:rPr>
          <w:sz w:val="22"/>
          <w:szCs w:val="22"/>
        </w:rPr>
        <w:t xml:space="preserve"> January. In the first</w:t>
      </w:r>
      <w:r>
        <w:rPr>
          <w:sz w:val="22"/>
          <w:szCs w:val="22"/>
        </w:rPr>
        <w:t xml:space="preserve"> two</w:t>
      </w:r>
      <w:r w:rsidRPr="00047F4D">
        <w:rPr>
          <w:sz w:val="22"/>
          <w:szCs w:val="22"/>
        </w:rPr>
        <w:t xml:space="preserve"> months, import volume index increased</w:t>
      </w:r>
      <w:r>
        <w:rPr>
          <w:sz w:val="22"/>
          <w:szCs w:val="22"/>
        </w:rPr>
        <w:t xml:space="preserve"> by</w:t>
      </w:r>
      <w:r w:rsidRPr="00047F4D">
        <w:rPr>
          <w:sz w:val="22"/>
          <w:szCs w:val="22"/>
        </w:rPr>
        <w:t xml:space="preserve"> 4.3</w:t>
      </w:r>
      <w:r>
        <w:rPr>
          <w:sz w:val="22"/>
          <w:szCs w:val="22"/>
        </w:rPr>
        <w:t xml:space="preserve"> percent</w:t>
      </w:r>
      <w:r w:rsidRPr="00047F4D">
        <w:rPr>
          <w:sz w:val="22"/>
          <w:szCs w:val="22"/>
        </w:rPr>
        <w:t xml:space="preserve"> </w:t>
      </w:r>
      <w:r>
        <w:rPr>
          <w:sz w:val="22"/>
          <w:szCs w:val="22"/>
        </w:rPr>
        <w:t>compared to the</w:t>
      </w:r>
      <w:r w:rsidRPr="00047F4D">
        <w:rPr>
          <w:sz w:val="22"/>
          <w:szCs w:val="22"/>
        </w:rPr>
        <w:t xml:space="preserve"> </w:t>
      </w:r>
      <w:r>
        <w:rPr>
          <w:sz w:val="22"/>
          <w:szCs w:val="22"/>
        </w:rPr>
        <w:t>previous</w:t>
      </w:r>
      <w:r w:rsidRPr="00047F4D">
        <w:rPr>
          <w:sz w:val="22"/>
          <w:szCs w:val="22"/>
        </w:rPr>
        <w:t xml:space="preserve"> quarter. On the other hand, exports decreased by 2.3 percent in the same period </w:t>
      </w:r>
      <w:r w:rsidR="00486DB9">
        <w:rPr>
          <w:sz w:val="22"/>
          <w:szCs w:val="22"/>
        </w:rPr>
        <w:t>despite</w:t>
      </w:r>
      <w:r w:rsidRPr="00047F4D">
        <w:rPr>
          <w:sz w:val="22"/>
          <w:szCs w:val="22"/>
        </w:rPr>
        <w:t xml:space="preserve"> the recovery in February. </w:t>
      </w:r>
      <w:r w:rsidR="00C2528A">
        <w:rPr>
          <w:sz w:val="22"/>
          <w:szCs w:val="22"/>
        </w:rPr>
        <w:t>G</w:t>
      </w:r>
      <w:r w:rsidRPr="00047F4D">
        <w:rPr>
          <w:sz w:val="22"/>
          <w:szCs w:val="22"/>
        </w:rPr>
        <w:t>old trade</w:t>
      </w:r>
      <w:r w:rsidR="00C2528A">
        <w:rPr>
          <w:sz w:val="22"/>
          <w:szCs w:val="22"/>
        </w:rPr>
        <w:t xml:space="preserve"> has not been substantial</w:t>
      </w:r>
      <w:r w:rsidRPr="00047F4D">
        <w:rPr>
          <w:sz w:val="22"/>
          <w:szCs w:val="22"/>
        </w:rPr>
        <w:t xml:space="preserve"> in this period.</w:t>
      </w:r>
      <w:r>
        <w:rPr>
          <w:sz w:val="22"/>
          <w:szCs w:val="22"/>
        </w:rPr>
        <w:t xml:space="preserve"> Therefore,</w:t>
      </w:r>
      <w:r w:rsidRPr="00047F4D">
        <w:rPr>
          <w:sz w:val="22"/>
          <w:szCs w:val="22"/>
        </w:rPr>
        <w:t xml:space="preserve"> </w:t>
      </w:r>
      <w:r>
        <w:rPr>
          <w:sz w:val="22"/>
          <w:szCs w:val="22"/>
        </w:rPr>
        <w:t>g</w:t>
      </w:r>
      <w:r w:rsidRPr="00047F4D">
        <w:rPr>
          <w:sz w:val="22"/>
          <w:szCs w:val="22"/>
        </w:rPr>
        <w:t xml:space="preserve">old excluded exports and imports data indicate </w:t>
      </w:r>
      <w:r w:rsidR="00C2528A">
        <w:rPr>
          <w:sz w:val="22"/>
          <w:szCs w:val="22"/>
        </w:rPr>
        <w:t>similar</w:t>
      </w:r>
      <w:r w:rsidRPr="00047F4D">
        <w:rPr>
          <w:sz w:val="22"/>
          <w:szCs w:val="22"/>
        </w:rPr>
        <w:t xml:space="preserve"> results. If imports continue to increase </w:t>
      </w:r>
      <w:r w:rsidR="00C2528A">
        <w:rPr>
          <w:sz w:val="22"/>
          <w:szCs w:val="22"/>
        </w:rPr>
        <w:t xml:space="preserve">at this pace </w:t>
      </w:r>
      <w:r w:rsidRPr="00047F4D">
        <w:rPr>
          <w:sz w:val="22"/>
          <w:szCs w:val="22"/>
        </w:rPr>
        <w:t xml:space="preserve">in </w:t>
      </w:r>
      <w:r>
        <w:rPr>
          <w:sz w:val="22"/>
          <w:szCs w:val="22"/>
        </w:rPr>
        <w:t>March</w:t>
      </w:r>
      <w:r w:rsidRPr="00047F4D">
        <w:rPr>
          <w:sz w:val="22"/>
          <w:szCs w:val="22"/>
        </w:rPr>
        <w:t xml:space="preserve">, net exports </w:t>
      </w:r>
      <w:r w:rsidR="00C2528A">
        <w:rPr>
          <w:sz w:val="22"/>
          <w:szCs w:val="22"/>
        </w:rPr>
        <w:t xml:space="preserve">will </w:t>
      </w:r>
      <w:r>
        <w:rPr>
          <w:sz w:val="22"/>
          <w:szCs w:val="22"/>
        </w:rPr>
        <w:t>most likely</w:t>
      </w:r>
      <w:r w:rsidRPr="00047F4D">
        <w:rPr>
          <w:sz w:val="22"/>
          <w:szCs w:val="22"/>
        </w:rPr>
        <w:t xml:space="preserve"> </w:t>
      </w:r>
      <w:r>
        <w:rPr>
          <w:sz w:val="22"/>
          <w:szCs w:val="22"/>
        </w:rPr>
        <w:t>subtract from the GDP growth</w:t>
      </w:r>
      <w:r w:rsidRPr="00047F4D">
        <w:rPr>
          <w:sz w:val="22"/>
          <w:szCs w:val="22"/>
        </w:rPr>
        <w:t xml:space="preserve"> in the first quarter.  </w:t>
      </w:r>
    </w:p>
    <w:p w:rsidR="00F91693" w:rsidRPr="00047F4D" w:rsidRDefault="00F91693" w:rsidP="00F91693">
      <w:pPr>
        <w:spacing w:line="360" w:lineRule="auto"/>
        <w:ind w:left="-360" w:right="42"/>
        <w:jc w:val="both"/>
        <w:rPr>
          <w:sz w:val="22"/>
          <w:szCs w:val="22"/>
        </w:rPr>
      </w:pPr>
      <w:r w:rsidRPr="00047F4D">
        <w:rPr>
          <w:sz w:val="22"/>
          <w:szCs w:val="22"/>
        </w:rPr>
        <w:t xml:space="preserve"> </w:t>
      </w:r>
    </w:p>
    <w:p w:rsidR="00F91693" w:rsidRPr="00047F4D" w:rsidRDefault="00F91693" w:rsidP="00F91693">
      <w:pPr>
        <w:spacing w:line="360" w:lineRule="auto"/>
        <w:ind w:left="-360" w:right="42"/>
        <w:jc w:val="both"/>
        <w:rPr>
          <w:sz w:val="22"/>
          <w:szCs w:val="22"/>
        </w:rPr>
      </w:pPr>
      <w:r w:rsidRPr="00047F4D">
        <w:rPr>
          <w:sz w:val="22"/>
          <w:szCs w:val="22"/>
        </w:rPr>
        <w:t>On the other hand,</w:t>
      </w:r>
      <w:r>
        <w:rPr>
          <w:sz w:val="22"/>
          <w:szCs w:val="22"/>
        </w:rPr>
        <w:t xml:space="preserve"> </w:t>
      </w:r>
      <w:r w:rsidRPr="00047F4D">
        <w:rPr>
          <w:sz w:val="22"/>
          <w:szCs w:val="22"/>
        </w:rPr>
        <w:t>signs</w:t>
      </w:r>
      <w:r w:rsidR="00B050DE">
        <w:rPr>
          <w:sz w:val="22"/>
          <w:szCs w:val="22"/>
        </w:rPr>
        <w:t xml:space="preserve"> from other indicators</w:t>
      </w:r>
      <w:r w:rsidRPr="00047F4D">
        <w:rPr>
          <w:sz w:val="22"/>
          <w:szCs w:val="22"/>
        </w:rPr>
        <w:t xml:space="preserve"> about</w:t>
      </w:r>
      <w:r>
        <w:rPr>
          <w:sz w:val="22"/>
          <w:szCs w:val="22"/>
        </w:rPr>
        <w:t xml:space="preserve"> the</w:t>
      </w:r>
      <w:r w:rsidRPr="00047F4D">
        <w:rPr>
          <w:sz w:val="22"/>
          <w:szCs w:val="22"/>
        </w:rPr>
        <w:t xml:space="preserve"> revival are still mixed. </w:t>
      </w:r>
      <w:r w:rsidRPr="0040393B">
        <w:rPr>
          <w:sz w:val="22"/>
          <w:szCs w:val="22"/>
        </w:rPr>
        <w:t xml:space="preserve">Increases in intermediate and investment goods imports are </w:t>
      </w:r>
      <w:r w:rsidR="00724CF0">
        <w:rPr>
          <w:sz w:val="22"/>
          <w:szCs w:val="22"/>
        </w:rPr>
        <w:t>positive</w:t>
      </w:r>
      <w:r w:rsidRPr="0040393B">
        <w:rPr>
          <w:sz w:val="22"/>
          <w:szCs w:val="22"/>
        </w:rPr>
        <w:t xml:space="preserve"> signs</w:t>
      </w:r>
      <w:r w:rsidR="003872AE">
        <w:rPr>
          <w:sz w:val="22"/>
          <w:szCs w:val="22"/>
        </w:rPr>
        <w:t xml:space="preserve"> as well as increases in</w:t>
      </w:r>
      <w:r w:rsidRPr="00047F4D">
        <w:rPr>
          <w:sz w:val="22"/>
          <w:szCs w:val="22"/>
        </w:rPr>
        <w:t xml:space="preserve"> </w:t>
      </w:r>
      <w:r w:rsidR="003872AE">
        <w:rPr>
          <w:sz w:val="22"/>
          <w:szCs w:val="22"/>
        </w:rPr>
        <w:t>i</w:t>
      </w:r>
      <w:r w:rsidRPr="00047F4D">
        <w:rPr>
          <w:sz w:val="22"/>
          <w:szCs w:val="22"/>
        </w:rPr>
        <w:t>nvestment goods production and real sector confidence index in</w:t>
      </w:r>
      <w:r w:rsidR="003872AE">
        <w:rPr>
          <w:sz w:val="22"/>
          <w:szCs w:val="22"/>
        </w:rPr>
        <w:t xml:space="preserve"> both</w:t>
      </w:r>
      <w:r w:rsidRPr="00047F4D">
        <w:rPr>
          <w:sz w:val="22"/>
          <w:szCs w:val="22"/>
        </w:rPr>
        <w:t xml:space="preserve"> January and February. However, non-durable goods production continues to decline </w:t>
      </w:r>
      <w:r>
        <w:rPr>
          <w:sz w:val="22"/>
          <w:szCs w:val="22"/>
        </w:rPr>
        <w:t>QoQ</w:t>
      </w:r>
      <w:r w:rsidRPr="00047F4D">
        <w:rPr>
          <w:sz w:val="22"/>
          <w:szCs w:val="22"/>
        </w:rPr>
        <w:t xml:space="preserve"> in spi</w:t>
      </w:r>
      <w:r>
        <w:rPr>
          <w:sz w:val="22"/>
          <w:szCs w:val="22"/>
        </w:rPr>
        <w:t>te of the increase in February. Moreover, c</w:t>
      </w:r>
      <w:r w:rsidRPr="00047F4D">
        <w:rPr>
          <w:sz w:val="22"/>
          <w:szCs w:val="22"/>
        </w:rPr>
        <w:t xml:space="preserve">onsumer confidence index declined in </w:t>
      </w:r>
      <w:r w:rsidR="00586493">
        <w:rPr>
          <w:sz w:val="22"/>
          <w:szCs w:val="22"/>
        </w:rPr>
        <w:t xml:space="preserve">both </w:t>
      </w:r>
      <w:r w:rsidRPr="00047F4D">
        <w:rPr>
          <w:sz w:val="22"/>
          <w:szCs w:val="22"/>
        </w:rPr>
        <w:t>February and March.</w:t>
      </w:r>
    </w:p>
    <w:p w:rsidR="00F91693" w:rsidRPr="00047F4D" w:rsidRDefault="00F91693" w:rsidP="00F91693">
      <w:pPr>
        <w:spacing w:line="360" w:lineRule="auto"/>
        <w:ind w:left="-360" w:right="42"/>
        <w:jc w:val="both"/>
        <w:rPr>
          <w:sz w:val="22"/>
          <w:szCs w:val="22"/>
        </w:rPr>
      </w:pPr>
    </w:p>
    <w:p w:rsidR="00F91693" w:rsidRPr="00047F4D" w:rsidRDefault="000F0BB8" w:rsidP="00F91693">
      <w:pPr>
        <w:spacing w:line="360" w:lineRule="auto"/>
        <w:ind w:left="-360" w:right="40"/>
        <w:jc w:val="both"/>
        <w:rPr>
          <w:sz w:val="22"/>
          <w:szCs w:val="22"/>
        </w:rPr>
      </w:pPr>
      <w:r>
        <w:rPr>
          <w:sz w:val="22"/>
          <w:szCs w:val="22"/>
        </w:rPr>
        <w:t>De</w:t>
      </w:r>
      <w:r w:rsidR="00F91693" w:rsidRPr="00047F4D">
        <w:rPr>
          <w:sz w:val="22"/>
          <w:szCs w:val="22"/>
        </w:rPr>
        <w:t>spite mixed signals, increases in exports and the IPI</w:t>
      </w:r>
      <w:r w:rsidR="00F91693">
        <w:rPr>
          <w:sz w:val="22"/>
          <w:szCs w:val="22"/>
        </w:rPr>
        <w:t xml:space="preserve"> in February</w:t>
      </w:r>
      <w:r>
        <w:rPr>
          <w:sz w:val="22"/>
          <w:szCs w:val="22"/>
        </w:rPr>
        <w:t xml:space="preserve"> have led us to raise</w:t>
      </w:r>
      <w:r w:rsidR="00F91693" w:rsidRPr="00047F4D">
        <w:rPr>
          <w:sz w:val="22"/>
          <w:szCs w:val="22"/>
        </w:rPr>
        <w:t xml:space="preserve"> our quarter on quarter forecast for the first quarter from 0.5 </w:t>
      </w:r>
      <w:r w:rsidR="00F91693" w:rsidRPr="00047F4D">
        <w:rPr>
          <w:sz w:val="22"/>
          <w:szCs w:val="22"/>
        </w:rPr>
        <w:lastRenderedPageBreak/>
        <w:t xml:space="preserve">percent to 0.7 percent. The corresponding year on year (YoY) growth rate is 2.4 percent. Betam expects the current account deficit to GDP ratio to </w:t>
      </w:r>
      <w:r>
        <w:rPr>
          <w:sz w:val="22"/>
          <w:szCs w:val="22"/>
        </w:rPr>
        <w:t>remain as</w:t>
      </w:r>
      <w:r w:rsidR="00F91693" w:rsidRPr="00047F4D">
        <w:rPr>
          <w:sz w:val="22"/>
          <w:szCs w:val="22"/>
        </w:rPr>
        <w:t xml:space="preserve"> 6 percent at the end of the first quarter.   </w:t>
      </w:r>
    </w:p>
    <w:p w:rsidR="00F91693" w:rsidRPr="00F7641F" w:rsidRDefault="00F91693" w:rsidP="00F91693">
      <w:pPr>
        <w:spacing w:line="360" w:lineRule="auto"/>
        <w:ind w:right="42"/>
        <w:jc w:val="both"/>
        <w:rPr>
          <w:sz w:val="22"/>
          <w:szCs w:val="22"/>
        </w:rPr>
      </w:pPr>
    </w:p>
    <w:p w:rsidR="00F91693" w:rsidRPr="00047F4D" w:rsidRDefault="00F91693" w:rsidP="00F91693">
      <w:pPr>
        <w:spacing w:line="360" w:lineRule="auto"/>
        <w:ind w:left="-360" w:right="42"/>
        <w:jc w:val="center"/>
        <w:rPr>
          <w:b/>
          <w:bCs/>
          <w:sz w:val="22"/>
          <w:szCs w:val="22"/>
        </w:rPr>
      </w:pPr>
      <w:r w:rsidRPr="00047F4D">
        <w:rPr>
          <w:b/>
          <w:bCs/>
          <w:sz w:val="22"/>
          <w:szCs w:val="22"/>
        </w:rPr>
        <w:t>Limited increase in private consumption expenditure</w:t>
      </w:r>
    </w:p>
    <w:p w:rsidR="00F91693" w:rsidRPr="00047F4D" w:rsidRDefault="00F91693" w:rsidP="00F91693">
      <w:pPr>
        <w:spacing w:line="360" w:lineRule="auto"/>
        <w:ind w:left="-360" w:right="42"/>
        <w:jc w:val="center"/>
        <w:rPr>
          <w:b/>
          <w:bCs/>
          <w:sz w:val="22"/>
          <w:szCs w:val="22"/>
        </w:rPr>
      </w:pPr>
    </w:p>
    <w:p w:rsidR="00F91693" w:rsidRPr="00047F4D" w:rsidRDefault="00F91693" w:rsidP="00F91693">
      <w:pPr>
        <w:spacing w:line="360" w:lineRule="auto"/>
        <w:ind w:left="-360" w:right="42"/>
        <w:jc w:val="both"/>
        <w:rPr>
          <w:sz w:val="22"/>
          <w:szCs w:val="22"/>
        </w:rPr>
      </w:pPr>
      <w:r w:rsidRPr="00047F4D">
        <w:rPr>
          <w:sz w:val="22"/>
          <w:szCs w:val="22"/>
        </w:rPr>
        <w:t>Consumer and non-durable goods imports</w:t>
      </w:r>
      <w:r>
        <w:rPr>
          <w:sz w:val="22"/>
          <w:szCs w:val="22"/>
        </w:rPr>
        <w:t xml:space="preserve"> increased by 6.8 and 0.</w:t>
      </w:r>
      <w:r w:rsidRPr="00047F4D">
        <w:rPr>
          <w:sz w:val="22"/>
          <w:szCs w:val="22"/>
        </w:rPr>
        <w:t>5 percent</w:t>
      </w:r>
      <w:r w:rsidR="008D3484">
        <w:rPr>
          <w:sz w:val="22"/>
          <w:szCs w:val="22"/>
        </w:rPr>
        <w:t>,</w:t>
      </w:r>
      <w:r w:rsidRPr="00047F4D">
        <w:rPr>
          <w:sz w:val="22"/>
          <w:szCs w:val="22"/>
        </w:rPr>
        <w:t xml:space="preserve"> respectively</w:t>
      </w:r>
      <w:r w:rsidR="008D3484">
        <w:rPr>
          <w:sz w:val="22"/>
          <w:szCs w:val="22"/>
        </w:rPr>
        <w:t>,</w:t>
      </w:r>
      <w:r w:rsidRPr="00047F4D">
        <w:rPr>
          <w:sz w:val="22"/>
          <w:szCs w:val="22"/>
        </w:rPr>
        <w:t xml:space="preserve"> in February from the previous month. Following dec</w:t>
      </w:r>
      <w:r>
        <w:rPr>
          <w:sz w:val="22"/>
          <w:szCs w:val="22"/>
        </w:rPr>
        <w:t>lines in December and January, d</w:t>
      </w:r>
      <w:r w:rsidRPr="00047F4D">
        <w:rPr>
          <w:sz w:val="22"/>
          <w:szCs w:val="22"/>
        </w:rPr>
        <w:t xml:space="preserve">urable goods production recovered </w:t>
      </w:r>
      <w:r>
        <w:rPr>
          <w:sz w:val="22"/>
          <w:szCs w:val="22"/>
        </w:rPr>
        <w:t xml:space="preserve">slightly </w:t>
      </w:r>
      <w:r w:rsidRPr="00047F4D">
        <w:rPr>
          <w:sz w:val="22"/>
          <w:szCs w:val="22"/>
        </w:rPr>
        <w:t xml:space="preserve">in February and increased by 3.2 percent. </w:t>
      </w:r>
      <w:r w:rsidR="008D3484">
        <w:rPr>
          <w:sz w:val="22"/>
          <w:szCs w:val="22"/>
        </w:rPr>
        <w:t>C</w:t>
      </w:r>
      <w:r w:rsidRPr="00047F4D">
        <w:rPr>
          <w:sz w:val="22"/>
          <w:szCs w:val="22"/>
        </w:rPr>
        <w:t>onsumer confidence index decreased by 0.2 percent and 1.4 percent in February and March</w:t>
      </w:r>
      <w:r w:rsidR="008D3484">
        <w:rPr>
          <w:sz w:val="22"/>
          <w:szCs w:val="22"/>
        </w:rPr>
        <w:t>,</w:t>
      </w:r>
      <w:r>
        <w:rPr>
          <w:sz w:val="22"/>
          <w:szCs w:val="22"/>
        </w:rPr>
        <w:t xml:space="preserve"> respectively</w:t>
      </w:r>
      <w:r w:rsidRPr="00047F4D">
        <w:rPr>
          <w:sz w:val="22"/>
          <w:szCs w:val="22"/>
        </w:rPr>
        <w:t xml:space="preserve">, but it </w:t>
      </w:r>
      <w:r>
        <w:rPr>
          <w:sz w:val="22"/>
          <w:szCs w:val="22"/>
        </w:rPr>
        <w:t xml:space="preserve">is </w:t>
      </w:r>
      <w:r w:rsidRPr="00047F4D">
        <w:rPr>
          <w:sz w:val="22"/>
          <w:szCs w:val="22"/>
        </w:rPr>
        <w:t xml:space="preserve">still above </w:t>
      </w:r>
      <w:r w:rsidR="008D3484">
        <w:rPr>
          <w:sz w:val="22"/>
          <w:szCs w:val="22"/>
        </w:rPr>
        <w:t>its</w:t>
      </w:r>
      <w:r w:rsidRPr="00047F4D">
        <w:rPr>
          <w:sz w:val="22"/>
          <w:szCs w:val="22"/>
        </w:rPr>
        <w:t xml:space="preserve"> </w:t>
      </w:r>
      <w:r w:rsidR="008D3484">
        <w:rPr>
          <w:sz w:val="22"/>
          <w:szCs w:val="22"/>
        </w:rPr>
        <w:t xml:space="preserve">average </w:t>
      </w:r>
      <w:r w:rsidRPr="00047F4D">
        <w:rPr>
          <w:sz w:val="22"/>
          <w:szCs w:val="22"/>
        </w:rPr>
        <w:t xml:space="preserve">level </w:t>
      </w:r>
      <w:r w:rsidR="008D3484">
        <w:rPr>
          <w:sz w:val="22"/>
          <w:szCs w:val="22"/>
        </w:rPr>
        <w:t>in</w:t>
      </w:r>
      <w:r w:rsidRPr="00047F4D">
        <w:rPr>
          <w:sz w:val="22"/>
          <w:szCs w:val="22"/>
        </w:rPr>
        <w:t xml:space="preserve"> the </w:t>
      </w:r>
      <w:r>
        <w:rPr>
          <w:sz w:val="22"/>
          <w:szCs w:val="22"/>
        </w:rPr>
        <w:t>previous</w:t>
      </w:r>
      <w:r w:rsidRPr="00047F4D">
        <w:rPr>
          <w:sz w:val="22"/>
          <w:szCs w:val="22"/>
        </w:rPr>
        <w:t xml:space="preserve"> quarter. </w:t>
      </w:r>
      <w:r w:rsidR="008D3484">
        <w:rPr>
          <w:sz w:val="22"/>
          <w:szCs w:val="22"/>
        </w:rPr>
        <w:t>W</w:t>
      </w:r>
      <w:r w:rsidRPr="00047F4D">
        <w:rPr>
          <w:sz w:val="22"/>
          <w:szCs w:val="22"/>
        </w:rPr>
        <w:t xml:space="preserve">e expect private consumption expenditure to contribute positively to GDP growth in the first quarter of 2013. </w:t>
      </w:r>
    </w:p>
    <w:p w:rsidR="00F91693" w:rsidRPr="00047F4D" w:rsidRDefault="00F91693" w:rsidP="00F91693">
      <w:pPr>
        <w:spacing w:line="360" w:lineRule="auto"/>
        <w:ind w:right="42"/>
        <w:rPr>
          <w:b/>
          <w:bCs/>
          <w:sz w:val="22"/>
          <w:szCs w:val="22"/>
        </w:rPr>
      </w:pPr>
    </w:p>
    <w:p w:rsidR="00F91693" w:rsidRPr="00047F4D" w:rsidRDefault="00F91693" w:rsidP="00F91693">
      <w:pPr>
        <w:spacing w:line="360" w:lineRule="auto"/>
        <w:ind w:left="-360" w:right="42"/>
        <w:jc w:val="center"/>
        <w:rPr>
          <w:b/>
          <w:bCs/>
          <w:sz w:val="22"/>
          <w:szCs w:val="22"/>
        </w:rPr>
      </w:pPr>
      <w:r w:rsidRPr="00047F4D">
        <w:rPr>
          <w:b/>
          <w:bCs/>
          <w:sz w:val="22"/>
          <w:szCs w:val="22"/>
        </w:rPr>
        <w:t>The recovery in private investment expenditure</w:t>
      </w:r>
    </w:p>
    <w:p w:rsidR="00F91693" w:rsidRPr="00047F4D" w:rsidRDefault="00F91693" w:rsidP="00F91693">
      <w:pPr>
        <w:spacing w:line="360" w:lineRule="auto"/>
        <w:ind w:left="-360" w:right="42"/>
        <w:jc w:val="center"/>
        <w:rPr>
          <w:b/>
          <w:bCs/>
          <w:sz w:val="22"/>
          <w:szCs w:val="22"/>
        </w:rPr>
      </w:pPr>
    </w:p>
    <w:p w:rsidR="00F91693" w:rsidRPr="00047F4D" w:rsidRDefault="00F91693" w:rsidP="00F91693">
      <w:pPr>
        <w:spacing w:line="360" w:lineRule="auto"/>
        <w:ind w:left="-360" w:right="42"/>
        <w:jc w:val="both"/>
        <w:rPr>
          <w:sz w:val="22"/>
          <w:szCs w:val="22"/>
        </w:rPr>
      </w:pPr>
      <w:r w:rsidRPr="00047F4D">
        <w:rPr>
          <w:sz w:val="22"/>
          <w:szCs w:val="22"/>
        </w:rPr>
        <w:t xml:space="preserve">In the first quarter of 2013, both </w:t>
      </w:r>
      <w:r w:rsidR="00AE5F4F">
        <w:rPr>
          <w:sz w:val="22"/>
          <w:szCs w:val="22"/>
        </w:rPr>
        <w:t xml:space="preserve">the </w:t>
      </w:r>
      <w:r w:rsidRPr="00047F4D">
        <w:rPr>
          <w:sz w:val="22"/>
          <w:szCs w:val="22"/>
        </w:rPr>
        <w:t>intermediate goods and investment goods imports are above their level</w:t>
      </w:r>
      <w:r>
        <w:rPr>
          <w:sz w:val="22"/>
          <w:szCs w:val="22"/>
        </w:rPr>
        <w:t>s</w:t>
      </w:r>
      <w:r w:rsidRPr="00047F4D">
        <w:rPr>
          <w:sz w:val="22"/>
          <w:szCs w:val="22"/>
        </w:rPr>
        <w:t xml:space="preserve"> </w:t>
      </w:r>
      <w:r w:rsidR="00A03166">
        <w:rPr>
          <w:sz w:val="22"/>
          <w:szCs w:val="22"/>
        </w:rPr>
        <w:t>in</w:t>
      </w:r>
      <w:r w:rsidRPr="00047F4D">
        <w:rPr>
          <w:sz w:val="22"/>
          <w:szCs w:val="22"/>
        </w:rPr>
        <w:t xml:space="preserve"> the</w:t>
      </w:r>
      <w:r>
        <w:rPr>
          <w:sz w:val="22"/>
          <w:szCs w:val="22"/>
        </w:rPr>
        <w:t xml:space="preserve"> previous</w:t>
      </w:r>
      <w:r w:rsidRPr="00047F4D">
        <w:rPr>
          <w:sz w:val="22"/>
          <w:szCs w:val="22"/>
        </w:rPr>
        <w:t xml:space="preserve"> quarter. Moreover, investment goods production increased by 2.5 percent and 5.9 percent in January and February</w:t>
      </w:r>
      <w:r w:rsidR="00AE5F4F">
        <w:rPr>
          <w:sz w:val="22"/>
          <w:szCs w:val="22"/>
        </w:rPr>
        <w:t>,</w:t>
      </w:r>
      <w:r>
        <w:rPr>
          <w:sz w:val="22"/>
          <w:szCs w:val="22"/>
        </w:rPr>
        <w:t xml:space="preserve"> respectively</w:t>
      </w:r>
      <w:r w:rsidRPr="00047F4D">
        <w:rPr>
          <w:sz w:val="22"/>
          <w:szCs w:val="22"/>
        </w:rPr>
        <w:t xml:space="preserve">. </w:t>
      </w:r>
      <w:r w:rsidR="00AE5F4F">
        <w:rPr>
          <w:sz w:val="22"/>
          <w:szCs w:val="22"/>
        </w:rPr>
        <w:t>T</w:t>
      </w:r>
      <w:r>
        <w:rPr>
          <w:sz w:val="22"/>
          <w:szCs w:val="22"/>
        </w:rPr>
        <w:t>he 1.5 percent increase in the</w:t>
      </w:r>
      <w:r w:rsidRPr="00047F4D">
        <w:rPr>
          <w:sz w:val="22"/>
          <w:szCs w:val="22"/>
        </w:rPr>
        <w:t xml:space="preserve"> IPI </w:t>
      </w:r>
      <w:r>
        <w:rPr>
          <w:sz w:val="22"/>
          <w:szCs w:val="22"/>
        </w:rPr>
        <w:t xml:space="preserve">in February is </w:t>
      </w:r>
      <w:r w:rsidR="00AE5F4F">
        <w:rPr>
          <w:sz w:val="22"/>
          <w:szCs w:val="22"/>
        </w:rPr>
        <w:t>also encouraging for investment demand</w:t>
      </w:r>
      <w:r w:rsidRPr="00047F4D">
        <w:rPr>
          <w:sz w:val="22"/>
          <w:szCs w:val="22"/>
        </w:rPr>
        <w:t xml:space="preserve">. On the other hand, both </w:t>
      </w:r>
      <w:r w:rsidR="00AE5F4F">
        <w:rPr>
          <w:sz w:val="22"/>
          <w:szCs w:val="22"/>
        </w:rPr>
        <w:t xml:space="preserve">the </w:t>
      </w:r>
      <w:r w:rsidRPr="00047F4D">
        <w:rPr>
          <w:sz w:val="22"/>
          <w:szCs w:val="22"/>
        </w:rPr>
        <w:t xml:space="preserve">real sector confidence </w:t>
      </w:r>
      <w:r w:rsidR="00AE5F4F">
        <w:rPr>
          <w:sz w:val="22"/>
          <w:szCs w:val="22"/>
        </w:rPr>
        <w:t xml:space="preserve">index </w:t>
      </w:r>
      <w:r w:rsidRPr="00047F4D">
        <w:rPr>
          <w:sz w:val="22"/>
          <w:szCs w:val="22"/>
        </w:rPr>
        <w:t xml:space="preserve">and capacity utilization rate </w:t>
      </w:r>
      <w:r>
        <w:rPr>
          <w:sz w:val="22"/>
          <w:szCs w:val="22"/>
        </w:rPr>
        <w:t>are</w:t>
      </w:r>
      <w:r w:rsidRPr="00047F4D">
        <w:rPr>
          <w:sz w:val="22"/>
          <w:szCs w:val="22"/>
        </w:rPr>
        <w:t xml:space="preserve"> below </w:t>
      </w:r>
      <w:r>
        <w:rPr>
          <w:sz w:val="22"/>
          <w:szCs w:val="22"/>
        </w:rPr>
        <w:t xml:space="preserve">their </w:t>
      </w:r>
      <w:r w:rsidRPr="00047F4D">
        <w:rPr>
          <w:sz w:val="22"/>
          <w:szCs w:val="22"/>
        </w:rPr>
        <w:t>level</w:t>
      </w:r>
      <w:r>
        <w:rPr>
          <w:sz w:val="22"/>
          <w:szCs w:val="22"/>
        </w:rPr>
        <w:t>s</w:t>
      </w:r>
      <w:r w:rsidRPr="00047F4D">
        <w:rPr>
          <w:sz w:val="22"/>
          <w:szCs w:val="22"/>
        </w:rPr>
        <w:t xml:space="preserve"> </w:t>
      </w:r>
      <w:r w:rsidR="00AE5F4F">
        <w:rPr>
          <w:sz w:val="22"/>
          <w:szCs w:val="22"/>
        </w:rPr>
        <w:t>in</w:t>
      </w:r>
      <w:r w:rsidRPr="00047F4D">
        <w:rPr>
          <w:sz w:val="22"/>
          <w:szCs w:val="22"/>
        </w:rPr>
        <w:t xml:space="preserve"> the </w:t>
      </w:r>
      <w:r>
        <w:rPr>
          <w:sz w:val="22"/>
          <w:szCs w:val="22"/>
        </w:rPr>
        <w:t>previous</w:t>
      </w:r>
      <w:r w:rsidRPr="00047F4D">
        <w:rPr>
          <w:sz w:val="22"/>
          <w:szCs w:val="22"/>
        </w:rPr>
        <w:t xml:space="preserve"> quarter</w:t>
      </w:r>
      <w:r>
        <w:rPr>
          <w:sz w:val="22"/>
          <w:szCs w:val="22"/>
        </w:rPr>
        <w:t>,</w:t>
      </w:r>
      <w:r w:rsidRPr="00047F4D">
        <w:rPr>
          <w:sz w:val="22"/>
          <w:szCs w:val="22"/>
        </w:rPr>
        <w:t xml:space="preserve"> even though they</w:t>
      </w:r>
      <w:r w:rsidR="00AE5F4F">
        <w:rPr>
          <w:sz w:val="22"/>
          <w:szCs w:val="22"/>
        </w:rPr>
        <w:t xml:space="preserve"> both</w:t>
      </w:r>
      <w:r w:rsidRPr="00047F4D">
        <w:rPr>
          <w:sz w:val="22"/>
          <w:szCs w:val="22"/>
        </w:rPr>
        <w:t xml:space="preserve"> i</w:t>
      </w:r>
      <w:r w:rsidR="0067212C">
        <w:rPr>
          <w:sz w:val="22"/>
          <w:szCs w:val="22"/>
        </w:rPr>
        <w:t xml:space="preserve">ncreased in February and March. We believe that increases in </w:t>
      </w:r>
      <w:r w:rsidRPr="00047F4D">
        <w:rPr>
          <w:sz w:val="22"/>
          <w:szCs w:val="22"/>
        </w:rPr>
        <w:t>investment goods production and imports</w:t>
      </w:r>
      <w:r w:rsidR="0067212C">
        <w:rPr>
          <w:sz w:val="22"/>
          <w:szCs w:val="22"/>
        </w:rPr>
        <w:t xml:space="preserve"> imply a revival in </w:t>
      </w:r>
      <w:r w:rsidR="0067212C">
        <w:rPr>
          <w:sz w:val="22"/>
          <w:szCs w:val="22"/>
        </w:rPr>
        <w:lastRenderedPageBreak/>
        <w:t>investment demand and we expect an increase in investment expenditures in</w:t>
      </w:r>
      <w:r w:rsidRPr="00047F4D">
        <w:rPr>
          <w:sz w:val="22"/>
          <w:szCs w:val="22"/>
        </w:rPr>
        <w:t xml:space="preserve"> the first quarter. </w:t>
      </w:r>
    </w:p>
    <w:p w:rsidR="00F91693" w:rsidRPr="00047F4D" w:rsidRDefault="00F91693" w:rsidP="00F91693">
      <w:pPr>
        <w:spacing w:line="360" w:lineRule="auto"/>
        <w:ind w:left="-360" w:right="42"/>
        <w:jc w:val="both"/>
        <w:rPr>
          <w:sz w:val="22"/>
          <w:szCs w:val="22"/>
        </w:rPr>
      </w:pPr>
    </w:p>
    <w:p w:rsidR="00F91693" w:rsidRPr="00047F4D" w:rsidRDefault="00837B20" w:rsidP="000B3D82">
      <w:pPr>
        <w:spacing w:line="360" w:lineRule="auto"/>
        <w:ind w:right="42"/>
        <w:jc w:val="center"/>
        <w:rPr>
          <w:b/>
          <w:bCs/>
          <w:sz w:val="22"/>
          <w:szCs w:val="22"/>
        </w:rPr>
      </w:pPr>
      <w:r>
        <w:rPr>
          <w:b/>
          <w:bCs/>
          <w:sz w:val="22"/>
          <w:szCs w:val="22"/>
        </w:rPr>
        <w:t>C</w:t>
      </w:r>
      <w:r w:rsidR="00F91693" w:rsidRPr="00047F4D">
        <w:rPr>
          <w:b/>
          <w:bCs/>
          <w:sz w:val="22"/>
          <w:szCs w:val="22"/>
        </w:rPr>
        <w:t>ontribution o</w:t>
      </w:r>
      <w:r>
        <w:rPr>
          <w:b/>
          <w:bCs/>
          <w:sz w:val="22"/>
          <w:szCs w:val="22"/>
        </w:rPr>
        <w:t>f net exports could</w:t>
      </w:r>
      <w:r w:rsidR="00F91693" w:rsidRPr="00047F4D">
        <w:rPr>
          <w:b/>
          <w:bCs/>
          <w:sz w:val="22"/>
          <w:szCs w:val="22"/>
        </w:rPr>
        <w:t xml:space="preserve"> be negative in the 1</w:t>
      </w:r>
      <w:r w:rsidR="00F91693" w:rsidRPr="00B96612">
        <w:rPr>
          <w:b/>
          <w:bCs/>
          <w:sz w:val="22"/>
          <w:szCs w:val="22"/>
          <w:vertAlign w:val="superscript"/>
        </w:rPr>
        <w:t>st</w:t>
      </w:r>
      <w:r w:rsidR="00F91693" w:rsidRPr="00047F4D">
        <w:rPr>
          <w:b/>
          <w:bCs/>
          <w:sz w:val="22"/>
          <w:szCs w:val="22"/>
        </w:rPr>
        <w:t xml:space="preserve"> quarter</w:t>
      </w:r>
    </w:p>
    <w:p w:rsidR="00F91693" w:rsidRPr="00047F4D" w:rsidRDefault="00F91693" w:rsidP="00F91693">
      <w:pPr>
        <w:spacing w:line="360" w:lineRule="auto"/>
        <w:ind w:left="-360" w:right="42"/>
        <w:jc w:val="both"/>
        <w:rPr>
          <w:sz w:val="22"/>
          <w:szCs w:val="22"/>
        </w:rPr>
      </w:pPr>
    </w:p>
    <w:p w:rsidR="00F91693" w:rsidRPr="00047F4D" w:rsidRDefault="00F91693" w:rsidP="00F91693">
      <w:pPr>
        <w:spacing w:line="360" w:lineRule="auto"/>
        <w:ind w:left="-360" w:right="42"/>
        <w:jc w:val="both"/>
        <w:rPr>
          <w:sz w:val="22"/>
          <w:szCs w:val="22"/>
        </w:rPr>
      </w:pPr>
      <w:r w:rsidRPr="00047F4D">
        <w:rPr>
          <w:sz w:val="22"/>
          <w:szCs w:val="22"/>
        </w:rPr>
        <w:t xml:space="preserve">Figure 2 shows monthly changes of seasonally adjusted import and export volume indices. In February, export volume index increased by 5.1 percent and </w:t>
      </w:r>
      <w:r w:rsidR="00102C87">
        <w:rPr>
          <w:sz w:val="22"/>
          <w:szCs w:val="22"/>
        </w:rPr>
        <w:t>the import volume index increased by 2.6 percent</w:t>
      </w:r>
      <w:r w:rsidRPr="00047F4D">
        <w:rPr>
          <w:sz w:val="22"/>
          <w:szCs w:val="22"/>
        </w:rPr>
        <w:t xml:space="preserve">. Even though </w:t>
      </w:r>
      <w:r w:rsidR="00833D58">
        <w:rPr>
          <w:sz w:val="22"/>
          <w:szCs w:val="22"/>
        </w:rPr>
        <w:t xml:space="preserve">the </w:t>
      </w:r>
      <w:r w:rsidRPr="00047F4D">
        <w:rPr>
          <w:sz w:val="22"/>
          <w:szCs w:val="22"/>
        </w:rPr>
        <w:t xml:space="preserve">export volume index </w:t>
      </w:r>
      <w:r w:rsidR="00833D58">
        <w:rPr>
          <w:sz w:val="22"/>
          <w:szCs w:val="22"/>
        </w:rPr>
        <w:t xml:space="preserve">had </w:t>
      </w:r>
      <w:r w:rsidRPr="00047F4D">
        <w:rPr>
          <w:sz w:val="22"/>
          <w:szCs w:val="22"/>
        </w:rPr>
        <w:t xml:space="preserve">declined by 2 percent in the last quarter of 2012 compared to the third quarter, in the same period </w:t>
      </w:r>
      <w:r w:rsidR="00833D58">
        <w:rPr>
          <w:sz w:val="22"/>
          <w:szCs w:val="22"/>
        </w:rPr>
        <w:t xml:space="preserve">total </w:t>
      </w:r>
      <w:r w:rsidRPr="00047F4D">
        <w:rPr>
          <w:sz w:val="22"/>
          <w:szCs w:val="22"/>
        </w:rPr>
        <w:t>exports</w:t>
      </w:r>
      <w:r w:rsidR="00833D58">
        <w:rPr>
          <w:sz w:val="22"/>
          <w:szCs w:val="22"/>
        </w:rPr>
        <w:t xml:space="preserve"> of goods and services in GDP accounts</w:t>
      </w:r>
      <w:r w:rsidRPr="00047F4D">
        <w:rPr>
          <w:sz w:val="22"/>
          <w:szCs w:val="22"/>
        </w:rPr>
        <w:t xml:space="preserve"> increased and contributed positively to GDP growth. This su</w:t>
      </w:r>
      <w:r>
        <w:rPr>
          <w:sz w:val="22"/>
          <w:szCs w:val="22"/>
        </w:rPr>
        <w:t>r</w:t>
      </w:r>
      <w:r w:rsidRPr="00047F4D">
        <w:rPr>
          <w:sz w:val="22"/>
          <w:szCs w:val="22"/>
        </w:rPr>
        <w:t>prising development cause</w:t>
      </w:r>
      <w:r>
        <w:rPr>
          <w:sz w:val="22"/>
          <w:szCs w:val="22"/>
        </w:rPr>
        <w:t>d</w:t>
      </w:r>
      <w:r w:rsidRPr="00047F4D">
        <w:rPr>
          <w:sz w:val="22"/>
          <w:szCs w:val="22"/>
        </w:rPr>
        <w:t xml:space="preserve"> us to forecast the direction of </w:t>
      </w:r>
      <w:r>
        <w:rPr>
          <w:sz w:val="22"/>
          <w:szCs w:val="22"/>
        </w:rPr>
        <w:t xml:space="preserve">the contribution of </w:t>
      </w:r>
      <w:r w:rsidRPr="00047F4D">
        <w:rPr>
          <w:sz w:val="22"/>
          <w:szCs w:val="22"/>
        </w:rPr>
        <w:t xml:space="preserve">net exports wrong. </w:t>
      </w:r>
      <w:r w:rsidRPr="005C60D5">
        <w:rPr>
          <w:sz w:val="22"/>
          <w:szCs w:val="22"/>
        </w:rPr>
        <w:t>On the other hand, we expect that the general trend doesn’t change and net exports in national accounts will move in the same direction as volume indices.</w:t>
      </w:r>
      <w:r w:rsidRPr="00047F4D">
        <w:rPr>
          <w:sz w:val="22"/>
          <w:szCs w:val="22"/>
        </w:rPr>
        <w:t xml:space="preserve"> </w:t>
      </w:r>
      <w:r w:rsidR="00833D58">
        <w:rPr>
          <w:sz w:val="22"/>
          <w:szCs w:val="22"/>
        </w:rPr>
        <w:t>In the first quarter, t</w:t>
      </w:r>
      <w:r w:rsidRPr="00047F4D">
        <w:rPr>
          <w:sz w:val="22"/>
          <w:szCs w:val="22"/>
        </w:rPr>
        <w:t>he divergence between export and import volume indices is getting larger</w:t>
      </w:r>
      <w:r w:rsidR="00833D58">
        <w:rPr>
          <w:sz w:val="22"/>
          <w:szCs w:val="22"/>
        </w:rPr>
        <w:t xml:space="preserve"> as imports increase.</w:t>
      </w:r>
      <w:r w:rsidRPr="00047F4D">
        <w:rPr>
          <w:sz w:val="22"/>
          <w:szCs w:val="22"/>
        </w:rPr>
        <w:t xml:space="preserve"> Therefore, we expect net exports</w:t>
      </w:r>
      <w:r>
        <w:rPr>
          <w:sz w:val="22"/>
          <w:szCs w:val="22"/>
        </w:rPr>
        <w:t xml:space="preserve"> to</w:t>
      </w:r>
      <w:r w:rsidRPr="00047F4D">
        <w:rPr>
          <w:sz w:val="22"/>
          <w:szCs w:val="22"/>
        </w:rPr>
        <w:t xml:space="preserve"> subtract from GDP growth in the first quarter.       </w:t>
      </w:r>
    </w:p>
    <w:p w:rsidR="00F91693" w:rsidRPr="00047F4D" w:rsidRDefault="00F91693" w:rsidP="00F91693">
      <w:pPr>
        <w:spacing w:line="360" w:lineRule="auto"/>
        <w:ind w:right="42"/>
        <w:jc w:val="both"/>
        <w:rPr>
          <w:sz w:val="22"/>
          <w:szCs w:val="22"/>
        </w:rPr>
      </w:pPr>
    </w:p>
    <w:p w:rsidR="00F91693" w:rsidRPr="00047F4D" w:rsidRDefault="00F91693" w:rsidP="00F91693">
      <w:pPr>
        <w:spacing w:line="360" w:lineRule="auto"/>
        <w:ind w:right="42"/>
        <w:jc w:val="center"/>
        <w:rPr>
          <w:b/>
          <w:bCs/>
          <w:sz w:val="22"/>
          <w:szCs w:val="22"/>
        </w:rPr>
      </w:pPr>
      <w:r w:rsidRPr="00047F4D">
        <w:rPr>
          <w:b/>
          <w:bCs/>
          <w:sz w:val="22"/>
          <w:szCs w:val="22"/>
        </w:rPr>
        <w:t>The current account deficit increased in February</w:t>
      </w:r>
    </w:p>
    <w:p w:rsidR="00F91693" w:rsidRPr="00047F4D" w:rsidRDefault="00F91693" w:rsidP="00F91693">
      <w:pPr>
        <w:spacing w:line="360" w:lineRule="auto"/>
        <w:ind w:right="42"/>
        <w:jc w:val="center"/>
        <w:rPr>
          <w:b/>
          <w:bCs/>
          <w:sz w:val="22"/>
          <w:szCs w:val="22"/>
        </w:rPr>
      </w:pPr>
    </w:p>
    <w:p w:rsidR="00CC6200" w:rsidRDefault="00F91693" w:rsidP="00F91693">
      <w:pPr>
        <w:spacing w:line="360" w:lineRule="auto"/>
        <w:ind w:left="-360" w:right="42"/>
        <w:jc w:val="both"/>
        <w:rPr>
          <w:sz w:val="22"/>
          <w:szCs w:val="22"/>
        </w:rPr>
      </w:pPr>
      <w:r w:rsidRPr="00047F4D">
        <w:rPr>
          <w:sz w:val="22"/>
          <w:szCs w:val="22"/>
        </w:rPr>
        <w:t>In January, the trade deficit increased slightly</w:t>
      </w:r>
      <w:r w:rsidR="00EF4259">
        <w:rPr>
          <w:sz w:val="22"/>
          <w:szCs w:val="22"/>
        </w:rPr>
        <w:t>, $0,2 billion</w:t>
      </w:r>
      <w:r w:rsidRPr="00047F4D">
        <w:rPr>
          <w:sz w:val="22"/>
          <w:szCs w:val="22"/>
        </w:rPr>
        <w:t xml:space="preserve"> and the current account deficit</w:t>
      </w:r>
      <w:r w:rsidR="00496378">
        <w:rPr>
          <w:sz w:val="22"/>
          <w:szCs w:val="22"/>
        </w:rPr>
        <w:t xml:space="preserve"> </w:t>
      </w:r>
      <w:r w:rsidRPr="00047F4D">
        <w:rPr>
          <w:sz w:val="22"/>
          <w:szCs w:val="22"/>
        </w:rPr>
        <w:t xml:space="preserve">stayed </w:t>
      </w:r>
      <w:r w:rsidR="00EF4259">
        <w:rPr>
          <w:sz w:val="22"/>
          <w:szCs w:val="22"/>
        </w:rPr>
        <w:t xml:space="preserve">almost </w:t>
      </w:r>
      <w:r>
        <w:rPr>
          <w:sz w:val="22"/>
          <w:szCs w:val="22"/>
        </w:rPr>
        <w:t>at</w:t>
      </w:r>
      <w:r w:rsidRPr="00047F4D">
        <w:rPr>
          <w:sz w:val="22"/>
          <w:szCs w:val="22"/>
        </w:rPr>
        <w:t xml:space="preserve"> the same level compared to the same month of the previous year. In February, the current account deficit increased by </w:t>
      </w:r>
      <w:r w:rsidR="00F57527">
        <w:rPr>
          <w:sz w:val="22"/>
          <w:szCs w:val="22"/>
        </w:rPr>
        <w:t>$</w:t>
      </w:r>
      <w:r w:rsidRPr="00047F4D">
        <w:rPr>
          <w:sz w:val="22"/>
          <w:szCs w:val="22"/>
        </w:rPr>
        <w:t>1 billion</w:t>
      </w:r>
      <w:r w:rsidR="00C34B55">
        <w:rPr>
          <w:sz w:val="22"/>
          <w:szCs w:val="22"/>
        </w:rPr>
        <w:t xml:space="preserve"> over the same month of the previous year</w:t>
      </w:r>
      <w:r w:rsidRPr="00047F4D">
        <w:rPr>
          <w:sz w:val="22"/>
          <w:szCs w:val="22"/>
        </w:rPr>
        <w:t>.</w:t>
      </w:r>
      <w:r>
        <w:rPr>
          <w:sz w:val="22"/>
          <w:szCs w:val="22"/>
        </w:rPr>
        <w:t xml:space="preserve"> </w:t>
      </w:r>
      <w:r w:rsidRPr="00047F4D">
        <w:rPr>
          <w:sz w:val="22"/>
          <w:szCs w:val="22"/>
        </w:rPr>
        <w:t xml:space="preserve">The 12-month </w:t>
      </w:r>
      <w:r w:rsidR="00985B72">
        <w:rPr>
          <w:sz w:val="22"/>
          <w:szCs w:val="22"/>
        </w:rPr>
        <w:t>total current account deficit</w:t>
      </w:r>
      <w:r w:rsidRPr="00047F4D">
        <w:rPr>
          <w:sz w:val="22"/>
          <w:szCs w:val="22"/>
        </w:rPr>
        <w:t xml:space="preserve"> increased significantly</w:t>
      </w:r>
      <w:r>
        <w:rPr>
          <w:sz w:val="22"/>
          <w:szCs w:val="22"/>
        </w:rPr>
        <w:t xml:space="preserve"> for the</w:t>
      </w:r>
      <w:r w:rsidRPr="00047F4D">
        <w:rPr>
          <w:sz w:val="22"/>
          <w:szCs w:val="22"/>
        </w:rPr>
        <w:t xml:space="preserve"> first time since October</w:t>
      </w:r>
      <w:r>
        <w:rPr>
          <w:sz w:val="22"/>
          <w:szCs w:val="22"/>
        </w:rPr>
        <w:t xml:space="preserve"> 2011</w:t>
      </w:r>
      <w:r w:rsidRPr="00047F4D">
        <w:rPr>
          <w:sz w:val="22"/>
          <w:szCs w:val="22"/>
        </w:rPr>
        <w:t xml:space="preserve">. </w:t>
      </w:r>
      <w:r w:rsidRPr="00047F4D">
        <w:rPr>
          <w:sz w:val="22"/>
          <w:szCs w:val="22"/>
        </w:rPr>
        <w:lastRenderedPageBreak/>
        <w:t>The 12-month current account deficit</w:t>
      </w:r>
      <w:r w:rsidR="00CC6200">
        <w:rPr>
          <w:sz w:val="22"/>
          <w:szCs w:val="22"/>
        </w:rPr>
        <w:t>,</w:t>
      </w:r>
      <w:r w:rsidRPr="00047F4D">
        <w:rPr>
          <w:sz w:val="22"/>
          <w:szCs w:val="22"/>
        </w:rPr>
        <w:t xml:space="preserve"> which was 47.6 billion dollar</w:t>
      </w:r>
      <w:r>
        <w:rPr>
          <w:sz w:val="22"/>
          <w:szCs w:val="22"/>
        </w:rPr>
        <w:t xml:space="preserve"> at the end of January</w:t>
      </w:r>
      <w:r w:rsidR="00CC6200">
        <w:rPr>
          <w:sz w:val="22"/>
          <w:szCs w:val="22"/>
        </w:rPr>
        <w:t>,</w:t>
      </w:r>
      <w:r w:rsidRPr="00047F4D">
        <w:rPr>
          <w:sz w:val="22"/>
          <w:szCs w:val="22"/>
        </w:rPr>
        <w:t xml:space="preserve"> increased to </w:t>
      </w:r>
      <w:r w:rsidR="00CC6200">
        <w:rPr>
          <w:sz w:val="22"/>
          <w:szCs w:val="22"/>
        </w:rPr>
        <w:t>$</w:t>
      </w:r>
      <w:r w:rsidRPr="00047F4D">
        <w:rPr>
          <w:sz w:val="22"/>
          <w:szCs w:val="22"/>
        </w:rPr>
        <w:t>48.4 billion</w:t>
      </w:r>
      <w:r>
        <w:rPr>
          <w:sz w:val="22"/>
          <w:szCs w:val="22"/>
        </w:rPr>
        <w:t xml:space="preserve"> at the end of February</w:t>
      </w:r>
      <w:r w:rsidRPr="00047F4D">
        <w:rPr>
          <w:sz w:val="22"/>
          <w:szCs w:val="22"/>
        </w:rPr>
        <w:t xml:space="preserve">. </w:t>
      </w:r>
      <w:r w:rsidR="00CC6200">
        <w:rPr>
          <w:sz w:val="22"/>
          <w:szCs w:val="22"/>
        </w:rPr>
        <w:t>In</w:t>
      </w:r>
      <w:r w:rsidR="00CC6200" w:rsidRPr="00047F4D">
        <w:rPr>
          <w:sz w:val="22"/>
          <w:szCs w:val="22"/>
        </w:rPr>
        <w:t xml:space="preserve"> </w:t>
      </w:r>
      <w:r w:rsidR="006B6F5B">
        <w:rPr>
          <w:sz w:val="22"/>
          <w:szCs w:val="22"/>
        </w:rPr>
        <w:t>2013, so far</w:t>
      </w:r>
      <w:r w:rsidR="00CC6200" w:rsidRPr="00047F4D">
        <w:rPr>
          <w:sz w:val="22"/>
          <w:szCs w:val="22"/>
        </w:rPr>
        <w:t>, gold trade</w:t>
      </w:r>
      <w:r w:rsidR="00CC6200">
        <w:rPr>
          <w:sz w:val="22"/>
          <w:szCs w:val="22"/>
        </w:rPr>
        <w:t xml:space="preserve"> </w:t>
      </w:r>
      <w:r w:rsidR="006B6F5B">
        <w:rPr>
          <w:sz w:val="22"/>
          <w:szCs w:val="22"/>
        </w:rPr>
        <w:t>i</w:t>
      </w:r>
      <w:r w:rsidR="00CC6200">
        <w:rPr>
          <w:sz w:val="22"/>
          <w:szCs w:val="22"/>
        </w:rPr>
        <w:t xml:space="preserve">s not as effective on trade figures as it was in 2012. Net export of gold </w:t>
      </w:r>
      <w:r w:rsidR="006B6F5B">
        <w:rPr>
          <w:sz w:val="22"/>
          <w:szCs w:val="22"/>
        </w:rPr>
        <w:t xml:space="preserve">in February </w:t>
      </w:r>
      <w:r w:rsidR="00CC6200">
        <w:rPr>
          <w:sz w:val="22"/>
          <w:szCs w:val="22"/>
        </w:rPr>
        <w:t xml:space="preserve">was negative and </w:t>
      </w:r>
      <w:r w:rsidR="00CC6200" w:rsidRPr="00047F4D">
        <w:rPr>
          <w:sz w:val="22"/>
          <w:szCs w:val="22"/>
        </w:rPr>
        <w:t>increased</w:t>
      </w:r>
      <w:r w:rsidR="00CC6200">
        <w:rPr>
          <w:sz w:val="22"/>
          <w:szCs w:val="22"/>
        </w:rPr>
        <w:t xml:space="preserve"> the</w:t>
      </w:r>
      <w:r w:rsidR="00CC6200" w:rsidRPr="00047F4D">
        <w:rPr>
          <w:sz w:val="22"/>
          <w:szCs w:val="22"/>
        </w:rPr>
        <w:t xml:space="preserve"> trade deficit by </w:t>
      </w:r>
      <w:r w:rsidR="00CC6200">
        <w:rPr>
          <w:sz w:val="22"/>
          <w:szCs w:val="22"/>
        </w:rPr>
        <w:t>$</w:t>
      </w:r>
      <w:r w:rsidR="00CC6200" w:rsidRPr="00047F4D">
        <w:rPr>
          <w:sz w:val="22"/>
          <w:szCs w:val="22"/>
        </w:rPr>
        <w:t xml:space="preserve">0.5 billion.  </w:t>
      </w:r>
    </w:p>
    <w:p w:rsidR="00CC6200" w:rsidRDefault="00CC6200" w:rsidP="00F91693">
      <w:pPr>
        <w:spacing w:line="360" w:lineRule="auto"/>
        <w:ind w:left="-360" w:right="42"/>
        <w:jc w:val="both"/>
        <w:rPr>
          <w:sz w:val="22"/>
          <w:szCs w:val="22"/>
        </w:rPr>
      </w:pPr>
    </w:p>
    <w:p w:rsidR="00F91693" w:rsidRPr="00047F4D" w:rsidRDefault="00F91693" w:rsidP="00F91693">
      <w:pPr>
        <w:spacing w:line="360" w:lineRule="auto"/>
        <w:ind w:left="-360" w:right="42"/>
        <w:jc w:val="both"/>
        <w:rPr>
          <w:sz w:val="22"/>
          <w:szCs w:val="22"/>
        </w:rPr>
      </w:pPr>
      <w:r w:rsidRPr="00047F4D">
        <w:rPr>
          <w:sz w:val="22"/>
          <w:szCs w:val="22"/>
        </w:rPr>
        <w:t>Betam expects that th</w:t>
      </w:r>
      <w:r w:rsidR="00A8069D">
        <w:rPr>
          <w:sz w:val="22"/>
          <w:szCs w:val="22"/>
        </w:rPr>
        <w:t>e current account deficit to</w:t>
      </w:r>
      <w:r w:rsidRPr="00047F4D">
        <w:rPr>
          <w:sz w:val="22"/>
          <w:szCs w:val="22"/>
        </w:rPr>
        <w:t xml:space="preserve"> GDP ratio</w:t>
      </w:r>
      <w:r w:rsidR="00A8069D">
        <w:rPr>
          <w:sz w:val="22"/>
          <w:szCs w:val="22"/>
        </w:rPr>
        <w:t>,</w:t>
      </w:r>
      <w:r w:rsidRPr="00047F4D">
        <w:rPr>
          <w:sz w:val="22"/>
          <w:szCs w:val="22"/>
        </w:rPr>
        <w:t xml:space="preserve"> which was 6 percent at the end of 2012</w:t>
      </w:r>
      <w:r w:rsidR="00A8069D">
        <w:rPr>
          <w:sz w:val="22"/>
          <w:szCs w:val="22"/>
        </w:rPr>
        <w:t>,</w:t>
      </w:r>
      <w:r w:rsidRPr="00047F4D">
        <w:rPr>
          <w:sz w:val="22"/>
          <w:szCs w:val="22"/>
        </w:rPr>
        <w:t xml:space="preserve"> to remain</w:t>
      </w:r>
      <w:r>
        <w:rPr>
          <w:sz w:val="22"/>
          <w:szCs w:val="22"/>
        </w:rPr>
        <w:t xml:space="preserve"> at the</w:t>
      </w:r>
      <w:r w:rsidRPr="00047F4D">
        <w:rPr>
          <w:sz w:val="22"/>
          <w:szCs w:val="22"/>
        </w:rPr>
        <w:t xml:space="preserve"> same</w:t>
      </w:r>
      <w:r>
        <w:rPr>
          <w:sz w:val="22"/>
          <w:szCs w:val="22"/>
        </w:rPr>
        <w:t xml:space="preserve"> level</w:t>
      </w:r>
      <w:r w:rsidRPr="00047F4D">
        <w:rPr>
          <w:sz w:val="22"/>
          <w:szCs w:val="22"/>
        </w:rPr>
        <w:t xml:space="preserve"> at the end of the first quarter.</w:t>
      </w:r>
      <w:r>
        <w:rPr>
          <w:sz w:val="22"/>
          <w:szCs w:val="22"/>
        </w:rPr>
        <w:t xml:space="preserve"> </w:t>
      </w:r>
      <w:r w:rsidRPr="00047F4D">
        <w:rPr>
          <w:sz w:val="22"/>
          <w:szCs w:val="22"/>
        </w:rPr>
        <w:t>However</w:t>
      </w:r>
      <w:r w:rsidR="00A8069D">
        <w:rPr>
          <w:sz w:val="22"/>
          <w:szCs w:val="22"/>
        </w:rPr>
        <w:t>,</w:t>
      </w:r>
      <w:r w:rsidRPr="00047F4D">
        <w:rPr>
          <w:sz w:val="22"/>
          <w:szCs w:val="22"/>
        </w:rPr>
        <w:t xml:space="preserve"> if imports continue to </w:t>
      </w:r>
      <w:r w:rsidR="00A8069D">
        <w:rPr>
          <w:sz w:val="22"/>
          <w:szCs w:val="22"/>
        </w:rPr>
        <w:t>increase</w:t>
      </w:r>
      <w:r w:rsidRPr="00047F4D">
        <w:rPr>
          <w:sz w:val="22"/>
          <w:szCs w:val="22"/>
        </w:rPr>
        <w:t xml:space="preserve"> in March, the current account </w:t>
      </w:r>
      <w:r w:rsidR="00A8069D">
        <w:rPr>
          <w:sz w:val="22"/>
          <w:szCs w:val="22"/>
        </w:rPr>
        <w:t>deficit might</w:t>
      </w:r>
      <w:r w:rsidRPr="00047F4D">
        <w:rPr>
          <w:sz w:val="22"/>
          <w:szCs w:val="22"/>
        </w:rPr>
        <w:t xml:space="preserve"> increase</w:t>
      </w:r>
      <w:r w:rsidR="00A8069D">
        <w:rPr>
          <w:sz w:val="22"/>
          <w:szCs w:val="22"/>
        </w:rPr>
        <w:t xml:space="preserve"> further and push the ratio up as well.</w:t>
      </w:r>
      <w:r w:rsidRPr="00047F4D">
        <w:rPr>
          <w:sz w:val="22"/>
          <w:szCs w:val="22"/>
        </w:rPr>
        <w:t xml:space="preserve"> </w:t>
      </w:r>
    </w:p>
    <w:p w:rsidR="006E2D48" w:rsidRPr="002F56EC" w:rsidRDefault="002F56EC" w:rsidP="00F91693">
      <w:pPr>
        <w:ind w:left="-360"/>
        <w:jc w:val="center"/>
        <w:rPr>
          <w:sz w:val="22"/>
          <w:szCs w:val="22"/>
        </w:rPr>
        <w:sectPr w:rsidR="006E2D48" w:rsidRPr="002F56EC" w:rsidSect="00523C58">
          <w:type w:val="continuous"/>
          <w:pgSz w:w="11906" w:h="16838"/>
          <w:pgMar w:top="1417" w:right="1417" w:bottom="1417" w:left="1417" w:header="708" w:footer="708" w:gutter="0"/>
          <w:cols w:num="2" w:space="708" w:equalWidth="0">
            <w:col w:w="4182" w:space="708"/>
            <w:col w:w="4182"/>
          </w:cols>
          <w:docGrid w:linePitch="360"/>
        </w:sectPr>
      </w:pPr>
      <w:r w:rsidRPr="000A4DA1">
        <w:rPr>
          <w:sz w:val="22"/>
          <w:szCs w:val="22"/>
        </w:rPr>
        <w:t xml:space="preserve">  </w:t>
      </w:r>
      <w:r w:rsidR="00AE7542" w:rsidRPr="00B320C7">
        <w:rPr>
          <w:sz w:val="22"/>
          <w:szCs w:val="22"/>
        </w:rPr>
        <w:br w:type="column"/>
      </w:r>
    </w:p>
    <w:p w:rsidR="008C6E50" w:rsidRPr="00B320C7" w:rsidRDefault="00E823E8" w:rsidP="00801493">
      <w:pPr>
        <w:spacing w:line="360" w:lineRule="auto"/>
        <w:ind w:right="42"/>
        <w:jc w:val="both"/>
        <w:rPr>
          <w:rFonts w:ascii="Arial" w:hAnsi="Arial" w:cs="Arial"/>
          <w:sz w:val="20"/>
          <w:szCs w:val="20"/>
        </w:rPr>
      </w:pPr>
      <w:r w:rsidRPr="00B320C7">
        <w:rPr>
          <w:rFonts w:ascii="Arial" w:hAnsi="Arial" w:cs="Arial"/>
          <w:b/>
          <w:sz w:val="20"/>
          <w:szCs w:val="20"/>
        </w:rPr>
        <w:lastRenderedPageBreak/>
        <w:t>Table</w:t>
      </w:r>
      <w:r w:rsidR="00451918">
        <w:rPr>
          <w:rFonts w:ascii="Arial" w:hAnsi="Arial" w:cs="Arial"/>
          <w:b/>
          <w:sz w:val="20"/>
          <w:szCs w:val="20"/>
        </w:rPr>
        <w:t xml:space="preserve"> 2: </w:t>
      </w:r>
      <w:r w:rsidRPr="00B320C7">
        <w:rPr>
          <w:rFonts w:ascii="Arial" w:hAnsi="Arial" w:cs="Arial"/>
          <w:b/>
          <w:sz w:val="20"/>
          <w:szCs w:val="20"/>
        </w:rPr>
        <w:t xml:space="preserve">Monthly and quarterly changes of Betam’s selected indicators (real </w:t>
      </w:r>
      <w:r w:rsidR="00455777" w:rsidRPr="00B320C7">
        <w:rPr>
          <w:rFonts w:ascii="Arial" w:hAnsi="Arial" w:cs="Arial"/>
          <w:b/>
          <w:sz w:val="20"/>
          <w:szCs w:val="20"/>
        </w:rPr>
        <w:t>and</w:t>
      </w:r>
      <w:r w:rsidR="005B2CF3">
        <w:rPr>
          <w:rFonts w:ascii="Arial" w:hAnsi="Arial" w:cs="Arial"/>
          <w:b/>
          <w:sz w:val="20"/>
          <w:szCs w:val="20"/>
        </w:rPr>
        <w:t xml:space="preserve"> </w:t>
      </w:r>
      <w:r w:rsidRPr="00B320C7">
        <w:rPr>
          <w:rFonts w:ascii="Arial" w:hAnsi="Arial" w:cs="Arial"/>
          <w:b/>
          <w:sz w:val="20"/>
          <w:szCs w:val="20"/>
        </w:rPr>
        <w:t>sa</w:t>
      </w:r>
      <w:r w:rsidR="008C6E50" w:rsidRPr="00B320C7">
        <w:rPr>
          <w:rFonts w:ascii="Arial" w:hAnsi="Arial" w:cs="Arial"/>
          <w:b/>
          <w:sz w:val="20"/>
          <w:szCs w:val="20"/>
        </w:rPr>
        <w:t>)</w:t>
      </w:r>
    </w:p>
    <w:p w:rsidR="008C6E50" w:rsidRPr="00B320C7" w:rsidRDefault="008C6E50" w:rsidP="001E4BF5">
      <w:pPr>
        <w:spacing w:line="360" w:lineRule="auto"/>
        <w:ind w:left="-360" w:right="42"/>
        <w:jc w:val="both"/>
        <w:rPr>
          <w:rFonts w:ascii="Arial" w:hAnsi="Arial" w:cs="Arial"/>
          <w:sz w:val="20"/>
          <w:szCs w:val="20"/>
        </w:rPr>
        <w:sectPr w:rsidR="008C6E50" w:rsidRPr="00B320C7" w:rsidSect="0075074A">
          <w:type w:val="continuous"/>
          <w:pgSz w:w="11906" w:h="16838"/>
          <w:pgMar w:top="1417" w:right="1417" w:bottom="1417" w:left="1417" w:header="708" w:footer="708" w:gutter="0"/>
          <w:cols w:space="708"/>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1260"/>
        <w:gridCol w:w="1125"/>
        <w:gridCol w:w="1192"/>
        <w:gridCol w:w="1193"/>
        <w:gridCol w:w="1035"/>
        <w:gridCol w:w="1035"/>
      </w:tblGrid>
      <w:tr w:rsidR="00F91693" w:rsidRPr="00047F4D" w:rsidTr="00F91693">
        <w:trPr>
          <w:trHeight w:val="607"/>
        </w:trPr>
        <w:tc>
          <w:tcPr>
            <w:tcW w:w="3420" w:type="dxa"/>
            <w:vAlign w:val="center"/>
          </w:tcPr>
          <w:p w:rsidR="00F91693" w:rsidRPr="00F91693" w:rsidRDefault="00F91693" w:rsidP="00BB0703">
            <w:pPr>
              <w:ind w:right="42"/>
              <w:jc w:val="center"/>
              <w:rPr>
                <w:b/>
                <w:bCs/>
              </w:rPr>
            </w:pPr>
            <w:r w:rsidRPr="00F91693">
              <w:rPr>
                <w:b/>
                <w:bCs/>
                <w:sz w:val="22"/>
                <w:szCs w:val="22"/>
              </w:rPr>
              <w:lastRenderedPageBreak/>
              <w:t>Economic Indicators</w:t>
            </w:r>
          </w:p>
        </w:tc>
        <w:tc>
          <w:tcPr>
            <w:tcW w:w="1260" w:type="dxa"/>
            <w:vAlign w:val="center"/>
          </w:tcPr>
          <w:p w:rsidR="00F91693" w:rsidRPr="00F91693" w:rsidRDefault="00F91693" w:rsidP="00BB0703">
            <w:pPr>
              <w:ind w:right="42"/>
              <w:jc w:val="center"/>
              <w:rPr>
                <w:b/>
                <w:bCs/>
              </w:rPr>
            </w:pPr>
            <w:r w:rsidRPr="00F91693">
              <w:rPr>
                <w:b/>
                <w:bCs/>
                <w:sz w:val="22"/>
                <w:szCs w:val="22"/>
              </w:rPr>
              <w:t>December</w:t>
            </w:r>
          </w:p>
        </w:tc>
        <w:tc>
          <w:tcPr>
            <w:tcW w:w="1125" w:type="dxa"/>
            <w:vAlign w:val="center"/>
          </w:tcPr>
          <w:p w:rsidR="00F91693" w:rsidRPr="00F91693" w:rsidRDefault="00F91693" w:rsidP="00BB0703">
            <w:pPr>
              <w:ind w:right="42"/>
              <w:jc w:val="center"/>
              <w:rPr>
                <w:b/>
                <w:bCs/>
              </w:rPr>
            </w:pPr>
            <w:r w:rsidRPr="00F91693">
              <w:rPr>
                <w:b/>
                <w:bCs/>
                <w:sz w:val="22"/>
                <w:szCs w:val="22"/>
              </w:rPr>
              <w:t>January</w:t>
            </w:r>
          </w:p>
        </w:tc>
        <w:tc>
          <w:tcPr>
            <w:tcW w:w="1192" w:type="dxa"/>
            <w:vAlign w:val="center"/>
          </w:tcPr>
          <w:p w:rsidR="00F91693" w:rsidRPr="00F91693" w:rsidRDefault="00F91693" w:rsidP="00BB0703">
            <w:pPr>
              <w:ind w:right="42"/>
              <w:jc w:val="center"/>
              <w:rPr>
                <w:b/>
                <w:bCs/>
              </w:rPr>
            </w:pPr>
            <w:r w:rsidRPr="00F91693">
              <w:rPr>
                <w:b/>
                <w:bCs/>
                <w:sz w:val="22"/>
                <w:szCs w:val="22"/>
              </w:rPr>
              <w:t>February</w:t>
            </w:r>
          </w:p>
        </w:tc>
        <w:tc>
          <w:tcPr>
            <w:tcW w:w="1193" w:type="dxa"/>
            <w:tcBorders>
              <w:right w:val="double" w:sz="4" w:space="0" w:color="auto"/>
            </w:tcBorders>
            <w:vAlign w:val="center"/>
          </w:tcPr>
          <w:p w:rsidR="00F91693" w:rsidRPr="00F91693" w:rsidRDefault="00F91693" w:rsidP="00BB0703">
            <w:pPr>
              <w:ind w:right="42"/>
              <w:jc w:val="center"/>
              <w:rPr>
                <w:b/>
                <w:bCs/>
              </w:rPr>
            </w:pPr>
            <w:r w:rsidRPr="00F91693">
              <w:rPr>
                <w:b/>
                <w:bCs/>
                <w:sz w:val="22"/>
                <w:szCs w:val="22"/>
              </w:rPr>
              <w:t>March</w:t>
            </w:r>
          </w:p>
        </w:tc>
        <w:tc>
          <w:tcPr>
            <w:tcW w:w="1035" w:type="dxa"/>
            <w:tcBorders>
              <w:left w:val="double" w:sz="4" w:space="0" w:color="auto"/>
            </w:tcBorders>
            <w:vAlign w:val="center"/>
          </w:tcPr>
          <w:p w:rsidR="00F91693" w:rsidRPr="00F91693" w:rsidRDefault="00F91693" w:rsidP="00BB0703">
            <w:pPr>
              <w:ind w:right="42"/>
              <w:jc w:val="center"/>
              <w:rPr>
                <w:b/>
                <w:bCs/>
              </w:rPr>
            </w:pPr>
            <w:r w:rsidRPr="00F91693">
              <w:rPr>
                <w:b/>
                <w:bCs/>
                <w:sz w:val="22"/>
                <w:szCs w:val="22"/>
              </w:rPr>
              <w:t>2012 4</w:t>
            </w:r>
            <w:r w:rsidRPr="00F91693">
              <w:rPr>
                <w:b/>
                <w:bCs/>
                <w:sz w:val="22"/>
                <w:szCs w:val="22"/>
                <w:vertAlign w:val="superscript"/>
              </w:rPr>
              <w:t>th</w:t>
            </w:r>
            <w:r w:rsidRPr="00F91693">
              <w:rPr>
                <w:b/>
                <w:bCs/>
                <w:sz w:val="22"/>
                <w:szCs w:val="22"/>
              </w:rPr>
              <w:t xml:space="preserve"> Quarter</w:t>
            </w:r>
          </w:p>
        </w:tc>
        <w:tc>
          <w:tcPr>
            <w:tcW w:w="1035" w:type="dxa"/>
            <w:vAlign w:val="center"/>
          </w:tcPr>
          <w:p w:rsidR="00F91693" w:rsidRPr="00F91693" w:rsidRDefault="00F91693" w:rsidP="00BB0703">
            <w:pPr>
              <w:ind w:right="42"/>
              <w:jc w:val="center"/>
              <w:rPr>
                <w:b/>
                <w:bCs/>
              </w:rPr>
            </w:pPr>
            <w:r w:rsidRPr="00F91693">
              <w:rPr>
                <w:b/>
                <w:bCs/>
                <w:sz w:val="22"/>
                <w:szCs w:val="22"/>
              </w:rPr>
              <w:t>2013 1</w:t>
            </w:r>
            <w:r w:rsidRPr="00F91693">
              <w:rPr>
                <w:b/>
                <w:bCs/>
                <w:sz w:val="22"/>
                <w:szCs w:val="22"/>
                <w:vertAlign w:val="superscript"/>
              </w:rPr>
              <w:t>st</w:t>
            </w:r>
            <w:r w:rsidRPr="00F91693">
              <w:rPr>
                <w:b/>
                <w:bCs/>
                <w:sz w:val="22"/>
                <w:szCs w:val="22"/>
              </w:rPr>
              <w:t xml:space="preserve"> Quarter</w:t>
            </w:r>
          </w:p>
        </w:tc>
      </w:tr>
      <w:tr w:rsidR="00F91693" w:rsidRPr="00047F4D" w:rsidTr="00F91693">
        <w:trPr>
          <w:trHeight w:val="370"/>
        </w:trPr>
        <w:tc>
          <w:tcPr>
            <w:tcW w:w="3420" w:type="dxa"/>
            <w:vAlign w:val="bottom"/>
          </w:tcPr>
          <w:p w:rsidR="00F91693" w:rsidRPr="00F91693" w:rsidRDefault="00F91693" w:rsidP="00BB0703">
            <w:pPr>
              <w:spacing w:line="288" w:lineRule="auto"/>
              <w:ind w:right="77"/>
              <w:rPr>
                <w:b/>
                <w:sz w:val="20"/>
                <w:szCs w:val="20"/>
              </w:rPr>
            </w:pPr>
            <w:r w:rsidRPr="00F91693">
              <w:rPr>
                <w:b/>
                <w:sz w:val="20"/>
                <w:szCs w:val="20"/>
              </w:rPr>
              <w:t>Exports</w:t>
            </w:r>
          </w:p>
        </w:tc>
        <w:tc>
          <w:tcPr>
            <w:tcW w:w="1260" w:type="dxa"/>
            <w:vAlign w:val="center"/>
          </w:tcPr>
          <w:p w:rsidR="00F91693" w:rsidRPr="00F91693" w:rsidRDefault="00F91693" w:rsidP="00BB0703">
            <w:pPr>
              <w:ind w:right="42"/>
              <w:jc w:val="center"/>
              <w:rPr>
                <w:b/>
                <w:bCs/>
              </w:rPr>
            </w:pPr>
            <w:r w:rsidRPr="00F91693">
              <w:rPr>
                <w:b/>
                <w:bCs/>
                <w:sz w:val="22"/>
                <w:szCs w:val="22"/>
              </w:rPr>
              <w:t>-4</w:t>
            </w:r>
            <w:r w:rsidR="002058EC">
              <w:rPr>
                <w:b/>
                <w:bCs/>
                <w:sz w:val="22"/>
                <w:szCs w:val="22"/>
              </w:rPr>
              <w:t>.</w:t>
            </w:r>
            <w:r w:rsidRPr="00F91693">
              <w:rPr>
                <w:b/>
                <w:bCs/>
                <w:sz w:val="22"/>
                <w:szCs w:val="22"/>
              </w:rPr>
              <w:t>1</w:t>
            </w:r>
          </w:p>
        </w:tc>
        <w:tc>
          <w:tcPr>
            <w:tcW w:w="1125" w:type="dxa"/>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6</w:t>
            </w:r>
          </w:p>
        </w:tc>
        <w:tc>
          <w:tcPr>
            <w:tcW w:w="1192" w:type="dxa"/>
            <w:vAlign w:val="center"/>
          </w:tcPr>
          <w:p w:rsidR="00F91693" w:rsidRPr="00F91693" w:rsidRDefault="00F91693" w:rsidP="00BB0703">
            <w:pPr>
              <w:ind w:right="42"/>
              <w:jc w:val="center"/>
              <w:rPr>
                <w:b/>
                <w:bCs/>
              </w:rPr>
            </w:pPr>
            <w:r w:rsidRPr="00F91693">
              <w:rPr>
                <w:b/>
                <w:bCs/>
                <w:sz w:val="22"/>
                <w:szCs w:val="22"/>
              </w:rPr>
              <w:t>5</w:t>
            </w:r>
            <w:r w:rsidR="002058EC">
              <w:rPr>
                <w:b/>
                <w:bCs/>
                <w:sz w:val="22"/>
                <w:szCs w:val="22"/>
              </w:rPr>
              <w:t>.</w:t>
            </w:r>
            <w:r w:rsidRPr="00F91693">
              <w:rPr>
                <w:b/>
                <w:bCs/>
                <w:sz w:val="22"/>
                <w:szCs w:val="22"/>
              </w:rPr>
              <w:t>1</w:t>
            </w:r>
          </w:p>
        </w:tc>
        <w:tc>
          <w:tcPr>
            <w:tcW w:w="1193" w:type="dxa"/>
            <w:tcBorders>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left w:val="double" w:sz="4" w:space="0" w:color="auto"/>
            </w:tcBorders>
            <w:vAlign w:val="center"/>
          </w:tcPr>
          <w:p w:rsidR="00F91693" w:rsidRPr="00F91693" w:rsidRDefault="00F91693" w:rsidP="00BB0703">
            <w:pPr>
              <w:ind w:right="42"/>
              <w:jc w:val="center"/>
              <w:rPr>
                <w:b/>
                <w:bCs/>
              </w:rPr>
            </w:pPr>
            <w:r w:rsidRPr="00F91693">
              <w:rPr>
                <w:b/>
                <w:bCs/>
                <w:sz w:val="22"/>
                <w:szCs w:val="22"/>
              </w:rPr>
              <w:t>-2</w:t>
            </w:r>
            <w:r w:rsidR="002058EC">
              <w:rPr>
                <w:b/>
                <w:bCs/>
                <w:sz w:val="22"/>
                <w:szCs w:val="22"/>
              </w:rPr>
              <w:t>.</w:t>
            </w:r>
            <w:r w:rsidRPr="00F91693">
              <w:rPr>
                <w:b/>
                <w:bCs/>
                <w:sz w:val="22"/>
                <w:szCs w:val="22"/>
              </w:rPr>
              <w:t>0</w:t>
            </w:r>
          </w:p>
        </w:tc>
        <w:tc>
          <w:tcPr>
            <w:tcW w:w="1035" w:type="dxa"/>
            <w:vAlign w:val="center"/>
          </w:tcPr>
          <w:p w:rsidR="00F91693" w:rsidRPr="00F91693" w:rsidRDefault="00F91693" w:rsidP="00BB0703">
            <w:pPr>
              <w:ind w:right="42"/>
              <w:jc w:val="center"/>
              <w:rPr>
                <w:b/>
                <w:bCs/>
              </w:rPr>
            </w:pPr>
            <w:r w:rsidRPr="00F91693">
              <w:rPr>
                <w:b/>
                <w:bCs/>
                <w:sz w:val="22"/>
                <w:szCs w:val="22"/>
              </w:rPr>
              <w:t>-2</w:t>
            </w:r>
            <w:r w:rsidR="002058EC">
              <w:rPr>
                <w:b/>
                <w:bCs/>
                <w:sz w:val="22"/>
                <w:szCs w:val="22"/>
              </w:rPr>
              <w:t>.</w:t>
            </w:r>
            <w:r w:rsidRPr="00F91693">
              <w:rPr>
                <w:b/>
                <w:bCs/>
                <w:sz w:val="22"/>
                <w:szCs w:val="22"/>
              </w:rPr>
              <w:t>3</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Imports</w:t>
            </w:r>
          </w:p>
        </w:tc>
        <w:tc>
          <w:tcPr>
            <w:tcW w:w="1260" w:type="dxa"/>
            <w:tcBorders>
              <w:bottom w:val="nil"/>
            </w:tcBorders>
            <w:vAlign w:val="center"/>
          </w:tcPr>
          <w:p w:rsidR="00F91693" w:rsidRPr="00F91693" w:rsidRDefault="00F91693" w:rsidP="00BB0703">
            <w:pPr>
              <w:ind w:right="42"/>
              <w:jc w:val="center"/>
              <w:rPr>
                <w:b/>
                <w:bCs/>
              </w:rPr>
            </w:pPr>
            <w:r w:rsidRPr="00F91693">
              <w:rPr>
                <w:b/>
                <w:bCs/>
                <w:sz w:val="22"/>
                <w:szCs w:val="22"/>
              </w:rPr>
              <w:t>-5</w:t>
            </w:r>
            <w:r w:rsidR="002058EC">
              <w:rPr>
                <w:b/>
                <w:bCs/>
                <w:sz w:val="22"/>
                <w:szCs w:val="22"/>
              </w:rPr>
              <w:t>.</w:t>
            </w:r>
            <w:r w:rsidRPr="00F91693">
              <w:rPr>
                <w:b/>
                <w:bCs/>
                <w:sz w:val="22"/>
                <w:szCs w:val="22"/>
              </w:rPr>
              <w:t>9</w:t>
            </w:r>
          </w:p>
        </w:tc>
        <w:tc>
          <w:tcPr>
            <w:tcW w:w="1125" w:type="dxa"/>
            <w:tcBorders>
              <w:bottom w:val="nil"/>
            </w:tcBorders>
            <w:vAlign w:val="center"/>
          </w:tcPr>
          <w:p w:rsidR="00F91693" w:rsidRPr="00F91693" w:rsidRDefault="00F91693" w:rsidP="00BB0703">
            <w:pPr>
              <w:ind w:right="42"/>
              <w:jc w:val="center"/>
              <w:rPr>
                <w:b/>
                <w:bCs/>
              </w:rPr>
            </w:pPr>
            <w:r w:rsidRPr="00F91693">
              <w:rPr>
                <w:b/>
                <w:bCs/>
                <w:sz w:val="22"/>
                <w:szCs w:val="22"/>
              </w:rPr>
              <w:t>5</w:t>
            </w:r>
            <w:r w:rsidR="002058EC">
              <w:rPr>
                <w:b/>
                <w:bCs/>
                <w:sz w:val="22"/>
                <w:szCs w:val="22"/>
              </w:rPr>
              <w:t>.</w:t>
            </w:r>
            <w:r w:rsidRPr="00F91693">
              <w:rPr>
                <w:b/>
                <w:bCs/>
                <w:sz w:val="22"/>
                <w:szCs w:val="22"/>
              </w:rPr>
              <w:t>8</w:t>
            </w:r>
          </w:p>
        </w:tc>
        <w:tc>
          <w:tcPr>
            <w:tcW w:w="1192" w:type="dxa"/>
            <w:tcBorders>
              <w:bottom w:val="nil"/>
            </w:tcBorders>
            <w:vAlign w:val="center"/>
          </w:tcPr>
          <w:p w:rsidR="00F91693" w:rsidRPr="00F91693" w:rsidRDefault="00F91693" w:rsidP="00BB0703">
            <w:pPr>
              <w:ind w:right="42"/>
              <w:jc w:val="center"/>
              <w:rPr>
                <w:b/>
                <w:bCs/>
              </w:rPr>
            </w:pPr>
            <w:r w:rsidRPr="00F91693">
              <w:rPr>
                <w:b/>
                <w:bCs/>
                <w:sz w:val="22"/>
                <w:szCs w:val="22"/>
              </w:rPr>
              <w:t>2</w:t>
            </w:r>
            <w:r w:rsidR="002058EC">
              <w:rPr>
                <w:b/>
                <w:bCs/>
                <w:sz w:val="22"/>
                <w:szCs w:val="22"/>
              </w:rPr>
              <w:t>.</w:t>
            </w:r>
            <w:r w:rsidRPr="00F91693">
              <w:rPr>
                <w:b/>
                <w:bCs/>
                <w:sz w:val="22"/>
                <w:szCs w:val="22"/>
              </w:rPr>
              <w:t>6</w:t>
            </w:r>
          </w:p>
        </w:tc>
        <w:tc>
          <w:tcPr>
            <w:tcW w:w="1193" w:type="dxa"/>
            <w:tcBorders>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left w:val="double" w:sz="4" w:space="0" w:color="auto"/>
              <w:bottom w:val="nil"/>
            </w:tcBorders>
            <w:vAlign w:val="center"/>
          </w:tcPr>
          <w:p w:rsidR="00F91693" w:rsidRPr="00F91693" w:rsidRDefault="00F91693" w:rsidP="00BB0703">
            <w:pPr>
              <w:ind w:right="42"/>
              <w:jc w:val="center"/>
              <w:rPr>
                <w:b/>
                <w:bCs/>
              </w:rPr>
            </w:pPr>
            <w:r w:rsidRPr="00F91693">
              <w:rPr>
                <w:b/>
                <w:bCs/>
                <w:sz w:val="22"/>
                <w:szCs w:val="22"/>
              </w:rPr>
              <w:t>-1</w:t>
            </w:r>
            <w:r w:rsidR="002058EC">
              <w:rPr>
                <w:b/>
                <w:bCs/>
                <w:sz w:val="22"/>
                <w:szCs w:val="22"/>
              </w:rPr>
              <w:t>.</w:t>
            </w:r>
            <w:r w:rsidRPr="00F91693">
              <w:rPr>
                <w:b/>
                <w:bCs/>
                <w:sz w:val="22"/>
                <w:szCs w:val="22"/>
              </w:rPr>
              <w:t>7</w:t>
            </w:r>
          </w:p>
        </w:tc>
        <w:tc>
          <w:tcPr>
            <w:tcW w:w="1035" w:type="dxa"/>
            <w:tcBorders>
              <w:bottom w:val="nil"/>
            </w:tcBorders>
            <w:vAlign w:val="center"/>
          </w:tcPr>
          <w:p w:rsidR="00F91693" w:rsidRPr="00F91693" w:rsidRDefault="00F91693" w:rsidP="00BB0703">
            <w:pPr>
              <w:ind w:right="42"/>
              <w:jc w:val="center"/>
              <w:rPr>
                <w:b/>
                <w:bCs/>
              </w:rPr>
            </w:pPr>
            <w:r w:rsidRPr="00F91693">
              <w:rPr>
                <w:b/>
                <w:bCs/>
                <w:sz w:val="22"/>
                <w:szCs w:val="22"/>
              </w:rPr>
              <w:t>4</w:t>
            </w:r>
            <w:r w:rsidR="002058EC">
              <w:rPr>
                <w:b/>
                <w:bCs/>
                <w:sz w:val="22"/>
                <w:szCs w:val="22"/>
              </w:rPr>
              <w:t>.</w:t>
            </w:r>
            <w:r w:rsidRPr="00F91693">
              <w:rPr>
                <w:b/>
                <w:bCs/>
                <w:sz w:val="22"/>
                <w:szCs w:val="22"/>
              </w:rPr>
              <w:t>3</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Intermediate goods import</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-11</w:t>
            </w:r>
            <w:r w:rsidR="002058EC">
              <w:rPr>
                <w:sz w:val="22"/>
                <w:szCs w:val="22"/>
              </w:rPr>
              <w:t>.</w:t>
            </w:r>
            <w:r w:rsidRPr="00F91693">
              <w:rPr>
                <w:sz w:val="22"/>
                <w:szCs w:val="22"/>
              </w:rPr>
              <w:t>8</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10</w:t>
            </w:r>
            <w:r w:rsidR="002058EC">
              <w:rPr>
                <w:sz w:val="22"/>
                <w:szCs w:val="22"/>
              </w:rPr>
              <w:t>.</w:t>
            </w:r>
            <w:r w:rsidRPr="00F91693">
              <w:rPr>
                <w:sz w:val="22"/>
                <w:szCs w:val="22"/>
              </w:rPr>
              <w:t>9</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0</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7</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7</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Consumer goods import</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-17</w:t>
            </w:r>
            <w:r w:rsidR="002058EC">
              <w:rPr>
                <w:sz w:val="22"/>
                <w:szCs w:val="22"/>
              </w:rPr>
              <w:t>.</w:t>
            </w:r>
            <w:r w:rsidRPr="00F91693">
              <w:rPr>
                <w:sz w:val="22"/>
                <w:szCs w:val="22"/>
              </w:rPr>
              <w:t>4</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8</w:t>
            </w:r>
            <w:r w:rsidR="002058EC">
              <w:rPr>
                <w:sz w:val="22"/>
                <w:szCs w:val="22"/>
              </w:rPr>
              <w:t>.</w:t>
            </w:r>
            <w:r w:rsidRPr="00F91693">
              <w:rPr>
                <w:sz w:val="22"/>
                <w:szCs w:val="22"/>
              </w:rPr>
              <w:t>7</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6</w:t>
            </w:r>
            <w:r w:rsidR="002058EC">
              <w:rPr>
                <w:sz w:val="22"/>
                <w:szCs w:val="22"/>
              </w:rPr>
              <w:t>.</w:t>
            </w:r>
            <w:r w:rsidRPr="00F91693">
              <w:rPr>
                <w:sz w:val="22"/>
                <w:szCs w:val="22"/>
              </w:rPr>
              <w:t>8</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7</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4</w:t>
            </w: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Investment goods import</w:t>
            </w:r>
          </w:p>
        </w:tc>
        <w:tc>
          <w:tcPr>
            <w:tcW w:w="1260" w:type="dxa"/>
            <w:tcBorders>
              <w:top w:val="nil"/>
            </w:tcBorders>
            <w:vAlign w:val="center"/>
          </w:tcPr>
          <w:p w:rsidR="00F91693" w:rsidRPr="00F91693" w:rsidRDefault="00F91693" w:rsidP="00BB0703">
            <w:pPr>
              <w:ind w:right="42"/>
              <w:jc w:val="center"/>
            </w:pPr>
            <w:r w:rsidRPr="00F91693">
              <w:rPr>
                <w:sz w:val="22"/>
                <w:szCs w:val="22"/>
              </w:rPr>
              <w:t>-17</w:t>
            </w:r>
            <w:r w:rsidR="002058EC">
              <w:rPr>
                <w:sz w:val="22"/>
                <w:szCs w:val="22"/>
              </w:rPr>
              <w:t>.</w:t>
            </w:r>
            <w:r w:rsidRPr="00F91693">
              <w:rPr>
                <w:sz w:val="22"/>
                <w:szCs w:val="22"/>
              </w:rPr>
              <w:t>2</w:t>
            </w:r>
          </w:p>
        </w:tc>
        <w:tc>
          <w:tcPr>
            <w:tcW w:w="1125" w:type="dxa"/>
            <w:tcBorders>
              <w:top w:val="nil"/>
            </w:tcBorders>
            <w:vAlign w:val="center"/>
          </w:tcPr>
          <w:p w:rsidR="00F91693" w:rsidRPr="00F91693" w:rsidRDefault="00F91693" w:rsidP="00BB0703">
            <w:pPr>
              <w:ind w:right="42"/>
              <w:jc w:val="center"/>
            </w:pPr>
            <w:r w:rsidRPr="00F91693">
              <w:rPr>
                <w:sz w:val="22"/>
                <w:szCs w:val="22"/>
              </w:rPr>
              <w:t>27</w:t>
            </w:r>
            <w:r w:rsidR="002058EC">
              <w:rPr>
                <w:sz w:val="22"/>
                <w:szCs w:val="22"/>
              </w:rPr>
              <w:t>.</w:t>
            </w:r>
            <w:r w:rsidRPr="00F91693">
              <w:rPr>
                <w:sz w:val="22"/>
                <w:szCs w:val="22"/>
              </w:rPr>
              <w:t>4</w:t>
            </w:r>
          </w:p>
        </w:tc>
        <w:tc>
          <w:tcPr>
            <w:tcW w:w="1192" w:type="dxa"/>
            <w:tcBorders>
              <w:top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2</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6</w:t>
            </w:r>
            <w:r w:rsidR="002058EC">
              <w:rPr>
                <w:sz w:val="22"/>
                <w:szCs w:val="22"/>
              </w:rPr>
              <w:t>.</w:t>
            </w:r>
            <w:r w:rsidRPr="00F91693">
              <w:rPr>
                <w:sz w:val="22"/>
                <w:szCs w:val="22"/>
              </w:rPr>
              <w:t>8</w:t>
            </w:r>
          </w:p>
        </w:tc>
        <w:tc>
          <w:tcPr>
            <w:tcW w:w="1035" w:type="dxa"/>
            <w:tcBorders>
              <w:top w:val="nil"/>
            </w:tcBorders>
            <w:vAlign w:val="center"/>
          </w:tcPr>
          <w:p w:rsidR="00F91693" w:rsidRPr="00F91693" w:rsidRDefault="00F91693" w:rsidP="00BB0703">
            <w:pPr>
              <w:ind w:right="42"/>
              <w:jc w:val="center"/>
            </w:pPr>
            <w:r w:rsidRPr="00F91693">
              <w:rPr>
                <w:sz w:val="22"/>
                <w:szCs w:val="22"/>
              </w:rPr>
              <w:t>13</w:t>
            </w:r>
            <w:r w:rsidR="002058EC">
              <w:rPr>
                <w:sz w:val="22"/>
                <w:szCs w:val="22"/>
              </w:rPr>
              <w:t>.</w:t>
            </w:r>
            <w:r w:rsidRPr="00F91693">
              <w:rPr>
                <w:sz w:val="22"/>
                <w:szCs w:val="22"/>
              </w:rPr>
              <w:t>7</w:t>
            </w:r>
          </w:p>
        </w:tc>
      </w:tr>
      <w:tr w:rsidR="00F91693" w:rsidRPr="00047F4D" w:rsidTr="00F91693">
        <w:trPr>
          <w:trHeight w:val="370"/>
        </w:trPr>
        <w:tc>
          <w:tcPr>
            <w:tcW w:w="3420" w:type="dxa"/>
            <w:vAlign w:val="bottom"/>
          </w:tcPr>
          <w:p w:rsidR="00F91693" w:rsidRPr="00F91693" w:rsidRDefault="00F91693" w:rsidP="00BB0703">
            <w:pPr>
              <w:spacing w:line="288" w:lineRule="auto"/>
              <w:ind w:right="77"/>
              <w:rPr>
                <w:b/>
                <w:sz w:val="20"/>
                <w:szCs w:val="20"/>
              </w:rPr>
            </w:pPr>
            <w:r w:rsidRPr="00F91693">
              <w:rPr>
                <w:b/>
                <w:sz w:val="20"/>
                <w:szCs w:val="20"/>
              </w:rPr>
              <w:t>Exports without gold***</w:t>
            </w:r>
          </w:p>
        </w:tc>
        <w:tc>
          <w:tcPr>
            <w:tcW w:w="1260" w:type="dxa"/>
            <w:vAlign w:val="center"/>
          </w:tcPr>
          <w:p w:rsidR="00F91693" w:rsidRPr="00F91693" w:rsidRDefault="00F91693" w:rsidP="00BB0703">
            <w:pPr>
              <w:ind w:right="42"/>
              <w:jc w:val="center"/>
              <w:rPr>
                <w:b/>
                <w:bCs/>
              </w:rPr>
            </w:pPr>
            <w:r w:rsidRPr="00F91693">
              <w:rPr>
                <w:b/>
                <w:bCs/>
                <w:sz w:val="22"/>
                <w:szCs w:val="22"/>
              </w:rPr>
              <w:t>-7</w:t>
            </w:r>
            <w:r w:rsidR="002058EC">
              <w:rPr>
                <w:b/>
                <w:bCs/>
                <w:sz w:val="22"/>
                <w:szCs w:val="22"/>
              </w:rPr>
              <w:t>.</w:t>
            </w:r>
            <w:r w:rsidRPr="00F91693">
              <w:rPr>
                <w:b/>
                <w:bCs/>
                <w:sz w:val="22"/>
                <w:szCs w:val="22"/>
              </w:rPr>
              <w:t>7</w:t>
            </w:r>
          </w:p>
        </w:tc>
        <w:tc>
          <w:tcPr>
            <w:tcW w:w="1125" w:type="dxa"/>
            <w:vAlign w:val="center"/>
          </w:tcPr>
          <w:p w:rsidR="00F91693" w:rsidRPr="00F91693" w:rsidRDefault="00F91693" w:rsidP="00BB0703">
            <w:pPr>
              <w:ind w:right="42"/>
              <w:jc w:val="center"/>
              <w:rPr>
                <w:b/>
                <w:bCs/>
              </w:rPr>
            </w:pPr>
            <w:r w:rsidRPr="00F91693">
              <w:rPr>
                <w:b/>
                <w:bCs/>
                <w:sz w:val="22"/>
                <w:szCs w:val="22"/>
              </w:rPr>
              <w:t>5</w:t>
            </w:r>
            <w:r w:rsidR="002058EC">
              <w:rPr>
                <w:b/>
                <w:bCs/>
                <w:sz w:val="22"/>
                <w:szCs w:val="22"/>
              </w:rPr>
              <w:t>.</w:t>
            </w:r>
            <w:r w:rsidRPr="00F91693">
              <w:rPr>
                <w:b/>
                <w:bCs/>
                <w:sz w:val="22"/>
                <w:szCs w:val="22"/>
              </w:rPr>
              <w:t>2</w:t>
            </w:r>
          </w:p>
        </w:tc>
        <w:tc>
          <w:tcPr>
            <w:tcW w:w="1192" w:type="dxa"/>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7</w:t>
            </w:r>
          </w:p>
        </w:tc>
        <w:tc>
          <w:tcPr>
            <w:tcW w:w="1193" w:type="dxa"/>
            <w:tcBorders>
              <w:right w:val="double" w:sz="4" w:space="0" w:color="auto"/>
            </w:tcBorders>
            <w:vAlign w:val="center"/>
          </w:tcPr>
          <w:p w:rsidR="00F91693" w:rsidRPr="00F91693" w:rsidRDefault="00F91693" w:rsidP="00BB0703">
            <w:pPr>
              <w:ind w:right="42"/>
              <w:jc w:val="center"/>
              <w:rPr>
                <w:b/>
              </w:rPr>
            </w:pPr>
            <w:r w:rsidRPr="00F91693">
              <w:rPr>
                <w:b/>
                <w:sz w:val="22"/>
                <w:szCs w:val="22"/>
              </w:rPr>
              <w:t>**</w:t>
            </w:r>
          </w:p>
        </w:tc>
        <w:tc>
          <w:tcPr>
            <w:tcW w:w="1035" w:type="dxa"/>
            <w:tcBorders>
              <w:left w:val="double" w:sz="4" w:space="0" w:color="auto"/>
            </w:tcBorders>
            <w:vAlign w:val="center"/>
          </w:tcPr>
          <w:p w:rsidR="00F91693" w:rsidRPr="00F91693" w:rsidRDefault="00F91693" w:rsidP="00BB0703">
            <w:pPr>
              <w:ind w:right="42"/>
              <w:jc w:val="center"/>
              <w:rPr>
                <w:b/>
                <w:bCs/>
              </w:rPr>
            </w:pPr>
            <w:r w:rsidRPr="00F91693">
              <w:rPr>
                <w:b/>
                <w:bCs/>
                <w:sz w:val="22"/>
                <w:szCs w:val="22"/>
              </w:rPr>
              <w:t>3</w:t>
            </w:r>
            <w:r w:rsidR="002058EC">
              <w:rPr>
                <w:b/>
                <w:bCs/>
                <w:sz w:val="22"/>
                <w:szCs w:val="22"/>
              </w:rPr>
              <w:t>.</w:t>
            </w:r>
            <w:r w:rsidRPr="00F91693">
              <w:rPr>
                <w:b/>
                <w:bCs/>
                <w:sz w:val="22"/>
                <w:szCs w:val="22"/>
              </w:rPr>
              <w:t>5</w:t>
            </w:r>
          </w:p>
        </w:tc>
        <w:tc>
          <w:tcPr>
            <w:tcW w:w="1035" w:type="dxa"/>
            <w:vAlign w:val="center"/>
          </w:tcPr>
          <w:p w:rsidR="00F91693" w:rsidRPr="00F91693" w:rsidRDefault="00F91693" w:rsidP="00BB0703">
            <w:pPr>
              <w:ind w:right="42"/>
              <w:jc w:val="center"/>
              <w:rPr>
                <w:b/>
                <w:bCs/>
              </w:rPr>
            </w:pPr>
            <w:r w:rsidRPr="00F91693">
              <w:rPr>
                <w:b/>
                <w:bCs/>
                <w:sz w:val="22"/>
                <w:szCs w:val="22"/>
              </w:rPr>
              <w:t>1</w:t>
            </w:r>
            <w:r w:rsidR="002058EC">
              <w:rPr>
                <w:b/>
                <w:bCs/>
                <w:sz w:val="22"/>
                <w:szCs w:val="22"/>
              </w:rPr>
              <w:t>.</w:t>
            </w:r>
            <w:r w:rsidRPr="00F91693">
              <w:rPr>
                <w:b/>
                <w:bCs/>
                <w:sz w:val="22"/>
                <w:szCs w:val="22"/>
              </w:rPr>
              <w:t>6</w:t>
            </w:r>
          </w:p>
        </w:tc>
      </w:tr>
      <w:tr w:rsidR="00F91693" w:rsidRPr="00047F4D" w:rsidTr="00F91693">
        <w:trPr>
          <w:trHeight w:val="370"/>
        </w:trPr>
        <w:tc>
          <w:tcPr>
            <w:tcW w:w="3420" w:type="dxa"/>
            <w:vAlign w:val="bottom"/>
          </w:tcPr>
          <w:p w:rsidR="00F91693" w:rsidRPr="00F91693" w:rsidRDefault="00F91693" w:rsidP="00BB0703">
            <w:pPr>
              <w:spacing w:line="288" w:lineRule="auto"/>
              <w:ind w:right="77"/>
              <w:rPr>
                <w:b/>
                <w:sz w:val="20"/>
                <w:szCs w:val="20"/>
              </w:rPr>
            </w:pPr>
            <w:r w:rsidRPr="00F91693">
              <w:rPr>
                <w:b/>
                <w:sz w:val="20"/>
                <w:szCs w:val="20"/>
              </w:rPr>
              <w:t>Imports without gold***</w:t>
            </w:r>
          </w:p>
        </w:tc>
        <w:tc>
          <w:tcPr>
            <w:tcW w:w="1260" w:type="dxa"/>
            <w:vAlign w:val="center"/>
          </w:tcPr>
          <w:p w:rsidR="00F91693" w:rsidRPr="00F91693" w:rsidRDefault="00F91693" w:rsidP="00BB0703">
            <w:pPr>
              <w:ind w:right="42"/>
              <w:jc w:val="center"/>
              <w:rPr>
                <w:b/>
                <w:bCs/>
              </w:rPr>
            </w:pPr>
            <w:r w:rsidRPr="00F91693">
              <w:rPr>
                <w:b/>
                <w:bCs/>
                <w:sz w:val="22"/>
                <w:szCs w:val="22"/>
              </w:rPr>
              <w:t>-11</w:t>
            </w:r>
            <w:r w:rsidR="002058EC">
              <w:rPr>
                <w:b/>
                <w:bCs/>
                <w:sz w:val="22"/>
                <w:szCs w:val="22"/>
              </w:rPr>
              <w:t>.</w:t>
            </w:r>
            <w:r w:rsidRPr="00F91693">
              <w:rPr>
                <w:b/>
                <w:bCs/>
                <w:sz w:val="22"/>
                <w:szCs w:val="22"/>
              </w:rPr>
              <w:t>6</w:t>
            </w:r>
          </w:p>
        </w:tc>
        <w:tc>
          <w:tcPr>
            <w:tcW w:w="1125" w:type="dxa"/>
            <w:vAlign w:val="center"/>
          </w:tcPr>
          <w:p w:rsidR="00F91693" w:rsidRPr="00F91693" w:rsidRDefault="00F91693" w:rsidP="00BB0703">
            <w:pPr>
              <w:ind w:right="42"/>
              <w:jc w:val="center"/>
              <w:rPr>
                <w:b/>
                <w:bCs/>
              </w:rPr>
            </w:pPr>
            <w:r w:rsidRPr="00F91693">
              <w:rPr>
                <w:b/>
                <w:bCs/>
                <w:sz w:val="22"/>
                <w:szCs w:val="22"/>
              </w:rPr>
              <w:t>10</w:t>
            </w:r>
            <w:r w:rsidR="002058EC">
              <w:rPr>
                <w:b/>
                <w:bCs/>
                <w:sz w:val="22"/>
                <w:szCs w:val="22"/>
              </w:rPr>
              <w:t>.</w:t>
            </w:r>
            <w:r w:rsidRPr="00F91693">
              <w:rPr>
                <w:b/>
                <w:bCs/>
                <w:sz w:val="22"/>
                <w:szCs w:val="22"/>
              </w:rPr>
              <w:t>3</w:t>
            </w:r>
          </w:p>
        </w:tc>
        <w:tc>
          <w:tcPr>
            <w:tcW w:w="1192" w:type="dxa"/>
            <w:vAlign w:val="center"/>
          </w:tcPr>
          <w:p w:rsidR="00F91693" w:rsidRPr="00F91693" w:rsidRDefault="00F91693" w:rsidP="00BB0703">
            <w:pPr>
              <w:ind w:right="42"/>
              <w:jc w:val="center"/>
              <w:rPr>
                <w:b/>
                <w:bCs/>
              </w:rPr>
            </w:pPr>
            <w:r w:rsidRPr="00F91693">
              <w:rPr>
                <w:b/>
                <w:bCs/>
                <w:sz w:val="22"/>
                <w:szCs w:val="22"/>
              </w:rPr>
              <w:t>-2</w:t>
            </w:r>
            <w:r w:rsidR="002058EC">
              <w:rPr>
                <w:b/>
                <w:bCs/>
                <w:sz w:val="22"/>
                <w:szCs w:val="22"/>
              </w:rPr>
              <w:t>.</w:t>
            </w:r>
            <w:r w:rsidRPr="00F91693">
              <w:rPr>
                <w:b/>
                <w:bCs/>
                <w:sz w:val="22"/>
                <w:szCs w:val="22"/>
              </w:rPr>
              <w:t>4</w:t>
            </w:r>
          </w:p>
        </w:tc>
        <w:tc>
          <w:tcPr>
            <w:tcW w:w="1193" w:type="dxa"/>
            <w:tcBorders>
              <w:right w:val="double" w:sz="4" w:space="0" w:color="auto"/>
            </w:tcBorders>
            <w:vAlign w:val="center"/>
          </w:tcPr>
          <w:p w:rsidR="00F91693" w:rsidRPr="00F91693" w:rsidRDefault="00F91693" w:rsidP="00BB0703">
            <w:pPr>
              <w:ind w:right="42"/>
              <w:jc w:val="center"/>
              <w:rPr>
                <w:b/>
              </w:rPr>
            </w:pPr>
            <w:r w:rsidRPr="00F91693">
              <w:rPr>
                <w:b/>
                <w:sz w:val="22"/>
                <w:szCs w:val="22"/>
              </w:rPr>
              <w:t>**</w:t>
            </w:r>
          </w:p>
        </w:tc>
        <w:tc>
          <w:tcPr>
            <w:tcW w:w="1035" w:type="dxa"/>
            <w:tcBorders>
              <w:left w:val="double" w:sz="4" w:space="0" w:color="auto"/>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6</w:t>
            </w:r>
          </w:p>
        </w:tc>
        <w:tc>
          <w:tcPr>
            <w:tcW w:w="1035" w:type="dxa"/>
            <w:vAlign w:val="center"/>
          </w:tcPr>
          <w:p w:rsidR="00F91693" w:rsidRPr="00F91693" w:rsidRDefault="00F91693" w:rsidP="00BB0703">
            <w:pPr>
              <w:ind w:right="42"/>
              <w:jc w:val="center"/>
              <w:rPr>
                <w:b/>
                <w:bCs/>
              </w:rPr>
            </w:pPr>
            <w:r w:rsidRPr="00F91693">
              <w:rPr>
                <w:b/>
                <w:bCs/>
                <w:sz w:val="22"/>
                <w:szCs w:val="22"/>
              </w:rPr>
              <w:t>1</w:t>
            </w:r>
            <w:r w:rsidR="002058EC">
              <w:rPr>
                <w:b/>
                <w:bCs/>
                <w:sz w:val="22"/>
                <w:szCs w:val="22"/>
              </w:rPr>
              <w:t>.</w:t>
            </w:r>
            <w:r w:rsidRPr="00F91693">
              <w:rPr>
                <w:b/>
                <w:bCs/>
                <w:sz w:val="22"/>
                <w:szCs w:val="22"/>
              </w:rPr>
              <w:t>6</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 xml:space="preserve">Industrial Production Index (IPI) </w:t>
            </w:r>
          </w:p>
        </w:tc>
        <w:tc>
          <w:tcPr>
            <w:tcW w:w="1260" w:type="dxa"/>
            <w:tcBorders>
              <w:bottom w:val="nil"/>
            </w:tcBorders>
            <w:vAlign w:val="center"/>
          </w:tcPr>
          <w:p w:rsidR="00F91693" w:rsidRPr="00F91693" w:rsidRDefault="00F91693" w:rsidP="00BB0703">
            <w:pPr>
              <w:ind w:right="42"/>
              <w:jc w:val="center"/>
              <w:rPr>
                <w:b/>
                <w:bCs/>
              </w:rPr>
            </w:pPr>
            <w:r w:rsidRPr="00F91693">
              <w:rPr>
                <w:b/>
                <w:bCs/>
                <w:sz w:val="22"/>
                <w:szCs w:val="22"/>
              </w:rPr>
              <w:t>-3</w:t>
            </w:r>
            <w:r w:rsidR="002058EC">
              <w:rPr>
                <w:b/>
                <w:bCs/>
                <w:sz w:val="22"/>
                <w:szCs w:val="22"/>
              </w:rPr>
              <w:t>.</w:t>
            </w:r>
            <w:r w:rsidRPr="00F91693">
              <w:rPr>
                <w:b/>
                <w:bCs/>
                <w:sz w:val="22"/>
                <w:szCs w:val="22"/>
              </w:rPr>
              <w:t>5</w:t>
            </w:r>
          </w:p>
        </w:tc>
        <w:tc>
          <w:tcPr>
            <w:tcW w:w="1125" w:type="dxa"/>
            <w:tcBorders>
              <w:bottom w:val="nil"/>
            </w:tcBorders>
            <w:vAlign w:val="center"/>
          </w:tcPr>
          <w:p w:rsidR="00F91693" w:rsidRPr="00F91693" w:rsidRDefault="00F91693" w:rsidP="00BB0703">
            <w:pPr>
              <w:ind w:right="42"/>
              <w:jc w:val="center"/>
              <w:rPr>
                <w:b/>
                <w:bCs/>
              </w:rPr>
            </w:pPr>
            <w:r w:rsidRPr="00F91693">
              <w:rPr>
                <w:b/>
                <w:bCs/>
                <w:sz w:val="22"/>
                <w:szCs w:val="22"/>
              </w:rPr>
              <w:t>2</w:t>
            </w:r>
            <w:r w:rsidR="002058EC">
              <w:rPr>
                <w:b/>
                <w:bCs/>
                <w:sz w:val="22"/>
                <w:szCs w:val="22"/>
              </w:rPr>
              <w:t>.</w:t>
            </w:r>
            <w:r w:rsidRPr="00F91693">
              <w:rPr>
                <w:b/>
                <w:bCs/>
                <w:sz w:val="22"/>
                <w:szCs w:val="22"/>
              </w:rPr>
              <w:t>4</w:t>
            </w:r>
          </w:p>
        </w:tc>
        <w:tc>
          <w:tcPr>
            <w:tcW w:w="1192" w:type="dxa"/>
            <w:tcBorders>
              <w:bottom w:val="nil"/>
            </w:tcBorders>
            <w:vAlign w:val="center"/>
          </w:tcPr>
          <w:p w:rsidR="00F91693" w:rsidRPr="00F91693" w:rsidRDefault="00F91693" w:rsidP="00BB0703">
            <w:pPr>
              <w:ind w:right="42"/>
              <w:jc w:val="center"/>
              <w:rPr>
                <w:b/>
                <w:bCs/>
              </w:rPr>
            </w:pPr>
            <w:r w:rsidRPr="00F91693">
              <w:rPr>
                <w:b/>
                <w:bCs/>
                <w:sz w:val="22"/>
                <w:szCs w:val="22"/>
              </w:rPr>
              <w:t>1</w:t>
            </w:r>
            <w:r w:rsidR="002058EC">
              <w:rPr>
                <w:b/>
                <w:bCs/>
                <w:sz w:val="22"/>
                <w:szCs w:val="22"/>
              </w:rPr>
              <w:t>.</w:t>
            </w:r>
            <w:r w:rsidRPr="00F91693">
              <w:rPr>
                <w:b/>
                <w:bCs/>
                <w:sz w:val="22"/>
                <w:szCs w:val="22"/>
              </w:rPr>
              <w:t>5</w:t>
            </w:r>
          </w:p>
        </w:tc>
        <w:tc>
          <w:tcPr>
            <w:tcW w:w="1193" w:type="dxa"/>
            <w:tcBorders>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left w:val="double" w:sz="4" w:space="0" w:color="auto"/>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9</w:t>
            </w:r>
          </w:p>
        </w:tc>
        <w:tc>
          <w:tcPr>
            <w:tcW w:w="1035" w:type="dxa"/>
            <w:tcBorders>
              <w:bottom w:val="nil"/>
            </w:tcBorders>
            <w:vAlign w:val="center"/>
          </w:tcPr>
          <w:p w:rsidR="00F91693" w:rsidRPr="00F91693" w:rsidRDefault="00F91693" w:rsidP="00BB0703">
            <w:pPr>
              <w:ind w:right="42"/>
              <w:jc w:val="center"/>
              <w:rPr>
                <w:b/>
                <w:bCs/>
              </w:rPr>
            </w:pPr>
            <w:r w:rsidRPr="00F91693">
              <w:rPr>
                <w:b/>
                <w:bCs/>
                <w:sz w:val="22"/>
                <w:szCs w:val="22"/>
              </w:rPr>
              <w:t>1</w:t>
            </w:r>
            <w:r w:rsidR="002058EC">
              <w:rPr>
                <w:b/>
                <w:bCs/>
                <w:sz w:val="22"/>
                <w:szCs w:val="22"/>
              </w:rPr>
              <w:t>.</w:t>
            </w:r>
            <w:r w:rsidRPr="00F91693">
              <w:rPr>
                <w:b/>
                <w:bCs/>
                <w:sz w:val="22"/>
                <w:szCs w:val="22"/>
              </w:rPr>
              <w:t>1</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Nondurable consumer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2</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1</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5</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1</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3</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Durable consumer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-9</w:t>
            </w:r>
            <w:r w:rsidR="002058EC">
              <w:rPr>
                <w:sz w:val="22"/>
                <w:szCs w:val="22"/>
              </w:rPr>
              <w:t>.</w:t>
            </w:r>
            <w:r w:rsidRPr="00F91693">
              <w:rPr>
                <w:sz w:val="22"/>
                <w:szCs w:val="22"/>
              </w:rPr>
              <w:t>2</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7</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2</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9</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2</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Intermediate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-6</w:t>
            </w:r>
            <w:r w:rsidR="002058EC">
              <w:rPr>
                <w:sz w:val="22"/>
                <w:szCs w:val="22"/>
              </w:rPr>
              <w:t>.</w:t>
            </w:r>
            <w:r w:rsidRPr="00F91693">
              <w:rPr>
                <w:sz w:val="22"/>
                <w:szCs w:val="22"/>
              </w:rPr>
              <w:t>1</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3</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4</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6</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6</w:t>
            </w: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Investment goods</w:t>
            </w:r>
          </w:p>
        </w:tc>
        <w:tc>
          <w:tcPr>
            <w:tcW w:w="1260" w:type="dxa"/>
            <w:tcBorders>
              <w:top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1</w:t>
            </w:r>
          </w:p>
        </w:tc>
        <w:tc>
          <w:tcPr>
            <w:tcW w:w="1125" w:type="dxa"/>
            <w:tcBorders>
              <w:top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5</w:t>
            </w:r>
          </w:p>
        </w:tc>
        <w:tc>
          <w:tcPr>
            <w:tcW w:w="1192" w:type="dxa"/>
            <w:tcBorders>
              <w:top w:val="nil"/>
            </w:tcBorders>
            <w:vAlign w:val="center"/>
          </w:tcPr>
          <w:p w:rsidR="00F91693" w:rsidRPr="00F91693" w:rsidRDefault="00F91693" w:rsidP="00BB0703">
            <w:pPr>
              <w:ind w:right="42"/>
              <w:jc w:val="center"/>
            </w:pPr>
            <w:r w:rsidRPr="00F91693">
              <w:rPr>
                <w:sz w:val="22"/>
                <w:szCs w:val="22"/>
              </w:rPr>
              <w:t>5</w:t>
            </w:r>
            <w:r w:rsidR="002058EC">
              <w:rPr>
                <w:sz w:val="22"/>
                <w:szCs w:val="22"/>
              </w:rPr>
              <w:t>.</w:t>
            </w:r>
            <w:r w:rsidRPr="00F91693">
              <w:rPr>
                <w:sz w:val="22"/>
                <w:szCs w:val="22"/>
              </w:rPr>
              <w:t>9</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6</w:t>
            </w:r>
          </w:p>
        </w:tc>
        <w:tc>
          <w:tcPr>
            <w:tcW w:w="1035" w:type="dxa"/>
            <w:tcBorders>
              <w:top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7</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Capacity Utilization Rate (CUR)</w:t>
            </w:r>
          </w:p>
        </w:tc>
        <w:tc>
          <w:tcPr>
            <w:tcW w:w="1260" w:type="dxa"/>
            <w:tcBorders>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3</w:t>
            </w:r>
          </w:p>
        </w:tc>
        <w:tc>
          <w:tcPr>
            <w:tcW w:w="1125" w:type="dxa"/>
            <w:tcBorders>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5</w:t>
            </w:r>
          </w:p>
        </w:tc>
        <w:tc>
          <w:tcPr>
            <w:tcW w:w="1192" w:type="dxa"/>
            <w:tcBorders>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2</w:t>
            </w:r>
          </w:p>
        </w:tc>
        <w:tc>
          <w:tcPr>
            <w:tcW w:w="1193" w:type="dxa"/>
            <w:tcBorders>
              <w:bottom w:val="nil"/>
              <w:right w:val="double" w:sz="4" w:space="0" w:color="auto"/>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7</w:t>
            </w:r>
          </w:p>
        </w:tc>
        <w:tc>
          <w:tcPr>
            <w:tcW w:w="1035" w:type="dxa"/>
            <w:tcBorders>
              <w:left w:val="double" w:sz="4" w:space="0" w:color="auto"/>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2</w:t>
            </w:r>
          </w:p>
        </w:tc>
        <w:tc>
          <w:tcPr>
            <w:tcW w:w="1035" w:type="dxa"/>
            <w:tcBorders>
              <w:bottom w:val="nil"/>
            </w:tcBorders>
            <w:vAlign w:val="center"/>
          </w:tcPr>
          <w:p w:rsidR="00F91693" w:rsidRPr="00F91693" w:rsidRDefault="00F91693" w:rsidP="00BB0703">
            <w:pPr>
              <w:ind w:right="42"/>
              <w:jc w:val="center"/>
              <w:rPr>
                <w:b/>
                <w:bCs/>
              </w:rPr>
            </w:pPr>
            <w:r w:rsidRPr="00F91693">
              <w:rPr>
                <w:b/>
                <w:bCs/>
                <w:sz w:val="22"/>
                <w:szCs w:val="22"/>
              </w:rPr>
              <w:t>-0</w:t>
            </w:r>
            <w:r w:rsidR="002058EC">
              <w:rPr>
                <w:b/>
                <w:bCs/>
                <w:sz w:val="22"/>
                <w:szCs w:val="22"/>
              </w:rPr>
              <w:t>.</w:t>
            </w:r>
            <w:r w:rsidRPr="00F91693">
              <w:rPr>
                <w:b/>
                <w:bCs/>
                <w:sz w:val="22"/>
                <w:szCs w:val="22"/>
              </w:rPr>
              <w:t>2</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Nondurable consumer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1</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8</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6</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2</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3</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3</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Durable consumer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1</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0</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3</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6</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4</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8</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Intermediate goods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7</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6</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1</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3</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2</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6</w:t>
            </w: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Investment goods</w:t>
            </w:r>
          </w:p>
        </w:tc>
        <w:tc>
          <w:tcPr>
            <w:tcW w:w="1260" w:type="dxa"/>
            <w:tcBorders>
              <w:top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2</w:t>
            </w:r>
          </w:p>
        </w:tc>
        <w:tc>
          <w:tcPr>
            <w:tcW w:w="1125" w:type="dxa"/>
            <w:tcBorders>
              <w:top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1</w:t>
            </w:r>
          </w:p>
        </w:tc>
        <w:tc>
          <w:tcPr>
            <w:tcW w:w="1192" w:type="dxa"/>
            <w:tcBorders>
              <w:top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1</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5</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6</w:t>
            </w:r>
          </w:p>
        </w:tc>
        <w:tc>
          <w:tcPr>
            <w:tcW w:w="1035" w:type="dxa"/>
            <w:tcBorders>
              <w:top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2</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Soft Data</w:t>
            </w:r>
          </w:p>
        </w:tc>
        <w:tc>
          <w:tcPr>
            <w:tcW w:w="1260" w:type="dxa"/>
            <w:tcBorders>
              <w:bottom w:val="nil"/>
            </w:tcBorders>
            <w:vAlign w:val="center"/>
          </w:tcPr>
          <w:p w:rsidR="00F91693" w:rsidRPr="00F91693" w:rsidRDefault="00F91693" w:rsidP="00BB0703">
            <w:pPr>
              <w:ind w:right="42"/>
              <w:jc w:val="center"/>
              <w:rPr>
                <w:b/>
                <w:bCs/>
              </w:rPr>
            </w:pPr>
          </w:p>
        </w:tc>
        <w:tc>
          <w:tcPr>
            <w:tcW w:w="1125" w:type="dxa"/>
            <w:tcBorders>
              <w:bottom w:val="nil"/>
            </w:tcBorders>
            <w:vAlign w:val="center"/>
          </w:tcPr>
          <w:p w:rsidR="00F91693" w:rsidRPr="00F91693" w:rsidRDefault="00F91693" w:rsidP="00BB0703">
            <w:pPr>
              <w:ind w:right="42"/>
              <w:jc w:val="center"/>
              <w:rPr>
                <w:b/>
                <w:bCs/>
              </w:rPr>
            </w:pPr>
          </w:p>
        </w:tc>
        <w:tc>
          <w:tcPr>
            <w:tcW w:w="1192" w:type="dxa"/>
            <w:tcBorders>
              <w:bottom w:val="nil"/>
            </w:tcBorders>
            <w:vAlign w:val="center"/>
          </w:tcPr>
          <w:p w:rsidR="00F91693" w:rsidRPr="00F91693" w:rsidRDefault="00F91693" w:rsidP="00BB0703">
            <w:pPr>
              <w:ind w:right="42"/>
              <w:jc w:val="center"/>
              <w:rPr>
                <w:b/>
                <w:bCs/>
              </w:rPr>
            </w:pPr>
          </w:p>
        </w:tc>
        <w:tc>
          <w:tcPr>
            <w:tcW w:w="1193" w:type="dxa"/>
            <w:tcBorders>
              <w:bottom w:val="nil"/>
              <w:right w:val="double" w:sz="4" w:space="0" w:color="auto"/>
            </w:tcBorders>
            <w:vAlign w:val="center"/>
          </w:tcPr>
          <w:p w:rsidR="00F91693" w:rsidRPr="00F91693" w:rsidRDefault="00F91693" w:rsidP="00BB0703">
            <w:pPr>
              <w:ind w:right="42"/>
              <w:jc w:val="center"/>
              <w:rPr>
                <w:b/>
                <w:bCs/>
              </w:rPr>
            </w:pPr>
          </w:p>
        </w:tc>
        <w:tc>
          <w:tcPr>
            <w:tcW w:w="1035" w:type="dxa"/>
            <w:tcBorders>
              <w:left w:val="double" w:sz="4" w:space="0" w:color="auto"/>
              <w:bottom w:val="nil"/>
            </w:tcBorders>
            <w:vAlign w:val="center"/>
          </w:tcPr>
          <w:p w:rsidR="00F91693" w:rsidRPr="00F91693" w:rsidRDefault="00F91693" w:rsidP="00BB0703">
            <w:pPr>
              <w:ind w:right="42"/>
              <w:jc w:val="center"/>
              <w:rPr>
                <w:b/>
                <w:bCs/>
              </w:rPr>
            </w:pPr>
          </w:p>
        </w:tc>
        <w:tc>
          <w:tcPr>
            <w:tcW w:w="1035" w:type="dxa"/>
            <w:tcBorders>
              <w:bottom w:val="nil"/>
            </w:tcBorders>
            <w:vAlign w:val="center"/>
          </w:tcPr>
          <w:p w:rsidR="00F91693" w:rsidRPr="00F91693" w:rsidRDefault="00F91693" w:rsidP="00BB0703">
            <w:pPr>
              <w:ind w:right="42"/>
              <w:jc w:val="center"/>
              <w:rPr>
                <w:b/>
                <w:bCs/>
              </w:rPr>
            </w:pP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Consumer confidence index (Turkstat)</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3</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6</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2</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4</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7</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6</w:t>
            </w: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Reel sector confidence index</w:t>
            </w:r>
          </w:p>
        </w:tc>
        <w:tc>
          <w:tcPr>
            <w:tcW w:w="1260" w:type="dxa"/>
            <w:tcBorders>
              <w:top w:val="nil"/>
            </w:tcBorders>
            <w:vAlign w:val="center"/>
          </w:tcPr>
          <w:p w:rsidR="00F91693" w:rsidRPr="00F91693" w:rsidRDefault="00F91693" w:rsidP="00BB0703">
            <w:pPr>
              <w:ind w:right="42"/>
              <w:jc w:val="center"/>
            </w:pPr>
            <w:r w:rsidRPr="00F91693">
              <w:rPr>
                <w:sz w:val="22"/>
                <w:szCs w:val="22"/>
              </w:rPr>
              <w:t>-1</w:t>
            </w:r>
            <w:r w:rsidR="002058EC">
              <w:rPr>
                <w:sz w:val="22"/>
                <w:szCs w:val="22"/>
              </w:rPr>
              <w:t>.</w:t>
            </w:r>
            <w:r w:rsidRPr="00F91693">
              <w:rPr>
                <w:sz w:val="22"/>
                <w:szCs w:val="22"/>
              </w:rPr>
              <w:t>4</w:t>
            </w:r>
          </w:p>
        </w:tc>
        <w:tc>
          <w:tcPr>
            <w:tcW w:w="1125" w:type="dxa"/>
            <w:tcBorders>
              <w:top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2</w:t>
            </w:r>
          </w:p>
        </w:tc>
        <w:tc>
          <w:tcPr>
            <w:tcW w:w="1192" w:type="dxa"/>
            <w:tcBorders>
              <w:top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6</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8</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4</w:t>
            </w:r>
            <w:r w:rsidR="002058EC">
              <w:rPr>
                <w:sz w:val="22"/>
                <w:szCs w:val="22"/>
              </w:rPr>
              <w:t>.</w:t>
            </w:r>
            <w:r w:rsidRPr="00F91693">
              <w:rPr>
                <w:sz w:val="22"/>
                <w:szCs w:val="22"/>
              </w:rPr>
              <w:t>6</w:t>
            </w:r>
          </w:p>
        </w:tc>
        <w:tc>
          <w:tcPr>
            <w:tcW w:w="1035" w:type="dxa"/>
            <w:tcBorders>
              <w:top w:val="nil"/>
            </w:tcBorders>
            <w:vAlign w:val="center"/>
          </w:tcPr>
          <w:p w:rsidR="00F91693" w:rsidRPr="00F91693" w:rsidRDefault="00F91693" w:rsidP="00BB0703">
            <w:pPr>
              <w:ind w:right="42"/>
              <w:jc w:val="center"/>
            </w:pPr>
            <w:r w:rsidRPr="00F91693">
              <w:rPr>
                <w:sz w:val="22"/>
                <w:szCs w:val="22"/>
              </w:rPr>
              <w:t>-0</w:t>
            </w:r>
            <w:r w:rsidR="002058EC">
              <w:rPr>
                <w:sz w:val="22"/>
                <w:szCs w:val="22"/>
              </w:rPr>
              <w:t>.</w:t>
            </w:r>
            <w:r w:rsidRPr="00F91693">
              <w:rPr>
                <w:sz w:val="22"/>
                <w:szCs w:val="22"/>
              </w:rPr>
              <w:t>8</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Financial Data</w:t>
            </w:r>
          </w:p>
        </w:tc>
        <w:tc>
          <w:tcPr>
            <w:tcW w:w="1260" w:type="dxa"/>
            <w:tcBorders>
              <w:bottom w:val="nil"/>
            </w:tcBorders>
            <w:vAlign w:val="center"/>
          </w:tcPr>
          <w:p w:rsidR="00F91693" w:rsidRPr="00F91693" w:rsidRDefault="00F91693" w:rsidP="00BB0703">
            <w:pPr>
              <w:ind w:right="42"/>
              <w:jc w:val="center"/>
              <w:rPr>
                <w:b/>
                <w:bCs/>
              </w:rPr>
            </w:pPr>
          </w:p>
        </w:tc>
        <w:tc>
          <w:tcPr>
            <w:tcW w:w="1125" w:type="dxa"/>
            <w:tcBorders>
              <w:bottom w:val="nil"/>
            </w:tcBorders>
            <w:vAlign w:val="center"/>
          </w:tcPr>
          <w:p w:rsidR="00F91693" w:rsidRPr="00F91693" w:rsidRDefault="00F91693" w:rsidP="00BB0703">
            <w:pPr>
              <w:ind w:right="42"/>
              <w:jc w:val="center"/>
              <w:rPr>
                <w:b/>
                <w:bCs/>
              </w:rPr>
            </w:pPr>
          </w:p>
        </w:tc>
        <w:tc>
          <w:tcPr>
            <w:tcW w:w="1192" w:type="dxa"/>
            <w:tcBorders>
              <w:bottom w:val="nil"/>
            </w:tcBorders>
            <w:vAlign w:val="center"/>
          </w:tcPr>
          <w:p w:rsidR="00F91693" w:rsidRPr="00F91693" w:rsidRDefault="00F91693" w:rsidP="00BB0703">
            <w:pPr>
              <w:ind w:right="42"/>
              <w:jc w:val="center"/>
              <w:rPr>
                <w:b/>
                <w:bCs/>
              </w:rPr>
            </w:pPr>
          </w:p>
        </w:tc>
        <w:tc>
          <w:tcPr>
            <w:tcW w:w="1193" w:type="dxa"/>
            <w:tcBorders>
              <w:bottom w:val="nil"/>
              <w:right w:val="double" w:sz="4" w:space="0" w:color="auto"/>
            </w:tcBorders>
            <w:vAlign w:val="center"/>
          </w:tcPr>
          <w:p w:rsidR="00F91693" w:rsidRPr="00F91693" w:rsidRDefault="00F91693" w:rsidP="00BB0703">
            <w:pPr>
              <w:ind w:right="42"/>
              <w:jc w:val="center"/>
              <w:rPr>
                <w:b/>
                <w:bCs/>
              </w:rPr>
            </w:pPr>
          </w:p>
        </w:tc>
        <w:tc>
          <w:tcPr>
            <w:tcW w:w="1035" w:type="dxa"/>
            <w:tcBorders>
              <w:left w:val="double" w:sz="4" w:space="0" w:color="auto"/>
              <w:bottom w:val="nil"/>
            </w:tcBorders>
            <w:vAlign w:val="center"/>
          </w:tcPr>
          <w:p w:rsidR="00F91693" w:rsidRPr="00F91693" w:rsidRDefault="00F91693" w:rsidP="00BB0703">
            <w:pPr>
              <w:ind w:right="42"/>
              <w:jc w:val="center"/>
              <w:rPr>
                <w:b/>
                <w:bCs/>
              </w:rPr>
            </w:pPr>
          </w:p>
        </w:tc>
        <w:tc>
          <w:tcPr>
            <w:tcW w:w="1035" w:type="dxa"/>
            <w:tcBorders>
              <w:bottom w:val="nil"/>
            </w:tcBorders>
            <w:vAlign w:val="center"/>
          </w:tcPr>
          <w:p w:rsidR="00F91693" w:rsidRPr="00F91693" w:rsidRDefault="00F91693" w:rsidP="00BB0703">
            <w:pPr>
              <w:ind w:right="42"/>
              <w:jc w:val="center"/>
              <w:rPr>
                <w:b/>
                <w:bCs/>
              </w:rPr>
            </w:pP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IMKB 100 (Stock Exchange)</w:t>
            </w:r>
          </w:p>
        </w:tc>
        <w:tc>
          <w:tcPr>
            <w:tcW w:w="1260" w:type="dxa"/>
            <w:tcBorders>
              <w:top w:val="nil"/>
            </w:tcBorders>
            <w:vAlign w:val="center"/>
          </w:tcPr>
          <w:p w:rsidR="00F91693" w:rsidRPr="00F91693" w:rsidRDefault="00F91693" w:rsidP="00BB0703">
            <w:pPr>
              <w:ind w:right="42"/>
              <w:jc w:val="center"/>
            </w:pPr>
            <w:r w:rsidRPr="00F91693">
              <w:rPr>
                <w:sz w:val="22"/>
                <w:szCs w:val="22"/>
              </w:rPr>
              <w:t>5</w:t>
            </w:r>
            <w:r w:rsidR="002058EC">
              <w:rPr>
                <w:sz w:val="22"/>
                <w:szCs w:val="22"/>
              </w:rPr>
              <w:t>.</w:t>
            </w:r>
            <w:r w:rsidRPr="00F91693">
              <w:rPr>
                <w:sz w:val="22"/>
                <w:szCs w:val="22"/>
              </w:rPr>
              <w:t>7</w:t>
            </w:r>
          </w:p>
        </w:tc>
        <w:tc>
          <w:tcPr>
            <w:tcW w:w="1125" w:type="dxa"/>
            <w:tcBorders>
              <w:top w:val="nil"/>
            </w:tcBorders>
            <w:vAlign w:val="center"/>
          </w:tcPr>
          <w:p w:rsidR="00F91693" w:rsidRPr="00F91693" w:rsidRDefault="00F91693" w:rsidP="00BB0703">
            <w:pPr>
              <w:ind w:right="42"/>
              <w:jc w:val="center"/>
            </w:pPr>
            <w:r w:rsidRPr="00F91693">
              <w:rPr>
                <w:sz w:val="22"/>
                <w:szCs w:val="22"/>
              </w:rPr>
              <w:t>4</w:t>
            </w:r>
            <w:r w:rsidR="002058EC">
              <w:rPr>
                <w:sz w:val="22"/>
                <w:szCs w:val="22"/>
              </w:rPr>
              <w:t>.</w:t>
            </w:r>
            <w:r w:rsidRPr="00F91693">
              <w:rPr>
                <w:sz w:val="22"/>
                <w:szCs w:val="22"/>
              </w:rPr>
              <w:t>0</w:t>
            </w:r>
          </w:p>
        </w:tc>
        <w:tc>
          <w:tcPr>
            <w:tcW w:w="1192" w:type="dxa"/>
            <w:tcBorders>
              <w:top w:val="nil"/>
            </w:tcBorders>
            <w:vAlign w:val="center"/>
          </w:tcPr>
          <w:p w:rsidR="00F91693" w:rsidRPr="00F91693" w:rsidRDefault="00F91693" w:rsidP="00BB0703">
            <w:pPr>
              <w:ind w:right="42"/>
              <w:jc w:val="center"/>
            </w:pPr>
            <w:r w:rsidRPr="00F91693">
              <w:rPr>
                <w:sz w:val="22"/>
                <w:szCs w:val="22"/>
              </w:rPr>
              <w:t>-3</w:t>
            </w:r>
            <w:r w:rsidR="002058EC">
              <w:rPr>
                <w:sz w:val="22"/>
                <w:szCs w:val="22"/>
              </w:rPr>
              <w:t>.</w:t>
            </w:r>
            <w:r w:rsidRPr="00F91693">
              <w:rPr>
                <w:sz w:val="22"/>
                <w:szCs w:val="22"/>
              </w:rPr>
              <w:t>9</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6</w:t>
            </w:r>
            <w:r w:rsidR="002058EC">
              <w:rPr>
                <w:sz w:val="22"/>
                <w:szCs w:val="22"/>
              </w:rPr>
              <w:t>.</w:t>
            </w:r>
            <w:r w:rsidRPr="00F91693">
              <w:rPr>
                <w:sz w:val="22"/>
                <w:szCs w:val="22"/>
              </w:rPr>
              <w:t>1</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8</w:t>
            </w:r>
            <w:r w:rsidR="002058EC">
              <w:rPr>
                <w:sz w:val="22"/>
                <w:szCs w:val="22"/>
              </w:rPr>
              <w:t>.</w:t>
            </w:r>
            <w:r w:rsidRPr="00F91693">
              <w:rPr>
                <w:sz w:val="22"/>
                <w:szCs w:val="22"/>
              </w:rPr>
              <w:t>7</w:t>
            </w:r>
          </w:p>
        </w:tc>
        <w:tc>
          <w:tcPr>
            <w:tcW w:w="1035" w:type="dxa"/>
            <w:tcBorders>
              <w:top w:val="nil"/>
            </w:tcBorders>
            <w:vAlign w:val="center"/>
          </w:tcPr>
          <w:p w:rsidR="00F91693" w:rsidRPr="00F91693" w:rsidRDefault="00F91693" w:rsidP="00BB0703">
            <w:pPr>
              <w:ind w:right="42"/>
              <w:jc w:val="center"/>
            </w:pPr>
            <w:r w:rsidRPr="00F91693">
              <w:rPr>
                <w:sz w:val="22"/>
                <w:szCs w:val="22"/>
              </w:rPr>
              <w:t>9</w:t>
            </w:r>
            <w:r w:rsidR="002058EC">
              <w:rPr>
                <w:sz w:val="22"/>
                <w:szCs w:val="22"/>
              </w:rPr>
              <w:t>.</w:t>
            </w:r>
            <w:r w:rsidRPr="00F91693">
              <w:rPr>
                <w:sz w:val="22"/>
                <w:szCs w:val="22"/>
              </w:rPr>
              <w:t>0</w:t>
            </w:r>
          </w:p>
        </w:tc>
      </w:tr>
      <w:tr w:rsidR="00F91693" w:rsidRPr="00047F4D" w:rsidTr="00F91693">
        <w:trPr>
          <w:trHeight w:val="370"/>
        </w:trPr>
        <w:tc>
          <w:tcPr>
            <w:tcW w:w="3420" w:type="dxa"/>
            <w:tcBorders>
              <w:bottom w:val="nil"/>
            </w:tcBorders>
            <w:vAlign w:val="bottom"/>
          </w:tcPr>
          <w:p w:rsidR="00F91693" w:rsidRPr="00F91693" w:rsidRDefault="00F91693" w:rsidP="00BB0703">
            <w:pPr>
              <w:spacing w:line="288" w:lineRule="auto"/>
              <w:ind w:right="77"/>
              <w:rPr>
                <w:b/>
                <w:sz w:val="20"/>
                <w:szCs w:val="20"/>
              </w:rPr>
            </w:pPr>
            <w:r w:rsidRPr="00F91693">
              <w:rPr>
                <w:b/>
                <w:sz w:val="20"/>
                <w:szCs w:val="20"/>
              </w:rPr>
              <w:t>Other</w:t>
            </w:r>
          </w:p>
        </w:tc>
        <w:tc>
          <w:tcPr>
            <w:tcW w:w="1260" w:type="dxa"/>
            <w:tcBorders>
              <w:bottom w:val="nil"/>
            </w:tcBorders>
            <w:vAlign w:val="center"/>
          </w:tcPr>
          <w:p w:rsidR="00F91693" w:rsidRPr="00F91693" w:rsidRDefault="00F91693" w:rsidP="00BB0703">
            <w:pPr>
              <w:ind w:right="42"/>
              <w:jc w:val="center"/>
            </w:pPr>
          </w:p>
        </w:tc>
        <w:tc>
          <w:tcPr>
            <w:tcW w:w="1125" w:type="dxa"/>
            <w:tcBorders>
              <w:bottom w:val="nil"/>
            </w:tcBorders>
            <w:vAlign w:val="center"/>
          </w:tcPr>
          <w:p w:rsidR="00F91693" w:rsidRPr="00F91693" w:rsidRDefault="00F91693" w:rsidP="00BB0703">
            <w:pPr>
              <w:ind w:right="42"/>
              <w:jc w:val="center"/>
            </w:pPr>
          </w:p>
        </w:tc>
        <w:tc>
          <w:tcPr>
            <w:tcW w:w="1192" w:type="dxa"/>
            <w:tcBorders>
              <w:bottom w:val="nil"/>
            </w:tcBorders>
            <w:vAlign w:val="center"/>
          </w:tcPr>
          <w:p w:rsidR="00F91693" w:rsidRPr="00F91693" w:rsidRDefault="00F91693" w:rsidP="00BB0703">
            <w:pPr>
              <w:ind w:right="42"/>
              <w:jc w:val="center"/>
            </w:pPr>
          </w:p>
        </w:tc>
        <w:tc>
          <w:tcPr>
            <w:tcW w:w="1193" w:type="dxa"/>
            <w:tcBorders>
              <w:bottom w:val="nil"/>
              <w:right w:val="double" w:sz="4" w:space="0" w:color="auto"/>
            </w:tcBorders>
            <w:vAlign w:val="center"/>
          </w:tcPr>
          <w:p w:rsidR="00F91693" w:rsidRPr="00F91693" w:rsidRDefault="00F91693" w:rsidP="00BB0703">
            <w:pPr>
              <w:ind w:right="42"/>
              <w:jc w:val="center"/>
            </w:pPr>
          </w:p>
        </w:tc>
        <w:tc>
          <w:tcPr>
            <w:tcW w:w="1035" w:type="dxa"/>
            <w:tcBorders>
              <w:left w:val="double" w:sz="4" w:space="0" w:color="auto"/>
              <w:bottom w:val="nil"/>
            </w:tcBorders>
            <w:vAlign w:val="center"/>
          </w:tcPr>
          <w:p w:rsidR="00F91693" w:rsidRPr="00F91693" w:rsidRDefault="00F91693" w:rsidP="00BB0703">
            <w:pPr>
              <w:ind w:right="42"/>
              <w:jc w:val="center"/>
            </w:pPr>
          </w:p>
        </w:tc>
        <w:tc>
          <w:tcPr>
            <w:tcW w:w="1035" w:type="dxa"/>
            <w:tcBorders>
              <w:bottom w:val="nil"/>
            </w:tcBorders>
            <w:vAlign w:val="center"/>
          </w:tcPr>
          <w:p w:rsidR="00F91693" w:rsidRPr="00F91693" w:rsidRDefault="00F91693" w:rsidP="00BB0703">
            <w:pPr>
              <w:ind w:right="42"/>
              <w:jc w:val="center"/>
            </w:pP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sidRPr="00F91693">
              <w:rPr>
                <w:sz w:val="20"/>
                <w:szCs w:val="20"/>
              </w:rPr>
              <w:t>Special consumption tax* (SCT)</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4</w:t>
            </w:r>
            <w:r w:rsidR="002058EC">
              <w:rPr>
                <w:sz w:val="22"/>
                <w:szCs w:val="22"/>
              </w:rPr>
              <w:t>.</w:t>
            </w:r>
            <w:r w:rsidRPr="00F91693">
              <w:rPr>
                <w:sz w:val="22"/>
                <w:szCs w:val="22"/>
              </w:rPr>
              <w:t>7</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8</w:t>
            </w:r>
            <w:r w:rsidR="002058EC">
              <w:rPr>
                <w:sz w:val="22"/>
                <w:szCs w:val="22"/>
              </w:rPr>
              <w:t>.</w:t>
            </w:r>
            <w:r w:rsidRPr="00F91693">
              <w:rPr>
                <w:sz w:val="22"/>
                <w:szCs w:val="22"/>
              </w:rPr>
              <w:t>6</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-7</w:t>
            </w:r>
            <w:r w:rsidR="002058EC">
              <w:rPr>
                <w:sz w:val="22"/>
                <w:szCs w:val="22"/>
              </w:rPr>
              <w:t>.</w:t>
            </w:r>
            <w:r w:rsidRPr="00F91693">
              <w:rPr>
                <w:sz w:val="22"/>
                <w:szCs w:val="22"/>
              </w:rPr>
              <w:t>8</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9</w:t>
            </w:r>
            <w:r w:rsidR="002058EC">
              <w:rPr>
                <w:sz w:val="22"/>
                <w:szCs w:val="22"/>
              </w:rPr>
              <w:t>.</w:t>
            </w:r>
            <w:r w:rsidRPr="00F91693">
              <w:rPr>
                <w:sz w:val="22"/>
                <w:szCs w:val="22"/>
              </w:rPr>
              <w:t>5</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4</w:t>
            </w:r>
            <w:r w:rsidR="002058EC">
              <w:rPr>
                <w:sz w:val="22"/>
                <w:szCs w:val="22"/>
              </w:rPr>
              <w:t>.</w:t>
            </w:r>
            <w:r w:rsidRPr="00F91693">
              <w:rPr>
                <w:sz w:val="22"/>
                <w:szCs w:val="22"/>
              </w:rPr>
              <w:t>2</w:t>
            </w:r>
          </w:p>
        </w:tc>
      </w:tr>
      <w:tr w:rsidR="00F91693" w:rsidRPr="00047F4D" w:rsidTr="00F91693">
        <w:trPr>
          <w:trHeight w:val="370"/>
        </w:trPr>
        <w:tc>
          <w:tcPr>
            <w:tcW w:w="3420" w:type="dxa"/>
            <w:tcBorders>
              <w:top w:val="nil"/>
              <w:bottom w:val="nil"/>
            </w:tcBorders>
            <w:vAlign w:val="bottom"/>
          </w:tcPr>
          <w:p w:rsidR="00F91693" w:rsidRPr="00F91693" w:rsidRDefault="00F91693" w:rsidP="00BB0703">
            <w:pPr>
              <w:spacing w:line="288" w:lineRule="auto"/>
              <w:ind w:right="77"/>
              <w:rPr>
                <w:sz w:val="20"/>
                <w:szCs w:val="20"/>
              </w:rPr>
            </w:pPr>
            <w:r>
              <w:rPr>
                <w:sz w:val="20"/>
                <w:szCs w:val="20"/>
              </w:rPr>
              <w:t>Passenger Cars</w:t>
            </w:r>
          </w:p>
        </w:tc>
        <w:tc>
          <w:tcPr>
            <w:tcW w:w="1260" w:type="dxa"/>
            <w:tcBorders>
              <w:top w:val="nil"/>
              <w:bottom w:val="nil"/>
            </w:tcBorders>
            <w:vAlign w:val="center"/>
          </w:tcPr>
          <w:p w:rsidR="00F91693" w:rsidRPr="00F91693" w:rsidRDefault="00F91693" w:rsidP="00BB0703">
            <w:pPr>
              <w:ind w:right="42"/>
              <w:jc w:val="center"/>
            </w:pPr>
            <w:r w:rsidRPr="00F91693">
              <w:rPr>
                <w:sz w:val="22"/>
                <w:szCs w:val="22"/>
              </w:rPr>
              <w:t>-10</w:t>
            </w:r>
            <w:r w:rsidR="002058EC">
              <w:rPr>
                <w:sz w:val="22"/>
                <w:szCs w:val="22"/>
              </w:rPr>
              <w:t>.</w:t>
            </w:r>
            <w:r w:rsidRPr="00F91693">
              <w:rPr>
                <w:sz w:val="22"/>
                <w:szCs w:val="22"/>
              </w:rPr>
              <w:t>6</w:t>
            </w:r>
          </w:p>
        </w:tc>
        <w:tc>
          <w:tcPr>
            <w:tcW w:w="1125" w:type="dxa"/>
            <w:tcBorders>
              <w:top w:val="nil"/>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4</w:t>
            </w:r>
          </w:p>
        </w:tc>
        <w:tc>
          <w:tcPr>
            <w:tcW w:w="1192" w:type="dxa"/>
            <w:tcBorders>
              <w:top w:val="nil"/>
              <w:bottom w:val="nil"/>
            </w:tcBorders>
            <w:vAlign w:val="center"/>
          </w:tcPr>
          <w:p w:rsidR="00F91693" w:rsidRPr="00F91693" w:rsidRDefault="00F91693" w:rsidP="00BB0703">
            <w:pPr>
              <w:ind w:right="42"/>
              <w:jc w:val="center"/>
            </w:pPr>
            <w:r w:rsidRPr="00F91693">
              <w:rPr>
                <w:sz w:val="22"/>
                <w:szCs w:val="22"/>
              </w:rPr>
              <w:t>5</w:t>
            </w:r>
            <w:r w:rsidR="002058EC">
              <w:rPr>
                <w:sz w:val="22"/>
                <w:szCs w:val="22"/>
              </w:rPr>
              <w:t>.</w:t>
            </w:r>
            <w:r w:rsidRPr="00F91693">
              <w:rPr>
                <w:sz w:val="22"/>
                <w:szCs w:val="22"/>
              </w:rPr>
              <w:t>3</w:t>
            </w:r>
          </w:p>
        </w:tc>
        <w:tc>
          <w:tcPr>
            <w:tcW w:w="1193" w:type="dxa"/>
            <w:tcBorders>
              <w:top w:val="nil"/>
              <w:bottom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bottom w:val="nil"/>
            </w:tcBorders>
            <w:vAlign w:val="center"/>
          </w:tcPr>
          <w:p w:rsidR="00F91693" w:rsidRPr="00F91693" w:rsidRDefault="00F91693" w:rsidP="00BB0703">
            <w:pPr>
              <w:ind w:right="42"/>
              <w:jc w:val="center"/>
            </w:pPr>
            <w:r w:rsidRPr="00F91693">
              <w:rPr>
                <w:sz w:val="22"/>
                <w:szCs w:val="22"/>
              </w:rPr>
              <w:t>4</w:t>
            </w:r>
            <w:r w:rsidR="002058EC">
              <w:rPr>
                <w:sz w:val="22"/>
                <w:szCs w:val="22"/>
              </w:rPr>
              <w:t>.</w:t>
            </w:r>
            <w:r w:rsidRPr="00F91693">
              <w:rPr>
                <w:sz w:val="22"/>
                <w:szCs w:val="22"/>
              </w:rPr>
              <w:t>2</w:t>
            </w:r>
          </w:p>
        </w:tc>
        <w:tc>
          <w:tcPr>
            <w:tcW w:w="1035" w:type="dxa"/>
            <w:tcBorders>
              <w:top w:val="nil"/>
              <w:bottom w:val="nil"/>
            </w:tcBorders>
            <w:vAlign w:val="center"/>
          </w:tcPr>
          <w:p w:rsidR="00F91693" w:rsidRPr="00F91693" w:rsidRDefault="00F91693" w:rsidP="00BB0703">
            <w:pPr>
              <w:ind w:right="42"/>
              <w:jc w:val="center"/>
            </w:pPr>
            <w:r w:rsidRPr="00F91693">
              <w:rPr>
                <w:sz w:val="22"/>
                <w:szCs w:val="22"/>
              </w:rPr>
              <w:t>-2</w:t>
            </w:r>
            <w:r w:rsidR="002058EC">
              <w:rPr>
                <w:sz w:val="22"/>
                <w:szCs w:val="22"/>
              </w:rPr>
              <w:t>.</w:t>
            </w:r>
            <w:r w:rsidRPr="00F91693">
              <w:rPr>
                <w:sz w:val="22"/>
                <w:szCs w:val="22"/>
              </w:rPr>
              <w:t>4</w:t>
            </w:r>
          </w:p>
        </w:tc>
      </w:tr>
      <w:tr w:rsidR="00F91693" w:rsidRPr="00047F4D" w:rsidTr="00F91693">
        <w:trPr>
          <w:trHeight w:val="370"/>
        </w:trPr>
        <w:tc>
          <w:tcPr>
            <w:tcW w:w="3420" w:type="dxa"/>
            <w:tcBorders>
              <w:top w:val="nil"/>
            </w:tcBorders>
            <w:vAlign w:val="bottom"/>
          </w:tcPr>
          <w:p w:rsidR="00F91693" w:rsidRPr="00F91693" w:rsidRDefault="00F91693" w:rsidP="00BB0703">
            <w:pPr>
              <w:spacing w:line="288" w:lineRule="auto"/>
              <w:ind w:right="77"/>
              <w:rPr>
                <w:sz w:val="20"/>
                <w:szCs w:val="20"/>
              </w:rPr>
            </w:pPr>
            <w:r w:rsidRPr="00F91693">
              <w:rPr>
                <w:sz w:val="20"/>
                <w:szCs w:val="20"/>
              </w:rPr>
              <w:t>Commercial Vehicles</w:t>
            </w:r>
          </w:p>
        </w:tc>
        <w:tc>
          <w:tcPr>
            <w:tcW w:w="1260" w:type="dxa"/>
            <w:tcBorders>
              <w:top w:val="nil"/>
            </w:tcBorders>
            <w:vAlign w:val="center"/>
          </w:tcPr>
          <w:p w:rsidR="00F91693" w:rsidRPr="00F91693" w:rsidRDefault="00F91693" w:rsidP="00BB0703">
            <w:pPr>
              <w:ind w:right="42"/>
              <w:jc w:val="center"/>
            </w:pPr>
            <w:r w:rsidRPr="00F91693">
              <w:rPr>
                <w:sz w:val="22"/>
                <w:szCs w:val="22"/>
              </w:rPr>
              <w:t>-28</w:t>
            </w:r>
            <w:r w:rsidR="002058EC">
              <w:rPr>
                <w:sz w:val="22"/>
                <w:szCs w:val="22"/>
              </w:rPr>
              <w:t>.</w:t>
            </w:r>
            <w:r w:rsidRPr="00F91693">
              <w:rPr>
                <w:sz w:val="22"/>
                <w:szCs w:val="22"/>
              </w:rPr>
              <w:t>7</w:t>
            </w:r>
          </w:p>
        </w:tc>
        <w:tc>
          <w:tcPr>
            <w:tcW w:w="1125" w:type="dxa"/>
            <w:tcBorders>
              <w:top w:val="nil"/>
            </w:tcBorders>
            <w:vAlign w:val="center"/>
          </w:tcPr>
          <w:p w:rsidR="00F91693" w:rsidRPr="00F91693" w:rsidRDefault="00F91693" w:rsidP="00BB0703">
            <w:pPr>
              <w:ind w:right="42"/>
              <w:jc w:val="center"/>
            </w:pPr>
            <w:r w:rsidRPr="00F91693">
              <w:rPr>
                <w:sz w:val="22"/>
                <w:szCs w:val="22"/>
              </w:rPr>
              <w:t>51</w:t>
            </w:r>
            <w:r w:rsidR="002058EC">
              <w:rPr>
                <w:sz w:val="22"/>
                <w:szCs w:val="22"/>
              </w:rPr>
              <w:t>.</w:t>
            </w:r>
            <w:r w:rsidRPr="00F91693">
              <w:rPr>
                <w:sz w:val="22"/>
                <w:szCs w:val="22"/>
              </w:rPr>
              <w:t>1</w:t>
            </w:r>
          </w:p>
        </w:tc>
        <w:tc>
          <w:tcPr>
            <w:tcW w:w="1192" w:type="dxa"/>
            <w:tcBorders>
              <w:top w:val="nil"/>
            </w:tcBorders>
            <w:vAlign w:val="center"/>
          </w:tcPr>
          <w:p w:rsidR="00F91693" w:rsidRPr="00F91693" w:rsidRDefault="00F91693" w:rsidP="00BB0703">
            <w:pPr>
              <w:ind w:right="42"/>
              <w:jc w:val="center"/>
            </w:pPr>
            <w:r w:rsidRPr="00F91693">
              <w:rPr>
                <w:sz w:val="22"/>
                <w:szCs w:val="22"/>
              </w:rPr>
              <w:t>-5</w:t>
            </w:r>
            <w:r w:rsidR="002058EC">
              <w:rPr>
                <w:sz w:val="22"/>
                <w:szCs w:val="22"/>
              </w:rPr>
              <w:t>.</w:t>
            </w:r>
            <w:r w:rsidRPr="00F91693">
              <w:rPr>
                <w:sz w:val="22"/>
                <w:szCs w:val="22"/>
              </w:rPr>
              <w:t>2</w:t>
            </w:r>
          </w:p>
        </w:tc>
        <w:tc>
          <w:tcPr>
            <w:tcW w:w="1193" w:type="dxa"/>
            <w:tcBorders>
              <w:top w:val="nil"/>
              <w:right w:val="double" w:sz="4" w:space="0" w:color="auto"/>
            </w:tcBorders>
            <w:vAlign w:val="center"/>
          </w:tcPr>
          <w:p w:rsidR="00F91693" w:rsidRPr="00F91693" w:rsidRDefault="00F91693" w:rsidP="00BB0703">
            <w:pPr>
              <w:ind w:right="42"/>
              <w:jc w:val="center"/>
            </w:pPr>
            <w:r w:rsidRPr="00F91693">
              <w:rPr>
                <w:sz w:val="22"/>
                <w:szCs w:val="22"/>
              </w:rPr>
              <w:t>**</w:t>
            </w:r>
          </w:p>
        </w:tc>
        <w:tc>
          <w:tcPr>
            <w:tcW w:w="1035" w:type="dxa"/>
            <w:tcBorders>
              <w:top w:val="nil"/>
              <w:left w:val="double" w:sz="4" w:space="0" w:color="auto"/>
            </w:tcBorders>
            <w:vAlign w:val="center"/>
          </w:tcPr>
          <w:p w:rsidR="00F91693" w:rsidRPr="00F91693" w:rsidRDefault="00F91693" w:rsidP="00BB0703">
            <w:pPr>
              <w:ind w:right="42"/>
              <w:jc w:val="center"/>
            </w:pPr>
            <w:r w:rsidRPr="00F91693">
              <w:rPr>
                <w:sz w:val="22"/>
                <w:szCs w:val="22"/>
              </w:rPr>
              <w:t>-5</w:t>
            </w:r>
            <w:r w:rsidR="002058EC">
              <w:rPr>
                <w:sz w:val="22"/>
                <w:szCs w:val="22"/>
              </w:rPr>
              <w:t>.</w:t>
            </w:r>
            <w:r w:rsidRPr="00F91693">
              <w:rPr>
                <w:sz w:val="22"/>
                <w:szCs w:val="22"/>
              </w:rPr>
              <w:t>6</w:t>
            </w:r>
          </w:p>
        </w:tc>
        <w:tc>
          <w:tcPr>
            <w:tcW w:w="1035" w:type="dxa"/>
            <w:tcBorders>
              <w:top w:val="nil"/>
            </w:tcBorders>
            <w:vAlign w:val="center"/>
          </w:tcPr>
          <w:p w:rsidR="00F91693" w:rsidRPr="00F91693" w:rsidRDefault="00F91693" w:rsidP="00BB0703">
            <w:pPr>
              <w:ind w:right="42"/>
              <w:jc w:val="center"/>
            </w:pPr>
            <w:r w:rsidRPr="00F91693">
              <w:rPr>
                <w:sz w:val="22"/>
                <w:szCs w:val="22"/>
              </w:rPr>
              <w:t>17</w:t>
            </w:r>
            <w:r w:rsidR="002058EC">
              <w:rPr>
                <w:sz w:val="22"/>
                <w:szCs w:val="22"/>
              </w:rPr>
              <w:t>.</w:t>
            </w:r>
            <w:r w:rsidRPr="00F91693">
              <w:rPr>
                <w:sz w:val="22"/>
                <w:szCs w:val="22"/>
              </w:rPr>
              <w:t>4</w:t>
            </w:r>
          </w:p>
        </w:tc>
      </w:tr>
    </w:tbl>
    <w:p w:rsidR="008C6E50"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Source: TurkStat</w:t>
      </w:r>
      <w:r w:rsidR="008D71E7" w:rsidRPr="00F91693">
        <w:rPr>
          <w:sz w:val="16"/>
          <w:szCs w:val="16"/>
        </w:rPr>
        <w:t>,</w:t>
      </w:r>
      <w:r>
        <w:rPr>
          <w:sz w:val="16"/>
          <w:szCs w:val="16"/>
        </w:rPr>
        <w:t xml:space="preserve"> </w:t>
      </w:r>
      <w:r w:rsidR="00E03485" w:rsidRPr="00F91693">
        <w:rPr>
          <w:sz w:val="16"/>
          <w:szCs w:val="16"/>
        </w:rPr>
        <w:t>CBRT</w:t>
      </w:r>
      <w:r w:rsidR="008D71E7" w:rsidRPr="00F91693">
        <w:rPr>
          <w:sz w:val="16"/>
          <w:szCs w:val="16"/>
        </w:rPr>
        <w:t>,</w:t>
      </w:r>
      <w:r>
        <w:rPr>
          <w:sz w:val="16"/>
          <w:szCs w:val="16"/>
        </w:rPr>
        <w:t xml:space="preserve"> </w:t>
      </w:r>
      <w:r w:rsidR="00E823E8" w:rsidRPr="00F91693">
        <w:rPr>
          <w:sz w:val="16"/>
          <w:szCs w:val="16"/>
        </w:rPr>
        <w:t>Treasury</w:t>
      </w:r>
      <w:r w:rsidR="008D71E7" w:rsidRPr="00F91693">
        <w:rPr>
          <w:sz w:val="16"/>
          <w:szCs w:val="16"/>
        </w:rPr>
        <w:t>,</w:t>
      </w:r>
      <w:r>
        <w:rPr>
          <w:sz w:val="16"/>
          <w:szCs w:val="16"/>
        </w:rPr>
        <w:t xml:space="preserve"> </w:t>
      </w:r>
      <w:r w:rsidR="00E03485" w:rsidRPr="00F91693">
        <w:rPr>
          <w:sz w:val="16"/>
          <w:szCs w:val="16"/>
        </w:rPr>
        <w:t>ISE</w:t>
      </w:r>
      <w:r w:rsidR="008D71E7" w:rsidRPr="00F91693">
        <w:rPr>
          <w:sz w:val="16"/>
          <w:szCs w:val="16"/>
        </w:rPr>
        <w:t>,</w:t>
      </w:r>
      <w:r>
        <w:rPr>
          <w:sz w:val="16"/>
          <w:szCs w:val="16"/>
        </w:rPr>
        <w:t xml:space="preserve"> </w:t>
      </w:r>
      <w:r w:rsidR="00E823E8" w:rsidRPr="00F91693">
        <w:rPr>
          <w:sz w:val="16"/>
          <w:szCs w:val="16"/>
        </w:rPr>
        <w:t>Betam. All series are real (or inflation adjusted) wherever necessary and seasonally adjusted.</w:t>
      </w:r>
    </w:p>
    <w:p w:rsidR="00E823E8"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*This tax is collected on sales of goods such as gas</w:t>
      </w:r>
      <w:r w:rsidR="008D71E7" w:rsidRPr="00F91693">
        <w:rPr>
          <w:sz w:val="16"/>
          <w:szCs w:val="16"/>
        </w:rPr>
        <w:t xml:space="preserve">, </w:t>
      </w:r>
      <w:r w:rsidR="00E823E8" w:rsidRPr="00F91693">
        <w:rPr>
          <w:sz w:val="16"/>
          <w:szCs w:val="16"/>
        </w:rPr>
        <w:t>fuel oils</w:t>
      </w:r>
      <w:r w:rsidR="008D71E7" w:rsidRPr="00F91693">
        <w:rPr>
          <w:sz w:val="16"/>
          <w:szCs w:val="16"/>
        </w:rPr>
        <w:t xml:space="preserve">, </w:t>
      </w:r>
      <w:r w:rsidR="00E823E8" w:rsidRPr="00F91693">
        <w:rPr>
          <w:sz w:val="16"/>
          <w:szCs w:val="16"/>
        </w:rPr>
        <w:t>alcohol</w:t>
      </w:r>
      <w:r w:rsidR="008D71E7" w:rsidRPr="00F91693">
        <w:rPr>
          <w:sz w:val="16"/>
          <w:szCs w:val="16"/>
        </w:rPr>
        <w:t xml:space="preserve">, </w:t>
      </w:r>
      <w:r w:rsidR="00E823E8" w:rsidRPr="00F91693">
        <w:rPr>
          <w:sz w:val="16"/>
          <w:szCs w:val="16"/>
        </w:rPr>
        <w:t>tobacco products and automobiles.</w:t>
      </w:r>
    </w:p>
    <w:p w:rsidR="00E823E8"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**Data not yet released</w:t>
      </w:r>
      <w:r w:rsidR="00544439" w:rsidRPr="00F91693">
        <w:rPr>
          <w:sz w:val="16"/>
          <w:szCs w:val="16"/>
        </w:rPr>
        <w:t>.</w:t>
      </w:r>
    </w:p>
    <w:p w:rsidR="00544439" w:rsidRPr="00F91693" w:rsidRDefault="00F91693" w:rsidP="008D71E7">
      <w:pPr>
        <w:spacing w:line="276" w:lineRule="auto"/>
        <w:ind w:left="-540" w:right="42"/>
        <w:jc w:val="both"/>
        <w:rPr>
          <w:sz w:val="16"/>
          <w:szCs w:val="16"/>
        </w:rPr>
      </w:pPr>
      <w:r>
        <w:rPr>
          <w:sz w:val="16"/>
          <w:szCs w:val="16"/>
        </w:rPr>
        <w:t xml:space="preserve">  </w:t>
      </w:r>
      <w:r w:rsidR="00544439" w:rsidRPr="00F91693">
        <w:rPr>
          <w:sz w:val="16"/>
          <w:szCs w:val="16"/>
        </w:rPr>
        <w:t>***Betam’s calculations: Nominal exports (imports) minus non-monetary gold</w:t>
      </w:r>
      <w:r w:rsidR="008D71E7" w:rsidRPr="00F91693">
        <w:rPr>
          <w:sz w:val="16"/>
          <w:szCs w:val="16"/>
        </w:rPr>
        <w:t>,</w:t>
      </w:r>
      <w:r w:rsidR="00544439" w:rsidRPr="00F91693">
        <w:rPr>
          <w:sz w:val="16"/>
          <w:szCs w:val="16"/>
        </w:rPr>
        <w:t xml:space="preserve"> deflated </w:t>
      </w:r>
      <w:r w:rsidR="008D71E7" w:rsidRPr="00F91693">
        <w:rPr>
          <w:sz w:val="16"/>
          <w:szCs w:val="16"/>
        </w:rPr>
        <w:t>using</w:t>
      </w:r>
      <w:r w:rsidR="00544439" w:rsidRPr="00F91693">
        <w:rPr>
          <w:sz w:val="16"/>
          <w:szCs w:val="16"/>
        </w:rPr>
        <w:t xml:space="preserve"> the export (import) unit value index.</w:t>
      </w:r>
    </w:p>
    <w:p w:rsidR="00544439" w:rsidRPr="00B320C7" w:rsidRDefault="00544439" w:rsidP="006B60DC">
      <w:pPr>
        <w:spacing w:line="360" w:lineRule="auto"/>
        <w:ind w:left="-540" w:right="42"/>
        <w:jc w:val="both"/>
        <w:rPr>
          <w:rFonts w:ascii="Arial" w:hAnsi="Arial" w:cs="Arial"/>
          <w:sz w:val="16"/>
          <w:szCs w:val="16"/>
        </w:rPr>
      </w:pPr>
    </w:p>
    <w:p w:rsidR="00BD7514" w:rsidRPr="00B320C7" w:rsidRDefault="00BD7514" w:rsidP="00150B84">
      <w:pPr>
        <w:ind w:right="42"/>
        <w:jc w:val="both"/>
        <w:rPr>
          <w:rFonts w:ascii="Arial" w:hAnsi="Arial" w:cs="Arial"/>
          <w:b/>
          <w:sz w:val="20"/>
          <w:szCs w:val="20"/>
        </w:rPr>
      </w:pPr>
    </w:p>
    <w:p w:rsidR="00E03485" w:rsidRPr="00B320C7" w:rsidRDefault="00E03485" w:rsidP="00150B84">
      <w:pPr>
        <w:ind w:right="42"/>
        <w:jc w:val="both"/>
        <w:rPr>
          <w:rFonts w:ascii="Arial" w:hAnsi="Arial" w:cs="Arial"/>
          <w:b/>
          <w:sz w:val="20"/>
          <w:szCs w:val="20"/>
        </w:rPr>
        <w:sectPr w:rsidR="00E03485" w:rsidRPr="00B320C7" w:rsidSect="001E7720">
          <w:type w:val="continuous"/>
          <w:pgSz w:w="11906" w:h="16838"/>
          <w:pgMar w:top="1417" w:right="1417" w:bottom="1417" w:left="1417" w:header="708" w:footer="708" w:gutter="0"/>
          <w:cols w:space="708"/>
          <w:docGrid w:linePitch="360"/>
        </w:sectPr>
      </w:pPr>
    </w:p>
    <w:p w:rsidR="001E192B" w:rsidRPr="00B320C7" w:rsidRDefault="001E192B" w:rsidP="00C22DC8">
      <w:pPr>
        <w:ind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Pr="00B320C7" w:rsidRDefault="00B02E94" w:rsidP="006B60DC">
      <w:pPr>
        <w:ind w:left="-360" w:right="42"/>
        <w:jc w:val="both"/>
        <w:rPr>
          <w:rFonts w:ascii="Arial" w:hAnsi="Arial" w:cs="Arial"/>
          <w:b/>
          <w:sz w:val="20"/>
          <w:szCs w:val="20"/>
        </w:rPr>
      </w:pPr>
    </w:p>
    <w:p w:rsidR="00706AE1" w:rsidRDefault="00706AE1" w:rsidP="000B3D82">
      <w:pPr>
        <w:ind w:right="42"/>
        <w:jc w:val="both"/>
        <w:rPr>
          <w:rFonts w:ascii="Arial" w:hAnsi="Arial" w:cs="Arial"/>
          <w:b/>
          <w:sz w:val="20"/>
          <w:szCs w:val="20"/>
        </w:rPr>
      </w:pPr>
    </w:p>
    <w:p w:rsidR="003A3575" w:rsidRPr="00D4205B" w:rsidRDefault="00D4205B" w:rsidP="006B60DC">
      <w:pPr>
        <w:ind w:left="-360" w:right="42"/>
        <w:jc w:val="both"/>
        <w:rPr>
          <w:b/>
          <w:sz w:val="20"/>
          <w:szCs w:val="20"/>
        </w:rPr>
      </w:pPr>
      <w:r>
        <w:rPr>
          <w:b/>
          <w:noProof/>
          <w:sz w:val="20"/>
          <w:szCs w:val="20"/>
          <w:lang w:val="tr-TR"/>
        </w:rPr>
        <w:lastRenderedPageBreak/>
        <w:drawing>
          <wp:anchor distT="0" distB="0" distL="114300" distR="114300" simplePos="0" relativeHeight="251659264" behindDoc="0" locked="0" layoutInCell="1" allowOverlap="1">
            <wp:simplePos x="0" y="0"/>
            <wp:positionH relativeFrom="column">
              <wp:posOffset>2897505</wp:posOffset>
            </wp:positionH>
            <wp:positionV relativeFrom="paragraph">
              <wp:posOffset>428625</wp:posOffset>
            </wp:positionV>
            <wp:extent cx="2654935" cy="2233930"/>
            <wp:effectExtent l="1905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srcRect/>
                    <a:stretch>
                      <a:fillRect/>
                    </a:stretch>
                  </pic:blipFill>
                  <pic:spPr bwMode="auto">
                    <a:xfrm>
                      <a:off x="0" y="0"/>
                      <a:ext cx="2654935" cy="2233930"/>
                    </a:xfrm>
                    <a:prstGeom prst="rect">
                      <a:avLst/>
                    </a:prstGeom>
                    <a:noFill/>
                    <a:ln w="9525">
                      <a:noFill/>
                      <a:miter lim="800000"/>
                      <a:headEnd/>
                      <a:tailEnd/>
                    </a:ln>
                  </pic:spPr>
                </pic:pic>
              </a:graphicData>
            </a:graphic>
          </wp:anchor>
        </w:drawing>
      </w:r>
      <w:r w:rsidR="00AC630B" w:rsidRPr="00D4205B">
        <w:rPr>
          <w:b/>
          <w:sz w:val="20"/>
          <w:szCs w:val="20"/>
        </w:rPr>
        <w:t>Figure</w:t>
      </w:r>
      <w:r w:rsidR="003A3575" w:rsidRPr="00D4205B">
        <w:rPr>
          <w:b/>
          <w:sz w:val="20"/>
          <w:szCs w:val="20"/>
        </w:rPr>
        <w:t xml:space="preserve"> 1: </w:t>
      </w:r>
      <w:r w:rsidR="00AC630B" w:rsidRPr="00D4205B">
        <w:rPr>
          <w:b/>
          <w:sz w:val="20"/>
          <w:szCs w:val="20"/>
        </w:rPr>
        <w:t>Capacity utilization rate and industrial production index</w:t>
      </w:r>
      <w:r w:rsidR="003A3575" w:rsidRPr="00D4205B">
        <w:rPr>
          <w:b/>
          <w:sz w:val="20"/>
          <w:szCs w:val="20"/>
        </w:rPr>
        <w:t xml:space="preserve"> (</w:t>
      </w:r>
      <w:r w:rsidR="00AC630B" w:rsidRPr="00D4205B">
        <w:rPr>
          <w:b/>
          <w:sz w:val="20"/>
          <w:szCs w:val="20"/>
        </w:rPr>
        <w:t>s</w:t>
      </w:r>
      <w:r w:rsidR="00F65107" w:rsidRPr="00D4205B">
        <w:rPr>
          <w:b/>
          <w:sz w:val="20"/>
          <w:szCs w:val="20"/>
        </w:rPr>
        <w:t>a</w:t>
      </w:r>
      <w:r w:rsidR="0071337D" w:rsidRPr="00D4205B">
        <w:rPr>
          <w:b/>
          <w:sz w:val="20"/>
          <w:szCs w:val="20"/>
        </w:rPr>
        <w:t>.</w:t>
      </w:r>
      <w:r w:rsidR="00AC630B" w:rsidRPr="00D4205B">
        <w:rPr>
          <w:b/>
          <w:sz w:val="20"/>
          <w:szCs w:val="20"/>
        </w:rPr>
        <w:t xml:space="preserve"> left axis for CUR and right axis for IPI</w:t>
      </w:r>
      <w:r w:rsidR="003A3575" w:rsidRPr="00D4205B">
        <w:rPr>
          <w:b/>
          <w:sz w:val="20"/>
          <w:szCs w:val="20"/>
        </w:rPr>
        <w:t>)</w:t>
      </w:r>
    </w:p>
    <w:p w:rsidR="003A3575" w:rsidRPr="00D4205B" w:rsidRDefault="000B3D82" w:rsidP="008944FC">
      <w:pPr>
        <w:ind w:left="-360" w:right="42"/>
        <w:jc w:val="both"/>
        <w:rPr>
          <w:szCs w:val="20"/>
        </w:rPr>
      </w:pPr>
      <w:r w:rsidRPr="00D4205B">
        <w:rPr>
          <w:noProof/>
          <w:szCs w:val="20"/>
          <w:lang w:val="tr-TR"/>
        </w:rPr>
        <w:drawing>
          <wp:inline distT="0" distB="0" distL="0" distR="0">
            <wp:extent cx="2655570" cy="2226812"/>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55570" cy="2226812"/>
                    </a:xfrm>
                    <a:prstGeom prst="rect">
                      <a:avLst/>
                    </a:prstGeom>
                    <a:noFill/>
                    <a:ln w="9525">
                      <a:noFill/>
                      <a:miter lim="800000"/>
                      <a:headEnd/>
                      <a:tailEnd/>
                    </a:ln>
                  </pic:spPr>
                </pic:pic>
              </a:graphicData>
            </a:graphic>
          </wp:inline>
        </w:drawing>
      </w:r>
    </w:p>
    <w:p w:rsidR="00B677BF" w:rsidRPr="00D4205B" w:rsidRDefault="00AC630B" w:rsidP="008944FC">
      <w:pPr>
        <w:ind w:left="-360" w:right="42"/>
        <w:jc w:val="both"/>
        <w:rPr>
          <w:sz w:val="16"/>
          <w:szCs w:val="16"/>
        </w:rPr>
      </w:pPr>
      <w:r w:rsidRPr="00D4205B">
        <w:rPr>
          <w:sz w:val="16"/>
          <w:szCs w:val="16"/>
        </w:rPr>
        <w:t>Source</w:t>
      </w:r>
      <w:r w:rsidR="003A3575" w:rsidRPr="00D4205B">
        <w:rPr>
          <w:sz w:val="16"/>
          <w:szCs w:val="16"/>
        </w:rPr>
        <w:t>:</w:t>
      </w:r>
      <w:r w:rsidR="008C1509" w:rsidRPr="00D4205B">
        <w:rPr>
          <w:sz w:val="16"/>
          <w:szCs w:val="16"/>
        </w:rPr>
        <w:t xml:space="preserve"> </w:t>
      </w:r>
      <w:r w:rsidRPr="00D4205B">
        <w:rPr>
          <w:sz w:val="16"/>
          <w:szCs w:val="16"/>
        </w:rPr>
        <w:t>TurkStat</w:t>
      </w:r>
      <w:r w:rsidR="007A7008" w:rsidRPr="00D4205B">
        <w:rPr>
          <w:sz w:val="16"/>
          <w:szCs w:val="16"/>
        </w:rPr>
        <w:t>.</w:t>
      </w:r>
      <w:r w:rsidR="008C1509" w:rsidRPr="00D4205B">
        <w:rPr>
          <w:sz w:val="16"/>
          <w:szCs w:val="16"/>
        </w:rPr>
        <w:t xml:space="preserve"> </w:t>
      </w:r>
      <w:r w:rsidR="003A3575" w:rsidRPr="00D4205B">
        <w:rPr>
          <w:sz w:val="16"/>
          <w:szCs w:val="16"/>
        </w:rPr>
        <w:t>Betam</w:t>
      </w:r>
      <w:r w:rsidR="00544439" w:rsidRPr="00D4205B">
        <w:rPr>
          <w:sz w:val="16"/>
          <w:szCs w:val="16"/>
        </w:rPr>
        <w:t>.</w:t>
      </w:r>
    </w:p>
    <w:p w:rsidR="008C1509" w:rsidRPr="00D4205B" w:rsidRDefault="008C1509" w:rsidP="00B677BF">
      <w:pPr>
        <w:ind w:left="-360" w:right="42"/>
        <w:jc w:val="both"/>
        <w:rPr>
          <w:sz w:val="16"/>
          <w:szCs w:val="16"/>
        </w:rPr>
      </w:pPr>
    </w:p>
    <w:p w:rsidR="008944FC" w:rsidRPr="00D4205B" w:rsidRDefault="008944FC" w:rsidP="00A82F2C">
      <w:pPr>
        <w:ind w:left="-360" w:right="42"/>
        <w:jc w:val="both"/>
        <w:rPr>
          <w:b/>
          <w:sz w:val="20"/>
          <w:szCs w:val="20"/>
        </w:rPr>
      </w:pPr>
    </w:p>
    <w:p w:rsidR="008944FC" w:rsidRPr="00D4205B" w:rsidRDefault="008944FC" w:rsidP="00A82F2C">
      <w:pPr>
        <w:ind w:left="-360" w:right="42"/>
        <w:jc w:val="both"/>
        <w:rPr>
          <w:b/>
          <w:sz w:val="20"/>
          <w:szCs w:val="20"/>
        </w:rPr>
      </w:pPr>
    </w:p>
    <w:p w:rsidR="008944FC" w:rsidRPr="00D4205B" w:rsidRDefault="008944FC" w:rsidP="00A82F2C">
      <w:pPr>
        <w:ind w:left="-360" w:right="42"/>
        <w:jc w:val="both"/>
        <w:rPr>
          <w:b/>
          <w:sz w:val="20"/>
          <w:szCs w:val="20"/>
        </w:rPr>
      </w:pPr>
    </w:p>
    <w:p w:rsidR="00C3029B" w:rsidRPr="00D4205B" w:rsidRDefault="00AC630B" w:rsidP="008944FC">
      <w:pPr>
        <w:ind w:left="-360" w:right="42"/>
        <w:jc w:val="both"/>
        <w:rPr>
          <w:b/>
          <w:sz w:val="20"/>
          <w:szCs w:val="20"/>
        </w:rPr>
      </w:pPr>
      <w:r w:rsidRPr="00D4205B">
        <w:rPr>
          <w:b/>
          <w:sz w:val="20"/>
          <w:szCs w:val="20"/>
        </w:rPr>
        <w:lastRenderedPageBreak/>
        <w:t>Figure</w:t>
      </w:r>
      <w:r w:rsidR="007067F4" w:rsidRPr="00D4205B">
        <w:rPr>
          <w:b/>
          <w:sz w:val="20"/>
          <w:szCs w:val="20"/>
        </w:rPr>
        <w:t xml:space="preserve"> 2: </w:t>
      </w:r>
      <w:r w:rsidRPr="00D4205B">
        <w:rPr>
          <w:b/>
          <w:sz w:val="20"/>
          <w:szCs w:val="20"/>
        </w:rPr>
        <w:t>Volume indices of exports and imports</w:t>
      </w:r>
      <w:r w:rsidR="007067F4" w:rsidRPr="00D4205B">
        <w:rPr>
          <w:b/>
          <w:sz w:val="20"/>
          <w:szCs w:val="20"/>
        </w:rPr>
        <w:t xml:space="preserve"> (</w:t>
      </w:r>
      <w:r w:rsidRPr="00D4205B">
        <w:rPr>
          <w:b/>
          <w:sz w:val="20"/>
          <w:szCs w:val="20"/>
        </w:rPr>
        <w:t>sa</w:t>
      </w:r>
      <w:r w:rsidR="007067F4" w:rsidRPr="00D4205B">
        <w:rPr>
          <w:b/>
          <w:sz w:val="20"/>
          <w:szCs w:val="20"/>
        </w:rPr>
        <w:t>)</w:t>
      </w:r>
    </w:p>
    <w:p w:rsidR="00D4205B" w:rsidRPr="00D4205B" w:rsidRDefault="00D4205B" w:rsidP="00D4205B">
      <w:pPr>
        <w:ind w:left="-360" w:right="42"/>
        <w:rPr>
          <w:sz w:val="16"/>
          <w:szCs w:val="16"/>
        </w:rPr>
      </w:pPr>
      <w:r>
        <w:rPr>
          <w:sz w:val="16"/>
          <w:szCs w:val="16"/>
        </w:rPr>
        <w:br/>
      </w:r>
      <w:r>
        <w:rPr>
          <w:sz w:val="16"/>
          <w:szCs w:val="16"/>
        </w:rPr>
        <w:br/>
        <w:t>Source: Turkstat, Betam.</w:t>
      </w:r>
      <w:r>
        <w:rPr>
          <w:sz w:val="16"/>
          <w:szCs w:val="16"/>
        </w:rPr>
        <w:br/>
      </w:r>
    </w:p>
    <w:p w:rsidR="008944FC" w:rsidRPr="00D4205B" w:rsidRDefault="008944FC" w:rsidP="008944FC">
      <w:pPr>
        <w:ind w:left="-360" w:right="42"/>
        <w:jc w:val="both"/>
        <w:rPr>
          <w:b/>
          <w:sz w:val="20"/>
          <w:szCs w:val="20"/>
        </w:rPr>
      </w:pPr>
    </w:p>
    <w:p w:rsidR="003A3575" w:rsidRPr="00D4205B" w:rsidRDefault="003A3575" w:rsidP="00D4205B">
      <w:pPr>
        <w:ind w:right="42"/>
        <w:jc w:val="both"/>
        <w:rPr>
          <w:szCs w:val="20"/>
        </w:rPr>
      </w:pPr>
    </w:p>
    <w:p w:rsidR="007067F4" w:rsidRPr="00D4205B" w:rsidRDefault="007067F4" w:rsidP="00010DD1">
      <w:pPr>
        <w:spacing w:line="360" w:lineRule="auto"/>
        <w:ind w:right="42"/>
        <w:jc w:val="both"/>
        <w:rPr>
          <w:sz w:val="20"/>
          <w:szCs w:val="20"/>
        </w:rPr>
        <w:sectPr w:rsidR="007067F4" w:rsidRPr="00D4205B" w:rsidSect="007067F4">
          <w:type w:val="continuous"/>
          <w:pgSz w:w="11906" w:h="16838"/>
          <w:pgMar w:top="1417" w:right="1417" w:bottom="1417" w:left="1417" w:header="708" w:footer="708" w:gutter="0"/>
          <w:cols w:num="2" w:space="708" w:equalWidth="0">
            <w:col w:w="4182" w:space="708"/>
            <w:col w:w="4182"/>
          </w:cols>
          <w:docGrid w:linePitch="360"/>
        </w:sectPr>
      </w:pPr>
    </w:p>
    <w:p w:rsidR="00A74D70" w:rsidRPr="00D4205B" w:rsidRDefault="00A74D70" w:rsidP="00C3029B">
      <w:pPr>
        <w:spacing w:line="360" w:lineRule="auto"/>
        <w:ind w:left="-360" w:right="42"/>
        <w:jc w:val="both"/>
        <w:rPr>
          <w:b/>
          <w:sz w:val="20"/>
          <w:szCs w:val="20"/>
        </w:rPr>
      </w:pPr>
    </w:p>
    <w:p w:rsidR="00EF6AB5" w:rsidRPr="00D4205B" w:rsidRDefault="00AC630B" w:rsidP="00C3029B">
      <w:pPr>
        <w:spacing w:line="360" w:lineRule="auto"/>
        <w:ind w:left="-360" w:right="42"/>
        <w:jc w:val="both"/>
        <w:rPr>
          <w:b/>
          <w:sz w:val="20"/>
          <w:szCs w:val="20"/>
        </w:rPr>
      </w:pPr>
      <w:r w:rsidRPr="00D4205B">
        <w:rPr>
          <w:b/>
          <w:sz w:val="20"/>
          <w:szCs w:val="20"/>
        </w:rPr>
        <w:t>Figure</w:t>
      </w:r>
      <w:r w:rsidR="00150B84" w:rsidRPr="00D4205B">
        <w:rPr>
          <w:b/>
          <w:sz w:val="20"/>
          <w:szCs w:val="20"/>
        </w:rPr>
        <w:t xml:space="preserve"> 3:</w:t>
      </w:r>
      <w:r w:rsidR="005B2CF3" w:rsidRPr="00D4205B">
        <w:rPr>
          <w:b/>
          <w:sz w:val="20"/>
          <w:szCs w:val="20"/>
        </w:rPr>
        <w:t xml:space="preserve"> </w:t>
      </w:r>
      <w:r w:rsidRPr="00D4205B">
        <w:rPr>
          <w:b/>
          <w:sz w:val="20"/>
          <w:szCs w:val="20"/>
        </w:rPr>
        <w:t>Ratio of current account deficit to</w:t>
      </w:r>
      <w:r w:rsidR="005B2CF3" w:rsidRPr="00D4205B">
        <w:rPr>
          <w:b/>
          <w:sz w:val="20"/>
          <w:szCs w:val="20"/>
        </w:rPr>
        <w:t xml:space="preserve"> </w:t>
      </w:r>
      <w:r w:rsidRPr="00D4205B">
        <w:rPr>
          <w:b/>
          <w:sz w:val="20"/>
          <w:szCs w:val="20"/>
        </w:rPr>
        <w:t>GDP</w:t>
      </w:r>
      <w:r w:rsidR="00455777" w:rsidRPr="00D4205B">
        <w:rPr>
          <w:b/>
          <w:sz w:val="20"/>
          <w:szCs w:val="20"/>
        </w:rPr>
        <w:t xml:space="preserve"> (yearly)</w:t>
      </w:r>
    </w:p>
    <w:p w:rsidR="001E7720" w:rsidRPr="00D4205B" w:rsidRDefault="002058EC" w:rsidP="00D4205B">
      <w:pPr>
        <w:ind w:left="-360" w:right="42"/>
        <w:rPr>
          <w:szCs w:val="20"/>
        </w:rPr>
      </w:pPr>
      <w:r w:rsidRPr="002058EC">
        <w:rPr>
          <w:noProof/>
          <w:szCs w:val="20"/>
          <w:lang w:val="tr-TR"/>
        </w:rPr>
        <w:drawing>
          <wp:inline distT="0" distB="0" distL="0" distR="0">
            <wp:extent cx="5719445" cy="283781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19445" cy="2837815"/>
                    </a:xfrm>
                    <a:prstGeom prst="rect">
                      <a:avLst/>
                    </a:prstGeom>
                    <a:noFill/>
                    <a:ln w="9525">
                      <a:noFill/>
                      <a:miter lim="800000"/>
                      <a:headEnd/>
                      <a:tailEnd/>
                    </a:ln>
                  </pic:spPr>
                </pic:pic>
              </a:graphicData>
            </a:graphic>
          </wp:inline>
        </w:drawing>
      </w:r>
    </w:p>
    <w:p w:rsidR="001E7720" w:rsidRPr="00D4205B" w:rsidRDefault="00AC630B" w:rsidP="00D4205B">
      <w:pPr>
        <w:ind w:left="-360" w:right="42"/>
        <w:jc w:val="both"/>
        <w:rPr>
          <w:sz w:val="16"/>
          <w:szCs w:val="16"/>
        </w:rPr>
      </w:pPr>
      <w:r w:rsidRPr="00D4205B">
        <w:rPr>
          <w:sz w:val="16"/>
          <w:szCs w:val="16"/>
        </w:rPr>
        <w:t xml:space="preserve">Source: </w:t>
      </w:r>
      <w:r w:rsidR="00E03485" w:rsidRPr="00D4205B">
        <w:rPr>
          <w:sz w:val="16"/>
          <w:szCs w:val="16"/>
        </w:rPr>
        <w:t>CBRT</w:t>
      </w:r>
      <w:r w:rsidR="007A7008" w:rsidRPr="00D4205B">
        <w:rPr>
          <w:sz w:val="16"/>
          <w:szCs w:val="16"/>
        </w:rPr>
        <w:t>.</w:t>
      </w:r>
      <w:r w:rsidR="005B2CF3" w:rsidRPr="00D4205B">
        <w:rPr>
          <w:sz w:val="16"/>
          <w:szCs w:val="16"/>
        </w:rPr>
        <w:t xml:space="preserve"> </w:t>
      </w:r>
      <w:r w:rsidRPr="00D4205B">
        <w:rPr>
          <w:sz w:val="16"/>
          <w:szCs w:val="16"/>
        </w:rPr>
        <w:t>TurkStat</w:t>
      </w:r>
      <w:r w:rsidR="007A7008" w:rsidRPr="00D4205B">
        <w:rPr>
          <w:sz w:val="16"/>
          <w:szCs w:val="16"/>
        </w:rPr>
        <w:t>.</w:t>
      </w:r>
      <w:r w:rsidR="005B2CF3" w:rsidRPr="00D4205B">
        <w:rPr>
          <w:sz w:val="16"/>
          <w:szCs w:val="16"/>
        </w:rPr>
        <w:t xml:space="preserve"> </w:t>
      </w:r>
      <w:r w:rsidRPr="00D4205B">
        <w:rPr>
          <w:sz w:val="16"/>
          <w:szCs w:val="16"/>
        </w:rPr>
        <w:t>Betam</w:t>
      </w:r>
      <w:r w:rsidR="00EF2A9C" w:rsidRPr="00D4205B">
        <w:rPr>
          <w:sz w:val="16"/>
          <w:szCs w:val="16"/>
        </w:rPr>
        <w:t>.</w:t>
      </w:r>
    </w:p>
    <w:p w:rsidR="001E7720" w:rsidRPr="00D4205B" w:rsidRDefault="001E7720" w:rsidP="00C30DC1">
      <w:pPr>
        <w:spacing w:line="360" w:lineRule="auto"/>
        <w:ind w:right="42"/>
        <w:jc w:val="both"/>
        <w:rPr>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B34B81" w:rsidRPr="00D4205B" w:rsidRDefault="00B34B81" w:rsidP="004A70D1">
      <w:pPr>
        <w:spacing w:line="360" w:lineRule="auto"/>
        <w:ind w:right="42"/>
        <w:jc w:val="both"/>
        <w:rPr>
          <w:b/>
          <w:sz w:val="20"/>
          <w:szCs w:val="20"/>
        </w:rPr>
      </w:pPr>
    </w:p>
    <w:p w:rsidR="00D4205B" w:rsidRDefault="00D4205B" w:rsidP="001E4BF5">
      <w:pPr>
        <w:spacing w:line="360" w:lineRule="auto"/>
        <w:ind w:left="-360" w:right="42"/>
        <w:jc w:val="both"/>
        <w:rPr>
          <w:b/>
          <w:sz w:val="20"/>
          <w:szCs w:val="20"/>
        </w:rPr>
      </w:pPr>
    </w:p>
    <w:p w:rsidR="00C30DC1" w:rsidRPr="00D4205B" w:rsidRDefault="00451918" w:rsidP="001E4BF5">
      <w:pPr>
        <w:spacing w:line="360" w:lineRule="auto"/>
        <w:ind w:left="-360" w:right="42"/>
        <w:jc w:val="both"/>
        <w:rPr>
          <w:b/>
          <w:sz w:val="20"/>
          <w:szCs w:val="20"/>
        </w:rPr>
      </w:pPr>
      <w:r w:rsidRPr="00D4205B">
        <w:rPr>
          <w:b/>
          <w:sz w:val="20"/>
          <w:szCs w:val="20"/>
        </w:rPr>
        <w:lastRenderedPageBreak/>
        <w:t xml:space="preserve">Figure 4: </w:t>
      </w:r>
      <w:r w:rsidR="00C30DC1" w:rsidRPr="00D4205B">
        <w:rPr>
          <w:b/>
          <w:sz w:val="20"/>
          <w:szCs w:val="20"/>
        </w:rPr>
        <w:t>W</w:t>
      </w:r>
      <w:r w:rsidR="00042C84" w:rsidRPr="00D4205B">
        <w:rPr>
          <w:b/>
          <w:sz w:val="20"/>
          <w:szCs w:val="20"/>
        </w:rPr>
        <w:t>eighted Average Interest Rates f</w:t>
      </w:r>
      <w:r w:rsidR="00C30DC1" w:rsidRPr="00D4205B">
        <w:rPr>
          <w:b/>
          <w:sz w:val="20"/>
          <w:szCs w:val="20"/>
        </w:rPr>
        <w:t>or Turkish Lira Banks' Loans (%)</w:t>
      </w:r>
    </w:p>
    <w:p w:rsidR="00C30DC1" w:rsidRPr="00D4205B" w:rsidRDefault="002058EC" w:rsidP="00D4205B">
      <w:pPr>
        <w:ind w:left="-360" w:right="42"/>
        <w:jc w:val="both"/>
        <w:rPr>
          <w:b/>
          <w:sz w:val="20"/>
          <w:szCs w:val="20"/>
        </w:rPr>
      </w:pPr>
      <w:r w:rsidRPr="002058EC">
        <w:rPr>
          <w:noProof/>
          <w:szCs w:val="20"/>
          <w:lang w:val="tr-TR"/>
        </w:rPr>
        <w:drawing>
          <wp:inline distT="0" distB="0" distL="0" distR="0">
            <wp:extent cx="5760720" cy="27659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60720" cy="2765917"/>
                    </a:xfrm>
                    <a:prstGeom prst="rect">
                      <a:avLst/>
                    </a:prstGeom>
                    <a:noFill/>
                    <a:ln w="9525">
                      <a:noFill/>
                      <a:miter lim="800000"/>
                      <a:headEnd/>
                      <a:tailEnd/>
                    </a:ln>
                  </pic:spPr>
                </pic:pic>
              </a:graphicData>
            </a:graphic>
          </wp:inline>
        </w:drawing>
      </w:r>
    </w:p>
    <w:p w:rsidR="00D4205B" w:rsidRPr="00D4205B" w:rsidRDefault="00C30DC1" w:rsidP="00D4205B">
      <w:pPr>
        <w:ind w:left="-360" w:right="42"/>
        <w:jc w:val="both"/>
        <w:rPr>
          <w:sz w:val="16"/>
          <w:szCs w:val="16"/>
        </w:rPr>
      </w:pPr>
      <w:r w:rsidRPr="00D4205B">
        <w:rPr>
          <w:sz w:val="16"/>
          <w:szCs w:val="16"/>
        </w:rPr>
        <w:t xml:space="preserve">Source: </w:t>
      </w:r>
      <w:r w:rsidR="00E03485" w:rsidRPr="00D4205B">
        <w:rPr>
          <w:sz w:val="16"/>
          <w:szCs w:val="16"/>
        </w:rPr>
        <w:t>CBRT</w:t>
      </w:r>
      <w:r w:rsidR="00D4205B">
        <w:rPr>
          <w:sz w:val="16"/>
          <w:szCs w:val="16"/>
        </w:rPr>
        <w:t>.</w:t>
      </w:r>
    </w:p>
    <w:p w:rsidR="00D4205B" w:rsidRPr="00D4205B" w:rsidRDefault="00D4205B" w:rsidP="000B3D82">
      <w:pPr>
        <w:spacing w:line="360" w:lineRule="auto"/>
        <w:ind w:left="-360" w:right="42"/>
        <w:jc w:val="both"/>
        <w:rPr>
          <w:sz w:val="16"/>
          <w:szCs w:val="16"/>
        </w:rPr>
      </w:pPr>
    </w:p>
    <w:p w:rsidR="00D4205B" w:rsidRPr="00D4205B" w:rsidRDefault="00D4205B" w:rsidP="000B3D82">
      <w:pPr>
        <w:spacing w:line="360" w:lineRule="auto"/>
        <w:ind w:left="-360" w:right="42"/>
        <w:jc w:val="both"/>
        <w:rPr>
          <w:sz w:val="16"/>
          <w:szCs w:val="16"/>
        </w:rPr>
      </w:pPr>
      <w:r>
        <w:rPr>
          <w:b/>
          <w:sz w:val="20"/>
          <w:szCs w:val="20"/>
        </w:rPr>
        <w:t>Figure 5</w:t>
      </w:r>
      <w:r w:rsidRPr="00D4205B">
        <w:rPr>
          <w:b/>
          <w:sz w:val="20"/>
          <w:szCs w:val="20"/>
        </w:rPr>
        <w:t>: YoY increase in IPI in 2012 and 2013 (calendar day adjusted)</w:t>
      </w:r>
    </w:p>
    <w:p w:rsidR="004A70D1" w:rsidRPr="00D4205B" w:rsidRDefault="00D4205B" w:rsidP="00D4205B">
      <w:pPr>
        <w:ind w:left="-360" w:right="42"/>
        <w:jc w:val="both"/>
        <w:rPr>
          <w:b/>
          <w:sz w:val="20"/>
          <w:szCs w:val="20"/>
        </w:rPr>
      </w:pPr>
      <w:r w:rsidRPr="00D4205B">
        <w:rPr>
          <w:noProof/>
          <w:sz w:val="16"/>
          <w:szCs w:val="16"/>
          <w:lang w:val="tr-TR"/>
        </w:rPr>
        <w:drawing>
          <wp:inline distT="0" distB="0" distL="0" distR="0">
            <wp:extent cx="5760648" cy="2958861"/>
            <wp:effectExtent l="19050" t="0" r="11502"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2A9C" w:rsidRPr="00D4205B">
        <w:rPr>
          <w:sz w:val="16"/>
          <w:szCs w:val="16"/>
        </w:rPr>
        <w:t>.</w:t>
      </w:r>
      <w:r w:rsidR="000B3D82" w:rsidRPr="00D4205B">
        <w:rPr>
          <w:b/>
          <w:sz w:val="20"/>
          <w:szCs w:val="20"/>
        </w:rPr>
        <w:t xml:space="preserve"> </w:t>
      </w:r>
    </w:p>
    <w:p w:rsidR="00D4205B" w:rsidRPr="00D4205B" w:rsidRDefault="00D4205B" w:rsidP="00D4205B">
      <w:pPr>
        <w:ind w:left="-360" w:right="42"/>
        <w:jc w:val="both"/>
        <w:rPr>
          <w:sz w:val="16"/>
          <w:szCs w:val="16"/>
        </w:rPr>
      </w:pPr>
      <w:r w:rsidRPr="00D4205B">
        <w:rPr>
          <w:sz w:val="16"/>
          <w:szCs w:val="16"/>
        </w:rPr>
        <w:t>Source: Turkstat.</w:t>
      </w:r>
    </w:p>
    <w:sectPr w:rsidR="00D4205B" w:rsidRPr="00D4205B"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6D" w:rsidRDefault="0013046D">
      <w:r>
        <w:separator/>
      </w:r>
    </w:p>
  </w:endnote>
  <w:endnote w:type="continuationSeparator" w:id="1">
    <w:p w:rsidR="0013046D" w:rsidRDefault="00130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6D" w:rsidRDefault="0013046D">
      <w:r>
        <w:separator/>
      </w:r>
    </w:p>
  </w:footnote>
  <w:footnote w:type="continuationSeparator" w:id="1">
    <w:p w:rsidR="0013046D" w:rsidRDefault="00130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4"/>
  <w:hyphenationZone w:val="425"/>
  <w:characterSpacingControl w:val="doNotCompress"/>
  <w:footnotePr>
    <w:footnote w:id="0"/>
    <w:footnote w:id="1"/>
  </w:footnotePr>
  <w:endnotePr>
    <w:endnote w:id="0"/>
    <w:endnote w:id="1"/>
  </w:endnotePr>
  <w:compat/>
  <w:rsids>
    <w:rsidRoot w:val="00357ECC"/>
    <w:rsid w:val="000003F0"/>
    <w:rsid w:val="00001050"/>
    <w:rsid w:val="00003567"/>
    <w:rsid w:val="00003E34"/>
    <w:rsid w:val="0000434B"/>
    <w:rsid w:val="00004745"/>
    <w:rsid w:val="00004C0B"/>
    <w:rsid w:val="00007B8D"/>
    <w:rsid w:val="00010DD1"/>
    <w:rsid w:val="00013406"/>
    <w:rsid w:val="00013EE7"/>
    <w:rsid w:val="00017F2E"/>
    <w:rsid w:val="00024559"/>
    <w:rsid w:val="000247C6"/>
    <w:rsid w:val="00024B55"/>
    <w:rsid w:val="00026210"/>
    <w:rsid w:val="0002627E"/>
    <w:rsid w:val="00031B4E"/>
    <w:rsid w:val="0003258C"/>
    <w:rsid w:val="00032789"/>
    <w:rsid w:val="00033490"/>
    <w:rsid w:val="00034421"/>
    <w:rsid w:val="00037357"/>
    <w:rsid w:val="00037CE9"/>
    <w:rsid w:val="00041479"/>
    <w:rsid w:val="00042C84"/>
    <w:rsid w:val="00047B99"/>
    <w:rsid w:val="00050DCF"/>
    <w:rsid w:val="00050EC0"/>
    <w:rsid w:val="00051CD0"/>
    <w:rsid w:val="00055814"/>
    <w:rsid w:val="00055A3E"/>
    <w:rsid w:val="00057FC2"/>
    <w:rsid w:val="000625E8"/>
    <w:rsid w:val="00063758"/>
    <w:rsid w:val="00065B3C"/>
    <w:rsid w:val="00067DF6"/>
    <w:rsid w:val="000715CA"/>
    <w:rsid w:val="000717B5"/>
    <w:rsid w:val="00073915"/>
    <w:rsid w:val="000743ED"/>
    <w:rsid w:val="0007515D"/>
    <w:rsid w:val="000820D2"/>
    <w:rsid w:val="0008367E"/>
    <w:rsid w:val="00084ED0"/>
    <w:rsid w:val="000854F8"/>
    <w:rsid w:val="00086F46"/>
    <w:rsid w:val="00091D4B"/>
    <w:rsid w:val="00093515"/>
    <w:rsid w:val="000966DF"/>
    <w:rsid w:val="00097481"/>
    <w:rsid w:val="000A1E16"/>
    <w:rsid w:val="000A383B"/>
    <w:rsid w:val="000A3D92"/>
    <w:rsid w:val="000A6429"/>
    <w:rsid w:val="000A701D"/>
    <w:rsid w:val="000B0553"/>
    <w:rsid w:val="000B0D88"/>
    <w:rsid w:val="000B3D82"/>
    <w:rsid w:val="000B669B"/>
    <w:rsid w:val="000C3022"/>
    <w:rsid w:val="000C5B7E"/>
    <w:rsid w:val="000D029B"/>
    <w:rsid w:val="000D0DA7"/>
    <w:rsid w:val="000D0ECE"/>
    <w:rsid w:val="000D50D1"/>
    <w:rsid w:val="000D546F"/>
    <w:rsid w:val="000D6420"/>
    <w:rsid w:val="000D7F65"/>
    <w:rsid w:val="000E10A3"/>
    <w:rsid w:val="000E4231"/>
    <w:rsid w:val="000E4C57"/>
    <w:rsid w:val="000E7CC8"/>
    <w:rsid w:val="000F0BB8"/>
    <w:rsid w:val="000F219F"/>
    <w:rsid w:val="000F3017"/>
    <w:rsid w:val="000F396D"/>
    <w:rsid w:val="000F4941"/>
    <w:rsid w:val="000F68F9"/>
    <w:rsid w:val="000F6D02"/>
    <w:rsid w:val="00100665"/>
    <w:rsid w:val="00100750"/>
    <w:rsid w:val="00102C87"/>
    <w:rsid w:val="00102FC6"/>
    <w:rsid w:val="00106127"/>
    <w:rsid w:val="001105B2"/>
    <w:rsid w:val="001116C3"/>
    <w:rsid w:val="00111825"/>
    <w:rsid w:val="00114BC7"/>
    <w:rsid w:val="00124929"/>
    <w:rsid w:val="00127B4E"/>
    <w:rsid w:val="0013046D"/>
    <w:rsid w:val="00131702"/>
    <w:rsid w:val="00133054"/>
    <w:rsid w:val="00133571"/>
    <w:rsid w:val="001357C1"/>
    <w:rsid w:val="00135FEE"/>
    <w:rsid w:val="00137054"/>
    <w:rsid w:val="00137F02"/>
    <w:rsid w:val="00141B93"/>
    <w:rsid w:val="00143828"/>
    <w:rsid w:val="0015045A"/>
    <w:rsid w:val="00150B84"/>
    <w:rsid w:val="00154DC3"/>
    <w:rsid w:val="00157DC2"/>
    <w:rsid w:val="00163520"/>
    <w:rsid w:val="00163E33"/>
    <w:rsid w:val="001648A8"/>
    <w:rsid w:val="00164EDE"/>
    <w:rsid w:val="001661B0"/>
    <w:rsid w:val="00166FE5"/>
    <w:rsid w:val="00167408"/>
    <w:rsid w:val="00167D69"/>
    <w:rsid w:val="00170085"/>
    <w:rsid w:val="00170DE7"/>
    <w:rsid w:val="00177F4E"/>
    <w:rsid w:val="00177FE3"/>
    <w:rsid w:val="00184678"/>
    <w:rsid w:val="0019538C"/>
    <w:rsid w:val="00195EC6"/>
    <w:rsid w:val="0019733C"/>
    <w:rsid w:val="00197ACB"/>
    <w:rsid w:val="001A0237"/>
    <w:rsid w:val="001A2051"/>
    <w:rsid w:val="001A3CDC"/>
    <w:rsid w:val="001A787F"/>
    <w:rsid w:val="001B0683"/>
    <w:rsid w:val="001B0861"/>
    <w:rsid w:val="001B1CFE"/>
    <w:rsid w:val="001B34B5"/>
    <w:rsid w:val="001B4FC6"/>
    <w:rsid w:val="001B6256"/>
    <w:rsid w:val="001B6836"/>
    <w:rsid w:val="001B6AFA"/>
    <w:rsid w:val="001C295F"/>
    <w:rsid w:val="001C457D"/>
    <w:rsid w:val="001C667E"/>
    <w:rsid w:val="001D09B1"/>
    <w:rsid w:val="001D11F7"/>
    <w:rsid w:val="001D1F1B"/>
    <w:rsid w:val="001D3C27"/>
    <w:rsid w:val="001D478F"/>
    <w:rsid w:val="001D4B8B"/>
    <w:rsid w:val="001E0274"/>
    <w:rsid w:val="001E192B"/>
    <w:rsid w:val="001E4122"/>
    <w:rsid w:val="001E4BF5"/>
    <w:rsid w:val="001E7720"/>
    <w:rsid w:val="001E7DE1"/>
    <w:rsid w:val="001F1052"/>
    <w:rsid w:val="001F1361"/>
    <w:rsid w:val="001F275D"/>
    <w:rsid w:val="001F4CFB"/>
    <w:rsid w:val="001F5435"/>
    <w:rsid w:val="001F6E7D"/>
    <w:rsid w:val="001F707E"/>
    <w:rsid w:val="001F7216"/>
    <w:rsid w:val="0020115E"/>
    <w:rsid w:val="0020184F"/>
    <w:rsid w:val="00203CD9"/>
    <w:rsid w:val="00204364"/>
    <w:rsid w:val="002058EC"/>
    <w:rsid w:val="00207185"/>
    <w:rsid w:val="00214A6C"/>
    <w:rsid w:val="002151FC"/>
    <w:rsid w:val="002166A1"/>
    <w:rsid w:val="002176C5"/>
    <w:rsid w:val="0022179E"/>
    <w:rsid w:val="002220B5"/>
    <w:rsid w:val="00225215"/>
    <w:rsid w:val="00230A81"/>
    <w:rsid w:val="00236A19"/>
    <w:rsid w:val="00236F07"/>
    <w:rsid w:val="002451C2"/>
    <w:rsid w:val="00245E19"/>
    <w:rsid w:val="0025445E"/>
    <w:rsid w:val="00260693"/>
    <w:rsid w:val="002639C0"/>
    <w:rsid w:val="00264000"/>
    <w:rsid w:val="00264FCA"/>
    <w:rsid w:val="002663F7"/>
    <w:rsid w:val="00271168"/>
    <w:rsid w:val="00272C27"/>
    <w:rsid w:val="002751F5"/>
    <w:rsid w:val="00275C4E"/>
    <w:rsid w:val="0027608D"/>
    <w:rsid w:val="00281BCA"/>
    <w:rsid w:val="00283EE6"/>
    <w:rsid w:val="00287ACE"/>
    <w:rsid w:val="002902DE"/>
    <w:rsid w:val="00293BAB"/>
    <w:rsid w:val="002A27C0"/>
    <w:rsid w:val="002A3272"/>
    <w:rsid w:val="002A4F26"/>
    <w:rsid w:val="002A5E74"/>
    <w:rsid w:val="002A66ED"/>
    <w:rsid w:val="002B015D"/>
    <w:rsid w:val="002B1FC3"/>
    <w:rsid w:val="002B3644"/>
    <w:rsid w:val="002B460F"/>
    <w:rsid w:val="002B4D99"/>
    <w:rsid w:val="002B6036"/>
    <w:rsid w:val="002B748C"/>
    <w:rsid w:val="002C0475"/>
    <w:rsid w:val="002C0C55"/>
    <w:rsid w:val="002C17BC"/>
    <w:rsid w:val="002C1DEF"/>
    <w:rsid w:val="002C28A4"/>
    <w:rsid w:val="002C3757"/>
    <w:rsid w:val="002C391B"/>
    <w:rsid w:val="002C3E54"/>
    <w:rsid w:val="002C6F7E"/>
    <w:rsid w:val="002D7743"/>
    <w:rsid w:val="002E1EA4"/>
    <w:rsid w:val="002E5892"/>
    <w:rsid w:val="002E5D1D"/>
    <w:rsid w:val="002E6BB4"/>
    <w:rsid w:val="002E6BD6"/>
    <w:rsid w:val="002F0BDE"/>
    <w:rsid w:val="002F1C42"/>
    <w:rsid w:val="002F2CD1"/>
    <w:rsid w:val="002F30D3"/>
    <w:rsid w:val="002F30F9"/>
    <w:rsid w:val="002F5134"/>
    <w:rsid w:val="002F56EC"/>
    <w:rsid w:val="00303166"/>
    <w:rsid w:val="0030414A"/>
    <w:rsid w:val="00304BD3"/>
    <w:rsid w:val="00306FA7"/>
    <w:rsid w:val="0031043B"/>
    <w:rsid w:val="0031201B"/>
    <w:rsid w:val="0031360B"/>
    <w:rsid w:val="003142BA"/>
    <w:rsid w:val="0031587F"/>
    <w:rsid w:val="00316CE9"/>
    <w:rsid w:val="00316DB4"/>
    <w:rsid w:val="00317125"/>
    <w:rsid w:val="00321318"/>
    <w:rsid w:val="00322134"/>
    <w:rsid w:val="003223B0"/>
    <w:rsid w:val="00322EBE"/>
    <w:rsid w:val="003239F8"/>
    <w:rsid w:val="0032553E"/>
    <w:rsid w:val="003269F7"/>
    <w:rsid w:val="0033349F"/>
    <w:rsid w:val="00333B98"/>
    <w:rsid w:val="003345C8"/>
    <w:rsid w:val="00337824"/>
    <w:rsid w:val="00337AE5"/>
    <w:rsid w:val="003410B9"/>
    <w:rsid w:val="00341195"/>
    <w:rsid w:val="00341E70"/>
    <w:rsid w:val="0034232E"/>
    <w:rsid w:val="00344070"/>
    <w:rsid w:val="00345308"/>
    <w:rsid w:val="003453E9"/>
    <w:rsid w:val="0034543C"/>
    <w:rsid w:val="00345CDD"/>
    <w:rsid w:val="0034600A"/>
    <w:rsid w:val="00347145"/>
    <w:rsid w:val="003474D9"/>
    <w:rsid w:val="00353B31"/>
    <w:rsid w:val="003552A4"/>
    <w:rsid w:val="00356765"/>
    <w:rsid w:val="00357ECC"/>
    <w:rsid w:val="00360133"/>
    <w:rsid w:val="00361D56"/>
    <w:rsid w:val="00362436"/>
    <w:rsid w:val="00363520"/>
    <w:rsid w:val="00366F2D"/>
    <w:rsid w:val="00367DBD"/>
    <w:rsid w:val="003729BF"/>
    <w:rsid w:val="00376AC1"/>
    <w:rsid w:val="00381853"/>
    <w:rsid w:val="0038308B"/>
    <w:rsid w:val="00383A6E"/>
    <w:rsid w:val="00384212"/>
    <w:rsid w:val="0038488E"/>
    <w:rsid w:val="00386146"/>
    <w:rsid w:val="003866F7"/>
    <w:rsid w:val="00386866"/>
    <w:rsid w:val="003872AE"/>
    <w:rsid w:val="003919FD"/>
    <w:rsid w:val="00394358"/>
    <w:rsid w:val="00395C47"/>
    <w:rsid w:val="00396E44"/>
    <w:rsid w:val="00397518"/>
    <w:rsid w:val="00397C86"/>
    <w:rsid w:val="003A048F"/>
    <w:rsid w:val="003A219A"/>
    <w:rsid w:val="003A2B60"/>
    <w:rsid w:val="003A31B2"/>
    <w:rsid w:val="003A3575"/>
    <w:rsid w:val="003A5AD9"/>
    <w:rsid w:val="003B0F7E"/>
    <w:rsid w:val="003B109E"/>
    <w:rsid w:val="003B199A"/>
    <w:rsid w:val="003B1C3A"/>
    <w:rsid w:val="003B2454"/>
    <w:rsid w:val="003B2720"/>
    <w:rsid w:val="003B472B"/>
    <w:rsid w:val="003B5209"/>
    <w:rsid w:val="003B76F5"/>
    <w:rsid w:val="003B797F"/>
    <w:rsid w:val="003C5112"/>
    <w:rsid w:val="003C640D"/>
    <w:rsid w:val="003D0BE4"/>
    <w:rsid w:val="003D142F"/>
    <w:rsid w:val="003D7E7F"/>
    <w:rsid w:val="003E14C7"/>
    <w:rsid w:val="003E5C49"/>
    <w:rsid w:val="003F347E"/>
    <w:rsid w:val="00402158"/>
    <w:rsid w:val="00403B8D"/>
    <w:rsid w:val="00405F8D"/>
    <w:rsid w:val="00406615"/>
    <w:rsid w:val="004149F4"/>
    <w:rsid w:val="00422832"/>
    <w:rsid w:val="00422E05"/>
    <w:rsid w:val="00422F8A"/>
    <w:rsid w:val="00437C99"/>
    <w:rsid w:val="004475F5"/>
    <w:rsid w:val="00451918"/>
    <w:rsid w:val="00451FEA"/>
    <w:rsid w:val="00452B69"/>
    <w:rsid w:val="00455777"/>
    <w:rsid w:val="00463BBF"/>
    <w:rsid w:val="00467ACF"/>
    <w:rsid w:val="004716A6"/>
    <w:rsid w:val="004814F0"/>
    <w:rsid w:val="0048329E"/>
    <w:rsid w:val="00485884"/>
    <w:rsid w:val="00486DB9"/>
    <w:rsid w:val="00487146"/>
    <w:rsid w:val="00490FC2"/>
    <w:rsid w:val="00491BE6"/>
    <w:rsid w:val="0049613B"/>
    <w:rsid w:val="00496378"/>
    <w:rsid w:val="004A2E8D"/>
    <w:rsid w:val="004A3CB8"/>
    <w:rsid w:val="004A4DD6"/>
    <w:rsid w:val="004A6333"/>
    <w:rsid w:val="004A6537"/>
    <w:rsid w:val="004A70D1"/>
    <w:rsid w:val="004A724E"/>
    <w:rsid w:val="004A7343"/>
    <w:rsid w:val="004A7FE6"/>
    <w:rsid w:val="004B358D"/>
    <w:rsid w:val="004B7C7A"/>
    <w:rsid w:val="004C56D6"/>
    <w:rsid w:val="004C6A82"/>
    <w:rsid w:val="004C7FD0"/>
    <w:rsid w:val="004D0590"/>
    <w:rsid w:val="004D23D3"/>
    <w:rsid w:val="004D4B99"/>
    <w:rsid w:val="004D5CF2"/>
    <w:rsid w:val="004D60DE"/>
    <w:rsid w:val="004D67C5"/>
    <w:rsid w:val="004D7A57"/>
    <w:rsid w:val="004E2D21"/>
    <w:rsid w:val="004E40D1"/>
    <w:rsid w:val="004E4109"/>
    <w:rsid w:val="004E4961"/>
    <w:rsid w:val="004E4C5E"/>
    <w:rsid w:val="004E5779"/>
    <w:rsid w:val="004E7CBD"/>
    <w:rsid w:val="004F08D3"/>
    <w:rsid w:val="004F1286"/>
    <w:rsid w:val="004F1E07"/>
    <w:rsid w:val="004F4717"/>
    <w:rsid w:val="0050049B"/>
    <w:rsid w:val="00500C2E"/>
    <w:rsid w:val="00502586"/>
    <w:rsid w:val="00502793"/>
    <w:rsid w:val="0050568A"/>
    <w:rsid w:val="00506264"/>
    <w:rsid w:val="00515398"/>
    <w:rsid w:val="005155AC"/>
    <w:rsid w:val="0051750C"/>
    <w:rsid w:val="00522ED0"/>
    <w:rsid w:val="00523C58"/>
    <w:rsid w:val="00526541"/>
    <w:rsid w:val="00536C48"/>
    <w:rsid w:val="00542728"/>
    <w:rsid w:val="00542834"/>
    <w:rsid w:val="00543E56"/>
    <w:rsid w:val="00544439"/>
    <w:rsid w:val="00546373"/>
    <w:rsid w:val="00551E19"/>
    <w:rsid w:val="00552C4F"/>
    <w:rsid w:val="00552D5D"/>
    <w:rsid w:val="00555A4D"/>
    <w:rsid w:val="00556328"/>
    <w:rsid w:val="00556F7E"/>
    <w:rsid w:val="005631CE"/>
    <w:rsid w:val="00567E14"/>
    <w:rsid w:val="00571B47"/>
    <w:rsid w:val="00572778"/>
    <w:rsid w:val="00573338"/>
    <w:rsid w:val="005758D1"/>
    <w:rsid w:val="00585800"/>
    <w:rsid w:val="00586493"/>
    <w:rsid w:val="005871D8"/>
    <w:rsid w:val="0058799A"/>
    <w:rsid w:val="00592676"/>
    <w:rsid w:val="00593B80"/>
    <w:rsid w:val="005A03EE"/>
    <w:rsid w:val="005A06D3"/>
    <w:rsid w:val="005A0AF8"/>
    <w:rsid w:val="005A2B2E"/>
    <w:rsid w:val="005A3159"/>
    <w:rsid w:val="005A5144"/>
    <w:rsid w:val="005B19CA"/>
    <w:rsid w:val="005B2CF3"/>
    <w:rsid w:val="005B5D93"/>
    <w:rsid w:val="005B63A2"/>
    <w:rsid w:val="005C42DE"/>
    <w:rsid w:val="005C4CC3"/>
    <w:rsid w:val="005C571D"/>
    <w:rsid w:val="005C59F0"/>
    <w:rsid w:val="005C7783"/>
    <w:rsid w:val="005D451C"/>
    <w:rsid w:val="005D7E62"/>
    <w:rsid w:val="005E0781"/>
    <w:rsid w:val="005E0E66"/>
    <w:rsid w:val="005E2983"/>
    <w:rsid w:val="005E45BB"/>
    <w:rsid w:val="005F1C44"/>
    <w:rsid w:val="005F2A5B"/>
    <w:rsid w:val="005F2ECA"/>
    <w:rsid w:val="005F31BE"/>
    <w:rsid w:val="005F62CB"/>
    <w:rsid w:val="005F79D9"/>
    <w:rsid w:val="00600A02"/>
    <w:rsid w:val="00602EB0"/>
    <w:rsid w:val="00610482"/>
    <w:rsid w:val="00613B72"/>
    <w:rsid w:val="00620E28"/>
    <w:rsid w:val="006221AA"/>
    <w:rsid w:val="00623B31"/>
    <w:rsid w:val="00624D79"/>
    <w:rsid w:val="006274E1"/>
    <w:rsid w:val="0062776E"/>
    <w:rsid w:val="006305E4"/>
    <w:rsid w:val="00631163"/>
    <w:rsid w:val="00631270"/>
    <w:rsid w:val="00632044"/>
    <w:rsid w:val="006360F2"/>
    <w:rsid w:val="006419AA"/>
    <w:rsid w:val="00644C74"/>
    <w:rsid w:val="006454DC"/>
    <w:rsid w:val="006461CC"/>
    <w:rsid w:val="00656560"/>
    <w:rsid w:val="00657119"/>
    <w:rsid w:val="00662C10"/>
    <w:rsid w:val="00663B47"/>
    <w:rsid w:val="00664C1C"/>
    <w:rsid w:val="0066576D"/>
    <w:rsid w:val="00667305"/>
    <w:rsid w:val="006713C0"/>
    <w:rsid w:val="00671CB6"/>
    <w:rsid w:val="0067212C"/>
    <w:rsid w:val="00672830"/>
    <w:rsid w:val="00672CA0"/>
    <w:rsid w:val="00674758"/>
    <w:rsid w:val="00682DF3"/>
    <w:rsid w:val="006836A7"/>
    <w:rsid w:val="006837F6"/>
    <w:rsid w:val="00683A24"/>
    <w:rsid w:val="00683B0E"/>
    <w:rsid w:val="00691365"/>
    <w:rsid w:val="00691D96"/>
    <w:rsid w:val="00695727"/>
    <w:rsid w:val="0069686F"/>
    <w:rsid w:val="006A292F"/>
    <w:rsid w:val="006A3F76"/>
    <w:rsid w:val="006A507F"/>
    <w:rsid w:val="006B08B4"/>
    <w:rsid w:val="006B1779"/>
    <w:rsid w:val="006B3B9F"/>
    <w:rsid w:val="006B54D7"/>
    <w:rsid w:val="006B60DC"/>
    <w:rsid w:val="006B6F5B"/>
    <w:rsid w:val="006B7B76"/>
    <w:rsid w:val="006C162B"/>
    <w:rsid w:val="006C2BFE"/>
    <w:rsid w:val="006C4642"/>
    <w:rsid w:val="006C6C6F"/>
    <w:rsid w:val="006D00CF"/>
    <w:rsid w:val="006D13C9"/>
    <w:rsid w:val="006E2D48"/>
    <w:rsid w:val="006F0116"/>
    <w:rsid w:val="006F1A82"/>
    <w:rsid w:val="006F2049"/>
    <w:rsid w:val="006F309B"/>
    <w:rsid w:val="006F3C21"/>
    <w:rsid w:val="006F6A80"/>
    <w:rsid w:val="0070004A"/>
    <w:rsid w:val="007008D1"/>
    <w:rsid w:val="00704765"/>
    <w:rsid w:val="007067F4"/>
    <w:rsid w:val="00706AE1"/>
    <w:rsid w:val="0071337D"/>
    <w:rsid w:val="00714FBF"/>
    <w:rsid w:val="0071687F"/>
    <w:rsid w:val="00717236"/>
    <w:rsid w:val="00720303"/>
    <w:rsid w:val="0072169E"/>
    <w:rsid w:val="0072379E"/>
    <w:rsid w:val="0072465E"/>
    <w:rsid w:val="00724CF0"/>
    <w:rsid w:val="00726C38"/>
    <w:rsid w:val="007320A1"/>
    <w:rsid w:val="007361F6"/>
    <w:rsid w:val="00736C84"/>
    <w:rsid w:val="007415EE"/>
    <w:rsid w:val="0075074A"/>
    <w:rsid w:val="007533D7"/>
    <w:rsid w:val="0075696F"/>
    <w:rsid w:val="00761F9C"/>
    <w:rsid w:val="0076324E"/>
    <w:rsid w:val="007633AD"/>
    <w:rsid w:val="00765414"/>
    <w:rsid w:val="007670E1"/>
    <w:rsid w:val="00770832"/>
    <w:rsid w:val="00770BBA"/>
    <w:rsid w:val="00770E2D"/>
    <w:rsid w:val="00774EA6"/>
    <w:rsid w:val="00774F2C"/>
    <w:rsid w:val="0078192F"/>
    <w:rsid w:val="00782D82"/>
    <w:rsid w:val="007834AF"/>
    <w:rsid w:val="0079752F"/>
    <w:rsid w:val="007975F4"/>
    <w:rsid w:val="007A0897"/>
    <w:rsid w:val="007A35F3"/>
    <w:rsid w:val="007A64EE"/>
    <w:rsid w:val="007A6702"/>
    <w:rsid w:val="007A7008"/>
    <w:rsid w:val="007B208E"/>
    <w:rsid w:val="007C21C4"/>
    <w:rsid w:val="007C4EAE"/>
    <w:rsid w:val="007C543A"/>
    <w:rsid w:val="007C56C1"/>
    <w:rsid w:val="007D04CC"/>
    <w:rsid w:val="007D08AB"/>
    <w:rsid w:val="007D3176"/>
    <w:rsid w:val="007D4F28"/>
    <w:rsid w:val="007E041E"/>
    <w:rsid w:val="007E16B9"/>
    <w:rsid w:val="007E182F"/>
    <w:rsid w:val="007E3D0F"/>
    <w:rsid w:val="007E51AB"/>
    <w:rsid w:val="007E5E9A"/>
    <w:rsid w:val="007F1E8F"/>
    <w:rsid w:val="007F2156"/>
    <w:rsid w:val="007F50E5"/>
    <w:rsid w:val="007F76EC"/>
    <w:rsid w:val="00801493"/>
    <w:rsid w:val="00807202"/>
    <w:rsid w:val="0080748E"/>
    <w:rsid w:val="008129C1"/>
    <w:rsid w:val="00814665"/>
    <w:rsid w:val="00814DF4"/>
    <w:rsid w:val="008158D2"/>
    <w:rsid w:val="00817438"/>
    <w:rsid w:val="00817FBF"/>
    <w:rsid w:val="00820714"/>
    <w:rsid w:val="008226C9"/>
    <w:rsid w:val="00831E42"/>
    <w:rsid w:val="00831E59"/>
    <w:rsid w:val="008332DD"/>
    <w:rsid w:val="00833C7C"/>
    <w:rsid w:val="00833D58"/>
    <w:rsid w:val="00834691"/>
    <w:rsid w:val="00837B20"/>
    <w:rsid w:val="00841063"/>
    <w:rsid w:val="00841898"/>
    <w:rsid w:val="00842EA5"/>
    <w:rsid w:val="00845505"/>
    <w:rsid w:val="00846685"/>
    <w:rsid w:val="00847ADC"/>
    <w:rsid w:val="00851738"/>
    <w:rsid w:val="00852961"/>
    <w:rsid w:val="00852D1A"/>
    <w:rsid w:val="008572C9"/>
    <w:rsid w:val="00861348"/>
    <w:rsid w:val="00861740"/>
    <w:rsid w:val="00862B92"/>
    <w:rsid w:val="0086333C"/>
    <w:rsid w:val="008665DB"/>
    <w:rsid w:val="008672F6"/>
    <w:rsid w:val="0087056B"/>
    <w:rsid w:val="00871E2A"/>
    <w:rsid w:val="008721A8"/>
    <w:rsid w:val="008729A3"/>
    <w:rsid w:val="00872BE1"/>
    <w:rsid w:val="00875229"/>
    <w:rsid w:val="008865B7"/>
    <w:rsid w:val="00887060"/>
    <w:rsid w:val="008876FB"/>
    <w:rsid w:val="00892423"/>
    <w:rsid w:val="008944FC"/>
    <w:rsid w:val="008954D6"/>
    <w:rsid w:val="00895541"/>
    <w:rsid w:val="00895E6C"/>
    <w:rsid w:val="008A29CB"/>
    <w:rsid w:val="008A38AB"/>
    <w:rsid w:val="008A6B57"/>
    <w:rsid w:val="008A6C67"/>
    <w:rsid w:val="008B2149"/>
    <w:rsid w:val="008B6B91"/>
    <w:rsid w:val="008B74EE"/>
    <w:rsid w:val="008C0F43"/>
    <w:rsid w:val="008C14F4"/>
    <w:rsid w:val="008C1509"/>
    <w:rsid w:val="008C15FD"/>
    <w:rsid w:val="008C17F4"/>
    <w:rsid w:val="008C2826"/>
    <w:rsid w:val="008C38E5"/>
    <w:rsid w:val="008C6E50"/>
    <w:rsid w:val="008D3484"/>
    <w:rsid w:val="008D3976"/>
    <w:rsid w:val="008D5D64"/>
    <w:rsid w:val="008D71E7"/>
    <w:rsid w:val="008E32CB"/>
    <w:rsid w:val="008E63CB"/>
    <w:rsid w:val="008E7436"/>
    <w:rsid w:val="008F1CBB"/>
    <w:rsid w:val="008F391E"/>
    <w:rsid w:val="008F5ED9"/>
    <w:rsid w:val="00900E74"/>
    <w:rsid w:val="0090421E"/>
    <w:rsid w:val="0090604F"/>
    <w:rsid w:val="009125B5"/>
    <w:rsid w:val="009128F9"/>
    <w:rsid w:val="00912976"/>
    <w:rsid w:val="0091302D"/>
    <w:rsid w:val="0091403E"/>
    <w:rsid w:val="0091587A"/>
    <w:rsid w:val="00915CF1"/>
    <w:rsid w:val="00916E57"/>
    <w:rsid w:val="009174AD"/>
    <w:rsid w:val="00917702"/>
    <w:rsid w:val="009178BB"/>
    <w:rsid w:val="00920786"/>
    <w:rsid w:val="00923AE7"/>
    <w:rsid w:val="00924E54"/>
    <w:rsid w:val="009260AC"/>
    <w:rsid w:val="00931B8C"/>
    <w:rsid w:val="00932093"/>
    <w:rsid w:val="00934BE6"/>
    <w:rsid w:val="0093780A"/>
    <w:rsid w:val="00942492"/>
    <w:rsid w:val="009441DB"/>
    <w:rsid w:val="00944AFC"/>
    <w:rsid w:val="00944BC4"/>
    <w:rsid w:val="00953C28"/>
    <w:rsid w:val="00955ABF"/>
    <w:rsid w:val="00964B29"/>
    <w:rsid w:val="009652E9"/>
    <w:rsid w:val="00965AA7"/>
    <w:rsid w:val="00967E92"/>
    <w:rsid w:val="00971D26"/>
    <w:rsid w:val="00973503"/>
    <w:rsid w:val="00973AE1"/>
    <w:rsid w:val="00974030"/>
    <w:rsid w:val="009743FB"/>
    <w:rsid w:val="009801EB"/>
    <w:rsid w:val="0098063D"/>
    <w:rsid w:val="00981D6D"/>
    <w:rsid w:val="009848D3"/>
    <w:rsid w:val="00984D79"/>
    <w:rsid w:val="009853AB"/>
    <w:rsid w:val="00985B72"/>
    <w:rsid w:val="0098721A"/>
    <w:rsid w:val="00990226"/>
    <w:rsid w:val="00992B27"/>
    <w:rsid w:val="00992BC5"/>
    <w:rsid w:val="00993679"/>
    <w:rsid w:val="00993957"/>
    <w:rsid w:val="00995E1B"/>
    <w:rsid w:val="00995F40"/>
    <w:rsid w:val="00997733"/>
    <w:rsid w:val="009A480A"/>
    <w:rsid w:val="009A4CBF"/>
    <w:rsid w:val="009A6149"/>
    <w:rsid w:val="009B2569"/>
    <w:rsid w:val="009B39A4"/>
    <w:rsid w:val="009B43D6"/>
    <w:rsid w:val="009B5407"/>
    <w:rsid w:val="009C2397"/>
    <w:rsid w:val="009C53F9"/>
    <w:rsid w:val="009C59AC"/>
    <w:rsid w:val="009C76B3"/>
    <w:rsid w:val="009D1323"/>
    <w:rsid w:val="009D3B55"/>
    <w:rsid w:val="009D4079"/>
    <w:rsid w:val="009D4275"/>
    <w:rsid w:val="009D6690"/>
    <w:rsid w:val="009D77CC"/>
    <w:rsid w:val="009D7880"/>
    <w:rsid w:val="009E0464"/>
    <w:rsid w:val="009E2A57"/>
    <w:rsid w:val="009E6C01"/>
    <w:rsid w:val="009E73C4"/>
    <w:rsid w:val="009F0111"/>
    <w:rsid w:val="009F0550"/>
    <w:rsid w:val="009F1B4D"/>
    <w:rsid w:val="009F2088"/>
    <w:rsid w:val="009F29F3"/>
    <w:rsid w:val="009F6583"/>
    <w:rsid w:val="00A0243A"/>
    <w:rsid w:val="00A03166"/>
    <w:rsid w:val="00A05DEF"/>
    <w:rsid w:val="00A0725A"/>
    <w:rsid w:val="00A0768E"/>
    <w:rsid w:val="00A11CB3"/>
    <w:rsid w:val="00A1493B"/>
    <w:rsid w:val="00A1561F"/>
    <w:rsid w:val="00A158E0"/>
    <w:rsid w:val="00A1775E"/>
    <w:rsid w:val="00A208D0"/>
    <w:rsid w:val="00A217FD"/>
    <w:rsid w:val="00A21B51"/>
    <w:rsid w:val="00A22AF3"/>
    <w:rsid w:val="00A24957"/>
    <w:rsid w:val="00A265E2"/>
    <w:rsid w:val="00A2686F"/>
    <w:rsid w:val="00A32CC6"/>
    <w:rsid w:val="00A35FDD"/>
    <w:rsid w:val="00A50B01"/>
    <w:rsid w:val="00A55C1E"/>
    <w:rsid w:val="00A56E94"/>
    <w:rsid w:val="00A64100"/>
    <w:rsid w:val="00A6642E"/>
    <w:rsid w:val="00A67A86"/>
    <w:rsid w:val="00A704DD"/>
    <w:rsid w:val="00A71B18"/>
    <w:rsid w:val="00A726B4"/>
    <w:rsid w:val="00A74D70"/>
    <w:rsid w:val="00A757FF"/>
    <w:rsid w:val="00A75A46"/>
    <w:rsid w:val="00A8069D"/>
    <w:rsid w:val="00A80C2F"/>
    <w:rsid w:val="00A82A89"/>
    <w:rsid w:val="00A82F2C"/>
    <w:rsid w:val="00A83CAB"/>
    <w:rsid w:val="00A86049"/>
    <w:rsid w:val="00A878F4"/>
    <w:rsid w:val="00A917AD"/>
    <w:rsid w:val="00A9385F"/>
    <w:rsid w:val="00A93A56"/>
    <w:rsid w:val="00A94086"/>
    <w:rsid w:val="00A9596F"/>
    <w:rsid w:val="00A96EF6"/>
    <w:rsid w:val="00A977CF"/>
    <w:rsid w:val="00A97896"/>
    <w:rsid w:val="00AA179B"/>
    <w:rsid w:val="00AA2044"/>
    <w:rsid w:val="00AA2704"/>
    <w:rsid w:val="00AA2962"/>
    <w:rsid w:val="00AA3845"/>
    <w:rsid w:val="00AA50EA"/>
    <w:rsid w:val="00AA59EF"/>
    <w:rsid w:val="00AA76E6"/>
    <w:rsid w:val="00AB4B5B"/>
    <w:rsid w:val="00AB717C"/>
    <w:rsid w:val="00AB7E39"/>
    <w:rsid w:val="00AC1A14"/>
    <w:rsid w:val="00AC1C97"/>
    <w:rsid w:val="00AC4805"/>
    <w:rsid w:val="00AC4B72"/>
    <w:rsid w:val="00AC630B"/>
    <w:rsid w:val="00AD2AAA"/>
    <w:rsid w:val="00AD4568"/>
    <w:rsid w:val="00AD5A12"/>
    <w:rsid w:val="00AD63AE"/>
    <w:rsid w:val="00AD6D9C"/>
    <w:rsid w:val="00AD6E7B"/>
    <w:rsid w:val="00AD78F5"/>
    <w:rsid w:val="00AE06D6"/>
    <w:rsid w:val="00AE5F4F"/>
    <w:rsid w:val="00AE7542"/>
    <w:rsid w:val="00AF0503"/>
    <w:rsid w:val="00AF2D7A"/>
    <w:rsid w:val="00AF34E9"/>
    <w:rsid w:val="00AF501D"/>
    <w:rsid w:val="00AF6051"/>
    <w:rsid w:val="00AF6500"/>
    <w:rsid w:val="00AF76F9"/>
    <w:rsid w:val="00B01B40"/>
    <w:rsid w:val="00B0281D"/>
    <w:rsid w:val="00B02E94"/>
    <w:rsid w:val="00B050DE"/>
    <w:rsid w:val="00B062A2"/>
    <w:rsid w:val="00B10F74"/>
    <w:rsid w:val="00B115D5"/>
    <w:rsid w:val="00B1244F"/>
    <w:rsid w:val="00B12FD3"/>
    <w:rsid w:val="00B14F53"/>
    <w:rsid w:val="00B1612F"/>
    <w:rsid w:val="00B169C6"/>
    <w:rsid w:val="00B21AB3"/>
    <w:rsid w:val="00B25C21"/>
    <w:rsid w:val="00B320C7"/>
    <w:rsid w:val="00B34B81"/>
    <w:rsid w:val="00B34C83"/>
    <w:rsid w:val="00B377EE"/>
    <w:rsid w:val="00B37FEB"/>
    <w:rsid w:val="00B42B18"/>
    <w:rsid w:val="00B46671"/>
    <w:rsid w:val="00B47161"/>
    <w:rsid w:val="00B510B9"/>
    <w:rsid w:val="00B51DCC"/>
    <w:rsid w:val="00B52D16"/>
    <w:rsid w:val="00B55EDE"/>
    <w:rsid w:val="00B677BF"/>
    <w:rsid w:val="00B70239"/>
    <w:rsid w:val="00B71BC1"/>
    <w:rsid w:val="00B734D3"/>
    <w:rsid w:val="00B73649"/>
    <w:rsid w:val="00B7481B"/>
    <w:rsid w:val="00B7575B"/>
    <w:rsid w:val="00B800C0"/>
    <w:rsid w:val="00B80B22"/>
    <w:rsid w:val="00B8531E"/>
    <w:rsid w:val="00B869FB"/>
    <w:rsid w:val="00B86CC0"/>
    <w:rsid w:val="00B878CC"/>
    <w:rsid w:val="00B9215F"/>
    <w:rsid w:val="00B95352"/>
    <w:rsid w:val="00B95373"/>
    <w:rsid w:val="00B96E66"/>
    <w:rsid w:val="00B97F6C"/>
    <w:rsid w:val="00BA47FF"/>
    <w:rsid w:val="00BB0877"/>
    <w:rsid w:val="00BB08BD"/>
    <w:rsid w:val="00BB186F"/>
    <w:rsid w:val="00BB4CA7"/>
    <w:rsid w:val="00BB53AD"/>
    <w:rsid w:val="00BB5C35"/>
    <w:rsid w:val="00BB7CE9"/>
    <w:rsid w:val="00BC17C0"/>
    <w:rsid w:val="00BD0DAF"/>
    <w:rsid w:val="00BD4ADF"/>
    <w:rsid w:val="00BD7514"/>
    <w:rsid w:val="00BE4CDD"/>
    <w:rsid w:val="00BE505A"/>
    <w:rsid w:val="00BE56E0"/>
    <w:rsid w:val="00BE61FB"/>
    <w:rsid w:val="00BF07F5"/>
    <w:rsid w:val="00BF14F1"/>
    <w:rsid w:val="00BF17E5"/>
    <w:rsid w:val="00BF22C5"/>
    <w:rsid w:val="00BF37B8"/>
    <w:rsid w:val="00BF409F"/>
    <w:rsid w:val="00BF5712"/>
    <w:rsid w:val="00BF60D3"/>
    <w:rsid w:val="00BF79CD"/>
    <w:rsid w:val="00C02556"/>
    <w:rsid w:val="00C05D67"/>
    <w:rsid w:val="00C071B8"/>
    <w:rsid w:val="00C11348"/>
    <w:rsid w:val="00C142EC"/>
    <w:rsid w:val="00C15156"/>
    <w:rsid w:val="00C15A9A"/>
    <w:rsid w:val="00C16CFB"/>
    <w:rsid w:val="00C171D9"/>
    <w:rsid w:val="00C22DC8"/>
    <w:rsid w:val="00C2420F"/>
    <w:rsid w:val="00C24665"/>
    <w:rsid w:val="00C25007"/>
    <w:rsid w:val="00C2528A"/>
    <w:rsid w:val="00C25959"/>
    <w:rsid w:val="00C26F26"/>
    <w:rsid w:val="00C3029B"/>
    <w:rsid w:val="00C30485"/>
    <w:rsid w:val="00C309DF"/>
    <w:rsid w:val="00C30DC1"/>
    <w:rsid w:val="00C317F7"/>
    <w:rsid w:val="00C32A34"/>
    <w:rsid w:val="00C34B55"/>
    <w:rsid w:val="00C3674A"/>
    <w:rsid w:val="00C369DA"/>
    <w:rsid w:val="00C37220"/>
    <w:rsid w:val="00C37AB3"/>
    <w:rsid w:val="00C410CC"/>
    <w:rsid w:val="00C4382B"/>
    <w:rsid w:val="00C43E1F"/>
    <w:rsid w:val="00C44A6C"/>
    <w:rsid w:val="00C45821"/>
    <w:rsid w:val="00C45FC0"/>
    <w:rsid w:val="00C54FB9"/>
    <w:rsid w:val="00C56CA3"/>
    <w:rsid w:val="00C56E8D"/>
    <w:rsid w:val="00C60595"/>
    <w:rsid w:val="00C61305"/>
    <w:rsid w:val="00C61472"/>
    <w:rsid w:val="00C61DF0"/>
    <w:rsid w:val="00C62404"/>
    <w:rsid w:val="00C6427A"/>
    <w:rsid w:val="00C643D3"/>
    <w:rsid w:val="00C6542A"/>
    <w:rsid w:val="00C6608D"/>
    <w:rsid w:val="00C67EFE"/>
    <w:rsid w:val="00C71DD6"/>
    <w:rsid w:val="00C74078"/>
    <w:rsid w:val="00C745CE"/>
    <w:rsid w:val="00C76273"/>
    <w:rsid w:val="00C80F88"/>
    <w:rsid w:val="00C82107"/>
    <w:rsid w:val="00C8451F"/>
    <w:rsid w:val="00C875DE"/>
    <w:rsid w:val="00C91E59"/>
    <w:rsid w:val="00C944BB"/>
    <w:rsid w:val="00C9569C"/>
    <w:rsid w:val="00C97958"/>
    <w:rsid w:val="00CA0E59"/>
    <w:rsid w:val="00CA17D7"/>
    <w:rsid w:val="00CA3FDA"/>
    <w:rsid w:val="00CA6DDE"/>
    <w:rsid w:val="00CB4CC5"/>
    <w:rsid w:val="00CB6431"/>
    <w:rsid w:val="00CB7096"/>
    <w:rsid w:val="00CC23AA"/>
    <w:rsid w:val="00CC26C6"/>
    <w:rsid w:val="00CC41EB"/>
    <w:rsid w:val="00CC5ACD"/>
    <w:rsid w:val="00CC6200"/>
    <w:rsid w:val="00CD3014"/>
    <w:rsid w:val="00CD3056"/>
    <w:rsid w:val="00CD4535"/>
    <w:rsid w:val="00CD6716"/>
    <w:rsid w:val="00CE15C2"/>
    <w:rsid w:val="00CE3983"/>
    <w:rsid w:val="00CE482F"/>
    <w:rsid w:val="00CE6C1E"/>
    <w:rsid w:val="00CE75B1"/>
    <w:rsid w:val="00CF1326"/>
    <w:rsid w:val="00CF3257"/>
    <w:rsid w:val="00CF4040"/>
    <w:rsid w:val="00CF51B2"/>
    <w:rsid w:val="00D002D6"/>
    <w:rsid w:val="00D039D1"/>
    <w:rsid w:val="00D067E1"/>
    <w:rsid w:val="00D0799D"/>
    <w:rsid w:val="00D11B9C"/>
    <w:rsid w:val="00D126AA"/>
    <w:rsid w:val="00D1434F"/>
    <w:rsid w:val="00D15819"/>
    <w:rsid w:val="00D15D49"/>
    <w:rsid w:val="00D26378"/>
    <w:rsid w:val="00D271E9"/>
    <w:rsid w:val="00D312DB"/>
    <w:rsid w:val="00D4205B"/>
    <w:rsid w:val="00D43831"/>
    <w:rsid w:val="00D43E2F"/>
    <w:rsid w:val="00D446CF"/>
    <w:rsid w:val="00D509B0"/>
    <w:rsid w:val="00D50D78"/>
    <w:rsid w:val="00D51F05"/>
    <w:rsid w:val="00D535DB"/>
    <w:rsid w:val="00D54D53"/>
    <w:rsid w:val="00D55327"/>
    <w:rsid w:val="00D61432"/>
    <w:rsid w:val="00D62A48"/>
    <w:rsid w:val="00D62EB2"/>
    <w:rsid w:val="00D63012"/>
    <w:rsid w:val="00D64E8A"/>
    <w:rsid w:val="00D674E0"/>
    <w:rsid w:val="00D71B1A"/>
    <w:rsid w:val="00D72039"/>
    <w:rsid w:val="00D74A5F"/>
    <w:rsid w:val="00D7539A"/>
    <w:rsid w:val="00D77152"/>
    <w:rsid w:val="00D7792C"/>
    <w:rsid w:val="00D82349"/>
    <w:rsid w:val="00D83206"/>
    <w:rsid w:val="00D83262"/>
    <w:rsid w:val="00D91644"/>
    <w:rsid w:val="00D959C2"/>
    <w:rsid w:val="00D96D24"/>
    <w:rsid w:val="00D97A35"/>
    <w:rsid w:val="00DA40A8"/>
    <w:rsid w:val="00DA6778"/>
    <w:rsid w:val="00DB16F5"/>
    <w:rsid w:val="00DB209F"/>
    <w:rsid w:val="00DB2CA8"/>
    <w:rsid w:val="00DB4089"/>
    <w:rsid w:val="00DB6B1A"/>
    <w:rsid w:val="00DC0405"/>
    <w:rsid w:val="00DC0504"/>
    <w:rsid w:val="00DC064C"/>
    <w:rsid w:val="00DC1D93"/>
    <w:rsid w:val="00DC3ABC"/>
    <w:rsid w:val="00DC6F7B"/>
    <w:rsid w:val="00DC72CD"/>
    <w:rsid w:val="00DD0F50"/>
    <w:rsid w:val="00DD3C93"/>
    <w:rsid w:val="00DD6027"/>
    <w:rsid w:val="00DE22D8"/>
    <w:rsid w:val="00DE24A1"/>
    <w:rsid w:val="00DE2C07"/>
    <w:rsid w:val="00DE2EC9"/>
    <w:rsid w:val="00DF0CD9"/>
    <w:rsid w:val="00DF11EE"/>
    <w:rsid w:val="00DF379E"/>
    <w:rsid w:val="00DF5061"/>
    <w:rsid w:val="00DF5067"/>
    <w:rsid w:val="00E030DE"/>
    <w:rsid w:val="00E03485"/>
    <w:rsid w:val="00E035E9"/>
    <w:rsid w:val="00E0426E"/>
    <w:rsid w:val="00E06ADA"/>
    <w:rsid w:val="00E16A20"/>
    <w:rsid w:val="00E1729A"/>
    <w:rsid w:val="00E21A09"/>
    <w:rsid w:val="00E24F8C"/>
    <w:rsid w:val="00E272FC"/>
    <w:rsid w:val="00E36093"/>
    <w:rsid w:val="00E401E1"/>
    <w:rsid w:val="00E4542C"/>
    <w:rsid w:val="00E50C36"/>
    <w:rsid w:val="00E54780"/>
    <w:rsid w:val="00E57FF6"/>
    <w:rsid w:val="00E60FC8"/>
    <w:rsid w:val="00E6151B"/>
    <w:rsid w:val="00E63C04"/>
    <w:rsid w:val="00E63FD3"/>
    <w:rsid w:val="00E64197"/>
    <w:rsid w:val="00E64338"/>
    <w:rsid w:val="00E646F1"/>
    <w:rsid w:val="00E651A3"/>
    <w:rsid w:val="00E71111"/>
    <w:rsid w:val="00E73B4F"/>
    <w:rsid w:val="00E74B0A"/>
    <w:rsid w:val="00E75979"/>
    <w:rsid w:val="00E8064F"/>
    <w:rsid w:val="00E80B9E"/>
    <w:rsid w:val="00E80EEC"/>
    <w:rsid w:val="00E81CDD"/>
    <w:rsid w:val="00E823E8"/>
    <w:rsid w:val="00E84728"/>
    <w:rsid w:val="00E91947"/>
    <w:rsid w:val="00E94945"/>
    <w:rsid w:val="00E95FDB"/>
    <w:rsid w:val="00E96583"/>
    <w:rsid w:val="00EA009A"/>
    <w:rsid w:val="00EA057D"/>
    <w:rsid w:val="00EA194C"/>
    <w:rsid w:val="00EA6E74"/>
    <w:rsid w:val="00EA7980"/>
    <w:rsid w:val="00EB30E8"/>
    <w:rsid w:val="00EB3B6F"/>
    <w:rsid w:val="00EB5E9B"/>
    <w:rsid w:val="00EB65F5"/>
    <w:rsid w:val="00EB6BA3"/>
    <w:rsid w:val="00EB7CE3"/>
    <w:rsid w:val="00EC1A1C"/>
    <w:rsid w:val="00EC3360"/>
    <w:rsid w:val="00EC4C96"/>
    <w:rsid w:val="00EC55AF"/>
    <w:rsid w:val="00EC5A13"/>
    <w:rsid w:val="00ED0629"/>
    <w:rsid w:val="00ED3E42"/>
    <w:rsid w:val="00ED55B0"/>
    <w:rsid w:val="00ED7A5F"/>
    <w:rsid w:val="00EE040C"/>
    <w:rsid w:val="00EE075B"/>
    <w:rsid w:val="00EE1EA9"/>
    <w:rsid w:val="00EE5E3F"/>
    <w:rsid w:val="00EE636D"/>
    <w:rsid w:val="00EF0790"/>
    <w:rsid w:val="00EF1B11"/>
    <w:rsid w:val="00EF2A9C"/>
    <w:rsid w:val="00EF4259"/>
    <w:rsid w:val="00EF6AB5"/>
    <w:rsid w:val="00F06742"/>
    <w:rsid w:val="00F12CB3"/>
    <w:rsid w:val="00F12FF6"/>
    <w:rsid w:val="00F157DD"/>
    <w:rsid w:val="00F159D7"/>
    <w:rsid w:val="00F17A65"/>
    <w:rsid w:val="00F201AE"/>
    <w:rsid w:val="00F20742"/>
    <w:rsid w:val="00F238EE"/>
    <w:rsid w:val="00F25D52"/>
    <w:rsid w:val="00F2622C"/>
    <w:rsid w:val="00F2732E"/>
    <w:rsid w:val="00F2778C"/>
    <w:rsid w:val="00F30EEA"/>
    <w:rsid w:val="00F3115B"/>
    <w:rsid w:val="00F31A75"/>
    <w:rsid w:val="00F41D89"/>
    <w:rsid w:val="00F446CE"/>
    <w:rsid w:val="00F454A9"/>
    <w:rsid w:val="00F46A4B"/>
    <w:rsid w:val="00F52101"/>
    <w:rsid w:val="00F5479B"/>
    <w:rsid w:val="00F55AC6"/>
    <w:rsid w:val="00F55BB2"/>
    <w:rsid w:val="00F55DEA"/>
    <w:rsid w:val="00F55F47"/>
    <w:rsid w:val="00F56BF3"/>
    <w:rsid w:val="00F56DAB"/>
    <w:rsid w:val="00F574D7"/>
    <w:rsid w:val="00F57527"/>
    <w:rsid w:val="00F5758D"/>
    <w:rsid w:val="00F642A3"/>
    <w:rsid w:val="00F65107"/>
    <w:rsid w:val="00F6527A"/>
    <w:rsid w:val="00F6592D"/>
    <w:rsid w:val="00F71E13"/>
    <w:rsid w:val="00F86020"/>
    <w:rsid w:val="00F91693"/>
    <w:rsid w:val="00F948F3"/>
    <w:rsid w:val="00F979E9"/>
    <w:rsid w:val="00F97D27"/>
    <w:rsid w:val="00F97DA6"/>
    <w:rsid w:val="00FA01C6"/>
    <w:rsid w:val="00FA0BA3"/>
    <w:rsid w:val="00FA215A"/>
    <w:rsid w:val="00FA2446"/>
    <w:rsid w:val="00FA48DD"/>
    <w:rsid w:val="00FA61C6"/>
    <w:rsid w:val="00FA6289"/>
    <w:rsid w:val="00FB153E"/>
    <w:rsid w:val="00FB160F"/>
    <w:rsid w:val="00FB193A"/>
    <w:rsid w:val="00FB3515"/>
    <w:rsid w:val="00FB4824"/>
    <w:rsid w:val="00FB495B"/>
    <w:rsid w:val="00FB6EDD"/>
    <w:rsid w:val="00FC2F6E"/>
    <w:rsid w:val="00FC36DC"/>
    <w:rsid w:val="00FC75A8"/>
    <w:rsid w:val="00FD0678"/>
    <w:rsid w:val="00FD213A"/>
    <w:rsid w:val="00FD37B4"/>
    <w:rsid w:val="00FD531E"/>
    <w:rsid w:val="00FE0BEA"/>
    <w:rsid w:val="00FE2D6C"/>
    <w:rsid w:val="00FE2FFA"/>
    <w:rsid w:val="00FE7F40"/>
    <w:rsid w:val="00FF5CBB"/>
    <w:rsid w:val="00FF6389"/>
    <w:rsid w:val="00FF7022"/>
    <w:rsid w:val="00FF759F"/>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Balk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Balk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styleId="DipnotBavurusu">
    <w:name w:val="footnote reference"/>
    <w:basedOn w:val="VarsaylanParagrafYazTipi"/>
    <w:uiPriority w:val="99"/>
    <w:semiHidden/>
    <w:rsid w:val="00D0799D"/>
    <w:rPr>
      <w:vertAlign w:val="superscript"/>
    </w:rPr>
  </w:style>
  <w:style w:type="paragraph" w:styleId="BalonMetni">
    <w:name w:val="Balloon Text"/>
    <w:basedOn w:val="Normal"/>
    <w:semiHidden/>
    <w:rsid w:val="00BF17E5"/>
    <w:rPr>
      <w:rFonts w:ascii="Tahoma" w:hAnsi="Tahoma" w:cs="Tahoma"/>
      <w:sz w:val="16"/>
      <w:szCs w:val="16"/>
    </w:rPr>
  </w:style>
  <w:style w:type="character" w:styleId="Kpr">
    <w:name w:val="Hyperlink"/>
    <w:basedOn w:val="VarsaylanParagrafYazTipi"/>
    <w:rsid w:val="00E81CDD"/>
    <w:rPr>
      <w:color w:val="0000FF"/>
      <w:u w:val="single"/>
    </w:rPr>
  </w:style>
  <w:style w:type="character" w:customStyle="1" w:styleId="DipnotMetniChar">
    <w:name w:val="Dipnot Metni Char"/>
    <w:basedOn w:val="VarsaylanParagrafYazTipi"/>
    <w:link w:val="DipnotMetni"/>
    <w:uiPriority w:val="99"/>
    <w:semiHidden/>
    <w:locked/>
    <w:rsid w:val="001F275D"/>
    <w:rPr>
      <w:lang w:eastAsia="tr-TR"/>
    </w:rPr>
  </w:style>
  <w:style w:type="paragraph" w:styleId="SonnotMetni">
    <w:name w:val="endnote text"/>
    <w:basedOn w:val="Normal"/>
    <w:link w:val="SonnotMetniChar"/>
    <w:rsid w:val="0022179E"/>
    <w:rPr>
      <w:sz w:val="20"/>
      <w:szCs w:val="20"/>
    </w:rPr>
  </w:style>
  <w:style w:type="character" w:customStyle="1" w:styleId="SonnotMetniChar">
    <w:name w:val="Sonnot Metni Char"/>
    <w:basedOn w:val="VarsaylanParagrafYazTipi"/>
    <w:link w:val="SonnotMetni"/>
    <w:rsid w:val="0022179E"/>
    <w:rPr>
      <w:lang w:eastAsia="tr-TR"/>
    </w:rPr>
  </w:style>
  <w:style w:type="character" w:styleId="SonnotBavurusu">
    <w:name w:val="endnote reference"/>
    <w:basedOn w:val="VarsaylanParagrafYazTipi"/>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ris.soybilgen\Local%20Settings\Temporary%20Internet%20Files\Content.Outlook\J4MFQHEA\SUE_yillik_art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8.9055945928837282E-2"/>
          <c:y val="4.7599226945506598E-2"/>
          <c:w val="0.77645330931186851"/>
          <c:h val="0.9005143006641857"/>
        </c:manualLayout>
      </c:layout>
      <c:barChart>
        <c:barDir val="col"/>
        <c:grouping val="clustered"/>
        <c:ser>
          <c:idx val="0"/>
          <c:order val="0"/>
          <c:tx>
            <c:strRef>
              <c:f>'t4'!$B$9</c:f>
              <c:strCache>
                <c:ptCount val="1"/>
                <c:pt idx="0">
                  <c:v>2012</c:v>
                </c:pt>
              </c:strCache>
            </c:strRef>
          </c:tx>
          <c:cat>
            <c:strRef>
              <c:f>'t4'!$C$5:$N$5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't4'!$C$9:$N$9</c:f>
              <c:numCache>
                <c:formatCode>0.0</c:formatCode>
                <c:ptCount val="12"/>
                <c:pt idx="0">
                  <c:v>1.6255462622343499</c:v>
                </c:pt>
                <c:pt idx="1">
                  <c:v>2.5334684306805539</c:v>
                </c:pt>
                <c:pt idx="2">
                  <c:v>3.682694761844548</c:v>
                </c:pt>
                <c:pt idx="3">
                  <c:v>4.0162068418655785</c:v>
                </c:pt>
                <c:pt idx="4">
                  <c:v>5.7188380228669455</c:v>
                </c:pt>
                <c:pt idx="5">
                  <c:v>2.112464376302853</c:v>
                </c:pt>
                <c:pt idx="6">
                  <c:v>3.3300252143669979</c:v>
                </c:pt>
                <c:pt idx="7">
                  <c:v>0.48714436777667963</c:v>
                </c:pt>
                <c:pt idx="8">
                  <c:v>3.5415640185484598</c:v>
                </c:pt>
                <c:pt idx="9">
                  <c:v>0.80825470556555967</c:v>
                </c:pt>
                <c:pt idx="10">
                  <c:v>3.8496838821105825</c:v>
                </c:pt>
                <c:pt idx="11">
                  <c:v>-1.7807123230716133</c:v>
                </c:pt>
              </c:numCache>
            </c:numRef>
          </c:val>
        </c:ser>
        <c:ser>
          <c:idx val="1"/>
          <c:order val="1"/>
          <c:tx>
            <c:strRef>
              <c:f>'t4'!$B$10</c:f>
              <c:strCache>
                <c:ptCount val="1"/>
                <c:pt idx="0">
                  <c:v>2013</c:v>
                </c:pt>
              </c:strCache>
            </c:strRef>
          </c:tx>
          <c:cat>
            <c:strRef>
              <c:f>'t4'!$C$4:$N$4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't4'!$C$10:$N$10</c:f>
              <c:numCache>
                <c:formatCode>0.0</c:formatCode>
                <c:ptCount val="12"/>
                <c:pt idx="0">
                  <c:v>2.0293249427585818</c:v>
                </c:pt>
                <c:pt idx="1">
                  <c:v>4.4097358930968511</c:v>
                </c:pt>
              </c:numCache>
            </c:numRef>
          </c:val>
        </c:ser>
        <c:gapWidth val="28"/>
        <c:axId val="130158976"/>
        <c:axId val="130160512"/>
      </c:barChart>
      <c:catAx>
        <c:axId val="130158976"/>
        <c:scaling>
          <c:orientation val="minMax"/>
        </c:scaling>
        <c:axPos val="b"/>
        <c:numFmt formatCode="General" sourceLinked="1"/>
        <c:tickLblPos val="nextTo"/>
        <c:txPr>
          <a:bodyPr/>
          <a:lstStyle/>
          <a:p>
            <a:pPr>
              <a:defRPr lang="en-US"/>
            </a:pPr>
            <a:endParaRPr lang="tr-TR"/>
          </a:p>
        </c:txPr>
        <c:crossAx val="130160512"/>
        <c:crosses val="autoZero"/>
        <c:auto val="1"/>
        <c:lblAlgn val="ctr"/>
        <c:lblOffset val="100"/>
      </c:catAx>
      <c:valAx>
        <c:axId val="130160512"/>
        <c:scaling>
          <c:orientation val="minMax"/>
        </c:scaling>
        <c:axPos val="l"/>
        <c:majorGridlines/>
        <c:numFmt formatCode="0.0" sourceLinked="1"/>
        <c:tickLblPos val="nextTo"/>
        <c:txPr>
          <a:bodyPr/>
          <a:lstStyle/>
          <a:p>
            <a:pPr>
              <a:defRPr lang="en-US"/>
            </a:pPr>
            <a:endParaRPr lang="tr-TR"/>
          </a:p>
        </c:txPr>
        <c:crossAx val="130158976"/>
        <c:crosses val="autoZero"/>
        <c:crossBetween val="between"/>
      </c:valAx>
    </c:plotArea>
    <c:legend>
      <c:legendPos val="r"/>
      <c:txPr>
        <a:bodyPr/>
        <a:lstStyle/>
        <a:p>
          <a:pPr>
            <a:defRPr lang="en-US"/>
          </a:pPr>
          <a:endParaRPr lang="tr-T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7609-AF28-4BF2-A85D-AD91C25B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baris.soybilgen</dc:creator>
  <cp:lastModifiedBy>merve.akgul</cp:lastModifiedBy>
  <cp:revision>65</cp:revision>
  <cp:lastPrinted>2013-04-02T11:50:00Z</cp:lastPrinted>
  <dcterms:created xsi:type="dcterms:W3CDTF">2013-04-22T06:55:00Z</dcterms:created>
  <dcterms:modified xsi:type="dcterms:W3CDTF">2013-04-25T06:55:00Z</dcterms:modified>
</cp:coreProperties>
</file>