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C" w:rsidRPr="00B320C7" w:rsidRDefault="00AB717C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320C7">
        <w:rPr>
          <w:rFonts w:ascii="Arial" w:hAnsi="Arial" w:cs="Arial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315200" cy="1330325"/>
            <wp:effectExtent l="19050" t="0" r="0" b="0"/>
            <wp:wrapNone/>
            <wp:docPr id="61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01">
        <w:rPr>
          <w:rFonts w:ascii="Arial" w:hAnsi="Arial" w:cs="Arial"/>
          <w:b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117pt;margin-top:-45pt;width:312.1pt;height:44.8pt;z-index:25165619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RhjAIAAB0FAAAOAAAAZHJzL2Uyb0RvYy54bWysVF1v2yAUfZ+0/4B4T22njhtbdap+LNOk&#10;7kNq9wOIwTEaBgYkdjftv+8Ccdp0L9M0P+ALXA7n3nsul1djL9CeGcuVrHF2lmLEZKMol9saf31c&#10;z5YYWUckJUJJVuMnZvHV6u2by0FXbK46JSgzCECkrQZd4845XSWJbTrWE3umNJOw2SrTEwdTs02o&#10;IQOg9yKZp2mRDMpQbVTDrIXVu7iJVwG/bVnjPretZQ6JGgM3F0YTxo0fk9UlqbaG6I43BxrkH1j0&#10;hEu49Ah1RxxBO8P/gOp5Y5RVrTtrVJ+otuUNCzFANFn6KpqHjmgWYoHkWH1Mk/1/sM2n/ReDOK3x&#10;OUaS9FCiRzY6dKNGNC98egZtK/B60ODnRliHModQrb5XzTeLpLrtiNyya2PU0DFCgV7mTyYvjkYc&#10;60E2w0dF4R6ycyoAja3pfe4gGwjQoUxPx9J4Lg0snpfFeXEBWw3sLYplWYTaJaSaTmtj3XumeuSN&#10;GhsofUAn+3vrPBtSTS7+MqsEp2suRJiY7eZWGLQnIJN1+OJZoTsSV6frbHQNeCcYQnokqTxmvC6u&#10;QARAwO/5WIImfpbZPE9v5uVsXSwvZvk6X8zKi3Q5S7PyBiLLy/xu/cszyPKq45Qyec8lm/SZ5X9X&#10;/0OnRGUFhaKhxuVivgjBnbA/hHWINfVfKOGrRPXcQbsK3td4eXQila/6O0khbFI5wkW0k1P6IWWQ&#10;g+kfshI04mURBeLGzQgoXjgbRZ9ALUZBMaHu8MaA0SnzA6MB+rXG9vuOGIaR+CBBcb65J8NMxmYy&#10;iGzgaI0dRtG8dfER2GnDtx0gR01LdQ2qbHkQzDMLoOwn0IOB/OG98E3+ch68nl+11W8AAAD//wMA&#10;UEsDBBQABgAIAAAAIQBufDvv3gAAAAkBAAAPAAAAZHJzL2Rvd25yZXYueG1sTI9BT8MwDIXvSPyH&#10;yEjctpRuQNc1nWAIrhNl0q5Z4zVVG6dqsq38e8wJbrbf0/P3is3kenHBMbSeFDzMExBItTctNQr2&#10;X++zDESImozuPaGCbwywKW9vCp0bf6VPvFSxERxCIdcKbIxDLmWoLTod5n5AYu3kR6cjr2Mjzaiv&#10;HO56mSbJk3S6Jf5g9YBbi3VXnZ2CxS59PoSP6m07HHDVZeG1O5FV6v5uelmDiDjFPzP84jM6lMx0&#10;9GcyQfQK0sWSu0QFs1XCAzuyxywFceTLEmRZyP8Nyh8AAAD//wMAUEsBAi0AFAAGAAgAAAAhALaD&#10;OJL+AAAA4QEAABMAAAAAAAAAAAAAAAAAAAAAAFtDb250ZW50X1R5cGVzXS54bWxQSwECLQAUAAYA&#10;CAAAACEAOP0h/9YAAACUAQAACwAAAAAAAAAAAAAAAAAvAQAAX3JlbHMvLnJlbHNQSwECLQAUAAYA&#10;CAAAACEAYPzkYYwCAAAdBQAADgAAAAAAAAAAAAAAAAAuAgAAZHJzL2Uyb0RvYy54bWxQSwECLQAU&#10;AAYACAAAACEAbnw7794AAAAJAQAADwAAAAAAAAAAAAAAAADmBAAAZHJzL2Rvd25yZXYueG1sUEsF&#10;BgAAAAAEAAQA8wAAAPEFAAAAAA==&#10;" stroked="f">
            <v:fill opacity="0"/>
            <v:textbox inset="0,0,0,0">
              <w:txbxContent>
                <w:p w:rsidR="00900E74" w:rsidRPr="00342E6B" w:rsidRDefault="00900E74" w:rsidP="00024559">
                  <w:pPr>
                    <w:pStyle w:val="Heading1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Economic Outlook and Forecasts: </w:t>
                  </w:r>
                  <w:r w:rsidR="002F56EC">
                    <w:rPr>
                      <w:rFonts w:ascii="Times New Roman" w:hAnsi="Times New Roman"/>
                      <w:sz w:val="40"/>
                      <w:szCs w:val="40"/>
                    </w:rPr>
                    <w:t>March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2013</w:t>
                  </w:r>
                </w:p>
                <w:p w:rsidR="00900E74" w:rsidRPr="00A75A46" w:rsidRDefault="00900E74" w:rsidP="00024559">
                  <w:pPr>
                    <w:pStyle w:val="Heading2"/>
                    <w:rPr>
                      <w:b w:val="0"/>
                      <w:i w:val="0"/>
                      <w:lang w:val="nl-NL"/>
                    </w:rPr>
                  </w:pPr>
                </w:p>
              </w:txbxContent>
            </v:textbox>
          </v:shape>
        </w:pict>
      </w:r>
    </w:p>
    <w:p w:rsidR="00357ECC" w:rsidRPr="00B320C7" w:rsidRDefault="00F52101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2101">
        <w:rPr>
          <w:rFonts w:ascii="Arial" w:hAnsi="Arial" w:cs="Arial"/>
          <w:b/>
          <w:lang w:eastAsia="en-US"/>
        </w:rPr>
        <w:lastRenderedPageBreak/>
        <w:pict>
          <v:shape id="Text Box 27" o:spid="_x0000_s1027" type="#_x0000_t202" style="position:absolute;left:0;text-align:left;margin-left:170.3pt;margin-top:9pt;width:137.3pt;height:27.4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aLjwIAACQ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jypU/PoG0FXg8a/NwI61DmEKrV94p+tUiq247IHbs2Rg0dIw3Qy/zJ5MXRiGM9&#10;yHb4oBq4h+ydCkBja3qfO8gGAnQo09OpNJ4L9VcuizfLDLYo7L0pVotsHq4g1XRaG+veMdUjb9TY&#10;QOkDOjncW+fZkGpy8ZdZJXiz4UKEidltb4VBBwIy2YQvnhW6I3E1SAUwbHQNeGcYQnokqTxmvC6u&#10;QARAwO/5WIImfpRZXqQ3eTnbLFbLWbEp5rNyma5maVbelIu0KIu7zU/PICuqjjcNk/dcskmfWfF3&#10;9T92SlRWUCgaalzO83kI7oz9MaxjrKn/jvk9c+u5g3YVvK/x6uREKl/1t7KBsEnlCBfRTs7ph5RB&#10;DqZ/yErQiJdFFIgbt2NQYxCQ189WNU8gGqOgplB+eGrA6JT5jtEAbVtj+21PDMNIvJcgPN/jk2Em&#10;YzsZRFI4WmOHUTRvXXwL9trwXQfIUdpSXYM4Wx5088wCmPsJtGKI4fhs+F5/OQ9ez4/b+hcAAAD/&#10;/wMAUEsDBBQABgAIAAAAIQBZYQTb3QAAAAkBAAAPAAAAZHJzL2Rvd25yZXYueG1sTI/LTsMwEEX3&#10;SP0Hayqxo05TlTyIU0ERbBEBqVs3mcZR4nEUu234e4YVXY7u0Z1zi91sB3HByXeOFKxXEQik2jUd&#10;tQq+v94eUhA+aGr04AgV/KCHXbm4K3TeuCt94qUKreAS8rlWYEIYcyl9bdBqv3IjEmcnN1kd+Jxa&#10;2Uz6yuV2kHEUPUqrO+IPRo+4N1j31dkq2HzEycG/V6/78YBZn/qX/kRGqfvl/PwEIuAc/mH402d1&#10;KNnp6M7UeDEoiLN0yygHKW9iYJts1iCOCpI4A1kW8nZB+QsAAP//AwBQSwECLQAUAAYACAAAACEA&#10;toM4kv4AAADhAQAAEwAAAAAAAAAAAAAAAAAAAAAAW0NvbnRlbnRfVHlwZXNdLnhtbFBLAQItABQA&#10;BgAIAAAAIQA4/SH/1gAAAJQBAAALAAAAAAAAAAAAAAAAAC8BAABfcmVscy8ucmVsc1BLAQItABQA&#10;BgAIAAAAIQCMP3aLjwIAACQFAAAOAAAAAAAAAAAAAAAAAC4CAABkcnMvZTJvRG9jLnhtbFBLAQIt&#10;ABQABgAIAAAAIQBZYQTb3QAAAAkBAAAPAAAAAAAAAAAAAAAAAOkEAABkcnMvZG93bnJldi54bWxQ&#10;SwUGAAAAAAQABADzAAAA8wUAAAAA&#10;" stroked="f">
            <v:fill opacity="0"/>
            <v:textbox inset="0,0,0,0">
              <w:txbxContent>
                <w:p w:rsidR="00900E74" w:rsidRPr="0015586B" w:rsidRDefault="0076324E" w:rsidP="00FA48DD">
                  <w:pPr>
                    <w:pStyle w:val="Heading3"/>
                    <w:tabs>
                      <w:tab w:val="clear" w:pos="720"/>
                    </w:tabs>
                    <w:ind w:left="0" w:firstLine="0"/>
                    <w:rPr>
                      <w:color w:val="FFFFFF"/>
                      <w:sz w:val="22"/>
                      <w:szCs w:val="22"/>
                      <w:lang w:val="tr-TR"/>
                    </w:rPr>
                  </w:pPr>
                  <w:r>
                    <w:rPr>
                      <w:color w:val="FFFFFF"/>
                      <w:sz w:val="22"/>
                      <w:szCs w:val="22"/>
                      <w:lang w:val="tr-TR"/>
                    </w:rPr>
                    <w:t>April</w:t>
                  </w:r>
                  <w:r w:rsidR="002F56EC">
                    <w:rPr>
                      <w:color w:val="FFFFFF"/>
                      <w:sz w:val="22"/>
                      <w:szCs w:val="22"/>
                      <w:lang w:val="tr-TR"/>
                    </w:rPr>
                    <w:t xml:space="preserve"> </w:t>
                  </w:r>
                  <w:r>
                    <w:rPr>
                      <w:color w:val="FFFFFF"/>
                      <w:sz w:val="22"/>
                      <w:szCs w:val="22"/>
                      <w:lang w:val="tr-TR"/>
                    </w:rPr>
                    <w:t>03</w:t>
                  </w:r>
                  <w:r w:rsidR="00900E74">
                    <w:rPr>
                      <w:color w:val="FFFFFF"/>
                      <w:sz w:val="22"/>
                      <w:szCs w:val="22"/>
                      <w:lang w:val="tr-TR"/>
                    </w:rPr>
                    <w:t>,</w:t>
                  </w:r>
                  <w:r w:rsidR="00552C4F">
                    <w:rPr>
                      <w:color w:val="FFFFFF"/>
                      <w:sz w:val="22"/>
                      <w:szCs w:val="22"/>
                      <w:lang w:val="tr-TR"/>
                    </w:rPr>
                    <w:t xml:space="preserve"> 2013</w:t>
                  </w:r>
                </w:p>
                <w:p w:rsidR="00900E74" w:rsidRDefault="00900E74" w:rsidP="00024559"/>
              </w:txbxContent>
            </v:textbox>
          </v:shape>
        </w:pict>
      </w:r>
    </w:p>
    <w:p w:rsidR="00357ECC" w:rsidRPr="00B320C7" w:rsidRDefault="00357ECC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32"/>
          <w:szCs w:val="32"/>
        </w:rPr>
        <w:sectPr w:rsidR="00357ECC" w:rsidRPr="00B320C7" w:rsidSect="00357ECC"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357ECC" w:rsidRPr="00B320C7" w:rsidRDefault="00357ECC" w:rsidP="001E4BF5">
      <w:pPr>
        <w:spacing w:line="360" w:lineRule="auto"/>
        <w:ind w:right="-319"/>
        <w:outlineLvl w:val="0"/>
        <w:rPr>
          <w:rFonts w:ascii="Arial" w:hAnsi="Arial" w:cs="Arial"/>
          <w:b/>
          <w:sz w:val="32"/>
          <w:szCs w:val="32"/>
        </w:rPr>
      </w:pPr>
    </w:p>
    <w:p w:rsidR="00CA0E59" w:rsidRPr="000A4DA1" w:rsidRDefault="00CA0E59" w:rsidP="00CA0E59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Weak</w:t>
      </w:r>
      <w:r w:rsidRPr="000A4DA1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aps/>
          <w:sz w:val="28"/>
          <w:szCs w:val="28"/>
        </w:rPr>
        <w:t>Revıval</w:t>
      </w:r>
    </w:p>
    <w:p w:rsidR="00FA0BA3" w:rsidRPr="00B320C7" w:rsidRDefault="00FA0BA3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357ECC" w:rsidRPr="00B320C7" w:rsidRDefault="00357ECC" w:rsidP="003B5209">
      <w:pPr>
        <w:spacing w:line="360" w:lineRule="auto"/>
        <w:ind w:right="-319"/>
        <w:jc w:val="center"/>
        <w:outlineLvl w:val="0"/>
        <w:rPr>
          <w:rFonts w:ascii="Arial" w:hAnsi="Arial" w:cs="Arial"/>
          <w:b/>
          <w:vertAlign w:val="superscript"/>
        </w:rPr>
      </w:pPr>
      <w:r w:rsidRPr="00B320C7">
        <w:rPr>
          <w:rFonts w:ascii="Arial" w:hAnsi="Arial" w:cs="Arial"/>
          <w:b/>
        </w:rPr>
        <w:t>Zümrüt</w:t>
      </w:r>
      <w:r w:rsidR="00851738">
        <w:rPr>
          <w:rFonts w:ascii="Arial" w:hAnsi="Arial" w:cs="Arial"/>
          <w:b/>
        </w:rPr>
        <w:t xml:space="preserve"> </w:t>
      </w:r>
      <w:r w:rsidR="009A4CBF">
        <w:rPr>
          <w:rFonts w:ascii="Arial" w:hAnsi="Arial" w:cs="Arial"/>
          <w:b/>
        </w:rPr>
        <w:t>İmamoğlu* and</w:t>
      </w:r>
      <w:r w:rsidR="00851738">
        <w:rPr>
          <w:rFonts w:ascii="Arial" w:hAnsi="Arial" w:cs="Arial"/>
          <w:b/>
        </w:rPr>
        <w:t xml:space="preserve"> </w:t>
      </w:r>
      <w:r w:rsidRPr="00B320C7">
        <w:rPr>
          <w:rFonts w:ascii="Arial" w:hAnsi="Arial" w:cs="Arial"/>
          <w:b/>
        </w:rPr>
        <w:t>Barış</w:t>
      </w:r>
      <w:r w:rsidR="00851738">
        <w:rPr>
          <w:rFonts w:ascii="Arial" w:hAnsi="Arial" w:cs="Arial"/>
          <w:b/>
        </w:rPr>
        <w:t xml:space="preserve"> </w:t>
      </w:r>
      <w:r w:rsidRPr="00B320C7">
        <w:rPr>
          <w:rFonts w:ascii="Arial" w:hAnsi="Arial" w:cs="Arial"/>
          <w:b/>
        </w:rPr>
        <w:t>Soybilgen</w:t>
      </w:r>
      <w:r w:rsidRPr="00B320C7">
        <w:rPr>
          <w:rFonts w:ascii="Arial" w:hAnsi="Arial" w:cs="Arial"/>
          <w:b/>
          <w:vertAlign w:val="superscript"/>
        </w:rPr>
        <w:t>†</w:t>
      </w:r>
    </w:p>
    <w:p w:rsidR="00FC36DC" w:rsidRPr="00B320C7" w:rsidRDefault="00FC36DC" w:rsidP="003B5209">
      <w:pPr>
        <w:spacing w:line="360" w:lineRule="auto"/>
        <w:ind w:right="-319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</w:pPr>
    </w:p>
    <w:p w:rsidR="001A2051" w:rsidRPr="00B320C7" w:rsidRDefault="001A2051" w:rsidP="003B5209">
      <w:pPr>
        <w:spacing w:line="360" w:lineRule="auto"/>
        <w:ind w:right="-319"/>
        <w:jc w:val="center"/>
        <w:outlineLvl w:val="0"/>
        <w:rPr>
          <w:rFonts w:ascii="Arial" w:hAnsi="Arial" w:cs="Arial"/>
          <w:sz w:val="20"/>
          <w:szCs w:val="20"/>
          <w:vertAlign w:val="superscript"/>
        </w:rPr>
        <w:sectPr w:rsidR="001A2051" w:rsidRPr="00B320C7" w:rsidSect="00357E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38E5" w:rsidRPr="00B320C7" w:rsidRDefault="008C38E5" w:rsidP="008C38E5">
      <w:pPr>
        <w:spacing w:line="360" w:lineRule="auto"/>
        <w:ind w:left="-360" w:right="42" w:firstLine="360"/>
        <w:jc w:val="center"/>
        <w:rPr>
          <w:b/>
          <w:sz w:val="22"/>
          <w:szCs w:val="22"/>
        </w:rPr>
      </w:pPr>
      <w:r w:rsidRPr="00B320C7">
        <w:rPr>
          <w:b/>
          <w:sz w:val="22"/>
          <w:szCs w:val="22"/>
        </w:rPr>
        <w:lastRenderedPageBreak/>
        <w:t>Executive Summary</w:t>
      </w:r>
    </w:p>
    <w:p w:rsidR="008C38E5" w:rsidRPr="00B320C7" w:rsidRDefault="008C38E5" w:rsidP="008C38E5">
      <w:pPr>
        <w:spacing w:line="360" w:lineRule="auto"/>
        <w:ind w:left="-360" w:right="42" w:firstLine="360"/>
        <w:jc w:val="center"/>
        <w:rPr>
          <w:b/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0"/>
        <w:jc w:val="both"/>
        <w:rPr>
          <w:sz w:val="22"/>
          <w:szCs w:val="22"/>
        </w:rPr>
      </w:pPr>
      <w:r w:rsidRPr="000A4DA1">
        <w:rPr>
          <w:sz w:val="22"/>
          <w:szCs w:val="22"/>
        </w:rPr>
        <w:t>In January, the Industrial Production Index (IPI) increased</w:t>
      </w:r>
      <w:r>
        <w:rPr>
          <w:sz w:val="22"/>
          <w:szCs w:val="22"/>
        </w:rPr>
        <w:t xml:space="preserve"> by 2.</w:t>
      </w:r>
      <w:r w:rsidRPr="000A4DA1">
        <w:rPr>
          <w:sz w:val="22"/>
          <w:szCs w:val="22"/>
        </w:rPr>
        <w:t>3 percent from December. Exp</w:t>
      </w:r>
      <w:r>
        <w:rPr>
          <w:sz w:val="22"/>
          <w:szCs w:val="22"/>
        </w:rPr>
        <w:t>ort volume index decreased by 0.</w:t>
      </w:r>
      <w:r w:rsidRPr="000A4DA1">
        <w:rPr>
          <w:sz w:val="22"/>
          <w:szCs w:val="22"/>
        </w:rPr>
        <w:t>4 percent wh</w:t>
      </w:r>
      <w:r w:rsidR="001C295F">
        <w:rPr>
          <w:sz w:val="22"/>
          <w:szCs w:val="22"/>
        </w:rPr>
        <w:t>ile</w:t>
      </w:r>
      <w:r w:rsidRPr="000A4DA1">
        <w:rPr>
          <w:sz w:val="22"/>
          <w:szCs w:val="22"/>
        </w:rPr>
        <w:t xml:space="preserve"> import volume index increased </w:t>
      </w:r>
      <w:r>
        <w:rPr>
          <w:sz w:val="22"/>
          <w:szCs w:val="22"/>
        </w:rPr>
        <w:t>by 5.</w:t>
      </w:r>
      <w:r w:rsidRPr="000A4DA1">
        <w:rPr>
          <w:sz w:val="22"/>
          <w:szCs w:val="22"/>
        </w:rPr>
        <w:t>7 percent.  The increase</w:t>
      </w:r>
      <w:r w:rsidR="00127B4E">
        <w:rPr>
          <w:sz w:val="22"/>
          <w:szCs w:val="22"/>
        </w:rPr>
        <w:t xml:space="preserve"> in</w:t>
      </w:r>
      <w:r w:rsidRPr="000A4DA1">
        <w:rPr>
          <w:sz w:val="22"/>
          <w:szCs w:val="22"/>
        </w:rPr>
        <w:t xml:space="preserve"> the IPI </w:t>
      </w:r>
      <w:r w:rsidR="001C295F">
        <w:rPr>
          <w:sz w:val="22"/>
          <w:szCs w:val="22"/>
        </w:rPr>
        <w:t>is small and</w:t>
      </w:r>
      <w:r w:rsidRPr="000A4DA1">
        <w:rPr>
          <w:sz w:val="22"/>
          <w:szCs w:val="22"/>
        </w:rPr>
        <w:t xml:space="preserve"> does</w:t>
      </w:r>
      <w:r w:rsidR="001C295F">
        <w:rPr>
          <w:sz w:val="22"/>
          <w:szCs w:val="22"/>
        </w:rPr>
        <w:t xml:space="preserve"> not</w:t>
      </w:r>
      <w:r w:rsidRPr="000A4DA1">
        <w:rPr>
          <w:sz w:val="22"/>
          <w:szCs w:val="22"/>
        </w:rPr>
        <w:t xml:space="preserve"> indicate a strong revival. </w:t>
      </w:r>
      <w:r w:rsidR="001C295F">
        <w:rPr>
          <w:sz w:val="22"/>
          <w:szCs w:val="22"/>
        </w:rPr>
        <w:t>C</w:t>
      </w:r>
      <w:r w:rsidRPr="000A4DA1">
        <w:rPr>
          <w:sz w:val="22"/>
          <w:szCs w:val="22"/>
        </w:rPr>
        <w:t>onsumption and investment</w:t>
      </w:r>
      <w:r w:rsidR="001C295F" w:rsidRPr="001C295F">
        <w:rPr>
          <w:sz w:val="22"/>
          <w:szCs w:val="22"/>
        </w:rPr>
        <w:t xml:space="preserve"> </w:t>
      </w:r>
      <w:r w:rsidR="001C295F">
        <w:rPr>
          <w:sz w:val="22"/>
          <w:szCs w:val="22"/>
        </w:rPr>
        <w:t>indicators also show weak signs of revival</w:t>
      </w:r>
      <w:r w:rsidRPr="000A4DA1">
        <w:rPr>
          <w:sz w:val="22"/>
          <w:szCs w:val="22"/>
        </w:rPr>
        <w:t>.</w:t>
      </w:r>
      <w:r w:rsidR="001C295F">
        <w:rPr>
          <w:sz w:val="22"/>
          <w:szCs w:val="22"/>
        </w:rPr>
        <w:t xml:space="preserve"> </w:t>
      </w:r>
      <w:r w:rsidRPr="000A4DA1">
        <w:rPr>
          <w:sz w:val="22"/>
          <w:szCs w:val="22"/>
        </w:rPr>
        <w:t xml:space="preserve">Betam’s quarter on quarter (QoQ) forecast for the </w:t>
      </w:r>
      <w:r w:rsidR="00FB160F">
        <w:rPr>
          <w:sz w:val="22"/>
          <w:szCs w:val="22"/>
        </w:rPr>
        <w:t xml:space="preserve">first </w:t>
      </w:r>
      <w:r w:rsidRPr="000A4DA1">
        <w:rPr>
          <w:sz w:val="22"/>
          <w:szCs w:val="22"/>
        </w:rPr>
        <w:t>quarter</w:t>
      </w:r>
      <w:r>
        <w:rPr>
          <w:sz w:val="22"/>
          <w:szCs w:val="22"/>
        </w:rPr>
        <w:t xml:space="preserve"> of 2013 is 0.</w:t>
      </w:r>
      <w:r w:rsidRPr="000A4DA1">
        <w:rPr>
          <w:sz w:val="22"/>
          <w:szCs w:val="22"/>
        </w:rPr>
        <w:t xml:space="preserve">5 percent. The corresponding year on year (YoY) growth rate is 3 percent. </w:t>
      </w:r>
    </w:p>
    <w:p w:rsidR="002F56EC" w:rsidRPr="000A4DA1" w:rsidRDefault="002F56EC" w:rsidP="002F56EC">
      <w:pPr>
        <w:spacing w:line="360" w:lineRule="auto"/>
        <w:ind w:right="40"/>
        <w:jc w:val="both"/>
        <w:rPr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0"/>
        <w:jc w:val="both"/>
        <w:rPr>
          <w:sz w:val="22"/>
          <w:szCs w:val="22"/>
        </w:rPr>
      </w:pPr>
      <w:r w:rsidRPr="000A4DA1">
        <w:rPr>
          <w:sz w:val="22"/>
          <w:szCs w:val="22"/>
        </w:rPr>
        <w:t>In January, the trade deficit was almost</w:t>
      </w:r>
      <w:r>
        <w:rPr>
          <w:sz w:val="22"/>
          <w:szCs w:val="22"/>
        </w:rPr>
        <w:t xml:space="preserve"> at the </w:t>
      </w:r>
      <w:r w:rsidRPr="000A4DA1">
        <w:rPr>
          <w:sz w:val="22"/>
          <w:szCs w:val="22"/>
        </w:rPr>
        <w:t>same level</w:t>
      </w:r>
      <w:r>
        <w:rPr>
          <w:sz w:val="22"/>
          <w:szCs w:val="22"/>
        </w:rPr>
        <w:t xml:space="preserve"> as the same month of the previous year.</w:t>
      </w:r>
      <w:r w:rsidRPr="000A4DA1">
        <w:rPr>
          <w:sz w:val="22"/>
          <w:szCs w:val="22"/>
        </w:rPr>
        <w:t xml:space="preserve"> The 12-month</w:t>
      </w:r>
      <w:r>
        <w:rPr>
          <w:sz w:val="22"/>
          <w:szCs w:val="22"/>
        </w:rPr>
        <w:t xml:space="preserve"> current account deficit</w:t>
      </w:r>
      <w:r w:rsidRPr="000A4DA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0A4DA1">
        <w:rPr>
          <w:sz w:val="22"/>
          <w:szCs w:val="22"/>
        </w:rPr>
        <w:t>CAD</w:t>
      </w:r>
      <w:r>
        <w:rPr>
          <w:sz w:val="22"/>
          <w:szCs w:val="22"/>
        </w:rPr>
        <w:t>)</w:t>
      </w:r>
      <w:r w:rsidRPr="000A4DA1">
        <w:rPr>
          <w:sz w:val="22"/>
          <w:szCs w:val="22"/>
        </w:rPr>
        <w:t xml:space="preserve"> which </w:t>
      </w:r>
      <w:r>
        <w:rPr>
          <w:sz w:val="22"/>
          <w:szCs w:val="22"/>
        </w:rPr>
        <w:t>was $46.</w:t>
      </w:r>
      <w:r w:rsidRPr="000A4DA1">
        <w:rPr>
          <w:sz w:val="22"/>
          <w:szCs w:val="22"/>
        </w:rPr>
        <w:t xml:space="preserve">9 billion dollar at the end of 2012 </w:t>
      </w:r>
      <w:r>
        <w:rPr>
          <w:sz w:val="22"/>
          <w:szCs w:val="22"/>
        </w:rPr>
        <w:t>did</w:t>
      </w:r>
      <w:r w:rsidR="00DE2EC9">
        <w:rPr>
          <w:sz w:val="22"/>
          <w:szCs w:val="22"/>
        </w:rPr>
        <w:t xml:space="preserve"> not</w:t>
      </w:r>
      <w:r>
        <w:rPr>
          <w:sz w:val="22"/>
          <w:szCs w:val="22"/>
        </w:rPr>
        <w:t xml:space="preserve"> change much and was $46.</w:t>
      </w:r>
      <w:r w:rsidRPr="000A4DA1">
        <w:rPr>
          <w:sz w:val="22"/>
          <w:szCs w:val="22"/>
        </w:rPr>
        <w:t xml:space="preserve">8 billion in January. We expect the current account deficit to the GDP ratio to be </w:t>
      </w:r>
      <w:r>
        <w:rPr>
          <w:sz w:val="22"/>
          <w:szCs w:val="22"/>
        </w:rPr>
        <w:t>5.</w:t>
      </w:r>
      <w:r w:rsidRPr="000A4DA1">
        <w:rPr>
          <w:sz w:val="22"/>
          <w:szCs w:val="22"/>
        </w:rPr>
        <w:t>8</w:t>
      </w:r>
      <w:r>
        <w:rPr>
          <w:sz w:val="22"/>
          <w:szCs w:val="22"/>
        </w:rPr>
        <w:t xml:space="preserve"> percent at the end of the </w:t>
      </w:r>
      <w:r w:rsidR="00DE2EC9">
        <w:rPr>
          <w:sz w:val="22"/>
          <w:szCs w:val="22"/>
        </w:rPr>
        <w:t xml:space="preserve">first </w:t>
      </w:r>
      <w:r w:rsidRPr="000A4DA1">
        <w:rPr>
          <w:sz w:val="22"/>
          <w:szCs w:val="22"/>
        </w:rPr>
        <w:t>quarter of 2013</w:t>
      </w:r>
      <w:r w:rsidR="00100665">
        <w:rPr>
          <w:sz w:val="22"/>
          <w:szCs w:val="22"/>
        </w:rPr>
        <w:t>.</w:t>
      </w:r>
      <w:r w:rsidR="0019733C">
        <w:rPr>
          <w:sz w:val="22"/>
          <w:szCs w:val="22"/>
        </w:rPr>
        <w:t xml:space="preserve"> A revival in domestic demand and hence imports might push this rate up in the coming months.</w:t>
      </w:r>
      <w:r w:rsidRPr="000A4DA1">
        <w:rPr>
          <w:sz w:val="22"/>
          <w:szCs w:val="22"/>
        </w:rPr>
        <w:t xml:space="preserve">  </w:t>
      </w:r>
    </w:p>
    <w:p w:rsidR="002F56EC" w:rsidRDefault="002F56EC" w:rsidP="00A2686F">
      <w:pPr>
        <w:spacing w:line="288" w:lineRule="auto"/>
        <w:ind w:left="-360" w:right="-318"/>
        <w:jc w:val="both"/>
        <w:rPr>
          <w:rFonts w:ascii="Arial" w:hAnsi="Arial" w:cs="Arial"/>
          <w:sz w:val="20"/>
          <w:szCs w:val="20"/>
          <w:lang w:eastAsia="en-US"/>
        </w:rPr>
      </w:pPr>
    </w:p>
    <w:p w:rsidR="00A2686F" w:rsidRPr="00B320C7" w:rsidRDefault="00F52101" w:rsidP="00A2686F">
      <w:pPr>
        <w:spacing w:line="288" w:lineRule="auto"/>
        <w:ind w:left="-360" w:right="-3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</w:r>
      <w:r>
        <w:rPr>
          <w:rFonts w:ascii="Arial" w:hAnsi="Arial" w:cs="Arial"/>
          <w:sz w:val="20"/>
          <w:szCs w:val="20"/>
          <w:lang w:eastAsia="en-US"/>
        </w:rPr>
        <w:pict>
          <v:group id="Canvas 62" o:spid="_x0000_s1029" editas="canvas" style="width:198pt;height:3.6pt;mso-position-horizontal-relative:char;mso-position-vertical-relative:line" coordsize="25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YcIwIAAIQEAAAOAAAAZHJzL2Uyb0RvYy54bWysVNGOGiEUfW/SfyC868y4o1XiuGkc7cu2&#10;u0nbD0BgHBIGCKCjafrvveDo1valaesDA5fL4dx7Di4fT51CR+G8NLrCxTjHSGhmuNT7Cn/9sh3N&#10;MfKBak6V0aLCZ+Hx4+rtm2VviZiY1iguHAIQ7UlvK9yGYEmWedaKjvqxsULDZmNcRwMs3T7jjvaA&#10;3qlskuezrDeOW2eY8B6i9WUTrxJ+0wgWnpvGi4BUhYFbSKNL4y6O2WpJyd5R20o20KB/waKjUsOl&#10;N6iaBooOTv4G1UnmjDdNGDPTZaZpJBOpBqimyH+pZk31kfpUDIPuXAnC7D/i7vaRtzZbqRR0IwN0&#10;EmPx24M+AoK9BXW8venk/+3+zy21IpXlCft0fHFIcjAPRpp24JEnqQWalVGbeDFkrPWLG1beQvqu&#10;/2g4ZNJDMKntp8Z1sQxoKDoldc83dcUpIAbBybQoZzmYgMHeQ5nwM0quR63z4YMwHYqTCisgkaDp&#10;8cmH2BhKril3DaNEadRXeDGdTNMBb5TksZsxzbv9bq0cOtJowPSLdQHYXZozB80hTkkrKN8M80Cl&#10;uswhX+m4DcUAnWF2cdi3Rb7YzDfzclROZptRmdf16P12XY5m2+LdtH6o1+u6+B6pFSVpJedCR3ZX&#10;txfln4k5vLuLT29+f/XNPXoqEchev4k0eMuTKOBF2J3h56RrioO/IDm5zrJ0bHiW8S39vE5Zr38e&#10;qx8AAAD//wMAUEsDBBQABgAIAAAAIQB3oNSW2wAAAAMBAAAPAAAAZHJzL2Rvd25yZXYueG1sTI9B&#10;S8NAEIXvgv9hGcGb3RhL2sZsigiK6KHaBrxus9MkuDsbstsm+usdvejlweMN731TrCdnxQmH0HlS&#10;cD1LQCDV3nTUKKh2D1dLECFqMtp6QgWfGGBdnp8VOjd+pDc8bWMjuIRCrhW0Mfa5lKFu0ekw8z0S&#10;Zwc/OB3ZDo00gx653FmZJkkmne6IF1rd432L9cf26BTM04Ndvj5mL19PVTU+v8+7RbLplLq8mO5u&#10;QUSc4t8x/OAzOpTMtPdHMkFYBfxI/FXOblYZ272CRQqyLOR/9vIbAAD//wMAUEsBAi0AFAAGAAgA&#10;AAAhALaDOJL+AAAA4QEAABMAAAAAAAAAAAAAAAAAAAAAAFtDb250ZW50X1R5cGVzXS54bWxQSwEC&#10;LQAUAAYACAAAACEAOP0h/9YAAACUAQAACwAAAAAAAAAAAAAAAAAvAQAAX3JlbHMvLnJlbHNQSwEC&#10;LQAUAAYACAAAACEAYMnGHCMCAACEBAAADgAAAAAAAAAAAAAAAAAuAgAAZHJzL2Uyb0RvYy54bWxQ&#10;SwECLQAUAAYACAAAACEAd6DUltsAAAADAQAADwAAAAAAAAAAAAAAAAB9BAAAZHJzL2Rvd25yZXYu&#10;eG1sUEsFBgAAAAAEAAQA8wAAAIU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25146;height:457;visibility:visible">
              <v:fill o:detectmouseclick="t"/>
              <v:path o:connecttype="none"/>
            </v:shape>
            <v:line id="Line 64" o:spid="_x0000_s1028" style="position:absolute;visibility:visible" from="0,0" to="2514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</w:p>
    <w:p w:rsidR="00A2686F" w:rsidRPr="00B320C7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r w:rsidRPr="00B320C7">
        <w:rPr>
          <w:sz w:val="16"/>
          <w:szCs w:val="16"/>
        </w:rPr>
        <w:t>* Dr. Zümrüt</w:t>
      </w:r>
      <w:r w:rsidR="00E73B4F">
        <w:rPr>
          <w:sz w:val="16"/>
          <w:szCs w:val="16"/>
        </w:rPr>
        <w:t xml:space="preserve"> </w:t>
      </w:r>
      <w:r w:rsidRPr="00B320C7">
        <w:rPr>
          <w:sz w:val="16"/>
          <w:szCs w:val="16"/>
        </w:rPr>
        <w:t>İmamoğlu, Betam, Research Associate.</w:t>
      </w:r>
    </w:p>
    <w:p w:rsidR="00A2686F" w:rsidRPr="00B320C7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r w:rsidRPr="00B320C7">
        <w:rPr>
          <w:sz w:val="16"/>
          <w:szCs w:val="16"/>
        </w:rPr>
        <w:t xml:space="preserve">  zumrut.imamoglu@bahcesehir.edu.tr</w:t>
      </w:r>
    </w:p>
    <w:p w:rsidR="00A2686F" w:rsidRPr="00B320C7" w:rsidRDefault="00A2686F" w:rsidP="00A2686F">
      <w:pPr>
        <w:spacing w:line="288" w:lineRule="auto"/>
        <w:ind w:left="-360" w:right="-318"/>
        <w:jc w:val="both"/>
        <w:rPr>
          <w:sz w:val="16"/>
          <w:szCs w:val="16"/>
        </w:rPr>
      </w:pPr>
      <w:r w:rsidRPr="00B320C7">
        <w:rPr>
          <w:sz w:val="16"/>
          <w:szCs w:val="16"/>
          <w:vertAlign w:val="superscript"/>
        </w:rPr>
        <w:t xml:space="preserve">† </w:t>
      </w:r>
      <w:r w:rsidRPr="00B320C7">
        <w:rPr>
          <w:sz w:val="16"/>
          <w:szCs w:val="16"/>
        </w:rPr>
        <w:t>Barış</w:t>
      </w:r>
      <w:r w:rsidR="00E73B4F">
        <w:rPr>
          <w:sz w:val="16"/>
          <w:szCs w:val="16"/>
        </w:rPr>
        <w:t xml:space="preserve"> </w:t>
      </w:r>
      <w:r w:rsidRPr="00B320C7">
        <w:rPr>
          <w:sz w:val="16"/>
          <w:szCs w:val="16"/>
        </w:rPr>
        <w:t>Soybilgen, Betam, Research Assistant,</w:t>
      </w:r>
    </w:p>
    <w:p w:rsidR="006454DC" w:rsidRPr="00B320C7" w:rsidRDefault="00E81CDD" w:rsidP="00736C84">
      <w:pPr>
        <w:ind w:left="-360"/>
        <w:rPr>
          <w:sz w:val="16"/>
          <w:szCs w:val="16"/>
        </w:rPr>
      </w:pPr>
      <w:r w:rsidRPr="00B320C7">
        <w:rPr>
          <w:sz w:val="16"/>
          <w:szCs w:val="16"/>
        </w:rPr>
        <w:t>baris.soybilgen@bahcesehir.edu.tr</w:t>
      </w:r>
    </w:p>
    <w:p w:rsidR="007D4F28" w:rsidRPr="00B320C7" w:rsidRDefault="007D4F28" w:rsidP="008C38E5">
      <w:pPr>
        <w:ind w:left="-360" w:right="42"/>
        <w:jc w:val="both"/>
        <w:rPr>
          <w:b/>
          <w:sz w:val="22"/>
          <w:szCs w:val="22"/>
        </w:rPr>
      </w:pPr>
    </w:p>
    <w:p w:rsidR="007D4F28" w:rsidRPr="00B320C7" w:rsidRDefault="007D4F28" w:rsidP="008C38E5">
      <w:pPr>
        <w:ind w:left="-360" w:right="42"/>
        <w:jc w:val="both"/>
        <w:rPr>
          <w:b/>
          <w:sz w:val="22"/>
          <w:szCs w:val="22"/>
        </w:rPr>
      </w:pPr>
    </w:p>
    <w:p w:rsidR="00BE56E0" w:rsidRPr="00B320C7" w:rsidRDefault="00BE56E0" w:rsidP="001F275D">
      <w:pPr>
        <w:ind w:right="42"/>
        <w:jc w:val="both"/>
        <w:rPr>
          <w:b/>
          <w:sz w:val="22"/>
          <w:szCs w:val="22"/>
        </w:rPr>
      </w:pPr>
    </w:p>
    <w:p w:rsidR="002F56EC" w:rsidRDefault="002F56EC" w:rsidP="002F56EC">
      <w:pPr>
        <w:ind w:left="-360" w:right="42"/>
        <w:jc w:val="both"/>
        <w:rPr>
          <w:b/>
          <w:sz w:val="22"/>
          <w:szCs w:val="22"/>
        </w:rPr>
      </w:pPr>
    </w:p>
    <w:p w:rsidR="002F56EC" w:rsidRDefault="002F56EC" w:rsidP="002F56EC">
      <w:pPr>
        <w:ind w:left="-360" w:right="42"/>
        <w:jc w:val="both"/>
        <w:rPr>
          <w:b/>
          <w:sz w:val="22"/>
          <w:szCs w:val="22"/>
        </w:rPr>
      </w:pPr>
    </w:p>
    <w:p w:rsidR="008E32CB" w:rsidRDefault="00B34B81" w:rsidP="002F56EC">
      <w:pPr>
        <w:ind w:left="-360" w:right="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Table 1: </w:t>
      </w:r>
      <w:r w:rsidR="008C38E5" w:rsidRPr="00B320C7">
        <w:rPr>
          <w:b/>
          <w:sz w:val="22"/>
          <w:szCs w:val="22"/>
        </w:rPr>
        <w:t>Betam’s quarterly and annual growth rate forecasts</w:t>
      </w:r>
    </w:p>
    <w:tbl>
      <w:tblPr>
        <w:tblpPr w:leftFromText="141" w:rightFromText="141" w:vertAnchor="text" w:horzAnchor="margin" w:tblpXSpec="right" w:tblpY="129"/>
        <w:tblW w:w="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8"/>
        <w:gridCol w:w="1564"/>
      </w:tblGrid>
      <w:tr w:rsidR="000854F8" w:rsidRPr="000A4DA1" w:rsidTr="000854F8">
        <w:trPr>
          <w:trHeight w:val="986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0854F8" w:rsidRPr="000A4DA1" w:rsidRDefault="000854F8" w:rsidP="00F174EC">
            <w:pPr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0854F8" w:rsidRPr="000A4DA1" w:rsidRDefault="000854F8" w:rsidP="00F174EC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0A4DA1">
              <w:rPr>
                <w:b/>
                <w:bCs/>
                <w:sz w:val="20"/>
                <w:szCs w:val="20"/>
              </w:rPr>
              <w:t>2013</w:t>
            </w:r>
          </w:p>
          <w:p w:rsidR="000854F8" w:rsidRPr="000A4DA1" w:rsidRDefault="000854F8" w:rsidP="00F174EC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0A4DA1">
              <w:rPr>
                <w:b/>
                <w:bCs/>
                <w:sz w:val="20"/>
                <w:szCs w:val="20"/>
              </w:rPr>
              <w:t>1</w:t>
            </w:r>
            <w:r w:rsidRPr="000A4DA1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0A4DA1">
              <w:rPr>
                <w:b/>
                <w:bCs/>
                <w:sz w:val="20"/>
                <w:szCs w:val="20"/>
              </w:rPr>
              <w:t xml:space="preserve"> Quarter Forecast</w:t>
            </w:r>
          </w:p>
        </w:tc>
      </w:tr>
      <w:tr w:rsidR="000854F8" w:rsidRPr="000A4DA1" w:rsidTr="000854F8">
        <w:trPr>
          <w:trHeight w:val="771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0854F8" w:rsidRPr="000A4DA1" w:rsidRDefault="000854F8" w:rsidP="00F174EC">
            <w:pPr>
              <w:spacing w:line="360" w:lineRule="auto"/>
              <w:ind w:right="42"/>
              <w:rPr>
                <w:b/>
                <w:sz w:val="20"/>
                <w:szCs w:val="20"/>
              </w:rPr>
            </w:pPr>
            <w:r w:rsidRPr="000A4DA1">
              <w:rPr>
                <w:b/>
                <w:sz w:val="20"/>
                <w:szCs w:val="20"/>
              </w:rPr>
              <w:t xml:space="preserve">Real GDP growth, % </w:t>
            </w:r>
          </w:p>
          <w:p w:rsidR="000854F8" w:rsidRPr="000A4DA1" w:rsidRDefault="000854F8" w:rsidP="00F174EC">
            <w:pPr>
              <w:ind w:right="42"/>
              <w:rPr>
                <w:sz w:val="20"/>
                <w:szCs w:val="20"/>
              </w:rPr>
            </w:pPr>
            <w:r w:rsidRPr="000A4DA1">
              <w:rPr>
                <w:sz w:val="20"/>
                <w:szCs w:val="20"/>
              </w:rPr>
              <w:t>(quarter on quarter, sa*)</w:t>
            </w:r>
          </w:p>
        </w:tc>
        <w:tc>
          <w:tcPr>
            <w:tcW w:w="1564" w:type="dxa"/>
            <w:vAlign w:val="center"/>
          </w:tcPr>
          <w:p w:rsidR="000854F8" w:rsidRPr="000A4DA1" w:rsidRDefault="000854F8" w:rsidP="00F174EC">
            <w:pPr>
              <w:ind w:right="42"/>
              <w:jc w:val="center"/>
              <w:rPr>
                <w:sz w:val="20"/>
                <w:szCs w:val="20"/>
              </w:rPr>
            </w:pPr>
            <w:r w:rsidRPr="000A4DA1">
              <w:rPr>
                <w:sz w:val="20"/>
                <w:szCs w:val="20"/>
              </w:rPr>
              <w:t>0,5</w:t>
            </w:r>
          </w:p>
        </w:tc>
      </w:tr>
      <w:tr w:rsidR="000854F8" w:rsidRPr="000A4DA1" w:rsidTr="000854F8">
        <w:trPr>
          <w:trHeight w:val="756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0854F8" w:rsidRPr="000A4DA1" w:rsidRDefault="000854F8" w:rsidP="00F174EC">
            <w:pPr>
              <w:spacing w:line="360" w:lineRule="auto"/>
              <w:ind w:right="42"/>
              <w:rPr>
                <w:sz w:val="20"/>
                <w:szCs w:val="20"/>
              </w:rPr>
            </w:pPr>
            <w:r w:rsidRPr="000A4DA1">
              <w:rPr>
                <w:b/>
                <w:sz w:val="20"/>
                <w:szCs w:val="20"/>
              </w:rPr>
              <w:t>Real GDP growth, %</w:t>
            </w:r>
          </w:p>
          <w:p w:rsidR="000854F8" w:rsidRPr="000A4DA1" w:rsidRDefault="000854F8" w:rsidP="00F174EC">
            <w:pPr>
              <w:ind w:right="42"/>
              <w:rPr>
                <w:sz w:val="20"/>
                <w:szCs w:val="20"/>
              </w:rPr>
            </w:pPr>
            <w:r w:rsidRPr="000A4DA1">
              <w:rPr>
                <w:sz w:val="20"/>
                <w:szCs w:val="20"/>
              </w:rPr>
              <w:t>(year on year, ca**)</w:t>
            </w:r>
          </w:p>
        </w:tc>
        <w:tc>
          <w:tcPr>
            <w:tcW w:w="1564" w:type="dxa"/>
            <w:vAlign w:val="center"/>
          </w:tcPr>
          <w:p w:rsidR="000854F8" w:rsidRPr="000A4DA1" w:rsidRDefault="000854F8" w:rsidP="00F174EC">
            <w:pPr>
              <w:ind w:right="42"/>
              <w:jc w:val="center"/>
              <w:rPr>
                <w:sz w:val="20"/>
                <w:szCs w:val="20"/>
              </w:rPr>
            </w:pPr>
            <w:r w:rsidRPr="000A4DA1">
              <w:rPr>
                <w:sz w:val="20"/>
                <w:szCs w:val="20"/>
              </w:rPr>
              <w:t>3,0</w:t>
            </w:r>
          </w:p>
        </w:tc>
      </w:tr>
      <w:tr w:rsidR="000854F8" w:rsidRPr="000A4DA1" w:rsidTr="000854F8">
        <w:trPr>
          <w:trHeight w:val="583"/>
        </w:trPr>
        <w:tc>
          <w:tcPr>
            <w:tcW w:w="3088" w:type="dxa"/>
            <w:tcMar>
              <w:left w:w="28" w:type="dxa"/>
              <w:right w:w="28" w:type="dxa"/>
            </w:tcMar>
            <w:vAlign w:val="center"/>
          </w:tcPr>
          <w:p w:rsidR="000854F8" w:rsidRPr="000A4DA1" w:rsidRDefault="000854F8" w:rsidP="00F174EC">
            <w:pPr>
              <w:spacing w:line="360" w:lineRule="auto"/>
              <w:ind w:right="42"/>
              <w:rPr>
                <w:sz w:val="20"/>
                <w:szCs w:val="20"/>
              </w:rPr>
            </w:pPr>
            <w:r w:rsidRPr="000A4DA1">
              <w:rPr>
                <w:b/>
                <w:sz w:val="20"/>
                <w:szCs w:val="20"/>
              </w:rPr>
              <w:t>Current account deficit</w:t>
            </w:r>
          </w:p>
          <w:p w:rsidR="000854F8" w:rsidRPr="000A4DA1" w:rsidRDefault="000854F8" w:rsidP="00F174EC">
            <w:pPr>
              <w:ind w:right="40"/>
              <w:rPr>
                <w:sz w:val="20"/>
                <w:szCs w:val="20"/>
              </w:rPr>
            </w:pPr>
            <w:r w:rsidRPr="000A4DA1">
              <w:rPr>
                <w:sz w:val="20"/>
                <w:szCs w:val="20"/>
              </w:rPr>
              <w:t>(% of GDP, annual)</w:t>
            </w:r>
          </w:p>
        </w:tc>
        <w:tc>
          <w:tcPr>
            <w:tcW w:w="1564" w:type="dxa"/>
            <w:vAlign w:val="center"/>
          </w:tcPr>
          <w:p w:rsidR="000854F8" w:rsidRPr="000A4DA1" w:rsidRDefault="000854F8" w:rsidP="00F174EC">
            <w:pPr>
              <w:ind w:right="40"/>
              <w:jc w:val="center"/>
              <w:rPr>
                <w:sz w:val="20"/>
                <w:szCs w:val="20"/>
              </w:rPr>
            </w:pPr>
            <w:r w:rsidRPr="000A4DA1">
              <w:rPr>
                <w:sz w:val="20"/>
                <w:szCs w:val="20"/>
              </w:rPr>
              <w:t>5,8</w:t>
            </w:r>
          </w:p>
        </w:tc>
      </w:tr>
    </w:tbl>
    <w:p w:rsidR="00E73B4F" w:rsidRDefault="008C38E5" w:rsidP="008C38E5">
      <w:pPr>
        <w:ind w:left="-360" w:right="40"/>
        <w:jc w:val="both"/>
        <w:rPr>
          <w:sz w:val="18"/>
          <w:szCs w:val="18"/>
        </w:rPr>
      </w:pPr>
      <w:r w:rsidRPr="00FA215A">
        <w:rPr>
          <w:sz w:val="18"/>
          <w:szCs w:val="18"/>
        </w:rPr>
        <w:t>Source: Betam</w:t>
      </w:r>
      <w:r w:rsidR="00403B8D" w:rsidRPr="00FA215A">
        <w:rPr>
          <w:sz w:val="18"/>
          <w:szCs w:val="18"/>
        </w:rPr>
        <w:t>.</w:t>
      </w:r>
      <w:r w:rsidRPr="00FA215A">
        <w:rPr>
          <w:sz w:val="18"/>
          <w:szCs w:val="18"/>
        </w:rPr>
        <w:t xml:space="preserve"> </w:t>
      </w:r>
    </w:p>
    <w:p w:rsidR="008C38E5" w:rsidRPr="00FA215A" w:rsidRDefault="008C38E5" w:rsidP="008C38E5">
      <w:pPr>
        <w:ind w:left="-360" w:right="40"/>
        <w:jc w:val="both"/>
        <w:rPr>
          <w:sz w:val="18"/>
          <w:szCs w:val="18"/>
        </w:rPr>
      </w:pPr>
      <w:r w:rsidRPr="00FA215A">
        <w:rPr>
          <w:sz w:val="18"/>
          <w:szCs w:val="18"/>
        </w:rPr>
        <w:t xml:space="preserve">*sa: seasonally and calendar day adjusted </w:t>
      </w:r>
    </w:p>
    <w:p w:rsidR="008B74EE" w:rsidRPr="00E73B4F" w:rsidRDefault="008C38E5" w:rsidP="00E73B4F">
      <w:pPr>
        <w:spacing w:line="360" w:lineRule="auto"/>
        <w:ind w:left="-360" w:right="42"/>
        <w:jc w:val="both"/>
        <w:rPr>
          <w:sz w:val="18"/>
          <w:szCs w:val="18"/>
        </w:rPr>
      </w:pPr>
      <w:r w:rsidRPr="00FA215A">
        <w:rPr>
          <w:sz w:val="18"/>
          <w:szCs w:val="18"/>
        </w:rPr>
        <w:t xml:space="preserve"> **ca: calendar day adjusted</w:t>
      </w:r>
    </w:p>
    <w:p w:rsidR="00B12FD3" w:rsidRPr="00B320C7" w:rsidRDefault="00B12FD3" w:rsidP="008B74EE">
      <w:pPr>
        <w:ind w:left="-360"/>
        <w:rPr>
          <w:b/>
          <w:sz w:val="22"/>
          <w:szCs w:val="22"/>
        </w:rPr>
      </w:pPr>
    </w:p>
    <w:p w:rsidR="002F56EC" w:rsidRPr="000A4DA1" w:rsidRDefault="00851738" w:rsidP="002F56EC">
      <w:pPr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="00127B4E">
        <w:rPr>
          <w:b/>
          <w:bCs/>
          <w:sz w:val="22"/>
          <w:szCs w:val="22"/>
        </w:rPr>
        <w:t>e</w:t>
      </w:r>
      <w:r w:rsidR="002F56EC" w:rsidRPr="000A4DA1">
        <w:rPr>
          <w:b/>
          <w:bCs/>
          <w:sz w:val="22"/>
          <w:szCs w:val="22"/>
        </w:rPr>
        <w:t xml:space="preserve">conomy continues to grow but not as much as </w:t>
      </w:r>
      <w:r w:rsidR="002F56EC">
        <w:rPr>
          <w:b/>
          <w:bCs/>
          <w:sz w:val="22"/>
          <w:szCs w:val="22"/>
        </w:rPr>
        <w:t>desired</w:t>
      </w: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  <w:r w:rsidRPr="000A4DA1">
        <w:rPr>
          <w:sz w:val="22"/>
          <w:szCs w:val="22"/>
        </w:rPr>
        <w:t xml:space="preserve">After the revisions in the IPI, </w:t>
      </w:r>
      <w:r w:rsidR="00AA2044">
        <w:rPr>
          <w:sz w:val="22"/>
          <w:szCs w:val="22"/>
        </w:rPr>
        <w:t>the data show</w:t>
      </w:r>
      <w:r w:rsidRPr="000A4DA1">
        <w:rPr>
          <w:sz w:val="22"/>
          <w:szCs w:val="22"/>
        </w:rPr>
        <w:t xml:space="preserve"> that the </w:t>
      </w:r>
      <w:r w:rsidR="00AA2044">
        <w:rPr>
          <w:sz w:val="22"/>
          <w:szCs w:val="22"/>
        </w:rPr>
        <w:t>industrial production</w:t>
      </w:r>
      <w:r w:rsidRPr="000A4DA1">
        <w:rPr>
          <w:sz w:val="22"/>
          <w:szCs w:val="22"/>
        </w:rPr>
        <w:t xml:space="preserve"> in the </w:t>
      </w:r>
      <w:r w:rsidR="004D23D3">
        <w:rPr>
          <w:sz w:val="22"/>
          <w:szCs w:val="22"/>
        </w:rPr>
        <w:t>last</w:t>
      </w:r>
      <w:r>
        <w:rPr>
          <w:sz w:val="22"/>
          <w:szCs w:val="22"/>
        </w:rPr>
        <w:t xml:space="preserve"> quarter</w:t>
      </w:r>
      <w:r w:rsidR="004D23D3">
        <w:rPr>
          <w:sz w:val="22"/>
          <w:szCs w:val="22"/>
        </w:rPr>
        <w:t xml:space="preserve"> in 2012</w:t>
      </w:r>
      <w:r>
        <w:rPr>
          <w:sz w:val="22"/>
          <w:szCs w:val="22"/>
        </w:rPr>
        <w:t xml:space="preserve"> was</w:t>
      </w:r>
      <w:r w:rsidRPr="000A4DA1">
        <w:rPr>
          <w:sz w:val="22"/>
          <w:szCs w:val="22"/>
        </w:rPr>
        <w:t xml:space="preserve"> stronger than the </w:t>
      </w:r>
      <w:r w:rsidR="00624D79">
        <w:rPr>
          <w:sz w:val="22"/>
          <w:szCs w:val="22"/>
        </w:rPr>
        <w:t>previous</w:t>
      </w:r>
      <w:r w:rsidRPr="000A4DA1">
        <w:rPr>
          <w:sz w:val="22"/>
          <w:szCs w:val="22"/>
        </w:rPr>
        <w:t xml:space="preserve"> quarter. The IPI</w:t>
      </w:r>
      <w:r w:rsidR="00AA2044">
        <w:rPr>
          <w:sz w:val="22"/>
          <w:szCs w:val="22"/>
        </w:rPr>
        <w:t>,</w:t>
      </w:r>
      <w:r w:rsidR="00C24665">
        <w:rPr>
          <w:sz w:val="22"/>
          <w:szCs w:val="22"/>
        </w:rPr>
        <w:t xml:space="preserve"> which declined </w:t>
      </w:r>
      <w:r w:rsidRPr="000A4DA1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Pr="000A4DA1">
        <w:rPr>
          <w:sz w:val="22"/>
          <w:szCs w:val="22"/>
        </w:rPr>
        <w:t xml:space="preserve">6 percent in the </w:t>
      </w:r>
      <w:r w:rsidR="00674758">
        <w:rPr>
          <w:sz w:val="22"/>
          <w:szCs w:val="22"/>
        </w:rPr>
        <w:t>third</w:t>
      </w:r>
      <w:r w:rsidRPr="000A4DA1">
        <w:rPr>
          <w:sz w:val="22"/>
          <w:szCs w:val="22"/>
        </w:rPr>
        <w:t xml:space="preserve"> quarter</w:t>
      </w:r>
      <w:r w:rsidR="00AA2044">
        <w:rPr>
          <w:sz w:val="22"/>
          <w:szCs w:val="22"/>
        </w:rPr>
        <w:t>,</w:t>
      </w:r>
      <w:r w:rsidR="00C24665">
        <w:rPr>
          <w:sz w:val="22"/>
          <w:szCs w:val="22"/>
        </w:rPr>
        <w:t xml:space="preserve"> increased </w:t>
      </w:r>
      <w:r w:rsidRPr="000A4DA1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Pr="000A4DA1">
        <w:rPr>
          <w:sz w:val="22"/>
          <w:szCs w:val="22"/>
        </w:rPr>
        <w:t xml:space="preserve">7 percent in the </w:t>
      </w:r>
      <w:r w:rsidR="004D23D3">
        <w:rPr>
          <w:sz w:val="22"/>
          <w:szCs w:val="22"/>
        </w:rPr>
        <w:t>last</w:t>
      </w:r>
      <w:r>
        <w:rPr>
          <w:sz w:val="22"/>
          <w:szCs w:val="22"/>
        </w:rPr>
        <w:t xml:space="preserve"> </w:t>
      </w:r>
      <w:r w:rsidRPr="000A4DA1">
        <w:rPr>
          <w:sz w:val="22"/>
          <w:szCs w:val="22"/>
        </w:rPr>
        <w:t xml:space="preserve">quarter. </w:t>
      </w:r>
      <w:r w:rsidR="0070004A">
        <w:rPr>
          <w:sz w:val="22"/>
          <w:szCs w:val="22"/>
        </w:rPr>
        <w:t>In the first quarter of 2013 though, there is no sign of revival in production. T</w:t>
      </w:r>
      <w:r w:rsidRPr="000A4DA1">
        <w:rPr>
          <w:sz w:val="22"/>
          <w:szCs w:val="22"/>
        </w:rPr>
        <w:t xml:space="preserve">he increase </w:t>
      </w:r>
      <w:r w:rsidR="00674758">
        <w:rPr>
          <w:sz w:val="22"/>
          <w:szCs w:val="22"/>
        </w:rPr>
        <w:t>in the IPI in January does not</w:t>
      </w:r>
      <w:r w:rsidRPr="000A4DA1">
        <w:rPr>
          <w:sz w:val="22"/>
          <w:szCs w:val="22"/>
        </w:rPr>
        <w:t xml:space="preserve"> </w:t>
      </w:r>
      <w:r w:rsidR="00674758">
        <w:rPr>
          <w:sz w:val="22"/>
          <w:szCs w:val="22"/>
        </w:rPr>
        <w:t xml:space="preserve">fully </w:t>
      </w:r>
      <w:r w:rsidRPr="000A4DA1">
        <w:rPr>
          <w:sz w:val="22"/>
          <w:szCs w:val="22"/>
        </w:rPr>
        <w:t xml:space="preserve">compensate </w:t>
      </w:r>
      <w:r w:rsidR="00674758">
        <w:rPr>
          <w:sz w:val="22"/>
          <w:szCs w:val="22"/>
        </w:rPr>
        <w:t xml:space="preserve">for </w:t>
      </w:r>
      <w:r w:rsidRPr="000A4DA1">
        <w:rPr>
          <w:sz w:val="22"/>
          <w:szCs w:val="22"/>
        </w:rPr>
        <w:t xml:space="preserve">the </w:t>
      </w:r>
      <w:r w:rsidR="00674758">
        <w:rPr>
          <w:sz w:val="22"/>
          <w:szCs w:val="22"/>
        </w:rPr>
        <w:t>drop</w:t>
      </w:r>
      <w:r w:rsidRPr="000A4DA1">
        <w:rPr>
          <w:sz w:val="22"/>
          <w:szCs w:val="22"/>
        </w:rPr>
        <w:t xml:space="preserve"> in December. If the IPI does</w:t>
      </w:r>
      <w:r w:rsidR="00397C86">
        <w:rPr>
          <w:sz w:val="22"/>
          <w:szCs w:val="22"/>
        </w:rPr>
        <w:t xml:space="preserve"> not continue</w:t>
      </w:r>
      <w:r w:rsidRPr="000A4DA1">
        <w:rPr>
          <w:sz w:val="22"/>
          <w:szCs w:val="22"/>
        </w:rPr>
        <w:t xml:space="preserve"> increas</w:t>
      </w:r>
      <w:r w:rsidR="00397C86">
        <w:rPr>
          <w:sz w:val="22"/>
          <w:szCs w:val="22"/>
        </w:rPr>
        <w:t>ing</w:t>
      </w:r>
      <w:r w:rsidRPr="000A4DA1">
        <w:rPr>
          <w:sz w:val="22"/>
          <w:szCs w:val="22"/>
        </w:rPr>
        <w:t xml:space="preserve"> in February and March, </w:t>
      </w:r>
      <w:r>
        <w:rPr>
          <w:sz w:val="22"/>
          <w:szCs w:val="22"/>
        </w:rPr>
        <w:t>1</w:t>
      </w:r>
      <w:r w:rsidRPr="0076058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</w:t>
      </w:r>
      <w:r w:rsidRPr="000A4DA1">
        <w:rPr>
          <w:sz w:val="22"/>
          <w:szCs w:val="22"/>
        </w:rPr>
        <w:t xml:space="preserve"> </w:t>
      </w:r>
      <w:r w:rsidR="00164EDE">
        <w:rPr>
          <w:sz w:val="22"/>
          <w:szCs w:val="22"/>
        </w:rPr>
        <w:t>industrial production on average might remain the same as</w:t>
      </w:r>
      <w:r w:rsidRPr="000A4DA1">
        <w:rPr>
          <w:sz w:val="22"/>
          <w:szCs w:val="22"/>
        </w:rPr>
        <w:t xml:space="preserve"> </w:t>
      </w:r>
      <w:r w:rsidR="00164EDE">
        <w:rPr>
          <w:sz w:val="22"/>
          <w:szCs w:val="22"/>
        </w:rPr>
        <w:t xml:space="preserve">in </w:t>
      </w:r>
      <w:r w:rsidRPr="000A4DA1">
        <w:rPr>
          <w:sz w:val="22"/>
          <w:szCs w:val="22"/>
        </w:rPr>
        <w:t>the previous quarter.</w:t>
      </w: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  <w:r w:rsidRPr="000A4DA1">
        <w:rPr>
          <w:sz w:val="22"/>
          <w:szCs w:val="22"/>
        </w:rPr>
        <w:lastRenderedPageBreak/>
        <w:t xml:space="preserve">On the other hand, the increase </w:t>
      </w:r>
      <w:r w:rsidR="00E36093">
        <w:rPr>
          <w:sz w:val="22"/>
          <w:szCs w:val="22"/>
        </w:rPr>
        <w:t>in</w:t>
      </w:r>
      <w:r w:rsidRPr="000A4DA1">
        <w:rPr>
          <w:sz w:val="22"/>
          <w:szCs w:val="22"/>
        </w:rPr>
        <w:t xml:space="preserve"> impo</w:t>
      </w:r>
      <w:r>
        <w:rPr>
          <w:sz w:val="22"/>
          <w:szCs w:val="22"/>
        </w:rPr>
        <w:t xml:space="preserve">rt volume index in January </w:t>
      </w:r>
      <w:r w:rsidRPr="000A4DA1">
        <w:rPr>
          <w:sz w:val="22"/>
          <w:szCs w:val="22"/>
        </w:rPr>
        <w:t>compensate</w:t>
      </w:r>
      <w:r w:rsidR="00CD4535">
        <w:rPr>
          <w:sz w:val="22"/>
          <w:szCs w:val="22"/>
        </w:rPr>
        <w:t>d for</w:t>
      </w:r>
      <w:r w:rsidRPr="000A4DA1">
        <w:rPr>
          <w:sz w:val="22"/>
          <w:szCs w:val="22"/>
        </w:rPr>
        <w:t xml:space="preserve"> the decline in December</w:t>
      </w:r>
      <w:r w:rsidR="00CD4535">
        <w:rPr>
          <w:sz w:val="22"/>
          <w:szCs w:val="22"/>
        </w:rPr>
        <w:t xml:space="preserve"> and pushed the index up to its November level</w:t>
      </w:r>
      <w:r w:rsidRPr="000A4DA1">
        <w:rPr>
          <w:sz w:val="22"/>
          <w:szCs w:val="22"/>
        </w:rPr>
        <w:t xml:space="preserve">. </w:t>
      </w:r>
      <w:r w:rsidR="00C745CE">
        <w:rPr>
          <w:sz w:val="22"/>
          <w:szCs w:val="22"/>
        </w:rPr>
        <w:t>I</w:t>
      </w:r>
      <w:r w:rsidRPr="000A4DA1">
        <w:rPr>
          <w:sz w:val="22"/>
          <w:szCs w:val="22"/>
        </w:rPr>
        <w:t>mports</w:t>
      </w:r>
      <w:r w:rsidR="002B748C">
        <w:rPr>
          <w:sz w:val="22"/>
          <w:szCs w:val="22"/>
        </w:rPr>
        <w:t xml:space="preserve"> excluding gold</w:t>
      </w:r>
      <w:r w:rsidRPr="000A4DA1">
        <w:rPr>
          <w:sz w:val="22"/>
          <w:szCs w:val="22"/>
        </w:rPr>
        <w:t xml:space="preserve"> continue to increase QoQ. </w:t>
      </w:r>
      <w:r w:rsidR="00B21AB3">
        <w:rPr>
          <w:sz w:val="22"/>
          <w:szCs w:val="22"/>
        </w:rPr>
        <w:t>T</w:t>
      </w:r>
      <w:r w:rsidRPr="000A4DA1">
        <w:rPr>
          <w:sz w:val="22"/>
          <w:szCs w:val="22"/>
        </w:rPr>
        <w:t>he surge i</w:t>
      </w:r>
      <w:r>
        <w:rPr>
          <w:sz w:val="22"/>
          <w:szCs w:val="22"/>
        </w:rPr>
        <w:t>n investment goods imports impl</w:t>
      </w:r>
      <w:r w:rsidR="00F454A9">
        <w:rPr>
          <w:sz w:val="22"/>
          <w:szCs w:val="22"/>
        </w:rPr>
        <w:t>ies</w:t>
      </w:r>
      <w:r w:rsidRPr="000A4DA1">
        <w:rPr>
          <w:sz w:val="22"/>
          <w:szCs w:val="22"/>
        </w:rPr>
        <w:t xml:space="preserve"> a strong revival in investment</w:t>
      </w:r>
      <w:r w:rsidR="002B748C">
        <w:rPr>
          <w:sz w:val="22"/>
          <w:szCs w:val="22"/>
        </w:rPr>
        <w:t xml:space="preserve"> while</w:t>
      </w:r>
      <w:r w:rsidRPr="000A4DA1">
        <w:rPr>
          <w:sz w:val="22"/>
          <w:szCs w:val="22"/>
        </w:rPr>
        <w:t xml:space="preserve"> </w:t>
      </w:r>
      <w:r w:rsidR="002B748C">
        <w:rPr>
          <w:sz w:val="22"/>
          <w:szCs w:val="22"/>
        </w:rPr>
        <w:t>t</w:t>
      </w:r>
      <w:r w:rsidRPr="000A4DA1">
        <w:rPr>
          <w:sz w:val="22"/>
          <w:szCs w:val="22"/>
        </w:rPr>
        <w:t xml:space="preserve">he increase in </w:t>
      </w:r>
      <w:r w:rsidR="00F454A9">
        <w:rPr>
          <w:sz w:val="22"/>
          <w:szCs w:val="22"/>
        </w:rPr>
        <w:t>intermediate goods imports indicates a revival in both industrial production and investment</w:t>
      </w:r>
      <w:r w:rsidRPr="000A4DA1">
        <w:rPr>
          <w:sz w:val="22"/>
          <w:szCs w:val="22"/>
        </w:rPr>
        <w:t>. However, the increase in imports</w:t>
      </w:r>
      <w:r>
        <w:rPr>
          <w:sz w:val="22"/>
          <w:szCs w:val="22"/>
        </w:rPr>
        <w:t xml:space="preserve"> which is higher than</w:t>
      </w:r>
      <w:r w:rsidRPr="000A4DA1">
        <w:rPr>
          <w:sz w:val="22"/>
          <w:szCs w:val="22"/>
        </w:rPr>
        <w:t xml:space="preserve"> the increase in exports </w:t>
      </w:r>
      <w:r>
        <w:rPr>
          <w:sz w:val="22"/>
          <w:szCs w:val="22"/>
        </w:rPr>
        <w:t>causes net exports to subtract from the real GDP growth</w:t>
      </w:r>
      <w:r w:rsidRPr="000A4DA1">
        <w:rPr>
          <w:sz w:val="22"/>
          <w:szCs w:val="22"/>
        </w:rPr>
        <w:t xml:space="preserve">. </w:t>
      </w:r>
    </w:p>
    <w:p w:rsidR="002F56EC" w:rsidRDefault="002F56EC" w:rsidP="002F56EC">
      <w:pPr>
        <w:spacing w:line="360" w:lineRule="auto"/>
        <w:ind w:left="-360" w:right="42"/>
        <w:jc w:val="both"/>
        <w:rPr>
          <w:sz w:val="22"/>
          <w:szCs w:val="22"/>
          <w:highlight w:val="yellow"/>
        </w:rPr>
      </w:pPr>
    </w:p>
    <w:p w:rsidR="002F56EC" w:rsidRPr="000A4DA1" w:rsidRDefault="00C643D3" w:rsidP="002F56EC">
      <w:pPr>
        <w:spacing w:line="360" w:lineRule="auto"/>
        <w:ind w:left="-360" w:right="42"/>
        <w:jc w:val="both"/>
        <w:rPr>
          <w:sz w:val="22"/>
          <w:szCs w:val="22"/>
        </w:rPr>
      </w:pPr>
      <w:r w:rsidRPr="00C643D3">
        <w:rPr>
          <w:sz w:val="22"/>
          <w:szCs w:val="22"/>
        </w:rPr>
        <w:t xml:space="preserve">Consumption indicators still do not show strong signs of </w:t>
      </w:r>
      <w:r w:rsidR="00841063">
        <w:rPr>
          <w:sz w:val="22"/>
          <w:szCs w:val="22"/>
        </w:rPr>
        <w:t>growth</w:t>
      </w:r>
      <w:r w:rsidRPr="00C643D3">
        <w:rPr>
          <w:sz w:val="22"/>
          <w:szCs w:val="22"/>
        </w:rPr>
        <w:t xml:space="preserve">. </w:t>
      </w:r>
      <w:r>
        <w:rPr>
          <w:sz w:val="22"/>
          <w:szCs w:val="22"/>
        </w:rPr>
        <w:t>N</w:t>
      </w:r>
      <w:r w:rsidR="002F56EC" w:rsidRPr="00C643D3">
        <w:rPr>
          <w:sz w:val="22"/>
          <w:szCs w:val="22"/>
        </w:rPr>
        <w:t>on-durable c</w:t>
      </w:r>
      <w:r w:rsidRPr="00C643D3">
        <w:rPr>
          <w:sz w:val="22"/>
          <w:szCs w:val="22"/>
        </w:rPr>
        <w:t>onsumer goods production</w:t>
      </w:r>
      <w:r>
        <w:rPr>
          <w:sz w:val="22"/>
          <w:szCs w:val="22"/>
        </w:rPr>
        <w:t xml:space="preserve"> continues to increase, however</w:t>
      </w:r>
      <w:r w:rsidR="00491BE6">
        <w:rPr>
          <w:sz w:val="22"/>
          <w:szCs w:val="22"/>
        </w:rPr>
        <w:t>,</w:t>
      </w:r>
      <w:r w:rsidR="00491BE6" w:rsidRPr="00C643D3">
        <w:rPr>
          <w:sz w:val="22"/>
          <w:szCs w:val="22"/>
        </w:rPr>
        <w:t xml:space="preserve"> durable</w:t>
      </w:r>
      <w:r w:rsidR="002F56EC" w:rsidRPr="00C643D3">
        <w:rPr>
          <w:sz w:val="22"/>
          <w:szCs w:val="22"/>
        </w:rPr>
        <w:t xml:space="preserve"> goods production </w:t>
      </w:r>
      <w:r w:rsidR="00491BE6">
        <w:rPr>
          <w:sz w:val="22"/>
          <w:szCs w:val="22"/>
        </w:rPr>
        <w:t xml:space="preserve">has been </w:t>
      </w:r>
      <w:r w:rsidR="002F56EC" w:rsidRPr="00C643D3">
        <w:rPr>
          <w:sz w:val="22"/>
          <w:szCs w:val="22"/>
        </w:rPr>
        <w:t>dec</w:t>
      </w:r>
      <w:r w:rsidR="00491BE6">
        <w:rPr>
          <w:sz w:val="22"/>
          <w:szCs w:val="22"/>
        </w:rPr>
        <w:t>reasing</w:t>
      </w:r>
      <w:r w:rsidR="002F56EC" w:rsidRPr="00C643D3">
        <w:rPr>
          <w:sz w:val="22"/>
          <w:szCs w:val="22"/>
        </w:rPr>
        <w:t xml:space="preserve"> </w:t>
      </w:r>
      <w:r w:rsidR="00491BE6">
        <w:rPr>
          <w:sz w:val="22"/>
          <w:szCs w:val="22"/>
        </w:rPr>
        <w:t>for</w:t>
      </w:r>
      <w:r w:rsidR="002F56EC" w:rsidRPr="00C643D3">
        <w:rPr>
          <w:sz w:val="22"/>
          <w:szCs w:val="22"/>
        </w:rPr>
        <w:t xml:space="preserve"> the last two quarters. </w:t>
      </w:r>
      <w:r w:rsidR="00275C4E">
        <w:rPr>
          <w:sz w:val="22"/>
          <w:szCs w:val="22"/>
        </w:rPr>
        <w:t>A</w:t>
      </w:r>
      <w:r w:rsidR="00057FC2" w:rsidRPr="00C643D3">
        <w:rPr>
          <w:sz w:val="22"/>
          <w:szCs w:val="22"/>
        </w:rPr>
        <w:t>utomobile production increased in January</w:t>
      </w:r>
      <w:r w:rsidR="00057FC2">
        <w:rPr>
          <w:sz w:val="22"/>
          <w:szCs w:val="22"/>
        </w:rPr>
        <w:t xml:space="preserve">, but it declined QoQ. </w:t>
      </w:r>
      <w:r w:rsidR="00DB4089">
        <w:rPr>
          <w:sz w:val="22"/>
          <w:szCs w:val="22"/>
        </w:rPr>
        <w:t>Without a boost to</w:t>
      </w:r>
      <w:r w:rsidR="002F56EC" w:rsidRPr="00C643D3">
        <w:rPr>
          <w:sz w:val="22"/>
          <w:szCs w:val="22"/>
        </w:rPr>
        <w:t xml:space="preserve"> durable goods, it’s hard to speak of a strong revival</w:t>
      </w:r>
      <w:r w:rsidR="00DB4089">
        <w:rPr>
          <w:sz w:val="22"/>
          <w:szCs w:val="22"/>
        </w:rPr>
        <w:t xml:space="preserve"> in private consumption expenditures</w:t>
      </w:r>
      <w:r w:rsidR="002F56EC" w:rsidRPr="00C643D3">
        <w:rPr>
          <w:sz w:val="22"/>
          <w:szCs w:val="22"/>
        </w:rPr>
        <w:t>.</w:t>
      </w:r>
      <w:r w:rsidR="00DB4089">
        <w:rPr>
          <w:sz w:val="22"/>
          <w:szCs w:val="22"/>
        </w:rPr>
        <w:t xml:space="preserve"> </w:t>
      </w:r>
      <w:r w:rsidR="002F56EC" w:rsidRPr="000A4DA1">
        <w:rPr>
          <w:sz w:val="22"/>
          <w:szCs w:val="22"/>
        </w:rPr>
        <w:t>Moreover, consumer confidence index remain</w:t>
      </w:r>
      <w:r w:rsidR="002F56EC">
        <w:rPr>
          <w:sz w:val="22"/>
          <w:szCs w:val="22"/>
        </w:rPr>
        <w:t>ed</w:t>
      </w:r>
      <w:r w:rsidR="002F56EC" w:rsidRPr="000A4DA1">
        <w:rPr>
          <w:sz w:val="22"/>
          <w:szCs w:val="22"/>
        </w:rPr>
        <w:t xml:space="preserve"> stagnant in January. </w:t>
      </w: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  <w:r w:rsidRPr="000A4DA1">
        <w:rPr>
          <w:sz w:val="22"/>
          <w:szCs w:val="22"/>
        </w:rPr>
        <w:t xml:space="preserve">January data indicate that </w:t>
      </w:r>
      <w:r w:rsidR="00A56E94">
        <w:rPr>
          <w:sz w:val="22"/>
          <w:szCs w:val="22"/>
        </w:rPr>
        <w:t xml:space="preserve">the </w:t>
      </w:r>
      <w:r w:rsidRPr="000A4DA1">
        <w:rPr>
          <w:sz w:val="22"/>
          <w:szCs w:val="22"/>
        </w:rPr>
        <w:t xml:space="preserve">economy continues to grow but </w:t>
      </w:r>
      <w:r w:rsidR="00DF5061">
        <w:rPr>
          <w:sz w:val="22"/>
          <w:szCs w:val="22"/>
        </w:rPr>
        <w:t>at a slow rate</w:t>
      </w:r>
      <w:r w:rsidRPr="000A4DA1">
        <w:rPr>
          <w:sz w:val="22"/>
          <w:szCs w:val="22"/>
        </w:rPr>
        <w:t xml:space="preserve">. </w:t>
      </w:r>
      <w:r w:rsidR="00DF5061">
        <w:rPr>
          <w:sz w:val="22"/>
          <w:szCs w:val="22"/>
        </w:rPr>
        <w:t>Our</w:t>
      </w:r>
      <w:r w:rsidRPr="000A4DA1">
        <w:rPr>
          <w:sz w:val="22"/>
          <w:szCs w:val="22"/>
        </w:rPr>
        <w:t xml:space="preserve"> indicators </w:t>
      </w:r>
      <w:r w:rsidR="00DF5061">
        <w:rPr>
          <w:sz w:val="22"/>
          <w:szCs w:val="22"/>
        </w:rPr>
        <w:t>imply</w:t>
      </w:r>
      <w:r w:rsidRPr="000A4DA1">
        <w:rPr>
          <w:sz w:val="22"/>
          <w:szCs w:val="22"/>
        </w:rPr>
        <w:t xml:space="preserve"> that </w:t>
      </w:r>
      <w:r w:rsidR="00DF5061">
        <w:rPr>
          <w:sz w:val="22"/>
          <w:szCs w:val="22"/>
        </w:rPr>
        <w:t xml:space="preserve">the </w:t>
      </w:r>
      <w:r w:rsidRPr="000A4DA1">
        <w:rPr>
          <w:sz w:val="22"/>
          <w:szCs w:val="22"/>
        </w:rPr>
        <w:t xml:space="preserve">economy is in </w:t>
      </w:r>
      <w:r w:rsidR="00DF5061">
        <w:rPr>
          <w:sz w:val="22"/>
          <w:szCs w:val="22"/>
        </w:rPr>
        <w:t xml:space="preserve">a </w:t>
      </w:r>
      <w:r w:rsidRPr="000A4DA1">
        <w:rPr>
          <w:sz w:val="22"/>
          <w:szCs w:val="22"/>
        </w:rPr>
        <w:t>transition</w:t>
      </w:r>
      <w:r w:rsidR="00DF5061">
        <w:rPr>
          <w:sz w:val="22"/>
          <w:szCs w:val="22"/>
        </w:rPr>
        <w:t xml:space="preserve"> state</w:t>
      </w:r>
      <w:r w:rsidRPr="000A4DA1">
        <w:rPr>
          <w:sz w:val="22"/>
          <w:szCs w:val="22"/>
        </w:rPr>
        <w:t xml:space="preserve"> from export oriented growth to domestic demand driven growth. Betam’s quarter on quarter (QoQ) forecast for</w:t>
      </w:r>
      <w:r>
        <w:rPr>
          <w:sz w:val="22"/>
          <w:szCs w:val="22"/>
        </w:rPr>
        <w:t xml:space="preserve"> the first quarter of 2013</w:t>
      </w:r>
      <w:r w:rsidR="0048329E">
        <w:rPr>
          <w:sz w:val="22"/>
          <w:szCs w:val="22"/>
        </w:rPr>
        <w:t xml:space="preserve"> based on January data</w:t>
      </w:r>
      <w:r>
        <w:rPr>
          <w:sz w:val="22"/>
          <w:szCs w:val="22"/>
        </w:rPr>
        <w:t xml:space="preserve"> is 0.</w:t>
      </w:r>
      <w:r w:rsidRPr="000A4DA1">
        <w:rPr>
          <w:sz w:val="22"/>
          <w:szCs w:val="22"/>
        </w:rPr>
        <w:t xml:space="preserve">5 percent. The corresponding year on year (YoY) growth rate is </w:t>
      </w:r>
      <w:r>
        <w:rPr>
          <w:sz w:val="22"/>
          <w:szCs w:val="22"/>
        </w:rPr>
        <w:t xml:space="preserve">3 percent. </w:t>
      </w:r>
    </w:p>
    <w:p w:rsidR="002F56EC" w:rsidRDefault="002F56EC" w:rsidP="002F56EC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</w:p>
    <w:p w:rsidR="002F56EC" w:rsidRPr="000A4DA1" w:rsidRDefault="00127B4E" w:rsidP="002F56EC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Transition p</w:t>
      </w:r>
      <w:r w:rsidR="002F56EC">
        <w:rPr>
          <w:b/>
          <w:bCs/>
          <w:sz w:val="22"/>
          <w:szCs w:val="22"/>
        </w:rPr>
        <w:t>eriod</w:t>
      </w:r>
    </w:p>
    <w:p w:rsidR="002F56EC" w:rsidRPr="000A4DA1" w:rsidRDefault="002F56EC" w:rsidP="002F56EC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Policies that try</w:t>
      </w:r>
      <w:r w:rsidRPr="000A4DA1">
        <w:rPr>
          <w:sz w:val="22"/>
          <w:szCs w:val="22"/>
        </w:rPr>
        <w:t xml:space="preserve"> to </w:t>
      </w:r>
      <w:r>
        <w:rPr>
          <w:sz w:val="22"/>
          <w:szCs w:val="22"/>
        </w:rPr>
        <w:t>stimulate</w:t>
      </w:r>
      <w:r w:rsidRPr="000A4DA1">
        <w:rPr>
          <w:sz w:val="22"/>
          <w:szCs w:val="22"/>
        </w:rPr>
        <w:t xml:space="preserve"> domestic demand </w:t>
      </w:r>
      <w:r>
        <w:rPr>
          <w:sz w:val="22"/>
          <w:szCs w:val="22"/>
        </w:rPr>
        <w:t xml:space="preserve">are gradually becoming effective. </w:t>
      </w:r>
      <w:r w:rsidR="00D26378">
        <w:rPr>
          <w:sz w:val="22"/>
          <w:szCs w:val="22"/>
        </w:rPr>
        <w:t xml:space="preserve">Growth rate of </w:t>
      </w:r>
      <w:r w:rsidR="00366F2D">
        <w:rPr>
          <w:sz w:val="22"/>
          <w:szCs w:val="22"/>
        </w:rPr>
        <w:t xml:space="preserve">bank </w:t>
      </w:r>
      <w:r w:rsidR="00D26378">
        <w:rPr>
          <w:sz w:val="22"/>
          <w:szCs w:val="22"/>
        </w:rPr>
        <w:t>loans</w:t>
      </w:r>
      <w:r w:rsidRPr="000A4DA1">
        <w:rPr>
          <w:sz w:val="22"/>
          <w:szCs w:val="22"/>
        </w:rPr>
        <w:t xml:space="preserve"> is above the desired 15 percent,</w:t>
      </w:r>
      <w:r>
        <w:rPr>
          <w:sz w:val="22"/>
          <w:szCs w:val="22"/>
        </w:rPr>
        <w:t xml:space="preserve"> and</w:t>
      </w:r>
      <w:r w:rsidRPr="000A4DA1">
        <w:rPr>
          <w:sz w:val="22"/>
          <w:szCs w:val="22"/>
        </w:rPr>
        <w:t xml:space="preserve"> </w:t>
      </w:r>
      <w:r w:rsidRPr="000A4DA1">
        <w:rPr>
          <w:sz w:val="22"/>
          <w:szCs w:val="22"/>
        </w:rPr>
        <w:lastRenderedPageBreak/>
        <w:t xml:space="preserve">investment </w:t>
      </w:r>
      <w:r>
        <w:rPr>
          <w:sz w:val="22"/>
          <w:szCs w:val="22"/>
        </w:rPr>
        <w:t>is slowly recovering</w:t>
      </w:r>
      <w:r w:rsidRPr="000A4DA1">
        <w:rPr>
          <w:sz w:val="22"/>
          <w:szCs w:val="22"/>
        </w:rPr>
        <w:t xml:space="preserve">. </w:t>
      </w:r>
      <w:r>
        <w:rPr>
          <w:sz w:val="22"/>
          <w:szCs w:val="22"/>
        </w:rPr>
        <w:t>Even though this revival increase</w:t>
      </w:r>
      <w:r w:rsidR="007F76EC">
        <w:rPr>
          <w:sz w:val="22"/>
          <w:szCs w:val="22"/>
        </w:rPr>
        <w:t>s</w:t>
      </w:r>
      <w:r w:rsidRPr="000A4DA1">
        <w:rPr>
          <w:sz w:val="22"/>
          <w:szCs w:val="22"/>
        </w:rPr>
        <w:t xml:space="preserve"> imports, </w:t>
      </w:r>
      <w:r w:rsidR="00366F2D">
        <w:rPr>
          <w:sz w:val="22"/>
          <w:szCs w:val="22"/>
        </w:rPr>
        <w:t>we have not yet seen strong increases in industrial production</w:t>
      </w:r>
      <w:r w:rsidRPr="000A4DA1">
        <w:rPr>
          <w:sz w:val="22"/>
          <w:szCs w:val="22"/>
        </w:rPr>
        <w:t xml:space="preserve">. </w:t>
      </w:r>
      <w:r w:rsidR="00EC55AF">
        <w:rPr>
          <w:sz w:val="22"/>
          <w:szCs w:val="22"/>
        </w:rPr>
        <w:t>As long as t</w:t>
      </w:r>
      <w:r w:rsidRPr="00EC55AF">
        <w:rPr>
          <w:sz w:val="22"/>
          <w:szCs w:val="22"/>
        </w:rPr>
        <w:t>he</w:t>
      </w:r>
      <w:r w:rsidR="00EC55AF">
        <w:rPr>
          <w:sz w:val="22"/>
          <w:szCs w:val="22"/>
        </w:rPr>
        <w:t xml:space="preserve"> rate of</w:t>
      </w:r>
      <w:r w:rsidRPr="00EC55AF">
        <w:rPr>
          <w:sz w:val="22"/>
          <w:szCs w:val="22"/>
        </w:rPr>
        <w:t xml:space="preserve"> increase </w:t>
      </w:r>
      <w:r w:rsidR="00EC55AF">
        <w:rPr>
          <w:sz w:val="22"/>
          <w:szCs w:val="22"/>
        </w:rPr>
        <w:t>in</w:t>
      </w:r>
      <w:r w:rsidRPr="00EC55AF">
        <w:rPr>
          <w:sz w:val="22"/>
          <w:szCs w:val="22"/>
        </w:rPr>
        <w:t xml:space="preserve"> exports </w:t>
      </w:r>
      <w:r w:rsidR="00EC55AF">
        <w:rPr>
          <w:sz w:val="22"/>
          <w:szCs w:val="22"/>
        </w:rPr>
        <w:t>remain</w:t>
      </w:r>
      <w:r w:rsidRPr="00EC55AF">
        <w:rPr>
          <w:sz w:val="22"/>
          <w:szCs w:val="22"/>
        </w:rPr>
        <w:t xml:space="preserve"> lower than the rate of </w:t>
      </w:r>
      <w:r w:rsidR="00EC55AF" w:rsidRPr="00EC55AF">
        <w:rPr>
          <w:sz w:val="22"/>
          <w:szCs w:val="22"/>
        </w:rPr>
        <w:t xml:space="preserve">increase </w:t>
      </w:r>
      <w:r w:rsidR="00EC55AF">
        <w:rPr>
          <w:sz w:val="22"/>
          <w:szCs w:val="22"/>
        </w:rPr>
        <w:t xml:space="preserve">in </w:t>
      </w:r>
      <w:r w:rsidRPr="00EC55AF">
        <w:rPr>
          <w:sz w:val="22"/>
          <w:szCs w:val="22"/>
        </w:rPr>
        <w:t>imports</w:t>
      </w:r>
      <w:r w:rsidR="00EC55AF">
        <w:rPr>
          <w:sz w:val="22"/>
          <w:szCs w:val="22"/>
        </w:rPr>
        <w:t>,</w:t>
      </w:r>
      <w:r w:rsidRPr="00EC55AF">
        <w:rPr>
          <w:sz w:val="22"/>
          <w:szCs w:val="22"/>
        </w:rPr>
        <w:t xml:space="preserve"> Central Bank’s </w:t>
      </w:r>
      <w:r w:rsidR="001B4FC6">
        <w:rPr>
          <w:sz w:val="22"/>
          <w:szCs w:val="22"/>
        </w:rPr>
        <w:t xml:space="preserve">growth </w:t>
      </w:r>
      <w:r w:rsidR="00EC55AF">
        <w:rPr>
          <w:sz w:val="22"/>
          <w:szCs w:val="22"/>
        </w:rPr>
        <w:t>strategy</w:t>
      </w:r>
      <w:r w:rsidRPr="00EC55AF">
        <w:rPr>
          <w:sz w:val="22"/>
          <w:szCs w:val="22"/>
        </w:rPr>
        <w:t xml:space="preserve"> f</w:t>
      </w:r>
      <w:r w:rsidR="001B4FC6">
        <w:rPr>
          <w:sz w:val="22"/>
          <w:szCs w:val="22"/>
        </w:rPr>
        <w:t>or 2013,</w:t>
      </w:r>
      <w:r w:rsidRPr="00EC55AF">
        <w:rPr>
          <w:sz w:val="22"/>
          <w:szCs w:val="22"/>
        </w:rPr>
        <w:t xml:space="preserve"> “</w:t>
      </w:r>
      <w:r w:rsidR="00EC55AF">
        <w:rPr>
          <w:sz w:val="22"/>
          <w:szCs w:val="22"/>
        </w:rPr>
        <w:t>allowing</w:t>
      </w:r>
      <w:r w:rsidRPr="00EC55AF">
        <w:rPr>
          <w:sz w:val="22"/>
          <w:szCs w:val="22"/>
        </w:rPr>
        <w:t xml:space="preserve"> revival of domestic demand as much as the increase in net exports”</w:t>
      </w:r>
      <w:r w:rsidR="00EC55AF">
        <w:rPr>
          <w:sz w:val="22"/>
          <w:szCs w:val="22"/>
        </w:rPr>
        <w:t xml:space="preserve"> is in danger of failure</w:t>
      </w:r>
      <w:r w:rsidRPr="00EC55AF">
        <w:rPr>
          <w:sz w:val="22"/>
          <w:szCs w:val="22"/>
        </w:rPr>
        <w:t>.</w:t>
      </w:r>
      <w:r w:rsidRPr="000A4DA1">
        <w:rPr>
          <w:sz w:val="22"/>
          <w:szCs w:val="22"/>
        </w:rPr>
        <w:t xml:space="preserve"> Betam expects</w:t>
      </w:r>
      <w:r>
        <w:rPr>
          <w:sz w:val="22"/>
          <w:szCs w:val="22"/>
        </w:rPr>
        <w:t xml:space="preserve"> th</w:t>
      </w:r>
      <w:r w:rsidR="001B4FC6">
        <w:rPr>
          <w:sz w:val="22"/>
          <w:szCs w:val="22"/>
        </w:rPr>
        <w:t>e</w:t>
      </w:r>
      <w:r w:rsidRPr="000A4DA1">
        <w:rPr>
          <w:sz w:val="22"/>
          <w:szCs w:val="22"/>
        </w:rPr>
        <w:t xml:space="preserve"> current account deficit at the end of 1</w:t>
      </w:r>
      <w:r w:rsidRPr="000A4DA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 </w:t>
      </w:r>
      <w:r w:rsidR="001B4FC6">
        <w:rPr>
          <w:sz w:val="22"/>
          <w:szCs w:val="22"/>
        </w:rPr>
        <w:t xml:space="preserve">to be </w:t>
      </w:r>
      <w:r w:rsidR="004F4717">
        <w:rPr>
          <w:sz w:val="22"/>
          <w:szCs w:val="22"/>
        </w:rPr>
        <w:t>close to 5.</w:t>
      </w:r>
      <w:r w:rsidRPr="000A4DA1">
        <w:rPr>
          <w:sz w:val="22"/>
          <w:szCs w:val="22"/>
        </w:rPr>
        <w:t>8 percent. If the revival in domestic demand become</w:t>
      </w:r>
      <w:r>
        <w:rPr>
          <w:sz w:val="22"/>
          <w:szCs w:val="22"/>
        </w:rPr>
        <w:t>s</w:t>
      </w:r>
      <w:r w:rsidRPr="000A4DA1">
        <w:rPr>
          <w:sz w:val="22"/>
          <w:szCs w:val="22"/>
        </w:rPr>
        <w:t xml:space="preserve"> stronger, the </w:t>
      </w:r>
      <w:r w:rsidR="004F4717">
        <w:rPr>
          <w:sz w:val="22"/>
          <w:szCs w:val="22"/>
        </w:rPr>
        <w:t>current account deficit might</w:t>
      </w:r>
      <w:r w:rsidRPr="000A4DA1">
        <w:rPr>
          <w:sz w:val="22"/>
          <w:szCs w:val="22"/>
        </w:rPr>
        <w:t xml:space="preserve"> increase</w:t>
      </w:r>
      <w:r w:rsidR="004F4717">
        <w:rPr>
          <w:sz w:val="22"/>
          <w:szCs w:val="22"/>
        </w:rPr>
        <w:t xml:space="preserve"> further,</w:t>
      </w:r>
      <w:r w:rsidRPr="000A4DA1">
        <w:rPr>
          <w:sz w:val="22"/>
          <w:szCs w:val="22"/>
        </w:rPr>
        <w:t xml:space="preserve"> </w:t>
      </w:r>
      <w:r w:rsidR="004F4717">
        <w:rPr>
          <w:sz w:val="22"/>
          <w:szCs w:val="22"/>
        </w:rPr>
        <w:t>b</w:t>
      </w:r>
      <w:r w:rsidRPr="000A4DA1">
        <w:rPr>
          <w:sz w:val="22"/>
          <w:szCs w:val="22"/>
        </w:rPr>
        <w:t>ut indicators</w:t>
      </w:r>
      <w:r w:rsidR="004F4717">
        <w:rPr>
          <w:sz w:val="22"/>
          <w:szCs w:val="22"/>
        </w:rPr>
        <w:t xml:space="preserve"> so far</w:t>
      </w:r>
      <w:r w:rsidRPr="000A4DA1">
        <w:rPr>
          <w:sz w:val="22"/>
          <w:szCs w:val="22"/>
        </w:rPr>
        <w:t xml:space="preserve"> show that </w:t>
      </w:r>
      <w:r>
        <w:rPr>
          <w:sz w:val="22"/>
          <w:szCs w:val="22"/>
        </w:rPr>
        <w:t>t</w:t>
      </w:r>
      <w:r w:rsidRPr="000A4DA1">
        <w:rPr>
          <w:sz w:val="22"/>
          <w:szCs w:val="22"/>
        </w:rPr>
        <w:t>he re</w:t>
      </w:r>
      <w:r>
        <w:rPr>
          <w:sz w:val="22"/>
          <w:szCs w:val="22"/>
        </w:rPr>
        <w:t>v</w:t>
      </w:r>
      <w:r w:rsidRPr="000A4DA1">
        <w:rPr>
          <w:sz w:val="22"/>
          <w:szCs w:val="22"/>
        </w:rPr>
        <w:t xml:space="preserve">ival is </w:t>
      </w:r>
      <w:r>
        <w:rPr>
          <w:sz w:val="22"/>
          <w:szCs w:val="22"/>
        </w:rPr>
        <w:t>w</w:t>
      </w:r>
      <w:r w:rsidRPr="000A4DA1">
        <w:rPr>
          <w:sz w:val="22"/>
          <w:szCs w:val="22"/>
        </w:rPr>
        <w:t>eak</w:t>
      </w:r>
      <w:r w:rsidR="004A3CB8">
        <w:rPr>
          <w:sz w:val="22"/>
          <w:szCs w:val="22"/>
        </w:rPr>
        <w:t>er than expected</w:t>
      </w:r>
      <w:r w:rsidRPr="000A4DA1">
        <w:rPr>
          <w:sz w:val="22"/>
          <w:szCs w:val="22"/>
        </w:rPr>
        <w:t>.</w:t>
      </w:r>
    </w:p>
    <w:p w:rsidR="002F56EC" w:rsidRPr="000A4DA1" w:rsidRDefault="002F56EC" w:rsidP="002F56EC">
      <w:pPr>
        <w:ind w:left="-360"/>
        <w:jc w:val="center"/>
        <w:rPr>
          <w:b/>
          <w:bCs/>
          <w:sz w:val="22"/>
          <w:szCs w:val="22"/>
        </w:rPr>
      </w:pPr>
    </w:p>
    <w:p w:rsidR="002F56EC" w:rsidRPr="000A4DA1" w:rsidRDefault="00386146" w:rsidP="002F56EC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2F56EC" w:rsidRPr="000A4DA1">
        <w:rPr>
          <w:b/>
          <w:bCs/>
          <w:sz w:val="22"/>
          <w:szCs w:val="22"/>
        </w:rPr>
        <w:t>rivate consumption expenditure</w:t>
      </w:r>
      <w:r w:rsidR="002C3757">
        <w:rPr>
          <w:b/>
          <w:bCs/>
          <w:sz w:val="22"/>
          <w:szCs w:val="22"/>
        </w:rPr>
        <w:t xml:space="preserve"> indicators show a mixed picture</w:t>
      </w:r>
    </w:p>
    <w:p w:rsidR="002F56EC" w:rsidRPr="000A4DA1" w:rsidRDefault="002F56EC" w:rsidP="002F56EC">
      <w:pPr>
        <w:spacing w:line="360" w:lineRule="auto"/>
        <w:ind w:right="42"/>
        <w:jc w:val="both"/>
        <w:rPr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  <w:r w:rsidRPr="000A4DA1">
        <w:rPr>
          <w:sz w:val="22"/>
          <w:szCs w:val="22"/>
        </w:rPr>
        <w:t>Consumer goods imports and non-durable goods production increased by 8.3 percent and 2.0 percent</w:t>
      </w:r>
      <w:r w:rsidR="002C3757">
        <w:rPr>
          <w:sz w:val="22"/>
          <w:szCs w:val="22"/>
        </w:rPr>
        <w:t>,</w:t>
      </w:r>
      <w:r w:rsidRPr="000A4DA1">
        <w:rPr>
          <w:sz w:val="22"/>
          <w:szCs w:val="22"/>
        </w:rPr>
        <w:t xml:space="preserve"> respectively</w:t>
      </w:r>
      <w:r w:rsidR="002C3757">
        <w:rPr>
          <w:sz w:val="22"/>
          <w:szCs w:val="22"/>
        </w:rPr>
        <w:t>,</w:t>
      </w:r>
      <w:r w:rsidRPr="000A4DA1">
        <w:rPr>
          <w:sz w:val="22"/>
          <w:szCs w:val="22"/>
        </w:rPr>
        <w:t xml:space="preserve"> </w:t>
      </w:r>
      <w:r w:rsidR="00FB153E">
        <w:rPr>
          <w:sz w:val="22"/>
          <w:szCs w:val="22"/>
        </w:rPr>
        <w:t>following</w:t>
      </w:r>
      <w:r w:rsidRPr="000A4DA1">
        <w:rPr>
          <w:sz w:val="22"/>
          <w:szCs w:val="22"/>
        </w:rPr>
        <w:t xml:space="preserve"> </w:t>
      </w:r>
      <w:r w:rsidR="002C3757">
        <w:rPr>
          <w:sz w:val="22"/>
          <w:szCs w:val="22"/>
        </w:rPr>
        <w:t>decline</w:t>
      </w:r>
      <w:r w:rsidR="00FB153E">
        <w:rPr>
          <w:sz w:val="22"/>
          <w:szCs w:val="22"/>
        </w:rPr>
        <w:t>s in both</w:t>
      </w:r>
      <w:r w:rsidRPr="000A4DA1">
        <w:rPr>
          <w:sz w:val="22"/>
          <w:szCs w:val="22"/>
        </w:rPr>
        <w:t xml:space="preserve"> in December. </w:t>
      </w:r>
      <w:r w:rsidR="00013EE7">
        <w:rPr>
          <w:sz w:val="22"/>
          <w:szCs w:val="22"/>
        </w:rPr>
        <w:t>D</w:t>
      </w:r>
      <w:r w:rsidRPr="000A4DA1">
        <w:rPr>
          <w:sz w:val="22"/>
          <w:szCs w:val="22"/>
        </w:rPr>
        <w:t>urable goods production</w:t>
      </w:r>
      <w:r w:rsidR="00013EE7">
        <w:rPr>
          <w:sz w:val="22"/>
          <w:szCs w:val="22"/>
        </w:rPr>
        <w:t>, on the other hand,</w:t>
      </w:r>
      <w:r w:rsidRPr="000A4DA1">
        <w:rPr>
          <w:sz w:val="22"/>
          <w:szCs w:val="22"/>
        </w:rPr>
        <w:t xml:space="preserve"> continues its downward trend. </w:t>
      </w:r>
      <w:r w:rsidR="00013EE7">
        <w:rPr>
          <w:sz w:val="22"/>
          <w:szCs w:val="22"/>
        </w:rPr>
        <w:t>The c</w:t>
      </w:r>
      <w:r w:rsidRPr="000A4DA1">
        <w:rPr>
          <w:sz w:val="22"/>
          <w:szCs w:val="22"/>
        </w:rPr>
        <w:t>onsumer</w:t>
      </w:r>
      <w:r>
        <w:rPr>
          <w:sz w:val="22"/>
          <w:szCs w:val="22"/>
        </w:rPr>
        <w:t xml:space="preserve"> confidence</w:t>
      </w:r>
      <w:r w:rsidR="00013EE7">
        <w:rPr>
          <w:sz w:val="22"/>
          <w:szCs w:val="22"/>
        </w:rPr>
        <w:t xml:space="preserve"> index</w:t>
      </w:r>
      <w:r>
        <w:rPr>
          <w:sz w:val="22"/>
          <w:szCs w:val="22"/>
        </w:rPr>
        <w:t xml:space="preserve"> decreased </w:t>
      </w:r>
      <w:r w:rsidR="0034232E">
        <w:rPr>
          <w:sz w:val="22"/>
          <w:szCs w:val="22"/>
        </w:rPr>
        <w:t>slightly, by</w:t>
      </w:r>
      <w:r>
        <w:rPr>
          <w:sz w:val="22"/>
          <w:szCs w:val="22"/>
        </w:rPr>
        <w:t xml:space="preserve"> 0.</w:t>
      </w:r>
      <w:r w:rsidRPr="000A4DA1">
        <w:rPr>
          <w:sz w:val="22"/>
          <w:szCs w:val="22"/>
        </w:rPr>
        <w:t>1 percent</w:t>
      </w:r>
      <w:r w:rsidR="0034232E">
        <w:rPr>
          <w:sz w:val="22"/>
          <w:szCs w:val="22"/>
        </w:rPr>
        <w:t>,</w:t>
      </w:r>
      <w:r w:rsidR="00EE5E3F">
        <w:rPr>
          <w:sz w:val="22"/>
          <w:szCs w:val="22"/>
        </w:rPr>
        <w:t xml:space="preserve"> in February. Special consumption</w:t>
      </w:r>
      <w:r w:rsidRPr="000A4DA1">
        <w:rPr>
          <w:sz w:val="22"/>
          <w:szCs w:val="22"/>
        </w:rPr>
        <w:t xml:space="preserve"> tax (SCT) </w:t>
      </w:r>
      <w:r w:rsidR="00EA7980">
        <w:rPr>
          <w:sz w:val="22"/>
          <w:szCs w:val="22"/>
        </w:rPr>
        <w:t>revenue</w:t>
      </w:r>
      <w:r w:rsidRPr="000A4DA1">
        <w:rPr>
          <w:sz w:val="22"/>
          <w:szCs w:val="22"/>
        </w:rPr>
        <w:t xml:space="preserve"> increased 3.7 percent in January, </w:t>
      </w:r>
      <w:r w:rsidR="00EA7980">
        <w:rPr>
          <w:sz w:val="22"/>
          <w:szCs w:val="22"/>
        </w:rPr>
        <w:t>but mostly due to increases i</w:t>
      </w:r>
      <w:r w:rsidRPr="000A4DA1">
        <w:rPr>
          <w:sz w:val="22"/>
          <w:szCs w:val="22"/>
        </w:rPr>
        <w:t xml:space="preserve">n </w:t>
      </w:r>
      <w:r w:rsidR="00EA7980">
        <w:rPr>
          <w:sz w:val="22"/>
          <w:szCs w:val="22"/>
        </w:rPr>
        <w:t>tax rates on tobacco products</w:t>
      </w:r>
      <w:r w:rsidRPr="000A4DA1">
        <w:rPr>
          <w:sz w:val="22"/>
          <w:szCs w:val="22"/>
        </w:rPr>
        <w:t xml:space="preserve">. Overall, </w:t>
      </w:r>
      <w:r>
        <w:rPr>
          <w:sz w:val="22"/>
          <w:szCs w:val="22"/>
        </w:rPr>
        <w:t xml:space="preserve">it’s </w:t>
      </w:r>
      <w:r w:rsidR="00B46671">
        <w:rPr>
          <w:sz w:val="22"/>
          <w:szCs w:val="22"/>
        </w:rPr>
        <w:t>too early</w:t>
      </w:r>
      <w:r>
        <w:rPr>
          <w:sz w:val="22"/>
          <w:szCs w:val="22"/>
        </w:rPr>
        <w:t xml:space="preserve"> to have a clear </w:t>
      </w:r>
      <w:r w:rsidR="00B46671">
        <w:rPr>
          <w:sz w:val="22"/>
          <w:szCs w:val="22"/>
        </w:rPr>
        <w:t>picture</w:t>
      </w:r>
      <w:r>
        <w:rPr>
          <w:sz w:val="22"/>
          <w:szCs w:val="22"/>
        </w:rPr>
        <w:t xml:space="preserve"> </w:t>
      </w:r>
      <w:r w:rsidR="00B46671">
        <w:rPr>
          <w:sz w:val="22"/>
          <w:szCs w:val="22"/>
        </w:rPr>
        <w:t>of</w:t>
      </w:r>
      <w:r w:rsidRPr="000A4DA1">
        <w:rPr>
          <w:sz w:val="22"/>
          <w:szCs w:val="22"/>
        </w:rPr>
        <w:t xml:space="preserve"> private consumption expenditure </w:t>
      </w:r>
      <w:r w:rsidR="00B46671">
        <w:rPr>
          <w:sz w:val="22"/>
          <w:szCs w:val="22"/>
        </w:rPr>
        <w:t>in</w:t>
      </w:r>
      <w:r w:rsidRPr="000A4DA1">
        <w:rPr>
          <w:sz w:val="22"/>
          <w:szCs w:val="22"/>
        </w:rPr>
        <w:t xml:space="preserve"> the </w:t>
      </w:r>
      <w:r w:rsidR="007F76EC">
        <w:rPr>
          <w:sz w:val="22"/>
          <w:szCs w:val="22"/>
        </w:rPr>
        <w:t>1</w:t>
      </w:r>
      <w:r w:rsidR="007F76EC" w:rsidRPr="007F76EC">
        <w:rPr>
          <w:sz w:val="22"/>
          <w:szCs w:val="22"/>
          <w:vertAlign w:val="superscript"/>
        </w:rPr>
        <w:t>st</w:t>
      </w:r>
      <w:r w:rsidRPr="000A4DA1">
        <w:rPr>
          <w:sz w:val="22"/>
          <w:szCs w:val="22"/>
        </w:rPr>
        <w:t xml:space="preserve"> quarter</w:t>
      </w:r>
      <w:r w:rsidR="00B46671">
        <w:rPr>
          <w:sz w:val="22"/>
          <w:szCs w:val="22"/>
        </w:rPr>
        <w:t>.</w:t>
      </w:r>
      <w:r w:rsidRPr="000A4DA1">
        <w:rPr>
          <w:sz w:val="22"/>
          <w:szCs w:val="22"/>
        </w:rPr>
        <w:t xml:space="preserve"> </w:t>
      </w:r>
      <w:r w:rsidR="003E14C7">
        <w:rPr>
          <w:sz w:val="22"/>
          <w:szCs w:val="22"/>
        </w:rPr>
        <w:t xml:space="preserve">February and March data </w:t>
      </w:r>
      <w:r w:rsidR="00422E05">
        <w:rPr>
          <w:sz w:val="22"/>
          <w:szCs w:val="22"/>
        </w:rPr>
        <w:t xml:space="preserve">releases will hopefully yield </w:t>
      </w:r>
      <w:r w:rsidR="003E14C7">
        <w:rPr>
          <w:sz w:val="22"/>
          <w:szCs w:val="22"/>
        </w:rPr>
        <w:t>clearer signals.</w:t>
      </w:r>
    </w:p>
    <w:p w:rsidR="002F56EC" w:rsidRDefault="002F56EC" w:rsidP="002F56EC">
      <w:pPr>
        <w:spacing w:line="360" w:lineRule="auto"/>
        <w:ind w:right="42"/>
        <w:rPr>
          <w:b/>
          <w:bCs/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 w:rsidRPr="000A4DA1">
        <w:rPr>
          <w:b/>
          <w:bCs/>
          <w:sz w:val="22"/>
          <w:szCs w:val="22"/>
        </w:rPr>
        <w:t>Private investment expenditure is increasing</w:t>
      </w:r>
    </w:p>
    <w:p w:rsidR="002F56EC" w:rsidRPr="000A4DA1" w:rsidRDefault="002F56EC" w:rsidP="002F56EC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  <w:r w:rsidRPr="000A4DA1">
        <w:rPr>
          <w:sz w:val="22"/>
          <w:szCs w:val="22"/>
        </w:rPr>
        <w:t>Real sector confidence index increased 3.0 percent in February</w:t>
      </w:r>
      <w:r w:rsidR="0002627E">
        <w:rPr>
          <w:sz w:val="22"/>
          <w:szCs w:val="22"/>
        </w:rPr>
        <w:t xml:space="preserve"> following a decline of 2.</w:t>
      </w:r>
      <w:r w:rsidR="00FB6EDD">
        <w:rPr>
          <w:sz w:val="22"/>
          <w:szCs w:val="22"/>
        </w:rPr>
        <w:t>4 percent in January</w:t>
      </w:r>
      <w:r w:rsidRPr="000A4DA1">
        <w:rPr>
          <w:sz w:val="22"/>
          <w:szCs w:val="22"/>
        </w:rPr>
        <w:t xml:space="preserve">. Investment goods imports and investment goods production recovered slightly in January </w:t>
      </w:r>
      <w:r w:rsidR="004D5CF2">
        <w:rPr>
          <w:sz w:val="22"/>
          <w:szCs w:val="22"/>
        </w:rPr>
        <w:lastRenderedPageBreak/>
        <w:t>following</w:t>
      </w:r>
      <w:r w:rsidRPr="000A4DA1">
        <w:rPr>
          <w:sz w:val="22"/>
          <w:szCs w:val="22"/>
        </w:rPr>
        <w:t xml:space="preserve"> the </w:t>
      </w:r>
      <w:r>
        <w:rPr>
          <w:sz w:val="22"/>
          <w:szCs w:val="22"/>
        </w:rPr>
        <w:t>declines</w:t>
      </w:r>
      <w:r w:rsidRPr="000A4DA1">
        <w:rPr>
          <w:sz w:val="22"/>
          <w:szCs w:val="22"/>
        </w:rPr>
        <w:t xml:space="preserve"> in December. Capacity utilization rate (CUR) continues its volatile trend. </w:t>
      </w:r>
      <w:r w:rsidR="0003258C">
        <w:rPr>
          <w:sz w:val="22"/>
          <w:szCs w:val="22"/>
        </w:rPr>
        <w:t xml:space="preserve">The </w:t>
      </w:r>
      <w:r w:rsidRPr="000A4DA1">
        <w:rPr>
          <w:sz w:val="22"/>
          <w:szCs w:val="22"/>
        </w:rPr>
        <w:t xml:space="preserve">2.3 percent increase </w:t>
      </w:r>
      <w:r w:rsidR="0003258C">
        <w:rPr>
          <w:sz w:val="22"/>
          <w:szCs w:val="22"/>
        </w:rPr>
        <w:t>in</w:t>
      </w:r>
      <w:r w:rsidRPr="000A4DA1">
        <w:rPr>
          <w:sz w:val="22"/>
          <w:szCs w:val="22"/>
        </w:rPr>
        <w:t xml:space="preserve"> IPI in January is a </w:t>
      </w:r>
      <w:r w:rsidR="0003258C">
        <w:rPr>
          <w:sz w:val="22"/>
          <w:szCs w:val="22"/>
        </w:rPr>
        <w:t>positive</w:t>
      </w:r>
      <w:r w:rsidRPr="000A4DA1">
        <w:rPr>
          <w:sz w:val="22"/>
          <w:szCs w:val="22"/>
        </w:rPr>
        <w:t xml:space="preserve"> sign for 1</w:t>
      </w:r>
      <w:r w:rsidRPr="007F76EC">
        <w:rPr>
          <w:sz w:val="22"/>
          <w:szCs w:val="22"/>
          <w:vertAlign w:val="superscript"/>
        </w:rPr>
        <w:t>st</w:t>
      </w:r>
      <w:r w:rsidRPr="000A4DA1">
        <w:rPr>
          <w:sz w:val="22"/>
          <w:szCs w:val="22"/>
        </w:rPr>
        <w:t xml:space="preserve"> quarter </w:t>
      </w:r>
      <w:r w:rsidR="0003258C">
        <w:rPr>
          <w:sz w:val="22"/>
          <w:szCs w:val="22"/>
        </w:rPr>
        <w:t>growth</w:t>
      </w:r>
      <w:r w:rsidRPr="000A4DA1">
        <w:rPr>
          <w:sz w:val="22"/>
          <w:szCs w:val="22"/>
        </w:rPr>
        <w:t xml:space="preserve">, but </w:t>
      </w:r>
      <w:r w:rsidR="009853AB">
        <w:rPr>
          <w:sz w:val="22"/>
          <w:szCs w:val="22"/>
        </w:rPr>
        <w:t xml:space="preserve">it is not </w:t>
      </w:r>
      <w:r w:rsidR="00E035E9">
        <w:rPr>
          <w:sz w:val="22"/>
          <w:szCs w:val="22"/>
        </w:rPr>
        <w:t xml:space="preserve">strong </w:t>
      </w:r>
      <w:r w:rsidR="009853AB">
        <w:rPr>
          <w:sz w:val="22"/>
          <w:szCs w:val="22"/>
        </w:rPr>
        <w:t>enough to push the average quarterly</w:t>
      </w:r>
      <w:r w:rsidR="00E035E9">
        <w:rPr>
          <w:sz w:val="22"/>
          <w:szCs w:val="22"/>
        </w:rPr>
        <w:t xml:space="preserve"> index</w:t>
      </w:r>
      <w:r w:rsidR="009853AB">
        <w:rPr>
          <w:sz w:val="22"/>
          <w:szCs w:val="22"/>
        </w:rPr>
        <w:t xml:space="preserve"> above fourth quarter</w:t>
      </w:r>
      <w:r w:rsidRPr="000A4DA1">
        <w:rPr>
          <w:sz w:val="22"/>
          <w:szCs w:val="22"/>
        </w:rPr>
        <w:t xml:space="preserve">. </w:t>
      </w:r>
      <w:r w:rsidR="00093515">
        <w:rPr>
          <w:sz w:val="22"/>
          <w:szCs w:val="22"/>
        </w:rPr>
        <w:t>However, i</w:t>
      </w:r>
      <w:r w:rsidRPr="000A4DA1">
        <w:rPr>
          <w:sz w:val="22"/>
          <w:szCs w:val="22"/>
        </w:rPr>
        <w:t xml:space="preserve">f investment goods imports and production </w:t>
      </w:r>
      <w:r w:rsidR="004C56D6">
        <w:rPr>
          <w:sz w:val="22"/>
          <w:szCs w:val="22"/>
        </w:rPr>
        <w:t>continue to grow at the same pace</w:t>
      </w:r>
      <w:r w:rsidRPr="000A4DA1">
        <w:rPr>
          <w:sz w:val="22"/>
          <w:szCs w:val="22"/>
        </w:rPr>
        <w:t xml:space="preserve"> in the coming months, private investment expenditure</w:t>
      </w:r>
      <w:r w:rsidR="00C410CC">
        <w:rPr>
          <w:sz w:val="22"/>
          <w:szCs w:val="22"/>
        </w:rPr>
        <w:t>s</w:t>
      </w:r>
      <w:r w:rsidRPr="000A4DA1">
        <w:rPr>
          <w:sz w:val="22"/>
          <w:szCs w:val="22"/>
        </w:rPr>
        <w:t xml:space="preserve"> </w:t>
      </w:r>
      <w:r w:rsidR="00C071B8">
        <w:rPr>
          <w:sz w:val="22"/>
          <w:szCs w:val="22"/>
        </w:rPr>
        <w:t>might</w:t>
      </w:r>
      <w:r w:rsidRPr="000A4DA1">
        <w:rPr>
          <w:sz w:val="22"/>
          <w:szCs w:val="22"/>
        </w:rPr>
        <w:t xml:space="preserve"> contribute positively to GDP growth</w:t>
      </w:r>
      <w:r>
        <w:rPr>
          <w:sz w:val="22"/>
          <w:szCs w:val="22"/>
        </w:rPr>
        <w:t xml:space="preserve"> in the 1</w:t>
      </w:r>
      <w:r w:rsidRPr="002C60A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quarter</w:t>
      </w:r>
      <w:r w:rsidRPr="000A4DA1">
        <w:rPr>
          <w:sz w:val="22"/>
          <w:szCs w:val="22"/>
        </w:rPr>
        <w:t>.</w:t>
      </w:r>
    </w:p>
    <w:p w:rsidR="002F56EC" w:rsidRPr="000A4DA1" w:rsidRDefault="002F56EC" w:rsidP="002F56EC">
      <w:pPr>
        <w:spacing w:line="360" w:lineRule="auto"/>
        <w:ind w:right="42"/>
        <w:jc w:val="both"/>
        <w:rPr>
          <w:sz w:val="22"/>
          <w:szCs w:val="22"/>
        </w:rPr>
      </w:pPr>
    </w:p>
    <w:p w:rsidR="002F56EC" w:rsidRPr="000A4DA1" w:rsidRDefault="00B80B22" w:rsidP="002F56EC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Contribution</w:t>
      </w:r>
      <w:r w:rsidR="002F56EC">
        <w:rPr>
          <w:b/>
          <w:bCs/>
          <w:sz w:val="22"/>
          <w:szCs w:val="22"/>
        </w:rPr>
        <w:t xml:space="preserve"> of n</w:t>
      </w:r>
      <w:r w:rsidR="002F56EC" w:rsidRPr="000A4DA1">
        <w:rPr>
          <w:b/>
          <w:bCs/>
          <w:sz w:val="22"/>
          <w:szCs w:val="22"/>
        </w:rPr>
        <w:t xml:space="preserve">et exports </w:t>
      </w:r>
      <w:r w:rsidR="000D546F">
        <w:rPr>
          <w:b/>
          <w:bCs/>
          <w:sz w:val="22"/>
          <w:szCs w:val="22"/>
        </w:rPr>
        <w:t>might turn</w:t>
      </w:r>
      <w:r w:rsidR="002F56EC" w:rsidRPr="000A4DA1">
        <w:rPr>
          <w:b/>
          <w:bCs/>
          <w:sz w:val="22"/>
          <w:szCs w:val="22"/>
        </w:rPr>
        <w:t xml:space="preserve"> negative </w:t>
      </w:r>
      <w:r w:rsidR="000D546F">
        <w:rPr>
          <w:b/>
          <w:bCs/>
          <w:sz w:val="22"/>
          <w:szCs w:val="22"/>
        </w:rPr>
        <w:t>in the</w:t>
      </w:r>
      <w:r w:rsidR="002F56EC" w:rsidRPr="000A4DA1">
        <w:rPr>
          <w:b/>
          <w:bCs/>
          <w:sz w:val="22"/>
          <w:szCs w:val="22"/>
        </w:rPr>
        <w:t xml:space="preserve"> </w:t>
      </w:r>
      <w:r w:rsidR="002F56EC">
        <w:rPr>
          <w:b/>
          <w:bCs/>
          <w:sz w:val="22"/>
          <w:szCs w:val="22"/>
        </w:rPr>
        <w:t>1</w:t>
      </w:r>
      <w:r w:rsidR="002F56EC" w:rsidRPr="008E738E">
        <w:rPr>
          <w:b/>
          <w:bCs/>
          <w:sz w:val="22"/>
          <w:szCs w:val="22"/>
          <w:vertAlign w:val="superscript"/>
        </w:rPr>
        <w:t>st</w:t>
      </w:r>
      <w:r w:rsidR="002F56EC" w:rsidRPr="000A4DA1">
        <w:rPr>
          <w:b/>
          <w:bCs/>
          <w:sz w:val="22"/>
          <w:szCs w:val="22"/>
        </w:rPr>
        <w:t xml:space="preserve"> quarter</w:t>
      </w:r>
    </w:p>
    <w:p w:rsidR="002F56EC" w:rsidRPr="000A4DA1" w:rsidRDefault="002F56EC" w:rsidP="002F56EC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</w:p>
    <w:p w:rsidR="002F56EC" w:rsidRDefault="002F56EC" w:rsidP="00A97896">
      <w:pPr>
        <w:spacing w:line="360" w:lineRule="auto"/>
        <w:ind w:left="-360" w:right="42"/>
        <w:jc w:val="both"/>
        <w:rPr>
          <w:b/>
          <w:bCs/>
          <w:sz w:val="22"/>
          <w:szCs w:val="22"/>
        </w:rPr>
      </w:pPr>
      <w:r w:rsidRPr="000A4DA1">
        <w:rPr>
          <w:sz w:val="22"/>
          <w:szCs w:val="22"/>
        </w:rPr>
        <w:t>Figure 2 shows monthly changes of seasonally adjusted import and export volume indices.</w:t>
      </w:r>
      <w:r>
        <w:rPr>
          <w:sz w:val="22"/>
          <w:szCs w:val="22"/>
        </w:rPr>
        <w:t xml:space="preserve"> </w:t>
      </w:r>
      <w:r w:rsidRPr="000A4DA1">
        <w:rPr>
          <w:sz w:val="22"/>
          <w:szCs w:val="22"/>
        </w:rPr>
        <w:t xml:space="preserve">In January, export volume index decreased by 0.4 percent whereas import volume index increased by 5.7 percent. </w:t>
      </w:r>
      <w:r w:rsidR="0038308B">
        <w:rPr>
          <w:sz w:val="22"/>
          <w:szCs w:val="22"/>
        </w:rPr>
        <w:t>Since</w:t>
      </w:r>
      <w:r w:rsidR="00C97958">
        <w:rPr>
          <w:sz w:val="22"/>
          <w:szCs w:val="22"/>
        </w:rPr>
        <w:t xml:space="preserve"> the</w:t>
      </w:r>
      <w:r w:rsidRPr="000A4DA1">
        <w:rPr>
          <w:sz w:val="22"/>
          <w:szCs w:val="22"/>
        </w:rPr>
        <w:t xml:space="preserve"> 2</w:t>
      </w:r>
      <w:r w:rsidRPr="008E738E">
        <w:rPr>
          <w:sz w:val="22"/>
          <w:szCs w:val="22"/>
          <w:vertAlign w:val="superscript"/>
        </w:rPr>
        <w:t>nd</w:t>
      </w:r>
      <w:r w:rsidRPr="000A4DA1">
        <w:rPr>
          <w:sz w:val="22"/>
          <w:szCs w:val="22"/>
        </w:rPr>
        <w:t xml:space="preserve"> quarter of 2011, net exports </w:t>
      </w:r>
      <w:r w:rsidR="00691365">
        <w:rPr>
          <w:sz w:val="22"/>
          <w:szCs w:val="22"/>
        </w:rPr>
        <w:t xml:space="preserve">have been </w:t>
      </w:r>
      <w:r w:rsidRPr="000A4DA1">
        <w:rPr>
          <w:sz w:val="22"/>
          <w:szCs w:val="22"/>
        </w:rPr>
        <w:t>contribut</w:t>
      </w:r>
      <w:r w:rsidR="00691365">
        <w:rPr>
          <w:sz w:val="22"/>
          <w:szCs w:val="22"/>
        </w:rPr>
        <w:t>ing</w:t>
      </w:r>
      <w:r w:rsidRPr="000A4DA1">
        <w:rPr>
          <w:sz w:val="22"/>
          <w:szCs w:val="22"/>
        </w:rPr>
        <w:t xml:space="preserve"> positively to GDP growth. This trend </w:t>
      </w:r>
      <w:r w:rsidR="00A97896">
        <w:rPr>
          <w:sz w:val="22"/>
          <w:szCs w:val="22"/>
        </w:rPr>
        <w:t>might come to an e</w:t>
      </w:r>
      <w:r w:rsidR="00C97958">
        <w:rPr>
          <w:sz w:val="22"/>
          <w:szCs w:val="22"/>
        </w:rPr>
        <w:t>nd</w:t>
      </w:r>
      <w:r w:rsidRPr="000A4DA1">
        <w:rPr>
          <w:sz w:val="22"/>
          <w:szCs w:val="22"/>
        </w:rPr>
        <w:t xml:space="preserve"> in the </w:t>
      </w:r>
      <w:r>
        <w:rPr>
          <w:sz w:val="22"/>
          <w:szCs w:val="22"/>
        </w:rPr>
        <w:t>1</w:t>
      </w:r>
      <w:r w:rsidRPr="00375546">
        <w:rPr>
          <w:sz w:val="22"/>
          <w:szCs w:val="22"/>
          <w:vertAlign w:val="superscript"/>
        </w:rPr>
        <w:t>st</w:t>
      </w:r>
      <w:r w:rsidR="00A97896">
        <w:rPr>
          <w:sz w:val="22"/>
          <w:szCs w:val="22"/>
        </w:rPr>
        <w:t xml:space="preserve"> quarter of 2013 if </w:t>
      </w:r>
      <w:r w:rsidR="004D4B99">
        <w:rPr>
          <w:sz w:val="22"/>
          <w:szCs w:val="22"/>
        </w:rPr>
        <w:t>imports</w:t>
      </w:r>
      <w:r w:rsidR="00A97896">
        <w:rPr>
          <w:sz w:val="22"/>
          <w:szCs w:val="22"/>
        </w:rPr>
        <w:t xml:space="preserve"> continue to increase</w:t>
      </w:r>
      <w:r w:rsidR="004D4B99">
        <w:rPr>
          <w:sz w:val="22"/>
          <w:szCs w:val="22"/>
        </w:rPr>
        <w:t xml:space="preserve"> at the current rate</w:t>
      </w:r>
      <w:r w:rsidR="00A97896">
        <w:rPr>
          <w:sz w:val="22"/>
          <w:szCs w:val="22"/>
        </w:rPr>
        <w:t>.</w:t>
      </w:r>
    </w:p>
    <w:p w:rsidR="002F56EC" w:rsidRDefault="002F56EC" w:rsidP="002F56EC">
      <w:pPr>
        <w:spacing w:line="360" w:lineRule="auto"/>
        <w:ind w:right="42"/>
        <w:jc w:val="center"/>
        <w:rPr>
          <w:b/>
          <w:bCs/>
          <w:sz w:val="22"/>
          <w:szCs w:val="22"/>
        </w:rPr>
      </w:pPr>
    </w:p>
    <w:p w:rsidR="002F56EC" w:rsidRPr="000A4DA1" w:rsidRDefault="002F56EC" w:rsidP="002F56EC">
      <w:pPr>
        <w:spacing w:line="360" w:lineRule="auto"/>
        <w:ind w:right="42"/>
        <w:jc w:val="center"/>
        <w:rPr>
          <w:b/>
          <w:bCs/>
          <w:sz w:val="22"/>
          <w:szCs w:val="22"/>
        </w:rPr>
      </w:pPr>
      <w:r w:rsidRPr="000A4DA1">
        <w:rPr>
          <w:b/>
          <w:bCs/>
          <w:sz w:val="22"/>
          <w:szCs w:val="22"/>
        </w:rPr>
        <w:t xml:space="preserve">Current account deficit </w:t>
      </w:r>
      <w:r>
        <w:rPr>
          <w:b/>
          <w:bCs/>
          <w:sz w:val="22"/>
          <w:szCs w:val="22"/>
        </w:rPr>
        <w:t>remains</w:t>
      </w:r>
      <w:r w:rsidRPr="000A4DA1">
        <w:rPr>
          <w:b/>
          <w:bCs/>
          <w:sz w:val="22"/>
          <w:szCs w:val="22"/>
        </w:rPr>
        <w:t xml:space="preserve"> stagnant in the first quarter</w:t>
      </w:r>
    </w:p>
    <w:p w:rsidR="002F56EC" w:rsidRPr="000A4DA1" w:rsidRDefault="002F56EC" w:rsidP="002F56EC">
      <w:pPr>
        <w:spacing w:line="360" w:lineRule="auto"/>
        <w:ind w:right="42"/>
        <w:jc w:val="center"/>
        <w:rPr>
          <w:b/>
          <w:bCs/>
          <w:sz w:val="22"/>
          <w:szCs w:val="22"/>
        </w:rPr>
      </w:pPr>
    </w:p>
    <w:p w:rsidR="002F56EC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  <w:r w:rsidRPr="000A4DA1">
        <w:rPr>
          <w:sz w:val="22"/>
          <w:szCs w:val="22"/>
        </w:rPr>
        <w:t xml:space="preserve">Due to a revision in tourism income accounts, 2012 current account </w:t>
      </w:r>
      <w:r w:rsidR="00917702">
        <w:rPr>
          <w:sz w:val="22"/>
          <w:szCs w:val="22"/>
        </w:rPr>
        <w:t>deficit fell to $46.9 billion and the end of year current account deficit realized as 6 percent</w:t>
      </w:r>
      <w:r w:rsidRPr="000A4DA1">
        <w:rPr>
          <w:sz w:val="22"/>
          <w:szCs w:val="22"/>
        </w:rPr>
        <w:t>. In January, trade deficit increased slightly</w:t>
      </w:r>
      <w:r w:rsidR="00917702">
        <w:rPr>
          <w:sz w:val="22"/>
          <w:szCs w:val="22"/>
        </w:rPr>
        <w:t>,</w:t>
      </w:r>
      <w:r w:rsidRPr="000A4DA1">
        <w:rPr>
          <w:sz w:val="22"/>
          <w:szCs w:val="22"/>
        </w:rPr>
        <w:t xml:space="preserve"> from $7.1 billion to $7.3 billion</w:t>
      </w:r>
      <w:r w:rsidR="00917702">
        <w:rPr>
          <w:sz w:val="22"/>
          <w:szCs w:val="22"/>
        </w:rPr>
        <w:t>,</w:t>
      </w:r>
      <w:r w:rsidRPr="000A4D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compared to the </w:t>
      </w:r>
      <w:r w:rsidRPr="000A4DA1">
        <w:rPr>
          <w:sz w:val="22"/>
          <w:szCs w:val="22"/>
        </w:rPr>
        <w:t xml:space="preserve">same month of the previous year. </w:t>
      </w:r>
      <w:r w:rsidR="00917702">
        <w:rPr>
          <w:sz w:val="22"/>
          <w:szCs w:val="22"/>
        </w:rPr>
        <w:t>G</w:t>
      </w:r>
      <w:r w:rsidRPr="000A4DA1">
        <w:rPr>
          <w:sz w:val="22"/>
          <w:szCs w:val="22"/>
        </w:rPr>
        <w:t>old trade</w:t>
      </w:r>
      <w:r w:rsidR="00917702">
        <w:rPr>
          <w:sz w:val="22"/>
          <w:szCs w:val="22"/>
        </w:rPr>
        <w:t xml:space="preserve"> with Iran</w:t>
      </w:r>
      <w:r w:rsidRPr="000A4DA1">
        <w:rPr>
          <w:sz w:val="22"/>
          <w:szCs w:val="22"/>
        </w:rPr>
        <w:t xml:space="preserve"> </w:t>
      </w:r>
      <w:r w:rsidR="00917702">
        <w:rPr>
          <w:sz w:val="22"/>
          <w:szCs w:val="22"/>
        </w:rPr>
        <w:t>seems to have ceased for now</w:t>
      </w:r>
      <w:r w:rsidR="00281BCA">
        <w:rPr>
          <w:sz w:val="22"/>
          <w:szCs w:val="22"/>
        </w:rPr>
        <w:t xml:space="preserve"> and is not as influen</w:t>
      </w:r>
      <w:r w:rsidR="00920786">
        <w:rPr>
          <w:sz w:val="22"/>
          <w:szCs w:val="22"/>
        </w:rPr>
        <w:t>t as last year</w:t>
      </w:r>
      <w:r w:rsidRPr="000A4DA1">
        <w:rPr>
          <w:sz w:val="22"/>
          <w:szCs w:val="22"/>
        </w:rPr>
        <w:t>.</w:t>
      </w:r>
    </w:p>
    <w:p w:rsidR="002F56EC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2F56EC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</w:pPr>
      <w:r w:rsidRPr="000A4DA1">
        <w:rPr>
          <w:sz w:val="22"/>
          <w:szCs w:val="22"/>
        </w:rPr>
        <w:lastRenderedPageBreak/>
        <w:t xml:space="preserve">The 12-month CAD was $46.8 billion at the end of January. </w:t>
      </w:r>
      <w:r w:rsidR="009D6690">
        <w:rPr>
          <w:sz w:val="22"/>
          <w:szCs w:val="22"/>
        </w:rPr>
        <w:t>As</w:t>
      </w:r>
      <w:r w:rsidRPr="000A4DA1">
        <w:rPr>
          <w:sz w:val="22"/>
          <w:szCs w:val="22"/>
        </w:rPr>
        <w:t xml:space="preserve"> the</w:t>
      </w:r>
      <w:r w:rsidR="009D6690">
        <w:rPr>
          <w:sz w:val="22"/>
          <w:szCs w:val="22"/>
        </w:rPr>
        <w:t xml:space="preserve"> impact of</w:t>
      </w:r>
      <w:r w:rsidRPr="000A4DA1">
        <w:rPr>
          <w:sz w:val="22"/>
          <w:szCs w:val="22"/>
        </w:rPr>
        <w:t xml:space="preserve"> base effect</w:t>
      </w:r>
      <w:r w:rsidR="009D6690">
        <w:rPr>
          <w:sz w:val="22"/>
          <w:szCs w:val="22"/>
        </w:rPr>
        <w:t xml:space="preserve"> weakens</w:t>
      </w:r>
      <w:r w:rsidRPr="000A4DA1">
        <w:rPr>
          <w:sz w:val="22"/>
          <w:szCs w:val="22"/>
        </w:rPr>
        <w:t xml:space="preserve"> and weaker recovery than expected</w:t>
      </w:r>
      <w:r w:rsidR="00807202">
        <w:rPr>
          <w:sz w:val="22"/>
          <w:szCs w:val="22"/>
        </w:rPr>
        <w:t xml:space="preserve"> in domestic demand continues</w:t>
      </w:r>
      <w:r w:rsidRPr="000A4DA1">
        <w:rPr>
          <w:sz w:val="22"/>
          <w:szCs w:val="22"/>
        </w:rPr>
        <w:t xml:space="preserve">, the current account deficit </w:t>
      </w:r>
      <w:r>
        <w:rPr>
          <w:sz w:val="22"/>
          <w:szCs w:val="22"/>
        </w:rPr>
        <w:t>remain</w:t>
      </w:r>
      <w:r w:rsidR="00807202">
        <w:rPr>
          <w:sz w:val="22"/>
          <w:szCs w:val="22"/>
        </w:rPr>
        <w:t>s</w:t>
      </w:r>
      <w:r w:rsidRPr="000A4DA1">
        <w:rPr>
          <w:sz w:val="22"/>
          <w:szCs w:val="22"/>
        </w:rPr>
        <w:t xml:space="preserve"> stagnant. We expect the current account deficit which was </w:t>
      </w:r>
      <w:r w:rsidR="00807202">
        <w:rPr>
          <w:sz w:val="22"/>
          <w:szCs w:val="22"/>
        </w:rPr>
        <w:t>6</w:t>
      </w:r>
      <w:r w:rsidRPr="000A4DA1">
        <w:rPr>
          <w:sz w:val="22"/>
          <w:szCs w:val="22"/>
        </w:rPr>
        <w:t xml:space="preserve"> per</w:t>
      </w:r>
      <w:r>
        <w:rPr>
          <w:sz w:val="22"/>
          <w:szCs w:val="22"/>
        </w:rPr>
        <w:t>cent at the end of 2012 to be 5.</w:t>
      </w:r>
      <w:r w:rsidRPr="000A4DA1">
        <w:rPr>
          <w:sz w:val="22"/>
          <w:szCs w:val="22"/>
        </w:rPr>
        <w:t xml:space="preserve">8 percent at the end of the </w:t>
      </w:r>
      <w:r>
        <w:rPr>
          <w:sz w:val="22"/>
          <w:szCs w:val="22"/>
        </w:rPr>
        <w:t>1</w:t>
      </w:r>
      <w:r w:rsidRPr="002F56EC">
        <w:rPr>
          <w:sz w:val="22"/>
          <w:szCs w:val="22"/>
        </w:rPr>
        <w:t>st</w:t>
      </w:r>
      <w:r w:rsidRPr="000A4DA1">
        <w:rPr>
          <w:sz w:val="22"/>
          <w:szCs w:val="22"/>
        </w:rPr>
        <w:t xml:space="preserve"> quarter of 2013</w:t>
      </w:r>
      <w:r>
        <w:rPr>
          <w:sz w:val="22"/>
          <w:szCs w:val="22"/>
        </w:rPr>
        <w:t>.</w:t>
      </w:r>
    </w:p>
    <w:p w:rsidR="006E2D48" w:rsidRPr="002F56EC" w:rsidRDefault="002F56EC" w:rsidP="002F56EC">
      <w:pPr>
        <w:spacing w:line="360" w:lineRule="auto"/>
        <w:ind w:left="-360" w:right="42"/>
        <w:jc w:val="both"/>
        <w:rPr>
          <w:sz w:val="22"/>
          <w:szCs w:val="22"/>
        </w:rPr>
        <w:sectPr w:rsidR="006E2D48" w:rsidRPr="002F56EC" w:rsidSect="00523C5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0A4DA1">
        <w:rPr>
          <w:sz w:val="22"/>
          <w:szCs w:val="22"/>
        </w:rPr>
        <w:t xml:space="preserve">  </w:t>
      </w:r>
      <w:r w:rsidR="00AE7542" w:rsidRPr="00B320C7">
        <w:rPr>
          <w:sz w:val="22"/>
          <w:szCs w:val="22"/>
        </w:rPr>
        <w:br w:type="column"/>
      </w:r>
    </w:p>
    <w:p w:rsidR="008C6E50" w:rsidRPr="00B320C7" w:rsidRDefault="00E823E8" w:rsidP="00801493">
      <w:pPr>
        <w:spacing w:line="360" w:lineRule="auto"/>
        <w:ind w:right="42"/>
        <w:jc w:val="both"/>
        <w:rPr>
          <w:rFonts w:ascii="Arial" w:hAnsi="Arial" w:cs="Arial"/>
          <w:sz w:val="20"/>
          <w:szCs w:val="20"/>
        </w:rPr>
      </w:pPr>
      <w:r w:rsidRPr="00B320C7">
        <w:rPr>
          <w:rFonts w:ascii="Arial" w:hAnsi="Arial" w:cs="Arial"/>
          <w:b/>
          <w:sz w:val="20"/>
          <w:szCs w:val="20"/>
        </w:rPr>
        <w:lastRenderedPageBreak/>
        <w:t>Table</w:t>
      </w:r>
      <w:r w:rsidR="00451918">
        <w:rPr>
          <w:rFonts w:ascii="Arial" w:hAnsi="Arial" w:cs="Arial"/>
          <w:b/>
          <w:sz w:val="20"/>
          <w:szCs w:val="20"/>
        </w:rPr>
        <w:t xml:space="preserve"> 2: </w:t>
      </w:r>
      <w:r w:rsidRPr="00B320C7">
        <w:rPr>
          <w:rFonts w:ascii="Arial" w:hAnsi="Arial" w:cs="Arial"/>
          <w:b/>
          <w:sz w:val="20"/>
          <w:szCs w:val="20"/>
        </w:rPr>
        <w:t xml:space="preserve">Monthly and quarterly changes of Betam’s selected indicators (real </w:t>
      </w:r>
      <w:r w:rsidR="00455777" w:rsidRPr="00B320C7">
        <w:rPr>
          <w:rFonts w:ascii="Arial" w:hAnsi="Arial" w:cs="Arial"/>
          <w:b/>
          <w:sz w:val="20"/>
          <w:szCs w:val="20"/>
        </w:rPr>
        <w:t>and</w:t>
      </w:r>
      <w:r w:rsidR="005B2CF3">
        <w:rPr>
          <w:rFonts w:ascii="Arial" w:hAnsi="Arial" w:cs="Arial"/>
          <w:b/>
          <w:sz w:val="20"/>
          <w:szCs w:val="20"/>
        </w:rPr>
        <w:t xml:space="preserve"> </w:t>
      </w:r>
      <w:r w:rsidRPr="00B320C7">
        <w:rPr>
          <w:rFonts w:ascii="Arial" w:hAnsi="Arial" w:cs="Arial"/>
          <w:b/>
          <w:sz w:val="20"/>
          <w:szCs w:val="20"/>
        </w:rPr>
        <w:t>sa</w:t>
      </w:r>
      <w:r w:rsidR="008C6E50" w:rsidRPr="00B320C7">
        <w:rPr>
          <w:rFonts w:ascii="Arial" w:hAnsi="Arial" w:cs="Arial"/>
          <w:b/>
          <w:sz w:val="20"/>
          <w:szCs w:val="20"/>
        </w:rPr>
        <w:t>)</w:t>
      </w:r>
    </w:p>
    <w:p w:rsidR="008C6E50" w:rsidRPr="00B320C7" w:rsidRDefault="008C6E50" w:rsidP="001E4BF5">
      <w:pPr>
        <w:spacing w:line="360" w:lineRule="auto"/>
        <w:ind w:left="-360" w:right="42"/>
        <w:jc w:val="both"/>
        <w:rPr>
          <w:rFonts w:ascii="Arial" w:hAnsi="Arial" w:cs="Arial"/>
          <w:sz w:val="20"/>
          <w:szCs w:val="20"/>
        </w:rPr>
        <w:sectPr w:rsidR="008C6E50" w:rsidRPr="00B320C7" w:rsidSect="0075074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550" w:type="pct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5"/>
        <w:gridCol w:w="1140"/>
        <w:gridCol w:w="1140"/>
        <w:gridCol w:w="1139"/>
        <w:gridCol w:w="1139"/>
        <w:gridCol w:w="1139"/>
        <w:gridCol w:w="1139"/>
      </w:tblGrid>
      <w:tr w:rsidR="002F56EC" w:rsidRPr="00B320C7" w:rsidTr="00706AE1"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2F56EC" w:rsidRPr="00B320C7" w:rsidRDefault="002F56EC" w:rsidP="005B2CF3">
            <w:pPr>
              <w:spacing w:line="288" w:lineRule="auto"/>
              <w:ind w:righ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Indicators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2F56EC" w:rsidRPr="00B320C7" w:rsidRDefault="002F56EC" w:rsidP="00F174EC">
            <w:pPr>
              <w:spacing w:line="288" w:lineRule="auto"/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2F56EC" w:rsidRPr="00B320C7" w:rsidRDefault="002F56EC" w:rsidP="00F174EC">
            <w:pPr>
              <w:spacing w:line="288" w:lineRule="auto"/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2F56EC" w:rsidRPr="00B320C7" w:rsidRDefault="002F56EC" w:rsidP="00F174EC">
            <w:pPr>
              <w:spacing w:line="288" w:lineRule="auto"/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2F56EC" w:rsidRPr="00B320C7" w:rsidRDefault="002F56EC" w:rsidP="005B2CF3">
            <w:pPr>
              <w:spacing w:line="288" w:lineRule="auto"/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565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F56EC" w:rsidRPr="00B320C7" w:rsidRDefault="002F56EC" w:rsidP="005B2CF3">
            <w:pPr>
              <w:spacing w:line="288" w:lineRule="auto"/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2012 3</w:t>
            </w:r>
            <w:r w:rsidRPr="00B320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B320C7">
              <w:rPr>
                <w:rFonts w:ascii="Arial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2F56EC" w:rsidRPr="00B320C7" w:rsidRDefault="002F56EC" w:rsidP="005B2CF3">
            <w:pPr>
              <w:spacing w:line="288" w:lineRule="auto"/>
              <w:ind w:righ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2012 4</w:t>
            </w:r>
            <w:r w:rsidRPr="00B320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320C7">
              <w:rPr>
                <w:rFonts w:ascii="Arial" w:hAnsi="Arial" w:cs="Arial"/>
                <w:b/>
                <w:sz w:val="20"/>
                <w:szCs w:val="20"/>
              </w:rPr>
              <w:t xml:space="preserve">  Quarter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67DF6">
            <w:pPr>
              <w:spacing w:line="288" w:lineRule="auto"/>
              <w:ind w:right="77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Exports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-4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-4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4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**</w:t>
            </w:r>
          </w:p>
        </w:tc>
        <w:tc>
          <w:tcPr>
            <w:tcW w:w="565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-2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-4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6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67DF6">
            <w:pPr>
              <w:spacing w:line="288" w:lineRule="auto"/>
              <w:ind w:right="77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Imports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4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2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-5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9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5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7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**</w:t>
            </w:r>
          </w:p>
        </w:tc>
        <w:tc>
          <w:tcPr>
            <w:tcW w:w="565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-1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8</w:t>
            </w:r>
          </w:p>
        </w:tc>
        <w:tc>
          <w:tcPr>
            <w:tcW w:w="565" w:type="pct"/>
            <w:tcBorders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2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9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67DF6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Intermediate goods import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5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-11</w:t>
            </w:r>
            <w:r w:rsidR="007A7008">
              <w:t>.</w:t>
            </w:r>
            <w:r w:rsidRPr="000A4DA1">
              <w:t>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11</w:t>
            </w:r>
            <w:r w:rsidR="007A7008">
              <w:t>.</w:t>
            </w:r>
            <w:r w:rsidRPr="000A4DA1">
              <w:t>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**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3</w:t>
            </w:r>
            <w:r w:rsidR="007A7008">
              <w:t>.</w:t>
            </w:r>
            <w:r w:rsidRPr="000A4DA1">
              <w:t>7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67DF6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Consumer goods import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5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-17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8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**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2</w:t>
            </w:r>
            <w:r w:rsidR="007A7008">
              <w:t>.</w:t>
            </w:r>
            <w:r w:rsidRPr="000A4DA1">
              <w:t>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-3</w:t>
            </w:r>
            <w:r w:rsidR="007A7008">
              <w:t>.</w:t>
            </w:r>
            <w:r w:rsidRPr="000A4DA1">
              <w:t>3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E1" w:rsidRPr="00B320C7" w:rsidRDefault="00706AE1" w:rsidP="00067DF6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Investment goods import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4</w:t>
            </w:r>
            <w:r w:rsidR="007A7008">
              <w:t>.</w:t>
            </w:r>
            <w:r w:rsidRPr="000A4DA1">
              <w:t>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-17</w:t>
            </w:r>
            <w:r w:rsidR="007A7008">
              <w:t>.</w:t>
            </w:r>
            <w:r w:rsidRPr="000A4DA1">
              <w:t>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27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**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6</w:t>
            </w:r>
            <w:r w:rsidR="007A7008">
              <w:t>.</w:t>
            </w:r>
            <w:r w:rsidRPr="000A4DA1">
              <w:t>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13</w:t>
            </w:r>
            <w:r w:rsidR="007A7008">
              <w:t>.</w:t>
            </w:r>
            <w:r w:rsidRPr="000A4DA1">
              <w:t>4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Exports without gold***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4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7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-7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8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5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3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**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3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6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1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2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Imports without gold***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4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-11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10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**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2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8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 xml:space="preserve">Industrial Production Index (IPI)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-3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2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**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2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Nondurable consumer goods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2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**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1</w:t>
            </w:r>
            <w:r w:rsidR="007A7008">
              <w:t>.</w:t>
            </w:r>
            <w:r w:rsidRPr="000A4DA1">
              <w:t>8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Durable consumer goods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7</w:t>
            </w:r>
            <w:r w:rsidR="007A7008">
              <w:t>.</w:t>
            </w:r>
            <w:r w:rsidRPr="000A4DA1">
              <w:t>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-9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**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-4</w:t>
            </w:r>
            <w:r w:rsidR="007A7008">
              <w:t>.</w:t>
            </w:r>
            <w:r w:rsidRPr="000A4DA1">
              <w:t>8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Intermediate goods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2</w:t>
            </w:r>
            <w:r w:rsidR="007A7008">
              <w:t>.</w:t>
            </w:r>
            <w:r w:rsidRPr="000A4DA1">
              <w:t>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-6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3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**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2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1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Investment goods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-1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-2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2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**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2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2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Capacity Utilization Rate (CUR)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  <w:rPr>
                <w:b/>
                <w:bCs/>
              </w:rPr>
            </w:pPr>
            <w:r w:rsidRPr="000A4DA1">
              <w:rPr>
                <w:b/>
                <w:bCs/>
              </w:rPr>
              <w:t>-0</w:t>
            </w:r>
            <w:r w:rsidR="007A7008">
              <w:rPr>
                <w:b/>
                <w:bCs/>
              </w:rPr>
              <w:t>.</w:t>
            </w:r>
            <w:r w:rsidRPr="000A4DA1">
              <w:rPr>
                <w:b/>
                <w:bCs/>
              </w:rPr>
              <w:t>7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Nondurable consumer goods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8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1</w:t>
            </w:r>
            <w:r w:rsidR="007A7008">
              <w:t>.</w:t>
            </w:r>
            <w:r w:rsidRPr="000A4DA1">
              <w:t>7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Durable consumer goods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-1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9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-2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3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Intermediate goods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1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-1</w:t>
            </w:r>
            <w:r w:rsidR="007A7008">
              <w:t>.</w:t>
            </w:r>
            <w:r w:rsidRPr="000A4DA1">
              <w:t>5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9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Investment goods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2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-1</w:t>
            </w:r>
            <w:r w:rsidR="007A7008">
              <w:t>.</w:t>
            </w:r>
            <w:r w:rsidRPr="000A4DA1">
              <w:t>1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1</w:t>
            </w:r>
            <w:r w:rsidR="007A7008">
              <w:t>.</w:t>
            </w:r>
            <w:r w:rsidRPr="000A4DA1">
              <w:t>1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7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1</w:t>
            </w:r>
            <w:r w:rsidR="007A7008">
              <w:t>.</w:t>
            </w:r>
            <w:r w:rsidRPr="000A4DA1">
              <w:t>4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Soft Data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Consumer confidence index (Turkstat)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4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1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-0</w:t>
            </w:r>
            <w:r w:rsidR="007A7008">
              <w:t>.</w:t>
            </w:r>
            <w:r w:rsidRPr="000A4DA1">
              <w:t>1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-1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3</w:t>
            </w:r>
            <w:r w:rsidR="007A7008">
              <w:t>.</w:t>
            </w:r>
            <w:r w:rsidRPr="000A4DA1">
              <w:t>2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Reel sector confidence index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8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-1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-2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3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4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-1</w:t>
            </w:r>
            <w:r w:rsidR="007A7008">
              <w:t>.</w:t>
            </w:r>
            <w:r w:rsidRPr="000A4DA1">
              <w:t>4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bottom w:val="nil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Financial Data</w:t>
            </w:r>
          </w:p>
        </w:tc>
        <w:tc>
          <w:tcPr>
            <w:tcW w:w="565" w:type="pct"/>
            <w:tcBorders>
              <w:bottom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</w:p>
        </w:tc>
        <w:tc>
          <w:tcPr>
            <w:tcW w:w="565" w:type="pct"/>
            <w:tcBorders>
              <w:bottom w:val="nil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</w:p>
        </w:tc>
        <w:tc>
          <w:tcPr>
            <w:tcW w:w="565" w:type="pct"/>
            <w:tcBorders>
              <w:bottom w:val="nil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</w:p>
        </w:tc>
        <w:tc>
          <w:tcPr>
            <w:tcW w:w="565" w:type="pct"/>
            <w:tcBorders>
              <w:left w:val="double" w:sz="4" w:space="0" w:color="auto"/>
              <w:bottom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</w:p>
        </w:tc>
        <w:tc>
          <w:tcPr>
            <w:tcW w:w="565" w:type="pct"/>
            <w:tcBorders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single" w:sz="4" w:space="0" w:color="auto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IMKB 100 (Stock Exchange)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5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5</w:t>
            </w:r>
            <w:r w:rsidR="007A7008">
              <w:t>.</w:t>
            </w:r>
            <w:r w:rsidRPr="000A4DA1">
              <w:t>5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3</w:t>
            </w:r>
            <w:r w:rsidR="007A7008">
              <w:t>.</w:t>
            </w:r>
            <w:r w:rsidRPr="000A4DA1">
              <w:t>8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-4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8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7</w:t>
            </w:r>
            <w:r w:rsidR="007A7008">
              <w:t>.</w:t>
            </w:r>
            <w:r w:rsidRPr="000A4DA1">
              <w:t>1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single" w:sz="4" w:space="0" w:color="auto"/>
              <w:bottom w:val="nil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b/>
                <w:sz w:val="20"/>
                <w:szCs w:val="20"/>
              </w:rPr>
            </w:pPr>
            <w:r w:rsidRPr="00B320C7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  <w:bottom w:val="nil"/>
            </w:tcBorders>
            <w:vAlign w:val="bottom"/>
          </w:tcPr>
          <w:p w:rsidR="00706AE1" w:rsidRPr="00B320C7" w:rsidRDefault="0034600A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consumption</w:t>
            </w:r>
            <w:r w:rsidR="00706AE1" w:rsidRPr="00B320C7">
              <w:rPr>
                <w:rFonts w:ascii="Arial" w:hAnsi="Arial" w:cs="Arial"/>
                <w:sz w:val="20"/>
                <w:szCs w:val="20"/>
              </w:rPr>
              <w:t xml:space="preserve"> tax* (SCT)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-8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4</w:t>
            </w:r>
            <w:r w:rsidR="007A7008">
              <w:t>.</w:t>
            </w:r>
            <w:r w:rsidRPr="000A4DA1">
              <w:t>7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3</w:t>
            </w:r>
            <w:r w:rsidR="007A7008">
              <w:t>.</w:t>
            </w:r>
            <w:r w:rsidRPr="000A4DA1">
              <w:t>7</w:t>
            </w:r>
          </w:p>
        </w:tc>
        <w:tc>
          <w:tcPr>
            <w:tcW w:w="565" w:type="pct"/>
            <w:tcBorders>
              <w:top w:val="nil"/>
              <w:bottom w:val="nil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**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  <w:bottom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10</w:t>
            </w:r>
            <w:r w:rsidR="007A7008">
              <w:t>.</w:t>
            </w:r>
            <w:r w:rsidRPr="000A4DA1">
              <w:t>0</w:t>
            </w:r>
          </w:p>
        </w:tc>
        <w:tc>
          <w:tcPr>
            <w:tcW w:w="565" w:type="pct"/>
            <w:tcBorders>
              <w:top w:val="nil"/>
              <w:bottom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3</w:t>
            </w:r>
            <w:r w:rsidR="007A7008">
              <w:t>.</w:t>
            </w:r>
            <w:r w:rsidRPr="000A4DA1">
              <w:t>7</w:t>
            </w:r>
          </w:p>
        </w:tc>
      </w:tr>
      <w:tr w:rsidR="00706AE1" w:rsidRPr="00B320C7" w:rsidTr="00706AE1">
        <w:trPr>
          <w:trHeight w:val="20"/>
        </w:trPr>
        <w:tc>
          <w:tcPr>
            <w:tcW w:w="1609" w:type="pct"/>
            <w:tcBorders>
              <w:top w:val="nil"/>
            </w:tcBorders>
            <w:vAlign w:val="bottom"/>
          </w:tcPr>
          <w:p w:rsidR="00706AE1" w:rsidRPr="00B320C7" w:rsidRDefault="00706AE1" w:rsidP="00042C84">
            <w:pPr>
              <w:spacing w:line="288" w:lineRule="auto"/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320C7">
              <w:rPr>
                <w:rFonts w:ascii="Arial" w:hAnsi="Arial" w:cs="Arial"/>
                <w:sz w:val="20"/>
                <w:szCs w:val="20"/>
              </w:rPr>
              <w:t>Automobile production</w:t>
            </w:r>
          </w:p>
        </w:tc>
        <w:tc>
          <w:tcPr>
            <w:tcW w:w="565" w:type="pct"/>
            <w:tcBorders>
              <w:top w:val="nil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62"/>
              <w:jc w:val="center"/>
            </w:pPr>
            <w:r w:rsidRPr="000A4DA1">
              <w:t>0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</w:tcBorders>
            <w:tcMar>
              <w:left w:w="0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2"/>
              <w:jc w:val="center"/>
            </w:pPr>
            <w:r w:rsidRPr="000A4DA1">
              <w:t>-10</w:t>
            </w:r>
            <w:r w:rsidR="007A7008">
              <w:t>.</w:t>
            </w:r>
            <w:r w:rsidRPr="000A4DA1">
              <w:t>6</w:t>
            </w:r>
          </w:p>
        </w:tc>
        <w:tc>
          <w:tcPr>
            <w:tcW w:w="565" w:type="pct"/>
            <w:tcBorders>
              <w:top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3"/>
              <w:jc w:val="center"/>
            </w:pPr>
            <w:r w:rsidRPr="000A4DA1">
              <w:t>2</w:t>
            </w:r>
            <w:r w:rsidR="007A7008">
              <w:t>.</w:t>
            </w:r>
            <w:r w:rsidRPr="000A4DA1">
              <w:t>4</w:t>
            </w:r>
          </w:p>
        </w:tc>
        <w:tc>
          <w:tcPr>
            <w:tcW w:w="565" w:type="pct"/>
            <w:tcBorders>
              <w:top w:val="nil"/>
            </w:tcBorders>
            <w:tcMar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554"/>
              <w:jc w:val="center"/>
            </w:pPr>
            <w:r w:rsidRPr="000A4DA1">
              <w:t>5</w:t>
            </w:r>
            <w:r w:rsidR="007A7008">
              <w:t>.</w:t>
            </w:r>
            <w:r w:rsidRPr="000A4DA1">
              <w:t>3</w:t>
            </w:r>
          </w:p>
        </w:tc>
        <w:tc>
          <w:tcPr>
            <w:tcW w:w="565" w:type="pct"/>
            <w:tcBorders>
              <w:top w:val="nil"/>
              <w:left w:val="double" w:sz="4" w:space="0" w:color="auto"/>
            </w:tcBorders>
            <w:tcMar>
              <w:left w:w="57" w:type="dxa"/>
              <w:right w:w="160" w:type="dxa"/>
            </w:tcMar>
            <w:vAlign w:val="center"/>
          </w:tcPr>
          <w:p w:rsidR="00706AE1" w:rsidRPr="000A4DA1" w:rsidRDefault="00706AE1" w:rsidP="007A7008">
            <w:pPr>
              <w:spacing w:line="288" w:lineRule="auto"/>
              <w:ind w:right="-405"/>
              <w:jc w:val="center"/>
            </w:pPr>
            <w:r w:rsidRPr="000A4DA1">
              <w:t>4</w:t>
            </w:r>
            <w:r w:rsidR="007A7008">
              <w:t>.</w:t>
            </w:r>
            <w:r w:rsidRPr="000A4DA1">
              <w:t>2</w:t>
            </w:r>
          </w:p>
        </w:tc>
        <w:tc>
          <w:tcPr>
            <w:tcW w:w="565" w:type="pct"/>
            <w:tcBorders>
              <w:top w:val="nil"/>
            </w:tcBorders>
            <w:vAlign w:val="center"/>
          </w:tcPr>
          <w:p w:rsidR="00706AE1" w:rsidRPr="000A4DA1" w:rsidRDefault="00706AE1" w:rsidP="007A7008">
            <w:pPr>
              <w:spacing w:line="288" w:lineRule="auto"/>
              <w:ind w:right="-366"/>
              <w:jc w:val="center"/>
            </w:pPr>
            <w:r w:rsidRPr="000A4DA1">
              <w:t>-2</w:t>
            </w:r>
            <w:r w:rsidR="007A7008">
              <w:t>.</w:t>
            </w:r>
            <w:r w:rsidRPr="000A4DA1">
              <w:t>4</w:t>
            </w:r>
          </w:p>
        </w:tc>
      </w:tr>
    </w:tbl>
    <w:p w:rsidR="008C6E50" w:rsidRPr="00B320C7" w:rsidRDefault="00E823E8" w:rsidP="008D71E7">
      <w:pPr>
        <w:spacing w:line="276" w:lineRule="auto"/>
        <w:ind w:left="-540" w:right="42"/>
        <w:jc w:val="both"/>
        <w:rPr>
          <w:rFonts w:ascii="Arial" w:hAnsi="Arial" w:cs="Arial"/>
          <w:sz w:val="16"/>
          <w:szCs w:val="16"/>
        </w:rPr>
      </w:pPr>
      <w:r w:rsidRPr="00B320C7">
        <w:rPr>
          <w:rFonts w:ascii="Arial" w:hAnsi="Arial" w:cs="Arial"/>
          <w:sz w:val="16"/>
          <w:szCs w:val="16"/>
        </w:rPr>
        <w:t>Source: TurkStat</w:t>
      </w:r>
      <w:r w:rsidR="008D71E7">
        <w:rPr>
          <w:rFonts w:ascii="Arial" w:hAnsi="Arial" w:cs="Arial"/>
          <w:sz w:val="16"/>
          <w:szCs w:val="16"/>
        </w:rPr>
        <w:t>,</w:t>
      </w:r>
      <w:r w:rsidR="00E03485" w:rsidRPr="00B320C7">
        <w:rPr>
          <w:rFonts w:ascii="Arial" w:hAnsi="Arial" w:cs="Arial"/>
          <w:sz w:val="16"/>
          <w:szCs w:val="16"/>
        </w:rPr>
        <w:t>CBRT</w:t>
      </w:r>
      <w:r w:rsidR="008D71E7">
        <w:rPr>
          <w:rFonts w:ascii="Arial" w:hAnsi="Arial" w:cs="Arial"/>
          <w:sz w:val="16"/>
          <w:szCs w:val="16"/>
        </w:rPr>
        <w:t>,</w:t>
      </w:r>
      <w:r w:rsidRPr="00B320C7">
        <w:rPr>
          <w:rFonts w:ascii="Arial" w:hAnsi="Arial" w:cs="Arial"/>
          <w:sz w:val="16"/>
          <w:szCs w:val="16"/>
        </w:rPr>
        <w:t>Treasury</w:t>
      </w:r>
      <w:r w:rsidR="008D71E7">
        <w:rPr>
          <w:rFonts w:ascii="Arial" w:hAnsi="Arial" w:cs="Arial"/>
          <w:sz w:val="16"/>
          <w:szCs w:val="16"/>
        </w:rPr>
        <w:t>,</w:t>
      </w:r>
      <w:r w:rsidR="00E03485" w:rsidRPr="00B320C7">
        <w:rPr>
          <w:rFonts w:ascii="Arial" w:hAnsi="Arial" w:cs="Arial"/>
          <w:sz w:val="16"/>
          <w:szCs w:val="16"/>
        </w:rPr>
        <w:t>ISE</w:t>
      </w:r>
      <w:r w:rsidR="008D71E7">
        <w:rPr>
          <w:rFonts w:ascii="Arial" w:hAnsi="Arial" w:cs="Arial"/>
          <w:sz w:val="16"/>
          <w:szCs w:val="16"/>
        </w:rPr>
        <w:t>,</w:t>
      </w:r>
      <w:r w:rsidRPr="00B320C7">
        <w:rPr>
          <w:rFonts w:ascii="Arial" w:hAnsi="Arial" w:cs="Arial"/>
          <w:sz w:val="16"/>
          <w:szCs w:val="16"/>
        </w:rPr>
        <w:t>Betam. All series are real (or inflation adjusted) wherever necessary and seasonally adjusted.</w:t>
      </w:r>
    </w:p>
    <w:p w:rsidR="00E823E8" w:rsidRPr="00B320C7" w:rsidRDefault="00E823E8" w:rsidP="008D71E7">
      <w:pPr>
        <w:spacing w:line="276" w:lineRule="auto"/>
        <w:ind w:left="-540" w:right="42"/>
        <w:jc w:val="both"/>
        <w:rPr>
          <w:rFonts w:ascii="Arial" w:hAnsi="Arial" w:cs="Arial"/>
          <w:sz w:val="16"/>
          <w:szCs w:val="16"/>
        </w:rPr>
      </w:pPr>
      <w:r w:rsidRPr="00B320C7">
        <w:rPr>
          <w:rFonts w:ascii="Arial" w:hAnsi="Arial" w:cs="Arial"/>
          <w:sz w:val="16"/>
          <w:szCs w:val="16"/>
        </w:rPr>
        <w:t>*This tax is collected on sales of goods such as gas</w:t>
      </w:r>
      <w:r w:rsidR="008D71E7">
        <w:rPr>
          <w:rFonts w:ascii="Arial" w:hAnsi="Arial" w:cs="Arial"/>
          <w:sz w:val="16"/>
          <w:szCs w:val="16"/>
        </w:rPr>
        <w:t xml:space="preserve">, </w:t>
      </w:r>
      <w:r w:rsidRPr="00B320C7">
        <w:rPr>
          <w:rFonts w:ascii="Arial" w:hAnsi="Arial" w:cs="Arial"/>
          <w:sz w:val="16"/>
          <w:szCs w:val="16"/>
        </w:rPr>
        <w:t>fuel oils</w:t>
      </w:r>
      <w:r w:rsidR="008D71E7">
        <w:rPr>
          <w:rFonts w:ascii="Arial" w:hAnsi="Arial" w:cs="Arial"/>
          <w:sz w:val="16"/>
          <w:szCs w:val="16"/>
        </w:rPr>
        <w:t xml:space="preserve">, </w:t>
      </w:r>
      <w:r w:rsidRPr="00B320C7">
        <w:rPr>
          <w:rFonts w:ascii="Arial" w:hAnsi="Arial" w:cs="Arial"/>
          <w:sz w:val="16"/>
          <w:szCs w:val="16"/>
        </w:rPr>
        <w:t>alcohol</w:t>
      </w:r>
      <w:r w:rsidR="008D71E7">
        <w:rPr>
          <w:rFonts w:ascii="Arial" w:hAnsi="Arial" w:cs="Arial"/>
          <w:sz w:val="16"/>
          <w:szCs w:val="16"/>
        </w:rPr>
        <w:t xml:space="preserve">, </w:t>
      </w:r>
      <w:r w:rsidRPr="00B320C7">
        <w:rPr>
          <w:rFonts w:ascii="Arial" w:hAnsi="Arial" w:cs="Arial"/>
          <w:sz w:val="16"/>
          <w:szCs w:val="16"/>
        </w:rPr>
        <w:t>tobacco products and automobiles.</w:t>
      </w:r>
    </w:p>
    <w:p w:rsidR="00E823E8" w:rsidRPr="00B320C7" w:rsidRDefault="00E823E8" w:rsidP="008D71E7">
      <w:pPr>
        <w:spacing w:line="276" w:lineRule="auto"/>
        <w:ind w:left="-540" w:right="42"/>
        <w:jc w:val="both"/>
        <w:rPr>
          <w:rFonts w:ascii="Arial" w:hAnsi="Arial" w:cs="Arial"/>
          <w:sz w:val="16"/>
          <w:szCs w:val="16"/>
        </w:rPr>
      </w:pPr>
      <w:r w:rsidRPr="00B320C7">
        <w:rPr>
          <w:rFonts w:ascii="Arial" w:hAnsi="Arial" w:cs="Arial"/>
          <w:sz w:val="16"/>
          <w:szCs w:val="16"/>
        </w:rPr>
        <w:t>**Data not yet released</w:t>
      </w:r>
      <w:r w:rsidR="00544439" w:rsidRPr="00B320C7">
        <w:rPr>
          <w:rFonts w:ascii="Arial" w:hAnsi="Arial" w:cs="Arial"/>
          <w:sz w:val="16"/>
          <w:szCs w:val="16"/>
        </w:rPr>
        <w:t>.</w:t>
      </w:r>
    </w:p>
    <w:p w:rsidR="00544439" w:rsidRPr="00B320C7" w:rsidRDefault="00544439" w:rsidP="008D71E7">
      <w:pPr>
        <w:spacing w:line="276" w:lineRule="auto"/>
        <w:ind w:left="-540" w:right="42"/>
        <w:jc w:val="both"/>
        <w:rPr>
          <w:rFonts w:ascii="Arial" w:hAnsi="Arial" w:cs="Arial"/>
          <w:sz w:val="16"/>
          <w:szCs w:val="16"/>
        </w:rPr>
      </w:pPr>
      <w:r w:rsidRPr="00B320C7">
        <w:rPr>
          <w:rFonts w:ascii="Arial" w:hAnsi="Arial" w:cs="Arial"/>
          <w:sz w:val="16"/>
          <w:szCs w:val="16"/>
        </w:rPr>
        <w:t>***Betam’s calculations: Nominal exports (imports) minus non-monetary gold</w:t>
      </w:r>
      <w:r w:rsidR="008D71E7">
        <w:rPr>
          <w:rFonts w:ascii="Arial" w:hAnsi="Arial" w:cs="Arial"/>
          <w:sz w:val="16"/>
          <w:szCs w:val="16"/>
        </w:rPr>
        <w:t>,</w:t>
      </w:r>
      <w:r w:rsidRPr="00B320C7">
        <w:rPr>
          <w:rFonts w:ascii="Arial" w:hAnsi="Arial" w:cs="Arial"/>
          <w:sz w:val="16"/>
          <w:szCs w:val="16"/>
        </w:rPr>
        <w:t xml:space="preserve"> deflated </w:t>
      </w:r>
      <w:r w:rsidR="008D71E7">
        <w:rPr>
          <w:rFonts w:ascii="Arial" w:hAnsi="Arial" w:cs="Arial"/>
          <w:sz w:val="16"/>
          <w:szCs w:val="16"/>
        </w:rPr>
        <w:t>using</w:t>
      </w:r>
      <w:r w:rsidRPr="00B320C7">
        <w:rPr>
          <w:rFonts w:ascii="Arial" w:hAnsi="Arial" w:cs="Arial"/>
          <w:sz w:val="16"/>
          <w:szCs w:val="16"/>
        </w:rPr>
        <w:t xml:space="preserve"> the export (import) unit value index.</w:t>
      </w:r>
    </w:p>
    <w:p w:rsidR="00544439" w:rsidRPr="00B320C7" w:rsidRDefault="00544439" w:rsidP="006B60DC">
      <w:pPr>
        <w:spacing w:line="360" w:lineRule="auto"/>
        <w:ind w:left="-540" w:right="42"/>
        <w:jc w:val="both"/>
        <w:rPr>
          <w:rFonts w:ascii="Arial" w:hAnsi="Arial" w:cs="Arial"/>
          <w:sz w:val="16"/>
          <w:szCs w:val="16"/>
        </w:rPr>
      </w:pPr>
    </w:p>
    <w:p w:rsidR="00BD7514" w:rsidRPr="00B320C7" w:rsidRDefault="00BD7514" w:rsidP="00150B84">
      <w:pPr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E03485" w:rsidRPr="00B320C7" w:rsidRDefault="00E03485" w:rsidP="00150B84">
      <w:pPr>
        <w:ind w:right="42"/>
        <w:jc w:val="both"/>
        <w:rPr>
          <w:rFonts w:ascii="Arial" w:hAnsi="Arial" w:cs="Arial"/>
          <w:b/>
          <w:sz w:val="20"/>
          <w:szCs w:val="20"/>
        </w:rPr>
        <w:sectPr w:rsidR="00E03485" w:rsidRPr="00B320C7" w:rsidSect="001E772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192B" w:rsidRPr="00B320C7" w:rsidRDefault="001E192B" w:rsidP="00C22DC8">
      <w:pPr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B02E94" w:rsidRDefault="00B02E94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B02E94" w:rsidRDefault="00B02E94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B02E94" w:rsidRDefault="00B02E94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B02E94" w:rsidRPr="00B320C7" w:rsidRDefault="00B02E94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9D7880" w:rsidRPr="00B320C7" w:rsidRDefault="009D7880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706AE1" w:rsidRDefault="00706AE1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8D71E7" w:rsidRDefault="008D71E7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8D71E7" w:rsidRDefault="008D71E7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8D71E7" w:rsidRDefault="008D71E7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706AE1" w:rsidRDefault="00706AE1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706AE1" w:rsidRDefault="00706AE1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706AE1" w:rsidRDefault="00706AE1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3A3575" w:rsidRPr="00B320C7" w:rsidRDefault="00AC630B" w:rsidP="006B60D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  <w:r w:rsidRPr="00B320C7">
        <w:rPr>
          <w:rFonts w:ascii="Arial" w:hAnsi="Arial" w:cs="Arial"/>
          <w:b/>
          <w:sz w:val="20"/>
          <w:szCs w:val="20"/>
        </w:rPr>
        <w:lastRenderedPageBreak/>
        <w:t>Figure</w:t>
      </w:r>
      <w:r w:rsidR="003A3575" w:rsidRPr="00B320C7">
        <w:rPr>
          <w:rFonts w:ascii="Arial" w:hAnsi="Arial" w:cs="Arial"/>
          <w:b/>
          <w:sz w:val="20"/>
          <w:szCs w:val="20"/>
        </w:rPr>
        <w:t xml:space="preserve"> 1: </w:t>
      </w:r>
      <w:r w:rsidRPr="00B320C7">
        <w:rPr>
          <w:rFonts w:ascii="Arial" w:hAnsi="Arial" w:cs="Arial"/>
          <w:b/>
          <w:sz w:val="20"/>
          <w:szCs w:val="20"/>
        </w:rPr>
        <w:t>Capacity utilization rate and industrial production index</w:t>
      </w:r>
      <w:r w:rsidR="003A3575" w:rsidRPr="00B320C7">
        <w:rPr>
          <w:rFonts w:ascii="Arial" w:hAnsi="Arial" w:cs="Arial"/>
          <w:b/>
          <w:sz w:val="20"/>
          <w:szCs w:val="20"/>
        </w:rPr>
        <w:t xml:space="preserve"> (</w:t>
      </w:r>
      <w:r w:rsidRPr="00B320C7">
        <w:rPr>
          <w:rFonts w:ascii="Arial" w:hAnsi="Arial" w:cs="Arial"/>
          <w:b/>
          <w:sz w:val="20"/>
          <w:szCs w:val="20"/>
        </w:rPr>
        <w:t>s</w:t>
      </w:r>
      <w:r w:rsidR="00F65107" w:rsidRPr="00B320C7">
        <w:rPr>
          <w:rFonts w:ascii="Arial" w:hAnsi="Arial" w:cs="Arial"/>
          <w:b/>
          <w:sz w:val="20"/>
          <w:szCs w:val="20"/>
        </w:rPr>
        <w:t>a</w:t>
      </w:r>
      <w:r w:rsidR="0071337D" w:rsidRPr="00B320C7">
        <w:rPr>
          <w:rFonts w:ascii="Arial" w:hAnsi="Arial" w:cs="Arial"/>
          <w:b/>
          <w:sz w:val="20"/>
          <w:szCs w:val="20"/>
        </w:rPr>
        <w:t>.</w:t>
      </w:r>
      <w:r w:rsidRPr="00B320C7">
        <w:rPr>
          <w:rFonts w:ascii="Arial" w:hAnsi="Arial" w:cs="Arial"/>
          <w:b/>
          <w:sz w:val="20"/>
          <w:szCs w:val="20"/>
        </w:rPr>
        <w:t xml:space="preserve"> left axis for CUR and right axis for IPI</w:t>
      </w:r>
      <w:r w:rsidR="003A3575" w:rsidRPr="00B320C7">
        <w:rPr>
          <w:rFonts w:ascii="Arial" w:hAnsi="Arial" w:cs="Arial"/>
          <w:b/>
          <w:sz w:val="20"/>
          <w:szCs w:val="20"/>
        </w:rPr>
        <w:t>)</w:t>
      </w:r>
    </w:p>
    <w:p w:rsidR="003A3575" w:rsidRPr="00B320C7" w:rsidRDefault="00706AE1" w:rsidP="008944FC">
      <w:pPr>
        <w:ind w:left="-360" w:right="42"/>
        <w:jc w:val="both"/>
        <w:rPr>
          <w:szCs w:val="20"/>
        </w:rPr>
      </w:pPr>
      <w:r w:rsidRPr="00706AE1">
        <w:rPr>
          <w:noProof/>
          <w:szCs w:val="20"/>
          <w:lang w:eastAsia="en-US"/>
        </w:rPr>
        <w:drawing>
          <wp:inline distT="0" distB="0" distL="0" distR="0">
            <wp:extent cx="2655570" cy="22268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2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7BF" w:rsidRDefault="00AC630B" w:rsidP="008944FC">
      <w:pPr>
        <w:ind w:left="-360" w:right="42"/>
        <w:jc w:val="both"/>
        <w:rPr>
          <w:rFonts w:ascii="Arial" w:hAnsi="Arial" w:cs="Arial"/>
          <w:sz w:val="16"/>
          <w:szCs w:val="16"/>
        </w:rPr>
      </w:pPr>
      <w:r w:rsidRPr="00B320C7">
        <w:rPr>
          <w:rFonts w:ascii="Arial" w:hAnsi="Arial" w:cs="Arial"/>
          <w:sz w:val="16"/>
          <w:szCs w:val="16"/>
        </w:rPr>
        <w:t>Source</w:t>
      </w:r>
      <w:r w:rsidR="003A3575" w:rsidRPr="00B320C7">
        <w:rPr>
          <w:rFonts w:ascii="Arial" w:hAnsi="Arial" w:cs="Arial"/>
          <w:sz w:val="16"/>
          <w:szCs w:val="16"/>
        </w:rPr>
        <w:t>:</w:t>
      </w:r>
      <w:r w:rsidR="008C1509">
        <w:rPr>
          <w:rFonts w:ascii="Arial" w:hAnsi="Arial" w:cs="Arial"/>
          <w:sz w:val="16"/>
          <w:szCs w:val="16"/>
        </w:rPr>
        <w:t xml:space="preserve"> </w:t>
      </w:r>
      <w:r w:rsidRPr="00B320C7">
        <w:rPr>
          <w:rFonts w:ascii="Arial" w:hAnsi="Arial" w:cs="Arial"/>
          <w:sz w:val="16"/>
          <w:szCs w:val="16"/>
        </w:rPr>
        <w:t>TurkStat</w:t>
      </w:r>
      <w:r w:rsidR="007A7008">
        <w:rPr>
          <w:rFonts w:ascii="Arial" w:hAnsi="Arial" w:cs="Arial"/>
          <w:sz w:val="16"/>
          <w:szCs w:val="16"/>
        </w:rPr>
        <w:t>.</w:t>
      </w:r>
      <w:r w:rsidR="008C1509">
        <w:rPr>
          <w:rFonts w:ascii="Arial" w:hAnsi="Arial" w:cs="Arial"/>
          <w:sz w:val="16"/>
          <w:szCs w:val="16"/>
        </w:rPr>
        <w:t xml:space="preserve"> </w:t>
      </w:r>
      <w:r w:rsidR="003A3575" w:rsidRPr="00B320C7">
        <w:rPr>
          <w:rFonts w:ascii="Arial" w:hAnsi="Arial" w:cs="Arial"/>
          <w:sz w:val="16"/>
          <w:szCs w:val="16"/>
        </w:rPr>
        <w:t>Betam</w:t>
      </w:r>
      <w:r w:rsidR="00544439" w:rsidRPr="00B320C7">
        <w:rPr>
          <w:rFonts w:ascii="Arial" w:hAnsi="Arial" w:cs="Arial"/>
          <w:sz w:val="16"/>
          <w:szCs w:val="16"/>
        </w:rPr>
        <w:t>.</w:t>
      </w:r>
    </w:p>
    <w:p w:rsidR="008C1509" w:rsidRPr="00B320C7" w:rsidRDefault="008C1509" w:rsidP="00B677BF">
      <w:pPr>
        <w:ind w:left="-360" w:right="42"/>
        <w:jc w:val="both"/>
        <w:rPr>
          <w:rFonts w:ascii="Arial" w:hAnsi="Arial" w:cs="Arial"/>
          <w:sz w:val="16"/>
          <w:szCs w:val="16"/>
        </w:rPr>
      </w:pPr>
    </w:p>
    <w:p w:rsidR="008944FC" w:rsidRDefault="008944FC" w:rsidP="00A82F2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8944FC" w:rsidRDefault="008944FC" w:rsidP="00A82F2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8944FC" w:rsidRDefault="008944FC" w:rsidP="00A82F2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C3029B" w:rsidRDefault="00AC630B" w:rsidP="008944F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  <w:r w:rsidRPr="00B320C7">
        <w:rPr>
          <w:rFonts w:ascii="Arial" w:hAnsi="Arial" w:cs="Arial"/>
          <w:b/>
          <w:sz w:val="20"/>
          <w:szCs w:val="20"/>
        </w:rPr>
        <w:lastRenderedPageBreak/>
        <w:t>Figure</w:t>
      </w:r>
      <w:r w:rsidR="007067F4" w:rsidRPr="00B320C7">
        <w:rPr>
          <w:rFonts w:ascii="Arial" w:hAnsi="Arial" w:cs="Arial"/>
          <w:b/>
          <w:sz w:val="20"/>
          <w:szCs w:val="20"/>
        </w:rPr>
        <w:t xml:space="preserve"> 2: </w:t>
      </w:r>
      <w:r w:rsidRPr="00B320C7">
        <w:rPr>
          <w:rFonts w:ascii="Arial" w:hAnsi="Arial" w:cs="Arial"/>
          <w:b/>
          <w:sz w:val="20"/>
          <w:szCs w:val="20"/>
        </w:rPr>
        <w:t>Volume indices of exports and imports</w:t>
      </w:r>
      <w:r w:rsidR="007067F4" w:rsidRPr="00B320C7">
        <w:rPr>
          <w:rFonts w:ascii="Arial" w:hAnsi="Arial" w:cs="Arial"/>
          <w:b/>
          <w:sz w:val="20"/>
          <w:szCs w:val="20"/>
        </w:rPr>
        <w:t xml:space="preserve"> (</w:t>
      </w:r>
      <w:r w:rsidRPr="00B320C7">
        <w:rPr>
          <w:rFonts w:ascii="Arial" w:hAnsi="Arial" w:cs="Arial"/>
          <w:b/>
          <w:sz w:val="20"/>
          <w:szCs w:val="20"/>
        </w:rPr>
        <w:t>sa</w:t>
      </w:r>
      <w:r w:rsidR="007067F4" w:rsidRPr="00B320C7">
        <w:rPr>
          <w:rFonts w:ascii="Arial" w:hAnsi="Arial" w:cs="Arial"/>
          <w:b/>
          <w:sz w:val="20"/>
          <w:szCs w:val="20"/>
        </w:rPr>
        <w:t>)</w:t>
      </w:r>
    </w:p>
    <w:p w:rsidR="008944FC" w:rsidRPr="00B320C7" w:rsidRDefault="008944FC" w:rsidP="008944FC">
      <w:pPr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3A3575" w:rsidRPr="00B320C7" w:rsidRDefault="008944FC" w:rsidP="008944FC">
      <w:pPr>
        <w:ind w:left="-360" w:right="42"/>
        <w:jc w:val="both"/>
        <w:rPr>
          <w:szCs w:val="20"/>
        </w:rPr>
      </w:pPr>
      <w:r w:rsidRPr="008944FC">
        <w:rPr>
          <w:noProof/>
          <w:szCs w:val="20"/>
          <w:lang w:eastAsia="en-US"/>
        </w:rPr>
        <w:drawing>
          <wp:inline distT="0" distB="0" distL="0" distR="0">
            <wp:extent cx="2603380" cy="2255477"/>
            <wp:effectExtent l="19050" t="0" r="647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63" cy="225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75" w:rsidRPr="00B320C7" w:rsidRDefault="00544439" w:rsidP="008944FC">
      <w:pPr>
        <w:ind w:left="-360" w:right="42"/>
        <w:jc w:val="both"/>
        <w:rPr>
          <w:rFonts w:ascii="Arial" w:hAnsi="Arial" w:cs="Arial"/>
          <w:sz w:val="16"/>
          <w:szCs w:val="16"/>
        </w:rPr>
      </w:pPr>
      <w:r w:rsidRPr="00B320C7">
        <w:rPr>
          <w:rFonts w:ascii="Arial" w:hAnsi="Arial" w:cs="Arial"/>
          <w:sz w:val="16"/>
          <w:szCs w:val="16"/>
        </w:rPr>
        <w:t>Source</w:t>
      </w:r>
      <w:r w:rsidR="00AC630B" w:rsidRPr="00B320C7">
        <w:rPr>
          <w:rFonts w:ascii="Arial" w:hAnsi="Arial" w:cs="Arial"/>
          <w:sz w:val="16"/>
          <w:szCs w:val="16"/>
        </w:rPr>
        <w:t>:</w:t>
      </w:r>
      <w:r w:rsidR="008C1509">
        <w:rPr>
          <w:rFonts w:ascii="Arial" w:hAnsi="Arial" w:cs="Arial"/>
          <w:sz w:val="16"/>
          <w:szCs w:val="16"/>
        </w:rPr>
        <w:t xml:space="preserve"> </w:t>
      </w:r>
      <w:r w:rsidR="00AC630B" w:rsidRPr="00B320C7">
        <w:rPr>
          <w:rFonts w:ascii="Arial" w:hAnsi="Arial" w:cs="Arial"/>
          <w:sz w:val="16"/>
          <w:szCs w:val="16"/>
        </w:rPr>
        <w:t>TurkStat</w:t>
      </w:r>
      <w:r w:rsidR="007A7008">
        <w:rPr>
          <w:rFonts w:ascii="Arial" w:hAnsi="Arial" w:cs="Arial"/>
          <w:sz w:val="16"/>
          <w:szCs w:val="16"/>
        </w:rPr>
        <w:t>.</w:t>
      </w:r>
      <w:r w:rsidR="008C1509">
        <w:rPr>
          <w:rFonts w:ascii="Arial" w:hAnsi="Arial" w:cs="Arial"/>
          <w:sz w:val="16"/>
          <w:szCs w:val="16"/>
        </w:rPr>
        <w:t xml:space="preserve"> </w:t>
      </w:r>
      <w:r w:rsidR="003A3575" w:rsidRPr="00B320C7">
        <w:rPr>
          <w:rFonts w:ascii="Arial" w:hAnsi="Arial" w:cs="Arial"/>
          <w:sz w:val="16"/>
          <w:szCs w:val="16"/>
        </w:rPr>
        <w:t>Betam</w:t>
      </w:r>
      <w:r w:rsidRPr="00B320C7">
        <w:rPr>
          <w:rFonts w:ascii="Arial" w:hAnsi="Arial" w:cs="Arial"/>
          <w:sz w:val="16"/>
          <w:szCs w:val="16"/>
        </w:rPr>
        <w:t>.</w:t>
      </w:r>
    </w:p>
    <w:p w:rsidR="007067F4" w:rsidRPr="00B320C7" w:rsidRDefault="007067F4" w:rsidP="00010DD1">
      <w:pPr>
        <w:spacing w:line="360" w:lineRule="auto"/>
        <w:ind w:right="42"/>
        <w:jc w:val="both"/>
        <w:rPr>
          <w:rFonts w:ascii="Arial" w:hAnsi="Arial" w:cs="Arial"/>
          <w:sz w:val="20"/>
          <w:szCs w:val="20"/>
        </w:rPr>
        <w:sectPr w:rsidR="007067F4" w:rsidRPr="00B320C7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A74D70" w:rsidRPr="00B320C7" w:rsidRDefault="00A74D70" w:rsidP="00C3029B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EF6AB5" w:rsidRPr="00B320C7" w:rsidRDefault="00AC630B" w:rsidP="00C3029B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  <w:r w:rsidRPr="00B320C7">
        <w:rPr>
          <w:rFonts w:ascii="Arial" w:hAnsi="Arial" w:cs="Arial"/>
          <w:b/>
          <w:sz w:val="20"/>
          <w:szCs w:val="20"/>
        </w:rPr>
        <w:t>Figure</w:t>
      </w:r>
      <w:r w:rsidR="00150B84" w:rsidRPr="00B320C7">
        <w:rPr>
          <w:rFonts w:ascii="Arial" w:hAnsi="Arial" w:cs="Arial"/>
          <w:b/>
          <w:sz w:val="20"/>
          <w:szCs w:val="20"/>
        </w:rPr>
        <w:t xml:space="preserve"> 3:</w:t>
      </w:r>
      <w:r w:rsidR="005B2CF3">
        <w:rPr>
          <w:rFonts w:ascii="Arial" w:hAnsi="Arial" w:cs="Arial"/>
          <w:b/>
          <w:sz w:val="20"/>
          <w:szCs w:val="20"/>
        </w:rPr>
        <w:t xml:space="preserve"> </w:t>
      </w:r>
      <w:r w:rsidRPr="00B320C7">
        <w:rPr>
          <w:rFonts w:ascii="Arial" w:hAnsi="Arial" w:cs="Arial"/>
          <w:b/>
          <w:sz w:val="20"/>
          <w:szCs w:val="20"/>
        </w:rPr>
        <w:t>Ratio of current account deficit to</w:t>
      </w:r>
      <w:r w:rsidR="005B2CF3">
        <w:rPr>
          <w:rFonts w:ascii="Arial" w:hAnsi="Arial" w:cs="Arial"/>
          <w:b/>
          <w:sz w:val="20"/>
          <w:szCs w:val="20"/>
        </w:rPr>
        <w:t xml:space="preserve"> </w:t>
      </w:r>
      <w:r w:rsidRPr="00B320C7">
        <w:rPr>
          <w:rFonts w:ascii="Arial" w:hAnsi="Arial" w:cs="Arial"/>
          <w:b/>
          <w:sz w:val="20"/>
          <w:szCs w:val="20"/>
        </w:rPr>
        <w:t>GDP</w:t>
      </w:r>
      <w:r w:rsidR="00455777" w:rsidRPr="00B320C7">
        <w:rPr>
          <w:rFonts w:ascii="Arial" w:hAnsi="Arial" w:cs="Arial"/>
          <w:b/>
          <w:sz w:val="20"/>
          <w:szCs w:val="20"/>
        </w:rPr>
        <w:t xml:space="preserve"> (yearly)</w:t>
      </w:r>
    </w:p>
    <w:p w:rsidR="001E7720" w:rsidRPr="00B320C7" w:rsidRDefault="004A70D1" w:rsidP="008865B7">
      <w:pPr>
        <w:spacing w:line="360" w:lineRule="auto"/>
        <w:ind w:left="-360" w:right="42"/>
        <w:rPr>
          <w:szCs w:val="20"/>
        </w:rPr>
      </w:pPr>
      <w:r w:rsidRPr="004A70D1">
        <w:rPr>
          <w:noProof/>
          <w:szCs w:val="20"/>
          <w:lang w:eastAsia="en-US"/>
        </w:rPr>
        <w:drawing>
          <wp:inline distT="0" distB="0" distL="0" distR="0">
            <wp:extent cx="5711166" cy="2829464"/>
            <wp:effectExtent l="19050" t="0" r="22884" b="8986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7720" w:rsidRPr="00B320C7" w:rsidRDefault="00AC630B" w:rsidP="001E4BF5">
      <w:pPr>
        <w:spacing w:line="360" w:lineRule="auto"/>
        <w:ind w:left="-360" w:right="42"/>
        <w:jc w:val="both"/>
        <w:rPr>
          <w:rFonts w:ascii="Arial" w:hAnsi="Arial" w:cs="Arial"/>
          <w:sz w:val="16"/>
          <w:szCs w:val="16"/>
        </w:rPr>
      </w:pPr>
      <w:r w:rsidRPr="00B320C7">
        <w:rPr>
          <w:rFonts w:ascii="Arial" w:hAnsi="Arial" w:cs="Arial"/>
          <w:sz w:val="16"/>
          <w:szCs w:val="16"/>
        </w:rPr>
        <w:t xml:space="preserve">Source: </w:t>
      </w:r>
      <w:r w:rsidR="00E03485" w:rsidRPr="00B320C7">
        <w:rPr>
          <w:rFonts w:ascii="Arial" w:hAnsi="Arial" w:cs="Arial"/>
          <w:sz w:val="16"/>
          <w:szCs w:val="16"/>
        </w:rPr>
        <w:t>CBRT</w:t>
      </w:r>
      <w:r w:rsidR="007A7008">
        <w:rPr>
          <w:rFonts w:ascii="Arial" w:hAnsi="Arial" w:cs="Arial"/>
          <w:sz w:val="16"/>
          <w:szCs w:val="16"/>
        </w:rPr>
        <w:t>.</w:t>
      </w:r>
      <w:r w:rsidR="005B2CF3">
        <w:rPr>
          <w:rFonts w:ascii="Arial" w:hAnsi="Arial" w:cs="Arial"/>
          <w:sz w:val="16"/>
          <w:szCs w:val="16"/>
        </w:rPr>
        <w:t xml:space="preserve"> </w:t>
      </w:r>
      <w:r w:rsidRPr="00B320C7">
        <w:rPr>
          <w:rFonts w:ascii="Arial" w:hAnsi="Arial" w:cs="Arial"/>
          <w:sz w:val="16"/>
          <w:szCs w:val="16"/>
        </w:rPr>
        <w:t>TurkStat</w:t>
      </w:r>
      <w:r w:rsidR="007A7008">
        <w:rPr>
          <w:rFonts w:ascii="Arial" w:hAnsi="Arial" w:cs="Arial"/>
          <w:sz w:val="16"/>
          <w:szCs w:val="16"/>
        </w:rPr>
        <w:t>.</w:t>
      </w:r>
      <w:r w:rsidR="005B2CF3">
        <w:rPr>
          <w:rFonts w:ascii="Arial" w:hAnsi="Arial" w:cs="Arial"/>
          <w:sz w:val="16"/>
          <w:szCs w:val="16"/>
        </w:rPr>
        <w:t xml:space="preserve"> </w:t>
      </w:r>
      <w:r w:rsidRPr="00B320C7">
        <w:rPr>
          <w:rFonts w:ascii="Arial" w:hAnsi="Arial" w:cs="Arial"/>
          <w:sz w:val="16"/>
          <w:szCs w:val="16"/>
        </w:rPr>
        <w:t>Betam</w:t>
      </w:r>
      <w:r w:rsidR="00EF2A9C" w:rsidRPr="00B320C7">
        <w:rPr>
          <w:rFonts w:ascii="Arial" w:hAnsi="Arial" w:cs="Arial"/>
          <w:sz w:val="16"/>
          <w:szCs w:val="16"/>
        </w:rPr>
        <w:t>.</w:t>
      </w:r>
    </w:p>
    <w:p w:rsidR="001E7720" w:rsidRPr="00B320C7" w:rsidRDefault="001E7720" w:rsidP="00C30DC1">
      <w:pPr>
        <w:spacing w:line="360" w:lineRule="auto"/>
        <w:ind w:right="42"/>
        <w:jc w:val="both"/>
        <w:rPr>
          <w:rFonts w:ascii="Arial" w:hAnsi="Arial" w:cs="Arial"/>
          <w:sz w:val="20"/>
          <w:szCs w:val="20"/>
        </w:rPr>
      </w:pPr>
    </w:p>
    <w:p w:rsidR="00042C84" w:rsidRPr="00B320C7" w:rsidRDefault="00042C84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Pr="00B320C7" w:rsidRDefault="00042C84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Pr="00B320C7" w:rsidRDefault="00042C84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Pr="00B320C7" w:rsidRDefault="00042C84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Pr="00B320C7" w:rsidRDefault="00042C84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Pr="00B320C7" w:rsidRDefault="00042C84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Pr="00B320C7" w:rsidRDefault="00042C84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</w:p>
    <w:p w:rsidR="00B34B81" w:rsidRDefault="00B34B81" w:rsidP="004A70D1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C30DC1" w:rsidRPr="00B320C7" w:rsidRDefault="00451918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Figure 4: </w:t>
      </w:r>
      <w:r w:rsidR="00C30DC1" w:rsidRPr="00B320C7">
        <w:rPr>
          <w:rFonts w:ascii="Arial" w:hAnsi="Arial" w:cs="Arial"/>
          <w:b/>
          <w:sz w:val="20"/>
          <w:szCs w:val="20"/>
        </w:rPr>
        <w:t>W</w:t>
      </w:r>
      <w:r w:rsidR="00042C84" w:rsidRPr="00B320C7">
        <w:rPr>
          <w:rFonts w:ascii="Arial" w:hAnsi="Arial" w:cs="Arial"/>
          <w:b/>
          <w:sz w:val="20"/>
          <w:szCs w:val="20"/>
        </w:rPr>
        <w:t>eighted Average Interest Rates f</w:t>
      </w:r>
      <w:r w:rsidR="00C30DC1" w:rsidRPr="00B320C7">
        <w:rPr>
          <w:rFonts w:ascii="Arial" w:hAnsi="Arial" w:cs="Arial"/>
          <w:b/>
          <w:sz w:val="20"/>
          <w:szCs w:val="20"/>
        </w:rPr>
        <w:t>or Turkish Lira Banks' Loans (%)</w:t>
      </w:r>
    </w:p>
    <w:p w:rsidR="00C30DC1" w:rsidRPr="00B320C7" w:rsidRDefault="004A70D1" w:rsidP="001E4BF5">
      <w:pPr>
        <w:spacing w:line="360" w:lineRule="auto"/>
        <w:ind w:left="-360" w:right="42"/>
        <w:jc w:val="both"/>
        <w:rPr>
          <w:rFonts w:ascii="Arial" w:hAnsi="Arial" w:cs="Arial"/>
          <w:b/>
          <w:sz w:val="20"/>
          <w:szCs w:val="20"/>
        </w:rPr>
      </w:pPr>
      <w:r w:rsidRPr="004A70D1">
        <w:rPr>
          <w:noProof/>
          <w:szCs w:val="20"/>
          <w:lang w:eastAsia="en-US"/>
        </w:rPr>
        <w:drawing>
          <wp:inline distT="0" distB="0" distL="0" distR="0">
            <wp:extent cx="5760720" cy="2765917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81" w:rsidRPr="00B320C7" w:rsidRDefault="00C30DC1" w:rsidP="00C30DC1">
      <w:pPr>
        <w:spacing w:line="360" w:lineRule="auto"/>
        <w:ind w:left="-360" w:right="42"/>
        <w:jc w:val="both"/>
        <w:rPr>
          <w:rFonts w:ascii="Arial" w:hAnsi="Arial" w:cs="Arial"/>
          <w:sz w:val="20"/>
          <w:szCs w:val="20"/>
        </w:rPr>
      </w:pPr>
      <w:r w:rsidRPr="00B320C7">
        <w:rPr>
          <w:rFonts w:ascii="Arial" w:hAnsi="Arial" w:cs="Arial"/>
          <w:sz w:val="16"/>
          <w:szCs w:val="16"/>
        </w:rPr>
        <w:t xml:space="preserve">Source: </w:t>
      </w:r>
      <w:r w:rsidR="00E03485" w:rsidRPr="00B320C7">
        <w:rPr>
          <w:rFonts w:ascii="Arial" w:hAnsi="Arial" w:cs="Arial"/>
          <w:sz w:val="16"/>
          <w:szCs w:val="16"/>
        </w:rPr>
        <w:t>CBRT</w:t>
      </w:r>
      <w:r w:rsidR="00EF2A9C" w:rsidRPr="00B320C7">
        <w:rPr>
          <w:rFonts w:ascii="Arial" w:hAnsi="Arial" w:cs="Arial"/>
          <w:sz w:val="16"/>
          <w:szCs w:val="16"/>
        </w:rPr>
        <w:t>.</w:t>
      </w:r>
    </w:p>
    <w:p w:rsidR="00A74D70" w:rsidRPr="00B320C7" w:rsidRDefault="00A74D70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Pr="00B320C7" w:rsidRDefault="00042C84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Default="00042C84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B02E94" w:rsidRPr="00B320C7" w:rsidRDefault="00B02E94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042C84" w:rsidRPr="00B320C7" w:rsidRDefault="00042C84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87056B" w:rsidRPr="00B320C7" w:rsidRDefault="0087056B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4A70D1" w:rsidRDefault="004A70D1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</w:p>
    <w:p w:rsidR="001E7720" w:rsidRPr="00B320C7" w:rsidRDefault="00344070" w:rsidP="00D0799D">
      <w:pPr>
        <w:spacing w:line="360" w:lineRule="auto"/>
        <w:ind w:right="42"/>
        <w:jc w:val="both"/>
        <w:rPr>
          <w:rFonts w:ascii="Arial" w:hAnsi="Arial" w:cs="Arial"/>
          <w:b/>
          <w:sz w:val="20"/>
          <w:szCs w:val="20"/>
        </w:rPr>
      </w:pPr>
      <w:r w:rsidRPr="00B320C7">
        <w:rPr>
          <w:rFonts w:ascii="Arial" w:hAnsi="Arial" w:cs="Arial"/>
          <w:b/>
          <w:sz w:val="20"/>
          <w:szCs w:val="20"/>
        </w:rPr>
        <w:lastRenderedPageBreak/>
        <w:t>Figure</w:t>
      </w:r>
      <w:r w:rsidR="00C30DC1" w:rsidRPr="00B320C7">
        <w:rPr>
          <w:rFonts w:ascii="Arial" w:hAnsi="Arial" w:cs="Arial"/>
          <w:b/>
          <w:sz w:val="20"/>
          <w:szCs w:val="20"/>
        </w:rPr>
        <w:t xml:space="preserve"> 5</w:t>
      </w:r>
      <w:r w:rsidR="00451918">
        <w:rPr>
          <w:rFonts w:ascii="Arial" w:hAnsi="Arial" w:cs="Arial"/>
          <w:b/>
          <w:sz w:val="20"/>
          <w:szCs w:val="20"/>
        </w:rPr>
        <w:t>:</w:t>
      </w:r>
      <w:r w:rsidR="005B2CF3">
        <w:rPr>
          <w:rFonts w:ascii="Arial" w:hAnsi="Arial" w:cs="Arial"/>
          <w:b/>
          <w:sz w:val="20"/>
          <w:szCs w:val="20"/>
        </w:rPr>
        <w:t xml:space="preserve"> </w:t>
      </w:r>
      <w:r w:rsidR="00AC630B" w:rsidRPr="00B320C7">
        <w:rPr>
          <w:rFonts w:ascii="Arial" w:hAnsi="Arial" w:cs="Arial"/>
          <w:b/>
          <w:sz w:val="20"/>
          <w:szCs w:val="20"/>
        </w:rPr>
        <w:t>Monthly changes of manufacturing industry exports</w:t>
      </w:r>
      <w:r w:rsidR="008C6E50" w:rsidRPr="00B320C7">
        <w:rPr>
          <w:rFonts w:ascii="Arial" w:hAnsi="Arial" w:cs="Arial"/>
          <w:b/>
          <w:sz w:val="20"/>
          <w:szCs w:val="20"/>
        </w:rPr>
        <w:t xml:space="preserve"> (</w:t>
      </w:r>
      <w:r w:rsidRPr="00B320C7">
        <w:rPr>
          <w:rFonts w:ascii="Arial" w:hAnsi="Arial" w:cs="Arial"/>
          <w:b/>
          <w:sz w:val="20"/>
          <w:szCs w:val="20"/>
        </w:rPr>
        <w:t>sa</w:t>
      </w:r>
      <w:r w:rsidR="008C6E50" w:rsidRPr="00B320C7">
        <w:rPr>
          <w:rFonts w:ascii="Arial" w:hAnsi="Arial" w:cs="Arial"/>
          <w:b/>
          <w:sz w:val="20"/>
          <w:szCs w:val="20"/>
        </w:rPr>
        <w:t>)</w:t>
      </w:r>
    </w:p>
    <w:p w:rsidR="001F707E" w:rsidRPr="00B320C7" w:rsidRDefault="004A70D1" w:rsidP="00D0799D">
      <w:pPr>
        <w:spacing w:line="360" w:lineRule="auto"/>
        <w:ind w:right="42"/>
        <w:jc w:val="both"/>
        <w:rPr>
          <w:rFonts w:ascii="Arial" w:hAnsi="Arial" w:cs="Arial"/>
          <w:sz w:val="20"/>
          <w:szCs w:val="20"/>
        </w:rPr>
      </w:pPr>
      <w:r w:rsidRPr="004A70D1">
        <w:rPr>
          <w:noProof/>
          <w:szCs w:val="20"/>
          <w:lang w:eastAsia="en-US"/>
        </w:rPr>
        <w:drawing>
          <wp:inline distT="0" distB="0" distL="0" distR="0">
            <wp:extent cx="5760720" cy="6282558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50" w:rsidRPr="00B320C7" w:rsidRDefault="00AC630B" w:rsidP="00D0799D">
      <w:pPr>
        <w:spacing w:line="360" w:lineRule="auto"/>
        <w:ind w:right="42"/>
        <w:jc w:val="both"/>
        <w:rPr>
          <w:rFonts w:ascii="Arial" w:hAnsi="Arial" w:cs="Arial"/>
          <w:sz w:val="16"/>
          <w:szCs w:val="16"/>
        </w:rPr>
      </w:pPr>
      <w:r w:rsidRPr="00B320C7">
        <w:rPr>
          <w:rFonts w:ascii="Arial" w:hAnsi="Arial" w:cs="Arial"/>
          <w:sz w:val="16"/>
          <w:szCs w:val="16"/>
        </w:rPr>
        <w:t>Source: TurkStat</w:t>
      </w:r>
      <w:r w:rsidR="007A7008">
        <w:rPr>
          <w:rFonts w:ascii="Arial" w:hAnsi="Arial" w:cs="Arial"/>
          <w:sz w:val="16"/>
          <w:szCs w:val="16"/>
        </w:rPr>
        <w:t>.</w:t>
      </w:r>
      <w:r w:rsidR="005B2CF3">
        <w:rPr>
          <w:rFonts w:ascii="Arial" w:hAnsi="Arial" w:cs="Arial"/>
          <w:sz w:val="16"/>
          <w:szCs w:val="16"/>
        </w:rPr>
        <w:t xml:space="preserve"> </w:t>
      </w:r>
      <w:r w:rsidR="008C6E50" w:rsidRPr="00B320C7">
        <w:rPr>
          <w:rFonts w:ascii="Arial" w:hAnsi="Arial" w:cs="Arial"/>
          <w:sz w:val="16"/>
          <w:szCs w:val="16"/>
        </w:rPr>
        <w:t>Betam</w:t>
      </w:r>
      <w:r w:rsidR="00EF2A9C" w:rsidRPr="00B320C7">
        <w:rPr>
          <w:rFonts w:ascii="Arial" w:hAnsi="Arial" w:cs="Arial"/>
          <w:sz w:val="16"/>
          <w:szCs w:val="16"/>
        </w:rPr>
        <w:t>.</w:t>
      </w:r>
    </w:p>
    <w:p w:rsidR="009B43D6" w:rsidRPr="00B320C7" w:rsidRDefault="009B43D6" w:rsidP="001E4BF5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451FEA" w:rsidRPr="00B320C7" w:rsidRDefault="00451FEA" w:rsidP="001E4BF5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451FEA" w:rsidRPr="00B320C7" w:rsidRDefault="00451FEA" w:rsidP="001E4BF5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451FEA" w:rsidRPr="00B320C7" w:rsidRDefault="00451FEA" w:rsidP="001E4BF5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451FEA" w:rsidRPr="00B320C7" w:rsidRDefault="00451FEA" w:rsidP="001E4BF5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451FEA" w:rsidRPr="00B320C7" w:rsidRDefault="00451FEA" w:rsidP="001E4BF5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451FEA" w:rsidRPr="00B320C7" w:rsidRDefault="00451FEA" w:rsidP="001E4BF5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9B43D6" w:rsidRPr="00B320C7" w:rsidRDefault="009B43D6" w:rsidP="00D63012">
      <w:pPr>
        <w:spacing w:line="360" w:lineRule="auto"/>
        <w:ind w:right="42"/>
        <w:jc w:val="both"/>
        <w:rPr>
          <w:sz w:val="22"/>
          <w:szCs w:val="22"/>
        </w:rPr>
      </w:pPr>
    </w:p>
    <w:p w:rsidR="00B677BF" w:rsidRPr="00B320C7" w:rsidRDefault="00B677BF" w:rsidP="001F707E">
      <w:pPr>
        <w:spacing w:line="360" w:lineRule="auto"/>
        <w:ind w:right="42"/>
        <w:jc w:val="both"/>
        <w:rPr>
          <w:sz w:val="22"/>
          <w:szCs w:val="22"/>
        </w:rPr>
      </w:pPr>
    </w:p>
    <w:sectPr w:rsidR="00B677BF" w:rsidRPr="00B320C7" w:rsidSect="001E77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2D" w:rsidRDefault="00770E2D">
      <w:r>
        <w:separator/>
      </w:r>
    </w:p>
  </w:endnote>
  <w:endnote w:type="continuationSeparator" w:id="1">
    <w:p w:rsidR="00770E2D" w:rsidRDefault="0077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2D" w:rsidRDefault="00770E2D">
      <w:r>
        <w:separator/>
      </w:r>
    </w:p>
  </w:footnote>
  <w:footnote w:type="continuationSeparator" w:id="1">
    <w:p w:rsidR="00770E2D" w:rsidRDefault="00770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1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CC"/>
    <w:rsid w:val="000003F0"/>
    <w:rsid w:val="00001050"/>
    <w:rsid w:val="00003567"/>
    <w:rsid w:val="00003E34"/>
    <w:rsid w:val="0000434B"/>
    <w:rsid w:val="00004745"/>
    <w:rsid w:val="00007B8D"/>
    <w:rsid w:val="00010DD1"/>
    <w:rsid w:val="00013406"/>
    <w:rsid w:val="00013EE7"/>
    <w:rsid w:val="00017F2E"/>
    <w:rsid w:val="00024559"/>
    <w:rsid w:val="000247C6"/>
    <w:rsid w:val="00024B55"/>
    <w:rsid w:val="00026210"/>
    <w:rsid w:val="0002627E"/>
    <w:rsid w:val="00031B4E"/>
    <w:rsid w:val="0003258C"/>
    <w:rsid w:val="00032789"/>
    <w:rsid w:val="00033490"/>
    <w:rsid w:val="00034421"/>
    <w:rsid w:val="00037CE9"/>
    <w:rsid w:val="00041479"/>
    <w:rsid w:val="00042C84"/>
    <w:rsid w:val="00047B99"/>
    <w:rsid w:val="00050DCF"/>
    <w:rsid w:val="00050EC0"/>
    <w:rsid w:val="00051CD0"/>
    <w:rsid w:val="00055814"/>
    <w:rsid w:val="00055A3E"/>
    <w:rsid w:val="00057FC2"/>
    <w:rsid w:val="000625E8"/>
    <w:rsid w:val="00063758"/>
    <w:rsid w:val="00065B3C"/>
    <w:rsid w:val="00067DF6"/>
    <w:rsid w:val="000715CA"/>
    <w:rsid w:val="000717B5"/>
    <w:rsid w:val="000743ED"/>
    <w:rsid w:val="0007515D"/>
    <w:rsid w:val="000820D2"/>
    <w:rsid w:val="0008367E"/>
    <w:rsid w:val="00084ED0"/>
    <w:rsid w:val="000854F8"/>
    <w:rsid w:val="00086F46"/>
    <w:rsid w:val="00091D4B"/>
    <w:rsid w:val="00093515"/>
    <w:rsid w:val="00097481"/>
    <w:rsid w:val="000A1E16"/>
    <w:rsid w:val="000A383B"/>
    <w:rsid w:val="000A3D92"/>
    <w:rsid w:val="000A6429"/>
    <w:rsid w:val="000A701D"/>
    <w:rsid w:val="000B0553"/>
    <w:rsid w:val="000B669B"/>
    <w:rsid w:val="000C3022"/>
    <w:rsid w:val="000C5B7E"/>
    <w:rsid w:val="000D029B"/>
    <w:rsid w:val="000D0DA7"/>
    <w:rsid w:val="000D546F"/>
    <w:rsid w:val="000D6420"/>
    <w:rsid w:val="000D7F65"/>
    <w:rsid w:val="000E10A3"/>
    <w:rsid w:val="000E4231"/>
    <w:rsid w:val="000E4C57"/>
    <w:rsid w:val="000F219F"/>
    <w:rsid w:val="000F3017"/>
    <w:rsid w:val="000F396D"/>
    <w:rsid w:val="000F4941"/>
    <w:rsid w:val="000F68F9"/>
    <w:rsid w:val="000F6D02"/>
    <w:rsid w:val="00100665"/>
    <w:rsid w:val="00100750"/>
    <w:rsid w:val="00102FC6"/>
    <w:rsid w:val="00106127"/>
    <w:rsid w:val="001105B2"/>
    <w:rsid w:val="001116C3"/>
    <w:rsid w:val="00111825"/>
    <w:rsid w:val="00114BC7"/>
    <w:rsid w:val="00124929"/>
    <w:rsid w:val="00127B4E"/>
    <w:rsid w:val="00131702"/>
    <w:rsid w:val="00133054"/>
    <w:rsid w:val="00133571"/>
    <w:rsid w:val="001357C1"/>
    <w:rsid w:val="00135FEE"/>
    <w:rsid w:val="00137054"/>
    <w:rsid w:val="00137F02"/>
    <w:rsid w:val="00141B93"/>
    <w:rsid w:val="00143828"/>
    <w:rsid w:val="0015045A"/>
    <w:rsid w:val="00150B84"/>
    <w:rsid w:val="00154DC3"/>
    <w:rsid w:val="00157DC2"/>
    <w:rsid w:val="00163E33"/>
    <w:rsid w:val="001648A8"/>
    <w:rsid w:val="00164EDE"/>
    <w:rsid w:val="001661B0"/>
    <w:rsid w:val="00166FE5"/>
    <w:rsid w:val="00167408"/>
    <w:rsid w:val="00167D69"/>
    <w:rsid w:val="00170085"/>
    <w:rsid w:val="00170DE7"/>
    <w:rsid w:val="00177F4E"/>
    <w:rsid w:val="00177FE3"/>
    <w:rsid w:val="00184678"/>
    <w:rsid w:val="0019538C"/>
    <w:rsid w:val="00195EC6"/>
    <w:rsid w:val="0019733C"/>
    <w:rsid w:val="00197ACB"/>
    <w:rsid w:val="001A0237"/>
    <w:rsid w:val="001A2051"/>
    <w:rsid w:val="001A3CDC"/>
    <w:rsid w:val="001A787F"/>
    <w:rsid w:val="001B0683"/>
    <w:rsid w:val="001B0861"/>
    <w:rsid w:val="001B1CFE"/>
    <w:rsid w:val="001B34B5"/>
    <w:rsid w:val="001B4FC6"/>
    <w:rsid w:val="001B6256"/>
    <w:rsid w:val="001B6836"/>
    <w:rsid w:val="001B6AFA"/>
    <w:rsid w:val="001C295F"/>
    <w:rsid w:val="001C457D"/>
    <w:rsid w:val="001C667E"/>
    <w:rsid w:val="001D09B1"/>
    <w:rsid w:val="001D11F7"/>
    <w:rsid w:val="001D1F1B"/>
    <w:rsid w:val="001D3C27"/>
    <w:rsid w:val="001D478F"/>
    <w:rsid w:val="001D4B8B"/>
    <w:rsid w:val="001E0274"/>
    <w:rsid w:val="001E192B"/>
    <w:rsid w:val="001E4122"/>
    <w:rsid w:val="001E4BF5"/>
    <w:rsid w:val="001E7720"/>
    <w:rsid w:val="001E7DE1"/>
    <w:rsid w:val="001F1052"/>
    <w:rsid w:val="001F1361"/>
    <w:rsid w:val="001F275D"/>
    <w:rsid w:val="001F4CFB"/>
    <w:rsid w:val="001F5435"/>
    <w:rsid w:val="001F6E7D"/>
    <w:rsid w:val="001F707E"/>
    <w:rsid w:val="001F7216"/>
    <w:rsid w:val="0020115E"/>
    <w:rsid w:val="0020184F"/>
    <w:rsid w:val="00203CD9"/>
    <w:rsid w:val="00204364"/>
    <w:rsid w:val="00207185"/>
    <w:rsid w:val="00214A6C"/>
    <w:rsid w:val="002151FC"/>
    <w:rsid w:val="002166A1"/>
    <w:rsid w:val="002176C5"/>
    <w:rsid w:val="0022179E"/>
    <w:rsid w:val="002220B5"/>
    <w:rsid w:val="00225215"/>
    <w:rsid w:val="00230A81"/>
    <w:rsid w:val="00236A19"/>
    <w:rsid w:val="00236F07"/>
    <w:rsid w:val="002451C2"/>
    <w:rsid w:val="00245E19"/>
    <w:rsid w:val="0025445E"/>
    <w:rsid w:val="00260693"/>
    <w:rsid w:val="002639C0"/>
    <w:rsid w:val="00264000"/>
    <w:rsid w:val="00264FCA"/>
    <w:rsid w:val="002663F7"/>
    <w:rsid w:val="00271168"/>
    <w:rsid w:val="00272C27"/>
    <w:rsid w:val="002751F5"/>
    <w:rsid w:val="00275C4E"/>
    <w:rsid w:val="0027608D"/>
    <w:rsid w:val="00281BCA"/>
    <w:rsid w:val="00283EE6"/>
    <w:rsid w:val="00287ACE"/>
    <w:rsid w:val="002902DE"/>
    <w:rsid w:val="00293BAB"/>
    <w:rsid w:val="002A27C0"/>
    <w:rsid w:val="002A4F26"/>
    <w:rsid w:val="002A5E74"/>
    <w:rsid w:val="002A66ED"/>
    <w:rsid w:val="002B015D"/>
    <w:rsid w:val="002B1FC3"/>
    <w:rsid w:val="002B3644"/>
    <w:rsid w:val="002B460F"/>
    <w:rsid w:val="002B4D99"/>
    <w:rsid w:val="002B6036"/>
    <w:rsid w:val="002B748C"/>
    <w:rsid w:val="002C0475"/>
    <w:rsid w:val="002C0C55"/>
    <w:rsid w:val="002C17BC"/>
    <w:rsid w:val="002C1DEF"/>
    <w:rsid w:val="002C28A4"/>
    <w:rsid w:val="002C3757"/>
    <w:rsid w:val="002C391B"/>
    <w:rsid w:val="002C3E54"/>
    <w:rsid w:val="002C6F7E"/>
    <w:rsid w:val="002D7743"/>
    <w:rsid w:val="002E1EA4"/>
    <w:rsid w:val="002E5892"/>
    <w:rsid w:val="002E5D1D"/>
    <w:rsid w:val="002E6BB4"/>
    <w:rsid w:val="002E6BD6"/>
    <w:rsid w:val="002F0BDE"/>
    <w:rsid w:val="002F1C42"/>
    <w:rsid w:val="002F2CD1"/>
    <w:rsid w:val="002F30D3"/>
    <w:rsid w:val="002F30F9"/>
    <w:rsid w:val="002F5134"/>
    <w:rsid w:val="002F56EC"/>
    <w:rsid w:val="00303166"/>
    <w:rsid w:val="00304BD3"/>
    <w:rsid w:val="00306FA7"/>
    <w:rsid w:val="0031043B"/>
    <w:rsid w:val="0031201B"/>
    <w:rsid w:val="0031360B"/>
    <w:rsid w:val="003142BA"/>
    <w:rsid w:val="0031587F"/>
    <w:rsid w:val="00316CE9"/>
    <w:rsid w:val="00316DB4"/>
    <w:rsid w:val="00317125"/>
    <w:rsid w:val="00321318"/>
    <w:rsid w:val="00322134"/>
    <w:rsid w:val="003223B0"/>
    <w:rsid w:val="00322EBE"/>
    <w:rsid w:val="003239F8"/>
    <w:rsid w:val="003269F7"/>
    <w:rsid w:val="0033349F"/>
    <w:rsid w:val="00333B98"/>
    <w:rsid w:val="003345C8"/>
    <w:rsid w:val="00337824"/>
    <w:rsid w:val="00337AE5"/>
    <w:rsid w:val="003410B9"/>
    <w:rsid w:val="00341195"/>
    <w:rsid w:val="00341E70"/>
    <w:rsid w:val="0034232E"/>
    <w:rsid w:val="00344070"/>
    <w:rsid w:val="00345308"/>
    <w:rsid w:val="003453E9"/>
    <w:rsid w:val="0034543C"/>
    <w:rsid w:val="00345CDD"/>
    <w:rsid w:val="0034600A"/>
    <w:rsid w:val="00347145"/>
    <w:rsid w:val="003474D9"/>
    <w:rsid w:val="00353B31"/>
    <w:rsid w:val="003552A4"/>
    <w:rsid w:val="00356765"/>
    <w:rsid w:val="00357ECC"/>
    <w:rsid w:val="00360133"/>
    <w:rsid w:val="00361D56"/>
    <w:rsid w:val="00362436"/>
    <w:rsid w:val="00363520"/>
    <w:rsid w:val="00366F2D"/>
    <w:rsid w:val="00367DBD"/>
    <w:rsid w:val="003729BF"/>
    <w:rsid w:val="00376AC1"/>
    <w:rsid w:val="00381853"/>
    <w:rsid w:val="0038308B"/>
    <w:rsid w:val="00383A6E"/>
    <w:rsid w:val="00384212"/>
    <w:rsid w:val="0038488E"/>
    <w:rsid w:val="00386146"/>
    <w:rsid w:val="003866F7"/>
    <w:rsid w:val="00386866"/>
    <w:rsid w:val="00394358"/>
    <w:rsid w:val="00395C47"/>
    <w:rsid w:val="00396E44"/>
    <w:rsid w:val="00397518"/>
    <w:rsid w:val="00397C86"/>
    <w:rsid w:val="003A048F"/>
    <w:rsid w:val="003A219A"/>
    <w:rsid w:val="003A2B60"/>
    <w:rsid w:val="003A31B2"/>
    <w:rsid w:val="003A3575"/>
    <w:rsid w:val="003A5AD9"/>
    <w:rsid w:val="003B0F7E"/>
    <w:rsid w:val="003B109E"/>
    <w:rsid w:val="003B199A"/>
    <w:rsid w:val="003B1C3A"/>
    <w:rsid w:val="003B2454"/>
    <w:rsid w:val="003B2720"/>
    <w:rsid w:val="003B472B"/>
    <w:rsid w:val="003B5209"/>
    <w:rsid w:val="003B76F5"/>
    <w:rsid w:val="003B797F"/>
    <w:rsid w:val="003C5112"/>
    <w:rsid w:val="003C640D"/>
    <w:rsid w:val="003D0BE4"/>
    <w:rsid w:val="003D142F"/>
    <w:rsid w:val="003D7E7F"/>
    <w:rsid w:val="003E14C7"/>
    <w:rsid w:val="003E5C49"/>
    <w:rsid w:val="003F347E"/>
    <w:rsid w:val="00402158"/>
    <w:rsid w:val="00403B8D"/>
    <w:rsid w:val="00405F8D"/>
    <w:rsid w:val="00406615"/>
    <w:rsid w:val="004149F4"/>
    <w:rsid w:val="00422832"/>
    <w:rsid w:val="00422E05"/>
    <w:rsid w:val="00422F8A"/>
    <w:rsid w:val="00437C99"/>
    <w:rsid w:val="004475F5"/>
    <w:rsid w:val="00451918"/>
    <w:rsid w:val="00451FEA"/>
    <w:rsid w:val="00452B69"/>
    <w:rsid w:val="00455777"/>
    <w:rsid w:val="00463BBF"/>
    <w:rsid w:val="00467ACF"/>
    <w:rsid w:val="004716A6"/>
    <w:rsid w:val="004814F0"/>
    <w:rsid w:val="0048329E"/>
    <w:rsid w:val="00485884"/>
    <w:rsid w:val="00487146"/>
    <w:rsid w:val="00490FC2"/>
    <w:rsid w:val="00491BE6"/>
    <w:rsid w:val="0049613B"/>
    <w:rsid w:val="004A3CB8"/>
    <w:rsid w:val="004A4DD6"/>
    <w:rsid w:val="004A6333"/>
    <w:rsid w:val="004A6537"/>
    <w:rsid w:val="004A70D1"/>
    <w:rsid w:val="004A7343"/>
    <w:rsid w:val="004A7FE6"/>
    <w:rsid w:val="004B358D"/>
    <w:rsid w:val="004B7C7A"/>
    <w:rsid w:val="004C56D6"/>
    <w:rsid w:val="004C6A82"/>
    <w:rsid w:val="004C7FD0"/>
    <w:rsid w:val="004D0590"/>
    <w:rsid w:val="004D23D3"/>
    <w:rsid w:val="004D4B99"/>
    <w:rsid w:val="004D5CF2"/>
    <w:rsid w:val="004D60DE"/>
    <w:rsid w:val="004D67C5"/>
    <w:rsid w:val="004D7A57"/>
    <w:rsid w:val="004E2D21"/>
    <w:rsid w:val="004E40D1"/>
    <w:rsid w:val="004E4109"/>
    <w:rsid w:val="004E4961"/>
    <w:rsid w:val="004E4C5E"/>
    <w:rsid w:val="004E5779"/>
    <w:rsid w:val="004E7CBD"/>
    <w:rsid w:val="004F08D3"/>
    <w:rsid w:val="004F1286"/>
    <w:rsid w:val="004F1E07"/>
    <w:rsid w:val="004F4717"/>
    <w:rsid w:val="0050049B"/>
    <w:rsid w:val="00500C2E"/>
    <w:rsid w:val="00502586"/>
    <w:rsid w:val="00502793"/>
    <w:rsid w:val="00506264"/>
    <w:rsid w:val="00515398"/>
    <w:rsid w:val="005155AC"/>
    <w:rsid w:val="0051750C"/>
    <w:rsid w:val="00522ED0"/>
    <w:rsid w:val="00523C58"/>
    <w:rsid w:val="00526541"/>
    <w:rsid w:val="00536C48"/>
    <w:rsid w:val="00542728"/>
    <w:rsid w:val="00542834"/>
    <w:rsid w:val="00543E56"/>
    <w:rsid w:val="00544439"/>
    <w:rsid w:val="00546373"/>
    <w:rsid w:val="00551E19"/>
    <w:rsid w:val="00552C4F"/>
    <w:rsid w:val="00552D5D"/>
    <w:rsid w:val="00555A4D"/>
    <w:rsid w:val="00556328"/>
    <w:rsid w:val="00556F7E"/>
    <w:rsid w:val="005631CE"/>
    <w:rsid w:val="00567E14"/>
    <w:rsid w:val="00571B47"/>
    <w:rsid w:val="00572778"/>
    <w:rsid w:val="00573338"/>
    <w:rsid w:val="005758D1"/>
    <w:rsid w:val="00585800"/>
    <w:rsid w:val="005871D8"/>
    <w:rsid w:val="0058799A"/>
    <w:rsid w:val="00592676"/>
    <w:rsid w:val="00593B80"/>
    <w:rsid w:val="005A03EE"/>
    <w:rsid w:val="005A06D3"/>
    <w:rsid w:val="005A0AF8"/>
    <w:rsid w:val="005A2B2E"/>
    <w:rsid w:val="005A3159"/>
    <w:rsid w:val="005A5144"/>
    <w:rsid w:val="005B19CA"/>
    <w:rsid w:val="005B2CF3"/>
    <w:rsid w:val="005B5D93"/>
    <w:rsid w:val="005B63A2"/>
    <w:rsid w:val="005C42DE"/>
    <w:rsid w:val="005C4CC3"/>
    <w:rsid w:val="005C571D"/>
    <w:rsid w:val="005C59F0"/>
    <w:rsid w:val="005C7783"/>
    <w:rsid w:val="005D451C"/>
    <w:rsid w:val="005D7E62"/>
    <w:rsid w:val="005E0781"/>
    <w:rsid w:val="005E0E66"/>
    <w:rsid w:val="005E2983"/>
    <w:rsid w:val="005E45BB"/>
    <w:rsid w:val="005F1C44"/>
    <w:rsid w:val="005F2A5B"/>
    <w:rsid w:val="005F2ECA"/>
    <w:rsid w:val="005F31BE"/>
    <w:rsid w:val="005F62CB"/>
    <w:rsid w:val="005F79D9"/>
    <w:rsid w:val="00600A02"/>
    <w:rsid w:val="00602EB0"/>
    <w:rsid w:val="00610482"/>
    <w:rsid w:val="00613B72"/>
    <w:rsid w:val="00620E28"/>
    <w:rsid w:val="006221AA"/>
    <w:rsid w:val="00623B31"/>
    <w:rsid w:val="00624D79"/>
    <w:rsid w:val="006274E1"/>
    <w:rsid w:val="0062776E"/>
    <w:rsid w:val="00631163"/>
    <w:rsid w:val="00631270"/>
    <w:rsid w:val="00632044"/>
    <w:rsid w:val="006360F2"/>
    <w:rsid w:val="006419AA"/>
    <w:rsid w:val="00644C74"/>
    <w:rsid w:val="006454DC"/>
    <w:rsid w:val="006461CC"/>
    <w:rsid w:val="00656560"/>
    <w:rsid w:val="00657119"/>
    <w:rsid w:val="00662C10"/>
    <w:rsid w:val="00664C1C"/>
    <w:rsid w:val="0066576D"/>
    <w:rsid w:val="00667305"/>
    <w:rsid w:val="006713C0"/>
    <w:rsid w:val="00671CB6"/>
    <w:rsid w:val="00672830"/>
    <w:rsid w:val="00672CA0"/>
    <w:rsid w:val="00674758"/>
    <w:rsid w:val="00682DF3"/>
    <w:rsid w:val="006836A7"/>
    <w:rsid w:val="006837F6"/>
    <w:rsid w:val="00683A24"/>
    <w:rsid w:val="00683B0E"/>
    <w:rsid w:val="00691365"/>
    <w:rsid w:val="00691D96"/>
    <w:rsid w:val="0069686F"/>
    <w:rsid w:val="006A292F"/>
    <w:rsid w:val="006A3F76"/>
    <w:rsid w:val="006A507F"/>
    <w:rsid w:val="006B08B4"/>
    <w:rsid w:val="006B1779"/>
    <w:rsid w:val="006B3B9F"/>
    <w:rsid w:val="006B54D7"/>
    <w:rsid w:val="006B60DC"/>
    <w:rsid w:val="006B7B76"/>
    <w:rsid w:val="006C162B"/>
    <w:rsid w:val="006C2BFE"/>
    <w:rsid w:val="006C4642"/>
    <w:rsid w:val="006C6C6F"/>
    <w:rsid w:val="006D13C9"/>
    <w:rsid w:val="006E2D48"/>
    <w:rsid w:val="006F0116"/>
    <w:rsid w:val="006F1A82"/>
    <w:rsid w:val="006F2049"/>
    <w:rsid w:val="006F309B"/>
    <w:rsid w:val="006F6A80"/>
    <w:rsid w:val="0070004A"/>
    <w:rsid w:val="007008D1"/>
    <w:rsid w:val="00704765"/>
    <w:rsid w:val="007067F4"/>
    <w:rsid w:val="00706AE1"/>
    <w:rsid w:val="0071337D"/>
    <w:rsid w:val="00714FBF"/>
    <w:rsid w:val="0071687F"/>
    <w:rsid w:val="00717236"/>
    <w:rsid w:val="00720303"/>
    <w:rsid w:val="0072169E"/>
    <w:rsid w:val="0072379E"/>
    <w:rsid w:val="0072465E"/>
    <w:rsid w:val="00726C38"/>
    <w:rsid w:val="007320A1"/>
    <w:rsid w:val="007361F6"/>
    <w:rsid w:val="00736C84"/>
    <w:rsid w:val="007415EE"/>
    <w:rsid w:val="0075074A"/>
    <w:rsid w:val="007533D7"/>
    <w:rsid w:val="0075696F"/>
    <w:rsid w:val="00761F9C"/>
    <w:rsid w:val="0076324E"/>
    <w:rsid w:val="007633AD"/>
    <w:rsid w:val="00765414"/>
    <w:rsid w:val="007670E1"/>
    <w:rsid w:val="00770832"/>
    <w:rsid w:val="00770BBA"/>
    <w:rsid w:val="00770E2D"/>
    <w:rsid w:val="00774EA6"/>
    <w:rsid w:val="0078192F"/>
    <w:rsid w:val="00782D82"/>
    <w:rsid w:val="007834AF"/>
    <w:rsid w:val="0079752F"/>
    <w:rsid w:val="007975F4"/>
    <w:rsid w:val="007A0897"/>
    <w:rsid w:val="007A35F3"/>
    <w:rsid w:val="007A64EE"/>
    <w:rsid w:val="007A6702"/>
    <w:rsid w:val="007A7008"/>
    <w:rsid w:val="007B208E"/>
    <w:rsid w:val="007C21C4"/>
    <w:rsid w:val="007C4EAE"/>
    <w:rsid w:val="007C543A"/>
    <w:rsid w:val="007C56C1"/>
    <w:rsid w:val="007D04CC"/>
    <w:rsid w:val="007D08AB"/>
    <w:rsid w:val="007D3176"/>
    <w:rsid w:val="007D4F28"/>
    <w:rsid w:val="007E041E"/>
    <w:rsid w:val="007E16B9"/>
    <w:rsid w:val="007E182F"/>
    <w:rsid w:val="007E3D0F"/>
    <w:rsid w:val="007E51AB"/>
    <w:rsid w:val="007E5E9A"/>
    <w:rsid w:val="007F1E8F"/>
    <w:rsid w:val="007F2156"/>
    <w:rsid w:val="007F50E5"/>
    <w:rsid w:val="007F76EC"/>
    <w:rsid w:val="00801493"/>
    <w:rsid w:val="00807202"/>
    <w:rsid w:val="0080748E"/>
    <w:rsid w:val="008129C1"/>
    <w:rsid w:val="00814665"/>
    <w:rsid w:val="00814DF4"/>
    <w:rsid w:val="008158D2"/>
    <w:rsid w:val="00817438"/>
    <w:rsid w:val="00817FBF"/>
    <w:rsid w:val="00820714"/>
    <w:rsid w:val="008226C9"/>
    <w:rsid w:val="00831E42"/>
    <w:rsid w:val="00831E59"/>
    <w:rsid w:val="008332DD"/>
    <w:rsid w:val="00833C7C"/>
    <w:rsid w:val="00834691"/>
    <w:rsid w:val="00841063"/>
    <w:rsid w:val="00841898"/>
    <w:rsid w:val="00842EA5"/>
    <w:rsid w:val="00845505"/>
    <w:rsid w:val="00846685"/>
    <w:rsid w:val="00847ADC"/>
    <w:rsid w:val="00851738"/>
    <w:rsid w:val="00852961"/>
    <w:rsid w:val="00852D1A"/>
    <w:rsid w:val="008572C9"/>
    <w:rsid w:val="00861348"/>
    <w:rsid w:val="00861740"/>
    <w:rsid w:val="00862B92"/>
    <w:rsid w:val="0086333C"/>
    <w:rsid w:val="008665DB"/>
    <w:rsid w:val="008672F6"/>
    <w:rsid w:val="0087056B"/>
    <w:rsid w:val="00871E2A"/>
    <w:rsid w:val="008721A8"/>
    <w:rsid w:val="008729A3"/>
    <w:rsid w:val="00872BE1"/>
    <w:rsid w:val="00875229"/>
    <w:rsid w:val="008865B7"/>
    <w:rsid w:val="00887060"/>
    <w:rsid w:val="008876FB"/>
    <w:rsid w:val="00892423"/>
    <w:rsid w:val="008944FC"/>
    <w:rsid w:val="008954D6"/>
    <w:rsid w:val="00895541"/>
    <w:rsid w:val="00895E6C"/>
    <w:rsid w:val="008A29CB"/>
    <w:rsid w:val="008A38AB"/>
    <w:rsid w:val="008A6B57"/>
    <w:rsid w:val="008A6C67"/>
    <w:rsid w:val="008B2149"/>
    <w:rsid w:val="008B74EE"/>
    <w:rsid w:val="008C0F43"/>
    <w:rsid w:val="008C14F4"/>
    <w:rsid w:val="008C1509"/>
    <w:rsid w:val="008C17F4"/>
    <w:rsid w:val="008C2826"/>
    <w:rsid w:val="008C38E5"/>
    <w:rsid w:val="008C6E50"/>
    <w:rsid w:val="008D3976"/>
    <w:rsid w:val="008D5D64"/>
    <w:rsid w:val="008D71E7"/>
    <w:rsid w:val="008E32CB"/>
    <w:rsid w:val="008E63CB"/>
    <w:rsid w:val="008E7436"/>
    <w:rsid w:val="008F1CBB"/>
    <w:rsid w:val="008F391E"/>
    <w:rsid w:val="008F5ED9"/>
    <w:rsid w:val="00900E74"/>
    <w:rsid w:val="0090421E"/>
    <w:rsid w:val="0090604F"/>
    <w:rsid w:val="009125B5"/>
    <w:rsid w:val="009128F9"/>
    <w:rsid w:val="00912976"/>
    <w:rsid w:val="0091302D"/>
    <w:rsid w:val="0091403E"/>
    <w:rsid w:val="0091587A"/>
    <w:rsid w:val="00915CF1"/>
    <w:rsid w:val="00916E57"/>
    <w:rsid w:val="009174AD"/>
    <w:rsid w:val="00917702"/>
    <w:rsid w:val="009178BB"/>
    <w:rsid w:val="00920786"/>
    <w:rsid w:val="00923AE7"/>
    <w:rsid w:val="00924E54"/>
    <w:rsid w:val="009260AC"/>
    <w:rsid w:val="00931B8C"/>
    <w:rsid w:val="00932093"/>
    <w:rsid w:val="00934BE6"/>
    <w:rsid w:val="0093780A"/>
    <w:rsid w:val="00942492"/>
    <w:rsid w:val="009441DB"/>
    <w:rsid w:val="00944AFC"/>
    <w:rsid w:val="00944BC4"/>
    <w:rsid w:val="00953C28"/>
    <w:rsid w:val="00955ABF"/>
    <w:rsid w:val="00964B29"/>
    <w:rsid w:val="009652E9"/>
    <w:rsid w:val="00965AA7"/>
    <w:rsid w:val="00967E92"/>
    <w:rsid w:val="00971D26"/>
    <w:rsid w:val="00973503"/>
    <w:rsid w:val="00973AE1"/>
    <w:rsid w:val="00974030"/>
    <w:rsid w:val="009743FB"/>
    <w:rsid w:val="0098063D"/>
    <w:rsid w:val="00981D6D"/>
    <w:rsid w:val="009848D3"/>
    <w:rsid w:val="00984D79"/>
    <w:rsid w:val="009853AB"/>
    <w:rsid w:val="0098721A"/>
    <w:rsid w:val="00990226"/>
    <w:rsid w:val="00992B27"/>
    <w:rsid w:val="00992BC5"/>
    <w:rsid w:val="00993679"/>
    <w:rsid w:val="00993957"/>
    <w:rsid w:val="00995E1B"/>
    <w:rsid w:val="00995F40"/>
    <w:rsid w:val="009A480A"/>
    <w:rsid w:val="009A4CBF"/>
    <w:rsid w:val="009A6149"/>
    <w:rsid w:val="009B2569"/>
    <w:rsid w:val="009B39A4"/>
    <w:rsid w:val="009B43D6"/>
    <w:rsid w:val="009B5407"/>
    <w:rsid w:val="009C2397"/>
    <w:rsid w:val="009C53F9"/>
    <w:rsid w:val="009C59AC"/>
    <w:rsid w:val="009D1323"/>
    <w:rsid w:val="009D3B55"/>
    <w:rsid w:val="009D4079"/>
    <w:rsid w:val="009D4275"/>
    <w:rsid w:val="009D6690"/>
    <w:rsid w:val="009D77CC"/>
    <w:rsid w:val="009D7880"/>
    <w:rsid w:val="009E0464"/>
    <w:rsid w:val="009E2A57"/>
    <w:rsid w:val="009E73C4"/>
    <w:rsid w:val="009F0111"/>
    <w:rsid w:val="009F0550"/>
    <w:rsid w:val="009F1B4D"/>
    <w:rsid w:val="009F2088"/>
    <w:rsid w:val="009F29F3"/>
    <w:rsid w:val="009F6583"/>
    <w:rsid w:val="00A0243A"/>
    <w:rsid w:val="00A05DEF"/>
    <w:rsid w:val="00A0725A"/>
    <w:rsid w:val="00A0768E"/>
    <w:rsid w:val="00A11CB3"/>
    <w:rsid w:val="00A1493B"/>
    <w:rsid w:val="00A1561F"/>
    <w:rsid w:val="00A158E0"/>
    <w:rsid w:val="00A1775E"/>
    <w:rsid w:val="00A208D0"/>
    <w:rsid w:val="00A217FD"/>
    <w:rsid w:val="00A22AF3"/>
    <w:rsid w:val="00A24957"/>
    <w:rsid w:val="00A265E2"/>
    <w:rsid w:val="00A2686F"/>
    <w:rsid w:val="00A32CC6"/>
    <w:rsid w:val="00A35FDD"/>
    <w:rsid w:val="00A50B01"/>
    <w:rsid w:val="00A55C1E"/>
    <w:rsid w:val="00A56E94"/>
    <w:rsid w:val="00A64100"/>
    <w:rsid w:val="00A6642E"/>
    <w:rsid w:val="00A67A86"/>
    <w:rsid w:val="00A704DD"/>
    <w:rsid w:val="00A71B18"/>
    <w:rsid w:val="00A726B4"/>
    <w:rsid w:val="00A74D70"/>
    <w:rsid w:val="00A757FF"/>
    <w:rsid w:val="00A75A46"/>
    <w:rsid w:val="00A80C2F"/>
    <w:rsid w:val="00A82A89"/>
    <w:rsid w:val="00A82F2C"/>
    <w:rsid w:val="00A83CAB"/>
    <w:rsid w:val="00A86049"/>
    <w:rsid w:val="00A878F4"/>
    <w:rsid w:val="00A917AD"/>
    <w:rsid w:val="00A9385F"/>
    <w:rsid w:val="00A93A56"/>
    <w:rsid w:val="00A94086"/>
    <w:rsid w:val="00A9596F"/>
    <w:rsid w:val="00A96EF6"/>
    <w:rsid w:val="00A977CF"/>
    <w:rsid w:val="00A97896"/>
    <w:rsid w:val="00AA179B"/>
    <w:rsid w:val="00AA2044"/>
    <w:rsid w:val="00AA2704"/>
    <w:rsid w:val="00AA2962"/>
    <w:rsid w:val="00AA3845"/>
    <w:rsid w:val="00AA50EA"/>
    <w:rsid w:val="00AA59EF"/>
    <w:rsid w:val="00AA76E6"/>
    <w:rsid w:val="00AB4B5B"/>
    <w:rsid w:val="00AB717C"/>
    <w:rsid w:val="00AB7E39"/>
    <w:rsid w:val="00AC1A14"/>
    <w:rsid w:val="00AC1C97"/>
    <w:rsid w:val="00AC4805"/>
    <w:rsid w:val="00AC630B"/>
    <w:rsid w:val="00AD2AAA"/>
    <w:rsid w:val="00AD4568"/>
    <w:rsid w:val="00AD5A12"/>
    <w:rsid w:val="00AD63AE"/>
    <w:rsid w:val="00AD6D9C"/>
    <w:rsid w:val="00AD6E7B"/>
    <w:rsid w:val="00AD78F5"/>
    <w:rsid w:val="00AE06D6"/>
    <w:rsid w:val="00AE7542"/>
    <w:rsid w:val="00AF0503"/>
    <w:rsid w:val="00AF2D7A"/>
    <w:rsid w:val="00AF34E9"/>
    <w:rsid w:val="00AF501D"/>
    <w:rsid w:val="00AF6051"/>
    <w:rsid w:val="00AF6500"/>
    <w:rsid w:val="00AF76F9"/>
    <w:rsid w:val="00B01B40"/>
    <w:rsid w:val="00B02E94"/>
    <w:rsid w:val="00B062A2"/>
    <w:rsid w:val="00B10F74"/>
    <w:rsid w:val="00B115D5"/>
    <w:rsid w:val="00B1244F"/>
    <w:rsid w:val="00B12FD3"/>
    <w:rsid w:val="00B14F53"/>
    <w:rsid w:val="00B1612F"/>
    <w:rsid w:val="00B169C6"/>
    <w:rsid w:val="00B21AB3"/>
    <w:rsid w:val="00B25C21"/>
    <w:rsid w:val="00B320C7"/>
    <w:rsid w:val="00B34B81"/>
    <w:rsid w:val="00B34C83"/>
    <w:rsid w:val="00B377EE"/>
    <w:rsid w:val="00B37FEB"/>
    <w:rsid w:val="00B42B18"/>
    <w:rsid w:val="00B46671"/>
    <w:rsid w:val="00B47161"/>
    <w:rsid w:val="00B510B9"/>
    <w:rsid w:val="00B51DCC"/>
    <w:rsid w:val="00B52D16"/>
    <w:rsid w:val="00B677BF"/>
    <w:rsid w:val="00B71BC1"/>
    <w:rsid w:val="00B734D3"/>
    <w:rsid w:val="00B73649"/>
    <w:rsid w:val="00B7481B"/>
    <w:rsid w:val="00B7575B"/>
    <w:rsid w:val="00B800C0"/>
    <w:rsid w:val="00B80B22"/>
    <w:rsid w:val="00B8531E"/>
    <w:rsid w:val="00B869FB"/>
    <w:rsid w:val="00B86CC0"/>
    <w:rsid w:val="00B878CC"/>
    <w:rsid w:val="00B9215F"/>
    <w:rsid w:val="00B95352"/>
    <w:rsid w:val="00B95373"/>
    <w:rsid w:val="00B96E66"/>
    <w:rsid w:val="00B97F6C"/>
    <w:rsid w:val="00BA47FF"/>
    <w:rsid w:val="00BB0877"/>
    <w:rsid w:val="00BB08BD"/>
    <w:rsid w:val="00BB186F"/>
    <w:rsid w:val="00BB4CA7"/>
    <w:rsid w:val="00BB53AD"/>
    <w:rsid w:val="00BB5C35"/>
    <w:rsid w:val="00BB7CE9"/>
    <w:rsid w:val="00BC17C0"/>
    <w:rsid w:val="00BD0DAF"/>
    <w:rsid w:val="00BD4ADF"/>
    <w:rsid w:val="00BD7514"/>
    <w:rsid w:val="00BE4CDD"/>
    <w:rsid w:val="00BE505A"/>
    <w:rsid w:val="00BE56E0"/>
    <w:rsid w:val="00BE61FB"/>
    <w:rsid w:val="00BF07F5"/>
    <w:rsid w:val="00BF14F1"/>
    <w:rsid w:val="00BF17E5"/>
    <w:rsid w:val="00BF22C5"/>
    <w:rsid w:val="00BF37B8"/>
    <w:rsid w:val="00BF409F"/>
    <w:rsid w:val="00BF5712"/>
    <w:rsid w:val="00BF60D3"/>
    <w:rsid w:val="00BF79CD"/>
    <w:rsid w:val="00C02556"/>
    <w:rsid w:val="00C05D67"/>
    <w:rsid w:val="00C071B8"/>
    <w:rsid w:val="00C11348"/>
    <w:rsid w:val="00C142EC"/>
    <w:rsid w:val="00C15156"/>
    <w:rsid w:val="00C15A9A"/>
    <w:rsid w:val="00C16CFB"/>
    <w:rsid w:val="00C171D9"/>
    <w:rsid w:val="00C22DC8"/>
    <w:rsid w:val="00C2420F"/>
    <w:rsid w:val="00C24665"/>
    <w:rsid w:val="00C25007"/>
    <w:rsid w:val="00C25959"/>
    <w:rsid w:val="00C3029B"/>
    <w:rsid w:val="00C30485"/>
    <w:rsid w:val="00C309DF"/>
    <w:rsid w:val="00C30DC1"/>
    <w:rsid w:val="00C317F7"/>
    <w:rsid w:val="00C32A34"/>
    <w:rsid w:val="00C3674A"/>
    <w:rsid w:val="00C369DA"/>
    <w:rsid w:val="00C37220"/>
    <w:rsid w:val="00C37AB3"/>
    <w:rsid w:val="00C410CC"/>
    <w:rsid w:val="00C4382B"/>
    <w:rsid w:val="00C43E1F"/>
    <w:rsid w:val="00C44A6C"/>
    <w:rsid w:val="00C45FC0"/>
    <w:rsid w:val="00C54FB9"/>
    <w:rsid w:val="00C56CA3"/>
    <w:rsid w:val="00C56E8D"/>
    <w:rsid w:val="00C60595"/>
    <w:rsid w:val="00C61305"/>
    <w:rsid w:val="00C61472"/>
    <w:rsid w:val="00C62404"/>
    <w:rsid w:val="00C6427A"/>
    <w:rsid w:val="00C643D3"/>
    <w:rsid w:val="00C6542A"/>
    <w:rsid w:val="00C6608D"/>
    <w:rsid w:val="00C67EFE"/>
    <w:rsid w:val="00C71DD6"/>
    <w:rsid w:val="00C74078"/>
    <w:rsid w:val="00C745CE"/>
    <w:rsid w:val="00C76273"/>
    <w:rsid w:val="00C80F88"/>
    <w:rsid w:val="00C82107"/>
    <w:rsid w:val="00C8451F"/>
    <w:rsid w:val="00C875DE"/>
    <w:rsid w:val="00C91E59"/>
    <w:rsid w:val="00C944BB"/>
    <w:rsid w:val="00C9569C"/>
    <w:rsid w:val="00C97958"/>
    <w:rsid w:val="00CA0E59"/>
    <w:rsid w:val="00CA17D7"/>
    <w:rsid w:val="00CA3FDA"/>
    <w:rsid w:val="00CA6DDE"/>
    <w:rsid w:val="00CB4CC5"/>
    <w:rsid w:val="00CB6431"/>
    <w:rsid w:val="00CB7096"/>
    <w:rsid w:val="00CC23AA"/>
    <w:rsid w:val="00CC26C6"/>
    <w:rsid w:val="00CC41EB"/>
    <w:rsid w:val="00CC5ACD"/>
    <w:rsid w:val="00CD3014"/>
    <w:rsid w:val="00CD3056"/>
    <w:rsid w:val="00CD4535"/>
    <w:rsid w:val="00CD6716"/>
    <w:rsid w:val="00CE15C2"/>
    <w:rsid w:val="00CE3983"/>
    <w:rsid w:val="00CE6C1E"/>
    <w:rsid w:val="00CE75B1"/>
    <w:rsid w:val="00CF1326"/>
    <w:rsid w:val="00CF3257"/>
    <w:rsid w:val="00CF4040"/>
    <w:rsid w:val="00CF51B2"/>
    <w:rsid w:val="00D002D6"/>
    <w:rsid w:val="00D039D1"/>
    <w:rsid w:val="00D067E1"/>
    <w:rsid w:val="00D0799D"/>
    <w:rsid w:val="00D126AA"/>
    <w:rsid w:val="00D1434F"/>
    <w:rsid w:val="00D15819"/>
    <w:rsid w:val="00D15D49"/>
    <w:rsid w:val="00D26378"/>
    <w:rsid w:val="00D271E9"/>
    <w:rsid w:val="00D312DB"/>
    <w:rsid w:val="00D43E2F"/>
    <w:rsid w:val="00D446CF"/>
    <w:rsid w:val="00D509B0"/>
    <w:rsid w:val="00D50D78"/>
    <w:rsid w:val="00D535DB"/>
    <w:rsid w:val="00D55327"/>
    <w:rsid w:val="00D61432"/>
    <w:rsid w:val="00D62A48"/>
    <w:rsid w:val="00D62EB2"/>
    <w:rsid w:val="00D63012"/>
    <w:rsid w:val="00D64E8A"/>
    <w:rsid w:val="00D674E0"/>
    <w:rsid w:val="00D71B1A"/>
    <w:rsid w:val="00D72039"/>
    <w:rsid w:val="00D74A5F"/>
    <w:rsid w:val="00D7539A"/>
    <w:rsid w:val="00D77152"/>
    <w:rsid w:val="00D7792C"/>
    <w:rsid w:val="00D82349"/>
    <w:rsid w:val="00D83206"/>
    <w:rsid w:val="00D83262"/>
    <w:rsid w:val="00D91644"/>
    <w:rsid w:val="00D959C2"/>
    <w:rsid w:val="00D96D24"/>
    <w:rsid w:val="00D97A35"/>
    <w:rsid w:val="00DA40A8"/>
    <w:rsid w:val="00DA6778"/>
    <w:rsid w:val="00DB16F5"/>
    <w:rsid w:val="00DB209F"/>
    <w:rsid w:val="00DB2CA8"/>
    <w:rsid w:val="00DB4089"/>
    <w:rsid w:val="00DB6B1A"/>
    <w:rsid w:val="00DC0405"/>
    <w:rsid w:val="00DC0504"/>
    <w:rsid w:val="00DC064C"/>
    <w:rsid w:val="00DC1D93"/>
    <w:rsid w:val="00DC3ABC"/>
    <w:rsid w:val="00DC6F7B"/>
    <w:rsid w:val="00DC72CD"/>
    <w:rsid w:val="00DD0F50"/>
    <w:rsid w:val="00DD3C93"/>
    <w:rsid w:val="00DD6027"/>
    <w:rsid w:val="00DE22D8"/>
    <w:rsid w:val="00DE24A1"/>
    <w:rsid w:val="00DE2EC9"/>
    <w:rsid w:val="00DF0CD9"/>
    <w:rsid w:val="00DF11EE"/>
    <w:rsid w:val="00DF379E"/>
    <w:rsid w:val="00DF5061"/>
    <w:rsid w:val="00DF5067"/>
    <w:rsid w:val="00E030DE"/>
    <w:rsid w:val="00E03485"/>
    <w:rsid w:val="00E035E9"/>
    <w:rsid w:val="00E0426E"/>
    <w:rsid w:val="00E06ADA"/>
    <w:rsid w:val="00E16A20"/>
    <w:rsid w:val="00E1729A"/>
    <w:rsid w:val="00E21A09"/>
    <w:rsid w:val="00E24F8C"/>
    <w:rsid w:val="00E272FC"/>
    <w:rsid w:val="00E36093"/>
    <w:rsid w:val="00E401E1"/>
    <w:rsid w:val="00E4542C"/>
    <w:rsid w:val="00E50C36"/>
    <w:rsid w:val="00E54780"/>
    <w:rsid w:val="00E57FF6"/>
    <w:rsid w:val="00E60FC8"/>
    <w:rsid w:val="00E6151B"/>
    <w:rsid w:val="00E63C04"/>
    <w:rsid w:val="00E63FD3"/>
    <w:rsid w:val="00E64197"/>
    <w:rsid w:val="00E64338"/>
    <w:rsid w:val="00E646F1"/>
    <w:rsid w:val="00E651A3"/>
    <w:rsid w:val="00E71111"/>
    <w:rsid w:val="00E73B4F"/>
    <w:rsid w:val="00E74B0A"/>
    <w:rsid w:val="00E75979"/>
    <w:rsid w:val="00E8064F"/>
    <w:rsid w:val="00E80B9E"/>
    <w:rsid w:val="00E80EEC"/>
    <w:rsid w:val="00E81CDD"/>
    <w:rsid w:val="00E823E8"/>
    <w:rsid w:val="00E84728"/>
    <w:rsid w:val="00E91947"/>
    <w:rsid w:val="00E94945"/>
    <w:rsid w:val="00E95FDB"/>
    <w:rsid w:val="00E96583"/>
    <w:rsid w:val="00EA009A"/>
    <w:rsid w:val="00EA057D"/>
    <w:rsid w:val="00EA194C"/>
    <w:rsid w:val="00EA6E74"/>
    <w:rsid w:val="00EA7980"/>
    <w:rsid w:val="00EB30E8"/>
    <w:rsid w:val="00EB3B6F"/>
    <w:rsid w:val="00EB5E9B"/>
    <w:rsid w:val="00EB65F5"/>
    <w:rsid w:val="00EB6BA3"/>
    <w:rsid w:val="00EB7CE3"/>
    <w:rsid w:val="00EC1A1C"/>
    <w:rsid w:val="00EC3360"/>
    <w:rsid w:val="00EC4C96"/>
    <w:rsid w:val="00EC55AF"/>
    <w:rsid w:val="00EC5A13"/>
    <w:rsid w:val="00ED0629"/>
    <w:rsid w:val="00ED3E42"/>
    <w:rsid w:val="00ED55B0"/>
    <w:rsid w:val="00ED7A5F"/>
    <w:rsid w:val="00EE040C"/>
    <w:rsid w:val="00EE075B"/>
    <w:rsid w:val="00EE1EA9"/>
    <w:rsid w:val="00EE5E3F"/>
    <w:rsid w:val="00EE636D"/>
    <w:rsid w:val="00EF0790"/>
    <w:rsid w:val="00EF1B11"/>
    <w:rsid w:val="00EF2A9C"/>
    <w:rsid w:val="00EF6AB5"/>
    <w:rsid w:val="00F06742"/>
    <w:rsid w:val="00F12CB3"/>
    <w:rsid w:val="00F12FF6"/>
    <w:rsid w:val="00F157DD"/>
    <w:rsid w:val="00F159D7"/>
    <w:rsid w:val="00F17A65"/>
    <w:rsid w:val="00F201AE"/>
    <w:rsid w:val="00F20742"/>
    <w:rsid w:val="00F238EE"/>
    <w:rsid w:val="00F25D52"/>
    <w:rsid w:val="00F2622C"/>
    <w:rsid w:val="00F2732E"/>
    <w:rsid w:val="00F2778C"/>
    <w:rsid w:val="00F30EEA"/>
    <w:rsid w:val="00F3115B"/>
    <w:rsid w:val="00F31A75"/>
    <w:rsid w:val="00F41D89"/>
    <w:rsid w:val="00F446CE"/>
    <w:rsid w:val="00F454A9"/>
    <w:rsid w:val="00F46A4B"/>
    <w:rsid w:val="00F52101"/>
    <w:rsid w:val="00F5479B"/>
    <w:rsid w:val="00F55BB2"/>
    <w:rsid w:val="00F55DEA"/>
    <w:rsid w:val="00F55F47"/>
    <w:rsid w:val="00F56BF3"/>
    <w:rsid w:val="00F56DAB"/>
    <w:rsid w:val="00F574D7"/>
    <w:rsid w:val="00F5758D"/>
    <w:rsid w:val="00F642A3"/>
    <w:rsid w:val="00F65107"/>
    <w:rsid w:val="00F6527A"/>
    <w:rsid w:val="00F6592D"/>
    <w:rsid w:val="00F71E13"/>
    <w:rsid w:val="00F86020"/>
    <w:rsid w:val="00F948F3"/>
    <w:rsid w:val="00F979E9"/>
    <w:rsid w:val="00F97D27"/>
    <w:rsid w:val="00F97DA6"/>
    <w:rsid w:val="00FA01C6"/>
    <w:rsid w:val="00FA0BA3"/>
    <w:rsid w:val="00FA215A"/>
    <w:rsid w:val="00FA2446"/>
    <w:rsid w:val="00FA48DD"/>
    <w:rsid w:val="00FA61C6"/>
    <w:rsid w:val="00FA6289"/>
    <w:rsid w:val="00FB153E"/>
    <w:rsid w:val="00FB160F"/>
    <w:rsid w:val="00FB193A"/>
    <w:rsid w:val="00FB3515"/>
    <w:rsid w:val="00FB4824"/>
    <w:rsid w:val="00FB495B"/>
    <w:rsid w:val="00FB6EDD"/>
    <w:rsid w:val="00FC2F6E"/>
    <w:rsid w:val="00FC36DC"/>
    <w:rsid w:val="00FC75A8"/>
    <w:rsid w:val="00FD0678"/>
    <w:rsid w:val="00FD213A"/>
    <w:rsid w:val="00FD37B4"/>
    <w:rsid w:val="00FD531E"/>
    <w:rsid w:val="00FE0BEA"/>
    <w:rsid w:val="00FE2D6C"/>
    <w:rsid w:val="00FE2FFA"/>
    <w:rsid w:val="00FE7F40"/>
    <w:rsid w:val="00FF5CBB"/>
    <w:rsid w:val="00FF6389"/>
    <w:rsid w:val="00FF7022"/>
    <w:rsid w:val="00FF759F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ECC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hAnsi="Arial"/>
      <w:b/>
      <w:iCs/>
      <w:sz w:val="18"/>
      <w:szCs w:val="18"/>
      <w:lang w:eastAsia="ar-SA"/>
    </w:rPr>
  </w:style>
  <w:style w:type="paragraph" w:styleId="Heading2">
    <w:name w:val="heading 2"/>
    <w:basedOn w:val="Normal"/>
    <w:next w:val="Normal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799D"/>
    <w:rPr>
      <w:vertAlign w:val="superscript"/>
    </w:rPr>
  </w:style>
  <w:style w:type="paragraph" w:styleId="BalloonText">
    <w:name w:val="Balloon Text"/>
    <w:basedOn w:val="Normal"/>
    <w:semiHidden/>
    <w:rsid w:val="00BF1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CD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275D"/>
    <w:rPr>
      <w:lang w:eastAsia="tr-TR"/>
    </w:rPr>
  </w:style>
  <w:style w:type="paragraph" w:styleId="EndnoteText">
    <w:name w:val="endnote text"/>
    <w:basedOn w:val="Normal"/>
    <w:link w:val="EndnoteTextChar"/>
    <w:rsid w:val="002217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179E"/>
    <w:rPr>
      <w:lang w:eastAsia="tr-TR"/>
    </w:rPr>
  </w:style>
  <w:style w:type="character" w:styleId="EndnoteReference">
    <w:name w:val="endnote reference"/>
    <w:basedOn w:val="DefaultParagraphFont"/>
    <w:rsid w:val="002217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ECC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Arial" w:hAnsi="Arial"/>
      <w:b/>
      <w:iCs/>
      <w:sz w:val="18"/>
      <w:szCs w:val="18"/>
      <w:lang w:eastAsia="ar-SA"/>
    </w:rPr>
  </w:style>
  <w:style w:type="paragraph" w:styleId="Heading2">
    <w:name w:val="heading 2"/>
    <w:basedOn w:val="Normal"/>
    <w:next w:val="Normal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Heading3">
    <w:name w:val="heading 3"/>
    <w:basedOn w:val="Normal"/>
    <w:next w:val="Normal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799D"/>
    <w:rPr>
      <w:vertAlign w:val="superscript"/>
    </w:rPr>
  </w:style>
  <w:style w:type="paragraph" w:styleId="BalloonText">
    <w:name w:val="Balloon Text"/>
    <w:basedOn w:val="Normal"/>
    <w:semiHidden/>
    <w:rsid w:val="00BF1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CD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275D"/>
    <w:rPr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17145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ris.soybilgen\Local%20Settings\Temporary%20Internet%20Files\Content.Outlook\J4MFQHEA\Capital%20inflow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0222244405912369"/>
          <c:y val="8.7542375389229238E-2"/>
          <c:w val="0.84000182292062264"/>
          <c:h val="0.663301844295312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Sheet1!$A$11:$A$31</c:f>
              <c:strCache>
                <c:ptCount val="21"/>
                <c:pt idx="0">
                  <c:v>2008(1)</c:v>
                </c:pt>
                <c:pt idx="1">
                  <c:v>2008(2)</c:v>
                </c:pt>
                <c:pt idx="2">
                  <c:v>2008(3)</c:v>
                </c:pt>
                <c:pt idx="3">
                  <c:v>2008(4)</c:v>
                </c:pt>
                <c:pt idx="4">
                  <c:v>2009(1)</c:v>
                </c:pt>
                <c:pt idx="5">
                  <c:v>2009(2)</c:v>
                </c:pt>
                <c:pt idx="6">
                  <c:v>2009(3)</c:v>
                </c:pt>
                <c:pt idx="7">
                  <c:v>2009(4)</c:v>
                </c:pt>
                <c:pt idx="8">
                  <c:v>2010(1)</c:v>
                </c:pt>
                <c:pt idx="9">
                  <c:v>2010(2)</c:v>
                </c:pt>
                <c:pt idx="10">
                  <c:v>2010(3)</c:v>
                </c:pt>
                <c:pt idx="11">
                  <c:v>2010(4)</c:v>
                </c:pt>
                <c:pt idx="12">
                  <c:v>2011(1)</c:v>
                </c:pt>
                <c:pt idx="13">
                  <c:v>2011(2)</c:v>
                </c:pt>
                <c:pt idx="14">
                  <c:v>2011(3)</c:v>
                </c:pt>
                <c:pt idx="15">
                  <c:v>2011(4)</c:v>
                </c:pt>
                <c:pt idx="16">
                  <c:v>2012(1)</c:v>
                </c:pt>
                <c:pt idx="17">
                  <c:v>2012(2)</c:v>
                </c:pt>
                <c:pt idx="18">
                  <c:v>2012(3)</c:v>
                </c:pt>
                <c:pt idx="19">
                  <c:v>2012(4)</c:v>
                </c:pt>
                <c:pt idx="20">
                  <c:v>2013(1)</c:v>
                </c:pt>
              </c:strCache>
            </c:strRef>
          </c:cat>
          <c:val>
            <c:numRef>
              <c:f>Sheet1!$B$11:$B$31</c:f>
              <c:numCache>
                <c:formatCode>0.0</c:formatCode>
                <c:ptCount val="21"/>
                <c:pt idx="0">
                  <c:v>5.8944381749946384</c:v>
                </c:pt>
                <c:pt idx="1">
                  <c:v>6.2659390023916473</c:v>
                </c:pt>
                <c:pt idx="2">
                  <c:v>6.0066678074106434</c:v>
                </c:pt>
                <c:pt idx="3">
                  <c:v>5.4737159507469277</c:v>
                </c:pt>
                <c:pt idx="4">
                  <c:v>4.3808382835789406</c:v>
                </c:pt>
                <c:pt idx="5">
                  <c:v>3.0828253944227173</c:v>
                </c:pt>
                <c:pt idx="6">
                  <c:v>2.2894657873934801</c:v>
                </c:pt>
                <c:pt idx="7">
                  <c:v>1.9704386799942581</c:v>
                </c:pt>
                <c:pt idx="8">
                  <c:v>3.013031439805538</c:v>
                </c:pt>
                <c:pt idx="9">
                  <c:v>3.6628092924196887</c:v>
                </c:pt>
                <c:pt idx="10">
                  <c:v>4.7508654474481551</c:v>
                </c:pt>
                <c:pt idx="11">
                  <c:v>6.2119331663951165</c:v>
                </c:pt>
                <c:pt idx="12">
                  <c:v>7.6266899720600065</c:v>
                </c:pt>
                <c:pt idx="13">
                  <c:v>8.9665233317407242</c:v>
                </c:pt>
                <c:pt idx="14">
                  <c:v>9.577399685784</c:v>
                </c:pt>
                <c:pt idx="15">
                  <c:v>9.6994653746446264</c:v>
                </c:pt>
                <c:pt idx="16">
                  <c:v>9.0508265884440728</c:v>
                </c:pt>
                <c:pt idx="17">
                  <c:v>7.9821152938808542</c:v>
                </c:pt>
                <c:pt idx="18">
                  <c:v>6.9196130645777894</c:v>
                </c:pt>
                <c:pt idx="19">
                  <c:v>5.9147613813241255</c:v>
                </c:pt>
                <c:pt idx="20">
                  <c:v>5.7511943229429878</c:v>
                </c:pt>
              </c:numCache>
            </c:numRef>
          </c:val>
        </c:ser>
        <c:axId val="149136896"/>
        <c:axId val="149138816"/>
      </c:barChart>
      <c:catAx>
        <c:axId val="149136896"/>
        <c:scaling>
          <c:orientation val="minMax"/>
        </c:scaling>
        <c:axPos val="b"/>
        <c:numFmt formatCode="mmm\,\ yyyy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9138816"/>
        <c:crosses val="autoZero"/>
        <c:auto val="1"/>
        <c:lblAlgn val="ctr"/>
        <c:lblOffset val="100"/>
        <c:tickLblSkip val="1"/>
        <c:tickMarkSkip val="1"/>
      </c:catAx>
      <c:valAx>
        <c:axId val="149138816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ysDash"/>
            </a:ln>
          </c:spPr>
        </c:majorGridlines>
        <c:numFmt formatCode="0.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913689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7609-AF28-4BF2-A85D-AD91C25B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baris.soybilgen</dc:creator>
  <cp:lastModifiedBy>baris.soybilgen</cp:lastModifiedBy>
  <cp:revision>3</cp:revision>
  <cp:lastPrinted>2013-04-02T11:50:00Z</cp:lastPrinted>
  <dcterms:created xsi:type="dcterms:W3CDTF">2013-04-03T06:47:00Z</dcterms:created>
  <dcterms:modified xsi:type="dcterms:W3CDTF">2013-04-03T06:49:00Z</dcterms:modified>
</cp:coreProperties>
</file>