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CC" w:rsidRPr="00B320C7" w:rsidRDefault="00AB717C" w:rsidP="001E4BF5">
      <w:pPr>
        <w:spacing w:line="360" w:lineRule="auto"/>
        <w:ind w:right="-319"/>
        <w:jc w:val="center"/>
        <w:outlineLvl w:val="0"/>
        <w:rPr>
          <w:rFonts w:ascii="Arial" w:hAnsi="Arial" w:cs="Arial"/>
          <w:b/>
          <w:sz w:val="32"/>
          <w:szCs w:val="32"/>
        </w:rPr>
      </w:pPr>
      <w:r w:rsidRPr="00B320C7">
        <w:rPr>
          <w:rFonts w:ascii="Arial" w:hAnsi="Arial" w:cs="Arial"/>
          <w:b/>
          <w:noProof/>
          <w:sz w:val="32"/>
          <w:szCs w:val="32"/>
          <w:lang w:val="tr-TR"/>
        </w:rPr>
        <w:drawing>
          <wp:anchor distT="0" distB="0" distL="114300" distR="114300" simplePos="0" relativeHeight="251658240"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6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A3465D" w:rsidRPr="00A3465D">
        <w:rPr>
          <w:rFonts w:ascii="Arial" w:hAnsi="Arial" w:cs="Arial"/>
          <w:b/>
          <w:sz w:val="32"/>
          <w:szCs w:val="32"/>
          <w:lang w:eastAsia="en-US"/>
        </w:rPr>
        <w:pict>
          <v:shapetype id="_x0000_t202" coordsize="21600,21600" o:spt="202" path="m,l,21600r21600,l21600,xe">
            <v:stroke joinstyle="miter"/>
            <v:path gradientshapeok="t" o:connecttype="rect"/>
          </v:shapetype>
          <v:shape id="Text Box 26" o:spid="_x0000_s1026" type="#_x0000_t202" style="position:absolute;left:0;text-align:left;margin-left:117pt;margin-top:-45pt;width:312.1pt;height:44.8pt;z-index:2516561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hjAIAAB0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" stroked="f">
            <v:fill opacity="0"/>
            <v:textbox inset="0,0,0,0">
              <w:txbxContent>
                <w:p w:rsidR="00900E74" w:rsidRPr="00342E6B" w:rsidRDefault="00900E74" w:rsidP="00024559">
                  <w:pPr>
                    <w:pStyle w:val="Balk1"/>
                    <w:rPr>
                      <w:rFonts w:ascii="Times New Roman" w:hAnsi="Times New Roman"/>
                      <w:sz w:val="40"/>
                      <w:szCs w:val="40"/>
                    </w:rPr>
                  </w:pPr>
                  <w:r>
                    <w:rPr>
                      <w:rFonts w:ascii="Times New Roman" w:hAnsi="Times New Roman"/>
                      <w:sz w:val="40"/>
                      <w:szCs w:val="40"/>
                    </w:rPr>
                    <w:t xml:space="preserve">Economic Outlook and Forecasts: </w:t>
                  </w:r>
                  <w:r w:rsidR="00851738">
                    <w:rPr>
                      <w:rFonts w:ascii="Times New Roman" w:hAnsi="Times New Roman"/>
                      <w:sz w:val="40"/>
                      <w:szCs w:val="40"/>
                    </w:rPr>
                    <w:t>February</w:t>
                  </w:r>
                  <w:r>
                    <w:rPr>
                      <w:rFonts w:ascii="Times New Roman" w:hAnsi="Times New Roman"/>
                      <w:sz w:val="40"/>
                      <w:szCs w:val="40"/>
                    </w:rPr>
                    <w:t xml:space="preserve"> 2013</w:t>
                  </w:r>
                </w:p>
                <w:p w:rsidR="00900E74" w:rsidRPr="00A75A46" w:rsidRDefault="00900E74" w:rsidP="00024559">
                  <w:pPr>
                    <w:pStyle w:val="Balk2"/>
                    <w:rPr>
                      <w:b w:val="0"/>
                      <w:i w:val="0"/>
                      <w:lang w:val="nl-NL"/>
                    </w:rPr>
                  </w:pPr>
                </w:p>
              </w:txbxContent>
            </v:textbox>
          </v:shape>
        </w:pict>
      </w:r>
    </w:p>
    <w:p w:rsidR="00357ECC" w:rsidRPr="00B320C7" w:rsidRDefault="00A3465D" w:rsidP="001E4BF5">
      <w:pPr>
        <w:spacing w:line="360" w:lineRule="auto"/>
        <w:ind w:right="-319"/>
        <w:jc w:val="center"/>
        <w:outlineLvl w:val="0"/>
        <w:rPr>
          <w:rFonts w:ascii="Arial" w:hAnsi="Arial" w:cs="Arial"/>
          <w:b/>
          <w:sz w:val="32"/>
          <w:szCs w:val="32"/>
        </w:rPr>
      </w:pPr>
      <w:r w:rsidRPr="00A3465D">
        <w:rPr>
          <w:rFonts w:ascii="Arial" w:hAnsi="Arial" w:cs="Arial"/>
          <w:b/>
          <w:lang w:eastAsia="en-US"/>
        </w:rPr>
        <w:lastRenderedPageBreak/>
        <w:pict>
          <v:shape id="Text Box 27" o:spid="_x0000_s1027" type="#_x0000_t202" style="position:absolute;left:0;text-align:left;margin-left:170.3pt;margin-top:9pt;width:137.3pt;height:27.4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aLjwIAACQ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" stroked="f">
            <v:fill opacity="0"/>
            <v:textbox inset="0,0,0,0">
              <w:txbxContent>
                <w:p w:rsidR="00900E74" w:rsidRPr="0015586B" w:rsidRDefault="00851738" w:rsidP="00FA48DD">
                  <w:pPr>
                    <w:pStyle w:val="Balk3"/>
                    <w:tabs>
                      <w:tab w:val="clear" w:pos="720"/>
                    </w:tabs>
                    <w:ind w:left="0" w:firstLine="0"/>
                    <w:rPr>
                      <w:color w:val="FFFFFF"/>
                      <w:sz w:val="22"/>
                      <w:szCs w:val="22"/>
                      <w:lang w:val="tr-TR"/>
                    </w:rPr>
                  </w:pPr>
                  <w:r>
                    <w:rPr>
                      <w:color w:val="FFFFFF"/>
                      <w:sz w:val="22"/>
                      <w:szCs w:val="22"/>
                      <w:lang w:val="tr-TR"/>
                    </w:rPr>
                    <w:t xml:space="preserve">February </w:t>
                  </w:r>
                  <w:r w:rsidR="005722AE">
                    <w:rPr>
                      <w:color w:val="FFFFFF"/>
                      <w:sz w:val="22"/>
                      <w:szCs w:val="22"/>
                      <w:lang w:val="tr-TR"/>
                    </w:rPr>
                    <w:t>12</w:t>
                  </w:r>
                  <w:r w:rsidR="00900E74">
                    <w:rPr>
                      <w:color w:val="FFFFFF"/>
                      <w:sz w:val="22"/>
                      <w:szCs w:val="22"/>
                      <w:lang w:val="tr-TR"/>
                    </w:rPr>
                    <w:t>,</w:t>
                  </w:r>
                  <w:r w:rsidR="00552C4F">
                    <w:rPr>
                      <w:color w:val="FFFFFF"/>
                      <w:sz w:val="22"/>
                      <w:szCs w:val="22"/>
                      <w:lang w:val="tr-TR"/>
                    </w:rPr>
                    <w:t xml:space="preserve"> 2013</w:t>
                  </w:r>
                </w:p>
                <w:p w:rsidR="00900E74" w:rsidRDefault="00900E74" w:rsidP="00024559"/>
              </w:txbxContent>
            </v:textbox>
          </v:shape>
        </w:pict>
      </w:r>
    </w:p>
    <w:p w:rsidR="00357ECC" w:rsidRPr="00B320C7" w:rsidRDefault="00357ECC" w:rsidP="001E4BF5">
      <w:pPr>
        <w:spacing w:line="360" w:lineRule="auto"/>
        <w:ind w:right="-319"/>
        <w:jc w:val="center"/>
        <w:outlineLvl w:val="0"/>
        <w:rPr>
          <w:rFonts w:ascii="Arial" w:hAnsi="Arial" w:cs="Arial"/>
          <w:b/>
          <w:sz w:val="32"/>
          <w:szCs w:val="32"/>
        </w:rPr>
        <w:sectPr w:rsidR="00357ECC" w:rsidRPr="00B320C7" w:rsidSect="00357ECC">
          <w:pgSz w:w="11906" w:h="16838"/>
          <w:pgMar w:top="1417" w:right="1417" w:bottom="1417" w:left="1417" w:header="708" w:footer="708" w:gutter="0"/>
          <w:cols w:num="2" w:space="708" w:equalWidth="0">
            <w:col w:w="4182" w:space="708"/>
            <w:col w:w="4182"/>
          </w:cols>
          <w:docGrid w:linePitch="360"/>
        </w:sectPr>
      </w:pPr>
    </w:p>
    <w:p w:rsidR="00357ECC" w:rsidRPr="00B320C7" w:rsidRDefault="00357ECC" w:rsidP="001E4BF5">
      <w:pPr>
        <w:spacing w:line="360" w:lineRule="auto"/>
        <w:ind w:right="-319"/>
        <w:outlineLvl w:val="0"/>
        <w:rPr>
          <w:rFonts w:ascii="Arial" w:hAnsi="Arial" w:cs="Arial"/>
          <w:b/>
          <w:sz w:val="32"/>
          <w:szCs w:val="32"/>
        </w:rPr>
      </w:pPr>
    </w:p>
    <w:p w:rsidR="00BF07F5" w:rsidRPr="00B320C7" w:rsidRDefault="004B7C7A" w:rsidP="00BF07F5">
      <w:pPr>
        <w:ind w:right="-317"/>
        <w:jc w:val="center"/>
        <w:outlineLvl w:val="0"/>
        <w:rPr>
          <w:rFonts w:ascii="Arial" w:hAnsi="Arial" w:cs="Arial"/>
          <w:b/>
          <w:bCs/>
          <w:caps/>
          <w:sz w:val="28"/>
          <w:szCs w:val="28"/>
        </w:rPr>
      </w:pPr>
      <w:r>
        <w:rPr>
          <w:rFonts w:ascii="Arial" w:hAnsi="Arial" w:cs="Arial"/>
          <w:b/>
          <w:bCs/>
          <w:caps/>
          <w:sz w:val="28"/>
          <w:szCs w:val="28"/>
        </w:rPr>
        <w:t>hard landing ın turkish economy</w:t>
      </w:r>
    </w:p>
    <w:p w:rsidR="00FA0BA3" w:rsidRPr="00B320C7" w:rsidRDefault="00FA0BA3" w:rsidP="001E4BF5">
      <w:pPr>
        <w:spacing w:line="360" w:lineRule="auto"/>
        <w:ind w:right="-319"/>
        <w:jc w:val="center"/>
        <w:outlineLvl w:val="0"/>
        <w:rPr>
          <w:rFonts w:ascii="Arial" w:hAnsi="Arial" w:cs="Arial"/>
          <w:b/>
          <w:sz w:val="20"/>
          <w:szCs w:val="20"/>
        </w:rPr>
      </w:pPr>
    </w:p>
    <w:p w:rsidR="00357ECC" w:rsidRPr="00B320C7" w:rsidRDefault="00357ECC" w:rsidP="003B5209">
      <w:pPr>
        <w:spacing w:line="360" w:lineRule="auto"/>
        <w:ind w:right="-319"/>
        <w:jc w:val="center"/>
        <w:outlineLvl w:val="0"/>
        <w:rPr>
          <w:rFonts w:ascii="Arial" w:hAnsi="Arial" w:cs="Arial"/>
          <w:b/>
          <w:vertAlign w:val="superscript"/>
        </w:rPr>
      </w:pPr>
      <w:r w:rsidRPr="00B320C7">
        <w:rPr>
          <w:rFonts w:ascii="Arial" w:hAnsi="Arial" w:cs="Arial"/>
          <w:b/>
        </w:rPr>
        <w:t>Zümrüt</w:t>
      </w:r>
      <w:r w:rsidR="00851738">
        <w:rPr>
          <w:rFonts w:ascii="Arial" w:hAnsi="Arial" w:cs="Arial"/>
          <w:b/>
        </w:rPr>
        <w:t xml:space="preserve"> </w:t>
      </w:r>
      <w:r w:rsidRPr="00B320C7">
        <w:rPr>
          <w:rFonts w:ascii="Arial" w:hAnsi="Arial" w:cs="Arial"/>
          <w:b/>
        </w:rPr>
        <w:t>İmamoğlu* ve</w:t>
      </w:r>
      <w:r w:rsidR="00851738">
        <w:rPr>
          <w:rFonts w:ascii="Arial" w:hAnsi="Arial" w:cs="Arial"/>
          <w:b/>
        </w:rPr>
        <w:t xml:space="preserve"> </w:t>
      </w:r>
      <w:r w:rsidRPr="00B320C7">
        <w:rPr>
          <w:rFonts w:ascii="Arial" w:hAnsi="Arial" w:cs="Arial"/>
          <w:b/>
        </w:rPr>
        <w:t>Barış</w:t>
      </w:r>
      <w:r w:rsidR="00851738">
        <w:rPr>
          <w:rFonts w:ascii="Arial" w:hAnsi="Arial" w:cs="Arial"/>
          <w:b/>
        </w:rPr>
        <w:t xml:space="preserve"> </w:t>
      </w:r>
      <w:r w:rsidRPr="00B320C7">
        <w:rPr>
          <w:rFonts w:ascii="Arial" w:hAnsi="Arial" w:cs="Arial"/>
          <w:b/>
        </w:rPr>
        <w:t>Soybilgen</w:t>
      </w:r>
      <w:r w:rsidRPr="00B320C7">
        <w:rPr>
          <w:rFonts w:ascii="Arial" w:hAnsi="Arial" w:cs="Arial"/>
          <w:b/>
          <w:vertAlign w:val="superscript"/>
        </w:rPr>
        <w:t>†</w:t>
      </w:r>
    </w:p>
    <w:p w:rsidR="00FC36DC" w:rsidRPr="00B320C7" w:rsidRDefault="00FC36DC" w:rsidP="003B5209">
      <w:pPr>
        <w:spacing w:line="360" w:lineRule="auto"/>
        <w:ind w:right="-319"/>
        <w:jc w:val="center"/>
        <w:outlineLvl w:val="0"/>
        <w:rPr>
          <w:rFonts w:ascii="Arial" w:hAnsi="Arial" w:cs="Arial"/>
          <w:sz w:val="20"/>
          <w:szCs w:val="20"/>
          <w:vertAlign w:val="superscript"/>
        </w:rPr>
      </w:pPr>
    </w:p>
    <w:p w:rsidR="001A2051" w:rsidRPr="00B320C7" w:rsidRDefault="001A2051" w:rsidP="003B5209">
      <w:pPr>
        <w:spacing w:line="360" w:lineRule="auto"/>
        <w:ind w:right="-319"/>
        <w:jc w:val="center"/>
        <w:outlineLvl w:val="0"/>
        <w:rPr>
          <w:rFonts w:ascii="Arial" w:hAnsi="Arial" w:cs="Arial"/>
          <w:sz w:val="20"/>
          <w:szCs w:val="20"/>
          <w:vertAlign w:val="superscript"/>
        </w:rPr>
        <w:sectPr w:rsidR="001A2051" w:rsidRPr="00B320C7" w:rsidSect="00357ECC">
          <w:type w:val="continuous"/>
          <w:pgSz w:w="11906" w:h="16838"/>
          <w:pgMar w:top="1417" w:right="1417" w:bottom="1417" w:left="1417" w:header="708" w:footer="708" w:gutter="0"/>
          <w:cols w:space="708"/>
          <w:docGrid w:linePitch="360"/>
        </w:sectPr>
      </w:pPr>
    </w:p>
    <w:p w:rsidR="008C38E5" w:rsidRPr="00B320C7" w:rsidRDefault="008C38E5" w:rsidP="008C38E5">
      <w:pPr>
        <w:spacing w:line="360" w:lineRule="auto"/>
        <w:ind w:left="-360" w:right="42" w:firstLine="360"/>
        <w:jc w:val="center"/>
        <w:rPr>
          <w:b/>
          <w:sz w:val="22"/>
          <w:szCs w:val="22"/>
        </w:rPr>
      </w:pPr>
      <w:r w:rsidRPr="00B320C7">
        <w:rPr>
          <w:b/>
          <w:sz w:val="22"/>
          <w:szCs w:val="22"/>
        </w:rPr>
        <w:lastRenderedPageBreak/>
        <w:t>Executive Summary</w:t>
      </w:r>
    </w:p>
    <w:p w:rsidR="008C38E5" w:rsidRPr="00B320C7" w:rsidRDefault="008C38E5" w:rsidP="008C38E5">
      <w:pPr>
        <w:spacing w:line="360" w:lineRule="auto"/>
        <w:ind w:left="-360" w:right="42" w:firstLine="360"/>
        <w:jc w:val="center"/>
        <w:rPr>
          <w:b/>
          <w:sz w:val="22"/>
          <w:szCs w:val="22"/>
        </w:rPr>
      </w:pPr>
    </w:p>
    <w:p w:rsidR="00B12FD3" w:rsidRPr="00B320C7" w:rsidRDefault="00BF07F5" w:rsidP="00BF07F5">
      <w:pPr>
        <w:spacing w:line="360" w:lineRule="auto"/>
        <w:ind w:left="-360" w:right="40"/>
        <w:jc w:val="both"/>
        <w:rPr>
          <w:sz w:val="22"/>
          <w:szCs w:val="22"/>
        </w:rPr>
      </w:pPr>
      <w:r w:rsidRPr="00B320C7">
        <w:rPr>
          <w:sz w:val="22"/>
          <w:szCs w:val="22"/>
        </w:rPr>
        <w:t xml:space="preserve">In </w:t>
      </w:r>
      <w:r w:rsidR="00C142EC" w:rsidRPr="00B320C7">
        <w:rPr>
          <w:sz w:val="22"/>
          <w:szCs w:val="22"/>
        </w:rPr>
        <w:t>December</w:t>
      </w:r>
      <w:r w:rsidRPr="00B320C7">
        <w:rPr>
          <w:sz w:val="22"/>
          <w:szCs w:val="22"/>
        </w:rPr>
        <w:t xml:space="preserve">, the </w:t>
      </w:r>
      <w:r w:rsidR="004B7C7A">
        <w:rPr>
          <w:sz w:val="22"/>
          <w:szCs w:val="22"/>
        </w:rPr>
        <w:t>Industrial Production I</w:t>
      </w:r>
      <w:r w:rsidRPr="00B320C7">
        <w:rPr>
          <w:sz w:val="22"/>
          <w:szCs w:val="22"/>
        </w:rPr>
        <w:t xml:space="preserve">ndex (IPI) </w:t>
      </w:r>
      <w:r w:rsidR="00C142EC" w:rsidRPr="00B320C7">
        <w:rPr>
          <w:sz w:val="22"/>
          <w:szCs w:val="22"/>
        </w:rPr>
        <w:t>decreased</w:t>
      </w:r>
      <w:r w:rsidRPr="00B320C7">
        <w:rPr>
          <w:sz w:val="22"/>
          <w:szCs w:val="22"/>
        </w:rPr>
        <w:t xml:space="preserve"> by 1.5 percent from </w:t>
      </w:r>
      <w:r w:rsidR="00C142EC" w:rsidRPr="00B320C7">
        <w:rPr>
          <w:sz w:val="22"/>
          <w:szCs w:val="22"/>
        </w:rPr>
        <w:t>November</w:t>
      </w:r>
      <w:r w:rsidRPr="00B320C7">
        <w:rPr>
          <w:sz w:val="22"/>
          <w:szCs w:val="22"/>
        </w:rPr>
        <w:t xml:space="preserve">. Export </w:t>
      </w:r>
      <w:r w:rsidR="004B7C7A">
        <w:rPr>
          <w:sz w:val="22"/>
          <w:szCs w:val="22"/>
        </w:rPr>
        <w:t>import volume indices</w:t>
      </w:r>
      <w:r w:rsidR="0025445E" w:rsidRPr="00B320C7">
        <w:rPr>
          <w:sz w:val="22"/>
          <w:szCs w:val="22"/>
        </w:rPr>
        <w:t xml:space="preserve"> also</w:t>
      </w:r>
      <w:r w:rsidR="00C142EC" w:rsidRPr="00B320C7">
        <w:rPr>
          <w:sz w:val="22"/>
          <w:szCs w:val="22"/>
        </w:rPr>
        <w:t xml:space="preserve"> decreased by 4.6 and 6.4 percent</w:t>
      </w:r>
      <w:r w:rsidR="004B7C7A">
        <w:rPr>
          <w:sz w:val="22"/>
          <w:szCs w:val="22"/>
        </w:rPr>
        <w:t>,</w:t>
      </w:r>
      <w:r w:rsidR="00C142EC" w:rsidRPr="00B320C7">
        <w:rPr>
          <w:sz w:val="22"/>
          <w:szCs w:val="22"/>
        </w:rPr>
        <w:t xml:space="preserve"> </w:t>
      </w:r>
      <w:r w:rsidR="0025445E" w:rsidRPr="00B320C7">
        <w:rPr>
          <w:sz w:val="22"/>
          <w:szCs w:val="22"/>
        </w:rPr>
        <w:t>respectively</w:t>
      </w:r>
      <w:r w:rsidRPr="00B320C7">
        <w:rPr>
          <w:sz w:val="22"/>
          <w:szCs w:val="22"/>
        </w:rPr>
        <w:t>.</w:t>
      </w:r>
      <w:r w:rsidR="0025445E" w:rsidRPr="00B320C7">
        <w:rPr>
          <w:sz w:val="22"/>
          <w:szCs w:val="22"/>
        </w:rPr>
        <w:t xml:space="preserve"> Declines in the indices negatively affect</w:t>
      </w:r>
      <w:r w:rsidR="005B2CF3">
        <w:rPr>
          <w:sz w:val="22"/>
          <w:szCs w:val="22"/>
        </w:rPr>
        <w:t>ed</w:t>
      </w:r>
      <w:r w:rsidR="0025445E" w:rsidRPr="00B320C7">
        <w:rPr>
          <w:sz w:val="22"/>
          <w:szCs w:val="22"/>
        </w:rPr>
        <w:t xml:space="preserve"> the economic outlook for the 4</w:t>
      </w:r>
      <w:r w:rsidR="0025445E" w:rsidRPr="00B320C7">
        <w:rPr>
          <w:sz w:val="22"/>
          <w:szCs w:val="22"/>
          <w:vertAlign w:val="superscript"/>
        </w:rPr>
        <w:t>th</w:t>
      </w:r>
      <w:r w:rsidR="0025445E" w:rsidRPr="00B320C7">
        <w:rPr>
          <w:sz w:val="22"/>
          <w:szCs w:val="22"/>
        </w:rPr>
        <w:t xml:space="preserve"> quarter.</w:t>
      </w:r>
      <w:r w:rsidR="00AA59EF" w:rsidRPr="00B320C7">
        <w:rPr>
          <w:sz w:val="22"/>
          <w:szCs w:val="22"/>
        </w:rPr>
        <w:t xml:space="preserve"> The Quarterly</w:t>
      </w:r>
      <w:r w:rsidR="00851738">
        <w:rPr>
          <w:sz w:val="22"/>
          <w:szCs w:val="22"/>
        </w:rPr>
        <w:t xml:space="preserve"> </w:t>
      </w:r>
      <w:r w:rsidR="0025445E" w:rsidRPr="00B320C7">
        <w:rPr>
          <w:sz w:val="22"/>
          <w:szCs w:val="22"/>
        </w:rPr>
        <w:t xml:space="preserve">IPI </w:t>
      </w:r>
      <w:r w:rsidR="00AA59EF" w:rsidRPr="00B320C7">
        <w:rPr>
          <w:sz w:val="22"/>
          <w:szCs w:val="22"/>
        </w:rPr>
        <w:t>was almost stagnant</w:t>
      </w:r>
      <w:r w:rsidR="0025445E" w:rsidRPr="00B320C7">
        <w:rPr>
          <w:sz w:val="22"/>
          <w:szCs w:val="22"/>
        </w:rPr>
        <w:t>.</w:t>
      </w:r>
      <w:r w:rsidR="00B96E66" w:rsidRPr="00B320C7">
        <w:rPr>
          <w:sz w:val="22"/>
          <w:szCs w:val="22"/>
        </w:rPr>
        <w:t xml:space="preserve"> Moreover, gold excluded exports and imports experien</w:t>
      </w:r>
      <w:r w:rsidR="004B7C7A">
        <w:rPr>
          <w:sz w:val="22"/>
          <w:szCs w:val="22"/>
        </w:rPr>
        <w:t>ced slumps. However, we still expect</w:t>
      </w:r>
      <w:r w:rsidR="00B96E66" w:rsidRPr="00B320C7">
        <w:rPr>
          <w:sz w:val="22"/>
          <w:szCs w:val="22"/>
        </w:rPr>
        <w:t xml:space="preserve"> a small revival in the 4</w:t>
      </w:r>
      <w:r w:rsidR="00B96E66" w:rsidRPr="00B320C7">
        <w:rPr>
          <w:sz w:val="22"/>
          <w:szCs w:val="22"/>
          <w:vertAlign w:val="superscript"/>
        </w:rPr>
        <w:t>th</w:t>
      </w:r>
      <w:r w:rsidR="00B96E66" w:rsidRPr="00B320C7">
        <w:rPr>
          <w:sz w:val="22"/>
          <w:szCs w:val="22"/>
        </w:rPr>
        <w:t xml:space="preserve"> quarter compared to the 3</w:t>
      </w:r>
      <w:r w:rsidR="00B96E66" w:rsidRPr="00B320C7">
        <w:rPr>
          <w:sz w:val="22"/>
          <w:szCs w:val="22"/>
          <w:vertAlign w:val="superscript"/>
        </w:rPr>
        <w:t>rd</w:t>
      </w:r>
      <w:r w:rsidR="00B96E66" w:rsidRPr="00B320C7">
        <w:rPr>
          <w:sz w:val="22"/>
          <w:szCs w:val="22"/>
        </w:rPr>
        <w:t xml:space="preserve"> quarter in which real GDP grew by </w:t>
      </w:r>
      <w:r w:rsidR="004B7C7A">
        <w:rPr>
          <w:sz w:val="22"/>
          <w:szCs w:val="22"/>
        </w:rPr>
        <w:t xml:space="preserve">only </w:t>
      </w:r>
      <w:r w:rsidR="00B96E66" w:rsidRPr="00B320C7">
        <w:rPr>
          <w:sz w:val="22"/>
          <w:szCs w:val="22"/>
        </w:rPr>
        <w:t>0.2 percent.</w:t>
      </w:r>
      <w:r w:rsidR="00851738">
        <w:rPr>
          <w:sz w:val="22"/>
          <w:szCs w:val="22"/>
        </w:rPr>
        <w:t xml:space="preserve"> </w:t>
      </w:r>
      <w:r w:rsidR="005631CE" w:rsidRPr="00B320C7">
        <w:rPr>
          <w:sz w:val="22"/>
          <w:szCs w:val="22"/>
        </w:rPr>
        <w:t>According to the December data,</w:t>
      </w:r>
      <w:r w:rsidRPr="00B320C7">
        <w:rPr>
          <w:sz w:val="22"/>
          <w:szCs w:val="22"/>
        </w:rPr>
        <w:t xml:space="preserve"> we </w:t>
      </w:r>
      <w:r w:rsidR="005631CE" w:rsidRPr="00B320C7">
        <w:rPr>
          <w:sz w:val="22"/>
          <w:szCs w:val="22"/>
        </w:rPr>
        <w:t>revised down</w:t>
      </w:r>
      <w:r w:rsidRPr="00B320C7">
        <w:rPr>
          <w:sz w:val="22"/>
          <w:szCs w:val="22"/>
        </w:rPr>
        <w:t xml:space="preserve"> our</w:t>
      </w:r>
      <w:r w:rsidR="00851738">
        <w:rPr>
          <w:sz w:val="22"/>
          <w:szCs w:val="22"/>
        </w:rPr>
        <w:t xml:space="preserve"> </w:t>
      </w:r>
      <w:r w:rsidRPr="00B320C7">
        <w:rPr>
          <w:sz w:val="22"/>
          <w:szCs w:val="22"/>
        </w:rPr>
        <w:t>4</w:t>
      </w:r>
      <w:r w:rsidRPr="00B320C7">
        <w:rPr>
          <w:sz w:val="22"/>
          <w:szCs w:val="22"/>
          <w:vertAlign w:val="superscript"/>
        </w:rPr>
        <w:t>th</w:t>
      </w:r>
      <w:r w:rsidRPr="00B320C7">
        <w:rPr>
          <w:sz w:val="22"/>
          <w:szCs w:val="22"/>
        </w:rPr>
        <w:t xml:space="preserve"> quarter growth</w:t>
      </w:r>
      <w:r w:rsidR="002E5D1D" w:rsidRPr="00B320C7">
        <w:rPr>
          <w:sz w:val="22"/>
          <w:szCs w:val="22"/>
        </w:rPr>
        <w:t xml:space="preserve"> forecast</w:t>
      </w:r>
      <w:r w:rsidR="005631CE" w:rsidRPr="00B320C7">
        <w:rPr>
          <w:sz w:val="22"/>
          <w:szCs w:val="22"/>
        </w:rPr>
        <w:t xml:space="preserve"> from 1.2 percent to 0.6 percent</w:t>
      </w:r>
      <w:r w:rsidRPr="00B320C7">
        <w:rPr>
          <w:sz w:val="22"/>
          <w:szCs w:val="22"/>
        </w:rPr>
        <w:t xml:space="preserve">. </w:t>
      </w:r>
      <w:r w:rsidR="004B7C7A">
        <w:rPr>
          <w:sz w:val="22"/>
          <w:szCs w:val="22"/>
        </w:rPr>
        <w:t>The corresponding year on</w:t>
      </w:r>
      <w:r w:rsidR="00C32A34" w:rsidRPr="00B320C7">
        <w:rPr>
          <w:sz w:val="22"/>
          <w:szCs w:val="22"/>
        </w:rPr>
        <w:t xml:space="preserve"> y</w:t>
      </w:r>
      <w:r w:rsidRPr="00B320C7">
        <w:rPr>
          <w:sz w:val="22"/>
          <w:szCs w:val="22"/>
        </w:rPr>
        <w:t>ear (YoY) growth rate i</w:t>
      </w:r>
      <w:r w:rsidR="00671CB6" w:rsidRPr="00B320C7">
        <w:rPr>
          <w:sz w:val="22"/>
          <w:szCs w:val="22"/>
        </w:rPr>
        <w:t xml:space="preserve">s </w:t>
      </w:r>
      <w:r w:rsidR="005631CE" w:rsidRPr="00B320C7">
        <w:rPr>
          <w:sz w:val="22"/>
          <w:szCs w:val="22"/>
        </w:rPr>
        <w:t>2.4</w:t>
      </w:r>
      <w:r w:rsidR="00671CB6" w:rsidRPr="00B320C7">
        <w:rPr>
          <w:sz w:val="22"/>
          <w:szCs w:val="22"/>
        </w:rPr>
        <w:t xml:space="preserve"> percent and </w:t>
      </w:r>
      <w:r w:rsidR="004B7C7A">
        <w:rPr>
          <w:sz w:val="22"/>
          <w:szCs w:val="22"/>
        </w:rPr>
        <w:t>our</w:t>
      </w:r>
      <w:r w:rsidR="00671CB6" w:rsidRPr="00B320C7">
        <w:rPr>
          <w:sz w:val="22"/>
          <w:szCs w:val="22"/>
        </w:rPr>
        <w:t xml:space="preserve"> annual GDP</w:t>
      </w:r>
      <w:r w:rsidRPr="00B320C7">
        <w:rPr>
          <w:sz w:val="22"/>
          <w:szCs w:val="22"/>
        </w:rPr>
        <w:t xml:space="preserve"> growth rate estimate for 20</w:t>
      </w:r>
      <w:r w:rsidR="005631CE" w:rsidRPr="00B320C7">
        <w:rPr>
          <w:sz w:val="22"/>
          <w:szCs w:val="22"/>
        </w:rPr>
        <w:t>12 is 2.6</w:t>
      </w:r>
      <w:r w:rsidRPr="00B320C7">
        <w:rPr>
          <w:sz w:val="22"/>
          <w:szCs w:val="22"/>
        </w:rPr>
        <w:t xml:space="preserve"> percent. </w:t>
      </w:r>
    </w:p>
    <w:p w:rsidR="00B12FD3" w:rsidRPr="00B320C7" w:rsidRDefault="00B12FD3" w:rsidP="00B12FD3">
      <w:pPr>
        <w:spacing w:line="360" w:lineRule="auto"/>
        <w:ind w:left="-360" w:right="40"/>
        <w:jc w:val="both"/>
        <w:rPr>
          <w:sz w:val="22"/>
          <w:szCs w:val="22"/>
        </w:rPr>
      </w:pPr>
    </w:p>
    <w:p w:rsidR="00F41D89" w:rsidRDefault="008665DB" w:rsidP="00B12FD3">
      <w:pPr>
        <w:spacing w:line="360" w:lineRule="auto"/>
        <w:ind w:left="-360" w:right="40"/>
        <w:jc w:val="both"/>
        <w:rPr>
          <w:sz w:val="22"/>
          <w:szCs w:val="22"/>
        </w:rPr>
      </w:pPr>
      <w:r w:rsidRPr="00B320C7">
        <w:rPr>
          <w:sz w:val="22"/>
          <w:szCs w:val="22"/>
        </w:rPr>
        <w:t>In December, t</w:t>
      </w:r>
      <w:r w:rsidR="00F41D89" w:rsidRPr="00B320C7">
        <w:rPr>
          <w:sz w:val="22"/>
          <w:szCs w:val="22"/>
        </w:rPr>
        <w:t xml:space="preserve">rade deficit was </w:t>
      </w:r>
      <w:r w:rsidR="003239F8">
        <w:rPr>
          <w:sz w:val="22"/>
          <w:szCs w:val="22"/>
        </w:rPr>
        <w:t>$</w:t>
      </w:r>
      <w:r w:rsidRPr="00B320C7">
        <w:rPr>
          <w:sz w:val="22"/>
          <w:szCs w:val="22"/>
        </w:rPr>
        <w:t xml:space="preserve">1 billion </w:t>
      </w:r>
      <w:r w:rsidR="00AA59EF" w:rsidRPr="00B320C7">
        <w:rPr>
          <w:sz w:val="22"/>
          <w:szCs w:val="22"/>
        </w:rPr>
        <w:t xml:space="preserve">lower </w:t>
      </w:r>
      <w:r w:rsidR="00F41D89" w:rsidRPr="00B320C7">
        <w:rPr>
          <w:sz w:val="22"/>
          <w:szCs w:val="22"/>
        </w:rPr>
        <w:t xml:space="preserve">than the </w:t>
      </w:r>
      <w:r w:rsidRPr="00B320C7">
        <w:rPr>
          <w:sz w:val="22"/>
          <w:szCs w:val="22"/>
        </w:rPr>
        <w:t>same month of the previous year.</w:t>
      </w:r>
      <w:r w:rsidR="00851738">
        <w:rPr>
          <w:sz w:val="22"/>
          <w:szCs w:val="22"/>
        </w:rPr>
        <w:t xml:space="preserve"> </w:t>
      </w:r>
      <w:r w:rsidRPr="00B320C7">
        <w:rPr>
          <w:sz w:val="22"/>
          <w:szCs w:val="22"/>
        </w:rPr>
        <w:t>The 12-month CA</w:t>
      </w:r>
      <w:r w:rsidR="00AA59EF" w:rsidRPr="00B320C7">
        <w:rPr>
          <w:sz w:val="22"/>
          <w:szCs w:val="22"/>
        </w:rPr>
        <w:t>D was $50.8 billion in November, and</w:t>
      </w:r>
      <w:r w:rsidR="00851738">
        <w:rPr>
          <w:sz w:val="22"/>
          <w:szCs w:val="22"/>
        </w:rPr>
        <w:t xml:space="preserve"> </w:t>
      </w:r>
      <w:r w:rsidR="00AA59EF" w:rsidRPr="00B320C7">
        <w:rPr>
          <w:sz w:val="22"/>
          <w:szCs w:val="22"/>
        </w:rPr>
        <w:t>i</w:t>
      </w:r>
      <w:r w:rsidRPr="00B320C7">
        <w:rPr>
          <w:sz w:val="22"/>
          <w:szCs w:val="22"/>
        </w:rPr>
        <w:t>t decreased to $48.9 billion in December.</w:t>
      </w:r>
      <w:r w:rsidR="003239F8">
        <w:rPr>
          <w:sz w:val="22"/>
          <w:szCs w:val="22"/>
        </w:rPr>
        <w:t xml:space="preserve"> However after the revision in tourism income accounts by TurkStat the current account was revised down to $46,9 billion. </w:t>
      </w:r>
      <w:r w:rsidR="00620E28" w:rsidRPr="00B320C7">
        <w:rPr>
          <w:sz w:val="22"/>
          <w:szCs w:val="22"/>
        </w:rPr>
        <w:t xml:space="preserve">We expect the </w:t>
      </w:r>
      <w:r w:rsidR="003239F8">
        <w:rPr>
          <w:sz w:val="22"/>
          <w:szCs w:val="22"/>
        </w:rPr>
        <w:t xml:space="preserve">current </w:t>
      </w:r>
      <w:r w:rsidR="00620E28" w:rsidRPr="00B320C7">
        <w:rPr>
          <w:sz w:val="22"/>
          <w:szCs w:val="22"/>
        </w:rPr>
        <w:t xml:space="preserve">account deficit to the GDP ratio to be </w:t>
      </w:r>
      <w:r w:rsidR="003239F8">
        <w:rPr>
          <w:sz w:val="22"/>
          <w:szCs w:val="22"/>
        </w:rPr>
        <w:t>5</w:t>
      </w:r>
      <w:r w:rsidR="00620E28" w:rsidRPr="00B320C7">
        <w:rPr>
          <w:sz w:val="22"/>
          <w:szCs w:val="22"/>
        </w:rPr>
        <w:t>.</w:t>
      </w:r>
      <w:r w:rsidR="003239F8">
        <w:rPr>
          <w:sz w:val="22"/>
          <w:szCs w:val="22"/>
        </w:rPr>
        <w:t>9</w:t>
      </w:r>
      <w:r w:rsidR="00620E28" w:rsidRPr="00B320C7">
        <w:rPr>
          <w:sz w:val="22"/>
          <w:szCs w:val="22"/>
        </w:rPr>
        <w:t xml:space="preserve"> percent</w:t>
      </w:r>
      <w:r w:rsidR="003239F8">
        <w:rPr>
          <w:sz w:val="22"/>
          <w:szCs w:val="22"/>
        </w:rPr>
        <w:t xml:space="preserve"> for 2012</w:t>
      </w:r>
      <w:r w:rsidR="00620E28" w:rsidRPr="00B320C7">
        <w:rPr>
          <w:sz w:val="22"/>
          <w:szCs w:val="22"/>
        </w:rPr>
        <w:t>.</w:t>
      </w:r>
    </w:p>
    <w:p w:rsidR="00A2686F" w:rsidRPr="00B320C7" w:rsidRDefault="00A3465D" w:rsidP="00A2686F">
      <w:pPr>
        <w:spacing w:line="288" w:lineRule="auto"/>
        <w:ind w:left="-360" w:right="-318"/>
        <w:jc w:val="both"/>
        <w:rPr>
          <w:rFonts w:ascii="Arial" w:hAnsi="Arial" w:cs="Arial"/>
          <w:sz w:val="20"/>
          <w:szCs w:val="20"/>
        </w:rPr>
      </w:pPr>
      <w:r w:rsidRPr="00A3465D">
        <w:rPr>
          <w:rFonts w:ascii="Arial" w:hAnsi="Arial" w:cs="Arial"/>
          <w:sz w:val="20"/>
          <w:szCs w:val="20"/>
          <w:lang w:eastAsia="en-US"/>
        </w:rPr>
      </w:r>
      <w:r>
        <w:rPr>
          <w:rFonts w:ascii="Arial" w:hAnsi="Arial" w:cs="Arial"/>
          <w:sz w:val="20"/>
          <w:szCs w:val="20"/>
          <w:lang w:eastAsia="en-US"/>
        </w:rPr>
        <w:pict>
          <v:group id="Canvas 62" o:spid="_x0000_s1029"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5146;height:457;visibility:visible">
              <v:fill o:detectmouseclick="t"/>
              <v:path o:connecttype="none"/>
            </v:shape>
            <v:line id="Line 64" o:spid="_x0000_s1028" style="position:absolute;visibility:visible" from="0,0" to="25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wrap type="none"/>
            <w10:anchorlock/>
          </v:group>
        </w:pict>
      </w:r>
    </w:p>
    <w:p w:rsidR="00A2686F" w:rsidRPr="00B320C7" w:rsidRDefault="00A2686F" w:rsidP="00A2686F">
      <w:pPr>
        <w:spacing w:line="288" w:lineRule="auto"/>
        <w:ind w:left="-360" w:right="-318"/>
        <w:jc w:val="both"/>
        <w:rPr>
          <w:sz w:val="16"/>
          <w:szCs w:val="16"/>
        </w:rPr>
      </w:pPr>
      <w:r w:rsidRPr="00B320C7">
        <w:rPr>
          <w:sz w:val="16"/>
          <w:szCs w:val="16"/>
        </w:rPr>
        <w:t>* Dr. Zümrütİmamoğlu, Betam, Research Associate.</w:t>
      </w:r>
    </w:p>
    <w:p w:rsidR="00A2686F" w:rsidRPr="00B320C7" w:rsidRDefault="00A2686F" w:rsidP="00A2686F">
      <w:pPr>
        <w:spacing w:line="288" w:lineRule="auto"/>
        <w:ind w:left="-360" w:right="-318"/>
        <w:jc w:val="both"/>
        <w:rPr>
          <w:sz w:val="16"/>
          <w:szCs w:val="16"/>
        </w:rPr>
      </w:pPr>
      <w:r w:rsidRPr="00B320C7">
        <w:rPr>
          <w:sz w:val="16"/>
          <w:szCs w:val="16"/>
        </w:rPr>
        <w:t xml:space="preserve">  zumrut.imamoglu@bahcesehir.edu.tr</w:t>
      </w:r>
    </w:p>
    <w:p w:rsidR="00A2686F" w:rsidRPr="00B320C7" w:rsidRDefault="00A2686F" w:rsidP="00A2686F">
      <w:pPr>
        <w:spacing w:line="288" w:lineRule="auto"/>
        <w:ind w:left="-360" w:right="-318"/>
        <w:jc w:val="both"/>
        <w:rPr>
          <w:sz w:val="16"/>
          <w:szCs w:val="16"/>
        </w:rPr>
      </w:pPr>
      <w:r w:rsidRPr="00B320C7">
        <w:rPr>
          <w:sz w:val="16"/>
          <w:szCs w:val="16"/>
          <w:vertAlign w:val="superscript"/>
        </w:rPr>
        <w:t xml:space="preserve">† </w:t>
      </w:r>
      <w:r w:rsidRPr="00B320C7">
        <w:rPr>
          <w:sz w:val="16"/>
          <w:szCs w:val="16"/>
        </w:rPr>
        <w:t>BarışSoybilgen, Betam, Research Assistant,</w:t>
      </w:r>
    </w:p>
    <w:p w:rsidR="006454DC" w:rsidRPr="00B320C7" w:rsidRDefault="00E81CDD" w:rsidP="00736C84">
      <w:pPr>
        <w:ind w:left="-360"/>
        <w:rPr>
          <w:sz w:val="16"/>
          <w:szCs w:val="16"/>
        </w:rPr>
      </w:pPr>
      <w:r w:rsidRPr="00B320C7">
        <w:rPr>
          <w:sz w:val="16"/>
          <w:szCs w:val="16"/>
        </w:rPr>
        <w:t>baris.soybilgen@bahcesehir.edu.tr</w:t>
      </w:r>
    </w:p>
    <w:p w:rsidR="007D4F28" w:rsidRPr="00B320C7" w:rsidRDefault="007D4F28" w:rsidP="008C38E5">
      <w:pPr>
        <w:ind w:left="-360" w:right="42"/>
        <w:jc w:val="both"/>
        <w:rPr>
          <w:b/>
          <w:sz w:val="22"/>
          <w:szCs w:val="22"/>
        </w:rPr>
      </w:pPr>
    </w:p>
    <w:p w:rsidR="007D4F28" w:rsidRPr="00B320C7" w:rsidRDefault="007D4F28" w:rsidP="008C38E5">
      <w:pPr>
        <w:ind w:left="-360" w:right="42"/>
        <w:jc w:val="both"/>
        <w:rPr>
          <w:b/>
          <w:sz w:val="22"/>
          <w:szCs w:val="22"/>
        </w:rPr>
      </w:pPr>
    </w:p>
    <w:p w:rsidR="00BE56E0" w:rsidRPr="00B320C7" w:rsidRDefault="00BE56E0" w:rsidP="001F275D">
      <w:pPr>
        <w:ind w:right="42"/>
        <w:jc w:val="both"/>
        <w:rPr>
          <w:b/>
          <w:sz w:val="22"/>
          <w:szCs w:val="22"/>
        </w:rPr>
      </w:pPr>
    </w:p>
    <w:p w:rsidR="008E32CB" w:rsidRPr="00B320C7" w:rsidRDefault="00B34B81" w:rsidP="008C38E5">
      <w:pPr>
        <w:ind w:left="-360" w:right="42"/>
        <w:jc w:val="both"/>
        <w:rPr>
          <w:b/>
          <w:sz w:val="22"/>
          <w:szCs w:val="22"/>
        </w:rPr>
      </w:pPr>
      <w:r>
        <w:rPr>
          <w:b/>
          <w:sz w:val="22"/>
          <w:szCs w:val="22"/>
        </w:rPr>
        <w:t xml:space="preserve">Table 1: </w:t>
      </w:r>
      <w:r w:rsidR="008C38E5" w:rsidRPr="00B320C7">
        <w:rPr>
          <w:b/>
          <w:sz w:val="22"/>
          <w:szCs w:val="22"/>
        </w:rPr>
        <w:t>Betam’s quarterly and annual growth rate forecasts</w:t>
      </w:r>
    </w:p>
    <w:tbl>
      <w:tblPr>
        <w:tblpPr w:leftFromText="141" w:rightFromText="141" w:vertAnchor="text" w:horzAnchor="margin" w:tblpXSpec="right" w:tblpY="129"/>
        <w:tblW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2"/>
        <w:gridCol w:w="1186"/>
      </w:tblGrid>
      <w:tr w:rsidR="00BE56E0" w:rsidRPr="00B320C7" w:rsidTr="00BE56E0">
        <w:trPr>
          <w:trHeight w:val="986"/>
        </w:trPr>
        <w:tc>
          <w:tcPr>
            <w:tcW w:w="3302" w:type="dxa"/>
            <w:tcBorders>
              <w:right w:val="single" w:sz="4" w:space="0" w:color="auto"/>
            </w:tcBorders>
            <w:tcMar>
              <w:left w:w="28" w:type="dxa"/>
              <w:right w:w="28" w:type="dxa"/>
            </w:tcMar>
            <w:vAlign w:val="center"/>
          </w:tcPr>
          <w:p w:rsidR="00BE56E0" w:rsidRPr="00B320C7" w:rsidRDefault="00BE56E0" w:rsidP="00A878F4">
            <w:pPr>
              <w:ind w:right="42"/>
              <w:jc w:val="center"/>
              <w:rPr>
                <w:sz w:val="20"/>
                <w:szCs w:val="20"/>
              </w:rPr>
            </w:pPr>
          </w:p>
        </w:tc>
        <w:tc>
          <w:tcPr>
            <w:tcW w:w="1186" w:type="dxa"/>
            <w:tcBorders>
              <w:left w:val="single" w:sz="4" w:space="0" w:color="auto"/>
            </w:tcBorders>
            <w:tcMar>
              <w:left w:w="0" w:type="dxa"/>
              <w:right w:w="0" w:type="dxa"/>
            </w:tcMar>
            <w:vAlign w:val="center"/>
          </w:tcPr>
          <w:p w:rsidR="00BE56E0" w:rsidRPr="00B320C7" w:rsidRDefault="00BE56E0" w:rsidP="00A878F4">
            <w:pPr>
              <w:ind w:right="40"/>
              <w:jc w:val="center"/>
              <w:rPr>
                <w:b/>
                <w:sz w:val="20"/>
                <w:szCs w:val="20"/>
              </w:rPr>
            </w:pPr>
            <w:r w:rsidRPr="00B320C7">
              <w:rPr>
                <w:b/>
                <w:sz w:val="20"/>
                <w:szCs w:val="20"/>
              </w:rPr>
              <w:t>2012</w:t>
            </w:r>
          </w:p>
          <w:p w:rsidR="00BE56E0" w:rsidRPr="00B320C7" w:rsidRDefault="00D62EB2" w:rsidP="001116C3">
            <w:pPr>
              <w:ind w:right="40"/>
              <w:jc w:val="center"/>
              <w:rPr>
                <w:b/>
                <w:sz w:val="20"/>
                <w:szCs w:val="20"/>
              </w:rPr>
            </w:pPr>
            <w:r w:rsidRPr="00B320C7">
              <w:rPr>
                <w:b/>
                <w:sz w:val="20"/>
                <w:szCs w:val="20"/>
              </w:rPr>
              <w:t>4</w:t>
            </w:r>
            <w:r w:rsidRPr="00B320C7">
              <w:rPr>
                <w:b/>
                <w:sz w:val="20"/>
                <w:szCs w:val="20"/>
                <w:vertAlign w:val="superscript"/>
              </w:rPr>
              <w:t>th</w:t>
            </w:r>
            <w:r w:rsidR="00BE56E0" w:rsidRPr="00B320C7">
              <w:rPr>
                <w:b/>
                <w:sz w:val="20"/>
                <w:szCs w:val="20"/>
              </w:rPr>
              <w:t xml:space="preserve"> Quarter Forecast</w:t>
            </w:r>
          </w:p>
        </w:tc>
      </w:tr>
      <w:tr w:rsidR="00BE56E0" w:rsidRPr="00B320C7" w:rsidTr="00BE56E0">
        <w:trPr>
          <w:trHeight w:val="771"/>
        </w:trPr>
        <w:tc>
          <w:tcPr>
            <w:tcW w:w="3302" w:type="dxa"/>
            <w:tcBorders>
              <w:right w:val="single" w:sz="4" w:space="0" w:color="auto"/>
            </w:tcBorders>
            <w:tcMar>
              <w:left w:w="28" w:type="dxa"/>
              <w:right w:w="28" w:type="dxa"/>
            </w:tcMar>
            <w:vAlign w:val="center"/>
          </w:tcPr>
          <w:p w:rsidR="00BE56E0" w:rsidRPr="00B320C7" w:rsidRDefault="00BE56E0" w:rsidP="004716A6">
            <w:pPr>
              <w:spacing w:line="360" w:lineRule="auto"/>
              <w:ind w:right="42"/>
              <w:rPr>
                <w:b/>
                <w:sz w:val="20"/>
                <w:szCs w:val="20"/>
              </w:rPr>
            </w:pPr>
            <w:r w:rsidRPr="00B320C7">
              <w:rPr>
                <w:b/>
                <w:sz w:val="20"/>
                <w:szCs w:val="20"/>
              </w:rPr>
              <w:t xml:space="preserve">Real GDP growth, % </w:t>
            </w:r>
          </w:p>
          <w:p w:rsidR="00BE56E0" w:rsidRPr="00B320C7" w:rsidRDefault="00BE56E0" w:rsidP="004716A6">
            <w:pPr>
              <w:ind w:right="42"/>
              <w:rPr>
                <w:sz w:val="20"/>
                <w:szCs w:val="20"/>
              </w:rPr>
            </w:pPr>
            <w:r w:rsidRPr="00B320C7">
              <w:rPr>
                <w:sz w:val="20"/>
                <w:szCs w:val="20"/>
              </w:rPr>
              <w:t>(quarter on quarter, sa*)</w:t>
            </w:r>
          </w:p>
        </w:tc>
        <w:tc>
          <w:tcPr>
            <w:tcW w:w="1186" w:type="dxa"/>
            <w:tcBorders>
              <w:left w:val="single" w:sz="4" w:space="0" w:color="auto"/>
            </w:tcBorders>
            <w:vAlign w:val="center"/>
          </w:tcPr>
          <w:p w:rsidR="00BE56E0" w:rsidRPr="00B320C7" w:rsidRDefault="00BC17C0" w:rsidP="004716A6">
            <w:pPr>
              <w:ind w:right="42"/>
              <w:jc w:val="center"/>
              <w:rPr>
                <w:sz w:val="20"/>
                <w:szCs w:val="20"/>
              </w:rPr>
            </w:pPr>
            <w:r w:rsidRPr="00B320C7">
              <w:rPr>
                <w:sz w:val="20"/>
                <w:szCs w:val="20"/>
              </w:rPr>
              <w:t>0.6</w:t>
            </w:r>
          </w:p>
        </w:tc>
      </w:tr>
      <w:tr w:rsidR="00BE56E0" w:rsidRPr="00B320C7" w:rsidTr="00BE56E0">
        <w:trPr>
          <w:trHeight w:val="756"/>
        </w:trPr>
        <w:tc>
          <w:tcPr>
            <w:tcW w:w="3302" w:type="dxa"/>
            <w:tcBorders>
              <w:right w:val="single" w:sz="4" w:space="0" w:color="auto"/>
            </w:tcBorders>
            <w:tcMar>
              <w:left w:w="28" w:type="dxa"/>
              <w:right w:w="28" w:type="dxa"/>
            </w:tcMar>
            <w:vAlign w:val="center"/>
          </w:tcPr>
          <w:p w:rsidR="00BE56E0" w:rsidRPr="00B320C7" w:rsidRDefault="00BE56E0" w:rsidP="004716A6">
            <w:pPr>
              <w:spacing w:line="360" w:lineRule="auto"/>
              <w:ind w:right="42"/>
              <w:rPr>
                <w:sz w:val="20"/>
                <w:szCs w:val="20"/>
              </w:rPr>
            </w:pPr>
            <w:r w:rsidRPr="00B320C7">
              <w:rPr>
                <w:b/>
                <w:sz w:val="20"/>
                <w:szCs w:val="20"/>
              </w:rPr>
              <w:t>Real GDP growth, %</w:t>
            </w:r>
          </w:p>
          <w:p w:rsidR="00BE56E0" w:rsidRPr="00B320C7" w:rsidRDefault="00BE56E0" w:rsidP="004716A6">
            <w:pPr>
              <w:ind w:right="42"/>
              <w:rPr>
                <w:sz w:val="20"/>
                <w:szCs w:val="20"/>
              </w:rPr>
            </w:pPr>
            <w:r w:rsidRPr="00B320C7">
              <w:rPr>
                <w:sz w:val="20"/>
                <w:szCs w:val="20"/>
              </w:rPr>
              <w:t>(year on year, ca**)</w:t>
            </w:r>
          </w:p>
        </w:tc>
        <w:tc>
          <w:tcPr>
            <w:tcW w:w="1186" w:type="dxa"/>
            <w:tcBorders>
              <w:left w:val="single" w:sz="4" w:space="0" w:color="auto"/>
            </w:tcBorders>
            <w:vAlign w:val="center"/>
          </w:tcPr>
          <w:p w:rsidR="00BE56E0" w:rsidRPr="00B320C7" w:rsidRDefault="00BC17C0" w:rsidP="004716A6">
            <w:pPr>
              <w:ind w:right="42"/>
              <w:jc w:val="center"/>
              <w:rPr>
                <w:sz w:val="20"/>
                <w:szCs w:val="20"/>
              </w:rPr>
            </w:pPr>
            <w:r w:rsidRPr="00B320C7">
              <w:rPr>
                <w:sz w:val="20"/>
                <w:szCs w:val="20"/>
              </w:rPr>
              <w:t>2.4</w:t>
            </w:r>
          </w:p>
        </w:tc>
      </w:tr>
      <w:tr w:rsidR="00BE56E0" w:rsidRPr="00B320C7" w:rsidTr="00BE56E0">
        <w:trPr>
          <w:trHeight w:val="583"/>
        </w:trPr>
        <w:tc>
          <w:tcPr>
            <w:tcW w:w="3302" w:type="dxa"/>
            <w:tcBorders>
              <w:right w:val="single" w:sz="4" w:space="0" w:color="auto"/>
            </w:tcBorders>
            <w:tcMar>
              <w:left w:w="28" w:type="dxa"/>
              <w:right w:w="28" w:type="dxa"/>
            </w:tcMar>
            <w:vAlign w:val="center"/>
          </w:tcPr>
          <w:p w:rsidR="00BE56E0" w:rsidRPr="00B320C7" w:rsidRDefault="00BE56E0" w:rsidP="004716A6">
            <w:pPr>
              <w:spacing w:line="360" w:lineRule="auto"/>
              <w:ind w:right="42"/>
              <w:rPr>
                <w:sz w:val="20"/>
                <w:szCs w:val="20"/>
              </w:rPr>
            </w:pPr>
            <w:r w:rsidRPr="00B320C7">
              <w:rPr>
                <w:b/>
                <w:sz w:val="20"/>
                <w:szCs w:val="20"/>
              </w:rPr>
              <w:t>Current account deficit</w:t>
            </w:r>
          </w:p>
          <w:p w:rsidR="00BE56E0" w:rsidRPr="00B320C7" w:rsidRDefault="00BE56E0" w:rsidP="004716A6">
            <w:pPr>
              <w:ind w:right="40"/>
              <w:rPr>
                <w:sz w:val="20"/>
                <w:szCs w:val="20"/>
              </w:rPr>
            </w:pPr>
            <w:r w:rsidRPr="00B320C7">
              <w:rPr>
                <w:sz w:val="20"/>
                <w:szCs w:val="20"/>
              </w:rPr>
              <w:t>(% of GDP, annual)</w:t>
            </w:r>
          </w:p>
        </w:tc>
        <w:tc>
          <w:tcPr>
            <w:tcW w:w="1186" w:type="dxa"/>
            <w:tcBorders>
              <w:left w:val="single" w:sz="4" w:space="0" w:color="auto"/>
            </w:tcBorders>
            <w:vAlign w:val="center"/>
          </w:tcPr>
          <w:p w:rsidR="00BE56E0" w:rsidRPr="00B320C7" w:rsidRDefault="00F979E9" w:rsidP="00F979E9">
            <w:pPr>
              <w:ind w:right="40"/>
              <w:jc w:val="center"/>
              <w:rPr>
                <w:sz w:val="20"/>
                <w:szCs w:val="20"/>
              </w:rPr>
            </w:pPr>
            <w:r>
              <w:rPr>
                <w:sz w:val="20"/>
                <w:szCs w:val="20"/>
              </w:rPr>
              <w:t>5</w:t>
            </w:r>
            <w:r w:rsidR="00CF4040" w:rsidRPr="00B320C7">
              <w:rPr>
                <w:sz w:val="20"/>
                <w:szCs w:val="20"/>
              </w:rPr>
              <w:t>.</w:t>
            </w:r>
            <w:r>
              <w:rPr>
                <w:sz w:val="20"/>
                <w:szCs w:val="20"/>
              </w:rPr>
              <w:t>9</w:t>
            </w:r>
          </w:p>
        </w:tc>
      </w:tr>
      <w:tr w:rsidR="00D62EB2" w:rsidRPr="00B320C7" w:rsidTr="00BE56E0">
        <w:trPr>
          <w:trHeight w:val="583"/>
        </w:trPr>
        <w:tc>
          <w:tcPr>
            <w:tcW w:w="3302" w:type="dxa"/>
            <w:tcBorders>
              <w:right w:val="single" w:sz="4" w:space="0" w:color="auto"/>
            </w:tcBorders>
            <w:tcMar>
              <w:left w:w="28" w:type="dxa"/>
              <w:right w:w="28" w:type="dxa"/>
            </w:tcMar>
            <w:vAlign w:val="center"/>
          </w:tcPr>
          <w:p w:rsidR="00D62EB2" w:rsidRPr="00B320C7" w:rsidRDefault="00D62EB2" w:rsidP="004716A6">
            <w:pPr>
              <w:spacing w:line="360" w:lineRule="auto"/>
              <w:ind w:right="42"/>
              <w:rPr>
                <w:b/>
                <w:sz w:val="20"/>
                <w:szCs w:val="20"/>
              </w:rPr>
            </w:pPr>
          </w:p>
        </w:tc>
        <w:tc>
          <w:tcPr>
            <w:tcW w:w="1186" w:type="dxa"/>
            <w:tcBorders>
              <w:left w:val="single" w:sz="4" w:space="0" w:color="auto"/>
            </w:tcBorders>
            <w:vAlign w:val="center"/>
          </w:tcPr>
          <w:p w:rsidR="00D62EB2" w:rsidRPr="00B320C7" w:rsidRDefault="00102FC6" w:rsidP="004716A6">
            <w:pPr>
              <w:ind w:right="40"/>
              <w:jc w:val="center"/>
              <w:rPr>
                <w:b/>
                <w:sz w:val="20"/>
                <w:szCs w:val="20"/>
              </w:rPr>
            </w:pPr>
            <w:r w:rsidRPr="00B320C7">
              <w:rPr>
                <w:b/>
                <w:sz w:val="20"/>
                <w:szCs w:val="20"/>
              </w:rPr>
              <w:t>2012 Annual Growth</w:t>
            </w:r>
          </w:p>
        </w:tc>
      </w:tr>
      <w:tr w:rsidR="00102FC6" w:rsidRPr="00B320C7" w:rsidTr="00BE56E0">
        <w:trPr>
          <w:trHeight w:val="583"/>
        </w:trPr>
        <w:tc>
          <w:tcPr>
            <w:tcW w:w="3302" w:type="dxa"/>
            <w:tcBorders>
              <w:right w:val="single" w:sz="4" w:space="0" w:color="auto"/>
            </w:tcBorders>
            <w:tcMar>
              <w:left w:w="28" w:type="dxa"/>
              <w:right w:w="28" w:type="dxa"/>
            </w:tcMar>
            <w:vAlign w:val="center"/>
          </w:tcPr>
          <w:p w:rsidR="00102FC6" w:rsidRPr="00B320C7" w:rsidRDefault="00102FC6" w:rsidP="004716A6">
            <w:pPr>
              <w:spacing w:line="360" w:lineRule="auto"/>
              <w:ind w:right="42"/>
              <w:rPr>
                <w:b/>
                <w:sz w:val="20"/>
                <w:szCs w:val="20"/>
              </w:rPr>
            </w:pPr>
            <w:r w:rsidRPr="00B320C7">
              <w:rPr>
                <w:b/>
                <w:sz w:val="20"/>
                <w:szCs w:val="20"/>
              </w:rPr>
              <w:t xml:space="preserve">Real GDP growth, % </w:t>
            </w:r>
          </w:p>
        </w:tc>
        <w:tc>
          <w:tcPr>
            <w:tcW w:w="1186" w:type="dxa"/>
            <w:tcBorders>
              <w:left w:val="single" w:sz="4" w:space="0" w:color="auto"/>
            </w:tcBorders>
            <w:vAlign w:val="center"/>
          </w:tcPr>
          <w:p w:rsidR="00102FC6" w:rsidRPr="00B320C7" w:rsidRDefault="00CF4040" w:rsidP="004716A6">
            <w:pPr>
              <w:ind w:right="40"/>
              <w:jc w:val="center"/>
              <w:rPr>
                <w:sz w:val="20"/>
                <w:szCs w:val="20"/>
              </w:rPr>
            </w:pPr>
            <w:r w:rsidRPr="00B320C7">
              <w:rPr>
                <w:sz w:val="20"/>
                <w:szCs w:val="20"/>
              </w:rPr>
              <w:t>2.</w:t>
            </w:r>
            <w:r w:rsidR="00BC17C0" w:rsidRPr="00B320C7">
              <w:rPr>
                <w:sz w:val="20"/>
                <w:szCs w:val="20"/>
              </w:rPr>
              <w:t>6</w:t>
            </w:r>
          </w:p>
        </w:tc>
      </w:tr>
    </w:tbl>
    <w:p w:rsidR="008C38E5" w:rsidRPr="00B320C7" w:rsidRDefault="008C38E5" w:rsidP="00BE56E0">
      <w:pPr>
        <w:ind w:right="40"/>
        <w:rPr>
          <w:sz w:val="4"/>
          <w:szCs w:val="4"/>
        </w:rPr>
      </w:pPr>
    </w:p>
    <w:p w:rsidR="008C38E5" w:rsidRPr="00B320C7" w:rsidRDefault="008C38E5" w:rsidP="008C38E5">
      <w:pPr>
        <w:ind w:left="-360" w:right="40"/>
        <w:jc w:val="both"/>
        <w:rPr>
          <w:rFonts w:ascii="Arial" w:hAnsi="Arial" w:cs="Arial"/>
          <w:sz w:val="16"/>
          <w:szCs w:val="16"/>
        </w:rPr>
      </w:pPr>
      <w:r w:rsidRPr="00B320C7">
        <w:rPr>
          <w:rFonts w:ascii="Arial" w:hAnsi="Arial" w:cs="Arial"/>
          <w:sz w:val="16"/>
          <w:szCs w:val="16"/>
        </w:rPr>
        <w:t>Source: Betam</w:t>
      </w:r>
    </w:p>
    <w:p w:rsidR="008C38E5" w:rsidRPr="00B320C7" w:rsidRDefault="008C38E5" w:rsidP="008C38E5">
      <w:pPr>
        <w:ind w:left="-360" w:right="40"/>
        <w:jc w:val="both"/>
        <w:rPr>
          <w:rFonts w:ascii="Arial" w:hAnsi="Arial" w:cs="Arial"/>
          <w:sz w:val="16"/>
          <w:szCs w:val="16"/>
        </w:rPr>
      </w:pPr>
      <w:r w:rsidRPr="00B320C7">
        <w:rPr>
          <w:rFonts w:ascii="Arial" w:hAnsi="Arial" w:cs="Arial"/>
          <w:sz w:val="16"/>
          <w:szCs w:val="16"/>
        </w:rPr>
        <w:t xml:space="preserve"> *sa: seasonally and calendar day adjusted </w:t>
      </w:r>
    </w:p>
    <w:p w:rsidR="00383A6E" w:rsidRPr="00B320C7" w:rsidRDefault="008C38E5" w:rsidP="008C38E5">
      <w:pPr>
        <w:spacing w:line="360" w:lineRule="auto"/>
        <w:ind w:left="-360" w:right="42"/>
        <w:jc w:val="both"/>
        <w:rPr>
          <w:rFonts w:ascii="Arial" w:hAnsi="Arial" w:cs="Arial"/>
          <w:sz w:val="20"/>
          <w:szCs w:val="20"/>
        </w:rPr>
      </w:pPr>
      <w:r w:rsidRPr="00B320C7">
        <w:rPr>
          <w:rFonts w:ascii="Arial" w:hAnsi="Arial" w:cs="Arial"/>
          <w:sz w:val="16"/>
          <w:szCs w:val="16"/>
        </w:rPr>
        <w:t xml:space="preserve"> **ca: calendar day adjusted</w:t>
      </w:r>
    </w:p>
    <w:p w:rsidR="008B74EE" w:rsidRPr="00B320C7" w:rsidRDefault="008B74EE" w:rsidP="008B74EE">
      <w:pPr>
        <w:rPr>
          <w:b/>
          <w:sz w:val="22"/>
          <w:szCs w:val="22"/>
        </w:rPr>
      </w:pPr>
    </w:p>
    <w:p w:rsidR="00B12FD3" w:rsidRPr="00B320C7" w:rsidRDefault="00B12FD3" w:rsidP="008B74EE">
      <w:pPr>
        <w:ind w:left="-360"/>
        <w:rPr>
          <w:b/>
          <w:sz w:val="22"/>
          <w:szCs w:val="22"/>
        </w:rPr>
      </w:pPr>
    </w:p>
    <w:p w:rsidR="001F275D" w:rsidRPr="00B320C7" w:rsidRDefault="00851738" w:rsidP="001F275D">
      <w:pPr>
        <w:ind w:left="-360"/>
        <w:jc w:val="center"/>
        <w:rPr>
          <w:b/>
          <w:bCs/>
          <w:sz w:val="22"/>
          <w:szCs w:val="22"/>
        </w:rPr>
      </w:pPr>
      <w:r>
        <w:rPr>
          <w:b/>
          <w:bCs/>
          <w:sz w:val="22"/>
          <w:szCs w:val="22"/>
        </w:rPr>
        <w:t>The decline in the IPI lowered the spirits</w:t>
      </w:r>
    </w:p>
    <w:p w:rsidR="008C38E5" w:rsidRPr="00B320C7" w:rsidRDefault="008C38E5" w:rsidP="008C38E5">
      <w:pPr>
        <w:spacing w:line="360" w:lineRule="auto"/>
        <w:ind w:left="-360" w:right="42"/>
        <w:rPr>
          <w:b/>
          <w:sz w:val="22"/>
          <w:szCs w:val="22"/>
        </w:rPr>
      </w:pPr>
    </w:p>
    <w:p w:rsidR="00657119" w:rsidRPr="00B320C7" w:rsidRDefault="00657119" w:rsidP="006C2BFE">
      <w:pPr>
        <w:spacing w:line="360" w:lineRule="auto"/>
        <w:ind w:left="-360" w:right="42"/>
        <w:jc w:val="both"/>
        <w:rPr>
          <w:sz w:val="22"/>
          <w:szCs w:val="22"/>
        </w:rPr>
      </w:pPr>
      <w:r w:rsidRPr="00B320C7">
        <w:rPr>
          <w:sz w:val="22"/>
          <w:szCs w:val="22"/>
        </w:rPr>
        <w:t xml:space="preserve">In </w:t>
      </w:r>
      <w:r w:rsidR="00B37FEB">
        <w:rPr>
          <w:sz w:val="22"/>
          <w:szCs w:val="22"/>
        </w:rPr>
        <w:t xml:space="preserve">our monthly reviews during </w:t>
      </w:r>
      <w:r w:rsidRPr="00B320C7">
        <w:rPr>
          <w:sz w:val="22"/>
          <w:szCs w:val="22"/>
        </w:rPr>
        <w:t xml:space="preserve">the last two months, Betam expected </w:t>
      </w:r>
      <w:r w:rsidR="00FB4824" w:rsidRPr="00B320C7">
        <w:rPr>
          <w:sz w:val="22"/>
          <w:szCs w:val="22"/>
        </w:rPr>
        <w:t xml:space="preserve">a revival in the economy </w:t>
      </w:r>
      <w:r w:rsidR="00B37FEB">
        <w:rPr>
          <w:sz w:val="22"/>
          <w:szCs w:val="22"/>
        </w:rPr>
        <w:t>depending on</w:t>
      </w:r>
      <w:r w:rsidR="00FB4824" w:rsidRPr="00B320C7">
        <w:rPr>
          <w:sz w:val="22"/>
          <w:szCs w:val="22"/>
        </w:rPr>
        <w:t xml:space="preserve"> October and November data. </w:t>
      </w:r>
      <w:r w:rsidR="002C1DEF" w:rsidRPr="00B320C7">
        <w:rPr>
          <w:sz w:val="22"/>
          <w:szCs w:val="22"/>
        </w:rPr>
        <w:t>After the announcement of December data, our expectations deteriorated. However, the general economic outlook of the economy is</w:t>
      </w:r>
      <w:r w:rsidR="00F5479B">
        <w:rPr>
          <w:sz w:val="22"/>
          <w:szCs w:val="22"/>
        </w:rPr>
        <w:t xml:space="preserve"> still</w:t>
      </w:r>
      <w:r w:rsidR="002C1DEF" w:rsidRPr="00B320C7">
        <w:rPr>
          <w:sz w:val="22"/>
          <w:szCs w:val="22"/>
        </w:rPr>
        <w:t xml:space="preserve"> </w:t>
      </w:r>
      <w:r w:rsidR="00895541" w:rsidRPr="00B320C7">
        <w:rPr>
          <w:sz w:val="22"/>
          <w:szCs w:val="22"/>
        </w:rPr>
        <w:t>better than the 3</w:t>
      </w:r>
      <w:r w:rsidR="00895541" w:rsidRPr="00B320C7">
        <w:rPr>
          <w:sz w:val="22"/>
          <w:szCs w:val="22"/>
          <w:vertAlign w:val="superscript"/>
        </w:rPr>
        <w:t>rd</w:t>
      </w:r>
      <w:r w:rsidR="00895541" w:rsidRPr="00B320C7">
        <w:rPr>
          <w:sz w:val="22"/>
          <w:szCs w:val="22"/>
        </w:rPr>
        <w:t xml:space="preserve"> quarter. </w:t>
      </w:r>
    </w:p>
    <w:p w:rsidR="00895541" w:rsidRPr="00B320C7" w:rsidRDefault="00895541" w:rsidP="006C2BFE">
      <w:pPr>
        <w:spacing w:line="360" w:lineRule="auto"/>
        <w:ind w:left="-360" w:right="42"/>
        <w:jc w:val="both"/>
        <w:rPr>
          <w:sz w:val="22"/>
          <w:szCs w:val="22"/>
          <w:highlight w:val="yellow"/>
        </w:rPr>
      </w:pPr>
    </w:p>
    <w:p w:rsidR="00C3674A" w:rsidRPr="00B320C7" w:rsidRDefault="00C3674A" w:rsidP="006C2BFE">
      <w:pPr>
        <w:spacing w:line="360" w:lineRule="auto"/>
        <w:ind w:left="-360" w:right="42"/>
        <w:jc w:val="both"/>
        <w:rPr>
          <w:sz w:val="22"/>
          <w:szCs w:val="22"/>
          <w:highlight w:val="yellow"/>
        </w:rPr>
      </w:pPr>
      <w:r w:rsidRPr="00B320C7">
        <w:rPr>
          <w:sz w:val="22"/>
          <w:szCs w:val="22"/>
        </w:rPr>
        <w:t>Due to the 1.5 percent decline</w:t>
      </w:r>
      <w:r w:rsidR="00345308" w:rsidRPr="00B320C7">
        <w:rPr>
          <w:sz w:val="22"/>
          <w:szCs w:val="22"/>
        </w:rPr>
        <w:t xml:space="preserve"> of the IPI</w:t>
      </w:r>
      <w:r w:rsidRPr="00B320C7">
        <w:rPr>
          <w:sz w:val="22"/>
          <w:szCs w:val="22"/>
        </w:rPr>
        <w:t xml:space="preserve"> in December,</w:t>
      </w:r>
      <w:r w:rsidR="00345308" w:rsidRPr="00B320C7">
        <w:rPr>
          <w:sz w:val="22"/>
          <w:szCs w:val="22"/>
        </w:rPr>
        <w:t xml:space="preserve"> the</w:t>
      </w:r>
      <w:r w:rsidRPr="00B320C7">
        <w:rPr>
          <w:sz w:val="22"/>
          <w:szCs w:val="22"/>
        </w:rPr>
        <w:t xml:space="preserve"> IPI only increased</w:t>
      </w:r>
      <w:r w:rsidR="00851738">
        <w:rPr>
          <w:sz w:val="22"/>
          <w:szCs w:val="22"/>
        </w:rPr>
        <w:t xml:space="preserve"> by</w:t>
      </w:r>
      <w:r w:rsidRPr="00B320C7">
        <w:rPr>
          <w:sz w:val="22"/>
          <w:szCs w:val="22"/>
        </w:rPr>
        <w:t xml:space="preserve"> 0.1 percent in </w:t>
      </w:r>
      <w:r w:rsidRPr="00B320C7">
        <w:rPr>
          <w:sz w:val="22"/>
          <w:szCs w:val="22"/>
        </w:rPr>
        <w:lastRenderedPageBreak/>
        <w:t>the 4</w:t>
      </w:r>
      <w:r w:rsidRPr="00B320C7">
        <w:rPr>
          <w:sz w:val="22"/>
          <w:szCs w:val="22"/>
          <w:vertAlign w:val="superscript"/>
        </w:rPr>
        <w:t>th</w:t>
      </w:r>
      <w:r w:rsidRPr="00B320C7">
        <w:rPr>
          <w:sz w:val="22"/>
          <w:szCs w:val="22"/>
        </w:rPr>
        <w:t xml:space="preserve"> quarter from the 3</w:t>
      </w:r>
      <w:r w:rsidRPr="00B320C7">
        <w:rPr>
          <w:sz w:val="22"/>
          <w:szCs w:val="22"/>
          <w:vertAlign w:val="superscript"/>
        </w:rPr>
        <w:t>rd</w:t>
      </w:r>
      <w:r w:rsidRPr="00B320C7">
        <w:rPr>
          <w:sz w:val="22"/>
          <w:szCs w:val="22"/>
        </w:rPr>
        <w:t xml:space="preserve"> quarter.</w:t>
      </w:r>
      <w:r w:rsidR="0022179E">
        <w:rPr>
          <w:rStyle w:val="DipnotBavurusu"/>
          <w:sz w:val="22"/>
          <w:szCs w:val="22"/>
        </w:rPr>
        <w:footnoteReference w:id="2"/>
      </w:r>
      <w:r w:rsidRPr="00B320C7">
        <w:rPr>
          <w:sz w:val="22"/>
          <w:szCs w:val="22"/>
        </w:rPr>
        <w:t xml:space="preserve"> </w:t>
      </w:r>
      <w:r w:rsidR="001A3CDC" w:rsidRPr="00B320C7">
        <w:rPr>
          <w:sz w:val="22"/>
          <w:szCs w:val="22"/>
        </w:rPr>
        <w:t>In other wor</w:t>
      </w:r>
      <w:r w:rsidR="0027608D">
        <w:rPr>
          <w:sz w:val="22"/>
          <w:szCs w:val="22"/>
        </w:rPr>
        <w:t>ds, industrial production almost did not change</w:t>
      </w:r>
      <w:r w:rsidR="001A3CDC" w:rsidRPr="00B320C7">
        <w:rPr>
          <w:sz w:val="22"/>
          <w:szCs w:val="22"/>
        </w:rPr>
        <w:t xml:space="preserve"> in the 4</w:t>
      </w:r>
      <w:r w:rsidR="001A3CDC" w:rsidRPr="00B320C7">
        <w:rPr>
          <w:sz w:val="22"/>
          <w:szCs w:val="22"/>
          <w:vertAlign w:val="superscript"/>
        </w:rPr>
        <w:t>th</w:t>
      </w:r>
      <w:r w:rsidR="001A3CDC" w:rsidRPr="00B320C7">
        <w:rPr>
          <w:sz w:val="22"/>
          <w:szCs w:val="22"/>
        </w:rPr>
        <w:t xml:space="preserve"> quarter. Industrial production (according to revised data) was</w:t>
      </w:r>
      <w:r w:rsidR="00345308" w:rsidRPr="00B320C7">
        <w:rPr>
          <w:sz w:val="22"/>
          <w:szCs w:val="22"/>
        </w:rPr>
        <w:t xml:space="preserve"> also</w:t>
      </w:r>
      <w:r w:rsidR="001A3CDC" w:rsidRPr="00B320C7">
        <w:rPr>
          <w:sz w:val="22"/>
          <w:szCs w:val="22"/>
        </w:rPr>
        <w:t xml:space="preserve"> almost stagnant in the 3</w:t>
      </w:r>
      <w:r w:rsidR="001A3CDC" w:rsidRPr="00B320C7">
        <w:rPr>
          <w:sz w:val="22"/>
          <w:szCs w:val="22"/>
          <w:vertAlign w:val="superscript"/>
        </w:rPr>
        <w:t>rd</w:t>
      </w:r>
      <w:r w:rsidR="001A3CDC" w:rsidRPr="00B320C7">
        <w:rPr>
          <w:sz w:val="22"/>
          <w:szCs w:val="22"/>
        </w:rPr>
        <w:t xml:space="preserve"> quarter. In December, imports and exports experienced </w:t>
      </w:r>
      <w:r w:rsidR="00851738">
        <w:rPr>
          <w:sz w:val="22"/>
          <w:szCs w:val="22"/>
        </w:rPr>
        <w:t>sharp</w:t>
      </w:r>
      <w:r w:rsidR="001A3CDC" w:rsidRPr="00B320C7">
        <w:rPr>
          <w:sz w:val="22"/>
          <w:szCs w:val="22"/>
        </w:rPr>
        <w:t xml:space="preserve"> declines. Gold excluded imports and exports decreased by 11 and 9.5 percent respectively.  </w:t>
      </w:r>
    </w:p>
    <w:p w:rsidR="0020184F" w:rsidRPr="00B320C7" w:rsidRDefault="0020184F" w:rsidP="006C2BFE">
      <w:pPr>
        <w:spacing w:line="360" w:lineRule="auto"/>
        <w:ind w:left="-360" w:right="42"/>
        <w:jc w:val="both"/>
        <w:rPr>
          <w:sz w:val="22"/>
          <w:szCs w:val="22"/>
          <w:highlight w:val="yellow"/>
        </w:rPr>
      </w:pPr>
    </w:p>
    <w:p w:rsidR="00106127" w:rsidRPr="00B320C7" w:rsidRDefault="0020184F" w:rsidP="00A704DD">
      <w:pPr>
        <w:spacing w:line="360" w:lineRule="auto"/>
        <w:ind w:left="-360" w:right="42"/>
        <w:jc w:val="both"/>
        <w:rPr>
          <w:sz w:val="22"/>
          <w:szCs w:val="22"/>
        </w:rPr>
      </w:pPr>
      <w:r w:rsidRPr="00B320C7">
        <w:rPr>
          <w:sz w:val="22"/>
          <w:szCs w:val="22"/>
        </w:rPr>
        <w:t xml:space="preserve">On the other hand, </w:t>
      </w:r>
      <w:r w:rsidR="00DB6B1A" w:rsidRPr="00B320C7">
        <w:rPr>
          <w:sz w:val="22"/>
          <w:szCs w:val="22"/>
        </w:rPr>
        <w:t>other economic indicators that indicate a revival in the last quarter still remain intact.</w:t>
      </w:r>
      <w:r w:rsidR="00A704DD" w:rsidRPr="00B320C7">
        <w:rPr>
          <w:sz w:val="22"/>
          <w:szCs w:val="22"/>
        </w:rPr>
        <w:t xml:space="preserve"> Leading indicators that still imply a revival are </w:t>
      </w:r>
      <w:r w:rsidR="00AB4B5B" w:rsidRPr="00B320C7">
        <w:rPr>
          <w:sz w:val="22"/>
          <w:szCs w:val="22"/>
        </w:rPr>
        <w:t>the consumer goods and investmen</w:t>
      </w:r>
      <w:r w:rsidR="00A704DD" w:rsidRPr="00B320C7">
        <w:rPr>
          <w:sz w:val="22"/>
          <w:szCs w:val="22"/>
        </w:rPr>
        <w:t>t goods imports and production.</w:t>
      </w:r>
      <w:r w:rsidR="00AB4B5B" w:rsidRPr="00B320C7">
        <w:rPr>
          <w:sz w:val="22"/>
          <w:szCs w:val="22"/>
        </w:rPr>
        <w:t xml:space="preserve"> Moreover, while durable goods production decreases, non-durable goods production increases. Even though real sector confidence index began to</w:t>
      </w:r>
      <w:r w:rsidR="00A704DD" w:rsidRPr="00B320C7">
        <w:rPr>
          <w:sz w:val="22"/>
          <w:szCs w:val="22"/>
        </w:rPr>
        <w:t xml:space="preserve"> deteriorate in December</w:t>
      </w:r>
      <w:r w:rsidR="00AB4B5B" w:rsidRPr="00B320C7">
        <w:rPr>
          <w:sz w:val="22"/>
          <w:szCs w:val="22"/>
        </w:rPr>
        <w:t xml:space="preserve">, </w:t>
      </w:r>
      <w:r w:rsidR="00AD2AAA" w:rsidRPr="00B320C7">
        <w:rPr>
          <w:sz w:val="22"/>
          <w:szCs w:val="22"/>
        </w:rPr>
        <w:t xml:space="preserve">it </w:t>
      </w:r>
      <w:r w:rsidR="00A704DD" w:rsidRPr="00B320C7">
        <w:rPr>
          <w:sz w:val="22"/>
          <w:szCs w:val="22"/>
        </w:rPr>
        <w:t>increased</w:t>
      </w:r>
      <w:r w:rsidR="00AD2AAA" w:rsidRPr="00B320C7">
        <w:rPr>
          <w:sz w:val="22"/>
          <w:szCs w:val="22"/>
        </w:rPr>
        <w:t xml:space="preserve"> significantly</w:t>
      </w:r>
      <w:r w:rsidR="0022179E">
        <w:rPr>
          <w:sz w:val="22"/>
          <w:szCs w:val="22"/>
        </w:rPr>
        <w:t xml:space="preserve"> quarter on quarter (QoQ)</w:t>
      </w:r>
      <w:r w:rsidR="00AD2AAA" w:rsidRPr="00B320C7">
        <w:rPr>
          <w:sz w:val="22"/>
          <w:szCs w:val="22"/>
        </w:rPr>
        <w:t>. As in</w:t>
      </w:r>
      <w:r w:rsidR="00A704DD" w:rsidRPr="00B320C7">
        <w:rPr>
          <w:sz w:val="22"/>
          <w:szCs w:val="22"/>
        </w:rPr>
        <w:t xml:space="preserve"> the</w:t>
      </w:r>
      <w:r w:rsidR="00AD2AAA" w:rsidRPr="00B320C7">
        <w:rPr>
          <w:sz w:val="22"/>
          <w:szCs w:val="22"/>
        </w:rPr>
        <w:t xml:space="preserve"> 4</w:t>
      </w:r>
      <w:r w:rsidR="00AD2AAA" w:rsidRPr="00B320C7">
        <w:rPr>
          <w:sz w:val="22"/>
          <w:szCs w:val="22"/>
          <w:vertAlign w:val="superscript"/>
        </w:rPr>
        <w:t>th</w:t>
      </w:r>
      <w:r w:rsidR="00AD2AAA" w:rsidRPr="00B320C7">
        <w:rPr>
          <w:sz w:val="22"/>
          <w:szCs w:val="22"/>
        </w:rPr>
        <w:t xml:space="preserve"> Quarter, IMKB 100 continue</w:t>
      </w:r>
      <w:r w:rsidR="00F5479B">
        <w:rPr>
          <w:sz w:val="22"/>
          <w:szCs w:val="22"/>
        </w:rPr>
        <w:t>d</w:t>
      </w:r>
      <w:r w:rsidR="00A704DD" w:rsidRPr="00B320C7">
        <w:rPr>
          <w:sz w:val="22"/>
          <w:szCs w:val="22"/>
        </w:rPr>
        <w:t xml:space="preserve"> to surge</w:t>
      </w:r>
      <w:r w:rsidR="00AD2AAA" w:rsidRPr="00B320C7">
        <w:rPr>
          <w:sz w:val="22"/>
          <w:szCs w:val="22"/>
        </w:rPr>
        <w:t xml:space="preserve"> in January. </w:t>
      </w:r>
      <w:r w:rsidR="004149F4" w:rsidRPr="00B320C7">
        <w:rPr>
          <w:sz w:val="22"/>
          <w:szCs w:val="22"/>
        </w:rPr>
        <w:t xml:space="preserve">Although </w:t>
      </w:r>
      <w:r w:rsidR="00106127" w:rsidRPr="00B320C7">
        <w:rPr>
          <w:sz w:val="22"/>
          <w:szCs w:val="22"/>
        </w:rPr>
        <w:t>automobile production experienced a slump in December, it increased 4 percent</w:t>
      </w:r>
      <w:r w:rsidR="00851738">
        <w:rPr>
          <w:sz w:val="22"/>
          <w:szCs w:val="22"/>
        </w:rPr>
        <w:t xml:space="preserve"> QoQ</w:t>
      </w:r>
      <w:r w:rsidR="00106127" w:rsidRPr="00B320C7">
        <w:rPr>
          <w:sz w:val="22"/>
          <w:szCs w:val="22"/>
        </w:rPr>
        <w:t xml:space="preserve">. </w:t>
      </w:r>
    </w:p>
    <w:p w:rsidR="00106127" w:rsidRPr="00B320C7" w:rsidRDefault="00106127" w:rsidP="006C2BFE">
      <w:pPr>
        <w:spacing w:line="360" w:lineRule="auto"/>
        <w:ind w:left="-360" w:right="42"/>
        <w:jc w:val="both"/>
        <w:rPr>
          <w:sz w:val="22"/>
          <w:szCs w:val="22"/>
        </w:rPr>
      </w:pPr>
    </w:p>
    <w:p w:rsidR="0020184F" w:rsidRPr="00B320C7" w:rsidRDefault="00761F9C" w:rsidP="006C2BFE">
      <w:pPr>
        <w:spacing w:line="360" w:lineRule="auto"/>
        <w:ind w:left="-360" w:right="42"/>
        <w:jc w:val="both"/>
        <w:rPr>
          <w:sz w:val="22"/>
          <w:szCs w:val="22"/>
        </w:rPr>
      </w:pPr>
      <w:r w:rsidRPr="00B320C7">
        <w:rPr>
          <w:sz w:val="22"/>
          <w:szCs w:val="22"/>
        </w:rPr>
        <w:t>Even though there is no increase in the IPI, other economic indicators</w:t>
      </w:r>
      <w:r w:rsidR="00944AFC" w:rsidRPr="00B320C7">
        <w:rPr>
          <w:sz w:val="22"/>
          <w:szCs w:val="22"/>
        </w:rPr>
        <w:t xml:space="preserve"> for consumption and investment</w:t>
      </w:r>
      <w:r w:rsidRPr="00B320C7">
        <w:rPr>
          <w:sz w:val="22"/>
          <w:szCs w:val="22"/>
        </w:rPr>
        <w:t xml:space="preserve"> are positive</w:t>
      </w:r>
      <w:r w:rsidR="00C43E1F" w:rsidRPr="00B320C7">
        <w:rPr>
          <w:sz w:val="22"/>
          <w:szCs w:val="22"/>
        </w:rPr>
        <w:t>. This indicate</w:t>
      </w:r>
      <w:r w:rsidR="00AF76F9" w:rsidRPr="00B320C7">
        <w:rPr>
          <w:sz w:val="22"/>
          <w:szCs w:val="22"/>
        </w:rPr>
        <w:t>s</w:t>
      </w:r>
      <w:r w:rsidR="00C43E1F" w:rsidRPr="00B320C7">
        <w:rPr>
          <w:sz w:val="22"/>
          <w:szCs w:val="22"/>
        </w:rPr>
        <w:t xml:space="preserve"> that part of consumption and investment is met by </w:t>
      </w:r>
      <w:r w:rsidR="00AF76F9" w:rsidRPr="00B320C7">
        <w:rPr>
          <w:sz w:val="22"/>
          <w:szCs w:val="22"/>
        </w:rPr>
        <w:t>inventories.</w:t>
      </w:r>
      <w:r w:rsidR="002E5D1D" w:rsidRPr="00B320C7">
        <w:rPr>
          <w:sz w:val="22"/>
          <w:szCs w:val="22"/>
        </w:rPr>
        <w:t xml:space="preserve"> In the third quarter, the revival in consumption </w:t>
      </w:r>
      <w:r w:rsidR="00851738">
        <w:rPr>
          <w:sz w:val="22"/>
          <w:szCs w:val="22"/>
        </w:rPr>
        <w:t>was</w:t>
      </w:r>
      <w:r w:rsidR="002E5D1D" w:rsidRPr="00B320C7">
        <w:rPr>
          <w:sz w:val="22"/>
          <w:szCs w:val="22"/>
        </w:rPr>
        <w:t xml:space="preserve"> balanced by the increase in inventory. This can also happen in the last quarter. According to these developments, we revised our growth forecasts down. Betam’s first QoQ growth forecast was 1.2 percent. We lower</w:t>
      </w:r>
      <w:r w:rsidR="00F5479B">
        <w:rPr>
          <w:sz w:val="22"/>
          <w:szCs w:val="22"/>
        </w:rPr>
        <w:t>ed</w:t>
      </w:r>
      <w:r w:rsidR="002E5D1D" w:rsidRPr="00B320C7">
        <w:rPr>
          <w:sz w:val="22"/>
          <w:szCs w:val="22"/>
        </w:rPr>
        <w:t xml:space="preserve"> this forecast to 0.6 percent. </w:t>
      </w:r>
      <w:r w:rsidR="00555A4D" w:rsidRPr="00B320C7">
        <w:rPr>
          <w:sz w:val="22"/>
          <w:szCs w:val="22"/>
        </w:rPr>
        <w:t xml:space="preserve">The corresponding </w:t>
      </w:r>
      <w:r w:rsidR="00A704DD" w:rsidRPr="00B320C7">
        <w:rPr>
          <w:sz w:val="22"/>
          <w:szCs w:val="22"/>
        </w:rPr>
        <w:t>YoY</w:t>
      </w:r>
      <w:r w:rsidR="00555A4D" w:rsidRPr="00B320C7">
        <w:rPr>
          <w:sz w:val="22"/>
          <w:szCs w:val="22"/>
        </w:rPr>
        <w:t xml:space="preserve"> growth rate is 2.4 </w:t>
      </w:r>
      <w:r w:rsidR="00555A4D" w:rsidRPr="00B320C7">
        <w:rPr>
          <w:sz w:val="22"/>
          <w:szCs w:val="22"/>
        </w:rPr>
        <w:lastRenderedPageBreak/>
        <w:t>percent. After the revision, we lower our annual growth forecast for 2012 from 2.7 to 2.6</w:t>
      </w:r>
      <w:r w:rsidR="00303166" w:rsidRPr="00303166">
        <w:rPr>
          <w:sz w:val="22"/>
          <w:szCs w:val="22"/>
        </w:rPr>
        <w:t xml:space="preserve"> </w:t>
      </w:r>
      <w:r w:rsidR="00303166" w:rsidRPr="00B320C7">
        <w:rPr>
          <w:sz w:val="22"/>
          <w:szCs w:val="22"/>
        </w:rPr>
        <w:t>percent</w:t>
      </w:r>
      <w:r w:rsidR="00555A4D" w:rsidRPr="00B320C7">
        <w:rPr>
          <w:sz w:val="22"/>
          <w:szCs w:val="22"/>
        </w:rPr>
        <w:t xml:space="preserve">. </w:t>
      </w:r>
    </w:p>
    <w:p w:rsidR="00A74D70" w:rsidRPr="00B320C7" w:rsidRDefault="00A74D70" w:rsidP="002E5D1D">
      <w:pPr>
        <w:spacing w:line="360" w:lineRule="auto"/>
        <w:ind w:right="-48"/>
        <w:rPr>
          <w:b/>
          <w:bCs/>
          <w:sz w:val="22"/>
          <w:szCs w:val="22"/>
        </w:rPr>
      </w:pPr>
    </w:p>
    <w:p w:rsidR="00542834" w:rsidRPr="00B320C7" w:rsidRDefault="000F6D02" w:rsidP="00DD6027">
      <w:pPr>
        <w:spacing w:line="360" w:lineRule="auto"/>
        <w:ind w:left="-360" w:right="-48"/>
        <w:jc w:val="center"/>
        <w:rPr>
          <w:b/>
          <w:bCs/>
          <w:sz w:val="22"/>
          <w:szCs w:val="22"/>
        </w:rPr>
      </w:pPr>
      <w:r w:rsidRPr="00B320C7">
        <w:rPr>
          <w:b/>
          <w:bCs/>
          <w:sz w:val="22"/>
          <w:szCs w:val="22"/>
        </w:rPr>
        <w:t>Hard Landing in the Economy</w:t>
      </w:r>
    </w:p>
    <w:p w:rsidR="001A0237" w:rsidRPr="00B320C7" w:rsidRDefault="001A0237" w:rsidP="00DD6027">
      <w:pPr>
        <w:spacing w:line="360" w:lineRule="auto"/>
        <w:ind w:left="-360" w:right="-48"/>
        <w:jc w:val="center"/>
        <w:rPr>
          <w:b/>
          <w:bCs/>
          <w:sz w:val="22"/>
          <w:szCs w:val="22"/>
        </w:rPr>
      </w:pPr>
    </w:p>
    <w:p w:rsidR="000F6D02" w:rsidRPr="00B320C7" w:rsidRDefault="00A704DD" w:rsidP="007E041E">
      <w:pPr>
        <w:spacing w:line="360" w:lineRule="auto"/>
        <w:ind w:left="-360" w:right="42"/>
        <w:jc w:val="both"/>
        <w:rPr>
          <w:sz w:val="22"/>
          <w:szCs w:val="22"/>
        </w:rPr>
      </w:pPr>
      <w:r w:rsidRPr="00B320C7">
        <w:rPr>
          <w:sz w:val="22"/>
          <w:szCs w:val="22"/>
        </w:rPr>
        <w:t>In our</w:t>
      </w:r>
      <w:r w:rsidR="000F6D02" w:rsidRPr="00B320C7">
        <w:rPr>
          <w:sz w:val="22"/>
          <w:szCs w:val="22"/>
        </w:rPr>
        <w:t xml:space="preserve"> 3</w:t>
      </w:r>
      <w:r w:rsidR="000F6D02" w:rsidRPr="00B320C7">
        <w:rPr>
          <w:sz w:val="22"/>
          <w:szCs w:val="22"/>
          <w:vertAlign w:val="superscript"/>
        </w:rPr>
        <w:t>rd</w:t>
      </w:r>
      <w:r w:rsidR="000F6D02" w:rsidRPr="00B320C7">
        <w:rPr>
          <w:sz w:val="22"/>
          <w:szCs w:val="22"/>
        </w:rPr>
        <w:t xml:space="preserve"> quarter growth review research brief, we indicate</w:t>
      </w:r>
      <w:r w:rsidR="00F5479B">
        <w:rPr>
          <w:sz w:val="22"/>
          <w:szCs w:val="22"/>
        </w:rPr>
        <w:t>d</w:t>
      </w:r>
      <w:r w:rsidR="000F6D02" w:rsidRPr="00B320C7">
        <w:rPr>
          <w:sz w:val="22"/>
          <w:szCs w:val="22"/>
        </w:rPr>
        <w:t xml:space="preserve"> that</w:t>
      </w:r>
      <w:r w:rsidRPr="00B320C7">
        <w:rPr>
          <w:sz w:val="22"/>
          <w:szCs w:val="22"/>
        </w:rPr>
        <w:t xml:space="preserve"> the</w:t>
      </w:r>
      <w:r w:rsidR="000F6D02" w:rsidRPr="00B320C7">
        <w:rPr>
          <w:sz w:val="22"/>
          <w:szCs w:val="22"/>
        </w:rPr>
        <w:t xml:space="preserve"> annual growth rate f</w:t>
      </w:r>
      <w:r w:rsidRPr="00B320C7">
        <w:rPr>
          <w:sz w:val="22"/>
          <w:szCs w:val="22"/>
        </w:rPr>
        <w:t>or</w:t>
      </w:r>
      <w:r w:rsidR="000F6D02" w:rsidRPr="00B320C7">
        <w:rPr>
          <w:sz w:val="22"/>
          <w:szCs w:val="22"/>
        </w:rPr>
        <w:t xml:space="preserve"> 2012 cannot be above 3 percent and the economy </w:t>
      </w:r>
      <w:r w:rsidR="00F5479B">
        <w:rPr>
          <w:sz w:val="22"/>
          <w:szCs w:val="22"/>
        </w:rPr>
        <w:t>was</w:t>
      </w:r>
      <w:r w:rsidR="000F6D02" w:rsidRPr="00B320C7">
        <w:rPr>
          <w:sz w:val="22"/>
          <w:szCs w:val="22"/>
        </w:rPr>
        <w:t xml:space="preserve"> proceeding to make a “hard landing”.</w:t>
      </w:r>
      <w:r w:rsidRPr="00B320C7">
        <w:rPr>
          <w:sz w:val="22"/>
          <w:szCs w:val="22"/>
        </w:rPr>
        <w:t xml:space="preserve"> The 4</w:t>
      </w:r>
      <w:r w:rsidRPr="00B320C7">
        <w:rPr>
          <w:sz w:val="22"/>
          <w:szCs w:val="22"/>
          <w:vertAlign w:val="superscript"/>
        </w:rPr>
        <w:t>th</w:t>
      </w:r>
      <w:r w:rsidRPr="00B320C7">
        <w:rPr>
          <w:sz w:val="22"/>
          <w:szCs w:val="22"/>
        </w:rPr>
        <w:t xml:space="preserve"> quarter</w:t>
      </w:r>
      <w:r w:rsidR="00F5479B">
        <w:rPr>
          <w:sz w:val="22"/>
          <w:szCs w:val="22"/>
        </w:rPr>
        <w:t xml:space="preserve"> economic indicators that are</w:t>
      </w:r>
      <w:r w:rsidR="005D451C" w:rsidRPr="00B320C7">
        <w:rPr>
          <w:sz w:val="22"/>
          <w:szCs w:val="22"/>
        </w:rPr>
        <w:t xml:space="preserve"> finalized after the announcement of December data </w:t>
      </w:r>
      <w:r w:rsidR="00F5479B">
        <w:rPr>
          <w:sz w:val="22"/>
          <w:szCs w:val="22"/>
        </w:rPr>
        <w:t>point out</w:t>
      </w:r>
      <w:r w:rsidR="005D451C" w:rsidRPr="00B320C7">
        <w:rPr>
          <w:sz w:val="22"/>
          <w:szCs w:val="22"/>
        </w:rPr>
        <w:t xml:space="preserve"> </w:t>
      </w:r>
      <w:r w:rsidR="00F5479B">
        <w:rPr>
          <w:sz w:val="22"/>
          <w:szCs w:val="22"/>
        </w:rPr>
        <w:t>the</w:t>
      </w:r>
      <w:r w:rsidR="005D451C" w:rsidRPr="00B320C7">
        <w:rPr>
          <w:sz w:val="22"/>
          <w:szCs w:val="22"/>
        </w:rPr>
        <w:t xml:space="preserve"> accuracy of our forecast. </w:t>
      </w:r>
      <w:r w:rsidR="00DF11EE" w:rsidRPr="0022179E">
        <w:rPr>
          <w:sz w:val="22"/>
          <w:szCs w:val="22"/>
        </w:rPr>
        <w:t xml:space="preserve">From now on, </w:t>
      </w:r>
      <w:r w:rsidR="00A977CF" w:rsidRPr="0022179E">
        <w:rPr>
          <w:sz w:val="22"/>
          <w:szCs w:val="22"/>
        </w:rPr>
        <w:t>discussions</w:t>
      </w:r>
      <w:r w:rsidR="00851738" w:rsidRPr="0022179E">
        <w:rPr>
          <w:sz w:val="22"/>
          <w:szCs w:val="22"/>
        </w:rPr>
        <w:t xml:space="preserve"> </w:t>
      </w:r>
      <w:r w:rsidR="00A977CF" w:rsidRPr="0022179E">
        <w:rPr>
          <w:sz w:val="22"/>
          <w:szCs w:val="22"/>
        </w:rPr>
        <w:t>about</w:t>
      </w:r>
      <w:r w:rsidR="00851738" w:rsidRPr="0022179E">
        <w:rPr>
          <w:sz w:val="22"/>
          <w:szCs w:val="22"/>
        </w:rPr>
        <w:t xml:space="preserve"> </w:t>
      </w:r>
      <w:r w:rsidR="00B320C7" w:rsidRPr="0022179E">
        <w:rPr>
          <w:sz w:val="22"/>
          <w:szCs w:val="22"/>
        </w:rPr>
        <w:t>growth will move</w:t>
      </w:r>
      <w:r w:rsidR="0022179E">
        <w:rPr>
          <w:sz w:val="22"/>
          <w:szCs w:val="22"/>
        </w:rPr>
        <w:t xml:space="preserve"> away</w:t>
      </w:r>
      <w:r w:rsidR="00B320C7" w:rsidRPr="0022179E">
        <w:rPr>
          <w:sz w:val="22"/>
          <w:szCs w:val="22"/>
        </w:rPr>
        <w:t xml:space="preserve"> from </w:t>
      </w:r>
      <w:r w:rsidR="0022179E">
        <w:rPr>
          <w:sz w:val="22"/>
          <w:szCs w:val="22"/>
        </w:rPr>
        <w:t>whether</w:t>
      </w:r>
      <w:r w:rsidR="005B2CF3" w:rsidRPr="0022179E">
        <w:rPr>
          <w:sz w:val="22"/>
          <w:szCs w:val="22"/>
        </w:rPr>
        <w:t xml:space="preserve"> landing</w:t>
      </w:r>
      <w:r w:rsidR="0022179E">
        <w:rPr>
          <w:sz w:val="22"/>
          <w:szCs w:val="22"/>
        </w:rPr>
        <w:t xml:space="preserve"> was hard or soft,</w:t>
      </w:r>
      <w:r w:rsidR="00A977CF" w:rsidRPr="0022179E">
        <w:rPr>
          <w:sz w:val="22"/>
          <w:szCs w:val="22"/>
        </w:rPr>
        <w:t xml:space="preserve"> </w:t>
      </w:r>
      <w:r w:rsidR="0022179E">
        <w:rPr>
          <w:sz w:val="22"/>
          <w:szCs w:val="22"/>
        </w:rPr>
        <w:t>rather, they will focus on</w:t>
      </w:r>
      <w:r w:rsidR="0022179E" w:rsidRPr="0022179E">
        <w:rPr>
          <w:sz w:val="22"/>
          <w:szCs w:val="22"/>
        </w:rPr>
        <w:t xml:space="preserve"> </w:t>
      </w:r>
      <w:r w:rsidR="001D478F">
        <w:rPr>
          <w:sz w:val="22"/>
          <w:szCs w:val="22"/>
        </w:rPr>
        <w:t>whether growth can be revived</w:t>
      </w:r>
      <w:r w:rsidR="0022179E" w:rsidRPr="0022179E">
        <w:rPr>
          <w:sz w:val="22"/>
          <w:szCs w:val="22"/>
        </w:rPr>
        <w:t xml:space="preserve"> in 2013</w:t>
      </w:r>
      <w:r w:rsidR="001D478F">
        <w:rPr>
          <w:sz w:val="22"/>
          <w:szCs w:val="22"/>
        </w:rPr>
        <w:t xml:space="preserve"> or not</w:t>
      </w:r>
      <w:r w:rsidR="00A977CF" w:rsidRPr="0022179E">
        <w:rPr>
          <w:sz w:val="22"/>
          <w:szCs w:val="22"/>
        </w:rPr>
        <w:t>.</w:t>
      </w:r>
      <w:r w:rsidR="00A977CF" w:rsidRPr="00B320C7">
        <w:rPr>
          <w:sz w:val="22"/>
          <w:szCs w:val="22"/>
        </w:rPr>
        <w:t xml:space="preserve"> </w:t>
      </w:r>
      <w:bookmarkStart w:id="0" w:name="_GoBack"/>
      <w:bookmarkEnd w:id="0"/>
    </w:p>
    <w:p w:rsidR="005D451C" w:rsidRPr="00B320C7" w:rsidRDefault="005D451C" w:rsidP="007E041E">
      <w:pPr>
        <w:spacing w:line="360" w:lineRule="auto"/>
        <w:ind w:left="-360" w:right="42"/>
        <w:jc w:val="both"/>
        <w:rPr>
          <w:sz w:val="22"/>
          <w:szCs w:val="22"/>
        </w:rPr>
      </w:pPr>
    </w:p>
    <w:p w:rsidR="00A977CF" w:rsidRPr="00B320C7" w:rsidRDefault="00F5479B" w:rsidP="007E041E">
      <w:pPr>
        <w:spacing w:line="360" w:lineRule="auto"/>
        <w:ind w:left="-360" w:right="42"/>
        <w:jc w:val="both"/>
        <w:rPr>
          <w:sz w:val="22"/>
          <w:szCs w:val="22"/>
        </w:rPr>
      </w:pPr>
      <w:r>
        <w:rPr>
          <w:sz w:val="22"/>
          <w:szCs w:val="22"/>
        </w:rPr>
        <w:t>Even though December d</w:t>
      </w:r>
      <w:r w:rsidR="00A977CF" w:rsidRPr="00B320C7">
        <w:rPr>
          <w:sz w:val="22"/>
          <w:szCs w:val="22"/>
        </w:rPr>
        <w:t xml:space="preserve">ata </w:t>
      </w:r>
      <w:r w:rsidR="005D451C" w:rsidRPr="00B320C7">
        <w:rPr>
          <w:sz w:val="22"/>
          <w:szCs w:val="22"/>
        </w:rPr>
        <w:t>lowered the spirits</w:t>
      </w:r>
      <w:r w:rsidR="00AA2962" w:rsidRPr="00B320C7">
        <w:rPr>
          <w:sz w:val="22"/>
          <w:szCs w:val="22"/>
        </w:rPr>
        <w:t>, Turkish Exporters Assembly data indicate that exports in January may offset the fall in December.</w:t>
      </w:r>
      <w:r w:rsidR="005D451C" w:rsidRPr="00B320C7">
        <w:rPr>
          <w:sz w:val="22"/>
          <w:szCs w:val="22"/>
        </w:rPr>
        <w:t xml:space="preserve"> Following this,</w:t>
      </w:r>
      <w:r w:rsidR="00AA2962" w:rsidRPr="00B320C7">
        <w:rPr>
          <w:sz w:val="22"/>
          <w:szCs w:val="22"/>
        </w:rPr>
        <w:t xml:space="preserve"> IPI m</w:t>
      </w:r>
      <w:r w:rsidR="005D451C" w:rsidRPr="00B320C7">
        <w:rPr>
          <w:sz w:val="22"/>
          <w:szCs w:val="22"/>
        </w:rPr>
        <w:t>ay also increase in January. However, IPI</w:t>
      </w:r>
      <w:r w:rsidR="00AA2962" w:rsidRPr="00B320C7">
        <w:rPr>
          <w:sz w:val="22"/>
          <w:szCs w:val="22"/>
        </w:rPr>
        <w:t xml:space="preserve"> </w:t>
      </w:r>
      <w:r w:rsidR="00F25D52">
        <w:rPr>
          <w:sz w:val="22"/>
          <w:szCs w:val="22"/>
        </w:rPr>
        <w:t>has been following a</w:t>
      </w:r>
      <w:r w:rsidR="00AA2962" w:rsidRPr="00B320C7">
        <w:rPr>
          <w:sz w:val="22"/>
          <w:szCs w:val="22"/>
        </w:rPr>
        <w:t xml:space="preserve"> volatile path </w:t>
      </w:r>
      <w:r w:rsidR="00851738">
        <w:rPr>
          <w:sz w:val="22"/>
          <w:szCs w:val="22"/>
        </w:rPr>
        <w:t>for</w:t>
      </w:r>
      <w:r w:rsidR="00AA2962" w:rsidRPr="00B320C7">
        <w:rPr>
          <w:sz w:val="22"/>
          <w:szCs w:val="22"/>
        </w:rPr>
        <w:t xml:space="preserve"> a long time.</w:t>
      </w:r>
      <w:r w:rsidR="00F25D52">
        <w:rPr>
          <w:sz w:val="22"/>
          <w:szCs w:val="22"/>
        </w:rPr>
        <w:t xml:space="preserve"> Hence, an increase in January will not be enough to make a conclusion.</w:t>
      </w:r>
      <w:r w:rsidR="00AA2962" w:rsidRPr="00B320C7">
        <w:rPr>
          <w:sz w:val="22"/>
          <w:szCs w:val="22"/>
        </w:rPr>
        <w:t xml:space="preserve">  </w:t>
      </w:r>
    </w:p>
    <w:p w:rsidR="000F6D02" w:rsidRPr="00B320C7" w:rsidRDefault="000F6D02" w:rsidP="007E041E">
      <w:pPr>
        <w:spacing w:line="360" w:lineRule="auto"/>
        <w:ind w:left="-360" w:right="42"/>
        <w:jc w:val="both"/>
        <w:rPr>
          <w:sz w:val="22"/>
          <w:szCs w:val="22"/>
        </w:rPr>
      </w:pPr>
    </w:p>
    <w:p w:rsidR="00A74D70" w:rsidRPr="00B320C7" w:rsidRDefault="00852961" w:rsidP="00FE7F40">
      <w:pPr>
        <w:spacing w:line="360" w:lineRule="auto"/>
        <w:ind w:left="-360" w:right="-48"/>
        <w:jc w:val="both"/>
        <w:rPr>
          <w:bCs/>
          <w:sz w:val="22"/>
          <w:szCs w:val="22"/>
        </w:rPr>
      </w:pPr>
      <w:r w:rsidRPr="00B320C7">
        <w:rPr>
          <w:bCs/>
          <w:sz w:val="22"/>
          <w:szCs w:val="22"/>
        </w:rPr>
        <w:t>In policy side, there is not much change. Monetary policy is still expansionary. Because of concerns about credit growth, TCMB increased required reserve ratios slightly, but loan rates are still very low. Exports</w:t>
      </w:r>
      <w:r w:rsidR="00981D6D">
        <w:rPr>
          <w:bCs/>
          <w:sz w:val="22"/>
          <w:szCs w:val="22"/>
        </w:rPr>
        <w:t>,</w:t>
      </w:r>
      <w:r w:rsidRPr="00B320C7">
        <w:rPr>
          <w:bCs/>
          <w:sz w:val="22"/>
          <w:szCs w:val="22"/>
        </w:rPr>
        <w:t xml:space="preserve"> which </w:t>
      </w:r>
      <w:r w:rsidR="00981D6D">
        <w:rPr>
          <w:bCs/>
          <w:sz w:val="22"/>
          <w:szCs w:val="22"/>
        </w:rPr>
        <w:t>were not sufficiently large to</w:t>
      </w:r>
      <w:r w:rsidRPr="00B320C7">
        <w:rPr>
          <w:bCs/>
          <w:sz w:val="22"/>
          <w:szCs w:val="22"/>
        </w:rPr>
        <w:t xml:space="preserve"> carry </w:t>
      </w:r>
      <w:r w:rsidR="00981D6D">
        <w:rPr>
          <w:bCs/>
          <w:sz w:val="22"/>
          <w:szCs w:val="22"/>
        </w:rPr>
        <w:t>growth</w:t>
      </w:r>
      <w:r w:rsidRPr="00B320C7">
        <w:rPr>
          <w:bCs/>
          <w:sz w:val="22"/>
          <w:szCs w:val="22"/>
        </w:rPr>
        <w:t xml:space="preserve"> to the </w:t>
      </w:r>
      <w:r w:rsidR="00041479" w:rsidRPr="00B320C7">
        <w:rPr>
          <w:bCs/>
          <w:sz w:val="22"/>
          <w:szCs w:val="22"/>
        </w:rPr>
        <w:t>targeted</w:t>
      </w:r>
      <w:r w:rsidRPr="00B320C7">
        <w:rPr>
          <w:bCs/>
          <w:sz w:val="22"/>
          <w:szCs w:val="22"/>
        </w:rPr>
        <w:t xml:space="preserve"> level</w:t>
      </w:r>
      <w:r w:rsidR="00851738">
        <w:rPr>
          <w:bCs/>
          <w:sz w:val="22"/>
          <w:szCs w:val="22"/>
        </w:rPr>
        <w:t xml:space="preserve"> in 2012</w:t>
      </w:r>
      <w:r w:rsidR="00981D6D">
        <w:rPr>
          <w:bCs/>
          <w:sz w:val="22"/>
          <w:szCs w:val="22"/>
        </w:rPr>
        <w:t>,</w:t>
      </w:r>
      <w:r w:rsidRPr="00B320C7">
        <w:rPr>
          <w:bCs/>
          <w:sz w:val="22"/>
          <w:szCs w:val="22"/>
        </w:rPr>
        <w:t xml:space="preserve"> </w:t>
      </w:r>
      <w:r w:rsidR="00304BD3" w:rsidRPr="00B320C7">
        <w:rPr>
          <w:bCs/>
          <w:sz w:val="22"/>
          <w:szCs w:val="22"/>
        </w:rPr>
        <w:t>are</w:t>
      </w:r>
      <w:r w:rsidR="00981D6D">
        <w:rPr>
          <w:bCs/>
          <w:sz w:val="22"/>
          <w:szCs w:val="22"/>
        </w:rPr>
        <w:t xml:space="preserve"> not</w:t>
      </w:r>
      <w:r w:rsidR="00304BD3" w:rsidRPr="00B320C7">
        <w:rPr>
          <w:bCs/>
          <w:sz w:val="22"/>
          <w:szCs w:val="22"/>
        </w:rPr>
        <w:t xml:space="preserve"> expected to push the GDP to the 4 percent</w:t>
      </w:r>
      <w:r w:rsidR="00981D6D">
        <w:rPr>
          <w:bCs/>
          <w:sz w:val="22"/>
          <w:szCs w:val="22"/>
        </w:rPr>
        <w:t xml:space="preserve"> in 2013 either</w:t>
      </w:r>
      <w:r w:rsidR="00304BD3" w:rsidRPr="00B320C7">
        <w:rPr>
          <w:bCs/>
          <w:sz w:val="22"/>
          <w:szCs w:val="22"/>
        </w:rPr>
        <w:t xml:space="preserve"> without </w:t>
      </w:r>
      <w:r w:rsidR="00981D6D">
        <w:rPr>
          <w:bCs/>
          <w:sz w:val="22"/>
          <w:szCs w:val="22"/>
        </w:rPr>
        <w:t xml:space="preserve">any </w:t>
      </w:r>
      <w:r w:rsidR="00304BD3" w:rsidRPr="00B320C7">
        <w:rPr>
          <w:bCs/>
          <w:sz w:val="22"/>
          <w:szCs w:val="22"/>
        </w:rPr>
        <w:t xml:space="preserve">major </w:t>
      </w:r>
      <w:r w:rsidR="00981D6D">
        <w:rPr>
          <w:bCs/>
          <w:sz w:val="22"/>
          <w:szCs w:val="22"/>
        </w:rPr>
        <w:t>changes in the global outlook</w:t>
      </w:r>
      <w:r w:rsidR="00304BD3" w:rsidRPr="00B320C7">
        <w:rPr>
          <w:bCs/>
          <w:sz w:val="22"/>
          <w:szCs w:val="22"/>
        </w:rPr>
        <w:t xml:space="preserve">. </w:t>
      </w:r>
      <w:r w:rsidR="00571B47">
        <w:rPr>
          <w:bCs/>
          <w:sz w:val="22"/>
          <w:szCs w:val="22"/>
        </w:rPr>
        <w:t>In order to achieve</w:t>
      </w:r>
      <w:r w:rsidR="00304BD3" w:rsidRPr="00B320C7">
        <w:rPr>
          <w:bCs/>
          <w:sz w:val="22"/>
          <w:szCs w:val="22"/>
        </w:rPr>
        <w:t xml:space="preserve"> 4 percent growth, domestic demand should be revived. In the last quarter, we see some signs</w:t>
      </w:r>
      <w:r w:rsidR="00041479" w:rsidRPr="00B320C7">
        <w:rPr>
          <w:bCs/>
          <w:sz w:val="22"/>
          <w:szCs w:val="22"/>
        </w:rPr>
        <w:t xml:space="preserve"> regarding the revival</w:t>
      </w:r>
      <w:r w:rsidR="00304BD3" w:rsidRPr="00B320C7">
        <w:rPr>
          <w:bCs/>
          <w:sz w:val="22"/>
          <w:szCs w:val="22"/>
        </w:rPr>
        <w:t xml:space="preserve">, </w:t>
      </w:r>
      <w:r w:rsidR="00E80EEC">
        <w:rPr>
          <w:bCs/>
          <w:sz w:val="22"/>
          <w:szCs w:val="22"/>
        </w:rPr>
        <w:t xml:space="preserve">but it is not yet evident </w:t>
      </w:r>
      <w:r w:rsidR="00304BD3" w:rsidRPr="00B320C7">
        <w:rPr>
          <w:bCs/>
          <w:sz w:val="22"/>
          <w:szCs w:val="22"/>
        </w:rPr>
        <w:t>in the production</w:t>
      </w:r>
      <w:r w:rsidR="00E80EEC">
        <w:rPr>
          <w:bCs/>
          <w:sz w:val="22"/>
          <w:szCs w:val="22"/>
        </w:rPr>
        <w:t xml:space="preserve"> data</w:t>
      </w:r>
      <w:r w:rsidR="00304BD3" w:rsidRPr="00B320C7">
        <w:rPr>
          <w:bCs/>
          <w:sz w:val="22"/>
          <w:szCs w:val="22"/>
        </w:rPr>
        <w:t xml:space="preserve">. </w:t>
      </w:r>
      <w:r w:rsidR="00041479" w:rsidRPr="00B320C7">
        <w:rPr>
          <w:bCs/>
          <w:sz w:val="22"/>
          <w:szCs w:val="22"/>
        </w:rPr>
        <w:t xml:space="preserve">First </w:t>
      </w:r>
      <w:r w:rsidR="00041479" w:rsidRPr="00B320C7">
        <w:rPr>
          <w:bCs/>
          <w:sz w:val="22"/>
          <w:szCs w:val="22"/>
        </w:rPr>
        <w:lastRenderedPageBreak/>
        <w:t xml:space="preserve">quarter data will </w:t>
      </w:r>
      <w:r w:rsidR="001F5435">
        <w:rPr>
          <w:bCs/>
          <w:sz w:val="22"/>
          <w:szCs w:val="22"/>
        </w:rPr>
        <w:t>contain</w:t>
      </w:r>
      <w:r w:rsidR="00041479" w:rsidRPr="00B320C7">
        <w:rPr>
          <w:bCs/>
          <w:sz w:val="22"/>
          <w:szCs w:val="22"/>
        </w:rPr>
        <w:t xml:space="preserve"> major </w:t>
      </w:r>
      <w:r w:rsidR="001F5435">
        <w:rPr>
          <w:bCs/>
          <w:sz w:val="22"/>
          <w:szCs w:val="22"/>
        </w:rPr>
        <w:t>information</w:t>
      </w:r>
      <w:r w:rsidR="00041479" w:rsidRPr="00B320C7">
        <w:rPr>
          <w:bCs/>
          <w:sz w:val="22"/>
          <w:szCs w:val="22"/>
        </w:rPr>
        <w:t xml:space="preserve"> for 2013 growth</w:t>
      </w:r>
      <w:r w:rsidR="001F5435">
        <w:rPr>
          <w:bCs/>
          <w:sz w:val="22"/>
          <w:szCs w:val="22"/>
        </w:rPr>
        <w:t>.</w:t>
      </w:r>
    </w:p>
    <w:p w:rsidR="00AA2962" w:rsidRPr="00B320C7" w:rsidRDefault="00AA2962" w:rsidP="00FE7F40">
      <w:pPr>
        <w:spacing w:line="360" w:lineRule="auto"/>
        <w:ind w:left="-360" w:right="-48"/>
        <w:jc w:val="both"/>
        <w:rPr>
          <w:bCs/>
          <w:sz w:val="22"/>
          <w:szCs w:val="22"/>
        </w:rPr>
      </w:pPr>
    </w:p>
    <w:p w:rsidR="00E16A20" w:rsidRPr="00B320C7" w:rsidRDefault="00041479" w:rsidP="00451918">
      <w:pPr>
        <w:spacing w:line="360" w:lineRule="auto"/>
        <w:ind w:right="42"/>
        <w:jc w:val="center"/>
        <w:rPr>
          <w:b/>
          <w:bCs/>
          <w:sz w:val="22"/>
          <w:szCs w:val="22"/>
        </w:rPr>
      </w:pPr>
      <w:r w:rsidRPr="00B320C7">
        <w:rPr>
          <w:b/>
          <w:bCs/>
          <w:sz w:val="22"/>
          <w:szCs w:val="22"/>
        </w:rPr>
        <w:t>Consumption carries the growth</w:t>
      </w:r>
    </w:p>
    <w:p w:rsidR="00E16A20" w:rsidRPr="00B320C7" w:rsidRDefault="00E16A20" w:rsidP="00E16A20">
      <w:pPr>
        <w:spacing w:line="360" w:lineRule="auto"/>
        <w:ind w:right="42"/>
        <w:jc w:val="center"/>
        <w:rPr>
          <w:b/>
          <w:bCs/>
          <w:sz w:val="22"/>
          <w:szCs w:val="22"/>
        </w:rPr>
      </w:pPr>
    </w:p>
    <w:p w:rsidR="00304BD3" w:rsidRPr="00B320C7" w:rsidRDefault="00304BD3" w:rsidP="00304BD3">
      <w:pPr>
        <w:spacing w:line="360" w:lineRule="auto"/>
        <w:ind w:left="-360" w:right="42"/>
        <w:jc w:val="both"/>
        <w:rPr>
          <w:sz w:val="22"/>
          <w:szCs w:val="22"/>
        </w:rPr>
      </w:pPr>
      <w:r w:rsidRPr="00B320C7">
        <w:rPr>
          <w:sz w:val="22"/>
          <w:szCs w:val="22"/>
        </w:rPr>
        <w:t>Consumer confidence index increases in the last three quarters. This is a good sign for coming months. Durable consumer goods production decreased by 0.5 percent in the 4</w:t>
      </w:r>
      <w:r w:rsidRPr="00B320C7">
        <w:rPr>
          <w:sz w:val="22"/>
          <w:szCs w:val="22"/>
          <w:vertAlign w:val="superscript"/>
        </w:rPr>
        <w:t>th</w:t>
      </w:r>
      <w:r w:rsidRPr="00B320C7">
        <w:rPr>
          <w:sz w:val="22"/>
          <w:szCs w:val="22"/>
        </w:rPr>
        <w:t xml:space="preserve"> quarter from the previous quarter, whereas non-durable goods production increased by 2.8 percent in the same period.</w:t>
      </w:r>
      <w:r w:rsidR="001F5435">
        <w:rPr>
          <w:sz w:val="22"/>
          <w:szCs w:val="22"/>
        </w:rPr>
        <w:t xml:space="preserve"> Furthermore, c</w:t>
      </w:r>
      <w:r w:rsidRPr="00B320C7">
        <w:rPr>
          <w:sz w:val="22"/>
          <w:szCs w:val="22"/>
        </w:rPr>
        <w:t>onsumer goods imports increased by 3.1 percent in the last quarter. Both produ</w:t>
      </w:r>
      <w:r w:rsidR="001F5435">
        <w:rPr>
          <w:sz w:val="22"/>
          <w:szCs w:val="22"/>
        </w:rPr>
        <w:t>ction and imports data indicate</w:t>
      </w:r>
      <w:r w:rsidR="00C82107">
        <w:rPr>
          <w:sz w:val="22"/>
          <w:szCs w:val="22"/>
        </w:rPr>
        <w:t xml:space="preserve"> a revival in </w:t>
      </w:r>
      <w:r w:rsidRPr="00B320C7">
        <w:rPr>
          <w:sz w:val="22"/>
          <w:szCs w:val="22"/>
        </w:rPr>
        <w:t>consumption</w:t>
      </w:r>
      <w:r w:rsidR="00C82107">
        <w:rPr>
          <w:sz w:val="22"/>
          <w:szCs w:val="22"/>
        </w:rPr>
        <w:t xml:space="preserve"> expenditures</w:t>
      </w:r>
      <w:r w:rsidRPr="00B320C7">
        <w:rPr>
          <w:sz w:val="22"/>
          <w:szCs w:val="22"/>
        </w:rPr>
        <w:t xml:space="preserve">. Overall, we expect private consumption expenditures to </w:t>
      </w:r>
      <w:r w:rsidR="008158D2" w:rsidRPr="00B320C7">
        <w:rPr>
          <w:sz w:val="22"/>
          <w:szCs w:val="22"/>
        </w:rPr>
        <w:t>contribute positively to the real GDP growth in the 4</w:t>
      </w:r>
      <w:r w:rsidR="008158D2" w:rsidRPr="00B320C7">
        <w:rPr>
          <w:sz w:val="22"/>
          <w:szCs w:val="22"/>
          <w:vertAlign w:val="superscript"/>
        </w:rPr>
        <w:t>th</w:t>
      </w:r>
      <w:r w:rsidR="008158D2" w:rsidRPr="00B320C7">
        <w:rPr>
          <w:sz w:val="22"/>
          <w:szCs w:val="22"/>
        </w:rPr>
        <w:t xml:space="preserve"> quarter. </w:t>
      </w:r>
    </w:p>
    <w:p w:rsidR="00E16A20" w:rsidRPr="00B320C7" w:rsidRDefault="00E16A20" w:rsidP="00E16A20">
      <w:pPr>
        <w:spacing w:line="360" w:lineRule="auto"/>
        <w:ind w:right="42"/>
        <w:jc w:val="both"/>
        <w:rPr>
          <w:sz w:val="22"/>
          <w:szCs w:val="22"/>
        </w:rPr>
      </w:pPr>
    </w:p>
    <w:p w:rsidR="00E16A20" w:rsidRPr="00B320C7" w:rsidRDefault="00041479" w:rsidP="00E16A20">
      <w:pPr>
        <w:spacing w:line="360" w:lineRule="auto"/>
        <w:ind w:left="-360" w:right="42"/>
        <w:jc w:val="center"/>
        <w:rPr>
          <w:b/>
          <w:bCs/>
          <w:sz w:val="22"/>
          <w:szCs w:val="22"/>
        </w:rPr>
      </w:pPr>
      <w:r w:rsidRPr="00B320C7">
        <w:rPr>
          <w:b/>
          <w:bCs/>
          <w:sz w:val="22"/>
          <w:szCs w:val="22"/>
        </w:rPr>
        <w:t>Investment expenditure is increasing</w:t>
      </w:r>
    </w:p>
    <w:p w:rsidR="00E16A20" w:rsidRPr="00B320C7" w:rsidRDefault="00E16A20" w:rsidP="00E16A20">
      <w:pPr>
        <w:spacing w:line="360" w:lineRule="auto"/>
        <w:ind w:left="-360" w:right="42"/>
        <w:jc w:val="center"/>
        <w:rPr>
          <w:b/>
          <w:bCs/>
          <w:sz w:val="22"/>
          <w:szCs w:val="22"/>
        </w:rPr>
      </w:pPr>
    </w:p>
    <w:p w:rsidR="008158D2" w:rsidRPr="00B320C7" w:rsidRDefault="008158D2" w:rsidP="00E16A20">
      <w:pPr>
        <w:spacing w:line="360" w:lineRule="auto"/>
        <w:ind w:left="-360" w:right="42"/>
        <w:jc w:val="both"/>
        <w:rPr>
          <w:sz w:val="22"/>
          <w:szCs w:val="22"/>
        </w:rPr>
      </w:pPr>
      <w:r w:rsidRPr="00B320C7">
        <w:rPr>
          <w:sz w:val="22"/>
          <w:szCs w:val="22"/>
        </w:rPr>
        <w:t>Real sector confidence index increased by 4.6 percent in the 4</w:t>
      </w:r>
      <w:r w:rsidRPr="00B320C7">
        <w:rPr>
          <w:sz w:val="22"/>
          <w:szCs w:val="22"/>
          <w:vertAlign w:val="superscript"/>
        </w:rPr>
        <w:t>th</w:t>
      </w:r>
      <w:r w:rsidRPr="00B320C7">
        <w:rPr>
          <w:sz w:val="22"/>
          <w:szCs w:val="22"/>
        </w:rPr>
        <w:t xml:space="preserve"> quarter from the previous quarter. In the same period, automobile production increased by 4.0 percent. In line with these increases, investment goods imports and investment increased by 4.7 percent and 3.3 percent respectively. On the other hand, IPI was almost stagnant in th</w:t>
      </w:r>
      <w:r w:rsidR="00041479" w:rsidRPr="00B320C7">
        <w:rPr>
          <w:sz w:val="22"/>
          <w:szCs w:val="22"/>
        </w:rPr>
        <w:t>e last two quarters. Moreover, c</w:t>
      </w:r>
      <w:r w:rsidRPr="00B320C7">
        <w:rPr>
          <w:sz w:val="22"/>
          <w:szCs w:val="22"/>
        </w:rPr>
        <w:t>apacity utilization rate</w:t>
      </w:r>
      <w:r w:rsidR="00041479" w:rsidRPr="00B320C7">
        <w:rPr>
          <w:sz w:val="22"/>
          <w:szCs w:val="22"/>
        </w:rPr>
        <w:t xml:space="preserve"> (CUR)</w:t>
      </w:r>
      <w:r w:rsidRPr="00B320C7">
        <w:rPr>
          <w:sz w:val="22"/>
          <w:szCs w:val="22"/>
        </w:rPr>
        <w:t xml:space="preserve"> decreased by 0.2 percent in the last quarter. In spite </w:t>
      </w:r>
      <w:r w:rsidR="009A480A">
        <w:rPr>
          <w:sz w:val="22"/>
          <w:szCs w:val="22"/>
        </w:rPr>
        <w:t>of adverse signs in</w:t>
      </w:r>
      <w:r w:rsidRPr="00B320C7">
        <w:rPr>
          <w:sz w:val="22"/>
          <w:szCs w:val="22"/>
        </w:rPr>
        <w:t xml:space="preserve"> </w:t>
      </w:r>
      <w:r w:rsidR="009A480A">
        <w:rPr>
          <w:sz w:val="22"/>
          <w:szCs w:val="22"/>
        </w:rPr>
        <w:t xml:space="preserve">the </w:t>
      </w:r>
      <w:r w:rsidRPr="00B320C7">
        <w:rPr>
          <w:sz w:val="22"/>
          <w:szCs w:val="22"/>
        </w:rPr>
        <w:t>IPI and CUR, we expect private investment expenditure</w:t>
      </w:r>
      <w:r w:rsidR="009A480A">
        <w:rPr>
          <w:sz w:val="22"/>
          <w:szCs w:val="22"/>
        </w:rPr>
        <w:t>s</w:t>
      </w:r>
      <w:r w:rsidR="00041479" w:rsidRPr="00B320C7">
        <w:rPr>
          <w:sz w:val="22"/>
          <w:szCs w:val="22"/>
        </w:rPr>
        <w:t xml:space="preserve"> to</w:t>
      </w:r>
      <w:r w:rsidRPr="00B320C7">
        <w:rPr>
          <w:sz w:val="22"/>
          <w:szCs w:val="22"/>
        </w:rPr>
        <w:t xml:space="preserve"> increase in the last quarter from the previous quarter. </w:t>
      </w:r>
    </w:p>
    <w:p w:rsidR="00E16A20" w:rsidRPr="00B320C7" w:rsidRDefault="00E16A20" w:rsidP="00E16A20">
      <w:pPr>
        <w:spacing w:line="360" w:lineRule="auto"/>
        <w:ind w:right="42"/>
        <w:jc w:val="both"/>
        <w:rPr>
          <w:sz w:val="22"/>
          <w:szCs w:val="22"/>
        </w:rPr>
      </w:pPr>
    </w:p>
    <w:p w:rsidR="00303166" w:rsidRDefault="00303166" w:rsidP="00E16A20">
      <w:pPr>
        <w:spacing w:line="360" w:lineRule="auto"/>
        <w:ind w:left="-360" w:right="42"/>
        <w:jc w:val="center"/>
        <w:rPr>
          <w:b/>
          <w:bCs/>
          <w:sz w:val="22"/>
          <w:szCs w:val="22"/>
        </w:rPr>
      </w:pPr>
    </w:p>
    <w:p w:rsidR="00303166" w:rsidRDefault="00303166" w:rsidP="00E16A20">
      <w:pPr>
        <w:spacing w:line="360" w:lineRule="auto"/>
        <w:ind w:left="-360" w:right="42"/>
        <w:jc w:val="center"/>
        <w:rPr>
          <w:b/>
          <w:bCs/>
          <w:sz w:val="22"/>
          <w:szCs w:val="22"/>
        </w:rPr>
      </w:pPr>
    </w:p>
    <w:p w:rsidR="00E16A20" w:rsidRPr="00B320C7" w:rsidRDefault="001F5435" w:rsidP="00E16A20">
      <w:pPr>
        <w:spacing w:line="360" w:lineRule="auto"/>
        <w:ind w:left="-360" w:right="42"/>
        <w:jc w:val="center"/>
        <w:rPr>
          <w:b/>
          <w:bCs/>
          <w:sz w:val="22"/>
          <w:szCs w:val="22"/>
        </w:rPr>
      </w:pPr>
      <w:r>
        <w:rPr>
          <w:b/>
          <w:bCs/>
          <w:sz w:val="22"/>
          <w:szCs w:val="22"/>
        </w:rPr>
        <w:lastRenderedPageBreak/>
        <w:t>Net exports are ineffective in this quarter</w:t>
      </w:r>
    </w:p>
    <w:p w:rsidR="00E16A20" w:rsidRPr="00B320C7" w:rsidRDefault="00E16A20" w:rsidP="00E16A20">
      <w:pPr>
        <w:spacing w:line="360" w:lineRule="auto"/>
        <w:ind w:right="42"/>
        <w:jc w:val="both"/>
        <w:rPr>
          <w:sz w:val="22"/>
          <w:szCs w:val="22"/>
        </w:rPr>
      </w:pPr>
    </w:p>
    <w:p w:rsidR="00E16A20" w:rsidRPr="00B320C7" w:rsidRDefault="00E16A20" w:rsidP="00E16A20">
      <w:pPr>
        <w:spacing w:line="360" w:lineRule="auto"/>
        <w:ind w:left="-360" w:right="42"/>
        <w:jc w:val="both"/>
        <w:rPr>
          <w:sz w:val="22"/>
          <w:szCs w:val="22"/>
        </w:rPr>
      </w:pPr>
      <w:r w:rsidRPr="00B320C7">
        <w:rPr>
          <w:sz w:val="22"/>
          <w:szCs w:val="22"/>
        </w:rPr>
        <w:t xml:space="preserve">Figure 2 shows monthly changes of seasonally adjusted import and export volume indices. In </w:t>
      </w:r>
      <w:r w:rsidR="00264FCA" w:rsidRPr="00B320C7">
        <w:rPr>
          <w:sz w:val="22"/>
          <w:szCs w:val="22"/>
        </w:rPr>
        <w:t>the 4</w:t>
      </w:r>
      <w:r w:rsidR="00264FCA" w:rsidRPr="00B320C7">
        <w:rPr>
          <w:sz w:val="22"/>
          <w:szCs w:val="22"/>
          <w:vertAlign w:val="superscript"/>
        </w:rPr>
        <w:t>th</w:t>
      </w:r>
      <w:r w:rsidR="00264FCA" w:rsidRPr="00B320C7">
        <w:rPr>
          <w:sz w:val="22"/>
          <w:szCs w:val="22"/>
        </w:rPr>
        <w:t xml:space="preserve"> quarter</w:t>
      </w:r>
      <w:r w:rsidRPr="00B320C7">
        <w:rPr>
          <w:sz w:val="22"/>
          <w:szCs w:val="22"/>
        </w:rPr>
        <w:t>, export volume index</w:t>
      </w:r>
      <w:r w:rsidR="004C7FD0" w:rsidRPr="00B320C7">
        <w:rPr>
          <w:sz w:val="22"/>
          <w:szCs w:val="22"/>
        </w:rPr>
        <w:t xml:space="preserve"> and import volume index</w:t>
      </w:r>
      <w:r w:rsidR="001F5435">
        <w:rPr>
          <w:sz w:val="22"/>
          <w:szCs w:val="22"/>
        </w:rPr>
        <w:t xml:space="preserve"> </w:t>
      </w:r>
      <w:r w:rsidR="00AD78F5" w:rsidRPr="00B320C7">
        <w:rPr>
          <w:sz w:val="22"/>
          <w:szCs w:val="22"/>
        </w:rPr>
        <w:t>decreased</w:t>
      </w:r>
      <w:r w:rsidR="004C7FD0" w:rsidRPr="00B320C7">
        <w:rPr>
          <w:sz w:val="22"/>
          <w:szCs w:val="22"/>
        </w:rPr>
        <w:t xml:space="preserve"> by 5.6 percent and 0.6 percent</w:t>
      </w:r>
      <w:r w:rsidR="009A480A">
        <w:rPr>
          <w:sz w:val="22"/>
          <w:szCs w:val="22"/>
        </w:rPr>
        <w:t>,</w:t>
      </w:r>
      <w:r w:rsidR="004C7FD0" w:rsidRPr="00B320C7">
        <w:rPr>
          <w:sz w:val="22"/>
          <w:szCs w:val="22"/>
        </w:rPr>
        <w:t xml:space="preserve"> respectively. </w:t>
      </w:r>
      <w:r w:rsidR="00367DBD">
        <w:rPr>
          <w:sz w:val="22"/>
          <w:szCs w:val="22"/>
        </w:rPr>
        <w:t>However, the declines are mostly due to decreases in gold trade. In fact, w</w:t>
      </w:r>
      <w:r w:rsidRPr="00B320C7">
        <w:rPr>
          <w:sz w:val="22"/>
          <w:szCs w:val="22"/>
        </w:rPr>
        <w:t xml:space="preserve">hen we adjust the trade data for gold (i.e., excluding gold imports and exports), we see that the real exports and real imports </w:t>
      </w:r>
      <w:r w:rsidR="00367DBD">
        <w:rPr>
          <w:sz w:val="22"/>
          <w:szCs w:val="22"/>
        </w:rPr>
        <w:t xml:space="preserve">actually </w:t>
      </w:r>
      <w:r w:rsidRPr="00B320C7">
        <w:rPr>
          <w:sz w:val="22"/>
          <w:szCs w:val="22"/>
        </w:rPr>
        <w:t xml:space="preserve">increased by </w:t>
      </w:r>
      <w:r w:rsidR="004C7FD0" w:rsidRPr="00B320C7">
        <w:rPr>
          <w:sz w:val="22"/>
          <w:szCs w:val="22"/>
        </w:rPr>
        <w:t>3.0</w:t>
      </w:r>
      <w:r w:rsidRPr="00B320C7">
        <w:rPr>
          <w:sz w:val="22"/>
          <w:szCs w:val="22"/>
        </w:rPr>
        <w:t xml:space="preserve"> percent and </w:t>
      </w:r>
      <w:r w:rsidR="004C7FD0" w:rsidRPr="00B320C7">
        <w:rPr>
          <w:sz w:val="22"/>
          <w:szCs w:val="22"/>
        </w:rPr>
        <w:t>1.7</w:t>
      </w:r>
      <w:r w:rsidRPr="00B320C7">
        <w:rPr>
          <w:sz w:val="22"/>
          <w:szCs w:val="22"/>
        </w:rPr>
        <w:t xml:space="preserve"> percent, respectively. </w:t>
      </w:r>
      <w:r w:rsidR="004C7FD0" w:rsidRPr="00B320C7">
        <w:rPr>
          <w:sz w:val="22"/>
          <w:szCs w:val="22"/>
        </w:rPr>
        <w:t>Overall, it is very likely that net exports contribute negatively to 4</w:t>
      </w:r>
      <w:r w:rsidR="004C7FD0" w:rsidRPr="00B320C7">
        <w:rPr>
          <w:sz w:val="22"/>
          <w:szCs w:val="22"/>
          <w:vertAlign w:val="superscript"/>
        </w:rPr>
        <w:t>th</w:t>
      </w:r>
      <w:r w:rsidR="004C7FD0" w:rsidRPr="00B320C7">
        <w:rPr>
          <w:sz w:val="22"/>
          <w:szCs w:val="22"/>
        </w:rPr>
        <w:t xml:space="preserve"> quarter real GDP growth. However, when the gold trade is </w:t>
      </w:r>
      <w:r w:rsidR="008A29CB">
        <w:rPr>
          <w:sz w:val="22"/>
          <w:szCs w:val="22"/>
        </w:rPr>
        <w:t>ex</w:t>
      </w:r>
      <w:r w:rsidR="004C7FD0" w:rsidRPr="00B320C7">
        <w:rPr>
          <w:sz w:val="22"/>
          <w:szCs w:val="22"/>
        </w:rPr>
        <w:t xml:space="preserve">cluded, we expect the contribution of net exports </w:t>
      </w:r>
      <w:r w:rsidR="009A480A">
        <w:rPr>
          <w:sz w:val="22"/>
          <w:szCs w:val="22"/>
        </w:rPr>
        <w:t xml:space="preserve">to </w:t>
      </w:r>
      <w:r w:rsidR="004C7FD0" w:rsidRPr="00B320C7">
        <w:rPr>
          <w:sz w:val="22"/>
          <w:szCs w:val="22"/>
        </w:rPr>
        <w:t xml:space="preserve">be close to </w:t>
      </w:r>
      <w:r w:rsidR="009A480A">
        <w:rPr>
          <w:sz w:val="22"/>
          <w:szCs w:val="22"/>
        </w:rPr>
        <w:t>zero</w:t>
      </w:r>
      <w:r w:rsidR="004C7FD0" w:rsidRPr="00B320C7">
        <w:rPr>
          <w:sz w:val="22"/>
          <w:szCs w:val="22"/>
        </w:rPr>
        <w:t xml:space="preserve">. </w:t>
      </w:r>
    </w:p>
    <w:p w:rsidR="00E16A20" w:rsidRPr="00B320C7" w:rsidRDefault="00E16A20" w:rsidP="00E16A20">
      <w:pPr>
        <w:spacing w:line="360" w:lineRule="auto"/>
        <w:ind w:right="42"/>
        <w:rPr>
          <w:b/>
          <w:bCs/>
          <w:sz w:val="22"/>
          <w:szCs w:val="22"/>
        </w:rPr>
      </w:pPr>
    </w:p>
    <w:p w:rsidR="00E16A20" w:rsidRPr="00B320C7" w:rsidRDefault="00303166" w:rsidP="00717236">
      <w:pPr>
        <w:spacing w:line="360" w:lineRule="auto"/>
        <w:ind w:right="42"/>
        <w:jc w:val="center"/>
        <w:rPr>
          <w:b/>
          <w:bCs/>
          <w:sz w:val="22"/>
          <w:szCs w:val="22"/>
        </w:rPr>
      </w:pPr>
      <w:r>
        <w:rPr>
          <w:b/>
          <w:bCs/>
          <w:sz w:val="22"/>
          <w:szCs w:val="22"/>
        </w:rPr>
        <w:t>C</w:t>
      </w:r>
      <w:r w:rsidR="00717236" w:rsidRPr="00B320C7">
        <w:rPr>
          <w:b/>
          <w:bCs/>
          <w:sz w:val="22"/>
          <w:szCs w:val="22"/>
        </w:rPr>
        <w:t>urrent account defi</w:t>
      </w:r>
      <w:r>
        <w:rPr>
          <w:b/>
          <w:bCs/>
          <w:sz w:val="22"/>
          <w:szCs w:val="22"/>
        </w:rPr>
        <w:t>cit returns to pre-crisis level</w:t>
      </w:r>
    </w:p>
    <w:p w:rsidR="00E16A20" w:rsidRPr="00B320C7" w:rsidRDefault="00E16A20" w:rsidP="00E16A20">
      <w:pPr>
        <w:spacing w:line="360" w:lineRule="auto"/>
        <w:ind w:right="42"/>
        <w:rPr>
          <w:b/>
          <w:bCs/>
          <w:sz w:val="22"/>
          <w:szCs w:val="22"/>
        </w:rPr>
      </w:pPr>
    </w:p>
    <w:p w:rsidR="002A5E74" w:rsidRPr="00B320C7" w:rsidRDefault="004C7FD0" w:rsidP="00303166">
      <w:pPr>
        <w:spacing w:line="360" w:lineRule="auto"/>
        <w:ind w:left="-360" w:right="40"/>
        <w:jc w:val="both"/>
        <w:rPr>
          <w:sz w:val="22"/>
          <w:szCs w:val="22"/>
        </w:rPr>
        <w:sectPr w:rsidR="002A5E74" w:rsidRPr="00B320C7" w:rsidSect="00A74D70">
          <w:type w:val="continuous"/>
          <w:pgSz w:w="11906" w:h="16838"/>
          <w:pgMar w:top="1417" w:right="1417" w:bottom="1417" w:left="1417" w:header="708" w:footer="708" w:gutter="0"/>
          <w:cols w:num="2" w:space="708"/>
          <w:docGrid w:linePitch="360"/>
        </w:sectPr>
      </w:pPr>
      <w:r w:rsidRPr="00B320C7">
        <w:rPr>
          <w:sz w:val="22"/>
          <w:szCs w:val="22"/>
        </w:rPr>
        <w:t xml:space="preserve">In December, trade deficit fell from </w:t>
      </w:r>
      <w:r w:rsidR="006A292F">
        <w:rPr>
          <w:sz w:val="22"/>
          <w:szCs w:val="22"/>
        </w:rPr>
        <w:t>$</w:t>
      </w:r>
      <w:r w:rsidRPr="00B320C7">
        <w:rPr>
          <w:sz w:val="22"/>
          <w:szCs w:val="22"/>
        </w:rPr>
        <w:t xml:space="preserve">8.1 billion to </w:t>
      </w:r>
      <w:r w:rsidR="006A292F">
        <w:rPr>
          <w:sz w:val="22"/>
          <w:szCs w:val="22"/>
        </w:rPr>
        <w:t>$</w:t>
      </w:r>
      <w:r w:rsidRPr="00B320C7">
        <w:rPr>
          <w:sz w:val="22"/>
          <w:szCs w:val="22"/>
        </w:rPr>
        <w:t xml:space="preserve">7.2 billion from the same month of the previous year. </w:t>
      </w:r>
      <w:r w:rsidR="00B86CC0" w:rsidRPr="00B320C7">
        <w:rPr>
          <w:sz w:val="22"/>
          <w:szCs w:val="22"/>
        </w:rPr>
        <w:t>Th</w:t>
      </w:r>
      <w:r w:rsidR="00303166">
        <w:rPr>
          <w:sz w:val="22"/>
          <w:szCs w:val="22"/>
        </w:rPr>
        <w:t>e decline in imports contributed</w:t>
      </w:r>
      <w:r w:rsidR="00B86CC0" w:rsidRPr="00B320C7">
        <w:rPr>
          <w:sz w:val="22"/>
          <w:szCs w:val="22"/>
        </w:rPr>
        <w:t xml:space="preserve"> more to the fall in the current account deficit than the increase in e</w:t>
      </w:r>
      <w:r w:rsidR="00CE75B1" w:rsidRPr="00B320C7">
        <w:rPr>
          <w:sz w:val="22"/>
          <w:szCs w:val="22"/>
        </w:rPr>
        <w:t>xports. Gold exports are the engine of the</w:t>
      </w:r>
      <w:r w:rsidR="001F5435">
        <w:rPr>
          <w:sz w:val="22"/>
          <w:szCs w:val="22"/>
        </w:rPr>
        <w:t xml:space="preserve"> annual</w:t>
      </w:r>
      <w:r w:rsidR="00CE75B1" w:rsidRPr="00B320C7">
        <w:rPr>
          <w:sz w:val="22"/>
          <w:szCs w:val="22"/>
        </w:rPr>
        <w:t xml:space="preserve"> increase </w:t>
      </w:r>
      <w:r w:rsidR="001F5435">
        <w:rPr>
          <w:sz w:val="22"/>
          <w:szCs w:val="22"/>
        </w:rPr>
        <w:t>in</w:t>
      </w:r>
      <w:r w:rsidR="00CE75B1" w:rsidRPr="00B320C7">
        <w:rPr>
          <w:sz w:val="22"/>
          <w:szCs w:val="22"/>
        </w:rPr>
        <w:t xml:space="preserve"> exports.</w:t>
      </w:r>
      <w:r w:rsidR="00B86CC0" w:rsidRPr="00B320C7">
        <w:rPr>
          <w:sz w:val="22"/>
          <w:szCs w:val="22"/>
        </w:rPr>
        <w:t xml:space="preserve"> The 12-month CAD was $50.8 billion in November. In </w:t>
      </w:r>
      <w:r w:rsidR="001F5435">
        <w:rPr>
          <w:sz w:val="22"/>
          <w:szCs w:val="22"/>
        </w:rPr>
        <w:t>December</w:t>
      </w:r>
      <w:r w:rsidR="00303166">
        <w:rPr>
          <w:sz w:val="22"/>
          <w:szCs w:val="22"/>
        </w:rPr>
        <w:t>,</w:t>
      </w:r>
      <w:r w:rsidR="00B86CC0" w:rsidRPr="00B320C7">
        <w:rPr>
          <w:sz w:val="22"/>
          <w:szCs w:val="22"/>
        </w:rPr>
        <w:t xml:space="preserve"> it decreased to $48.9 billion</w:t>
      </w:r>
      <w:r w:rsidR="00303166">
        <w:rPr>
          <w:sz w:val="22"/>
          <w:szCs w:val="22"/>
        </w:rPr>
        <w:t xml:space="preserve"> and</w:t>
      </w:r>
      <w:r w:rsidR="00B86CC0" w:rsidRPr="00B320C7">
        <w:rPr>
          <w:sz w:val="22"/>
          <w:szCs w:val="22"/>
        </w:rPr>
        <w:t xml:space="preserve"> </w:t>
      </w:r>
      <w:r w:rsidR="001F5435">
        <w:rPr>
          <w:sz w:val="22"/>
          <w:szCs w:val="22"/>
        </w:rPr>
        <w:t xml:space="preserve">due to a revision in </w:t>
      </w:r>
      <w:r w:rsidR="00303166">
        <w:rPr>
          <w:sz w:val="22"/>
          <w:szCs w:val="22"/>
        </w:rPr>
        <w:t>tourism income accounts it has revised further down to $46.9 billion</w:t>
      </w:r>
      <w:r w:rsidR="001F5435">
        <w:rPr>
          <w:sz w:val="22"/>
          <w:szCs w:val="22"/>
        </w:rPr>
        <w:t xml:space="preserve">. </w:t>
      </w:r>
      <w:r w:rsidR="00B86CC0" w:rsidRPr="00B320C7">
        <w:rPr>
          <w:sz w:val="22"/>
          <w:szCs w:val="22"/>
        </w:rPr>
        <w:t xml:space="preserve">We expect the 12-month current account deficit to the GDP ratio, which was 7.2 percent at the end of the third quarter, to fall down to </w:t>
      </w:r>
      <w:r w:rsidR="00303166">
        <w:rPr>
          <w:sz w:val="22"/>
          <w:szCs w:val="22"/>
        </w:rPr>
        <w:t>5</w:t>
      </w:r>
      <w:r w:rsidR="00B86CC0" w:rsidRPr="00B320C7">
        <w:rPr>
          <w:sz w:val="22"/>
          <w:szCs w:val="22"/>
        </w:rPr>
        <w:t>.</w:t>
      </w:r>
      <w:r w:rsidR="00303166">
        <w:rPr>
          <w:sz w:val="22"/>
          <w:szCs w:val="22"/>
        </w:rPr>
        <w:t>9</w:t>
      </w:r>
      <w:r w:rsidR="00B86CC0" w:rsidRPr="00B320C7">
        <w:rPr>
          <w:sz w:val="22"/>
          <w:szCs w:val="22"/>
        </w:rPr>
        <w:t xml:space="preserve"> percent at</w:t>
      </w:r>
      <w:r w:rsidR="00303166">
        <w:rPr>
          <w:sz w:val="22"/>
          <w:szCs w:val="22"/>
        </w:rPr>
        <w:t xml:space="preserve"> the end of the fourth quarter. The contribution of tourism income accounts to the decline in the current account deficit has been 0,2 percentage points for 2012.</w:t>
      </w:r>
    </w:p>
    <w:p w:rsidR="006E2D48" w:rsidRPr="00B320C7" w:rsidRDefault="00AE7542" w:rsidP="00AE7542">
      <w:pPr>
        <w:spacing w:line="360" w:lineRule="auto"/>
        <w:ind w:left="-360" w:right="42"/>
        <w:jc w:val="both"/>
        <w:rPr>
          <w:sz w:val="16"/>
          <w:szCs w:val="16"/>
        </w:rPr>
        <w:sectPr w:rsidR="006E2D48" w:rsidRPr="00B320C7" w:rsidSect="00523C58">
          <w:type w:val="continuous"/>
          <w:pgSz w:w="11906" w:h="16838"/>
          <w:pgMar w:top="1417" w:right="1417" w:bottom="1417" w:left="1417" w:header="708" w:footer="708" w:gutter="0"/>
          <w:cols w:num="2" w:space="708" w:equalWidth="0">
            <w:col w:w="4182" w:space="708"/>
            <w:col w:w="4182"/>
          </w:cols>
          <w:docGrid w:linePitch="360"/>
        </w:sectPr>
      </w:pPr>
      <w:r w:rsidRPr="00B320C7">
        <w:rPr>
          <w:sz w:val="22"/>
          <w:szCs w:val="22"/>
        </w:rPr>
        <w:lastRenderedPageBreak/>
        <w:br w:type="column"/>
      </w:r>
    </w:p>
    <w:p w:rsidR="008C6E50" w:rsidRPr="00B320C7" w:rsidRDefault="00E823E8" w:rsidP="00801493">
      <w:pPr>
        <w:spacing w:line="360" w:lineRule="auto"/>
        <w:ind w:right="42"/>
        <w:jc w:val="both"/>
        <w:rPr>
          <w:rFonts w:ascii="Arial" w:hAnsi="Arial" w:cs="Arial"/>
          <w:sz w:val="20"/>
          <w:szCs w:val="20"/>
        </w:rPr>
      </w:pPr>
      <w:r w:rsidRPr="00B320C7">
        <w:rPr>
          <w:rFonts w:ascii="Arial" w:hAnsi="Arial" w:cs="Arial"/>
          <w:b/>
          <w:sz w:val="20"/>
          <w:szCs w:val="20"/>
        </w:rPr>
        <w:lastRenderedPageBreak/>
        <w:t>Table</w:t>
      </w:r>
      <w:r w:rsidR="00451918">
        <w:rPr>
          <w:rFonts w:ascii="Arial" w:hAnsi="Arial" w:cs="Arial"/>
          <w:b/>
          <w:sz w:val="20"/>
          <w:szCs w:val="20"/>
        </w:rPr>
        <w:t xml:space="preserve"> 2: </w:t>
      </w:r>
      <w:r w:rsidRPr="00B320C7">
        <w:rPr>
          <w:rFonts w:ascii="Arial" w:hAnsi="Arial" w:cs="Arial"/>
          <w:b/>
          <w:sz w:val="20"/>
          <w:szCs w:val="20"/>
        </w:rPr>
        <w:t xml:space="preserve">Monthly and quarterly changes of Betam’s selected indicators (real </w:t>
      </w:r>
      <w:r w:rsidR="00455777" w:rsidRPr="00B320C7">
        <w:rPr>
          <w:rFonts w:ascii="Arial" w:hAnsi="Arial" w:cs="Arial"/>
          <w:b/>
          <w:sz w:val="20"/>
          <w:szCs w:val="20"/>
        </w:rPr>
        <w:t>and</w:t>
      </w:r>
      <w:r w:rsidR="005B2CF3">
        <w:rPr>
          <w:rFonts w:ascii="Arial" w:hAnsi="Arial" w:cs="Arial"/>
          <w:b/>
          <w:sz w:val="20"/>
          <w:szCs w:val="20"/>
        </w:rPr>
        <w:t xml:space="preserve"> </w:t>
      </w:r>
      <w:r w:rsidRPr="00B320C7">
        <w:rPr>
          <w:rFonts w:ascii="Arial" w:hAnsi="Arial" w:cs="Arial"/>
          <w:b/>
          <w:sz w:val="20"/>
          <w:szCs w:val="20"/>
        </w:rPr>
        <w:t>sa</w:t>
      </w:r>
      <w:r w:rsidR="008C6E50" w:rsidRPr="00B320C7">
        <w:rPr>
          <w:rFonts w:ascii="Arial" w:hAnsi="Arial" w:cs="Arial"/>
          <w:b/>
          <w:sz w:val="20"/>
          <w:szCs w:val="20"/>
        </w:rPr>
        <w:t>)</w:t>
      </w:r>
    </w:p>
    <w:p w:rsidR="008C6E50" w:rsidRPr="00B320C7" w:rsidRDefault="008C6E50" w:rsidP="001E4BF5">
      <w:pPr>
        <w:spacing w:line="360" w:lineRule="auto"/>
        <w:ind w:left="-360" w:right="42"/>
        <w:jc w:val="both"/>
        <w:rPr>
          <w:rFonts w:ascii="Arial" w:hAnsi="Arial" w:cs="Arial"/>
          <w:sz w:val="20"/>
          <w:szCs w:val="20"/>
        </w:rPr>
        <w:sectPr w:rsidR="008C6E50" w:rsidRPr="00B320C7" w:rsidSect="0075074A">
          <w:type w:val="continuous"/>
          <w:pgSz w:w="11906" w:h="16838"/>
          <w:pgMar w:top="1417" w:right="1417" w:bottom="1417" w:left="1417" w:header="708" w:footer="708" w:gutter="0"/>
          <w:cols w:space="708"/>
          <w:docGrid w:linePitch="360"/>
        </w:sectPr>
      </w:pPr>
    </w:p>
    <w:tbl>
      <w:tblPr>
        <w:tblW w:w="5550" w:type="pct"/>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45"/>
        <w:gridCol w:w="1140"/>
        <w:gridCol w:w="1140"/>
        <w:gridCol w:w="1139"/>
        <w:gridCol w:w="1139"/>
        <w:gridCol w:w="1139"/>
        <w:gridCol w:w="1139"/>
      </w:tblGrid>
      <w:tr w:rsidR="00F159D7" w:rsidRPr="00B320C7" w:rsidTr="005B2CF3">
        <w:tc>
          <w:tcPr>
            <w:tcW w:w="1609" w:type="pct"/>
            <w:tcBorders>
              <w:bottom w:val="single" w:sz="4" w:space="0" w:color="auto"/>
            </w:tcBorders>
            <w:vAlign w:val="center"/>
          </w:tcPr>
          <w:p w:rsidR="00F159D7" w:rsidRPr="00B320C7" w:rsidRDefault="00F159D7" w:rsidP="005B2CF3">
            <w:pPr>
              <w:spacing w:line="288" w:lineRule="auto"/>
              <w:ind w:right="77"/>
              <w:jc w:val="center"/>
              <w:rPr>
                <w:rFonts w:ascii="Arial" w:hAnsi="Arial" w:cs="Arial"/>
                <w:sz w:val="20"/>
                <w:szCs w:val="20"/>
              </w:rPr>
            </w:pPr>
            <w:r w:rsidRPr="00B320C7">
              <w:rPr>
                <w:rFonts w:ascii="Arial" w:hAnsi="Arial" w:cs="Arial"/>
                <w:b/>
                <w:sz w:val="20"/>
                <w:szCs w:val="20"/>
              </w:rPr>
              <w:lastRenderedPageBreak/>
              <w:t>Indicators</w:t>
            </w:r>
          </w:p>
        </w:tc>
        <w:tc>
          <w:tcPr>
            <w:tcW w:w="565" w:type="pct"/>
            <w:tcBorders>
              <w:bottom w:val="single" w:sz="4" w:space="0" w:color="auto"/>
            </w:tcBorders>
            <w:vAlign w:val="center"/>
          </w:tcPr>
          <w:p w:rsidR="00F159D7" w:rsidRPr="00B320C7" w:rsidRDefault="00F159D7" w:rsidP="005B2CF3">
            <w:pPr>
              <w:spacing w:line="288" w:lineRule="auto"/>
              <w:ind w:right="77"/>
              <w:jc w:val="center"/>
              <w:rPr>
                <w:rFonts w:ascii="Arial" w:hAnsi="Arial" w:cs="Arial"/>
                <w:b/>
                <w:sz w:val="20"/>
                <w:szCs w:val="20"/>
              </w:rPr>
            </w:pPr>
            <w:r w:rsidRPr="00B320C7">
              <w:rPr>
                <w:rFonts w:ascii="Arial" w:hAnsi="Arial" w:cs="Arial"/>
                <w:b/>
                <w:sz w:val="20"/>
                <w:szCs w:val="20"/>
              </w:rPr>
              <w:t>October</w:t>
            </w:r>
          </w:p>
        </w:tc>
        <w:tc>
          <w:tcPr>
            <w:tcW w:w="565" w:type="pct"/>
            <w:tcBorders>
              <w:bottom w:val="single" w:sz="4" w:space="0" w:color="auto"/>
            </w:tcBorders>
            <w:vAlign w:val="center"/>
          </w:tcPr>
          <w:p w:rsidR="00F159D7" w:rsidRPr="00B320C7" w:rsidRDefault="00F159D7" w:rsidP="005B2CF3">
            <w:pPr>
              <w:spacing w:line="288" w:lineRule="auto"/>
              <w:ind w:right="77"/>
              <w:jc w:val="center"/>
              <w:rPr>
                <w:rFonts w:ascii="Arial" w:hAnsi="Arial" w:cs="Arial"/>
                <w:b/>
                <w:sz w:val="20"/>
                <w:szCs w:val="20"/>
              </w:rPr>
            </w:pPr>
            <w:r w:rsidRPr="00B320C7">
              <w:rPr>
                <w:rFonts w:ascii="Arial" w:hAnsi="Arial" w:cs="Arial"/>
                <w:b/>
                <w:sz w:val="20"/>
                <w:szCs w:val="20"/>
              </w:rPr>
              <w:t>November</w:t>
            </w:r>
          </w:p>
        </w:tc>
        <w:tc>
          <w:tcPr>
            <w:tcW w:w="565" w:type="pct"/>
            <w:tcBorders>
              <w:bottom w:val="single" w:sz="4" w:space="0" w:color="auto"/>
            </w:tcBorders>
            <w:vAlign w:val="center"/>
          </w:tcPr>
          <w:p w:rsidR="00F159D7" w:rsidRPr="00B320C7" w:rsidRDefault="00F159D7" w:rsidP="005B2CF3">
            <w:pPr>
              <w:spacing w:line="288" w:lineRule="auto"/>
              <w:ind w:right="77"/>
              <w:jc w:val="center"/>
              <w:rPr>
                <w:rFonts w:ascii="Arial" w:hAnsi="Arial" w:cs="Arial"/>
                <w:b/>
                <w:sz w:val="20"/>
                <w:szCs w:val="20"/>
              </w:rPr>
            </w:pPr>
            <w:r w:rsidRPr="00B320C7">
              <w:rPr>
                <w:rFonts w:ascii="Arial" w:hAnsi="Arial" w:cs="Arial"/>
                <w:b/>
                <w:sz w:val="20"/>
                <w:szCs w:val="20"/>
              </w:rPr>
              <w:t>December</w:t>
            </w:r>
          </w:p>
        </w:tc>
        <w:tc>
          <w:tcPr>
            <w:tcW w:w="565" w:type="pct"/>
            <w:tcBorders>
              <w:bottom w:val="single" w:sz="4" w:space="0" w:color="auto"/>
            </w:tcBorders>
            <w:vAlign w:val="center"/>
          </w:tcPr>
          <w:p w:rsidR="00F159D7" w:rsidRPr="00B320C7" w:rsidRDefault="00F159D7" w:rsidP="005B2CF3">
            <w:pPr>
              <w:spacing w:line="288" w:lineRule="auto"/>
              <w:ind w:right="77"/>
              <w:jc w:val="center"/>
              <w:rPr>
                <w:rFonts w:ascii="Arial" w:hAnsi="Arial" w:cs="Arial"/>
                <w:b/>
                <w:sz w:val="20"/>
                <w:szCs w:val="20"/>
              </w:rPr>
            </w:pPr>
            <w:r>
              <w:rPr>
                <w:rFonts w:ascii="Arial" w:hAnsi="Arial" w:cs="Arial"/>
                <w:b/>
                <w:sz w:val="20"/>
                <w:szCs w:val="20"/>
              </w:rPr>
              <w:t>January</w:t>
            </w:r>
          </w:p>
        </w:tc>
        <w:tc>
          <w:tcPr>
            <w:tcW w:w="565" w:type="pct"/>
            <w:tcBorders>
              <w:left w:val="double" w:sz="4" w:space="0" w:color="auto"/>
              <w:bottom w:val="single" w:sz="4" w:space="0" w:color="auto"/>
            </w:tcBorders>
            <w:vAlign w:val="center"/>
          </w:tcPr>
          <w:p w:rsidR="00F159D7" w:rsidRPr="00B320C7" w:rsidRDefault="00F159D7" w:rsidP="005B2CF3">
            <w:pPr>
              <w:spacing w:line="288" w:lineRule="auto"/>
              <w:ind w:right="77"/>
              <w:jc w:val="center"/>
              <w:rPr>
                <w:rFonts w:ascii="Arial" w:hAnsi="Arial" w:cs="Arial"/>
                <w:b/>
                <w:sz w:val="20"/>
                <w:szCs w:val="20"/>
              </w:rPr>
            </w:pPr>
            <w:r w:rsidRPr="00B320C7">
              <w:rPr>
                <w:rFonts w:ascii="Arial" w:hAnsi="Arial" w:cs="Arial"/>
                <w:b/>
                <w:sz w:val="20"/>
                <w:szCs w:val="20"/>
              </w:rPr>
              <w:t>2012 3</w:t>
            </w:r>
            <w:r w:rsidRPr="00B320C7">
              <w:rPr>
                <w:rFonts w:ascii="Arial" w:hAnsi="Arial" w:cs="Arial"/>
                <w:b/>
                <w:sz w:val="20"/>
                <w:szCs w:val="20"/>
                <w:vertAlign w:val="superscript"/>
              </w:rPr>
              <w:t>rd</w:t>
            </w:r>
            <w:r w:rsidRPr="00B320C7">
              <w:rPr>
                <w:rFonts w:ascii="Arial" w:hAnsi="Arial" w:cs="Arial"/>
                <w:b/>
                <w:sz w:val="20"/>
                <w:szCs w:val="20"/>
              </w:rPr>
              <w:t xml:space="preserve"> Quarter</w:t>
            </w:r>
          </w:p>
        </w:tc>
        <w:tc>
          <w:tcPr>
            <w:tcW w:w="565" w:type="pct"/>
            <w:tcBorders>
              <w:bottom w:val="single" w:sz="4" w:space="0" w:color="auto"/>
            </w:tcBorders>
            <w:vAlign w:val="center"/>
          </w:tcPr>
          <w:p w:rsidR="00F159D7" w:rsidRPr="00B320C7" w:rsidRDefault="00F159D7" w:rsidP="005B2CF3">
            <w:pPr>
              <w:spacing w:line="288" w:lineRule="auto"/>
              <w:ind w:right="77"/>
              <w:jc w:val="center"/>
              <w:rPr>
                <w:rFonts w:ascii="Arial" w:hAnsi="Arial" w:cs="Arial"/>
                <w:b/>
                <w:sz w:val="20"/>
                <w:szCs w:val="20"/>
              </w:rPr>
            </w:pPr>
            <w:r w:rsidRPr="00B320C7">
              <w:rPr>
                <w:rFonts w:ascii="Arial" w:hAnsi="Arial" w:cs="Arial"/>
                <w:b/>
                <w:sz w:val="20"/>
                <w:szCs w:val="20"/>
              </w:rPr>
              <w:t>2012 4</w:t>
            </w:r>
            <w:r w:rsidRPr="00B320C7">
              <w:rPr>
                <w:rFonts w:ascii="Arial" w:hAnsi="Arial" w:cs="Arial"/>
                <w:b/>
                <w:sz w:val="20"/>
                <w:szCs w:val="20"/>
                <w:vertAlign w:val="superscript"/>
              </w:rPr>
              <w:t>th</w:t>
            </w:r>
            <w:r w:rsidRPr="00B320C7">
              <w:rPr>
                <w:rFonts w:ascii="Arial" w:hAnsi="Arial" w:cs="Arial"/>
                <w:b/>
                <w:sz w:val="20"/>
                <w:szCs w:val="20"/>
              </w:rPr>
              <w:t xml:space="preserve">  Quarter</w:t>
            </w:r>
          </w:p>
        </w:tc>
      </w:tr>
      <w:tr w:rsidR="00F159D7" w:rsidRPr="00B320C7" w:rsidTr="002A5E74">
        <w:trPr>
          <w:trHeight w:val="20"/>
        </w:trPr>
        <w:tc>
          <w:tcPr>
            <w:tcW w:w="1609" w:type="pct"/>
            <w:tcBorders>
              <w:bottom w:val="nil"/>
              <w:right w:val="single" w:sz="4" w:space="0" w:color="auto"/>
            </w:tcBorders>
            <w:vAlign w:val="bottom"/>
          </w:tcPr>
          <w:p w:rsidR="00F159D7" w:rsidRPr="00B320C7" w:rsidRDefault="00F159D7" w:rsidP="00067DF6">
            <w:pPr>
              <w:spacing w:line="288" w:lineRule="auto"/>
              <w:ind w:right="77"/>
              <w:rPr>
                <w:rFonts w:ascii="Arial" w:hAnsi="Arial" w:cs="Arial"/>
                <w:b/>
                <w:sz w:val="20"/>
                <w:szCs w:val="20"/>
              </w:rPr>
            </w:pPr>
            <w:r w:rsidRPr="00B320C7">
              <w:rPr>
                <w:rFonts w:ascii="Arial" w:hAnsi="Arial" w:cs="Arial"/>
                <w:b/>
                <w:sz w:val="20"/>
                <w:szCs w:val="20"/>
              </w:rPr>
              <w:t>Exports</w:t>
            </w:r>
          </w:p>
        </w:tc>
        <w:tc>
          <w:tcPr>
            <w:tcW w:w="565" w:type="pct"/>
            <w:tcBorders>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ind w:right="-12"/>
              <w:jc w:val="right"/>
              <w:rPr>
                <w:b/>
                <w:bCs/>
              </w:rPr>
            </w:pPr>
            <w:r>
              <w:rPr>
                <w:b/>
                <w:bCs/>
              </w:rPr>
              <w:t>3,4</w:t>
            </w:r>
          </w:p>
        </w:tc>
        <w:tc>
          <w:tcPr>
            <w:tcW w:w="565" w:type="pct"/>
            <w:tcBorders>
              <w:left w:val="single" w:sz="4" w:space="0" w:color="auto"/>
              <w:bottom w:val="nil"/>
              <w:right w:val="single" w:sz="4" w:space="0" w:color="auto"/>
            </w:tcBorders>
            <w:vAlign w:val="center"/>
          </w:tcPr>
          <w:p w:rsidR="00F159D7" w:rsidRPr="006007C7" w:rsidRDefault="00F159D7" w:rsidP="00F159D7">
            <w:pPr>
              <w:spacing w:line="288" w:lineRule="auto"/>
              <w:jc w:val="center"/>
              <w:rPr>
                <w:b/>
                <w:bCs/>
              </w:rPr>
            </w:pPr>
            <w:r>
              <w:rPr>
                <w:b/>
                <w:bCs/>
              </w:rPr>
              <w:t xml:space="preserve">       -4,8</w:t>
            </w:r>
          </w:p>
        </w:tc>
        <w:tc>
          <w:tcPr>
            <w:tcW w:w="565" w:type="pct"/>
            <w:tcBorders>
              <w:left w:val="single" w:sz="4" w:space="0" w:color="auto"/>
              <w:bottom w:val="nil"/>
              <w:right w:val="single" w:sz="4" w:space="0" w:color="auto"/>
            </w:tcBorders>
            <w:vAlign w:val="center"/>
          </w:tcPr>
          <w:p w:rsidR="00F159D7" w:rsidRPr="006007C7" w:rsidRDefault="00F159D7" w:rsidP="00F159D7">
            <w:pPr>
              <w:spacing w:line="288" w:lineRule="auto"/>
              <w:ind w:right="77"/>
              <w:jc w:val="right"/>
              <w:rPr>
                <w:b/>
                <w:bCs/>
              </w:rPr>
            </w:pPr>
            <w:r>
              <w:rPr>
                <w:b/>
                <w:bCs/>
              </w:rPr>
              <w:t>-4,6</w:t>
            </w:r>
          </w:p>
        </w:tc>
        <w:tc>
          <w:tcPr>
            <w:tcW w:w="565" w:type="pct"/>
            <w:tcBorders>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rPr>
                <w:b/>
                <w:bCs/>
              </w:rPr>
            </w:pPr>
            <w:r>
              <w:rPr>
                <w:b/>
                <w:bCs/>
              </w:rPr>
              <w:t>**</w:t>
            </w:r>
          </w:p>
        </w:tc>
        <w:tc>
          <w:tcPr>
            <w:tcW w:w="565" w:type="pct"/>
            <w:tcBorders>
              <w:left w:val="double" w:sz="4" w:space="0" w:color="auto"/>
              <w:bottom w:val="nil"/>
              <w:right w:val="single" w:sz="4" w:space="0" w:color="auto"/>
            </w:tcBorders>
            <w:vAlign w:val="center"/>
          </w:tcPr>
          <w:p w:rsidR="00F159D7" w:rsidRPr="006007C7" w:rsidRDefault="00F159D7" w:rsidP="00F159D7">
            <w:pPr>
              <w:spacing w:line="288" w:lineRule="auto"/>
              <w:ind w:right="-65"/>
              <w:jc w:val="center"/>
              <w:rPr>
                <w:b/>
                <w:bCs/>
              </w:rPr>
            </w:pPr>
            <w:r>
              <w:rPr>
                <w:b/>
                <w:bCs/>
              </w:rPr>
              <w:t xml:space="preserve">        3,7</w:t>
            </w:r>
          </w:p>
        </w:tc>
        <w:tc>
          <w:tcPr>
            <w:tcW w:w="565" w:type="pct"/>
            <w:tcBorders>
              <w:left w:val="single" w:sz="4" w:space="0" w:color="auto"/>
              <w:bottom w:val="nil"/>
            </w:tcBorders>
            <w:vAlign w:val="center"/>
          </w:tcPr>
          <w:p w:rsidR="00F159D7" w:rsidRPr="006007C7" w:rsidRDefault="00F159D7" w:rsidP="00F159D7">
            <w:pPr>
              <w:spacing w:line="288" w:lineRule="auto"/>
              <w:ind w:right="77"/>
              <w:jc w:val="right"/>
              <w:rPr>
                <w:b/>
                <w:bCs/>
              </w:rPr>
            </w:pPr>
            <w:r>
              <w:rPr>
                <w:b/>
                <w:bCs/>
              </w:rPr>
              <w:t>-5,6</w:t>
            </w:r>
          </w:p>
        </w:tc>
      </w:tr>
      <w:tr w:rsidR="00F159D7" w:rsidRPr="00B320C7" w:rsidTr="002A5E74">
        <w:trPr>
          <w:trHeight w:val="20"/>
        </w:trPr>
        <w:tc>
          <w:tcPr>
            <w:tcW w:w="1609" w:type="pct"/>
            <w:tcBorders>
              <w:bottom w:val="nil"/>
              <w:right w:val="single" w:sz="4" w:space="0" w:color="auto"/>
            </w:tcBorders>
            <w:vAlign w:val="bottom"/>
          </w:tcPr>
          <w:p w:rsidR="00F159D7" w:rsidRPr="00B320C7" w:rsidRDefault="00F159D7" w:rsidP="00067DF6">
            <w:pPr>
              <w:spacing w:line="288" w:lineRule="auto"/>
              <w:ind w:right="77"/>
              <w:rPr>
                <w:rFonts w:ascii="Arial" w:hAnsi="Arial" w:cs="Arial"/>
                <w:b/>
                <w:sz w:val="20"/>
                <w:szCs w:val="20"/>
              </w:rPr>
            </w:pPr>
            <w:r w:rsidRPr="00B320C7">
              <w:rPr>
                <w:rFonts w:ascii="Arial" w:hAnsi="Arial" w:cs="Arial"/>
                <w:b/>
                <w:sz w:val="20"/>
                <w:szCs w:val="20"/>
              </w:rPr>
              <w:t>Imports</w:t>
            </w:r>
          </w:p>
        </w:tc>
        <w:tc>
          <w:tcPr>
            <w:tcW w:w="565" w:type="pct"/>
            <w:tcBorders>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ind w:right="-12"/>
              <w:jc w:val="right"/>
              <w:rPr>
                <w:b/>
                <w:bCs/>
              </w:rPr>
            </w:pPr>
            <w:r>
              <w:rPr>
                <w:b/>
                <w:bCs/>
              </w:rPr>
              <w:t>-1,4</w:t>
            </w:r>
          </w:p>
        </w:tc>
        <w:tc>
          <w:tcPr>
            <w:tcW w:w="565" w:type="pct"/>
            <w:tcBorders>
              <w:left w:val="single" w:sz="4" w:space="0" w:color="auto"/>
              <w:bottom w:val="nil"/>
              <w:right w:val="single" w:sz="4" w:space="0" w:color="auto"/>
            </w:tcBorders>
            <w:vAlign w:val="center"/>
          </w:tcPr>
          <w:p w:rsidR="00F159D7" w:rsidRPr="006007C7" w:rsidRDefault="00F159D7" w:rsidP="00F159D7">
            <w:pPr>
              <w:spacing w:line="288" w:lineRule="auto"/>
              <w:jc w:val="center"/>
              <w:rPr>
                <w:b/>
                <w:bCs/>
              </w:rPr>
            </w:pPr>
            <w:r>
              <w:rPr>
                <w:b/>
                <w:bCs/>
              </w:rPr>
              <w:t xml:space="preserve">        4,7</w:t>
            </w:r>
          </w:p>
        </w:tc>
        <w:tc>
          <w:tcPr>
            <w:tcW w:w="565" w:type="pct"/>
            <w:tcBorders>
              <w:left w:val="single" w:sz="4" w:space="0" w:color="auto"/>
              <w:bottom w:val="nil"/>
              <w:right w:val="single" w:sz="4" w:space="0" w:color="auto"/>
            </w:tcBorders>
            <w:vAlign w:val="center"/>
          </w:tcPr>
          <w:p w:rsidR="00F159D7" w:rsidRPr="006007C7" w:rsidRDefault="00F159D7" w:rsidP="00F159D7">
            <w:pPr>
              <w:spacing w:line="288" w:lineRule="auto"/>
              <w:ind w:right="77"/>
              <w:jc w:val="right"/>
              <w:rPr>
                <w:b/>
                <w:bCs/>
              </w:rPr>
            </w:pPr>
            <w:r>
              <w:rPr>
                <w:b/>
                <w:bCs/>
              </w:rPr>
              <w:t>-6,4</w:t>
            </w:r>
          </w:p>
        </w:tc>
        <w:tc>
          <w:tcPr>
            <w:tcW w:w="565" w:type="pct"/>
            <w:tcBorders>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rPr>
                <w:b/>
                <w:bCs/>
              </w:rPr>
            </w:pPr>
            <w:r>
              <w:rPr>
                <w:b/>
                <w:bCs/>
              </w:rPr>
              <w:t>**</w:t>
            </w:r>
          </w:p>
        </w:tc>
        <w:tc>
          <w:tcPr>
            <w:tcW w:w="565" w:type="pct"/>
            <w:tcBorders>
              <w:left w:val="double" w:sz="4" w:space="0" w:color="auto"/>
              <w:bottom w:val="nil"/>
              <w:right w:val="single" w:sz="4" w:space="0" w:color="auto"/>
            </w:tcBorders>
            <w:vAlign w:val="center"/>
          </w:tcPr>
          <w:p w:rsidR="00F159D7" w:rsidRPr="006007C7" w:rsidRDefault="00F159D7" w:rsidP="00F159D7">
            <w:pPr>
              <w:spacing w:line="288" w:lineRule="auto"/>
              <w:ind w:right="-65"/>
              <w:jc w:val="center"/>
              <w:rPr>
                <w:b/>
                <w:bCs/>
              </w:rPr>
            </w:pPr>
            <w:r>
              <w:rPr>
                <w:b/>
                <w:bCs/>
              </w:rPr>
              <w:t xml:space="preserve">       -0,5</w:t>
            </w:r>
          </w:p>
        </w:tc>
        <w:tc>
          <w:tcPr>
            <w:tcW w:w="565" w:type="pct"/>
            <w:tcBorders>
              <w:left w:val="single" w:sz="4" w:space="0" w:color="auto"/>
              <w:bottom w:val="nil"/>
            </w:tcBorders>
            <w:vAlign w:val="center"/>
          </w:tcPr>
          <w:p w:rsidR="00F159D7" w:rsidRPr="006007C7" w:rsidRDefault="00F159D7" w:rsidP="00F159D7">
            <w:pPr>
              <w:spacing w:line="288" w:lineRule="auto"/>
              <w:ind w:right="77"/>
              <w:jc w:val="right"/>
              <w:rPr>
                <w:b/>
                <w:bCs/>
              </w:rPr>
            </w:pPr>
            <w:r>
              <w:rPr>
                <w:b/>
                <w:bCs/>
              </w:rPr>
              <w:t>-0,6</w:t>
            </w:r>
          </w:p>
        </w:tc>
      </w:tr>
      <w:tr w:rsidR="00F159D7" w:rsidRPr="00B320C7" w:rsidTr="002A5E74">
        <w:trPr>
          <w:trHeight w:val="20"/>
        </w:trPr>
        <w:tc>
          <w:tcPr>
            <w:tcW w:w="1609" w:type="pct"/>
            <w:tcBorders>
              <w:top w:val="nil"/>
              <w:bottom w:val="nil"/>
              <w:right w:val="single" w:sz="4" w:space="0" w:color="auto"/>
            </w:tcBorders>
            <w:vAlign w:val="bottom"/>
          </w:tcPr>
          <w:p w:rsidR="00F159D7" w:rsidRPr="00B320C7" w:rsidRDefault="00F159D7" w:rsidP="00067DF6">
            <w:pPr>
              <w:spacing w:line="288" w:lineRule="auto"/>
              <w:ind w:right="77"/>
              <w:rPr>
                <w:rFonts w:ascii="Arial" w:hAnsi="Arial" w:cs="Arial"/>
                <w:sz w:val="20"/>
                <w:szCs w:val="20"/>
              </w:rPr>
            </w:pPr>
            <w:r w:rsidRPr="00B320C7">
              <w:rPr>
                <w:rFonts w:ascii="Arial" w:hAnsi="Arial" w:cs="Arial"/>
                <w:sz w:val="20"/>
                <w:szCs w:val="20"/>
              </w:rPr>
              <w:t>Intermediate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3,4</w:t>
            </w:r>
          </w:p>
        </w:tc>
        <w:tc>
          <w:tcPr>
            <w:tcW w:w="565" w:type="pct"/>
            <w:tcBorders>
              <w:top w:val="nil"/>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pPr>
            <w:r>
              <w:t>3,9</w:t>
            </w:r>
          </w:p>
        </w:tc>
        <w:tc>
          <w:tcPr>
            <w:tcW w:w="565" w:type="pct"/>
            <w:tcBorders>
              <w:top w:val="nil"/>
              <w:left w:val="single" w:sz="4" w:space="0" w:color="auto"/>
              <w:bottom w:val="nil"/>
              <w:right w:val="single" w:sz="4" w:space="0" w:color="auto"/>
            </w:tcBorders>
            <w:vAlign w:val="center"/>
          </w:tcPr>
          <w:p w:rsidR="00F159D7" w:rsidRPr="006007C7" w:rsidRDefault="00F159D7" w:rsidP="00F159D7">
            <w:pPr>
              <w:spacing w:line="288" w:lineRule="auto"/>
              <w:ind w:right="77"/>
              <w:jc w:val="right"/>
            </w:pPr>
            <w:r>
              <w:t>-5,0</w:t>
            </w:r>
          </w:p>
        </w:tc>
        <w:tc>
          <w:tcPr>
            <w:tcW w:w="565" w:type="pct"/>
            <w:tcBorders>
              <w:top w:val="nil"/>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0,3</w:t>
            </w:r>
          </w:p>
        </w:tc>
        <w:tc>
          <w:tcPr>
            <w:tcW w:w="565" w:type="pct"/>
            <w:tcBorders>
              <w:top w:val="nil"/>
              <w:left w:val="single" w:sz="4" w:space="0" w:color="auto"/>
              <w:bottom w:val="nil"/>
            </w:tcBorders>
            <w:vAlign w:val="center"/>
          </w:tcPr>
          <w:p w:rsidR="00F159D7" w:rsidRPr="006007C7" w:rsidRDefault="00F159D7" w:rsidP="00F159D7">
            <w:pPr>
              <w:spacing w:line="288" w:lineRule="auto"/>
              <w:ind w:right="77"/>
              <w:jc w:val="right"/>
            </w:pPr>
            <w:r>
              <w:t>1,7</w:t>
            </w:r>
          </w:p>
        </w:tc>
      </w:tr>
      <w:tr w:rsidR="00F159D7" w:rsidRPr="00B320C7" w:rsidTr="002A5E74">
        <w:trPr>
          <w:trHeight w:val="20"/>
        </w:trPr>
        <w:tc>
          <w:tcPr>
            <w:tcW w:w="1609" w:type="pct"/>
            <w:tcBorders>
              <w:top w:val="nil"/>
              <w:bottom w:val="nil"/>
              <w:right w:val="single" w:sz="4" w:space="0" w:color="auto"/>
            </w:tcBorders>
            <w:vAlign w:val="bottom"/>
          </w:tcPr>
          <w:p w:rsidR="00F159D7" w:rsidRPr="00B320C7" w:rsidRDefault="00F159D7" w:rsidP="00067DF6">
            <w:pPr>
              <w:spacing w:line="288" w:lineRule="auto"/>
              <w:ind w:right="77"/>
              <w:rPr>
                <w:rFonts w:ascii="Arial" w:hAnsi="Arial" w:cs="Arial"/>
                <w:sz w:val="20"/>
                <w:szCs w:val="20"/>
              </w:rPr>
            </w:pPr>
            <w:r w:rsidRPr="00B320C7">
              <w:rPr>
                <w:rFonts w:ascii="Arial" w:hAnsi="Arial" w:cs="Arial"/>
                <w:sz w:val="20"/>
                <w:szCs w:val="20"/>
              </w:rPr>
              <w:t>Consumer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7,9</w:t>
            </w:r>
          </w:p>
        </w:tc>
        <w:tc>
          <w:tcPr>
            <w:tcW w:w="565" w:type="pct"/>
            <w:tcBorders>
              <w:top w:val="nil"/>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pPr>
            <w:r>
              <w:t>4,8</w:t>
            </w:r>
          </w:p>
        </w:tc>
        <w:tc>
          <w:tcPr>
            <w:tcW w:w="565" w:type="pct"/>
            <w:tcBorders>
              <w:top w:val="nil"/>
              <w:left w:val="single" w:sz="4" w:space="0" w:color="auto"/>
              <w:bottom w:val="nil"/>
              <w:right w:val="single" w:sz="4" w:space="0" w:color="auto"/>
            </w:tcBorders>
            <w:vAlign w:val="center"/>
          </w:tcPr>
          <w:p w:rsidR="00F159D7" w:rsidRPr="006007C7" w:rsidRDefault="00F159D7" w:rsidP="00F159D7">
            <w:pPr>
              <w:spacing w:line="288" w:lineRule="auto"/>
              <w:ind w:right="77"/>
              <w:jc w:val="right"/>
            </w:pPr>
            <w:r>
              <w:t>-16,3</w:t>
            </w:r>
          </w:p>
        </w:tc>
        <w:tc>
          <w:tcPr>
            <w:tcW w:w="565" w:type="pct"/>
            <w:tcBorders>
              <w:top w:val="nil"/>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-0,6</w:t>
            </w:r>
          </w:p>
        </w:tc>
        <w:tc>
          <w:tcPr>
            <w:tcW w:w="565" w:type="pct"/>
            <w:tcBorders>
              <w:top w:val="nil"/>
              <w:left w:val="single" w:sz="4" w:space="0" w:color="auto"/>
              <w:bottom w:val="nil"/>
            </w:tcBorders>
            <w:vAlign w:val="center"/>
          </w:tcPr>
          <w:p w:rsidR="00F159D7" w:rsidRPr="006007C7" w:rsidRDefault="00F159D7" w:rsidP="00F159D7">
            <w:pPr>
              <w:spacing w:line="288" w:lineRule="auto"/>
              <w:ind w:right="77"/>
              <w:jc w:val="right"/>
            </w:pPr>
            <w:r>
              <w:t>3,1</w:t>
            </w:r>
          </w:p>
        </w:tc>
      </w:tr>
      <w:tr w:rsidR="00F159D7" w:rsidRPr="00B320C7" w:rsidTr="002A5E74">
        <w:trPr>
          <w:trHeight w:val="20"/>
        </w:trPr>
        <w:tc>
          <w:tcPr>
            <w:tcW w:w="1609" w:type="pct"/>
            <w:tcBorders>
              <w:top w:val="nil"/>
              <w:bottom w:val="single" w:sz="4" w:space="0" w:color="auto"/>
              <w:right w:val="single" w:sz="4" w:space="0" w:color="auto"/>
            </w:tcBorders>
            <w:vAlign w:val="bottom"/>
          </w:tcPr>
          <w:p w:rsidR="00F159D7" w:rsidRPr="00B320C7" w:rsidRDefault="00F159D7" w:rsidP="00067DF6">
            <w:pPr>
              <w:spacing w:line="288" w:lineRule="auto"/>
              <w:ind w:right="77"/>
              <w:rPr>
                <w:rFonts w:ascii="Arial" w:hAnsi="Arial" w:cs="Arial"/>
                <w:sz w:val="20"/>
                <w:szCs w:val="20"/>
              </w:rPr>
            </w:pPr>
            <w:r w:rsidRPr="00B320C7">
              <w:rPr>
                <w:rFonts w:ascii="Arial" w:hAnsi="Arial" w:cs="Arial"/>
                <w:sz w:val="20"/>
                <w:szCs w:val="20"/>
              </w:rPr>
              <w:t>Investment goods import</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7,6</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F159D7" w:rsidRPr="006007C7" w:rsidRDefault="00F159D7" w:rsidP="00F159D7">
            <w:pPr>
              <w:spacing w:line="288" w:lineRule="auto"/>
              <w:jc w:val="right"/>
            </w:pPr>
            <w:r>
              <w:t>4,9</w:t>
            </w:r>
          </w:p>
        </w:tc>
        <w:tc>
          <w:tcPr>
            <w:tcW w:w="565" w:type="pct"/>
            <w:tcBorders>
              <w:top w:val="nil"/>
              <w:left w:val="single" w:sz="4" w:space="0" w:color="auto"/>
              <w:bottom w:val="single" w:sz="4" w:space="0" w:color="auto"/>
              <w:right w:val="single" w:sz="4" w:space="0" w:color="auto"/>
            </w:tcBorders>
            <w:vAlign w:val="center"/>
          </w:tcPr>
          <w:p w:rsidR="00F159D7" w:rsidRPr="006007C7" w:rsidRDefault="00F159D7" w:rsidP="00F159D7">
            <w:pPr>
              <w:spacing w:line="288" w:lineRule="auto"/>
              <w:ind w:right="77"/>
              <w:jc w:val="right"/>
            </w:pPr>
            <w:r>
              <w:t>-10,2</w:t>
            </w:r>
          </w:p>
        </w:tc>
        <w:tc>
          <w:tcPr>
            <w:tcW w:w="565" w:type="pct"/>
            <w:tcBorders>
              <w:top w:val="nil"/>
              <w:left w:val="single" w:sz="4" w:space="0" w:color="auto"/>
              <w:bottom w:val="single" w:sz="4" w:space="0" w:color="auto"/>
              <w:right w:val="single" w:sz="4" w:space="0" w:color="auto"/>
            </w:tcBorders>
            <w:tcMar>
              <w:right w:w="160" w:type="dxa"/>
            </w:tcMar>
            <w:vAlign w:val="center"/>
          </w:tcPr>
          <w:p w:rsidR="00F159D7" w:rsidRPr="006007C7" w:rsidRDefault="00F159D7" w:rsidP="00F159D7">
            <w:pPr>
              <w:spacing w:line="288" w:lineRule="auto"/>
              <w:jc w:val="right"/>
            </w:pPr>
            <w: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-0,6</w:t>
            </w:r>
          </w:p>
        </w:tc>
        <w:tc>
          <w:tcPr>
            <w:tcW w:w="565" w:type="pct"/>
            <w:tcBorders>
              <w:top w:val="nil"/>
              <w:left w:val="single" w:sz="4" w:space="0" w:color="auto"/>
              <w:bottom w:val="single" w:sz="4" w:space="0" w:color="auto"/>
            </w:tcBorders>
            <w:vAlign w:val="center"/>
          </w:tcPr>
          <w:p w:rsidR="00F159D7" w:rsidRPr="006007C7" w:rsidRDefault="00F159D7" w:rsidP="00F159D7">
            <w:pPr>
              <w:spacing w:line="288" w:lineRule="auto"/>
              <w:ind w:right="77"/>
              <w:jc w:val="right"/>
            </w:pPr>
            <w:r>
              <w:t>4,7</w:t>
            </w:r>
          </w:p>
        </w:tc>
      </w:tr>
      <w:tr w:rsidR="00F159D7" w:rsidRPr="00B320C7" w:rsidTr="002A5E74">
        <w:trPr>
          <w:trHeight w:val="20"/>
        </w:trPr>
        <w:tc>
          <w:tcPr>
            <w:tcW w:w="1609" w:type="pct"/>
            <w:tcBorders>
              <w:bottom w:val="single" w:sz="4" w:space="0" w:color="auto"/>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Exports without gold***</w:t>
            </w:r>
          </w:p>
        </w:tc>
        <w:tc>
          <w:tcPr>
            <w:tcW w:w="565" w:type="pct"/>
            <w:tcBorders>
              <w:left w:val="sing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12"/>
              <w:jc w:val="right"/>
              <w:rPr>
                <w:b/>
                <w:bCs/>
              </w:rPr>
            </w:pPr>
            <w:r>
              <w:rPr>
                <w:b/>
                <w:bCs/>
              </w:rPr>
              <w:t>2,7</w:t>
            </w:r>
          </w:p>
        </w:tc>
        <w:tc>
          <w:tcPr>
            <w:tcW w:w="565" w:type="pct"/>
            <w:tcBorders>
              <w:left w:val="single" w:sz="4" w:space="0" w:color="auto"/>
              <w:bottom w:val="single" w:sz="4" w:space="0" w:color="auto"/>
              <w:right w:val="single" w:sz="4" w:space="0" w:color="auto"/>
            </w:tcBorders>
            <w:tcMar>
              <w:left w:w="0" w:type="dxa"/>
              <w:right w:w="160" w:type="dxa"/>
            </w:tcMar>
            <w:vAlign w:val="center"/>
          </w:tcPr>
          <w:p w:rsidR="00F159D7" w:rsidRPr="006007C7" w:rsidRDefault="00F159D7" w:rsidP="00F159D7">
            <w:pPr>
              <w:spacing w:line="288" w:lineRule="auto"/>
              <w:jc w:val="right"/>
              <w:rPr>
                <w:b/>
                <w:bCs/>
              </w:rPr>
            </w:pPr>
            <w:r>
              <w:rPr>
                <w:b/>
                <w:bCs/>
              </w:rPr>
              <w:t>4,3</w:t>
            </w:r>
          </w:p>
        </w:tc>
        <w:tc>
          <w:tcPr>
            <w:tcW w:w="565" w:type="pct"/>
            <w:tcBorders>
              <w:left w:val="single" w:sz="4" w:space="0" w:color="auto"/>
              <w:bottom w:val="single" w:sz="4" w:space="0" w:color="auto"/>
              <w:right w:val="single" w:sz="4" w:space="0" w:color="auto"/>
            </w:tcBorders>
            <w:vAlign w:val="center"/>
          </w:tcPr>
          <w:p w:rsidR="00F159D7" w:rsidRPr="006007C7" w:rsidRDefault="00F159D7" w:rsidP="00F159D7">
            <w:pPr>
              <w:spacing w:line="288" w:lineRule="auto"/>
              <w:ind w:right="77"/>
              <w:jc w:val="right"/>
              <w:rPr>
                <w:b/>
                <w:bCs/>
              </w:rPr>
            </w:pPr>
            <w:r>
              <w:rPr>
                <w:b/>
                <w:bCs/>
              </w:rPr>
              <w:t>-9,5</w:t>
            </w:r>
          </w:p>
        </w:tc>
        <w:tc>
          <w:tcPr>
            <w:tcW w:w="565" w:type="pct"/>
            <w:tcBorders>
              <w:left w:val="single" w:sz="4" w:space="0" w:color="auto"/>
              <w:bottom w:val="single" w:sz="4" w:space="0" w:color="auto"/>
              <w:right w:val="single" w:sz="4" w:space="0" w:color="auto"/>
            </w:tcBorders>
            <w:tcMar>
              <w:right w:w="160" w:type="dxa"/>
            </w:tcMar>
            <w:vAlign w:val="center"/>
          </w:tcPr>
          <w:p w:rsidR="00F159D7" w:rsidRPr="006007C7" w:rsidRDefault="00F159D7" w:rsidP="00F159D7">
            <w:pPr>
              <w:spacing w:line="288" w:lineRule="auto"/>
              <w:jc w:val="right"/>
              <w:rPr>
                <w:b/>
                <w:bCs/>
              </w:rPr>
            </w:pPr>
            <w:r>
              <w:rPr>
                <w:b/>
                <w:bCs/>
              </w:rPr>
              <w:t>**</w:t>
            </w:r>
          </w:p>
        </w:tc>
        <w:tc>
          <w:tcPr>
            <w:tcW w:w="565" w:type="pct"/>
            <w:tcBorders>
              <w:left w:val="sing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65"/>
              <w:jc w:val="right"/>
              <w:rPr>
                <w:b/>
                <w:bCs/>
              </w:rPr>
            </w:pPr>
            <w:r>
              <w:rPr>
                <w:b/>
                <w:bCs/>
              </w:rPr>
              <w:t>-1,1</w:t>
            </w:r>
          </w:p>
        </w:tc>
        <w:tc>
          <w:tcPr>
            <w:tcW w:w="565" w:type="pct"/>
            <w:tcBorders>
              <w:left w:val="single" w:sz="4" w:space="0" w:color="auto"/>
              <w:bottom w:val="single" w:sz="4" w:space="0" w:color="auto"/>
            </w:tcBorders>
            <w:vAlign w:val="center"/>
          </w:tcPr>
          <w:p w:rsidR="00F159D7" w:rsidRPr="006007C7" w:rsidRDefault="00F159D7" w:rsidP="00F159D7">
            <w:pPr>
              <w:spacing w:line="288" w:lineRule="auto"/>
              <w:ind w:right="77"/>
              <w:jc w:val="right"/>
              <w:rPr>
                <w:b/>
                <w:bCs/>
              </w:rPr>
            </w:pPr>
            <w:r>
              <w:rPr>
                <w:b/>
                <w:bCs/>
              </w:rPr>
              <w:t>3,0</w:t>
            </w:r>
          </w:p>
        </w:tc>
      </w:tr>
      <w:tr w:rsidR="00F159D7" w:rsidRPr="00B320C7" w:rsidTr="002A5E74">
        <w:trPr>
          <w:trHeight w:val="20"/>
        </w:trPr>
        <w:tc>
          <w:tcPr>
            <w:tcW w:w="1609" w:type="pct"/>
            <w:tcBorders>
              <w:top w:val="single" w:sz="4" w:space="0" w:color="auto"/>
              <w:bottom w:val="single" w:sz="4" w:space="0" w:color="auto"/>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Imports without gold***</w:t>
            </w:r>
          </w:p>
        </w:tc>
        <w:tc>
          <w:tcPr>
            <w:tcW w:w="565" w:type="pct"/>
            <w:tcBorders>
              <w:top w:val="single" w:sz="4" w:space="0" w:color="auto"/>
              <w:left w:val="sing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12"/>
              <w:jc w:val="right"/>
              <w:rPr>
                <w:b/>
                <w:bCs/>
              </w:rPr>
            </w:pPr>
            <w:r>
              <w:rPr>
                <w:b/>
                <w:bCs/>
              </w:rPr>
              <w:t>1,9</w:t>
            </w:r>
          </w:p>
        </w:tc>
        <w:tc>
          <w:tcPr>
            <w:tcW w:w="565" w:type="pct"/>
            <w:tcBorders>
              <w:top w:val="single" w:sz="4" w:space="0" w:color="auto"/>
              <w:left w:val="single" w:sz="4" w:space="0" w:color="auto"/>
              <w:bottom w:val="single" w:sz="4" w:space="0" w:color="auto"/>
              <w:right w:val="single" w:sz="4" w:space="0" w:color="auto"/>
            </w:tcBorders>
            <w:tcMar>
              <w:left w:w="0" w:type="dxa"/>
              <w:right w:w="160" w:type="dxa"/>
            </w:tcMar>
            <w:vAlign w:val="center"/>
          </w:tcPr>
          <w:p w:rsidR="00F159D7" w:rsidRPr="006007C7" w:rsidRDefault="00F159D7" w:rsidP="00F159D7">
            <w:pPr>
              <w:spacing w:line="288" w:lineRule="auto"/>
              <w:jc w:val="right"/>
              <w:rPr>
                <w:b/>
                <w:bCs/>
              </w:rPr>
            </w:pPr>
            <w:r>
              <w:rPr>
                <w:b/>
                <w:bCs/>
              </w:rPr>
              <w:t>3,8</w:t>
            </w:r>
          </w:p>
        </w:tc>
        <w:tc>
          <w:tcPr>
            <w:tcW w:w="565" w:type="pct"/>
            <w:tcBorders>
              <w:top w:val="single" w:sz="4" w:space="0" w:color="auto"/>
              <w:left w:val="single" w:sz="4" w:space="0" w:color="auto"/>
              <w:bottom w:val="single" w:sz="4" w:space="0" w:color="auto"/>
              <w:right w:val="single" w:sz="4" w:space="0" w:color="auto"/>
            </w:tcBorders>
            <w:vAlign w:val="center"/>
          </w:tcPr>
          <w:p w:rsidR="00F159D7" w:rsidRPr="006007C7" w:rsidRDefault="00F159D7" w:rsidP="00F159D7">
            <w:pPr>
              <w:spacing w:line="288" w:lineRule="auto"/>
              <w:ind w:right="77"/>
              <w:jc w:val="right"/>
              <w:rPr>
                <w:b/>
                <w:bCs/>
              </w:rPr>
            </w:pPr>
            <w:r>
              <w:rPr>
                <w:b/>
                <w:bCs/>
              </w:rPr>
              <w:t>-10,9</w:t>
            </w:r>
          </w:p>
        </w:tc>
        <w:tc>
          <w:tcPr>
            <w:tcW w:w="565" w:type="pct"/>
            <w:tcBorders>
              <w:top w:val="single" w:sz="4" w:space="0" w:color="auto"/>
              <w:left w:val="single" w:sz="4" w:space="0" w:color="auto"/>
              <w:bottom w:val="single" w:sz="4" w:space="0" w:color="auto"/>
              <w:right w:val="single" w:sz="4" w:space="0" w:color="auto"/>
            </w:tcBorders>
            <w:tcMar>
              <w:right w:w="160" w:type="dxa"/>
            </w:tcMar>
            <w:vAlign w:val="center"/>
          </w:tcPr>
          <w:p w:rsidR="00F159D7" w:rsidRPr="006007C7" w:rsidRDefault="00F159D7" w:rsidP="00F159D7">
            <w:pPr>
              <w:spacing w:line="288" w:lineRule="auto"/>
              <w:jc w:val="right"/>
              <w:rPr>
                <w:b/>
                <w:bCs/>
              </w:rPr>
            </w:pPr>
            <w:r>
              <w:rPr>
                <w:b/>
                <w:bCs/>
              </w:rPr>
              <w:t>**</w:t>
            </w:r>
          </w:p>
        </w:tc>
        <w:tc>
          <w:tcPr>
            <w:tcW w:w="565" w:type="pct"/>
            <w:tcBorders>
              <w:top w:val="single" w:sz="4" w:space="0" w:color="auto"/>
              <w:left w:val="sing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65"/>
              <w:jc w:val="right"/>
              <w:rPr>
                <w:b/>
                <w:bCs/>
              </w:rPr>
            </w:pPr>
            <w:r>
              <w:rPr>
                <w:b/>
                <w:bCs/>
              </w:rPr>
              <w:t>0,3</w:t>
            </w:r>
          </w:p>
        </w:tc>
        <w:tc>
          <w:tcPr>
            <w:tcW w:w="565" w:type="pct"/>
            <w:tcBorders>
              <w:top w:val="single" w:sz="4" w:space="0" w:color="auto"/>
              <w:left w:val="single" w:sz="4" w:space="0" w:color="auto"/>
              <w:bottom w:val="single" w:sz="4" w:space="0" w:color="auto"/>
            </w:tcBorders>
            <w:vAlign w:val="center"/>
          </w:tcPr>
          <w:p w:rsidR="00F159D7" w:rsidRPr="006007C7" w:rsidRDefault="00F159D7" w:rsidP="00F159D7">
            <w:pPr>
              <w:spacing w:line="288" w:lineRule="auto"/>
              <w:ind w:right="77"/>
              <w:jc w:val="right"/>
              <w:rPr>
                <w:b/>
                <w:bCs/>
              </w:rPr>
            </w:pPr>
            <w:r>
              <w:rPr>
                <w:b/>
                <w:bCs/>
              </w:rPr>
              <w:t>1,7</w:t>
            </w:r>
          </w:p>
        </w:tc>
      </w:tr>
      <w:tr w:rsidR="00F159D7" w:rsidRPr="00B320C7" w:rsidTr="002A5E74">
        <w:trPr>
          <w:trHeight w:val="20"/>
        </w:trPr>
        <w:tc>
          <w:tcPr>
            <w:tcW w:w="1609" w:type="pct"/>
            <w:tcBorders>
              <w:top w:val="single" w:sz="4" w:space="0" w:color="auto"/>
              <w:bottom w:val="nil"/>
              <w:right w:val="single" w:sz="4" w:space="0" w:color="auto"/>
            </w:tcBorders>
            <w:vAlign w:val="bottom"/>
          </w:tcPr>
          <w:p w:rsidR="00F159D7" w:rsidRPr="00B320C7" w:rsidRDefault="00F159D7" w:rsidP="00042C84">
            <w:pPr>
              <w:spacing w:line="288" w:lineRule="auto"/>
              <w:ind w:right="77"/>
              <w:rPr>
                <w:rFonts w:ascii="Arial" w:hAnsi="Arial" w:cs="Arial"/>
                <w:b/>
                <w:sz w:val="20"/>
                <w:szCs w:val="20"/>
              </w:rPr>
            </w:pPr>
            <w:r w:rsidRPr="00B320C7">
              <w:rPr>
                <w:rFonts w:ascii="Arial" w:hAnsi="Arial" w:cs="Arial"/>
                <w:b/>
                <w:sz w:val="20"/>
                <w:szCs w:val="20"/>
              </w:rPr>
              <w:t xml:space="preserve">Industrial Production Index (IPI) </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rPr>
                <w:b/>
                <w:bCs/>
              </w:rPr>
            </w:pPr>
            <w:r>
              <w:rPr>
                <w:b/>
                <w:bCs/>
              </w:rPr>
              <w:t>-2,4</w:t>
            </w: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rPr>
                <w:b/>
                <w:bCs/>
              </w:rPr>
            </w:pPr>
            <w:r>
              <w:rPr>
                <w:b/>
                <w:bCs/>
              </w:rPr>
              <w:t>1,3</w:t>
            </w:r>
          </w:p>
        </w:tc>
        <w:tc>
          <w:tcPr>
            <w:tcW w:w="565" w:type="pct"/>
            <w:tcBorders>
              <w:top w:val="single" w:sz="4" w:space="0" w:color="auto"/>
              <w:left w:val="single" w:sz="4" w:space="0" w:color="auto"/>
              <w:bottom w:val="nil"/>
              <w:right w:val="single" w:sz="4" w:space="0" w:color="auto"/>
            </w:tcBorders>
            <w:vAlign w:val="center"/>
          </w:tcPr>
          <w:p w:rsidR="00F159D7" w:rsidRPr="006007C7" w:rsidRDefault="00F159D7" w:rsidP="00F159D7">
            <w:pPr>
              <w:spacing w:line="288" w:lineRule="auto"/>
              <w:ind w:right="77"/>
              <w:jc w:val="right"/>
              <w:rPr>
                <w:b/>
                <w:bCs/>
              </w:rPr>
            </w:pPr>
            <w:r>
              <w:rPr>
                <w:b/>
                <w:bCs/>
              </w:rPr>
              <w:t>-1,5</w:t>
            </w:r>
          </w:p>
        </w:tc>
        <w:tc>
          <w:tcPr>
            <w:tcW w:w="565" w:type="pct"/>
            <w:tcBorders>
              <w:top w:val="single" w:sz="4" w:space="0" w:color="auto"/>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rPr>
                <w:b/>
                <w:bCs/>
              </w:rPr>
            </w:pPr>
            <w:r>
              <w:rPr>
                <w:b/>
                <w:bCs/>
              </w:rPr>
              <w:t>**</w:t>
            </w: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rPr>
                <w:b/>
                <w:bCs/>
              </w:rPr>
            </w:pPr>
            <w:r>
              <w:rPr>
                <w:b/>
                <w:bCs/>
              </w:rPr>
              <w:t>0,1</w:t>
            </w:r>
          </w:p>
        </w:tc>
        <w:tc>
          <w:tcPr>
            <w:tcW w:w="565" w:type="pct"/>
            <w:tcBorders>
              <w:top w:val="single" w:sz="4" w:space="0" w:color="auto"/>
              <w:left w:val="single" w:sz="4" w:space="0" w:color="auto"/>
              <w:bottom w:val="nil"/>
            </w:tcBorders>
            <w:vAlign w:val="center"/>
          </w:tcPr>
          <w:p w:rsidR="00F159D7" w:rsidRPr="006007C7" w:rsidRDefault="00F159D7" w:rsidP="00F159D7">
            <w:pPr>
              <w:spacing w:line="288" w:lineRule="auto"/>
              <w:ind w:right="77"/>
              <w:jc w:val="right"/>
              <w:rPr>
                <w:b/>
                <w:bCs/>
              </w:rPr>
            </w:pPr>
            <w:r>
              <w:rPr>
                <w:b/>
                <w:bCs/>
              </w:rPr>
              <w:t>0,1</w:t>
            </w:r>
          </w:p>
        </w:tc>
      </w:tr>
      <w:tr w:rsidR="00F159D7" w:rsidRPr="00B320C7" w:rsidTr="00544439">
        <w:trPr>
          <w:trHeight w:val="20"/>
        </w:trPr>
        <w:tc>
          <w:tcPr>
            <w:tcW w:w="1609" w:type="pct"/>
            <w:tcBorders>
              <w:top w:val="nil"/>
              <w:bottom w:val="nil"/>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3,0</w:t>
            </w:r>
          </w:p>
        </w:tc>
        <w:tc>
          <w:tcPr>
            <w:tcW w:w="565" w:type="pct"/>
            <w:tcBorders>
              <w:top w:val="nil"/>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pPr>
            <w:r>
              <w:t>0,5</w:t>
            </w:r>
          </w:p>
        </w:tc>
        <w:tc>
          <w:tcPr>
            <w:tcW w:w="565" w:type="pct"/>
            <w:tcBorders>
              <w:top w:val="nil"/>
              <w:left w:val="single" w:sz="4" w:space="0" w:color="auto"/>
              <w:bottom w:val="nil"/>
              <w:right w:val="single" w:sz="4" w:space="0" w:color="auto"/>
            </w:tcBorders>
            <w:vAlign w:val="center"/>
          </w:tcPr>
          <w:p w:rsidR="00F159D7" w:rsidRPr="006007C7" w:rsidRDefault="00F159D7" w:rsidP="00F159D7">
            <w:pPr>
              <w:spacing w:line="288" w:lineRule="auto"/>
              <w:ind w:right="77"/>
              <w:jc w:val="right"/>
            </w:pPr>
            <w:r>
              <w:t>-3,5</w:t>
            </w:r>
          </w:p>
        </w:tc>
        <w:tc>
          <w:tcPr>
            <w:tcW w:w="565" w:type="pct"/>
            <w:tcBorders>
              <w:top w:val="nil"/>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1,3</w:t>
            </w:r>
          </w:p>
        </w:tc>
        <w:tc>
          <w:tcPr>
            <w:tcW w:w="565" w:type="pct"/>
            <w:tcBorders>
              <w:top w:val="nil"/>
              <w:left w:val="single" w:sz="4" w:space="0" w:color="auto"/>
              <w:bottom w:val="nil"/>
            </w:tcBorders>
            <w:vAlign w:val="center"/>
          </w:tcPr>
          <w:p w:rsidR="00F159D7" w:rsidRPr="006007C7" w:rsidRDefault="00F159D7" w:rsidP="00F159D7">
            <w:pPr>
              <w:spacing w:line="288" w:lineRule="auto"/>
              <w:ind w:right="77"/>
              <w:jc w:val="right"/>
            </w:pPr>
            <w:r>
              <w:t>2,8</w:t>
            </w:r>
          </w:p>
        </w:tc>
      </w:tr>
      <w:tr w:rsidR="00F159D7" w:rsidRPr="00B320C7" w:rsidTr="00544439">
        <w:trPr>
          <w:trHeight w:val="20"/>
        </w:trPr>
        <w:tc>
          <w:tcPr>
            <w:tcW w:w="1609" w:type="pct"/>
            <w:tcBorders>
              <w:top w:val="nil"/>
              <w:bottom w:val="nil"/>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-3,9</w:t>
            </w:r>
          </w:p>
        </w:tc>
        <w:tc>
          <w:tcPr>
            <w:tcW w:w="565" w:type="pct"/>
            <w:tcBorders>
              <w:top w:val="nil"/>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pPr>
            <w:r>
              <w:t>6,3</w:t>
            </w:r>
          </w:p>
        </w:tc>
        <w:tc>
          <w:tcPr>
            <w:tcW w:w="565" w:type="pct"/>
            <w:tcBorders>
              <w:top w:val="nil"/>
              <w:left w:val="single" w:sz="4" w:space="0" w:color="auto"/>
              <w:bottom w:val="nil"/>
              <w:right w:val="single" w:sz="4" w:space="0" w:color="auto"/>
            </w:tcBorders>
            <w:vAlign w:val="center"/>
          </w:tcPr>
          <w:p w:rsidR="00F159D7" w:rsidRPr="006007C7" w:rsidRDefault="00F159D7" w:rsidP="00F159D7">
            <w:pPr>
              <w:spacing w:line="288" w:lineRule="auto"/>
              <w:ind w:right="77"/>
              <w:jc w:val="right"/>
            </w:pPr>
            <w:r>
              <w:t>-15,1</w:t>
            </w:r>
          </w:p>
        </w:tc>
        <w:tc>
          <w:tcPr>
            <w:tcW w:w="565" w:type="pct"/>
            <w:tcBorders>
              <w:top w:val="nil"/>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1,6</w:t>
            </w:r>
          </w:p>
        </w:tc>
        <w:tc>
          <w:tcPr>
            <w:tcW w:w="565" w:type="pct"/>
            <w:tcBorders>
              <w:top w:val="nil"/>
              <w:left w:val="single" w:sz="4" w:space="0" w:color="auto"/>
              <w:bottom w:val="nil"/>
            </w:tcBorders>
            <w:vAlign w:val="center"/>
          </w:tcPr>
          <w:p w:rsidR="00F159D7" w:rsidRPr="006007C7" w:rsidRDefault="00F159D7" w:rsidP="00F159D7">
            <w:pPr>
              <w:spacing w:line="288" w:lineRule="auto"/>
              <w:ind w:right="77"/>
              <w:jc w:val="right"/>
            </w:pPr>
            <w:r>
              <w:t>-0,5</w:t>
            </w:r>
          </w:p>
        </w:tc>
      </w:tr>
      <w:tr w:rsidR="00F159D7" w:rsidRPr="00B320C7" w:rsidTr="00544439">
        <w:trPr>
          <w:trHeight w:val="20"/>
        </w:trPr>
        <w:tc>
          <w:tcPr>
            <w:tcW w:w="1609" w:type="pct"/>
            <w:tcBorders>
              <w:top w:val="nil"/>
              <w:bottom w:val="nil"/>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-0,3</w:t>
            </w:r>
          </w:p>
        </w:tc>
        <w:tc>
          <w:tcPr>
            <w:tcW w:w="565" w:type="pct"/>
            <w:tcBorders>
              <w:top w:val="nil"/>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pPr>
            <w:r>
              <w:t>2,2</w:t>
            </w:r>
          </w:p>
        </w:tc>
        <w:tc>
          <w:tcPr>
            <w:tcW w:w="565" w:type="pct"/>
            <w:tcBorders>
              <w:top w:val="nil"/>
              <w:left w:val="single" w:sz="4" w:space="0" w:color="auto"/>
              <w:bottom w:val="nil"/>
              <w:right w:val="single" w:sz="4" w:space="0" w:color="auto"/>
            </w:tcBorders>
            <w:vAlign w:val="center"/>
          </w:tcPr>
          <w:p w:rsidR="00F159D7" w:rsidRPr="006007C7" w:rsidRDefault="00F159D7" w:rsidP="00F159D7">
            <w:pPr>
              <w:spacing w:line="288" w:lineRule="auto"/>
              <w:ind w:right="77"/>
              <w:jc w:val="right"/>
            </w:pPr>
            <w:r>
              <w:t>-5,1</w:t>
            </w:r>
          </w:p>
        </w:tc>
        <w:tc>
          <w:tcPr>
            <w:tcW w:w="565" w:type="pct"/>
            <w:tcBorders>
              <w:top w:val="nil"/>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-0,2</w:t>
            </w:r>
          </w:p>
        </w:tc>
        <w:tc>
          <w:tcPr>
            <w:tcW w:w="565" w:type="pct"/>
            <w:tcBorders>
              <w:top w:val="nil"/>
              <w:left w:val="single" w:sz="4" w:space="0" w:color="auto"/>
              <w:bottom w:val="nil"/>
            </w:tcBorders>
            <w:vAlign w:val="center"/>
          </w:tcPr>
          <w:p w:rsidR="00F159D7" w:rsidRPr="006007C7" w:rsidRDefault="00F159D7" w:rsidP="00F159D7">
            <w:pPr>
              <w:spacing w:line="288" w:lineRule="auto"/>
              <w:ind w:right="77"/>
              <w:jc w:val="right"/>
            </w:pPr>
            <w:r>
              <w:t>-0,1</w:t>
            </w:r>
          </w:p>
        </w:tc>
      </w:tr>
      <w:tr w:rsidR="00F159D7" w:rsidRPr="00B320C7" w:rsidTr="00544439">
        <w:trPr>
          <w:trHeight w:val="20"/>
        </w:trPr>
        <w:tc>
          <w:tcPr>
            <w:tcW w:w="1609" w:type="pct"/>
            <w:tcBorders>
              <w:top w:val="nil"/>
              <w:bottom w:val="single" w:sz="4" w:space="0" w:color="auto"/>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3,5</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F159D7" w:rsidRPr="006007C7" w:rsidRDefault="00F159D7" w:rsidP="00F159D7">
            <w:pPr>
              <w:spacing w:line="288" w:lineRule="auto"/>
              <w:jc w:val="right"/>
            </w:pPr>
            <w:r>
              <w:t>1,8</w:t>
            </w:r>
          </w:p>
        </w:tc>
        <w:tc>
          <w:tcPr>
            <w:tcW w:w="565" w:type="pct"/>
            <w:tcBorders>
              <w:top w:val="nil"/>
              <w:left w:val="single" w:sz="4" w:space="0" w:color="auto"/>
              <w:bottom w:val="single" w:sz="4" w:space="0" w:color="auto"/>
              <w:right w:val="single" w:sz="4" w:space="0" w:color="auto"/>
            </w:tcBorders>
            <w:vAlign w:val="center"/>
          </w:tcPr>
          <w:p w:rsidR="00F159D7" w:rsidRPr="006007C7" w:rsidRDefault="00F159D7" w:rsidP="00F159D7">
            <w:pPr>
              <w:spacing w:line="288" w:lineRule="auto"/>
              <w:ind w:right="77"/>
              <w:jc w:val="right"/>
            </w:pPr>
            <w:r>
              <w:t>-7,7</w:t>
            </w:r>
          </w:p>
        </w:tc>
        <w:tc>
          <w:tcPr>
            <w:tcW w:w="565" w:type="pct"/>
            <w:tcBorders>
              <w:top w:val="nil"/>
              <w:left w:val="single" w:sz="4" w:space="0" w:color="auto"/>
              <w:bottom w:val="single" w:sz="4" w:space="0" w:color="auto"/>
              <w:right w:val="single" w:sz="4" w:space="0" w:color="auto"/>
            </w:tcBorders>
            <w:tcMar>
              <w:right w:w="160" w:type="dxa"/>
            </w:tcMar>
            <w:vAlign w:val="center"/>
          </w:tcPr>
          <w:p w:rsidR="00F159D7" w:rsidRPr="006007C7" w:rsidRDefault="00F159D7" w:rsidP="00F159D7">
            <w:pPr>
              <w:spacing w:line="288" w:lineRule="auto"/>
              <w:jc w:val="right"/>
            </w:pPr>
            <w: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-3,5</w:t>
            </w:r>
          </w:p>
        </w:tc>
        <w:tc>
          <w:tcPr>
            <w:tcW w:w="565" w:type="pct"/>
            <w:tcBorders>
              <w:top w:val="nil"/>
              <w:left w:val="single" w:sz="4" w:space="0" w:color="auto"/>
              <w:bottom w:val="single" w:sz="4" w:space="0" w:color="auto"/>
            </w:tcBorders>
            <w:vAlign w:val="center"/>
          </w:tcPr>
          <w:p w:rsidR="00F159D7" w:rsidRPr="006007C7" w:rsidRDefault="00F159D7" w:rsidP="00F159D7">
            <w:pPr>
              <w:spacing w:line="288" w:lineRule="auto"/>
              <w:ind w:right="77"/>
              <w:jc w:val="right"/>
            </w:pPr>
            <w:r>
              <w:t>3,3</w:t>
            </w:r>
          </w:p>
        </w:tc>
      </w:tr>
      <w:tr w:rsidR="00F159D7" w:rsidRPr="00B320C7" w:rsidTr="00544439">
        <w:trPr>
          <w:trHeight w:val="20"/>
        </w:trPr>
        <w:tc>
          <w:tcPr>
            <w:tcW w:w="1609" w:type="pct"/>
            <w:tcBorders>
              <w:top w:val="single" w:sz="4" w:space="0" w:color="auto"/>
              <w:bottom w:val="nil"/>
              <w:right w:val="single" w:sz="4" w:space="0" w:color="auto"/>
            </w:tcBorders>
            <w:vAlign w:val="bottom"/>
          </w:tcPr>
          <w:p w:rsidR="00F159D7" w:rsidRPr="00B320C7" w:rsidRDefault="00F159D7" w:rsidP="00042C84">
            <w:pPr>
              <w:spacing w:line="288" w:lineRule="auto"/>
              <w:ind w:right="77"/>
              <w:rPr>
                <w:rFonts w:ascii="Arial" w:hAnsi="Arial" w:cs="Arial"/>
                <w:b/>
                <w:sz w:val="20"/>
                <w:szCs w:val="20"/>
              </w:rPr>
            </w:pPr>
            <w:r w:rsidRPr="00B320C7">
              <w:rPr>
                <w:rFonts w:ascii="Arial" w:hAnsi="Arial" w:cs="Arial"/>
                <w:b/>
                <w:sz w:val="20"/>
                <w:szCs w:val="20"/>
              </w:rPr>
              <w:t>Capacity Utilization Rate (CUR)</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rPr>
                <w:b/>
                <w:bCs/>
              </w:rPr>
            </w:pPr>
            <w:r>
              <w:rPr>
                <w:b/>
                <w:bCs/>
              </w:rPr>
              <w:t>0,7</w:t>
            </w: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rPr>
                <w:b/>
                <w:bCs/>
              </w:rPr>
            </w:pPr>
            <w:r>
              <w:rPr>
                <w:b/>
                <w:bCs/>
              </w:rPr>
              <w:t>-0,9</w:t>
            </w:r>
          </w:p>
        </w:tc>
        <w:tc>
          <w:tcPr>
            <w:tcW w:w="565" w:type="pct"/>
            <w:tcBorders>
              <w:top w:val="single" w:sz="4" w:space="0" w:color="auto"/>
              <w:left w:val="single" w:sz="4" w:space="0" w:color="auto"/>
              <w:bottom w:val="nil"/>
              <w:right w:val="single" w:sz="4" w:space="0" w:color="auto"/>
            </w:tcBorders>
            <w:vAlign w:val="center"/>
          </w:tcPr>
          <w:p w:rsidR="00F159D7" w:rsidRPr="006007C7" w:rsidRDefault="00F159D7" w:rsidP="00F159D7">
            <w:pPr>
              <w:spacing w:line="288" w:lineRule="auto"/>
              <w:ind w:right="77"/>
              <w:jc w:val="right"/>
              <w:rPr>
                <w:b/>
                <w:bCs/>
              </w:rPr>
            </w:pPr>
            <w:r>
              <w:rPr>
                <w:b/>
                <w:bCs/>
              </w:rPr>
              <w:t>0,3</w:t>
            </w:r>
          </w:p>
        </w:tc>
        <w:tc>
          <w:tcPr>
            <w:tcW w:w="565" w:type="pct"/>
            <w:tcBorders>
              <w:top w:val="single" w:sz="4" w:space="0" w:color="auto"/>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rPr>
                <w:b/>
                <w:bCs/>
              </w:rPr>
            </w:pPr>
            <w:r>
              <w:rPr>
                <w:b/>
                <w:bCs/>
              </w:rPr>
              <w:t>-0,5</w:t>
            </w: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rPr>
                <w:b/>
                <w:bCs/>
              </w:rPr>
            </w:pPr>
            <w:r>
              <w:rPr>
                <w:b/>
                <w:bCs/>
              </w:rPr>
              <w:t>-1,1</w:t>
            </w:r>
          </w:p>
        </w:tc>
        <w:tc>
          <w:tcPr>
            <w:tcW w:w="565" w:type="pct"/>
            <w:tcBorders>
              <w:top w:val="single" w:sz="4" w:space="0" w:color="auto"/>
              <w:left w:val="single" w:sz="4" w:space="0" w:color="auto"/>
              <w:bottom w:val="nil"/>
            </w:tcBorders>
            <w:vAlign w:val="center"/>
          </w:tcPr>
          <w:p w:rsidR="00F159D7" w:rsidRPr="006007C7" w:rsidRDefault="00F159D7" w:rsidP="00F159D7">
            <w:pPr>
              <w:spacing w:line="288" w:lineRule="auto"/>
              <w:ind w:right="77"/>
              <w:jc w:val="right"/>
              <w:rPr>
                <w:b/>
                <w:bCs/>
              </w:rPr>
            </w:pPr>
            <w:r>
              <w:rPr>
                <w:b/>
                <w:bCs/>
              </w:rPr>
              <w:t>-0,2</w:t>
            </w:r>
          </w:p>
        </w:tc>
      </w:tr>
      <w:tr w:rsidR="00F159D7" w:rsidRPr="00B320C7" w:rsidTr="00544439">
        <w:trPr>
          <w:trHeight w:val="20"/>
        </w:trPr>
        <w:tc>
          <w:tcPr>
            <w:tcW w:w="1609" w:type="pct"/>
            <w:tcBorders>
              <w:top w:val="nil"/>
              <w:bottom w:val="nil"/>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0,1</w:t>
            </w:r>
          </w:p>
        </w:tc>
        <w:tc>
          <w:tcPr>
            <w:tcW w:w="565" w:type="pct"/>
            <w:tcBorders>
              <w:top w:val="nil"/>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pPr>
            <w:r>
              <w:t>0,1</w:t>
            </w:r>
          </w:p>
        </w:tc>
        <w:tc>
          <w:tcPr>
            <w:tcW w:w="565" w:type="pct"/>
            <w:tcBorders>
              <w:top w:val="nil"/>
              <w:left w:val="single" w:sz="4" w:space="0" w:color="auto"/>
              <w:bottom w:val="nil"/>
              <w:right w:val="single" w:sz="4" w:space="0" w:color="auto"/>
            </w:tcBorders>
            <w:vAlign w:val="center"/>
          </w:tcPr>
          <w:p w:rsidR="00F159D7" w:rsidRPr="006007C7" w:rsidRDefault="00F159D7" w:rsidP="00F159D7">
            <w:pPr>
              <w:spacing w:line="288" w:lineRule="auto"/>
              <w:ind w:right="77"/>
              <w:jc w:val="right"/>
            </w:pPr>
            <w:r>
              <w:t>0,0</w:t>
            </w:r>
          </w:p>
        </w:tc>
        <w:tc>
          <w:tcPr>
            <w:tcW w:w="565" w:type="pct"/>
            <w:tcBorders>
              <w:top w:val="nil"/>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pPr>
            <w:r>
              <w:t>0,6</w:t>
            </w:r>
          </w:p>
        </w:tc>
        <w:tc>
          <w:tcPr>
            <w:tcW w:w="565" w:type="pct"/>
            <w:tcBorders>
              <w:top w:val="nil"/>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-0,4</w:t>
            </w:r>
          </w:p>
        </w:tc>
        <w:tc>
          <w:tcPr>
            <w:tcW w:w="565" w:type="pct"/>
            <w:tcBorders>
              <w:top w:val="nil"/>
              <w:left w:val="single" w:sz="4" w:space="0" w:color="auto"/>
              <w:bottom w:val="nil"/>
            </w:tcBorders>
            <w:vAlign w:val="center"/>
          </w:tcPr>
          <w:p w:rsidR="00F159D7" w:rsidRPr="006007C7" w:rsidRDefault="00F159D7" w:rsidP="00F159D7">
            <w:pPr>
              <w:spacing w:line="288" w:lineRule="auto"/>
              <w:ind w:right="77"/>
              <w:jc w:val="right"/>
            </w:pPr>
            <w:r>
              <w:t>0,2</w:t>
            </w:r>
          </w:p>
        </w:tc>
      </w:tr>
      <w:tr w:rsidR="00F159D7" w:rsidRPr="00B320C7" w:rsidTr="00544439">
        <w:trPr>
          <w:trHeight w:val="20"/>
        </w:trPr>
        <w:tc>
          <w:tcPr>
            <w:tcW w:w="1609" w:type="pct"/>
            <w:tcBorders>
              <w:top w:val="nil"/>
              <w:bottom w:val="nil"/>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-0,9</w:t>
            </w:r>
          </w:p>
        </w:tc>
        <w:tc>
          <w:tcPr>
            <w:tcW w:w="565" w:type="pct"/>
            <w:tcBorders>
              <w:top w:val="nil"/>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pPr>
            <w:r>
              <w:t>-1,3</w:t>
            </w:r>
          </w:p>
        </w:tc>
        <w:tc>
          <w:tcPr>
            <w:tcW w:w="565" w:type="pct"/>
            <w:tcBorders>
              <w:top w:val="nil"/>
              <w:left w:val="single" w:sz="4" w:space="0" w:color="auto"/>
              <w:bottom w:val="nil"/>
              <w:right w:val="single" w:sz="4" w:space="0" w:color="auto"/>
            </w:tcBorders>
            <w:vAlign w:val="center"/>
          </w:tcPr>
          <w:p w:rsidR="00F159D7" w:rsidRPr="006007C7" w:rsidRDefault="00F159D7" w:rsidP="00F159D7">
            <w:pPr>
              <w:spacing w:line="288" w:lineRule="auto"/>
              <w:ind w:right="77"/>
              <w:jc w:val="right"/>
            </w:pPr>
            <w:r>
              <w:t>-0,2</w:t>
            </w:r>
          </w:p>
        </w:tc>
        <w:tc>
          <w:tcPr>
            <w:tcW w:w="565" w:type="pct"/>
            <w:tcBorders>
              <w:top w:val="nil"/>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pPr>
            <w:r>
              <w:t>1,0</w:t>
            </w:r>
          </w:p>
        </w:tc>
        <w:tc>
          <w:tcPr>
            <w:tcW w:w="565" w:type="pct"/>
            <w:tcBorders>
              <w:top w:val="nil"/>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-1,8</w:t>
            </w:r>
          </w:p>
        </w:tc>
        <w:tc>
          <w:tcPr>
            <w:tcW w:w="565" w:type="pct"/>
            <w:tcBorders>
              <w:top w:val="nil"/>
              <w:left w:val="single" w:sz="4" w:space="0" w:color="auto"/>
              <w:bottom w:val="nil"/>
            </w:tcBorders>
            <w:vAlign w:val="center"/>
          </w:tcPr>
          <w:p w:rsidR="00F159D7" w:rsidRPr="006007C7" w:rsidRDefault="00F159D7" w:rsidP="00F159D7">
            <w:pPr>
              <w:spacing w:line="288" w:lineRule="auto"/>
              <w:ind w:right="77"/>
              <w:jc w:val="right"/>
            </w:pPr>
            <w:r>
              <w:t>-2,2</w:t>
            </w:r>
          </w:p>
        </w:tc>
      </w:tr>
      <w:tr w:rsidR="00F159D7" w:rsidRPr="00B320C7" w:rsidTr="00544439">
        <w:trPr>
          <w:trHeight w:val="20"/>
        </w:trPr>
        <w:tc>
          <w:tcPr>
            <w:tcW w:w="1609" w:type="pct"/>
            <w:tcBorders>
              <w:top w:val="nil"/>
              <w:bottom w:val="nil"/>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0,2</w:t>
            </w:r>
          </w:p>
        </w:tc>
        <w:tc>
          <w:tcPr>
            <w:tcW w:w="565" w:type="pct"/>
            <w:tcBorders>
              <w:top w:val="nil"/>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pPr>
            <w:r>
              <w:t>-0,5</w:t>
            </w:r>
          </w:p>
        </w:tc>
        <w:tc>
          <w:tcPr>
            <w:tcW w:w="565" w:type="pct"/>
            <w:tcBorders>
              <w:top w:val="nil"/>
              <w:left w:val="single" w:sz="4" w:space="0" w:color="auto"/>
              <w:bottom w:val="nil"/>
              <w:right w:val="single" w:sz="4" w:space="0" w:color="auto"/>
            </w:tcBorders>
            <w:vAlign w:val="center"/>
          </w:tcPr>
          <w:p w:rsidR="00F159D7" w:rsidRPr="006007C7" w:rsidRDefault="00F159D7" w:rsidP="00F159D7">
            <w:pPr>
              <w:spacing w:line="288" w:lineRule="auto"/>
              <w:ind w:right="77"/>
              <w:jc w:val="right"/>
            </w:pPr>
            <w:r>
              <w:t>1,5</w:t>
            </w:r>
          </w:p>
        </w:tc>
        <w:tc>
          <w:tcPr>
            <w:tcW w:w="565" w:type="pct"/>
            <w:tcBorders>
              <w:top w:val="nil"/>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pPr>
            <w:r>
              <w:t>-1,5</w:t>
            </w:r>
          </w:p>
        </w:tc>
        <w:tc>
          <w:tcPr>
            <w:tcW w:w="565" w:type="pct"/>
            <w:tcBorders>
              <w:top w:val="nil"/>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-0,9</w:t>
            </w:r>
          </w:p>
        </w:tc>
        <w:tc>
          <w:tcPr>
            <w:tcW w:w="565" w:type="pct"/>
            <w:tcBorders>
              <w:top w:val="nil"/>
              <w:left w:val="single" w:sz="4" w:space="0" w:color="auto"/>
              <w:bottom w:val="nil"/>
            </w:tcBorders>
            <w:vAlign w:val="center"/>
          </w:tcPr>
          <w:p w:rsidR="00F159D7" w:rsidRPr="006007C7" w:rsidRDefault="00F159D7" w:rsidP="00F159D7">
            <w:pPr>
              <w:spacing w:line="288" w:lineRule="auto"/>
              <w:ind w:right="77"/>
              <w:jc w:val="right"/>
            </w:pPr>
            <w:r>
              <w:t>-0,1</w:t>
            </w:r>
          </w:p>
        </w:tc>
      </w:tr>
      <w:tr w:rsidR="00F159D7" w:rsidRPr="00B320C7" w:rsidTr="00544439">
        <w:trPr>
          <w:trHeight w:val="20"/>
        </w:trPr>
        <w:tc>
          <w:tcPr>
            <w:tcW w:w="1609" w:type="pct"/>
            <w:tcBorders>
              <w:top w:val="nil"/>
              <w:bottom w:val="single" w:sz="4" w:space="0" w:color="auto"/>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0,3</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F159D7" w:rsidRPr="006007C7" w:rsidRDefault="00F159D7" w:rsidP="00F159D7">
            <w:pPr>
              <w:spacing w:line="288" w:lineRule="auto"/>
              <w:jc w:val="right"/>
            </w:pPr>
            <w:r>
              <w:t>-0,3</w:t>
            </w:r>
          </w:p>
        </w:tc>
        <w:tc>
          <w:tcPr>
            <w:tcW w:w="565" w:type="pct"/>
            <w:tcBorders>
              <w:top w:val="nil"/>
              <w:left w:val="single" w:sz="4" w:space="0" w:color="auto"/>
              <w:bottom w:val="single" w:sz="4" w:space="0" w:color="auto"/>
              <w:right w:val="single" w:sz="4" w:space="0" w:color="auto"/>
            </w:tcBorders>
            <w:vAlign w:val="center"/>
          </w:tcPr>
          <w:p w:rsidR="00F159D7" w:rsidRPr="006007C7" w:rsidRDefault="00F159D7" w:rsidP="00F159D7">
            <w:pPr>
              <w:spacing w:line="288" w:lineRule="auto"/>
              <w:ind w:right="77"/>
              <w:jc w:val="right"/>
            </w:pPr>
            <w:r>
              <w:t>1,8</w:t>
            </w:r>
          </w:p>
        </w:tc>
        <w:tc>
          <w:tcPr>
            <w:tcW w:w="565" w:type="pct"/>
            <w:tcBorders>
              <w:top w:val="nil"/>
              <w:left w:val="single" w:sz="4" w:space="0" w:color="auto"/>
              <w:bottom w:val="single" w:sz="4" w:space="0" w:color="auto"/>
              <w:right w:val="single" w:sz="4" w:space="0" w:color="auto"/>
            </w:tcBorders>
            <w:tcMar>
              <w:right w:w="160" w:type="dxa"/>
            </w:tcMar>
            <w:vAlign w:val="center"/>
          </w:tcPr>
          <w:p w:rsidR="00F159D7" w:rsidRPr="006007C7" w:rsidRDefault="00F159D7" w:rsidP="00F159D7">
            <w:pPr>
              <w:spacing w:line="288" w:lineRule="auto"/>
              <w:jc w:val="right"/>
            </w:pPr>
            <w:r>
              <w:t>-1,0</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-2,1</w:t>
            </w:r>
          </w:p>
        </w:tc>
        <w:tc>
          <w:tcPr>
            <w:tcW w:w="565" w:type="pct"/>
            <w:tcBorders>
              <w:top w:val="nil"/>
              <w:left w:val="single" w:sz="4" w:space="0" w:color="auto"/>
              <w:bottom w:val="single" w:sz="4" w:space="0" w:color="auto"/>
            </w:tcBorders>
            <w:vAlign w:val="center"/>
          </w:tcPr>
          <w:p w:rsidR="00F159D7" w:rsidRPr="006007C7" w:rsidRDefault="00F159D7" w:rsidP="00F159D7">
            <w:pPr>
              <w:spacing w:line="288" w:lineRule="auto"/>
              <w:ind w:right="77"/>
              <w:jc w:val="right"/>
            </w:pPr>
            <w:r>
              <w:t>0,3</w:t>
            </w:r>
          </w:p>
        </w:tc>
      </w:tr>
      <w:tr w:rsidR="00F159D7" w:rsidRPr="00B320C7" w:rsidTr="00544439">
        <w:trPr>
          <w:trHeight w:val="20"/>
        </w:trPr>
        <w:tc>
          <w:tcPr>
            <w:tcW w:w="1609" w:type="pct"/>
            <w:tcBorders>
              <w:top w:val="single" w:sz="4" w:space="0" w:color="auto"/>
              <w:bottom w:val="nil"/>
              <w:right w:val="single" w:sz="4" w:space="0" w:color="auto"/>
            </w:tcBorders>
            <w:vAlign w:val="bottom"/>
          </w:tcPr>
          <w:p w:rsidR="00F159D7" w:rsidRPr="00B320C7" w:rsidRDefault="00F159D7" w:rsidP="00042C84">
            <w:pPr>
              <w:spacing w:line="288" w:lineRule="auto"/>
              <w:ind w:right="77"/>
              <w:rPr>
                <w:rFonts w:ascii="Arial" w:hAnsi="Arial" w:cs="Arial"/>
                <w:b/>
                <w:sz w:val="20"/>
                <w:szCs w:val="20"/>
              </w:rPr>
            </w:pPr>
            <w:r w:rsidRPr="00B320C7">
              <w:rPr>
                <w:rFonts w:ascii="Arial" w:hAnsi="Arial" w:cs="Arial"/>
                <w:b/>
                <w:sz w:val="20"/>
                <w:szCs w:val="20"/>
              </w:rPr>
              <w:t>Manufacturing Orders Index</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rPr>
                <w:b/>
                <w:bCs/>
              </w:rPr>
            </w:pPr>
            <w:r>
              <w:rPr>
                <w:b/>
                <w:bCs/>
              </w:rPr>
              <w:t>5,2</w:t>
            </w: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rPr>
                <w:b/>
                <w:bCs/>
              </w:rPr>
            </w:pPr>
            <w:r>
              <w:rPr>
                <w:b/>
                <w:bCs/>
              </w:rPr>
              <w:t>1,9</w:t>
            </w:r>
          </w:p>
        </w:tc>
        <w:tc>
          <w:tcPr>
            <w:tcW w:w="565" w:type="pct"/>
            <w:tcBorders>
              <w:top w:val="single" w:sz="4" w:space="0" w:color="auto"/>
              <w:left w:val="single" w:sz="4" w:space="0" w:color="auto"/>
              <w:bottom w:val="nil"/>
              <w:right w:val="single" w:sz="4" w:space="0" w:color="auto"/>
            </w:tcBorders>
            <w:vAlign w:val="center"/>
          </w:tcPr>
          <w:p w:rsidR="00F159D7" w:rsidRPr="006007C7" w:rsidRDefault="00F159D7" w:rsidP="00F159D7">
            <w:pPr>
              <w:spacing w:line="288" w:lineRule="auto"/>
              <w:ind w:right="77"/>
              <w:jc w:val="right"/>
              <w:rPr>
                <w:b/>
                <w:bCs/>
              </w:rPr>
            </w:pPr>
            <w:r>
              <w:rPr>
                <w:b/>
                <w:bCs/>
              </w:rPr>
              <w:t>**</w:t>
            </w:r>
          </w:p>
        </w:tc>
        <w:tc>
          <w:tcPr>
            <w:tcW w:w="565" w:type="pct"/>
            <w:tcBorders>
              <w:top w:val="single" w:sz="4" w:space="0" w:color="auto"/>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rPr>
                <w:b/>
                <w:bCs/>
              </w:rPr>
            </w:pPr>
            <w:r>
              <w:rPr>
                <w:b/>
                <w:bCs/>
              </w:rPr>
              <w:t>**</w:t>
            </w: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rPr>
                <w:b/>
                <w:bCs/>
              </w:rPr>
            </w:pPr>
            <w:r>
              <w:rPr>
                <w:b/>
                <w:bCs/>
              </w:rPr>
              <w:t>-4,1</w:t>
            </w:r>
          </w:p>
        </w:tc>
        <w:tc>
          <w:tcPr>
            <w:tcW w:w="565" w:type="pct"/>
            <w:tcBorders>
              <w:top w:val="single" w:sz="4" w:space="0" w:color="auto"/>
              <w:left w:val="single" w:sz="4" w:space="0" w:color="auto"/>
              <w:bottom w:val="nil"/>
            </w:tcBorders>
            <w:vAlign w:val="center"/>
          </w:tcPr>
          <w:p w:rsidR="00F159D7" w:rsidRPr="006007C7" w:rsidRDefault="00F159D7" w:rsidP="00F159D7">
            <w:pPr>
              <w:spacing w:line="288" w:lineRule="auto"/>
              <w:ind w:right="77"/>
              <w:jc w:val="right"/>
              <w:rPr>
                <w:b/>
                <w:bCs/>
              </w:rPr>
            </w:pPr>
            <w:r>
              <w:rPr>
                <w:b/>
                <w:bCs/>
              </w:rPr>
              <w:t>5,9</w:t>
            </w:r>
          </w:p>
        </w:tc>
      </w:tr>
      <w:tr w:rsidR="00F159D7" w:rsidRPr="00B320C7" w:rsidTr="00544439">
        <w:trPr>
          <w:trHeight w:val="20"/>
        </w:trPr>
        <w:tc>
          <w:tcPr>
            <w:tcW w:w="1609" w:type="pct"/>
            <w:tcBorders>
              <w:top w:val="nil"/>
              <w:bottom w:val="nil"/>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Domestic Orders</w:t>
            </w:r>
          </w:p>
        </w:tc>
        <w:tc>
          <w:tcPr>
            <w:tcW w:w="565" w:type="pct"/>
            <w:tcBorders>
              <w:top w:val="nil"/>
              <w:left w:val="single" w:sz="4" w:space="0" w:color="auto"/>
              <w:bottom w:val="nil"/>
              <w:right w:val="single" w:sz="4" w:space="0" w:color="auto"/>
            </w:tcBorders>
            <w:tcMar>
              <w:left w:w="57" w:type="dxa"/>
              <w:right w:w="160" w:type="dxa"/>
            </w:tcMar>
            <w:vAlign w:val="center"/>
          </w:tcPr>
          <w:p w:rsidR="00F159D7" w:rsidRPr="0097770C" w:rsidRDefault="00F159D7" w:rsidP="00F159D7">
            <w:pPr>
              <w:spacing w:line="288" w:lineRule="auto"/>
              <w:ind w:right="-12"/>
              <w:jc w:val="right"/>
            </w:pPr>
            <w:r>
              <w:t>6,9</w:t>
            </w:r>
          </w:p>
        </w:tc>
        <w:tc>
          <w:tcPr>
            <w:tcW w:w="565" w:type="pct"/>
            <w:tcBorders>
              <w:top w:val="nil"/>
              <w:left w:val="single" w:sz="4" w:space="0" w:color="auto"/>
              <w:bottom w:val="nil"/>
              <w:right w:val="single" w:sz="4" w:space="0" w:color="auto"/>
            </w:tcBorders>
            <w:tcMar>
              <w:left w:w="0" w:type="dxa"/>
              <w:right w:w="160" w:type="dxa"/>
            </w:tcMar>
            <w:vAlign w:val="center"/>
          </w:tcPr>
          <w:p w:rsidR="00F159D7" w:rsidRPr="0097770C" w:rsidRDefault="00F159D7" w:rsidP="00F159D7">
            <w:pPr>
              <w:spacing w:line="288" w:lineRule="auto"/>
              <w:jc w:val="right"/>
            </w:pPr>
            <w:r>
              <w:t>6,1</w:t>
            </w:r>
          </w:p>
        </w:tc>
        <w:tc>
          <w:tcPr>
            <w:tcW w:w="565" w:type="pct"/>
            <w:tcBorders>
              <w:top w:val="nil"/>
              <w:left w:val="single" w:sz="4" w:space="0" w:color="auto"/>
              <w:bottom w:val="nil"/>
              <w:right w:val="single" w:sz="4" w:space="0" w:color="auto"/>
            </w:tcBorders>
            <w:vAlign w:val="center"/>
          </w:tcPr>
          <w:p w:rsidR="00F159D7" w:rsidRPr="0097770C" w:rsidRDefault="00F159D7" w:rsidP="00F159D7">
            <w:pPr>
              <w:spacing w:line="288" w:lineRule="auto"/>
              <w:ind w:right="77"/>
              <w:jc w:val="right"/>
            </w:pPr>
            <w:r>
              <w:t>**</w:t>
            </w:r>
          </w:p>
        </w:tc>
        <w:tc>
          <w:tcPr>
            <w:tcW w:w="565" w:type="pct"/>
            <w:tcBorders>
              <w:top w:val="nil"/>
              <w:left w:val="single" w:sz="4" w:space="0" w:color="auto"/>
              <w:bottom w:val="nil"/>
              <w:right w:val="single" w:sz="4" w:space="0" w:color="auto"/>
            </w:tcBorders>
            <w:tcMar>
              <w:right w:w="160" w:type="dxa"/>
            </w:tcMar>
            <w:vAlign w:val="center"/>
          </w:tcPr>
          <w:p w:rsidR="00F159D7" w:rsidRPr="0097770C" w:rsidRDefault="00F159D7" w:rsidP="00F159D7">
            <w:pPr>
              <w:spacing w:line="288" w:lineRule="auto"/>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-2,9</w:t>
            </w:r>
          </w:p>
        </w:tc>
        <w:tc>
          <w:tcPr>
            <w:tcW w:w="565" w:type="pct"/>
            <w:tcBorders>
              <w:top w:val="nil"/>
              <w:left w:val="single" w:sz="4" w:space="0" w:color="auto"/>
              <w:bottom w:val="nil"/>
            </w:tcBorders>
            <w:vAlign w:val="center"/>
          </w:tcPr>
          <w:p w:rsidR="00F159D7" w:rsidRPr="006007C7" w:rsidRDefault="00F159D7" w:rsidP="00F159D7">
            <w:pPr>
              <w:spacing w:line="288" w:lineRule="auto"/>
              <w:ind w:right="77"/>
              <w:jc w:val="right"/>
            </w:pPr>
            <w:r>
              <w:t>9,0</w:t>
            </w:r>
          </w:p>
        </w:tc>
      </w:tr>
      <w:tr w:rsidR="00F159D7" w:rsidRPr="00B320C7" w:rsidTr="00544439">
        <w:trPr>
          <w:trHeight w:val="20"/>
        </w:trPr>
        <w:tc>
          <w:tcPr>
            <w:tcW w:w="1609" w:type="pct"/>
            <w:tcBorders>
              <w:top w:val="nil"/>
              <w:bottom w:val="single" w:sz="4" w:space="0" w:color="auto"/>
              <w:right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Foreign Orderrs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12"/>
              <w:jc w:val="right"/>
            </w:pPr>
            <w:r>
              <w:t>3,6</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F159D7" w:rsidRPr="006007C7" w:rsidRDefault="00F159D7" w:rsidP="00F159D7">
            <w:pPr>
              <w:spacing w:line="288" w:lineRule="auto"/>
              <w:jc w:val="right"/>
            </w:pPr>
            <w:r>
              <w:t>-5,4</w:t>
            </w:r>
          </w:p>
        </w:tc>
        <w:tc>
          <w:tcPr>
            <w:tcW w:w="565" w:type="pct"/>
            <w:tcBorders>
              <w:top w:val="nil"/>
              <w:left w:val="single" w:sz="4" w:space="0" w:color="auto"/>
              <w:bottom w:val="single" w:sz="4" w:space="0" w:color="auto"/>
              <w:right w:val="single" w:sz="4" w:space="0" w:color="auto"/>
            </w:tcBorders>
            <w:vAlign w:val="center"/>
          </w:tcPr>
          <w:p w:rsidR="00F159D7" w:rsidRPr="006007C7" w:rsidRDefault="00F159D7" w:rsidP="00F159D7">
            <w:pPr>
              <w:spacing w:line="288" w:lineRule="auto"/>
              <w:ind w:right="77"/>
              <w:jc w:val="right"/>
            </w:pPr>
            <w:r>
              <w:t>**</w:t>
            </w:r>
          </w:p>
        </w:tc>
        <w:tc>
          <w:tcPr>
            <w:tcW w:w="565" w:type="pct"/>
            <w:tcBorders>
              <w:top w:val="nil"/>
              <w:left w:val="single" w:sz="4" w:space="0" w:color="auto"/>
              <w:bottom w:val="single" w:sz="4" w:space="0" w:color="auto"/>
              <w:right w:val="single" w:sz="4" w:space="0" w:color="auto"/>
            </w:tcBorders>
            <w:tcMar>
              <w:right w:w="160" w:type="dxa"/>
            </w:tcMar>
            <w:vAlign w:val="center"/>
          </w:tcPr>
          <w:p w:rsidR="00F159D7" w:rsidRPr="006007C7" w:rsidRDefault="00F159D7" w:rsidP="00F159D7">
            <w:pPr>
              <w:spacing w:line="288" w:lineRule="auto"/>
              <w:jc w:val="right"/>
            </w:pPr>
            <w: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F159D7" w:rsidRPr="006007C7" w:rsidRDefault="00F159D7" w:rsidP="00F159D7">
            <w:pPr>
              <w:spacing w:line="288" w:lineRule="auto"/>
              <w:ind w:right="-65"/>
              <w:jc w:val="right"/>
            </w:pPr>
            <w:r>
              <w:t>-5,7</w:t>
            </w:r>
          </w:p>
        </w:tc>
        <w:tc>
          <w:tcPr>
            <w:tcW w:w="565" w:type="pct"/>
            <w:tcBorders>
              <w:top w:val="nil"/>
              <w:left w:val="single" w:sz="4" w:space="0" w:color="auto"/>
              <w:bottom w:val="single" w:sz="4" w:space="0" w:color="auto"/>
            </w:tcBorders>
            <w:vAlign w:val="center"/>
          </w:tcPr>
          <w:p w:rsidR="00F159D7" w:rsidRPr="006007C7" w:rsidRDefault="00F159D7" w:rsidP="00F159D7">
            <w:pPr>
              <w:spacing w:line="288" w:lineRule="auto"/>
              <w:ind w:right="77"/>
              <w:jc w:val="right"/>
            </w:pPr>
            <w:r>
              <w:t>1,6</w:t>
            </w:r>
          </w:p>
        </w:tc>
      </w:tr>
      <w:tr w:rsidR="00F159D7" w:rsidRPr="00B320C7" w:rsidTr="00544439">
        <w:trPr>
          <w:trHeight w:val="20"/>
        </w:trPr>
        <w:tc>
          <w:tcPr>
            <w:tcW w:w="1609" w:type="pct"/>
            <w:tcBorders>
              <w:top w:val="single" w:sz="4" w:space="0" w:color="auto"/>
              <w:bottom w:val="nil"/>
              <w:right w:val="single" w:sz="4" w:space="0" w:color="auto"/>
            </w:tcBorders>
            <w:vAlign w:val="bottom"/>
          </w:tcPr>
          <w:p w:rsidR="00F159D7" w:rsidRPr="00B320C7" w:rsidRDefault="00F159D7" w:rsidP="00042C84">
            <w:pPr>
              <w:spacing w:line="288" w:lineRule="auto"/>
              <w:ind w:right="77"/>
              <w:rPr>
                <w:rFonts w:ascii="Arial" w:hAnsi="Arial" w:cs="Arial"/>
                <w:b/>
                <w:sz w:val="20"/>
                <w:szCs w:val="20"/>
              </w:rPr>
            </w:pPr>
            <w:r w:rsidRPr="00B320C7">
              <w:rPr>
                <w:rFonts w:ascii="Arial" w:hAnsi="Arial" w:cs="Arial"/>
                <w:b/>
                <w:sz w:val="20"/>
                <w:szCs w:val="20"/>
              </w:rPr>
              <w:t>Soft Data</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12"/>
              <w:jc w:val="right"/>
            </w:pP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F159D7" w:rsidRPr="006007C7" w:rsidRDefault="00F159D7" w:rsidP="00F159D7">
            <w:pPr>
              <w:spacing w:line="288" w:lineRule="auto"/>
              <w:jc w:val="right"/>
            </w:pPr>
          </w:p>
        </w:tc>
        <w:tc>
          <w:tcPr>
            <w:tcW w:w="565" w:type="pct"/>
            <w:tcBorders>
              <w:top w:val="single" w:sz="4" w:space="0" w:color="auto"/>
              <w:left w:val="single" w:sz="4" w:space="0" w:color="auto"/>
              <w:bottom w:val="nil"/>
              <w:right w:val="single" w:sz="4" w:space="0" w:color="auto"/>
            </w:tcBorders>
            <w:vAlign w:val="center"/>
          </w:tcPr>
          <w:p w:rsidR="00F159D7" w:rsidRPr="006007C7" w:rsidRDefault="00F159D7" w:rsidP="00F159D7">
            <w:pPr>
              <w:spacing w:line="288" w:lineRule="auto"/>
              <w:ind w:right="77"/>
              <w:jc w:val="right"/>
            </w:pPr>
          </w:p>
        </w:tc>
        <w:tc>
          <w:tcPr>
            <w:tcW w:w="565" w:type="pct"/>
            <w:tcBorders>
              <w:top w:val="single" w:sz="4" w:space="0" w:color="auto"/>
              <w:left w:val="single" w:sz="4" w:space="0" w:color="auto"/>
              <w:bottom w:val="nil"/>
              <w:right w:val="single" w:sz="4" w:space="0" w:color="auto"/>
            </w:tcBorders>
            <w:tcMar>
              <w:right w:w="160" w:type="dxa"/>
            </w:tcMar>
            <w:vAlign w:val="center"/>
          </w:tcPr>
          <w:p w:rsidR="00F159D7" w:rsidRPr="006007C7" w:rsidRDefault="00F159D7" w:rsidP="00F159D7">
            <w:pPr>
              <w:spacing w:line="288" w:lineRule="auto"/>
              <w:jc w:val="right"/>
            </w:pP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F159D7" w:rsidRPr="006007C7" w:rsidRDefault="00F159D7" w:rsidP="00F159D7">
            <w:pPr>
              <w:spacing w:line="288" w:lineRule="auto"/>
              <w:ind w:right="-65"/>
              <w:jc w:val="right"/>
            </w:pPr>
          </w:p>
        </w:tc>
        <w:tc>
          <w:tcPr>
            <w:tcW w:w="565" w:type="pct"/>
            <w:tcBorders>
              <w:top w:val="single" w:sz="4" w:space="0" w:color="auto"/>
              <w:left w:val="single" w:sz="4" w:space="0" w:color="auto"/>
              <w:bottom w:val="nil"/>
            </w:tcBorders>
            <w:vAlign w:val="center"/>
          </w:tcPr>
          <w:p w:rsidR="00F159D7" w:rsidRPr="006007C7" w:rsidRDefault="00F159D7" w:rsidP="00F159D7">
            <w:pPr>
              <w:spacing w:line="288" w:lineRule="auto"/>
              <w:ind w:right="77"/>
              <w:jc w:val="right"/>
            </w:pPr>
          </w:p>
        </w:tc>
      </w:tr>
      <w:tr w:rsidR="00F159D7" w:rsidRPr="00B320C7" w:rsidTr="00544439">
        <w:trPr>
          <w:trHeight w:val="20"/>
        </w:trPr>
        <w:tc>
          <w:tcPr>
            <w:tcW w:w="1609" w:type="pct"/>
            <w:tcBorders>
              <w:top w:val="nil"/>
              <w:bottom w:val="nil"/>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Consumer confidence index (Turkstat)</w:t>
            </w:r>
          </w:p>
        </w:tc>
        <w:tc>
          <w:tcPr>
            <w:tcW w:w="565" w:type="pct"/>
            <w:tcBorders>
              <w:top w:val="nil"/>
              <w:bottom w:val="nil"/>
            </w:tcBorders>
            <w:tcMar>
              <w:left w:w="57" w:type="dxa"/>
              <w:right w:w="160" w:type="dxa"/>
            </w:tcMar>
            <w:vAlign w:val="center"/>
          </w:tcPr>
          <w:p w:rsidR="00F159D7" w:rsidRPr="006007C7" w:rsidRDefault="00F159D7" w:rsidP="00F159D7">
            <w:pPr>
              <w:spacing w:line="288" w:lineRule="auto"/>
              <w:ind w:right="-12"/>
              <w:jc w:val="right"/>
            </w:pPr>
            <w:r>
              <w:t>-1,6</w:t>
            </w:r>
          </w:p>
        </w:tc>
        <w:tc>
          <w:tcPr>
            <w:tcW w:w="565" w:type="pct"/>
            <w:tcBorders>
              <w:top w:val="nil"/>
              <w:bottom w:val="nil"/>
            </w:tcBorders>
            <w:tcMar>
              <w:left w:w="0" w:type="dxa"/>
              <w:right w:w="160" w:type="dxa"/>
            </w:tcMar>
            <w:vAlign w:val="center"/>
          </w:tcPr>
          <w:p w:rsidR="00F159D7" w:rsidRPr="006007C7" w:rsidRDefault="00F159D7" w:rsidP="00F159D7">
            <w:pPr>
              <w:spacing w:line="288" w:lineRule="auto"/>
              <w:jc w:val="right"/>
            </w:pPr>
            <w:r>
              <w:t>4,2</w:t>
            </w:r>
          </w:p>
        </w:tc>
        <w:tc>
          <w:tcPr>
            <w:tcW w:w="565" w:type="pct"/>
            <w:tcBorders>
              <w:top w:val="nil"/>
              <w:bottom w:val="nil"/>
            </w:tcBorders>
            <w:vAlign w:val="center"/>
          </w:tcPr>
          <w:p w:rsidR="00F159D7" w:rsidRPr="006007C7" w:rsidRDefault="00F159D7" w:rsidP="00F159D7">
            <w:pPr>
              <w:spacing w:line="288" w:lineRule="auto"/>
              <w:ind w:right="77"/>
              <w:jc w:val="right"/>
            </w:pPr>
            <w:r>
              <w:t>0,4</w:t>
            </w:r>
          </w:p>
        </w:tc>
        <w:tc>
          <w:tcPr>
            <w:tcW w:w="565" w:type="pct"/>
            <w:tcBorders>
              <w:top w:val="nil"/>
              <w:bottom w:val="nil"/>
            </w:tcBorders>
            <w:tcMar>
              <w:right w:w="160" w:type="dxa"/>
            </w:tcMar>
            <w:vAlign w:val="center"/>
          </w:tcPr>
          <w:p w:rsidR="00F159D7" w:rsidRPr="006007C7" w:rsidRDefault="00F159D7" w:rsidP="00F159D7">
            <w:pPr>
              <w:spacing w:line="288" w:lineRule="auto"/>
              <w:jc w:val="right"/>
            </w:pPr>
            <w:r>
              <w:t>1,7</w:t>
            </w:r>
          </w:p>
        </w:tc>
        <w:tc>
          <w:tcPr>
            <w:tcW w:w="565" w:type="pct"/>
            <w:tcBorders>
              <w:top w:val="nil"/>
              <w:left w:val="double" w:sz="4" w:space="0" w:color="auto"/>
              <w:bottom w:val="nil"/>
            </w:tcBorders>
            <w:tcMar>
              <w:left w:w="57" w:type="dxa"/>
              <w:right w:w="160" w:type="dxa"/>
            </w:tcMar>
            <w:vAlign w:val="center"/>
          </w:tcPr>
          <w:p w:rsidR="00F159D7" w:rsidRPr="006007C7" w:rsidRDefault="00F159D7" w:rsidP="00F159D7">
            <w:pPr>
              <w:spacing w:line="288" w:lineRule="auto"/>
              <w:ind w:right="-65"/>
              <w:jc w:val="right"/>
            </w:pPr>
            <w:r>
              <w:t>-2,2</w:t>
            </w:r>
          </w:p>
        </w:tc>
        <w:tc>
          <w:tcPr>
            <w:tcW w:w="565" w:type="pct"/>
            <w:tcBorders>
              <w:top w:val="nil"/>
              <w:bottom w:val="nil"/>
            </w:tcBorders>
            <w:vAlign w:val="center"/>
          </w:tcPr>
          <w:p w:rsidR="00F159D7" w:rsidRPr="006007C7" w:rsidRDefault="00F159D7" w:rsidP="00F159D7">
            <w:pPr>
              <w:spacing w:line="288" w:lineRule="auto"/>
              <w:ind w:right="77"/>
              <w:jc w:val="right"/>
            </w:pPr>
            <w:r>
              <w:t>-1,5</w:t>
            </w:r>
          </w:p>
        </w:tc>
      </w:tr>
      <w:tr w:rsidR="00F159D7" w:rsidRPr="00B320C7" w:rsidTr="002A5E74">
        <w:trPr>
          <w:trHeight w:val="20"/>
        </w:trPr>
        <w:tc>
          <w:tcPr>
            <w:tcW w:w="1609" w:type="pct"/>
            <w:tcBorders>
              <w:top w:val="nil"/>
              <w:bottom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Reel sector confidence index</w:t>
            </w:r>
          </w:p>
        </w:tc>
        <w:tc>
          <w:tcPr>
            <w:tcW w:w="565" w:type="pct"/>
            <w:tcBorders>
              <w:top w:val="nil"/>
              <w:bottom w:val="single" w:sz="4" w:space="0" w:color="auto"/>
            </w:tcBorders>
            <w:tcMar>
              <w:left w:w="57" w:type="dxa"/>
              <w:right w:w="160" w:type="dxa"/>
            </w:tcMar>
            <w:vAlign w:val="center"/>
          </w:tcPr>
          <w:p w:rsidR="00F159D7" w:rsidRPr="006007C7" w:rsidRDefault="00F159D7" w:rsidP="00F159D7">
            <w:pPr>
              <w:spacing w:line="288" w:lineRule="auto"/>
              <w:ind w:right="-12"/>
              <w:jc w:val="right"/>
            </w:pPr>
            <w:r>
              <w:t>4,5</w:t>
            </w:r>
          </w:p>
        </w:tc>
        <w:tc>
          <w:tcPr>
            <w:tcW w:w="565" w:type="pct"/>
            <w:tcBorders>
              <w:top w:val="nil"/>
              <w:bottom w:val="single" w:sz="4" w:space="0" w:color="auto"/>
            </w:tcBorders>
            <w:tcMar>
              <w:left w:w="0" w:type="dxa"/>
              <w:right w:w="160" w:type="dxa"/>
            </w:tcMar>
            <w:vAlign w:val="center"/>
          </w:tcPr>
          <w:p w:rsidR="00F159D7" w:rsidRPr="006007C7" w:rsidRDefault="00F159D7" w:rsidP="00F159D7">
            <w:pPr>
              <w:spacing w:line="288" w:lineRule="auto"/>
              <w:jc w:val="right"/>
            </w:pPr>
            <w:r>
              <w:t>0,7</w:t>
            </w:r>
          </w:p>
        </w:tc>
        <w:tc>
          <w:tcPr>
            <w:tcW w:w="565" w:type="pct"/>
            <w:tcBorders>
              <w:top w:val="nil"/>
              <w:bottom w:val="single" w:sz="4" w:space="0" w:color="auto"/>
            </w:tcBorders>
            <w:vAlign w:val="center"/>
          </w:tcPr>
          <w:p w:rsidR="00F159D7" w:rsidRPr="006007C7" w:rsidRDefault="00F159D7" w:rsidP="00F159D7">
            <w:pPr>
              <w:spacing w:line="288" w:lineRule="auto"/>
              <w:ind w:right="77"/>
              <w:jc w:val="right"/>
            </w:pPr>
            <w:r>
              <w:t>-1,0</w:t>
            </w:r>
          </w:p>
        </w:tc>
        <w:tc>
          <w:tcPr>
            <w:tcW w:w="565" w:type="pct"/>
            <w:tcBorders>
              <w:top w:val="nil"/>
              <w:bottom w:val="single" w:sz="4" w:space="0" w:color="auto"/>
            </w:tcBorders>
            <w:tcMar>
              <w:right w:w="160" w:type="dxa"/>
            </w:tcMar>
            <w:vAlign w:val="center"/>
          </w:tcPr>
          <w:p w:rsidR="00F159D7" w:rsidRPr="006007C7" w:rsidRDefault="00F159D7" w:rsidP="00F159D7">
            <w:pPr>
              <w:spacing w:line="288" w:lineRule="auto"/>
              <w:jc w:val="right"/>
            </w:pPr>
            <w:r>
              <w:t>-2,6</w:t>
            </w:r>
          </w:p>
        </w:tc>
        <w:tc>
          <w:tcPr>
            <w:tcW w:w="565" w:type="pct"/>
            <w:tcBorders>
              <w:top w:val="nil"/>
              <w:left w:val="double" w:sz="4" w:space="0" w:color="auto"/>
              <w:bottom w:val="single" w:sz="4" w:space="0" w:color="auto"/>
            </w:tcBorders>
            <w:tcMar>
              <w:left w:w="57" w:type="dxa"/>
              <w:right w:w="160" w:type="dxa"/>
            </w:tcMar>
            <w:vAlign w:val="center"/>
          </w:tcPr>
          <w:p w:rsidR="00F159D7" w:rsidRPr="006007C7" w:rsidRDefault="00F159D7" w:rsidP="00F159D7">
            <w:pPr>
              <w:spacing w:line="288" w:lineRule="auto"/>
              <w:ind w:right="-65"/>
              <w:jc w:val="right"/>
            </w:pPr>
            <w:r>
              <w:t>-3,1</w:t>
            </w:r>
          </w:p>
        </w:tc>
        <w:tc>
          <w:tcPr>
            <w:tcW w:w="565" w:type="pct"/>
            <w:tcBorders>
              <w:top w:val="nil"/>
              <w:bottom w:val="single" w:sz="4" w:space="0" w:color="auto"/>
            </w:tcBorders>
            <w:vAlign w:val="center"/>
          </w:tcPr>
          <w:p w:rsidR="00F159D7" w:rsidRPr="006007C7" w:rsidRDefault="00F159D7" w:rsidP="00F159D7">
            <w:pPr>
              <w:spacing w:line="288" w:lineRule="auto"/>
              <w:ind w:right="77"/>
              <w:jc w:val="right"/>
            </w:pPr>
            <w:r>
              <w:t>4,6</w:t>
            </w:r>
          </w:p>
        </w:tc>
      </w:tr>
      <w:tr w:rsidR="00F159D7" w:rsidRPr="00B320C7" w:rsidTr="002A5E74">
        <w:trPr>
          <w:trHeight w:val="20"/>
        </w:trPr>
        <w:tc>
          <w:tcPr>
            <w:tcW w:w="1609" w:type="pct"/>
            <w:tcBorders>
              <w:bottom w:val="nil"/>
            </w:tcBorders>
            <w:vAlign w:val="bottom"/>
          </w:tcPr>
          <w:p w:rsidR="00F159D7" w:rsidRPr="00B320C7" w:rsidRDefault="00F159D7" w:rsidP="00042C84">
            <w:pPr>
              <w:spacing w:line="288" w:lineRule="auto"/>
              <w:ind w:right="77"/>
              <w:rPr>
                <w:rFonts w:ascii="Arial" w:hAnsi="Arial" w:cs="Arial"/>
                <w:b/>
                <w:sz w:val="20"/>
                <w:szCs w:val="20"/>
              </w:rPr>
            </w:pPr>
            <w:r w:rsidRPr="00B320C7">
              <w:rPr>
                <w:rFonts w:ascii="Arial" w:hAnsi="Arial" w:cs="Arial"/>
                <w:b/>
                <w:sz w:val="20"/>
                <w:szCs w:val="20"/>
              </w:rPr>
              <w:t>Financial Data</w:t>
            </w:r>
          </w:p>
        </w:tc>
        <w:tc>
          <w:tcPr>
            <w:tcW w:w="565" w:type="pct"/>
            <w:tcBorders>
              <w:bottom w:val="nil"/>
            </w:tcBorders>
            <w:tcMar>
              <w:left w:w="57" w:type="dxa"/>
              <w:right w:w="160" w:type="dxa"/>
            </w:tcMar>
            <w:vAlign w:val="center"/>
          </w:tcPr>
          <w:p w:rsidR="00F159D7" w:rsidRPr="006007C7" w:rsidRDefault="00F159D7" w:rsidP="00F159D7">
            <w:pPr>
              <w:spacing w:line="288" w:lineRule="auto"/>
              <w:ind w:right="-12"/>
              <w:jc w:val="right"/>
            </w:pPr>
          </w:p>
        </w:tc>
        <w:tc>
          <w:tcPr>
            <w:tcW w:w="565" w:type="pct"/>
            <w:tcBorders>
              <w:bottom w:val="nil"/>
            </w:tcBorders>
            <w:tcMar>
              <w:left w:w="0" w:type="dxa"/>
              <w:right w:w="160" w:type="dxa"/>
            </w:tcMar>
            <w:vAlign w:val="center"/>
          </w:tcPr>
          <w:p w:rsidR="00F159D7" w:rsidRPr="006007C7" w:rsidRDefault="00F159D7" w:rsidP="00F159D7">
            <w:pPr>
              <w:spacing w:line="288" w:lineRule="auto"/>
              <w:jc w:val="right"/>
            </w:pPr>
          </w:p>
        </w:tc>
        <w:tc>
          <w:tcPr>
            <w:tcW w:w="565" w:type="pct"/>
            <w:tcBorders>
              <w:bottom w:val="nil"/>
            </w:tcBorders>
            <w:vAlign w:val="center"/>
          </w:tcPr>
          <w:p w:rsidR="00F159D7" w:rsidRPr="006007C7" w:rsidRDefault="00F159D7" w:rsidP="00F159D7">
            <w:pPr>
              <w:spacing w:line="288" w:lineRule="auto"/>
              <w:ind w:right="77"/>
              <w:jc w:val="right"/>
            </w:pPr>
          </w:p>
        </w:tc>
        <w:tc>
          <w:tcPr>
            <w:tcW w:w="565" w:type="pct"/>
            <w:tcBorders>
              <w:bottom w:val="nil"/>
            </w:tcBorders>
            <w:tcMar>
              <w:right w:w="160" w:type="dxa"/>
            </w:tcMar>
            <w:vAlign w:val="center"/>
          </w:tcPr>
          <w:p w:rsidR="00F159D7" w:rsidRPr="006007C7" w:rsidRDefault="00F159D7" w:rsidP="00F159D7">
            <w:pPr>
              <w:spacing w:line="288" w:lineRule="auto"/>
              <w:jc w:val="right"/>
            </w:pPr>
          </w:p>
        </w:tc>
        <w:tc>
          <w:tcPr>
            <w:tcW w:w="565" w:type="pct"/>
            <w:tcBorders>
              <w:left w:val="double" w:sz="4" w:space="0" w:color="auto"/>
              <w:bottom w:val="nil"/>
            </w:tcBorders>
            <w:tcMar>
              <w:left w:w="57" w:type="dxa"/>
              <w:right w:w="160" w:type="dxa"/>
            </w:tcMar>
            <w:vAlign w:val="center"/>
          </w:tcPr>
          <w:p w:rsidR="00F159D7" w:rsidRPr="006007C7" w:rsidRDefault="00F159D7" w:rsidP="00F159D7">
            <w:pPr>
              <w:spacing w:line="288" w:lineRule="auto"/>
              <w:ind w:right="-65"/>
              <w:jc w:val="right"/>
            </w:pPr>
          </w:p>
        </w:tc>
        <w:tc>
          <w:tcPr>
            <w:tcW w:w="565" w:type="pct"/>
            <w:tcBorders>
              <w:bottom w:val="nil"/>
            </w:tcBorders>
            <w:vAlign w:val="center"/>
          </w:tcPr>
          <w:p w:rsidR="00F159D7" w:rsidRPr="006007C7" w:rsidRDefault="00F159D7" w:rsidP="00F159D7">
            <w:pPr>
              <w:spacing w:line="288" w:lineRule="auto"/>
              <w:ind w:right="77"/>
              <w:jc w:val="right"/>
            </w:pPr>
          </w:p>
        </w:tc>
      </w:tr>
      <w:tr w:rsidR="00F159D7" w:rsidRPr="00B320C7" w:rsidTr="00544439">
        <w:trPr>
          <w:trHeight w:val="20"/>
        </w:trPr>
        <w:tc>
          <w:tcPr>
            <w:tcW w:w="1609" w:type="pct"/>
            <w:tcBorders>
              <w:top w:val="nil"/>
              <w:bottom w:val="single" w:sz="4" w:space="0" w:color="auto"/>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IMKB 100 (Stock Exchange)</w:t>
            </w:r>
          </w:p>
        </w:tc>
        <w:tc>
          <w:tcPr>
            <w:tcW w:w="565" w:type="pct"/>
            <w:tcBorders>
              <w:top w:val="nil"/>
              <w:bottom w:val="single" w:sz="4" w:space="0" w:color="auto"/>
            </w:tcBorders>
            <w:tcMar>
              <w:left w:w="57" w:type="dxa"/>
              <w:right w:w="160" w:type="dxa"/>
            </w:tcMar>
            <w:vAlign w:val="center"/>
          </w:tcPr>
          <w:p w:rsidR="00F159D7" w:rsidRPr="006007C7" w:rsidRDefault="00F159D7" w:rsidP="00F159D7">
            <w:pPr>
              <w:spacing w:line="288" w:lineRule="auto"/>
              <w:ind w:right="-12"/>
              <w:jc w:val="right"/>
            </w:pPr>
            <w:r>
              <w:t>0,6</w:t>
            </w:r>
          </w:p>
        </w:tc>
        <w:tc>
          <w:tcPr>
            <w:tcW w:w="565" w:type="pct"/>
            <w:tcBorders>
              <w:top w:val="nil"/>
              <w:bottom w:val="single" w:sz="4" w:space="0" w:color="auto"/>
            </w:tcBorders>
            <w:tcMar>
              <w:left w:w="0" w:type="dxa"/>
              <w:right w:w="160" w:type="dxa"/>
            </w:tcMar>
            <w:vAlign w:val="center"/>
          </w:tcPr>
          <w:p w:rsidR="00F159D7" w:rsidRPr="006007C7" w:rsidRDefault="00F159D7" w:rsidP="00F159D7">
            <w:pPr>
              <w:spacing w:line="288" w:lineRule="auto"/>
              <w:jc w:val="right"/>
            </w:pPr>
            <w:r>
              <w:t>5,7</w:t>
            </w:r>
          </w:p>
        </w:tc>
        <w:tc>
          <w:tcPr>
            <w:tcW w:w="565" w:type="pct"/>
            <w:tcBorders>
              <w:top w:val="nil"/>
              <w:bottom w:val="single" w:sz="4" w:space="0" w:color="auto"/>
            </w:tcBorders>
            <w:vAlign w:val="center"/>
          </w:tcPr>
          <w:p w:rsidR="00F159D7" w:rsidRPr="006007C7" w:rsidRDefault="00F159D7" w:rsidP="00F159D7">
            <w:pPr>
              <w:spacing w:line="288" w:lineRule="auto"/>
              <w:ind w:right="77"/>
              <w:jc w:val="right"/>
            </w:pPr>
            <w:r>
              <w:t>5,7</w:t>
            </w:r>
          </w:p>
        </w:tc>
        <w:tc>
          <w:tcPr>
            <w:tcW w:w="565" w:type="pct"/>
            <w:tcBorders>
              <w:top w:val="nil"/>
              <w:bottom w:val="single" w:sz="4" w:space="0" w:color="auto"/>
            </w:tcBorders>
            <w:tcMar>
              <w:right w:w="160" w:type="dxa"/>
            </w:tcMar>
            <w:vAlign w:val="center"/>
          </w:tcPr>
          <w:p w:rsidR="00F159D7" w:rsidRPr="006007C7" w:rsidRDefault="00F159D7" w:rsidP="00F159D7">
            <w:pPr>
              <w:spacing w:line="288" w:lineRule="auto"/>
              <w:jc w:val="right"/>
            </w:pPr>
            <w:r>
              <w:t>4,0</w:t>
            </w:r>
          </w:p>
        </w:tc>
        <w:tc>
          <w:tcPr>
            <w:tcW w:w="565" w:type="pct"/>
            <w:tcBorders>
              <w:top w:val="nil"/>
              <w:left w:val="double" w:sz="4" w:space="0" w:color="auto"/>
              <w:bottom w:val="single" w:sz="4" w:space="0" w:color="auto"/>
            </w:tcBorders>
            <w:tcMar>
              <w:left w:w="57" w:type="dxa"/>
              <w:right w:w="160" w:type="dxa"/>
            </w:tcMar>
            <w:vAlign w:val="center"/>
          </w:tcPr>
          <w:p w:rsidR="00F159D7" w:rsidRPr="006007C7" w:rsidRDefault="00F159D7" w:rsidP="00F159D7">
            <w:pPr>
              <w:spacing w:line="288" w:lineRule="auto"/>
              <w:ind w:right="-65"/>
              <w:jc w:val="right"/>
            </w:pPr>
            <w:r>
              <w:t>9,6</w:t>
            </w:r>
          </w:p>
        </w:tc>
        <w:tc>
          <w:tcPr>
            <w:tcW w:w="565" w:type="pct"/>
            <w:tcBorders>
              <w:top w:val="nil"/>
              <w:bottom w:val="single" w:sz="4" w:space="0" w:color="auto"/>
            </w:tcBorders>
            <w:vAlign w:val="center"/>
          </w:tcPr>
          <w:p w:rsidR="00F159D7" w:rsidRPr="006007C7" w:rsidRDefault="00F159D7" w:rsidP="00F159D7">
            <w:pPr>
              <w:spacing w:line="288" w:lineRule="auto"/>
              <w:ind w:right="77"/>
              <w:jc w:val="right"/>
            </w:pPr>
            <w:r>
              <w:t>8,9</w:t>
            </w:r>
          </w:p>
        </w:tc>
      </w:tr>
      <w:tr w:rsidR="00F159D7" w:rsidRPr="00B320C7" w:rsidTr="00544439">
        <w:trPr>
          <w:trHeight w:val="20"/>
        </w:trPr>
        <w:tc>
          <w:tcPr>
            <w:tcW w:w="1609" w:type="pct"/>
            <w:tcBorders>
              <w:top w:val="single" w:sz="4" w:space="0" w:color="auto"/>
              <w:bottom w:val="nil"/>
            </w:tcBorders>
            <w:vAlign w:val="bottom"/>
          </w:tcPr>
          <w:p w:rsidR="00F159D7" w:rsidRPr="00B320C7" w:rsidRDefault="00F159D7" w:rsidP="00042C84">
            <w:pPr>
              <w:spacing w:line="288" w:lineRule="auto"/>
              <w:ind w:right="77"/>
              <w:rPr>
                <w:rFonts w:ascii="Arial" w:hAnsi="Arial" w:cs="Arial"/>
                <w:b/>
                <w:sz w:val="20"/>
                <w:szCs w:val="20"/>
              </w:rPr>
            </w:pPr>
            <w:r w:rsidRPr="00B320C7">
              <w:rPr>
                <w:rFonts w:ascii="Arial" w:hAnsi="Arial" w:cs="Arial"/>
                <w:b/>
                <w:sz w:val="20"/>
                <w:szCs w:val="20"/>
              </w:rPr>
              <w:t>Other</w:t>
            </w:r>
          </w:p>
        </w:tc>
        <w:tc>
          <w:tcPr>
            <w:tcW w:w="565" w:type="pct"/>
            <w:tcBorders>
              <w:top w:val="single" w:sz="4" w:space="0" w:color="auto"/>
              <w:bottom w:val="nil"/>
            </w:tcBorders>
            <w:tcMar>
              <w:left w:w="57" w:type="dxa"/>
              <w:right w:w="160" w:type="dxa"/>
            </w:tcMar>
            <w:vAlign w:val="center"/>
          </w:tcPr>
          <w:p w:rsidR="00F159D7" w:rsidRPr="006007C7" w:rsidRDefault="00F159D7" w:rsidP="00F159D7">
            <w:pPr>
              <w:spacing w:line="288" w:lineRule="auto"/>
              <w:ind w:right="-12"/>
              <w:jc w:val="right"/>
            </w:pPr>
          </w:p>
        </w:tc>
        <w:tc>
          <w:tcPr>
            <w:tcW w:w="565" w:type="pct"/>
            <w:tcBorders>
              <w:top w:val="single" w:sz="4" w:space="0" w:color="auto"/>
              <w:bottom w:val="nil"/>
            </w:tcBorders>
            <w:tcMar>
              <w:left w:w="0" w:type="dxa"/>
              <w:right w:w="160" w:type="dxa"/>
            </w:tcMar>
            <w:vAlign w:val="center"/>
          </w:tcPr>
          <w:p w:rsidR="00F159D7" w:rsidRPr="006007C7" w:rsidRDefault="00F159D7" w:rsidP="00F159D7">
            <w:pPr>
              <w:spacing w:line="288" w:lineRule="auto"/>
              <w:jc w:val="right"/>
            </w:pPr>
          </w:p>
        </w:tc>
        <w:tc>
          <w:tcPr>
            <w:tcW w:w="565" w:type="pct"/>
            <w:tcBorders>
              <w:top w:val="single" w:sz="4" w:space="0" w:color="auto"/>
              <w:bottom w:val="nil"/>
            </w:tcBorders>
            <w:vAlign w:val="center"/>
          </w:tcPr>
          <w:p w:rsidR="00F159D7" w:rsidRPr="006007C7" w:rsidRDefault="00F159D7" w:rsidP="00F159D7">
            <w:pPr>
              <w:spacing w:line="288" w:lineRule="auto"/>
              <w:ind w:right="77"/>
              <w:jc w:val="right"/>
            </w:pPr>
          </w:p>
        </w:tc>
        <w:tc>
          <w:tcPr>
            <w:tcW w:w="565" w:type="pct"/>
            <w:tcBorders>
              <w:top w:val="single" w:sz="4" w:space="0" w:color="auto"/>
              <w:bottom w:val="nil"/>
            </w:tcBorders>
            <w:tcMar>
              <w:right w:w="160" w:type="dxa"/>
            </w:tcMar>
            <w:vAlign w:val="center"/>
          </w:tcPr>
          <w:p w:rsidR="00F159D7" w:rsidRPr="006007C7" w:rsidRDefault="00F159D7" w:rsidP="00F159D7">
            <w:pPr>
              <w:spacing w:line="288" w:lineRule="auto"/>
              <w:jc w:val="right"/>
            </w:pPr>
          </w:p>
        </w:tc>
        <w:tc>
          <w:tcPr>
            <w:tcW w:w="565" w:type="pct"/>
            <w:tcBorders>
              <w:top w:val="single" w:sz="4" w:space="0" w:color="auto"/>
              <w:left w:val="double" w:sz="4" w:space="0" w:color="auto"/>
              <w:bottom w:val="nil"/>
            </w:tcBorders>
            <w:tcMar>
              <w:left w:w="57" w:type="dxa"/>
              <w:right w:w="160" w:type="dxa"/>
            </w:tcMar>
            <w:vAlign w:val="center"/>
          </w:tcPr>
          <w:p w:rsidR="00F159D7" w:rsidRPr="006007C7" w:rsidRDefault="00F159D7" w:rsidP="00F159D7">
            <w:pPr>
              <w:spacing w:line="288" w:lineRule="auto"/>
              <w:ind w:right="-65"/>
              <w:jc w:val="right"/>
            </w:pPr>
          </w:p>
        </w:tc>
        <w:tc>
          <w:tcPr>
            <w:tcW w:w="565" w:type="pct"/>
            <w:tcBorders>
              <w:top w:val="single" w:sz="4" w:space="0" w:color="auto"/>
              <w:bottom w:val="nil"/>
            </w:tcBorders>
            <w:vAlign w:val="center"/>
          </w:tcPr>
          <w:p w:rsidR="00F159D7" w:rsidRPr="006007C7" w:rsidRDefault="00F159D7" w:rsidP="00F159D7">
            <w:pPr>
              <w:spacing w:line="288" w:lineRule="auto"/>
              <w:ind w:right="77"/>
              <w:jc w:val="right"/>
            </w:pPr>
          </w:p>
        </w:tc>
      </w:tr>
      <w:tr w:rsidR="00F159D7" w:rsidRPr="00B320C7" w:rsidTr="00544439">
        <w:trPr>
          <w:trHeight w:val="20"/>
        </w:trPr>
        <w:tc>
          <w:tcPr>
            <w:tcW w:w="1609" w:type="pct"/>
            <w:tcBorders>
              <w:top w:val="nil"/>
              <w:bottom w:val="nil"/>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Special consumer tax* (SCT)</w:t>
            </w:r>
          </w:p>
        </w:tc>
        <w:tc>
          <w:tcPr>
            <w:tcW w:w="565" w:type="pct"/>
            <w:tcBorders>
              <w:top w:val="nil"/>
              <w:bottom w:val="nil"/>
            </w:tcBorders>
            <w:tcMar>
              <w:left w:w="57" w:type="dxa"/>
              <w:right w:w="160" w:type="dxa"/>
            </w:tcMar>
            <w:vAlign w:val="center"/>
          </w:tcPr>
          <w:p w:rsidR="00F159D7" w:rsidRPr="006007C7" w:rsidRDefault="00F159D7" w:rsidP="00F159D7">
            <w:pPr>
              <w:spacing w:line="288" w:lineRule="auto"/>
              <w:ind w:right="-12"/>
              <w:jc w:val="right"/>
            </w:pPr>
            <w:r>
              <w:t>11,5</w:t>
            </w:r>
          </w:p>
        </w:tc>
        <w:tc>
          <w:tcPr>
            <w:tcW w:w="565" w:type="pct"/>
            <w:tcBorders>
              <w:top w:val="nil"/>
              <w:bottom w:val="nil"/>
            </w:tcBorders>
            <w:tcMar>
              <w:left w:w="0" w:type="dxa"/>
              <w:right w:w="160" w:type="dxa"/>
            </w:tcMar>
            <w:vAlign w:val="center"/>
          </w:tcPr>
          <w:p w:rsidR="00F159D7" w:rsidRPr="006007C7" w:rsidRDefault="00F159D7" w:rsidP="00F159D7">
            <w:pPr>
              <w:spacing w:line="288" w:lineRule="auto"/>
              <w:jc w:val="right"/>
            </w:pPr>
            <w:r>
              <w:t>-8,6</w:t>
            </w:r>
          </w:p>
        </w:tc>
        <w:tc>
          <w:tcPr>
            <w:tcW w:w="565" w:type="pct"/>
            <w:tcBorders>
              <w:top w:val="nil"/>
              <w:bottom w:val="nil"/>
            </w:tcBorders>
            <w:vAlign w:val="center"/>
          </w:tcPr>
          <w:p w:rsidR="00F159D7" w:rsidRPr="006007C7" w:rsidRDefault="00F159D7" w:rsidP="00F159D7">
            <w:pPr>
              <w:spacing w:line="288" w:lineRule="auto"/>
              <w:ind w:right="77"/>
              <w:jc w:val="right"/>
            </w:pPr>
            <w:r>
              <w:t>4,6</w:t>
            </w:r>
          </w:p>
        </w:tc>
        <w:tc>
          <w:tcPr>
            <w:tcW w:w="565" w:type="pct"/>
            <w:tcBorders>
              <w:top w:val="nil"/>
              <w:bottom w:val="nil"/>
            </w:tcBorders>
            <w:tcMar>
              <w:right w:w="160" w:type="dxa"/>
            </w:tcMar>
            <w:vAlign w:val="center"/>
          </w:tcPr>
          <w:p w:rsidR="00F159D7" w:rsidRPr="006007C7" w:rsidRDefault="00F159D7" w:rsidP="00F159D7">
            <w:pPr>
              <w:spacing w:line="288" w:lineRule="auto"/>
              <w:jc w:val="right"/>
            </w:pPr>
            <w:r>
              <w:t>**</w:t>
            </w:r>
          </w:p>
        </w:tc>
        <w:tc>
          <w:tcPr>
            <w:tcW w:w="565" w:type="pct"/>
            <w:tcBorders>
              <w:top w:val="nil"/>
              <w:left w:val="double" w:sz="4" w:space="0" w:color="auto"/>
              <w:bottom w:val="nil"/>
            </w:tcBorders>
            <w:tcMar>
              <w:left w:w="57" w:type="dxa"/>
              <w:right w:w="160" w:type="dxa"/>
            </w:tcMar>
            <w:vAlign w:val="center"/>
          </w:tcPr>
          <w:p w:rsidR="00F159D7" w:rsidRPr="006007C7" w:rsidRDefault="00F159D7" w:rsidP="00F159D7">
            <w:pPr>
              <w:spacing w:line="288" w:lineRule="auto"/>
              <w:ind w:right="-65"/>
              <w:jc w:val="right"/>
            </w:pPr>
            <w:r>
              <w:t>3,0</w:t>
            </w:r>
          </w:p>
        </w:tc>
        <w:tc>
          <w:tcPr>
            <w:tcW w:w="565" w:type="pct"/>
            <w:tcBorders>
              <w:top w:val="nil"/>
              <w:bottom w:val="nil"/>
            </w:tcBorders>
            <w:vAlign w:val="center"/>
          </w:tcPr>
          <w:p w:rsidR="00F159D7" w:rsidRPr="006007C7" w:rsidRDefault="00F159D7" w:rsidP="00F159D7">
            <w:pPr>
              <w:spacing w:line="288" w:lineRule="auto"/>
              <w:ind w:right="77"/>
              <w:jc w:val="right"/>
            </w:pPr>
            <w:r>
              <w:t>8,7</w:t>
            </w:r>
          </w:p>
        </w:tc>
      </w:tr>
      <w:tr w:rsidR="00F159D7" w:rsidRPr="00B320C7" w:rsidTr="00544439">
        <w:trPr>
          <w:trHeight w:val="20"/>
        </w:trPr>
        <w:tc>
          <w:tcPr>
            <w:tcW w:w="1609" w:type="pct"/>
            <w:tcBorders>
              <w:top w:val="nil"/>
            </w:tcBorders>
            <w:vAlign w:val="bottom"/>
          </w:tcPr>
          <w:p w:rsidR="00F159D7" w:rsidRPr="00B320C7" w:rsidRDefault="00F159D7" w:rsidP="00042C84">
            <w:pPr>
              <w:spacing w:line="288" w:lineRule="auto"/>
              <w:ind w:right="77"/>
              <w:rPr>
                <w:rFonts w:ascii="Arial" w:hAnsi="Arial" w:cs="Arial"/>
                <w:sz w:val="20"/>
                <w:szCs w:val="20"/>
              </w:rPr>
            </w:pPr>
            <w:r w:rsidRPr="00B320C7">
              <w:rPr>
                <w:rFonts w:ascii="Arial" w:hAnsi="Arial" w:cs="Arial"/>
                <w:sz w:val="20"/>
                <w:szCs w:val="20"/>
              </w:rPr>
              <w:t>Automobile production</w:t>
            </w:r>
          </w:p>
        </w:tc>
        <w:tc>
          <w:tcPr>
            <w:tcW w:w="565" w:type="pct"/>
            <w:tcBorders>
              <w:top w:val="nil"/>
            </w:tcBorders>
            <w:tcMar>
              <w:left w:w="57" w:type="dxa"/>
              <w:right w:w="160" w:type="dxa"/>
            </w:tcMar>
            <w:vAlign w:val="center"/>
          </w:tcPr>
          <w:p w:rsidR="00F159D7" w:rsidRPr="006007C7" w:rsidRDefault="00F159D7" w:rsidP="00F159D7">
            <w:pPr>
              <w:spacing w:line="288" w:lineRule="auto"/>
              <w:ind w:right="-12"/>
              <w:jc w:val="right"/>
            </w:pPr>
            <w:r>
              <w:t>4,7</w:t>
            </w:r>
          </w:p>
        </w:tc>
        <w:tc>
          <w:tcPr>
            <w:tcW w:w="565" w:type="pct"/>
            <w:tcBorders>
              <w:top w:val="nil"/>
            </w:tcBorders>
            <w:tcMar>
              <w:left w:w="0" w:type="dxa"/>
              <w:right w:w="160" w:type="dxa"/>
            </w:tcMar>
            <w:vAlign w:val="center"/>
          </w:tcPr>
          <w:p w:rsidR="00F159D7" w:rsidRPr="006007C7" w:rsidRDefault="00F159D7" w:rsidP="00F159D7">
            <w:pPr>
              <w:spacing w:line="288" w:lineRule="auto"/>
              <w:jc w:val="right"/>
            </w:pPr>
            <w:r>
              <w:t>0,5</w:t>
            </w:r>
          </w:p>
        </w:tc>
        <w:tc>
          <w:tcPr>
            <w:tcW w:w="565" w:type="pct"/>
            <w:tcBorders>
              <w:top w:val="nil"/>
            </w:tcBorders>
            <w:vAlign w:val="center"/>
          </w:tcPr>
          <w:p w:rsidR="00F159D7" w:rsidRPr="006007C7" w:rsidRDefault="00F159D7" w:rsidP="00F159D7">
            <w:pPr>
              <w:spacing w:line="288" w:lineRule="auto"/>
              <w:ind w:right="77"/>
              <w:jc w:val="right"/>
            </w:pPr>
            <w:r>
              <w:t>-10,7</w:t>
            </w:r>
          </w:p>
        </w:tc>
        <w:tc>
          <w:tcPr>
            <w:tcW w:w="565" w:type="pct"/>
            <w:tcBorders>
              <w:top w:val="nil"/>
            </w:tcBorders>
            <w:tcMar>
              <w:right w:w="160" w:type="dxa"/>
            </w:tcMar>
            <w:vAlign w:val="center"/>
          </w:tcPr>
          <w:p w:rsidR="00F159D7" w:rsidRPr="006007C7" w:rsidRDefault="00F159D7" w:rsidP="00F159D7">
            <w:pPr>
              <w:spacing w:line="288" w:lineRule="auto"/>
              <w:jc w:val="right"/>
            </w:pPr>
            <w:r>
              <w:t>2,3</w:t>
            </w:r>
          </w:p>
        </w:tc>
        <w:tc>
          <w:tcPr>
            <w:tcW w:w="565" w:type="pct"/>
            <w:tcBorders>
              <w:top w:val="nil"/>
              <w:left w:val="double" w:sz="4" w:space="0" w:color="auto"/>
            </w:tcBorders>
            <w:tcMar>
              <w:left w:w="57" w:type="dxa"/>
              <w:right w:w="160" w:type="dxa"/>
            </w:tcMar>
            <w:vAlign w:val="center"/>
          </w:tcPr>
          <w:p w:rsidR="00F159D7" w:rsidRPr="006007C7" w:rsidRDefault="00F159D7" w:rsidP="00F159D7">
            <w:pPr>
              <w:spacing w:line="288" w:lineRule="auto"/>
              <w:ind w:right="-65"/>
              <w:jc w:val="right"/>
            </w:pPr>
            <w:r>
              <w:t>-3,2</w:t>
            </w:r>
          </w:p>
        </w:tc>
        <w:tc>
          <w:tcPr>
            <w:tcW w:w="565" w:type="pct"/>
            <w:tcBorders>
              <w:top w:val="nil"/>
            </w:tcBorders>
            <w:vAlign w:val="center"/>
          </w:tcPr>
          <w:p w:rsidR="00F159D7" w:rsidRPr="006007C7" w:rsidRDefault="00F159D7" w:rsidP="00F159D7">
            <w:pPr>
              <w:spacing w:line="288" w:lineRule="auto"/>
              <w:ind w:right="77"/>
              <w:jc w:val="right"/>
            </w:pPr>
            <w:r>
              <w:t>4,0</w:t>
            </w:r>
          </w:p>
        </w:tc>
      </w:tr>
    </w:tbl>
    <w:p w:rsidR="008C6E50" w:rsidRPr="00B320C7" w:rsidRDefault="00E823E8" w:rsidP="006B60DC">
      <w:pPr>
        <w:spacing w:line="360" w:lineRule="auto"/>
        <w:ind w:left="-540" w:right="42"/>
        <w:jc w:val="both"/>
        <w:rPr>
          <w:rFonts w:ascii="Arial" w:hAnsi="Arial" w:cs="Arial"/>
          <w:sz w:val="16"/>
          <w:szCs w:val="16"/>
        </w:rPr>
      </w:pPr>
      <w:r w:rsidRPr="00B320C7">
        <w:rPr>
          <w:rFonts w:ascii="Arial" w:hAnsi="Arial" w:cs="Arial"/>
          <w:sz w:val="16"/>
          <w:szCs w:val="16"/>
        </w:rPr>
        <w:t>Source: TurkStat</w:t>
      </w:r>
      <w:r w:rsidR="00E03485" w:rsidRPr="00B320C7">
        <w:rPr>
          <w:rFonts w:ascii="Arial" w:hAnsi="Arial" w:cs="Arial"/>
          <w:sz w:val="16"/>
          <w:szCs w:val="16"/>
        </w:rPr>
        <w:t>,CBRT,</w:t>
      </w:r>
      <w:r w:rsidRPr="00B320C7">
        <w:rPr>
          <w:rFonts w:ascii="Arial" w:hAnsi="Arial" w:cs="Arial"/>
          <w:sz w:val="16"/>
          <w:szCs w:val="16"/>
        </w:rPr>
        <w:t>Treasury</w:t>
      </w:r>
      <w:r w:rsidR="00E03485" w:rsidRPr="00B320C7">
        <w:rPr>
          <w:rFonts w:ascii="Arial" w:hAnsi="Arial" w:cs="Arial"/>
          <w:sz w:val="16"/>
          <w:szCs w:val="16"/>
        </w:rPr>
        <w:t>,ISE,</w:t>
      </w:r>
      <w:r w:rsidRPr="00B320C7">
        <w:rPr>
          <w:rFonts w:ascii="Arial" w:hAnsi="Arial" w:cs="Arial"/>
          <w:sz w:val="16"/>
          <w:szCs w:val="16"/>
        </w:rPr>
        <w:t>Betam. All series are real (or inflation adjusted) wherever necessary and seasonally adjusted.</w:t>
      </w:r>
    </w:p>
    <w:p w:rsidR="00E823E8" w:rsidRPr="00B320C7" w:rsidRDefault="00E823E8" w:rsidP="006B60DC">
      <w:pPr>
        <w:spacing w:line="360" w:lineRule="auto"/>
        <w:ind w:left="-540" w:right="42"/>
        <w:jc w:val="both"/>
        <w:rPr>
          <w:rFonts w:ascii="Arial" w:hAnsi="Arial" w:cs="Arial"/>
          <w:sz w:val="16"/>
          <w:szCs w:val="16"/>
        </w:rPr>
      </w:pPr>
      <w:r w:rsidRPr="00B320C7">
        <w:rPr>
          <w:rFonts w:ascii="Arial" w:hAnsi="Arial" w:cs="Arial"/>
          <w:sz w:val="16"/>
          <w:szCs w:val="16"/>
        </w:rPr>
        <w:t>*This tax is collected on sales of goods such as gas</w:t>
      </w:r>
      <w:r w:rsidR="002151FC" w:rsidRPr="00B320C7">
        <w:rPr>
          <w:rFonts w:ascii="Arial" w:hAnsi="Arial" w:cs="Arial"/>
          <w:sz w:val="16"/>
          <w:szCs w:val="16"/>
        </w:rPr>
        <w:t>,</w:t>
      </w:r>
      <w:r w:rsidRPr="00B320C7">
        <w:rPr>
          <w:rFonts w:ascii="Arial" w:hAnsi="Arial" w:cs="Arial"/>
          <w:sz w:val="16"/>
          <w:szCs w:val="16"/>
        </w:rPr>
        <w:t>fuel oils</w:t>
      </w:r>
      <w:r w:rsidR="002151FC" w:rsidRPr="00B320C7">
        <w:rPr>
          <w:rFonts w:ascii="Arial" w:hAnsi="Arial" w:cs="Arial"/>
          <w:sz w:val="16"/>
          <w:szCs w:val="16"/>
        </w:rPr>
        <w:t>,</w:t>
      </w:r>
      <w:r w:rsidRPr="00B320C7">
        <w:rPr>
          <w:rFonts w:ascii="Arial" w:hAnsi="Arial" w:cs="Arial"/>
          <w:sz w:val="16"/>
          <w:szCs w:val="16"/>
        </w:rPr>
        <w:t>alcohol</w:t>
      </w:r>
      <w:r w:rsidR="002151FC" w:rsidRPr="00B320C7">
        <w:rPr>
          <w:rFonts w:ascii="Arial" w:hAnsi="Arial" w:cs="Arial"/>
          <w:sz w:val="16"/>
          <w:szCs w:val="16"/>
        </w:rPr>
        <w:t>,</w:t>
      </w:r>
      <w:r w:rsidRPr="00B320C7">
        <w:rPr>
          <w:rFonts w:ascii="Arial" w:hAnsi="Arial" w:cs="Arial"/>
          <w:sz w:val="16"/>
          <w:szCs w:val="16"/>
        </w:rPr>
        <w:t>tobacco products and automobiles.</w:t>
      </w:r>
    </w:p>
    <w:p w:rsidR="00E823E8" w:rsidRPr="00B320C7" w:rsidRDefault="00E823E8" w:rsidP="006B60DC">
      <w:pPr>
        <w:spacing w:line="360" w:lineRule="auto"/>
        <w:ind w:left="-540" w:right="42"/>
        <w:jc w:val="both"/>
        <w:rPr>
          <w:rFonts w:ascii="Arial" w:hAnsi="Arial" w:cs="Arial"/>
          <w:sz w:val="16"/>
          <w:szCs w:val="16"/>
        </w:rPr>
      </w:pPr>
      <w:r w:rsidRPr="00B320C7">
        <w:rPr>
          <w:rFonts w:ascii="Arial" w:hAnsi="Arial" w:cs="Arial"/>
          <w:sz w:val="16"/>
          <w:szCs w:val="16"/>
        </w:rPr>
        <w:t>**Data not yet released</w:t>
      </w:r>
      <w:r w:rsidR="00544439" w:rsidRPr="00B320C7">
        <w:rPr>
          <w:rFonts w:ascii="Arial" w:hAnsi="Arial" w:cs="Arial"/>
          <w:sz w:val="16"/>
          <w:szCs w:val="16"/>
        </w:rPr>
        <w:t>.</w:t>
      </w:r>
    </w:p>
    <w:p w:rsidR="00544439" w:rsidRPr="00B320C7" w:rsidRDefault="00544439" w:rsidP="00544439">
      <w:pPr>
        <w:spacing w:line="360" w:lineRule="auto"/>
        <w:ind w:left="-540" w:right="42"/>
        <w:jc w:val="both"/>
        <w:rPr>
          <w:rFonts w:ascii="Arial" w:hAnsi="Arial" w:cs="Arial"/>
          <w:sz w:val="16"/>
          <w:szCs w:val="16"/>
        </w:rPr>
      </w:pPr>
      <w:r w:rsidRPr="00B320C7">
        <w:rPr>
          <w:rFonts w:ascii="Arial" w:hAnsi="Arial" w:cs="Arial"/>
          <w:sz w:val="16"/>
          <w:szCs w:val="16"/>
        </w:rPr>
        <w:t>***Betam’s calculations: Nominal exports (imports) minus non-monetary gold</w:t>
      </w:r>
      <w:r w:rsidR="00E03485" w:rsidRPr="00B320C7">
        <w:rPr>
          <w:rFonts w:ascii="Arial" w:hAnsi="Arial" w:cs="Arial"/>
          <w:sz w:val="16"/>
          <w:szCs w:val="16"/>
        </w:rPr>
        <w:t>,</w:t>
      </w:r>
      <w:r w:rsidRPr="00B320C7">
        <w:rPr>
          <w:rFonts w:ascii="Arial" w:hAnsi="Arial" w:cs="Arial"/>
          <w:sz w:val="16"/>
          <w:szCs w:val="16"/>
        </w:rPr>
        <w:t xml:space="preserve"> deflated by the export (import) unit value index.</w:t>
      </w:r>
    </w:p>
    <w:p w:rsidR="00544439" w:rsidRPr="00B320C7" w:rsidRDefault="00544439" w:rsidP="006B60DC">
      <w:pPr>
        <w:spacing w:line="360" w:lineRule="auto"/>
        <w:ind w:left="-540" w:right="42"/>
        <w:jc w:val="both"/>
        <w:rPr>
          <w:rFonts w:ascii="Arial" w:hAnsi="Arial" w:cs="Arial"/>
          <w:sz w:val="16"/>
          <w:szCs w:val="16"/>
        </w:rPr>
      </w:pPr>
    </w:p>
    <w:p w:rsidR="00BD7514" w:rsidRPr="00B320C7" w:rsidRDefault="00BD7514" w:rsidP="00150B84">
      <w:pPr>
        <w:ind w:right="42"/>
        <w:jc w:val="both"/>
        <w:rPr>
          <w:rFonts w:ascii="Arial" w:hAnsi="Arial" w:cs="Arial"/>
          <w:b/>
          <w:sz w:val="20"/>
          <w:szCs w:val="20"/>
        </w:rPr>
      </w:pPr>
    </w:p>
    <w:p w:rsidR="00E03485" w:rsidRPr="00B320C7" w:rsidRDefault="00E03485" w:rsidP="00150B84">
      <w:pPr>
        <w:ind w:right="42"/>
        <w:jc w:val="both"/>
        <w:rPr>
          <w:rFonts w:ascii="Arial" w:hAnsi="Arial" w:cs="Arial"/>
          <w:b/>
          <w:sz w:val="20"/>
          <w:szCs w:val="20"/>
        </w:rPr>
        <w:sectPr w:rsidR="00E03485" w:rsidRPr="00B320C7" w:rsidSect="001E7720">
          <w:type w:val="continuous"/>
          <w:pgSz w:w="11906" w:h="16838"/>
          <w:pgMar w:top="1417" w:right="1417" w:bottom="1417" w:left="1417" w:header="708" w:footer="708" w:gutter="0"/>
          <w:cols w:space="708"/>
          <w:docGrid w:linePitch="360"/>
        </w:sectPr>
      </w:pPr>
    </w:p>
    <w:p w:rsidR="001E192B" w:rsidRPr="00B320C7" w:rsidRDefault="001E192B" w:rsidP="00C22DC8">
      <w:pPr>
        <w:ind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B02E94" w:rsidRDefault="00B02E94" w:rsidP="006B60DC">
      <w:pPr>
        <w:ind w:left="-360" w:right="42"/>
        <w:jc w:val="both"/>
        <w:rPr>
          <w:rFonts w:ascii="Arial" w:hAnsi="Arial" w:cs="Arial"/>
          <w:b/>
          <w:sz w:val="20"/>
          <w:szCs w:val="20"/>
        </w:rPr>
      </w:pPr>
    </w:p>
    <w:p w:rsidR="00B02E94" w:rsidRDefault="00B02E94" w:rsidP="006B60DC">
      <w:pPr>
        <w:ind w:left="-360" w:right="42"/>
        <w:jc w:val="both"/>
        <w:rPr>
          <w:rFonts w:ascii="Arial" w:hAnsi="Arial" w:cs="Arial"/>
          <w:b/>
          <w:sz w:val="20"/>
          <w:szCs w:val="20"/>
        </w:rPr>
      </w:pPr>
    </w:p>
    <w:p w:rsidR="00B02E94" w:rsidRDefault="00B02E94" w:rsidP="006B60DC">
      <w:pPr>
        <w:ind w:left="-360" w:right="42"/>
        <w:jc w:val="both"/>
        <w:rPr>
          <w:rFonts w:ascii="Arial" w:hAnsi="Arial" w:cs="Arial"/>
          <w:b/>
          <w:sz w:val="20"/>
          <w:szCs w:val="20"/>
        </w:rPr>
      </w:pPr>
    </w:p>
    <w:p w:rsidR="00B02E94" w:rsidRPr="00B320C7" w:rsidRDefault="00B02E94"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3A3575" w:rsidRPr="00B320C7" w:rsidRDefault="00AC630B" w:rsidP="006B60DC">
      <w:pPr>
        <w:ind w:left="-360" w:right="42"/>
        <w:jc w:val="both"/>
        <w:rPr>
          <w:rFonts w:ascii="Arial" w:hAnsi="Arial" w:cs="Arial"/>
          <w:b/>
          <w:sz w:val="20"/>
          <w:szCs w:val="20"/>
        </w:rPr>
      </w:pPr>
      <w:r w:rsidRPr="00B320C7">
        <w:rPr>
          <w:rFonts w:ascii="Arial" w:hAnsi="Arial" w:cs="Arial"/>
          <w:b/>
          <w:sz w:val="20"/>
          <w:szCs w:val="20"/>
        </w:rPr>
        <w:lastRenderedPageBreak/>
        <w:t>Figure</w:t>
      </w:r>
      <w:r w:rsidR="003A3575" w:rsidRPr="00B320C7">
        <w:rPr>
          <w:rFonts w:ascii="Arial" w:hAnsi="Arial" w:cs="Arial"/>
          <w:b/>
          <w:sz w:val="20"/>
          <w:szCs w:val="20"/>
        </w:rPr>
        <w:t xml:space="preserve"> 1: </w:t>
      </w:r>
      <w:r w:rsidRPr="00B320C7">
        <w:rPr>
          <w:rFonts w:ascii="Arial" w:hAnsi="Arial" w:cs="Arial"/>
          <w:b/>
          <w:sz w:val="20"/>
          <w:szCs w:val="20"/>
        </w:rPr>
        <w:t>Capacity utilization rate and industrial production index</w:t>
      </w:r>
      <w:r w:rsidR="003A3575" w:rsidRPr="00B320C7">
        <w:rPr>
          <w:rFonts w:ascii="Arial" w:hAnsi="Arial" w:cs="Arial"/>
          <w:b/>
          <w:sz w:val="20"/>
          <w:szCs w:val="20"/>
        </w:rPr>
        <w:t xml:space="preserve"> (</w:t>
      </w:r>
      <w:r w:rsidRPr="00B320C7">
        <w:rPr>
          <w:rFonts w:ascii="Arial" w:hAnsi="Arial" w:cs="Arial"/>
          <w:b/>
          <w:sz w:val="20"/>
          <w:szCs w:val="20"/>
        </w:rPr>
        <w:t>s</w:t>
      </w:r>
      <w:r w:rsidR="00F65107" w:rsidRPr="00B320C7">
        <w:rPr>
          <w:rFonts w:ascii="Arial" w:hAnsi="Arial" w:cs="Arial"/>
          <w:b/>
          <w:sz w:val="20"/>
          <w:szCs w:val="20"/>
        </w:rPr>
        <w:t>a</w:t>
      </w:r>
      <w:r w:rsidR="0071337D" w:rsidRPr="00B320C7">
        <w:rPr>
          <w:rFonts w:ascii="Arial" w:hAnsi="Arial" w:cs="Arial"/>
          <w:b/>
          <w:sz w:val="20"/>
          <w:szCs w:val="20"/>
        </w:rPr>
        <w:t>.</w:t>
      </w:r>
      <w:r w:rsidRPr="00B320C7">
        <w:rPr>
          <w:rFonts w:ascii="Arial" w:hAnsi="Arial" w:cs="Arial"/>
          <w:b/>
          <w:sz w:val="20"/>
          <w:szCs w:val="20"/>
        </w:rPr>
        <w:t xml:space="preserve"> left axis for CUR and right axis for IPI</w:t>
      </w:r>
      <w:r w:rsidR="003A3575" w:rsidRPr="00B320C7">
        <w:rPr>
          <w:rFonts w:ascii="Arial" w:hAnsi="Arial" w:cs="Arial"/>
          <w:b/>
          <w:sz w:val="20"/>
          <w:szCs w:val="20"/>
        </w:rPr>
        <w:t>)</w:t>
      </w:r>
    </w:p>
    <w:p w:rsidR="003A3575" w:rsidRPr="00B320C7" w:rsidRDefault="008C1509" w:rsidP="003A3575">
      <w:pPr>
        <w:spacing w:line="360" w:lineRule="auto"/>
        <w:ind w:left="-360" w:right="42"/>
        <w:jc w:val="both"/>
        <w:rPr>
          <w:szCs w:val="20"/>
        </w:rPr>
      </w:pPr>
      <w:r w:rsidRPr="008C1509">
        <w:rPr>
          <w:noProof/>
          <w:szCs w:val="20"/>
          <w:lang w:val="tr-TR"/>
        </w:rPr>
        <w:drawing>
          <wp:inline distT="0" distB="0" distL="0" distR="0">
            <wp:extent cx="2655570" cy="222681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55570" cy="2226812"/>
                    </a:xfrm>
                    <a:prstGeom prst="rect">
                      <a:avLst/>
                    </a:prstGeom>
                    <a:noFill/>
                    <a:ln w="9525">
                      <a:noFill/>
                      <a:miter lim="800000"/>
                      <a:headEnd/>
                      <a:tailEnd/>
                    </a:ln>
                  </pic:spPr>
                </pic:pic>
              </a:graphicData>
            </a:graphic>
          </wp:inline>
        </w:drawing>
      </w:r>
    </w:p>
    <w:p w:rsidR="00B677BF" w:rsidRDefault="00AC630B" w:rsidP="00B677BF">
      <w:pPr>
        <w:ind w:left="-360" w:right="42"/>
        <w:jc w:val="both"/>
        <w:rPr>
          <w:rFonts w:ascii="Arial" w:hAnsi="Arial" w:cs="Arial"/>
          <w:sz w:val="16"/>
          <w:szCs w:val="16"/>
        </w:rPr>
      </w:pPr>
      <w:r w:rsidRPr="00B320C7">
        <w:rPr>
          <w:rFonts w:ascii="Arial" w:hAnsi="Arial" w:cs="Arial"/>
          <w:sz w:val="16"/>
          <w:szCs w:val="16"/>
        </w:rPr>
        <w:t>Source</w:t>
      </w:r>
      <w:r w:rsidR="003A3575" w:rsidRPr="00B320C7">
        <w:rPr>
          <w:rFonts w:ascii="Arial" w:hAnsi="Arial" w:cs="Arial"/>
          <w:sz w:val="16"/>
          <w:szCs w:val="16"/>
        </w:rPr>
        <w:t>:</w:t>
      </w:r>
      <w:r w:rsidR="008C1509">
        <w:rPr>
          <w:rFonts w:ascii="Arial" w:hAnsi="Arial" w:cs="Arial"/>
          <w:sz w:val="16"/>
          <w:szCs w:val="16"/>
        </w:rPr>
        <w:t xml:space="preserve"> </w:t>
      </w:r>
      <w:r w:rsidRPr="00B320C7">
        <w:rPr>
          <w:rFonts w:ascii="Arial" w:hAnsi="Arial" w:cs="Arial"/>
          <w:sz w:val="16"/>
          <w:szCs w:val="16"/>
        </w:rPr>
        <w:t>TurkStat</w:t>
      </w:r>
      <w:r w:rsidR="008C1509">
        <w:rPr>
          <w:rFonts w:ascii="Arial" w:hAnsi="Arial" w:cs="Arial"/>
          <w:sz w:val="16"/>
          <w:szCs w:val="16"/>
        </w:rPr>
        <w:t xml:space="preserve">, </w:t>
      </w:r>
      <w:r w:rsidR="003A3575" w:rsidRPr="00B320C7">
        <w:rPr>
          <w:rFonts w:ascii="Arial" w:hAnsi="Arial" w:cs="Arial"/>
          <w:sz w:val="16"/>
          <w:szCs w:val="16"/>
        </w:rPr>
        <w:t>Betam</w:t>
      </w:r>
      <w:r w:rsidR="00544439" w:rsidRPr="00B320C7">
        <w:rPr>
          <w:rFonts w:ascii="Arial" w:hAnsi="Arial" w:cs="Arial"/>
          <w:sz w:val="16"/>
          <w:szCs w:val="16"/>
        </w:rPr>
        <w:t>.</w:t>
      </w:r>
    </w:p>
    <w:p w:rsidR="008C1509" w:rsidRPr="00B320C7" w:rsidRDefault="008C1509" w:rsidP="00B677BF">
      <w:pPr>
        <w:ind w:left="-360" w:right="42"/>
        <w:jc w:val="both"/>
        <w:rPr>
          <w:rFonts w:ascii="Arial" w:hAnsi="Arial" w:cs="Arial"/>
          <w:sz w:val="16"/>
          <w:szCs w:val="16"/>
        </w:rPr>
      </w:pPr>
    </w:p>
    <w:p w:rsidR="00C3029B" w:rsidRPr="00B320C7" w:rsidRDefault="00AC630B" w:rsidP="00A82F2C">
      <w:pPr>
        <w:ind w:left="-360" w:right="42"/>
        <w:jc w:val="both"/>
        <w:rPr>
          <w:rFonts w:ascii="Arial" w:hAnsi="Arial" w:cs="Arial"/>
          <w:b/>
          <w:sz w:val="20"/>
          <w:szCs w:val="20"/>
        </w:rPr>
      </w:pPr>
      <w:r w:rsidRPr="00B320C7">
        <w:rPr>
          <w:rFonts w:ascii="Arial" w:hAnsi="Arial" w:cs="Arial"/>
          <w:b/>
          <w:sz w:val="20"/>
          <w:szCs w:val="20"/>
        </w:rPr>
        <w:lastRenderedPageBreak/>
        <w:t>Figure</w:t>
      </w:r>
      <w:r w:rsidR="007067F4" w:rsidRPr="00B320C7">
        <w:rPr>
          <w:rFonts w:ascii="Arial" w:hAnsi="Arial" w:cs="Arial"/>
          <w:b/>
          <w:sz w:val="20"/>
          <w:szCs w:val="20"/>
        </w:rPr>
        <w:t xml:space="preserve"> 2: </w:t>
      </w:r>
      <w:r w:rsidRPr="00B320C7">
        <w:rPr>
          <w:rFonts w:ascii="Arial" w:hAnsi="Arial" w:cs="Arial"/>
          <w:b/>
          <w:sz w:val="20"/>
          <w:szCs w:val="20"/>
        </w:rPr>
        <w:t>Volume indices of exports and imports</w:t>
      </w:r>
      <w:r w:rsidR="007067F4" w:rsidRPr="00B320C7">
        <w:rPr>
          <w:rFonts w:ascii="Arial" w:hAnsi="Arial" w:cs="Arial"/>
          <w:b/>
          <w:sz w:val="20"/>
          <w:szCs w:val="20"/>
        </w:rPr>
        <w:t xml:space="preserve"> (</w:t>
      </w:r>
      <w:r w:rsidRPr="00B320C7">
        <w:rPr>
          <w:rFonts w:ascii="Arial" w:hAnsi="Arial" w:cs="Arial"/>
          <w:b/>
          <w:sz w:val="20"/>
          <w:szCs w:val="20"/>
        </w:rPr>
        <w:t>sa</w:t>
      </w:r>
      <w:r w:rsidR="007067F4" w:rsidRPr="00B320C7">
        <w:rPr>
          <w:rFonts w:ascii="Arial" w:hAnsi="Arial" w:cs="Arial"/>
          <w:b/>
          <w:sz w:val="20"/>
          <w:szCs w:val="20"/>
        </w:rPr>
        <w:t>)</w:t>
      </w:r>
    </w:p>
    <w:p w:rsidR="00C3029B" w:rsidRPr="00B320C7" w:rsidRDefault="00C3029B" w:rsidP="00C3029B">
      <w:pPr>
        <w:ind w:left="-360" w:right="42"/>
        <w:jc w:val="both"/>
        <w:rPr>
          <w:rFonts w:ascii="Arial" w:hAnsi="Arial" w:cs="Arial"/>
          <w:b/>
          <w:sz w:val="20"/>
          <w:szCs w:val="20"/>
        </w:rPr>
      </w:pPr>
    </w:p>
    <w:p w:rsidR="003A3575" w:rsidRPr="00B320C7" w:rsidRDefault="008C1509" w:rsidP="003A3575">
      <w:pPr>
        <w:spacing w:line="360" w:lineRule="auto"/>
        <w:ind w:left="-360" w:right="42"/>
        <w:jc w:val="both"/>
        <w:rPr>
          <w:szCs w:val="20"/>
        </w:rPr>
      </w:pPr>
      <w:r w:rsidRPr="008C1509">
        <w:rPr>
          <w:noProof/>
          <w:szCs w:val="20"/>
          <w:lang w:val="tr-TR"/>
        </w:rPr>
        <w:drawing>
          <wp:inline distT="0" distB="0" distL="0" distR="0">
            <wp:extent cx="2655570" cy="230069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55570" cy="2300693"/>
                    </a:xfrm>
                    <a:prstGeom prst="rect">
                      <a:avLst/>
                    </a:prstGeom>
                    <a:noFill/>
                    <a:ln w="9525">
                      <a:noFill/>
                      <a:miter lim="800000"/>
                      <a:headEnd/>
                      <a:tailEnd/>
                    </a:ln>
                  </pic:spPr>
                </pic:pic>
              </a:graphicData>
            </a:graphic>
          </wp:inline>
        </w:drawing>
      </w:r>
    </w:p>
    <w:p w:rsidR="003A3575" w:rsidRPr="00B320C7" w:rsidRDefault="00544439" w:rsidP="003A3575">
      <w:pPr>
        <w:spacing w:line="360" w:lineRule="auto"/>
        <w:ind w:left="-360" w:right="42"/>
        <w:jc w:val="both"/>
        <w:rPr>
          <w:rFonts w:ascii="Arial" w:hAnsi="Arial" w:cs="Arial"/>
          <w:sz w:val="16"/>
          <w:szCs w:val="16"/>
        </w:rPr>
      </w:pPr>
      <w:r w:rsidRPr="00B320C7">
        <w:rPr>
          <w:rFonts w:ascii="Arial" w:hAnsi="Arial" w:cs="Arial"/>
          <w:sz w:val="16"/>
          <w:szCs w:val="16"/>
        </w:rPr>
        <w:t>Source</w:t>
      </w:r>
      <w:r w:rsidR="00AC630B" w:rsidRPr="00B320C7">
        <w:rPr>
          <w:rFonts w:ascii="Arial" w:hAnsi="Arial" w:cs="Arial"/>
          <w:sz w:val="16"/>
          <w:szCs w:val="16"/>
        </w:rPr>
        <w:t>:</w:t>
      </w:r>
      <w:r w:rsidR="008C1509">
        <w:rPr>
          <w:rFonts w:ascii="Arial" w:hAnsi="Arial" w:cs="Arial"/>
          <w:sz w:val="16"/>
          <w:szCs w:val="16"/>
        </w:rPr>
        <w:t xml:space="preserve"> </w:t>
      </w:r>
      <w:r w:rsidR="00AC630B" w:rsidRPr="00B320C7">
        <w:rPr>
          <w:rFonts w:ascii="Arial" w:hAnsi="Arial" w:cs="Arial"/>
          <w:sz w:val="16"/>
          <w:szCs w:val="16"/>
        </w:rPr>
        <w:t>TurkStat</w:t>
      </w:r>
      <w:r w:rsidR="008C1509">
        <w:rPr>
          <w:rFonts w:ascii="Arial" w:hAnsi="Arial" w:cs="Arial"/>
          <w:sz w:val="16"/>
          <w:szCs w:val="16"/>
        </w:rPr>
        <w:t xml:space="preserve">, </w:t>
      </w:r>
      <w:r w:rsidR="003A3575" w:rsidRPr="00B320C7">
        <w:rPr>
          <w:rFonts w:ascii="Arial" w:hAnsi="Arial" w:cs="Arial"/>
          <w:sz w:val="16"/>
          <w:szCs w:val="16"/>
        </w:rPr>
        <w:t>Betam</w:t>
      </w:r>
      <w:r w:rsidRPr="00B320C7">
        <w:rPr>
          <w:rFonts w:ascii="Arial" w:hAnsi="Arial" w:cs="Arial"/>
          <w:sz w:val="16"/>
          <w:szCs w:val="16"/>
        </w:rPr>
        <w:t>.</w:t>
      </w:r>
    </w:p>
    <w:p w:rsidR="007067F4" w:rsidRPr="00B320C7" w:rsidRDefault="007067F4" w:rsidP="00010DD1">
      <w:pPr>
        <w:spacing w:line="360" w:lineRule="auto"/>
        <w:ind w:right="42"/>
        <w:jc w:val="both"/>
        <w:rPr>
          <w:rFonts w:ascii="Arial" w:hAnsi="Arial" w:cs="Arial"/>
          <w:sz w:val="20"/>
          <w:szCs w:val="20"/>
        </w:rPr>
        <w:sectPr w:rsidR="007067F4" w:rsidRPr="00B320C7" w:rsidSect="007067F4">
          <w:type w:val="continuous"/>
          <w:pgSz w:w="11906" w:h="16838"/>
          <w:pgMar w:top="1417" w:right="1417" w:bottom="1417" w:left="1417" w:header="708" w:footer="708" w:gutter="0"/>
          <w:cols w:num="2" w:space="708" w:equalWidth="0">
            <w:col w:w="4182" w:space="708"/>
            <w:col w:w="4182"/>
          </w:cols>
          <w:docGrid w:linePitch="360"/>
        </w:sectPr>
      </w:pPr>
    </w:p>
    <w:p w:rsidR="00A74D70" w:rsidRPr="00B320C7" w:rsidRDefault="00A74D70" w:rsidP="00C3029B">
      <w:pPr>
        <w:spacing w:line="360" w:lineRule="auto"/>
        <w:ind w:left="-360" w:right="42"/>
        <w:jc w:val="both"/>
        <w:rPr>
          <w:rFonts w:ascii="Arial" w:hAnsi="Arial" w:cs="Arial"/>
          <w:b/>
          <w:sz w:val="20"/>
          <w:szCs w:val="20"/>
        </w:rPr>
      </w:pPr>
    </w:p>
    <w:p w:rsidR="00EF6AB5" w:rsidRPr="00B320C7" w:rsidRDefault="00AC630B" w:rsidP="00C3029B">
      <w:pPr>
        <w:spacing w:line="360" w:lineRule="auto"/>
        <w:ind w:left="-360" w:right="42"/>
        <w:jc w:val="both"/>
        <w:rPr>
          <w:rFonts w:ascii="Arial" w:hAnsi="Arial" w:cs="Arial"/>
          <w:b/>
          <w:sz w:val="20"/>
          <w:szCs w:val="20"/>
        </w:rPr>
      </w:pPr>
      <w:r w:rsidRPr="00B320C7">
        <w:rPr>
          <w:rFonts w:ascii="Arial" w:hAnsi="Arial" w:cs="Arial"/>
          <w:b/>
          <w:sz w:val="20"/>
          <w:szCs w:val="20"/>
        </w:rPr>
        <w:t>Figure</w:t>
      </w:r>
      <w:r w:rsidR="00150B84" w:rsidRPr="00B320C7">
        <w:rPr>
          <w:rFonts w:ascii="Arial" w:hAnsi="Arial" w:cs="Arial"/>
          <w:b/>
          <w:sz w:val="20"/>
          <w:szCs w:val="20"/>
        </w:rPr>
        <w:t xml:space="preserve"> 3:</w:t>
      </w:r>
      <w:r w:rsidR="005B2CF3">
        <w:rPr>
          <w:rFonts w:ascii="Arial" w:hAnsi="Arial" w:cs="Arial"/>
          <w:b/>
          <w:sz w:val="20"/>
          <w:szCs w:val="20"/>
        </w:rPr>
        <w:t xml:space="preserve"> </w:t>
      </w:r>
      <w:r w:rsidRPr="00B320C7">
        <w:rPr>
          <w:rFonts w:ascii="Arial" w:hAnsi="Arial" w:cs="Arial"/>
          <w:b/>
          <w:sz w:val="20"/>
          <w:szCs w:val="20"/>
        </w:rPr>
        <w:t>Ratio of current account deficit to</w:t>
      </w:r>
      <w:r w:rsidR="005B2CF3">
        <w:rPr>
          <w:rFonts w:ascii="Arial" w:hAnsi="Arial" w:cs="Arial"/>
          <w:b/>
          <w:sz w:val="20"/>
          <w:szCs w:val="20"/>
        </w:rPr>
        <w:t xml:space="preserve"> </w:t>
      </w:r>
      <w:r w:rsidRPr="00B320C7">
        <w:rPr>
          <w:rFonts w:ascii="Arial" w:hAnsi="Arial" w:cs="Arial"/>
          <w:b/>
          <w:sz w:val="20"/>
          <w:szCs w:val="20"/>
        </w:rPr>
        <w:t>GDP</w:t>
      </w:r>
      <w:r w:rsidR="00455777" w:rsidRPr="00B320C7">
        <w:rPr>
          <w:rFonts w:ascii="Arial" w:hAnsi="Arial" w:cs="Arial"/>
          <w:b/>
          <w:sz w:val="20"/>
          <w:szCs w:val="20"/>
        </w:rPr>
        <w:t xml:space="preserve"> (yearly)</w:t>
      </w:r>
    </w:p>
    <w:p w:rsidR="001E7720" w:rsidRPr="00B320C7" w:rsidRDefault="00B34B81" w:rsidP="008865B7">
      <w:pPr>
        <w:spacing w:line="360" w:lineRule="auto"/>
        <w:ind w:left="-360" w:right="42"/>
        <w:rPr>
          <w:szCs w:val="20"/>
        </w:rPr>
      </w:pPr>
      <w:r w:rsidRPr="00B34B81">
        <w:rPr>
          <w:noProof/>
          <w:szCs w:val="20"/>
          <w:lang w:val="tr-TR"/>
        </w:rPr>
        <w:drawing>
          <wp:inline distT="0" distB="0" distL="0" distR="0">
            <wp:extent cx="5760720" cy="291771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60720" cy="2917710"/>
                    </a:xfrm>
                    <a:prstGeom prst="rect">
                      <a:avLst/>
                    </a:prstGeom>
                    <a:noFill/>
                    <a:ln w="9525">
                      <a:noFill/>
                      <a:miter lim="800000"/>
                      <a:headEnd/>
                      <a:tailEnd/>
                    </a:ln>
                  </pic:spPr>
                </pic:pic>
              </a:graphicData>
            </a:graphic>
          </wp:inline>
        </w:drawing>
      </w:r>
    </w:p>
    <w:p w:rsidR="001E7720" w:rsidRPr="00B320C7" w:rsidRDefault="00AC630B" w:rsidP="001E4BF5">
      <w:pPr>
        <w:spacing w:line="360" w:lineRule="auto"/>
        <w:ind w:left="-360" w:right="42"/>
        <w:jc w:val="both"/>
        <w:rPr>
          <w:rFonts w:ascii="Arial" w:hAnsi="Arial" w:cs="Arial"/>
          <w:sz w:val="16"/>
          <w:szCs w:val="16"/>
        </w:rPr>
      </w:pPr>
      <w:r w:rsidRPr="00B320C7">
        <w:rPr>
          <w:rFonts w:ascii="Arial" w:hAnsi="Arial" w:cs="Arial"/>
          <w:sz w:val="16"/>
          <w:szCs w:val="16"/>
        </w:rPr>
        <w:t xml:space="preserve">Source: </w:t>
      </w:r>
      <w:r w:rsidR="00E03485" w:rsidRPr="00B320C7">
        <w:rPr>
          <w:rFonts w:ascii="Arial" w:hAnsi="Arial" w:cs="Arial"/>
          <w:sz w:val="16"/>
          <w:szCs w:val="16"/>
        </w:rPr>
        <w:t>CBRT</w:t>
      </w:r>
      <w:r w:rsidR="005B2CF3">
        <w:rPr>
          <w:rFonts w:ascii="Arial" w:hAnsi="Arial" w:cs="Arial"/>
          <w:sz w:val="16"/>
          <w:szCs w:val="16"/>
        </w:rPr>
        <w:t xml:space="preserve">, </w:t>
      </w:r>
      <w:r w:rsidRPr="00B320C7">
        <w:rPr>
          <w:rFonts w:ascii="Arial" w:hAnsi="Arial" w:cs="Arial"/>
          <w:sz w:val="16"/>
          <w:szCs w:val="16"/>
        </w:rPr>
        <w:t>TurkStat</w:t>
      </w:r>
      <w:r w:rsidR="005B2CF3">
        <w:rPr>
          <w:rFonts w:ascii="Arial" w:hAnsi="Arial" w:cs="Arial"/>
          <w:sz w:val="16"/>
          <w:szCs w:val="16"/>
        </w:rPr>
        <w:t xml:space="preserve">, </w:t>
      </w:r>
      <w:r w:rsidRPr="00B320C7">
        <w:rPr>
          <w:rFonts w:ascii="Arial" w:hAnsi="Arial" w:cs="Arial"/>
          <w:sz w:val="16"/>
          <w:szCs w:val="16"/>
        </w:rPr>
        <w:t>Betam</w:t>
      </w:r>
      <w:r w:rsidR="00EF2A9C" w:rsidRPr="00B320C7">
        <w:rPr>
          <w:rFonts w:ascii="Arial" w:hAnsi="Arial" w:cs="Arial"/>
          <w:sz w:val="16"/>
          <w:szCs w:val="16"/>
        </w:rPr>
        <w:t>.</w:t>
      </w:r>
    </w:p>
    <w:p w:rsidR="001E7720" w:rsidRPr="00B320C7" w:rsidRDefault="001E7720" w:rsidP="00C30DC1">
      <w:pPr>
        <w:spacing w:line="360" w:lineRule="auto"/>
        <w:ind w:right="42"/>
        <w:jc w:val="both"/>
        <w:rPr>
          <w:rFonts w:ascii="Arial" w:hAnsi="Arial" w:cs="Arial"/>
          <w:sz w:val="20"/>
          <w:szCs w:val="20"/>
        </w:rPr>
      </w:pPr>
    </w:p>
    <w:p w:rsidR="00042C84" w:rsidRPr="00B320C7" w:rsidRDefault="00042C84" w:rsidP="001E4BF5">
      <w:pPr>
        <w:spacing w:line="360" w:lineRule="auto"/>
        <w:ind w:left="-360" w:right="42"/>
        <w:jc w:val="both"/>
        <w:rPr>
          <w:rFonts w:ascii="Arial" w:hAnsi="Arial" w:cs="Arial"/>
          <w:b/>
          <w:sz w:val="20"/>
          <w:szCs w:val="20"/>
        </w:rPr>
      </w:pPr>
    </w:p>
    <w:p w:rsidR="00042C84" w:rsidRPr="00B320C7" w:rsidRDefault="00042C84" w:rsidP="001E4BF5">
      <w:pPr>
        <w:spacing w:line="360" w:lineRule="auto"/>
        <w:ind w:left="-360" w:right="42"/>
        <w:jc w:val="both"/>
        <w:rPr>
          <w:rFonts w:ascii="Arial" w:hAnsi="Arial" w:cs="Arial"/>
          <w:b/>
          <w:sz w:val="20"/>
          <w:szCs w:val="20"/>
        </w:rPr>
      </w:pPr>
    </w:p>
    <w:p w:rsidR="00042C84" w:rsidRPr="00B320C7" w:rsidRDefault="00042C84" w:rsidP="001E4BF5">
      <w:pPr>
        <w:spacing w:line="360" w:lineRule="auto"/>
        <w:ind w:left="-360" w:right="42"/>
        <w:jc w:val="both"/>
        <w:rPr>
          <w:rFonts w:ascii="Arial" w:hAnsi="Arial" w:cs="Arial"/>
          <w:b/>
          <w:sz w:val="20"/>
          <w:szCs w:val="20"/>
        </w:rPr>
      </w:pPr>
    </w:p>
    <w:p w:rsidR="00042C84" w:rsidRPr="00B320C7" w:rsidRDefault="00042C84" w:rsidP="001E4BF5">
      <w:pPr>
        <w:spacing w:line="360" w:lineRule="auto"/>
        <w:ind w:left="-360" w:right="42"/>
        <w:jc w:val="both"/>
        <w:rPr>
          <w:rFonts w:ascii="Arial" w:hAnsi="Arial" w:cs="Arial"/>
          <w:b/>
          <w:sz w:val="20"/>
          <w:szCs w:val="20"/>
        </w:rPr>
      </w:pPr>
    </w:p>
    <w:p w:rsidR="00042C84" w:rsidRPr="00B320C7" w:rsidRDefault="00042C84" w:rsidP="001E4BF5">
      <w:pPr>
        <w:spacing w:line="360" w:lineRule="auto"/>
        <w:ind w:left="-360" w:right="42"/>
        <w:jc w:val="both"/>
        <w:rPr>
          <w:rFonts w:ascii="Arial" w:hAnsi="Arial" w:cs="Arial"/>
          <w:b/>
          <w:sz w:val="20"/>
          <w:szCs w:val="20"/>
        </w:rPr>
      </w:pPr>
    </w:p>
    <w:p w:rsidR="00042C84" w:rsidRPr="00B320C7" w:rsidRDefault="00042C84" w:rsidP="001E4BF5">
      <w:pPr>
        <w:spacing w:line="360" w:lineRule="auto"/>
        <w:ind w:left="-360" w:right="42"/>
        <w:jc w:val="both"/>
        <w:rPr>
          <w:rFonts w:ascii="Arial" w:hAnsi="Arial" w:cs="Arial"/>
          <w:b/>
          <w:sz w:val="20"/>
          <w:szCs w:val="20"/>
        </w:rPr>
      </w:pPr>
    </w:p>
    <w:p w:rsidR="00042C84" w:rsidRPr="00B320C7" w:rsidRDefault="00042C84" w:rsidP="001E4BF5">
      <w:pPr>
        <w:spacing w:line="360" w:lineRule="auto"/>
        <w:ind w:left="-360" w:right="42"/>
        <w:jc w:val="both"/>
        <w:rPr>
          <w:rFonts w:ascii="Arial" w:hAnsi="Arial" w:cs="Arial"/>
          <w:b/>
          <w:sz w:val="20"/>
          <w:szCs w:val="20"/>
        </w:rPr>
      </w:pPr>
    </w:p>
    <w:p w:rsidR="00042C84" w:rsidRPr="00B320C7" w:rsidRDefault="00042C84" w:rsidP="001E4BF5">
      <w:pPr>
        <w:spacing w:line="360" w:lineRule="auto"/>
        <w:ind w:left="-360" w:right="42"/>
        <w:jc w:val="both"/>
        <w:rPr>
          <w:rFonts w:ascii="Arial" w:hAnsi="Arial" w:cs="Arial"/>
          <w:b/>
          <w:sz w:val="20"/>
          <w:szCs w:val="20"/>
        </w:rPr>
      </w:pPr>
    </w:p>
    <w:p w:rsidR="00B34B81" w:rsidRDefault="00B34B81" w:rsidP="001E4BF5">
      <w:pPr>
        <w:spacing w:line="360" w:lineRule="auto"/>
        <w:ind w:left="-360" w:right="42"/>
        <w:jc w:val="both"/>
        <w:rPr>
          <w:rFonts w:ascii="Arial" w:hAnsi="Arial" w:cs="Arial"/>
          <w:b/>
          <w:sz w:val="20"/>
          <w:szCs w:val="20"/>
        </w:rPr>
      </w:pPr>
    </w:p>
    <w:p w:rsidR="00C30DC1" w:rsidRPr="00B320C7" w:rsidRDefault="00451918" w:rsidP="001E4BF5">
      <w:pPr>
        <w:spacing w:line="360" w:lineRule="auto"/>
        <w:ind w:left="-360" w:right="42"/>
        <w:jc w:val="both"/>
        <w:rPr>
          <w:rFonts w:ascii="Arial" w:hAnsi="Arial" w:cs="Arial"/>
          <w:b/>
          <w:sz w:val="20"/>
          <w:szCs w:val="20"/>
        </w:rPr>
      </w:pPr>
      <w:r>
        <w:rPr>
          <w:rFonts w:ascii="Arial" w:hAnsi="Arial" w:cs="Arial"/>
          <w:b/>
          <w:sz w:val="20"/>
          <w:szCs w:val="20"/>
        </w:rPr>
        <w:lastRenderedPageBreak/>
        <w:t xml:space="preserve">Figure 4: </w:t>
      </w:r>
      <w:r w:rsidR="00C30DC1" w:rsidRPr="00B320C7">
        <w:rPr>
          <w:rFonts w:ascii="Arial" w:hAnsi="Arial" w:cs="Arial"/>
          <w:b/>
          <w:sz w:val="20"/>
          <w:szCs w:val="20"/>
        </w:rPr>
        <w:t>W</w:t>
      </w:r>
      <w:r w:rsidR="00042C84" w:rsidRPr="00B320C7">
        <w:rPr>
          <w:rFonts w:ascii="Arial" w:hAnsi="Arial" w:cs="Arial"/>
          <w:b/>
          <w:sz w:val="20"/>
          <w:szCs w:val="20"/>
        </w:rPr>
        <w:t>eighted Average Interest Rates f</w:t>
      </w:r>
      <w:r w:rsidR="00C30DC1" w:rsidRPr="00B320C7">
        <w:rPr>
          <w:rFonts w:ascii="Arial" w:hAnsi="Arial" w:cs="Arial"/>
          <w:b/>
          <w:sz w:val="20"/>
          <w:szCs w:val="20"/>
        </w:rPr>
        <w:t>or Turkish Lira Banks' Loans (%)</w:t>
      </w:r>
    </w:p>
    <w:p w:rsidR="00C30DC1" w:rsidRPr="00B320C7" w:rsidRDefault="005B2CF3" w:rsidP="001E4BF5">
      <w:pPr>
        <w:spacing w:line="360" w:lineRule="auto"/>
        <w:ind w:left="-360" w:right="42"/>
        <w:jc w:val="both"/>
        <w:rPr>
          <w:rFonts w:ascii="Arial" w:hAnsi="Arial" w:cs="Arial"/>
          <w:b/>
          <w:sz w:val="20"/>
          <w:szCs w:val="20"/>
        </w:rPr>
      </w:pPr>
      <w:r w:rsidRPr="005B2CF3">
        <w:rPr>
          <w:noProof/>
          <w:szCs w:val="20"/>
          <w:lang w:val="tr-TR"/>
        </w:rPr>
        <w:drawing>
          <wp:inline distT="0" distB="0" distL="0" distR="0">
            <wp:extent cx="5760720" cy="276591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60720" cy="2765917"/>
                    </a:xfrm>
                    <a:prstGeom prst="rect">
                      <a:avLst/>
                    </a:prstGeom>
                    <a:noFill/>
                    <a:ln w="9525">
                      <a:noFill/>
                      <a:miter lim="800000"/>
                      <a:headEnd/>
                      <a:tailEnd/>
                    </a:ln>
                  </pic:spPr>
                </pic:pic>
              </a:graphicData>
            </a:graphic>
          </wp:inline>
        </w:drawing>
      </w:r>
    </w:p>
    <w:p w:rsidR="005E0781" w:rsidRPr="00B320C7" w:rsidRDefault="00C30DC1" w:rsidP="00C30DC1">
      <w:pPr>
        <w:spacing w:line="360" w:lineRule="auto"/>
        <w:ind w:left="-360" w:right="42"/>
        <w:jc w:val="both"/>
        <w:rPr>
          <w:rFonts w:ascii="Arial" w:hAnsi="Arial" w:cs="Arial"/>
          <w:sz w:val="20"/>
          <w:szCs w:val="20"/>
        </w:rPr>
      </w:pPr>
      <w:r w:rsidRPr="00B320C7">
        <w:rPr>
          <w:rFonts w:ascii="Arial" w:hAnsi="Arial" w:cs="Arial"/>
          <w:sz w:val="16"/>
          <w:szCs w:val="16"/>
        </w:rPr>
        <w:t xml:space="preserve">Source: </w:t>
      </w:r>
      <w:r w:rsidR="00E03485" w:rsidRPr="00B320C7">
        <w:rPr>
          <w:rFonts w:ascii="Arial" w:hAnsi="Arial" w:cs="Arial"/>
          <w:sz w:val="16"/>
          <w:szCs w:val="16"/>
        </w:rPr>
        <w:t>CBRT</w:t>
      </w:r>
      <w:r w:rsidR="00EF2A9C" w:rsidRPr="00B320C7">
        <w:rPr>
          <w:rFonts w:ascii="Arial" w:hAnsi="Arial" w:cs="Arial"/>
          <w:sz w:val="16"/>
          <w:szCs w:val="16"/>
        </w:rPr>
        <w:t>.</w:t>
      </w:r>
    </w:p>
    <w:p w:rsidR="00A74D70" w:rsidRPr="00B320C7" w:rsidRDefault="00A74D70" w:rsidP="00D0799D">
      <w:pPr>
        <w:spacing w:line="360" w:lineRule="auto"/>
        <w:ind w:right="42"/>
        <w:jc w:val="both"/>
        <w:rPr>
          <w:rFonts w:ascii="Arial" w:hAnsi="Arial" w:cs="Arial"/>
          <w:b/>
          <w:sz w:val="20"/>
          <w:szCs w:val="20"/>
        </w:rPr>
      </w:pPr>
    </w:p>
    <w:p w:rsidR="00042C84" w:rsidRPr="00B02E94" w:rsidRDefault="00042C84" w:rsidP="00042C84">
      <w:pPr>
        <w:spacing w:line="360" w:lineRule="auto"/>
        <w:ind w:left="-360"/>
        <w:rPr>
          <w:rFonts w:ascii="Arial" w:hAnsi="Arial" w:cs="Arial"/>
          <w:b/>
          <w:sz w:val="20"/>
          <w:szCs w:val="20"/>
        </w:rPr>
      </w:pPr>
      <w:r w:rsidRPr="00B02E94">
        <w:rPr>
          <w:rFonts w:ascii="Arial" w:hAnsi="Arial" w:cs="Arial"/>
          <w:b/>
          <w:sz w:val="20"/>
          <w:szCs w:val="20"/>
        </w:rPr>
        <w:t>T</w:t>
      </w:r>
      <w:r w:rsidR="005B2CF3" w:rsidRPr="00B02E94">
        <w:rPr>
          <w:rFonts w:ascii="Arial" w:hAnsi="Arial" w:cs="Arial"/>
          <w:b/>
          <w:sz w:val="20"/>
          <w:szCs w:val="20"/>
        </w:rPr>
        <w:t>able</w:t>
      </w:r>
      <w:r w:rsidR="00451918">
        <w:rPr>
          <w:rFonts w:ascii="Arial" w:hAnsi="Arial" w:cs="Arial"/>
          <w:b/>
          <w:sz w:val="20"/>
          <w:szCs w:val="20"/>
        </w:rPr>
        <w:t xml:space="preserve"> 3:</w:t>
      </w:r>
      <w:r w:rsidR="005B2CF3" w:rsidRPr="00B02E94">
        <w:rPr>
          <w:rFonts w:ascii="Arial" w:hAnsi="Arial" w:cs="Arial"/>
          <w:b/>
          <w:sz w:val="20"/>
          <w:szCs w:val="20"/>
        </w:rPr>
        <w:t xml:space="preserve"> </w:t>
      </w:r>
      <w:r w:rsidR="00A82F2C" w:rsidRPr="00B02E94">
        <w:rPr>
          <w:rFonts w:ascii="Arial" w:hAnsi="Arial" w:cs="Arial"/>
          <w:b/>
          <w:sz w:val="20"/>
          <w:szCs w:val="20"/>
        </w:rPr>
        <w:t xml:space="preserve">The change in the total credit growth and GDP growth </w:t>
      </w:r>
      <w:r w:rsidRPr="00B02E94">
        <w:rPr>
          <w:rFonts w:ascii="Arial" w:hAnsi="Arial" w:cs="Arial"/>
          <w:b/>
          <w:sz w:val="20"/>
          <w:szCs w:val="20"/>
        </w:rPr>
        <w:t>(</w:t>
      </w:r>
      <w:r w:rsidR="00A82F2C" w:rsidRPr="00B02E94">
        <w:rPr>
          <w:rFonts w:ascii="Arial" w:hAnsi="Arial" w:cs="Arial"/>
          <w:b/>
          <w:sz w:val="20"/>
          <w:szCs w:val="20"/>
        </w:rPr>
        <w:t>Quarterly</w:t>
      </w:r>
      <w:r w:rsidRPr="00B02E94">
        <w:rPr>
          <w:rFonts w:ascii="Arial" w:hAnsi="Arial" w:cs="Arial"/>
          <w:b/>
          <w:sz w:val="20"/>
          <w:szCs w:val="20"/>
        </w:rPr>
        <w:t>)</w:t>
      </w:r>
    </w:p>
    <w:tbl>
      <w:tblPr>
        <w:tblW w:w="7125" w:type="dxa"/>
        <w:tblInd w:w="-162" w:type="dxa"/>
        <w:tblLook w:val="04A0"/>
      </w:tblPr>
      <w:tblGrid>
        <w:gridCol w:w="1966"/>
        <w:gridCol w:w="2279"/>
        <w:gridCol w:w="2880"/>
      </w:tblGrid>
      <w:tr w:rsidR="00042C84" w:rsidRPr="00B02E94" w:rsidTr="00042C84">
        <w:trPr>
          <w:trHeight w:val="4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C84" w:rsidRPr="00B02E94" w:rsidRDefault="00042C84" w:rsidP="00042C84">
            <w:pPr>
              <w:ind w:left="-363" w:firstLine="363"/>
              <w:rPr>
                <w:rFonts w:ascii="Arial" w:hAnsi="Arial" w:cs="Arial"/>
                <w:b/>
                <w:sz w:val="20"/>
                <w:szCs w:val="20"/>
              </w:rPr>
            </w:pPr>
            <w:r w:rsidRPr="00B02E94">
              <w:rPr>
                <w:rFonts w:ascii="Arial" w:hAnsi="Arial" w:cs="Arial"/>
                <w:b/>
                <w:sz w:val="20"/>
                <w:szCs w:val="20"/>
              </w:rPr>
              <w:t> </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042C84" w:rsidRPr="00B02E94" w:rsidRDefault="00042C84" w:rsidP="0087056B">
            <w:pPr>
              <w:jc w:val="center"/>
              <w:rPr>
                <w:rFonts w:ascii="Arial" w:hAnsi="Arial" w:cs="Arial"/>
                <w:b/>
                <w:sz w:val="20"/>
                <w:szCs w:val="20"/>
              </w:rPr>
            </w:pPr>
            <w:r w:rsidRPr="00B02E94">
              <w:rPr>
                <w:rFonts w:ascii="Arial" w:hAnsi="Arial" w:cs="Arial"/>
                <w:b/>
                <w:sz w:val="20"/>
                <w:szCs w:val="20"/>
              </w:rPr>
              <w:t>The change in the credit growth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42C84" w:rsidRPr="00B02E94" w:rsidRDefault="00042C84" w:rsidP="00042C84">
            <w:pPr>
              <w:rPr>
                <w:rFonts w:ascii="Arial" w:hAnsi="Arial" w:cs="Arial"/>
                <w:b/>
                <w:sz w:val="20"/>
                <w:szCs w:val="20"/>
              </w:rPr>
            </w:pPr>
            <w:r w:rsidRPr="00B02E94">
              <w:rPr>
                <w:rFonts w:ascii="Arial" w:hAnsi="Arial" w:cs="Arial"/>
                <w:b/>
                <w:sz w:val="20"/>
                <w:szCs w:val="20"/>
              </w:rPr>
              <w:t>Real GDP growth (YoY)</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March 08</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32.5</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7.0</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June 08</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11.4</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2.6</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September 08</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9.8</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0.9</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December 08</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-15.7</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-7.0</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March 09</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-38.4</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-14.7</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June 09</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-38.5</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-7.8</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September 09</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-68.0</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-2.8</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December 09</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156.4</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5.9</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March 10</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78.3</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12.6</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June 10</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62.6</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10.4</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September 10</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30.0</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5.3</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December 10</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34.2</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9.3</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March 11</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7.8</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12.1</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June 11</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13.1</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9.1</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September 11</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17.4</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8.4</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December 11</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-18.1</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5.0</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March 12</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-9.3</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3.4</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June 12</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-10.2</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3.0</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September 12</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-24.8</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1.6</w:t>
            </w:r>
          </w:p>
        </w:tc>
      </w:tr>
      <w:tr w:rsidR="00042C84" w:rsidRPr="00B02E94"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December 12</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jc w:val="right"/>
              <w:rPr>
                <w:rFonts w:ascii="Arial" w:hAnsi="Arial" w:cs="Arial"/>
                <w:sz w:val="20"/>
                <w:szCs w:val="20"/>
              </w:rPr>
            </w:pPr>
            <w:r w:rsidRPr="00B02E94">
              <w:rPr>
                <w:rFonts w:ascii="Arial" w:hAnsi="Arial" w:cs="Arial"/>
                <w:sz w:val="20"/>
                <w:szCs w:val="20"/>
              </w:rPr>
              <w:t>4.2</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B02E94" w:rsidRDefault="00042C84" w:rsidP="00042C84">
            <w:pPr>
              <w:rPr>
                <w:rFonts w:ascii="Arial" w:hAnsi="Arial" w:cs="Arial"/>
                <w:sz w:val="20"/>
                <w:szCs w:val="20"/>
              </w:rPr>
            </w:pPr>
            <w:r w:rsidRPr="00B02E94">
              <w:rPr>
                <w:rFonts w:ascii="Arial" w:hAnsi="Arial" w:cs="Arial"/>
                <w:sz w:val="20"/>
                <w:szCs w:val="20"/>
              </w:rPr>
              <w:t> </w:t>
            </w:r>
          </w:p>
        </w:tc>
      </w:tr>
    </w:tbl>
    <w:p w:rsidR="00042C84" w:rsidRPr="00B02E94" w:rsidRDefault="00042C84" w:rsidP="00042C84">
      <w:pPr>
        <w:ind w:left="-360" w:right="42"/>
        <w:rPr>
          <w:rFonts w:ascii="Arial" w:hAnsi="Arial" w:cs="Arial"/>
          <w:sz w:val="20"/>
          <w:szCs w:val="20"/>
        </w:rPr>
      </w:pPr>
      <w:r w:rsidRPr="00B02E94">
        <w:rPr>
          <w:rFonts w:ascii="Arial" w:hAnsi="Arial" w:cs="Arial"/>
          <w:sz w:val="20"/>
          <w:szCs w:val="20"/>
        </w:rPr>
        <w:t xml:space="preserve">  </w:t>
      </w:r>
      <w:r w:rsidRPr="00B02E94">
        <w:rPr>
          <w:rFonts w:ascii="Arial" w:hAnsi="Arial" w:cs="Arial"/>
          <w:sz w:val="16"/>
          <w:szCs w:val="16"/>
        </w:rPr>
        <w:t xml:space="preserve">Source: </w:t>
      </w:r>
      <w:r w:rsidR="00E03485" w:rsidRPr="00B02E94">
        <w:rPr>
          <w:rFonts w:ascii="Arial" w:hAnsi="Arial" w:cs="Arial"/>
          <w:sz w:val="16"/>
          <w:szCs w:val="16"/>
        </w:rPr>
        <w:t>CBRT</w:t>
      </w:r>
      <w:r w:rsidRPr="00B02E94">
        <w:rPr>
          <w:rFonts w:ascii="Arial" w:hAnsi="Arial" w:cs="Arial"/>
          <w:sz w:val="16"/>
          <w:szCs w:val="16"/>
        </w:rPr>
        <w:t>, T</w:t>
      </w:r>
      <w:r w:rsidR="00E03485" w:rsidRPr="00B02E94">
        <w:rPr>
          <w:rFonts w:ascii="Arial" w:hAnsi="Arial" w:cs="Arial"/>
          <w:sz w:val="16"/>
          <w:szCs w:val="16"/>
        </w:rPr>
        <w:t>urkStat</w:t>
      </w:r>
      <w:r w:rsidR="005B2CF3" w:rsidRPr="00B02E94">
        <w:rPr>
          <w:rFonts w:ascii="Arial" w:hAnsi="Arial" w:cs="Arial"/>
          <w:sz w:val="16"/>
          <w:szCs w:val="16"/>
        </w:rPr>
        <w:t>,</w:t>
      </w:r>
      <w:r w:rsidRPr="00B02E94">
        <w:rPr>
          <w:rFonts w:ascii="Arial" w:hAnsi="Arial" w:cs="Arial"/>
          <w:sz w:val="16"/>
          <w:szCs w:val="16"/>
        </w:rPr>
        <w:t xml:space="preserve"> Betam.</w:t>
      </w:r>
    </w:p>
    <w:p w:rsidR="00042C84" w:rsidRPr="00B320C7" w:rsidRDefault="00042C84" w:rsidP="00D0799D">
      <w:pPr>
        <w:spacing w:line="360" w:lineRule="auto"/>
        <w:ind w:right="42"/>
        <w:jc w:val="both"/>
        <w:rPr>
          <w:rFonts w:ascii="Arial" w:hAnsi="Arial" w:cs="Arial"/>
          <w:b/>
          <w:sz w:val="20"/>
          <w:szCs w:val="20"/>
        </w:rPr>
      </w:pPr>
    </w:p>
    <w:p w:rsidR="00042C84" w:rsidRDefault="00042C84" w:rsidP="00D0799D">
      <w:pPr>
        <w:spacing w:line="360" w:lineRule="auto"/>
        <w:ind w:right="42"/>
        <w:jc w:val="both"/>
        <w:rPr>
          <w:rFonts w:ascii="Arial" w:hAnsi="Arial" w:cs="Arial"/>
          <w:b/>
          <w:sz w:val="20"/>
          <w:szCs w:val="20"/>
        </w:rPr>
      </w:pPr>
    </w:p>
    <w:p w:rsidR="00B02E94" w:rsidRPr="00B320C7" w:rsidRDefault="00B02E94" w:rsidP="00D0799D">
      <w:pPr>
        <w:spacing w:line="360" w:lineRule="auto"/>
        <w:ind w:right="42"/>
        <w:jc w:val="both"/>
        <w:rPr>
          <w:rFonts w:ascii="Arial" w:hAnsi="Arial" w:cs="Arial"/>
          <w:b/>
          <w:sz w:val="20"/>
          <w:szCs w:val="20"/>
        </w:rPr>
      </w:pPr>
    </w:p>
    <w:p w:rsidR="00042C84" w:rsidRPr="00B320C7" w:rsidRDefault="00042C84" w:rsidP="00D0799D">
      <w:pPr>
        <w:spacing w:line="360" w:lineRule="auto"/>
        <w:ind w:right="42"/>
        <w:jc w:val="both"/>
        <w:rPr>
          <w:rFonts w:ascii="Arial" w:hAnsi="Arial" w:cs="Arial"/>
          <w:b/>
          <w:sz w:val="20"/>
          <w:szCs w:val="20"/>
        </w:rPr>
      </w:pPr>
    </w:p>
    <w:p w:rsidR="0087056B" w:rsidRPr="00B320C7" w:rsidRDefault="0087056B" w:rsidP="00D0799D">
      <w:pPr>
        <w:spacing w:line="360" w:lineRule="auto"/>
        <w:ind w:right="42"/>
        <w:jc w:val="both"/>
        <w:rPr>
          <w:rFonts w:ascii="Arial" w:hAnsi="Arial" w:cs="Arial"/>
          <w:b/>
          <w:sz w:val="20"/>
          <w:szCs w:val="20"/>
        </w:rPr>
      </w:pPr>
    </w:p>
    <w:p w:rsidR="001E7720" w:rsidRPr="00B320C7" w:rsidRDefault="00344070" w:rsidP="00D0799D">
      <w:pPr>
        <w:spacing w:line="360" w:lineRule="auto"/>
        <w:ind w:right="42"/>
        <w:jc w:val="both"/>
        <w:rPr>
          <w:rFonts w:ascii="Arial" w:hAnsi="Arial" w:cs="Arial"/>
          <w:b/>
          <w:sz w:val="20"/>
          <w:szCs w:val="20"/>
        </w:rPr>
      </w:pPr>
      <w:r w:rsidRPr="00B320C7">
        <w:rPr>
          <w:rFonts w:ascii="Arial" w:hAnsi="Arial" w:cs="Arial"/>
          <w:b/>
          <w:sz w:val="20"/>
          <w:szCs w:val="20"/>
        </w:rPr>
        <w:lastRenderedPageBreak/>
        <w:t>Figure</w:t>
      </w:r>
      <w:r w:rsidR="00C30DC1" w:rsidRPr="00B320C7">
        <w:rPr>
          <w:rFonts w:ascii="Arial" w:hAnsi="Arial" w:cs="Arial"/>
          <w:b/>
          <w:sz w:val="20"/>
          <w:szCs w:val="20"/>
        </w:rPr>
        <w:t xml:space="preserve"> 5</w:t>
      </w:r>
      <w:r w:rsidR="00451918">
        <w:rPr>
          <w:rFonts w:ascii="Arial" w:hAnsi="Arial" w:cs="Arial"/>
          <w:b/>
          <w:sz w:val="20"/>
          <w:szCs w:val="20"/>
        </w:rPr>
        <w:t>:</w:t>
      </w:r>
      <w:r w:rsidR="005B2CF3">
        <w:rPr>
          <w:rFonts w:ascii="Arial" w:hAnsi="Arial" w:cs="Arial"/>
          <w:b/>
          <w:sz w:val="20"/>
          <w:szCs w:val="20"/>
        </w:rPr>
        <w:t xml:space="preserve"> </w:t>
      </w:r>
      <w:r w:rsidR="00AC630B" w:rsidRPr="00B320C7">
        <w:rPr>
          <w:rFonts w:ascii="Arial" w:hAnsi="Arial" w:cs="Arial"/>
          <w:b/>
          <w:sz w:val="20"/>
          <w:szCs w:val="20"/>
        </w:rPr>
        <w:t>Monthly changes of manufacturing industry exports</w:t>
      </w:r>
      <w:r w:rsidR="008C6E50" w:rsidRPr="00B320C7">
        <w:rPr>
          <w:rFonts w:ascii="Arial" w:hAnsi="Arial" w:cs="Arial"/>
          <w:b/>
          <w:sz w:val="20"/>
          <w:szCs w:val="20"/>
        </w:rPr>
        <w:t xml:space="preserve"> (</w:t>
      </w:r>
      <w:r w:rsidRPr="00B320C7">
        <w:rPr>
          <w:rFonts w:ascii="Arial" w:hAnsi="Arial" w:cs="Arial"/>
          <w:b/>
          <w:sz w:val="20"/>
          <w:szCs w:val="20"/>
        </w:rPr>
        <w:t>sa</w:t>
      </w:r>
      <w:r w:rsidR="008C6E50" w:rsidRPr="00B320C7">
        <w:rPr>
          <w:rFonts w:ascii="Arial" w:hAnsi="Arial" w:cs="Arial"/>
          <w:b/>
          <w:sz w:val="20"/>
          <w:szCs w:val="20"/>
        </w:rPr>
        <w:t>)</w:t>
      </w:r>
    </w:p>
    <w:p w:rsidR="001F707E" w:rsidRPr="00B320C7" w:rsidRDefault="0031587F" w:rsidP="00D0799D">
      <w:pPr>
        <w:spacing w:line="360" w:lineRule="auto"/>
        <w:ind w:right="42"/>
        <w:jc w:val="both"/>
        <w:rPr>
          <w:rFonts w:ascii="Arial" w:hAnsi="Arial" w:cs="Arial"/>
          <w:sz w:val="20"/>
          <w:szCs w:val="20"/>
        </w:rPr>
      </w:pPr>
      <w:r w:rsidRPr="0031587F">
        <w:rPr>
          <w:noProof/>
          <w:szCs w:val="20"/>
          <w:lang w:val="tr-TR"/>
        </w:rPr>
        <w:drawing>
          <wp:inline distT="0" distB="0" distL="0" distR="0">
            <wp:extent cx="5760720" cy="6282558"/>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760720" cy="6282558"/>
                    </a:xfrm>
                    <a:prstGeom prst="rect">
                      <a:avLst/>
                    </a:prstGeom>
                    <a:noFill/>
                    <a:ln w="9525">
                      <a:noFill/>
                      <a:miter lim="800000"/>
                      <a:headEnd/>
                      <a:tailEnd/>
                    </a:ln>
                  </pic:spPr>
                </pic:pic>
              </a:graphicData>
            </a:graphic>
          </wp:inline>
        </w:drawing>
      </w:r>
    </w:p>
    <w:p w:rsidR="008C6E50" w:rsidRPr="00B320C7" w:rsidRDefault="00AC630B" w:rsidP="00D0799D">
      <w:pPr>
        <w:spacing w:line="360" w:lineRule="auto"/>
        <w:ind w:right="42"/>
        <w:jc w:val="both"/>
        <w:rPr>
          <w:rFonts w:ascii="Arial" w:hAnsi="Arial" w:cs="Arial"/>
          <w:sz w:val="16"/>
          <w:szCs w:val="16"/>
        </w:rPr>
      </w:pPr>
      <w:r w:rsidRPr="00B320C7">
        <w:rPr>
          <w:rFonts w:ascii="Arial" w:hAnsi="Arial" w:cs="Arial"/>
          <w:sz w:val="16"/>
          <w:szCs w:val="16"/>
        </w:rPr>
        <w:t>Source: TurkStat</w:t>
      </w:r>
      <w:r w:rsidR="005B2CF3">
        <w:rPr>
          <w:rFonts w:ascii="Arial" w:hAnsi="Arial" w:cs="Arial"/>
          <w:sz w:val="16"/>
          <w:szCs w:val="16"/>
        </w:rPr>
        <w:t xml:space="preserve">, </w:t>
      </w:r>
      <w:r w:rsidR="008C6E50" w:rsidRPr="00B320C7">
        <w:rPr>
          <w:rFonts w:ascii="Arial" w:hAnsi="Arial" w:cs="Arial"/>
          <w:sz w:val="16"/>
          <w:szCs w:val="16"/>
        </w:rPr>
        <w:t>Betam</w:t>
      </w:r>
      <w:r w:rsidR="00EF2A9C" w:rsidRPr="00B320C7">
        <w:rPr>
          <w:rFonts w:ascii="Arial" w:hAnsi="Arial" w:cs="Arial"/>
          <w:sz w:val="16"/>
          <w:szCs w:val="16"/>
        </w:rPr>
        <w:t>.</w:t>
      </w:r>
    </w:p>
    <w:p w:rsidR="009B43D6" w:rsidRPr="00B320C7" w:rsidRDefault="009B43D6" w:rsidP="001E4BF5">
      <w:pPr>
        <w:spacing w:line="360" w:lineRule="auto"/>
        <w:ind w:left="-360" w:right="42"/>
        <w:jc w:val="both"/>
        <w:rPr>
          <w:sz w:val="22"/>
          <w:szCs w:val="22"/>
        </w:rPr>
      </w:pPr>
    </w:p>
    <w:p w:rsidR="00451FEA" w:rsidRPr="00B320C7" w:rsidRDefault="00451FEA" w:rsidP="001E4BF5">
      <w:pPr>
        <w:spacing w:line="360" w:lineRule="auto"/>
        <w:ind w:left="-360" w:right="42"/>
        <w:jc w:val="both"/>
        <w:rPr>
          <w:sz w:val="22"/>
          <w:szCs w:val="22"/>
        </w:rPr>
      </w:pPr>
    </w:p>
    <w:p w:rsidR="00451FEA" w:rsidRPr="00B320C7" w:rsidRDefault="00451FEA" w:rsidP="001E4BF5">
      <w:pPr>
        <w:spacing w:line="360" w:lineRule="auto"/>
        <w:ind w:left="-360" w:right="42"/>
        <w:jc w:val="both"/>
        <w:rPr>
          <w:sz w:val="22"/>
          <w:szCs w:val="22"/>
        </w:rPr>
      </w:pPr>
    </w:p>
    <w:p w:rsidR="00451FEA" w:rsidRPr="00B320C7" w:rsidRDefault="00451FEA" w:rsidP="001E4BF5">
      <w:pPr>
        <w:spacing w:line="360" w:lineRule="auto"/>
        <w:ind w:left="-360" w:right="42"/>
        <w:jc w:val="both"/>
        <w:rPr>
          <w:sz w:val="22"/>
          <w:szCs w:val="22"/>
        </w:rPr>
      </w:pPr>
    </w:p>
    <w:p w:rsidR="00451FEA" w:rsidRPr="00B320C7" w:rsidRDefault="00451FEA" w:rsidP="001E4BF5">
      <w:pPr>
        <w:spacing w:line="360" w:lineRule="auto"/>
        <w:ind w:left="-360" w:right="42"/>
        <w:jc w:val="both"/>
        <w:rPr>
          <w:sz w:val="22"/>
          <w:szCs w:val="22"/>
        </w:rPr>
      </w:pPr>
    </w:p>
    <w:p w:rsidR="00451FEA" w:rsidRPr="00B320C7" w:rsidRDefault="00451FEA" w:rsidP="001E4BF5">
      <w:pPr>
        <w:spacing w:line="360" w:lineRule="auto"/>
        <w:ind w:left="-360" w:right="42"/>
        <w:jc w:val="both"/>
        <w:rPr>
          <w:sz w:val="22"/>
          <w:szCs w:val="22"/>
        </w:rPr>
      </w:pPr>
    </w:p>
    <w:p w:rsidR="00451FEA" w:rsidRPr="00B320C7" w:rsidRDefault="00451FEA" w:rsidP="001E4BF5">
      <w:pPr>
        <w:spacing w:line="360" w:lineRule="auto"/>
        <w:ind w:left="-360" w:right="42"/>
        <w:jc w:val="both"/>
        <w:rPr>
          <w:sz w:val="22"/>
          <w:szCs w:val="22"/>
        </w:rPr>
      </w:pPr>
    </w:p>
    <w:p w:rsidR="009B43D6" w:rsidRPr="00B320C7" w:rsidRDefault="009B43D6" w:rsidP="00D63012">
      <w:pPr>
        <w:spacing w:line="360" w:lineRule="auto"/>
        <w:ind w:right="42"/>
        <w:jc w:val="both"/>
        <w:rPr>
          <w:sz w:val="22"/>
          <w:szCs w:val="22"/>
        </w:rPr>
      </w:pPr>
    </w:p>
    <w:p w:rsidR="00B677BF" w:rsidRPr="00B320C7" w:rsidRDefault="00B677BF" w:rsidP="001F707E">
      <w:pPr>
        <w:spacing w:line="360" w:lineRule="auto"/>
        <w:ind w:right="42"/>
        <w:jc w:val="both"/>
        <w:rPr>
          <w:sz w:val="22"/>
          <w:szCs w:val="22"/>
        </w:rPr>
      </w:pPr>
    </w:p>
    <w:sectPr w:rsidR="00B677BF" w:rsidRPr="00B320C7" w:rsidSect="001E772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BA0" w:rsidRDefault="00686BA0">
      <w:r>
        <w:separator/>
      </w:r>
    </w:p>
  </w:endnote>
  <w:endnote w:type="continuationSeparator" w:id="1">
    <w:p w:rsidR="00686BA0" w:rsidRDefault="00686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BA0" w:rsidRDefault="00686BA0">
      <w:r>
        <w:separator/>
      </w:r>
    </w:p>
  </w:footnote>
  <w:footnote w:type="continuationSeparator" w:id="1">
    <w:p w:rsidR="00686BA0" w:rsidRDefault="00686BA0">
      <w:r>
        <w:continuationSeparator/>
      </w:r>
    </w:p>
  </w:footnote>
  <w:footnote w:id="2">
    <w:p w:rsidR="0022179E" w:rsidRPr="0022179E" w:rsidRDefault="0022179E" w:rsidP="0022179E">
      <w:pPr>
        <w:pStyle w:val="DipnotMetni"/>
        <w:ind w:left="-360"/>
        <w:jc w:val="both"/>
        <w:rPr>
          <w:lang w:val="tr-TR"/>
        </w:rPr>
      </w:pPr>
      <w:r>
        <w:rPr>
          <w:rStyle w:val="DipnotBavurusu"/>
        </w:rPr>
        <w:footnoteRef/>
      </w:r>
      <w:r>
        <w:t xml:space="preserve"> </w:t>
      </w:r>
      <w:r w:rsidRPr="0022179E">
        <w:rPr>
          <w:sz w:val="18"/>
          <w:szCs w:val="18"/>
          <w:lang w:val="tr-TR"/>
        </w:rPr>
        <w:t>This report was written before the revision and release of January data which shows a better outlook for the fourth quarter. Our analysis and forecasts will be updated later in March.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14"/>
  <w:hyphenationZone w:val="425"/>
  <w:characterSpacingControl w:val="doNotCompress"/>
  <w:footnotePr>
    <w:footnote w:id="0"/>
    <w:footnote w:id="1"/>
  </w:footnotePr>
  <w:endnotePr>
    <w:endnote w:id="0"/>
    <w:endnote w:id="1"/>
  </w:endnotePr>
  <w:compat/>
  <w:rsids>
    <w:rsidRoot w:val="00357ECC"/>
    <w:rsid w:val="000003F0"/>
    <w:rsid w:val="00001050"/>
    <w:rsid w:val="00003567"/>
    <w:rsid w:val="00003E34"/>
    <w:rsid w:val="0000434B"/>
    <w:rsid w:val="00004745"/>
    <w:rsid w:val="00010DD1"/>
    <w:rsid w:val="00013406"/>
    <w:rsid w:val="00017F2E"/>
    <w:rsid w:val="00024559"/>
    <w:rsid w:val="00024B55"/>
    <w:rsid w:val="00031B4E"/>
    <w:rsid w:val="00034421"/>
    <w:rsid w:val="00037CE9"/>
    <w:rsid w:val="00041479"/>
    <w:rsid w:val="00042C84"/>
    <w:rsid w:val="00047B99"/>
    <w:rsid w:val="00050DCF"/>
    <w:rsid w:val="00051CD0"/>
    <w:rsid w:val="00055814"/>
    <w:rsid w:val="00055A3E"/>
    <w:rsid w:val="000625E8"/>
    <w:rsid w:val="00063758"/>
    <w:rsid w:val="00065B3C"/>
    <w:rsid w:val="00067DF6"/>
    <w:rsid w:val="000715CA"/>
    <w:rsid w:val="000717B5"/>
    <w:rsid w:val="000743ED"/>
    <w:rsid w:val="0007515D"/>
    <w:rsid w:val="000820D2"/>
    <w:rsid w:val="0008367E"/>
    <w:rsid w:val="00084ED0"/>
    <w:rsid w:val="00086F46"/>
    <w:rsid w:val="00091D4B"/>
    <w:rsid w:val="00097481"/>
    <w:rsid w:val="000A1E16"/>
    <w:rsid w:val="000A383B"/>
    <w:rsid w:val="000A3D92"/>
    <w:rsid w:val="000A6429"/>
    <w:rsid w:val="000A701D"/>
    <w:rsid w:val="000B0553"/>
    <w:rsid w:val="000B669B"/>
    <w:rsid w:val="000C3022"/>
    <w:rsid w:val="000C5B7E"/>
    <w:rsid w:val="000D029B"/>
    <w:rsid w:val="000D0DA7"/>
    <w:rsid w:val="000D6420"/>
    <w:rsid w:val="000D7F65"/>
    <w:rsid w:val="000E10A3"/>
    <w:rsid w:val="000E4231"/>
    <w:rsid w:val="000E4C57"/>
    <w:rsid w:val="000F219F"/>
    <w:rsid w:val="000F3017"/>
    <w:rsid w:val="000F396D"/>
    <w:rsid w:val="000F4941"/>
    <w:rsid w:val="000F68F9"/>
    <w:rsid w:val="000F6D02"/>
    <w:rsid w:val="00100750"/>
    <w:rsid w:val="00102FC6"/>
    <w:rsid w:val="00106127"/>
    <w:rsid w:val="001105B2"/>
    <w:rsid w:val="001116C3"/>
    <w:rsid w:val="00114BC7"/>
    <w:rsid w:val="00124929"/>
    <w:rsid w:val="00131702"/>
    <w:rsid w:val="00133054"/>
    <w:rsid w:val="00133571"/>
    <w:rsid w:val="001357C1"/>
    <w:rsid w:val="00135FEE"/>
    <w:rsid w:val="00137054"/>
    <w:rsid w:val="00137F02"/>
    <w:rsid w:val="00141B93"/>
    <w:rsid w:val="00143828"/>
    <w:rsid w:val="0015045A"/>
    <w:rsid w:val="00150B84"/>
    <w:rsid w:val="00154DC3"/>
    <w:rsid w:val="00157DC2"/>
    <w:rsid w:val="00163E33"/>
    <w:rsid w:val="001648A8"/>
    <w:rsid w:val="001661B0"/>
    <w:rsid w:val="00166FE5"/>
    <w:rsid w:val="00167408"/>
    <w:rsid w:val="00167D69"/>
    <w:rsid w:val="00170085"/>
    <w:rsid w:val="00170DE7"/>
    <w:rsid w:val="00177F4E"/>
    <w:rsid w:val="00177FE3"/>
    <w:rsid w:val="0019538C"/>
    <w:rsid w:val="00195EC6"/>
    <w:rsid w:val="00197ACB"/>
    <w:rsid w:val="001A0237"/>
    <w:rsid w:val="001A2051"/>
    <w:rsid w:val="001A3CDC"/>
    <w:rsid w:val="001A787F"/>
    <w:rsid w:val="001B0683"/>
    <w:rsid w:val="001B0861"/>
    <w:rsid w:val="001B1CFE"/>
    <w:rsid w:val="001B34B5"/>
    <w:rsid w:val="001B6256"/>
    <w:rsid w:val="001B6836"/>
    <w:rsid w:val="001B6AFA"/>
    <w:rsid w:val="001C457D"/>
    <w:rsid w:val="001C667E"/>
    <w:rsid w:val="001D09B1"/>
    <w:rsid w:val="001D11F7"/>
    <w:rsid w:val="001D1F1B"/>
    <w:rsid w:val="001D3C27"/>
    <w:rsid w:val="001D478F"/>
    <w:rsid w:val="001D4B8B"/>
    <w:rsid w:val="001E0274"/>
    <w:rsid w:val="001E192B"/>
    <w:rsid w:val="001E4122"/>
    <w:rsid w:val="001E4BF5"/>
    <w:rsid w:val="001E7720"/>
    <w:rsid w:val="001E7DE1"/>
    <w:rsid w:val="001F1052"/>
    <w:rsid w:val="001F1361"/>
    <w:rsid w:val="001F275D"/>
    <w:rsid w:val="001F4CFB"/>
    <w:rsid w:val="001F5435"/>
    <w:rsid w:val="001F6E7D"/>
    <w:rsid w:val="001F707E"/>
    <w:rsid w:val="001F7216"/>
    <w:rsid w:val="0020115E"/>
    <w:rsid w:val="0020184F"/>
    <w:rsid w:val="00203CD9"/>
    <w:rsid w:val="00204364"/>
    <w:rsid w:val="00207185"/>
    <w:rsid w:val="00214A6C"/>
    <w:rsid w:val="002151FC"/>
    <w:rsid w:val="002166A1"/>
    <w:rsid w:val="002176C5"/>
    <w:rsid w:val="0022179E"/>
    <w:rsid w:val="002220B5"/>
    <w:rsid w:val="00225215"/>
    <w:rsid w:val="00230A81"/>
    <w:rsid w:val="00236A19"/>
    <w:rsid w:val="00236F07"/>
    <w:rsid w:val="002451C2"/>
    <w:rsid w:val="00245E19"/>
    <w:rsid w:val="0025445E"/>
    <w:rsid w:val="002578C1"/>
    <w:rsid w:val="00260693"/>
    <w:rsid w:val="002639C0"/>
    <w:rsid w:val="00264000"/>
    <w:rsid w:val="00264FCA"/>
    <w:rsid w:val="002663F7"/>
    <w:rsid w:val="00271168"/>
    <w:rsid w:val="00272C27"/>
    <w:rsid w:val="002751F5"/>
    <w:rsid w:val="0027608D"/>
    <w:rsid w:val="00283EE6"/>
    <w:rsid w:val="00287ACE"/>
    <w:rsid w:val="002902DE"/>
    <w:rsid w:val="00293BAB"/>
    <w:rsid w:val="002A27C0"/>
    <w:rsid w:val="002A5E74"/>
    <w:rsid w:val="002A66ED"/>
    <w:rsid w:val="002B015D"/>
    <w:rsid w:val="002B1FC3"/>
    <w:rsid w:val="002B3644"/>
    <w:rsid w:val="002B460F"/>
    <w:rsid w:val="002B4D99"/>
    <w:rsid w:val="002C0475"/>
    <w:rsid w:val="002C0C55"/>
    <w:rsid w:val="002C1DEF"/>
    <w:rsid w:val="002C28A4"/>
    <w:rsid w:val="002C391B"/>
    <w:rsid w:val="002C3E54"/>
    <w:rsid w:val="002C6F7E"/>
    <w:rsid w:val="002D7743"/>
    <w:rsid w:val="002E1EA4"/>
    <w:rsid w:val="002E5892"/>
    <w:rsid w:val="002E5D1D"/>
    <w:rsid w:val="002E6BB4"/>
    <w:rsid w:val="002E6BD6"/>
    <w:rsid w:val="002F0BDE"/>
    <w:rsid w:val="002F1C42"/>
    <w:rsid w:val="002F2CD1"/>
    <w:rsid w:val="002F30D3"/>
    <w:rsid w:val="002F30F9"/>
    <w:rsid w:val="002F5134"/>
    <w:rsid w:val="00303166"/>
    <w:rsid w:val="00304BD3"/>
    <w:rsid w:val="00306FA7"/>
    <w:rsid w:val="0031043B"/>
    <w:rsid w:val="0031201B"/>
    <w:rsid w:val="0031360B"/>
    <w:rsid w:val="003142BA"/>
    <w:rsid w:val="0031587F"/>
    <w:rsid w:val="00316CE9"/>
    <w:rsid w:val="00316DB4"/>
    <w:rsid w:val="00317125"/>
    <w:rsid w:val="00321318"/>
    <w:rsid w:val="00322134"/>
    <w:rsid w:val="003223B0"/>
    <w:rsid w:val="00322EBE"/>
    <w:rsid w:val="003239F8"/>
    <w:rsid w:val="003269F7"/>
    <w:rsid w:val="0033349F"/>
    <w:rsid w:val="00333B98"/>
    <w:rsid w:val="003345C8"/>
    <w:rsid w:val="00337824"/>
    <w:rsid w:val="00337AE5"/>
    <w:rsid w:val="003410B9"/>
    <w:rsid w:val="00341195"/>
    <w:rsid w:val="00344070"/>
    <w:rsid w:val="00345308"/>
    <w:rsid w:val="0034543C"/>
    <w:rsid w:val="00345CDD"/>
    <w:rsid w:val="00347145"/>
    <w:rsid w:val="003474D9"/>
    <w:rsid w:val="00353B31"/>
    <w:rsid w:val="003552A4"/>
    <w:rsid w:val="00356765"/>
    <w:rsid w:val="00357ECC"/>
    <w:rsid w:val="00360133"/>
    <w:rsid w:val="00361D56"/>
    <w:rsid w:val="00362436"/>
    <w:rsid w:val="00363520"/>
    <w:rsid w:val="00367DBD"/>
    <w:rsid w:val="003729BF"/>
    <w:rsid w:val="00376AC1"/>
    <w:rsid w:val="00381853"/>
    <w:rsid w:val="00383A6E"/>
    <w:rsid w:val="00384212"/>
    <w:rsid w:val="0038488E"/>
    <w:rsid w:val="003866F7"/>
    <w:rsid w:val="00386866"/>
    <w:rsid w:val="00394358"/>
    <w:rsid w:val="00395C47"/>
    <w:rsid w:val="00396E44"/>
    <w:rsid w:val="00397518"/>
    <w:rsid w:val="003A048F"/>
    <w:rsid w:val="003A219A"/>
    <w:rsid w:val="003A2B60"/>
    <w:rsid w:val="003A31B2"/>
    <w:rsid w:val="003A3575"/>
    <w:rsid w:val="003A5AD9"/>
    <w:rsid w:val="003B0F7E"/>
    <w:rsid w:val="003B109E"/>
    <w:rsid w:val="003B199A"/>
    <w:rsid w:val="003B1C3A"/>
    <w:rsid w:val="003B2454"/>
    <w:rsid w:val="003B2720"/>
    <w:rsid w:val="003B472B"/>
    <w:rsid w:val="003B5209"/>
    <w:rsid w:val="003B76F5"/>
    <w:rsid w:val="003B797F"/>
    <w:rsid w:val="003C5112"/>
    <w:rsid w:val="003C640D"/>
    <w:rsid w:val="003D0BE4"/>
    <w:rsid w:val="003D142F"/>
    <w:rsid w:val="003D7E7F"/>
    <w:rsid w:val="003E5C49"/>
    <w:rsid w:val="003F347E"/>
    <w:rsid w:val="00402158"/>
    <w:rsid w:val="00405F8D"/>
    <w:rsid w:val="00406615"/>
    <w:rsid w:val="004149F4"/>
    <w:rsid w:val="00422832"/>
    <w:rsid w:val="00422F8A"/>
    <w:rsid w:val="00437C99"/>
    <w:rsid w:val="004475F5"/>
    <w:rsid w:val="00451918"/>
    <w:rsid w:val="00451FEA"/>
    <w:rsid w:val="00452B69"/>
    <w:rsid w:val="00455777"/>
    <w:rsid w:val="00463BBF"/>
    <w:rsid w:val="00467ACF"/>
    <w:rsid w:val="004716A6"/>
    <w:rsid w:val="004814F0"/>
    <w:rsid w:val="00485884"/>
    <w:rsid w:val="00487146"/>
    <w:rsid w:val="00490FC2"/>
    <w:rsid w:val="0049613B"/>
    <w:rsid w:val="004A4DD6"/>
    <w:rsid w:val="004A6333"/>
    <w:rsid w:val="004A7343"/>
    <w:rsid w:val="004A7FE6"/>
    <w:rsid w:val="004B358D"/>
    <w:rsid w:val="004B7C7A"/>
    <w:rsid w:val="004C6A82"/>
    <w:rsid w:val="004C7FD0"/>
    <w:rsid w:val="004D0590"/>
    <w:rsid w:val="004D60DE"/>
    <w:rsid w:val="004D67C5"/>
    <w:rsid w:val="004D7A57"/>
    <w:rsid w:val="004E2D21"/>
    <w:rsid w:val="004E40D1"/>
    <w:rsid w:val="004E4961"/>
    <w:rsid w:val="004E4C5E"/>
    <w:rsid w:val="004E5779"/>
    <w:rsid w:val="004E7CBD"/>
    <w:rsid w:val="004F08D3"/>
    <w:rsid w:val="004F1286"/>
    <w:rsid w:val="004F1E07"/>
    <w:rsid w:val="0050049B"/>
    <w:rsid w:val="00500C2E"/>
    <w:rsid w:val="00502586"/>
    <w:rsid w:val="00502793"/>
    <w:rsid w:val="00506264"/>
    <w:rsid w:val="00515398"/>
    <w:rsid w:val="005155AC"/>
    <w:rsid w:val="0051750C"/>
    <w:rsid w:val="00522ED0"/>
    <w:rsid w:val="00523C58"/>
    <w:rsid w:val="00536C48"/>
    <w:rsid w:val="00542728"/>
    <w:rsid w:val="00542834"/>
    <w:rsid w:val="00543E56"/>
    <w:rsid w:val="00544439"/>
    <w:rsid w:val="00546373"/>
    <w:rsid w:val="00551E19"/>
    <w:rsid w:val="00552C4F"/>
    <w:rsid w:val="00552D5D"/>
    <w:rsid w:val="00555A4D"/>
    <w:rsid w:val="00556328"/>
    <w:rsid w:val="00556F7E"/>
    <w:rsid w:val="005631CE"/>
    <w:rsid w:val="00567E14"/>
    <w:rsid w:val="00571B47"/>
    <w:rsid w:val="005722AE"/>
    <w:rsid w:val="00573338"/>
    <w:rsid w:val="005758D1"/>
    <w:rsid w:val="00585800"/>
    <w:rsid w:val="005871D8"/>
    <w:rsid w:val="0058799A"/>
    <w:rsid w:val="00592676"/>
    <w:rsid w:val="00593B80"/>
    <w:rsid w:val="005A03EE"/>
    <w:rsid w:val="005A06D3"/>
    <w:rsid w:val="005A0AF8"/>
    <w:rsid w:val="005A2B2E"/>
    <w:rsid w:val="005A3159"/>
    <w:rsid w:val="005A5144"/>
    <w:rsid w:val="005B19CA"/>
    <w:rsid w:val="005B2CF3"/>
    <w:rsid w:val="005B5D93"/>
    <w:rsid w:val="005B63A2"/>
    <w:rsid w:val="005C42DE"/>
    <w:rsid w:val="005C4CC3"/>
    <w:rsid w:val="005C571D"/>
    <w:rsid w:val="005C59F0"/>
    <w:rsid w:val="005C7783"/>
    <w:rsid w:val="005D451C"/>
    <w:rsid w:val="005D7E62"/>
    <w:rsid w:val="005E0781"/>
    <w:rsid w:val="005E0E66"/>
    <w:rsid w:val="005E2983"/>
    <w:rsid w:val="005E45BB"/>
    <w:rsid w:val="005F1C44"/>
    <w:rsid w:val="005F2A5B"/>
    <w:rsid w:val="005F2ECA"/>
    <w:rsid w:val="005F31BE"/>
    <w:rsid w:val="005F62CB"/>
    <w:rsid w:val="005F79D9"/>
    <w:rsid w:val="00600A02"/>
    <w:rsid w:val="00602EB0"/>
    <w:rsid w:val="00610482"/>
    <w:rsid w:val="00613B72"/>
    <w:rsid w:val="00620E28"/>
    <w:rsid w:val="006221AA"/>
    <w:rsid w:val="00623B31"/>
    <w:rsid w:val="006274E1"/>
    <w:rsid w:val="0062776E"/>
    <w:rsid w:val="00631163"/>
    <w:rsid w:val="00631270"/>
    <w:rsid w:val="00632044"/>
    <w:rsid w:val="006360F2"/>
    <w:rsid w:val="006419AA"/>
    <w:rsid w:val="00644C74"/>
    <w:rsid w:val="006454DC"/>
    <w:rsid w:val="006461CC"/>
    <w:rsid w:val="00656560"/>
    <w:rsid w:val="00657119"/>
    <w:rsid w:val="00662C10"/>
    <w:rsid w:val="00664C1C"/>
    <w:rsid w:val="0066576D"/>
    <w:rsid w:val="00667305"/>
    <w:rsid w:val="006713C0"/>
    <w:rsid w:val="00671CB6"/>
    <w:rsid w:val="00672830"/>
    <w:rsid w:val="00672CA0"/>
    <w:rsid w:val="00682DF3"/>
    <w:rsid w:val="006836A7"/>
    <w:rsid w:val="006837F6"/>
    <w:rsid w:val="00683A24"/>
    <w:rsid w:val="00683B0E"/>
    <w:rsid w:val="00686BA0"/>
    <w:rsid w:val="00691D96"/>
    <w:rsid w:val="0069686F"/>
    <w:rsid w:val="006A292F"/>
    <w:rsid w:val="006A3F76"/>
    <w:rsid w:val="006A507F"/>
    <w:rsid w:val="006B08B4"/>
    <w:rsid w:val="006B1779"/>
    <w:rsid w:val="006B3B9F"/>
    <w:rsid w:val="006B54D7"/>
    <w:rsid w:val="006B60DC"/>
    <w:rsid w:val="006B7B76"/>
    <w:rsid w:val="006C162B"/>
    <w:rsid w:val="006C2BFE"/>
    <w:rsid w:val="006C4642"/>
    <w:rsid w:val="006C6C6F"/>
    <w:rsid w:val="006D13C9"/>
    <w:rsid w:val="006E2D48"/>
    <w:rsid w:val="006F0116"/>
    <w:rsid w:val="006F1A82"/>
    <w:rsid w:val="006F2049"/>
    <w:rsid w:val="006F309B"/>
    <w:rsid w:val="006F6A80"/>
    <w:rsid w:val="007008D1"/>
    <w:rsid w:val="00704765"/>
    <w:rsid w:val="007067F4"/>
    <w:rsid w:val="0071337D"/>
    <w:rsid w:val="00714FBF"/>
    <w:rsid w:val="0071687F"/>
    <w:rsid w:val="00717236"/>
    <w:rsid w:val="00720303"/>
    <w:rsid w:val="0072169E"/>
    <w:rsid w:val="0072379E"/>
    <w:rsid w:val="00726C38"/>
    <w:rsid w:val="007320A1"/>
    <w:rsid w:val="007361F6"/>
    <w:rsid w:val="00736C84"/>
    <w:rsid w:val="007415EE"/>
    <w:rsid w:val="0075074A"/>
    <w:rsid w:val="007533D7"/>
    <w:rsid w:val="0075696F"/>
    <w:rsid w:val="00761F9C"/>
    <w:rsid w:val="007633AD"/>
    <w:rsid w:val="00765414"/>
    <w:rsid w:val="007670E1"/>
    <w:rsid w:val="00770832"/>
    <w:rsid w:val="00770BBA"/>
    <w:rsid w:val="00774EA6"/>
    <w:rsid w:val="0078192F"/>
    <w:rsid w:val="00782D82"/>
    <w:rsid w:val="007834AF"/>
    <w:rsid w:val="0079752F"/>
    <w:rsid w:val="007975F4"/>
    <w:rsid w:val="007A0897"/>
    <w:rsid w:val="007A35F3"/>
    <w:rsid w:val="007A64EE"/>
    <w:rsid w:val="007A6702"/>
    <w:rsid w:val="007B208E"/>
    <w:rsid w:val="007C21C4"/>
    <w:rsid w:val="007C4EAE"/>
    <w:rsid w:val="007C543A"/>
    <w:rsid w:val="007C56C1"/>
    <w:rsid w:val="007D04CC"/>
    <w:rsid w:val="007D08AB"/>
    <w:rsid w:val="007D3176"/>
    <w:rsid w:val="007D4F28"/>
    <w:rsid w:val="007E041E"/>
    <w:rsid w:val="007E16B9"/>
    <w:rsid w:val="007E182F"/>
    <w:rsid w:val="007E3D0F"/>
    <w:rsid w:val="007E51AB"/>
    <w:rsid w:val="007E5E9A"/>
    <w:rsid w:val="007F1E8F"/>
    <w:rsid w:val="007F2156"/>
    <w:rsid w:val="007F50E5"/>
    <w:rsid w:val="00801493"/>
    <w:rsid w:val="0080748E"/>
    <w:rsid w:val="008129C1"/>
    <w:rsid w:val="00814665"/>
    <w:rsid w:val="00814DF4"/>
    <w:rsid w:val="008158D2"/>
    <w:rsid w:val="00817438"/>
    <w:rsid w:val="00817FBF"/>
    <w:rsid w:val="00820714"/>
    <w:rsid w:val="008226C9"/>
    <w:rsid w:val="00831E42"/>
    <w:rsid w:val="00831E59"/>
    <w:rsid w:val="008332DD"/>
    <w:rsid w:val="00833C7C"/>
    <w:rsid w:val="00834691"/>
    <w:rsid w:val="00841898"/>
    <w:rsid w:val="00842EA5"/>
    <w:rsid w:val="00845505"/>
    <w:rsid w:val="00846685"/>
    <w:rsid w:val="00847ADC"/>
    <w:rsid w:val="00851738"/>
    <w:rsid w:val="00852961"/>
    <w:rsid w:val="00852D1A"/>
    <w:rsid w:val="008572C9"/>
    <w:rsid w:val="00861348"/>
    <w:rsid w:val="00861740"/>
    <w:rsid w:val="00862B92"/>
    <w:rsid w:val="0086333C"/>
    <w:rsid w:val="008665DB"/>
    <w:rsid w:val="008672F6"/>
    <w:rsid w:val="0087056B"/>
    <w:rsid w:val="00871E2A"/>
    <w:rsid w:val="008721A8"/>
    <w:rsid w:val="008729A3"/>
    <w:rsid w:val="00872BE1"/>
    <w:rsid w:val="00875229"/>
    <w:rsid w:val="008865B7"/>
    <w:rsid w:val="00887060"/>
    <w:rsid w:val="00892423"/>
    <w:rsid w:val="008954D6"/>
    <w:rsid w:val="00895541"/>
    <w:rsid w:val="00895E6C"/>
    <w:rsid w:val="008A29CB"/>
    <w:rsid w:val="008A38AB"/>
    <w:rsid w:val="008A6C67"/>
    <w:rsid w:val="008B2149"/>
    <w:rsid w:val="008B74EE"/>
    <w:rsid w:val="008C0F43"/>
    <w:rsid w:val="008C14F4"/>
    <w:rsid w:val="008C1509"/>
    <w:rsid w:val="008C17F4"/>
    <w:rsid w:val="008C2826"/>
    <w:rsid w:val="008C38E5"/>
    <w:rsid w:val="008C6E50"/>
    <w:rsid w:val="008D3976"/>
    <w:rsid w:val="008D5D64"/>
    <w:rsid w:val="008E32CB"/>
    <w:rsid w:val="008E63CB"/>
    <w:rsid w:val="008E7436"/>
    <w:rsid w:val="008F391E"/>
    <w:rsid w:val="008F5ED9"/>
    <w:rsid w:val="00900E74"/>
    <w:rsid w:val="0090421E"/>
    <w:rsid w:val="0090604F"/>
    <w:rsid w:val="009125B5"/>
    <w:rsid w:val="009128F9"/>
    <w:rsid w:val="0091302D"/>
    <w:rsid w:val="0091403E"/>
    <w:rsid w:val="0091587A"/>
    <w:rsid w:val="00915CF1"/>
    <w:rsid w:val="00916E57"/>
    <w:rsid w:val="009174AD"/>
    <w:rsid w:val="009178BB"/>
    <w:rsid w:val="00923AE7"/>
    <w:rsid w:val="00924E54"/>
    <w:rsid w:val="009260AC"/>
    <w:rsid w:val="00931B8C"/>
    <w:rsid w:val="00932093"/>
    <w:rsid w:val="00934BE6"/>
    <w:rsid w:val="0093780A"/>
    <w:rsid w:val="00942492"/>
    <w:rsid w:val="009441DB"/>
    <w:rsid w:val="00944AFC"/>
    <w:rsid w:val="00944BC4"/>
    <w:rsid w:val="00953C28"/>
    <w:rsid w:val="00955ABF"/>
    <w:rsid w:val="00964B29"/>
    <w:rsid w:val="009652E9"/>
    <w:rsid w:val="00965AA7"/>
    <w:rsid w:val="00967E92"/>
    <w:rsid w:val="00971D26"/>
    <w:rsid w:val="00973503"/>
    <w:rsid w:val="00973AE1"/>
    <w:rsid w:val="00974030"/>
    <w:rsid w:val="009743FB"/>
    <w:rsid w:val="0098063D"/>
    <w:rsid w:val="00981D6D"/>
    <w:rsid w:val="009848D3"/>
    <w:rsid w:val="00984D79"/>
    <w:rsid w:val="0098721A"/>
    <w:rsid w:val="00990226"/>
    <w:rsid w:val="00992B27"/>
    <w:rsid w:val="00992BC5"/>
    <w:rsid w:val="00993679"/>
    <w:rsid w:val="00995E1B"/>
    <w:rsid w:val="00995F40"/>
    <w:rsid w:val="009A480A"/>
    <w:rsid w:val="009A6149"/>
    <w:rsid w:val="009B2569"/>
    <w:rsid w:val="009B39A4"/>
    <w:rsid w:val="009B43D6"/>
    <w:rsid w:val="009B5407"/>
    <w:rsid w:val="009C2397"/>
    <w:rsid w:val="009C53F9"/>
    <w:rsid w:val="009C59AC"/>
    <w:rsid w:val="009D1323"/>
    <w:rsid w:val="009D3B55"/>
    <w:rsid w:val="009D4079"/>
    <w:rsid w:val="009D4275"/>
    <w:rsid w:val="009D77CC"/>
    <w:rsid w:val="009D7880"/>
    <w:rsid w:val="009E0464"/>
    <w:rsid w:val="009E2A57"/>
    <w:rsid w:val="009E73C4"/>
    <w:rsid w:val="009F0111"/>
    <w:rsid w:val="009F0550"/>
    <w:rsid w:val="009F1B4D"/>
    <w:rsid w:val="009F2088"/>
    <w:rsid w:val="009F29F3"/>
    <w:rsid w:val="009F6583"/>
    <w:rsid w:val="00A0243A"/>
    <w:rsid w:val="00A05DEF"/>
    <w:rsid w:val="00A0725A"/>
    <w:rsid w:val="00A0768E"/>
    <w:rsid w:val="00A11CB3"/>
    <w:rsid w:val="00A1561F"/>
    <w:rsid w:val="00A158E0"/>
    <w:rsid w:val="00A1775E"/>
    <w:rsid w:val="00A208D0"/>
    <w:rsid w:val="00A217FD"/>
    <w:rsid w:val="00A22AF3"/>
    <w:rsid w:val="00A24957"/>
    <w:rsid w:val="00A265E2"/>
    <w:rsid w:val="00A2686F"/>
    <w:rsid w:val="00A32CC6"/>
    <w:rsid w:val="00A3465D"/>
    <w:rsid w:val="00A35FDD"/>
    <w:rsid w:val="00A50B01"/>
    <w:rsid w:val="00A64100"/>
    <w:rsid w:val="00A6642E"/>
    <w:rsid w:val="00A67A86"/>
    <w:rsid w:val="00A704DD"/>
    <w:rsid w:val="00A71B18"/>
    <w:rsid w:val="00A726B4"/>
    <w:rsid w:val="00A74D70"/>
    <w:rsid w:val="00A757FF"/>
    <w:rsid w:val="00A75A46"/>
    <w:rsid w:val="00A80C2F"/>
    <w:rsid w:val="00A82A89"/>
    <w:rsid w:val="00A82F2C"/>
    <w:rsid w:val="00A83CAB"/>
    <w:rsid w:val="00A86049"/>
    <w:rsid w:val="00A878F4"/>
    <w:rsid w:val="00A917AD"/>
    <w:rsid w:val="00A9385F"/>
    <w:rsid w:val="00A93A56"/>
    <w:rsid w:val="00A94086"/>
    <w:rsid w:val="00A9596F"/>
    <w:rsid w:val="00A96EF6"/>
    <w:rsid w:val="00A977CF"/>
    <w:rsid w:val="00AA179B"/>
    <w:rsid w:val="00AA2704"/>
    <w:rsid w:val="00AA2962"/>
    <w:rsid w:val="00AA3845"/>
    <w:rsid w:val="00AA50EA"/>
    <w:rsid w:val="00AA59EF"/>
    <w:rsid w:val="00AA76E6"/>
    <w:rsid w:val="00AB4B5B"/>
    <w:rsid w:val="00AB717C"/>
    <w:rsid w:val="00AB7E39"/>
    <w:rsid w:val="00AC1A14"/>
    <w:rsid w:val="00AC1C97"/>
    <w:rsid w:val="00AC4805"/>
    <w:rsid w:val="00AC630B"/>
    <w:rsid w:val="00AD2AAA"/>
    <w:rsid w:val="00AD4568"/>
    <w:rsid w:val="00AD5A12"/>
    <w:rsid w:val="00AD63AE"/>
    <w:rsid w:val="00AD6D9C"/>
    <w:rsid w:val="00AD6E7B"/>
    <w:rsid w:val="00AD78F5"/>
    <w:rsid w:val="00AE06D6"/>
    <w:rsid w:val="00AE7542"/>
    <w:rsid w:val="00AF0503"/>
    <w:rsid w:val="00AF2D7A"/>
    <w:rsid w:val="00AF34E9"/>
    <w:rsid w:val="00AF501D"/>
    <w:rsid w:val="00AF6051"/>
    <w:rsid w:val="00AF6500"/>
    <w:rsid w:val="00AF76F9"/>
    <w:rsid w:val="00B01B40"/>
    <w:rsid w:val="00B02E94"/>
    <w:rsid w:val="00B062A2"/>
    <w:rsid w:val="00B10F74"/>
    <w:rsid w:val="00B115D5"/>
    <w:rsid w:val="00B1244F"/>
    <w:rsid w:val="00B12FD3"/>
    <w:rsid w:val="00B14F53"/>
    <w:rsid w:val="00B1612F"/>
    <w:rsid w:val="00B169C6"/>
    <w:rsid w:val="00B25C21"/>
    <w:rsid w:val="00B320C7"/>
    <w:rsid w:val="00B34B81"/>
    <w:rsid w:val="00B34C83"/>
    <w:rsid w:val="00B377EE"/>
    <w:rsid w:val="00B37FEB"/>
    <w:rsid w:val="00B42B18"/>
    <w:rsid w:val="00B47161"/>
    <w:rsid w:val="00B510B9"/>
    <w:rsid w:val="00B51DCC"/>
    <w:rsid w:val="00B677BF"/>
    <w:rsid w:val="00B71BC1"/>
    <w:rsid w:val="00B734D3"/>
    <w:rsid w:val="00B73649"/>
    <w:rsid w:val="00B7481B"/>
    <w:rsid w:val="00B7575B"/>
    <w:rsid w:val="00B800C0"/>
    <w:rsid w:val="00B8531E"/>
    <w:rsid w:val="00B869FB"/>
    <w:rsid w:val="00B86CC0"/>
    <w:rsid w:val="00B878CC"/>
    <w:rsid w:val="00B9215F"/>
    <w:rsid w:val="00B95352"/>
    <w:rsid w:val="00B95373"/>
    <w:rsid w:val="00B96E66"/>
    <w:rsid w:val="00B97F6C"/>
    <w:rsid w:val="00BA47FF"/>
    <w:rsid w:val="00BB0877"/>
    <w:rsid w:val="00BB08BD"/>
    <w:rsid w:val="00BB4CA7"/>
    <w:rsid w:val="00BB53AD"/>
    <w:rsid w:val="00BB7CE9"/>
    <w:rsid w:val="00BC17C0"/>
    <w:rsid w:val="00BD0DAF"/>
    <w:rsid w:val="00BD4ADF"/>
    <w:rsid w:val="00BD7514"/>
    <w:rsid w:val="00BE4CDD"/>
    <w:rsid w:val="00BE505A"/>
    <w:rsid w:val="00BE56E0"/>
    <w:rsid w:val="00BE61FB"/>
    <w:rsid w:val="00BF07F5"/>
    <w:rsid w:val="00BF14F1"/>
    <w:rsid w:val="00BF17E5"/>
    <w:rsid w:val="00BF22C5"/>
    <w:rsid w:val="00BF37B8"/>
    <w:rsid w:val="00BF409F"/>
    <w:rsid w:val="00BF5712"/>
    <w:rsid w:val="00BF60D3"/>
    <w:rsid w:val="00BF79CD"/>
    <w:rsid w:val="00C02556"/>
    <w:rsid w:val="00C05D67"/>
    <w:rsid w:val="00C11348"/>
    <w:rsid w:val="00C142EC"/>
    <w:rsid w:val="00C15156"/>
    <w:rsid w:val="00C15A9A"/>
    <w:rsid w:val="00C16CFB"/>
    <w:rsid w:val="00C171D9"/>
    <w:rsid w:val="00C22DC8"/>
    <w:rsid w:val="00C2420F"/>
    <w:rsid w:val="00C25007"/>
    <w:rsid w:val="00C25959"/>
    <w:rsid w:val="00C3029B"/>
    <w:rsid w:val="00C30485"/>
    <w:rsid w:val="00C309DF"/>
    <w:rsid w:val="00C30DC1"/>
    <w:rsid w:val="00C317F7"/>
    <w:rsid w:val="00C32A34"/>
    <w:rsid w:val="00C3674A"/>
    <w:rsid w:val="00C369DA"/>
    <w:rsid w:val="00C37220"/>
    <w:rsid w:val="00C37AB3"/>
    <w:rsid w:val="00C4382B"/>
    <w:rsid w:val="00C43E1F"/>
    <w:rsid w:val="00C44A6C"/>
    <w:rsid w:val="00C45FC0"/>
    <w:rsid w:val="00C54FB9"/>
    <w:rsid w:val="00C56CA3"/>
    <w:rsid w:val="00C56E8D"/>
    <w:rsid w:val="00C60595"/>
    <w:rsid w:val="00C61305"/>
    <w:rsid w:val="00C61472"/>
    <w:rsid w:val="00C62404"/>
    <w:rsid w:val="00C6427A"/>
    <w:rsid w:val="00C6542A"/>
    <w:rsid w:val="00C6608D"/>
    <w:rsid w:val="00C67EFE"/>
    <w:rsid w:val="00C71DD6"/>
    <w:rsid w:val="00C74078"/>
    <w:rsid w:val="00C76273"/>
    <w:rsid w:val="00C80F88"/>
    <w:rsid w:val="00C82107"/>
    <w:rsid w:val="00C8451F"/>
    <w:rsid w:val="00C875DE"/>
    <w:rsid w:val="00C91E59"/>
    <w:rsid w:val="00C944BB"/>
    <w:rsid w:val="00C9569C"/>
    <w:rsid w:val="00CA17D7"/>
    <w:rsid w:val="00CA3FDA"/>
    <w:rsid w:val="00CA6DDE"/>
    <w:rsid w:val="00CB4CC5"/>
    <w:rsid w:val="00CB6431"/>
    <w:rsid w:val="00CB7096"/>
    <w:rsid w:val="00CC23AA"/>
    <w:rsid w:val="00CC26C6"/>
    <w:rsid w:val="00CC41EB"/>
    <w:rsid w:val="00CC5ACD"/>
    <w:rsid w:val="00CD3014"/>
    <w:rsid w:val="00CD3056"/>
    <w:rsid w:val="00CD6716"/>
    <w:rsid w:val="00CE15C2"/>
    <w:rsid w:val="00CE3983"/>
    <w:rsid w:val="00CE6C1E"/>
    <w:rsid w:val="00CE75B1"/>
    <w:rsid w:val="00CF1326"/>
    <w:rsid w:val="00CF3257"/>
    <w:rsid w:val="00CF4040"/>
    <w:rsid w:val="00CF51B2"/>
    <w:rsid w:val="00D002D6"/>
    <w:rsid w:val="00D039D1"/>
    <w:rsid w:val="00D067E1"/>
    <w:rsid w:val="00D0799D"/>
    <w:rsid w:val="00D126AA"/>
    <w:rsid w:val="00D1434F"/>
    <w:rsid w:val="00D15819"/>
    <w:rsid w:val="00D15D49"/>
    <w:rsid w:val="00D271E9"/>
    <w:rsid w:val="00D312DB"/>
    <w:rsid w:val="00D43E2F"/>
    <w:rsid w:val="00D446CF"/>
    <w:rsid w:val="00D509B0"/>
    <w:rsid w:val="00D50D78"/>
    <w:rsid w:val="00D535DB"/>
    <w:rsid w:val="00D55327"/>
    <w:rsid w:val="00D61432"/>
    <w:rsid w:val="00D62A48"/>
    <w:rsid w:val="00D62EB2"/>
    <w:rsid w:val="00D63012"/>
    <w:rsid w:val="00D64E8A"/>
    <w:rsid w:val="00D674E0"/>
    <w:rsid w:val="00D71B1A"/>
    <w:rsid w:val="00D72039"/>
    <w:rsid w:val="00D74A5F"/>
    <w:rsid w:val="00D7539A"/>
    <w:rsid w:val="00D77152"/>
    <w:rsid w:val="00D7792C"/>
    <w:rsid w:val="00D82349"/>
    <w:rsid w:val="00D83206"/>
    <w:rsid w:val="00D83262"/>
    <w:rsid w:val="00D91644"/>
    <w:rsid w:val="00D959C2"/>
    <w:rsid w:val="00D96D24"/>
    <w:rsid w:val="00D97A35"/>
    <w:rsid w:val="00DA40A8"/>
    <w:rsid w:val="00DA6778"/>
    <w:rsid w:val="00DB16F5"/>
    <w:rsid w:val="00DB209F"/>
    <w:rsid w:val="00DB2CA8"/>
    <w:rsid w:val="00DB6B1A"/>
    <w:rsid w:val="00DC0405"/>
    <w:rsid w:val="00DC0504"/>
    <w:rsid w:val="00DC064C"/>
    <w:rsid w:val="00DC1D93"/>
    <w:rsid w:val="00DC3ABC"/>
    <w:rsid w:val="00DC6F7B"/>
    <w:rsid w:val="00DD0F50"/>
    <w:rsid w:val="00DD3C93"/>
    <w:rsid w:val="00DD6027"/>
    <w:rsid w:val="00DE22D8"/>
    <w:rsid w:val="00DE24A1"/>
    <w:rsid w:val="00DF0CD9"/>
    <w:rsid w:val="00DF11EE"/>
    <w:rsid w:val="00DF379E"/>
    <w:rsid w:val="00DF5067"/>
    <w:rsid w:val="00E030DE"/>
    <w:rsid w:val="00E03485"/>
    <w:rsid w:val="00E0426E"/>
    <w:rsid w:val="00E06ADA"/>
    <w:rsid w:val="00E16A20"/>
    <w:rsid w:val="00E1729A"/>
    <w:rsid w:val="00E21A09"/>
    <w:rsid w:val="00E24F8C"/>
    <w:rsid w:val="00E272FC"/>
    <w:rsid w:val="00E401E1"/>
    <w:rsid w:val="00E4542C"/>
    <w:rsid w:val="00E50C36"/>
    <w:rsid w:val="00E54780"/>
    <w:rsid w:val="00E57FF6"/>
    <w:rsid w:val="00E60FC8"/>
    <w:rsid w:val="00E6151B"/>
    <w:rsid w:val="00E63C04"/>
    <w:rsid w:val="00E63FD3"/>
    <w:rsid w:val="00E64197"/>
    <w:rsid w:val="00E64338"/>
    <w:rsid w:val="00E646F1"/>
    <w:rsid w:val="00E651A3"/>
    <w:rsid w:val="00E71111"/>
    <w:rsid w:val="00E74B0A"/>
    <w:rsid w:val="00E75979"/>
    <w:rsid w:val="00E8064F"/>
    <w:rsid w:val="00E80B9E"/>
    <w:rsid w:val="00E80EEC"/>
    <w:rsid w:val="00E81CDD"/>
    <w:rsid w:val="00E823E8"/>
    <w:rsid w:val="00E84728"/>
    <w:rsid w:val="00E91947"/>
    <w:rsid w:val="00E94945"/>
    <w:rsid w:val="00E95FDB"/>
    <w:rsid w:val="00E96583"/>
    <w:rsid w:val="00EA009A"/>
    <w:rsid w:val="00EA057D"/>
    <w:rsid w:val="00EA194C"/>
    <w:rsid w:val="00EA6E74"/>
    <w:rsid w:val="00EB30E8"/>
    <w:rsid w:val="00EB5E9B"/>
    <w:rsid w:val="00EB65F5"/>
    <w:rsid w:val="00EB6BA3"/>
    <w:rsid w:val="00EB7CE3"/>
    <w:rsid w:val="00EC1A1C"/>
    <w:rsid w:val="00EC3360"/>
    <w:rsid w:val="00EC4C96"/>
    <w:rsid w:val="00EC5A13"/>
    <w:rsid w:val="00ED0629"/>
    <w:rsid w:val="00ED3E42"/>
    <w:rsid w:val="00ED55B0"/>
    <w:rsid w:val="00ED7A5F"/>
    <w:rsid w:val="00EE040C"/>
    <w:rsid w:val="00EE075B"/>
    <w:rsid w:val="00EE1EA9"/>
    <w:rsid w:val="00EE636D"/>
    <w:rsid w:val="00EF0790"/>
    <w:rsid w:val="00EF1B11"/>
    <w:rsid w:val="00EF2A9C"/>
    <w:rsid w:val="00EF6AB5"/>
    <w:rsid w:val="00F06742"/>
    <w:rsid w:val="00F12CB3"/>
    <w:rsid w:val="00F12FF6"/>
    <w:rsid w:val="00F157DD"/>
    <w:rsid w:val="00F159D7"/>
    <w:rsid w:val="00F17A65"/>
    <w:rsid w:val="00F201AE"/>
    <w:rsid w:val="00F20742"/>
    <w:rsid w:val="00F238EE"/>
    <w:rsid w:val="00F25D52"/>
    <w:rsid w:val="00F2622C"/>
    <w:rsid w:val="00F2732E"/>
    <w:rsid w:val="00F2778C"/>
    <w:rsid w:val="00F30EEA"/>
    <w:rsid w:val="00F3115B"/>
    <w:rsid w:val="00F41D89"/>
    <w:rsid w:val="00F446CE"/>
    <w:rsid w:val="00F46A4B"/>
    <w:rsid w:val="00F5479B"/>
    <w:rsid w:val="00F55BB2"/>
    <w:rsid w:val="00F55DEA"/>
    <w:rsid w:val="00F55F47"/>
    <w:rsid w:val="00F56BF3"/>
    <w:rsid w:val="00F56DAB"/>
    <w:rsid w:val="00F574D7"/>
    <w:rsid w:val="00F5758D"/>
    <w:rsid w:val="00F642A3"/>
    <w:rsid w:val="00F65107"/>
    <w:rsid w:val="00F6527A"/>
    <w:rsid w:val="00F6592D"/>
    <w:rsid w:val="00F71E13"/>
    <w:rsid w:val="00F86020"/>
    <w:rsid w:val="00F948F3"/>
    <w:rsid w:val="00F979E9"/>
    <w:rsid w:val="00F97D27"/>
    <w:rsid w:val="00F97DA6"/>
    <w:rsid w:val="00FA01C6"/>
    <w:rsid w:val="00FA0BA3"/>
    <w:rsid w:val="00FA2446"/>
    <w:rsid w:val="00FA48DD"/>
    <w:rsid w:val="00FA61C6"/>
    <w:rsid w:val="00FA6289"/>
    <w:rsid w:val="00FB193A"/>
    <w:rsid w:val="00FB3515"/>
    <w:rsid w:val="00FB4824"/>
    <w:rsid w:val="00FB495B"/>
    <w:rsid w:val="00FC2F6E"/>
    <w:rsid w:val="00FC36DC"/>
    <w:rsid w:val="00FC75A8"/>
    <w:rsid w:val="00FD0678"/>
    <w:rsid w:val="00FD213A"/>
    <w:rsid w:val="00FD37B4"/>
    <w:rsid w:val="00FD531E"/>
    <w:rsid w:val="00FE0BEA"/>
    <w:rsid w:val="00FE2D6C"/>
    <w:rsid w:val="00FE2FFA"/>
    <w:rsid w:val="00FE7F40"/>
    <w:rsid w:val="00FF5CBB"/>
    <w:rsid w:val="00FF6389"/>
    <w:rsid w:val="00FF7022"/>
    <w:rsid w:val="00FF759F"/>
    <w:rsid w:val="00FF79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Balk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Balk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D0799D"/>
    <w:rPr>
      <w:sz w:val="20"/>
      <w:szCs w:val="20"/>
    </w:rPr>
  </w:style>
  <w:style w:type="character" w:styleId="DipnotBavurusu">
    <w:name w:val="footnote reference"/>
    <w:basedOn w:val="VarsaylanParagrafYazTipi"/>
    <w:uiPriority w:val="99"/>
    <w:semiHidden/>
    <w:rsid w:val="00D0799D"/>
    <w:rPr>
      <w:vertAlign w:val="superscript"/>
    </w:rPr>
  </w:style>
  <w:style w:type="paragraph" w:styleId="BalonMetni">
    <w:name w:val="Balloon Text"/>
    <w:basedOn w:val="Normal"/>
    <w:semiHidden/>
    <w:rsid w:val="00BF17E5"/>
    <w:rPr>
      <w:rFonts w:ascii="Tahoma" w:hAnsi="Tahoma" w:cs="Tahoma"/>
      <w:sz w:val="16"/>
      <w:szCs w:val="16"/>
    </w:rPr>
  </w:style>
  <w:style w:type="character" w:styleId="Kpr">
    <w:name w:val="Hyperlink"/>
    <w:basedOn w:val="VarsaylanParagrafYazTipi"/>
    <w:rsid w:val="00E81CDD"/>
    <w:rPr>
      <w:color w:val="0000FF"/>
      <w:u w:val="single"/>
    </w:rPr>
  </w:style>
  <w:style w:type="character" w:customStyle="1" w:styleId="DipnotMetniChar">
    <w:name w:val="Dipnot Metni Char"/>
    <w:basedOn w:val="VarsaylanParagrafYazTipi"/>
    <w:link w:val="DipnotMetni"/>
    <w:uiPriority w:val="99"/>
    <w:semiHidden/>
    <w:locked/>
    <w:rsid w:val="001F275D"/>
    <w:rPr>
      <w:lang w:eastAsia="tr-TR"/>
    </w:rPr>
  </w:style>
  <w:style w:type="paragraph" w:styleId="SonnotMetni">
    <w:name w:val="endnote text"/>
    <w:basedOn w:val="Normal"/>
    <w:link w:val="SonnotMetniChar"/>
    <w:rsid w:val="0022179E"/>
    <w:rPr>
      <w:sz w:val="20"/>
      <w:szCs w:val="20"/>
    </w:rPr>
  </w:style>
  <w:style w:type="character" w:customStyle="1" w:styleId="SonnotMetniChar">
    <w:name w:val="Sonnot Metni Char"/>
    <w:basedOn w:val="VarsaylanParagrafYazTipi"/>
    <w:link w:val="SonnotMetni"/>
    <w:rsid w:val="0022179E"/>
    <w:rPr>
      <w:lang w:eastAsia="tr-TR"/>
    </w:rPr>
  </w:style>
  <w:style w:type="character" w:styleId="SonnotBavurusu">
    <w:name w:val="endnote reference"/>
    <w:basedOn w:val="VarsaylanParagrafYazTipi"/>
    <w:rsid w:val="00221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basedOn w:val="DefaultParagraphFont"/>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basedOn w:val="DefaultParagraphFont"/>
    <w:rsid w:val="00E81CDD"/>
    <w:rPr>
      <w:color w:val="0000FF"/>
      <w:u w:val="single"/>
    </w:rPr>
  </w:style>
  <w:style w:type="character" w:customStyle="1" w:styleId="FootnoteTextChar">
    <w:name w:val="Footnote Text Char"/>
    <w:basedOn w:val="DefaultParagraphFont"/>
    <w:link w:val="FootnoteText"/>
    <w:uiPriority w:val="99"/>
    <w:semiHidden/>
    <w:locked/>
    <w:rsid w:val="001F275D"/>
    <w:rPr>
      <w:lang w:eastAsia="tr-TR"/>
    </w:rPr>
  </w:style>
</w:styles>
</file>

<file path=word/webSettings.xml><?xml version="1.0" encoding="utf-8"?>
<w:webSettings xmlns:r="http://schemas.openxmlformats.org/officeDocument/2006/relationships" xmlns:w="http://schemas.openxmlformats.org/wordprocessingml/2006/main">
  <w:divs>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7609-AF28-4BF2-A85D-AD91C25B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baris.soybilgen</dc:creator>
  <cp:lastModifiedBy>merve.akgul</cp:lastModifiedBy>
  <cp:revision>2</cp:revision>
  <cp:lastPrinted>2013-03-04T09:19:00Z</cp:lastPrinted>
  <dcterms:created xsi:type="dcterms:W3CDTF">2013-03-12T12:28:00Z</dcterms:created>
  <dcterms:modified xsi:type="dcterms:W3CDTF">2013-03-12T12:28:00Z</dcterms:modified>
</cp:coreProperties>
</file>