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ECC" w:rsidRPr="008B2149" w:rsidRDefault="00AB717C" w:rsidP="001E4BF5">
      <w:pPr>
        <w:spacing w:line="360" w:lineRule="auto"/>
        <w:ind w:right="-319"/>
        <w:jc w:val="center"/>
        <w:outlineLvl w:val="0"/>
        <w:rPr>
          <w:rFonts w:ascii="Arial" w:hAnsi="Arial" w:cs="Arial"/>
          <w:b/>
          <w:sz w:val="32"/>
          <w:szCs w:val="32"/>
        </w:rPr>
      </w:pPr>
      <w:r>
        <w:rPr>
          <w:rFonts w:ascii="Arial" w:hAnsi="Arial" w:cs="Arial"/>
          <w:b/>
          <w:noProof/>
          <w:sz w:val="32"/>
          <w:szCs w:val="32"/>
          <w:lang w:eastAsia="en-US"/>
        </w:rPr>
        <w:drawing>
          <wp:anchor distT="0" distB="0" distL="114300" distR="114300" simplePos="0" relativeHeight="251658240" behindDoc="1" locked="0" layoutInCell="1" allowOverlap="1">
            <wp:simplePos x="0" y="0"/>
            <wp:positionH relativeFrom="column">
              <wp:posOffset>-800100</wp:posOffset>
            </wp:positionH>
            <wp:positionV relativeFrom="paragraph">
              <wp:posOffset>-800100</wp:posOffset>
            </wp:positionV>
            <wp:extent cx="7315200" cy="1330325"/>
            <wp:effectExtent l="19050" t="0" r="0" b="0"/>
            <wp:wrapNone/>
            <wp:docPr id="61"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cstate="print"/>
                    <a:srcRect/>
                    <a:stretch>
                      <a:fillRect/>
                    </a:stretch>
                  </pic:blipFill>
                  <pic:spPr bwMode="auto">
                    <a:xfrm>
                      <a:off x="0" y="0"/>
                      <a:ext cx="7315200" cy="1330325"/>
                    </a:xfrm>
                    <a:prstGeom prst="rect">
                      <a:avLst/>
                    </a:prstGeom>
                    <a:noFill/>
                    <a:ln w="9525">
                      <a:noFill/>
                      <a:miter lim="800000"/>
                      <a:headEnd/>
                      <a:tailEnd/>
                    </a:ln>
                  </pic:spPr>
                </pic:pic>
              </a:graphicData>
            </a:graphic>
          </wp:anchor>
        </w:drawing>
      </w:r>
      <w:r w:rsidR="006F6A80">
        <w:rPr>
          <w:rFonts w:ascii="Arial" w:hAnsi="Arial" w:cs="Arial"/>
          <w:b/>
          <w:noProof/>
          <w:sz w:val="32"/>
          <w:szCs w:val="32"/>
          <w:lang w:eastAsia="en-US"/>
        </w:rPr>
        <w:pict>
          <v:shapetype id="_x0000_t202" coordsize="21600,21600" o:spt="202" path="m,l,21600r21600,l21600,xe">
            <v:stroke joinstyle="miter"/>
            <v:path gradientshapeok="t" o:connecttype="rect"/>
          </v:shapetype>
          <v:shape id="Text Box 26" o:spid="_x0000_s1026" type="#_x0000_t202" style="position:absolute;left:0;text-align:left;margin-left:117pt;margin-top:-45pt;width:312.1pt;height:44.8pt;z-index:251656192;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" stroked="f">
            <v:fill opacity="0"/>
            <v:textbox inset="0,0,0,0">
              <w:txbxContent>
                <w:p w:rsidR="00900E74" w:rsidRPr="00342E6B" w:rsidRDefault="00900E74" w:rsidP="00024559">
                  <w:pPr>
                    <w:pStyle w:val="Heading1"/>
                    <w:rPr>
                      <w:rFonts w:ascii="Times New Roman" w:hAnsi="Times New Roman"/>
                      <w:sz w:val="40"/>
                      <w:szCs w:val="40"/>
                    </w:rPr>
                  </w:pPr>
                  <w:r>
                    <w:rPr>
                      <w:rFonts w:ascii="Times New Roman" w:hAnsi="Times New Roman"/>
                      <w:sz w:val="40"/>
                      <w:szCs w:val="40"/>
                    </w:rPr>
                    <w:t>Economic Outlook and Forecasts: January 2013</w:t>
                  </w:r>
                </w:p>
                <w:p w:rsidR="00900E74" w:rsidRPr="00A75A46" w:rsidRDefault="00900E74" w:rsidP="00024559">
                  <w:pPr>
                    <w:pStyle w:val="Heading2"/>
                    <w:rPr>
                      <w:b w:val="0"/>
                      <w:i w:val="0"/>
                      <w:lang w:val="nl-NL"/>
                    </w:rPr>
                  </w:pPr>
                </w:p>
              </w:txbxContent>
            </v:textbox>
          </v:shape>
        </w:pict>
      </w:r>
    </w:p>
    <w:p w:rsidR="00357ECC" w:rsidRPr="008B2149" w:rsidRDefault="006F6A80" w:rsidP="001E4BF5">
      <w:pPr>
        <w:spacing w:line="360" w:lineRule="auto"/>
        <w:ind w:right="-319"/>
        <w:jc w:val="center"/>
        <w:outlineLvl w:val="0"/>
        <w:rPr>
          <w:rFonts w:ascii="Arial" w:hAnsi="Arial" w:cs="Arial"/>
          <w:b/>
          <w:sz w:val="32"/>
          <w:szCs w:val="32"/>
        </w:rPr>
      </w:pPr>
      <w:r w:rsidRPr="006F6A80">
        <w:rPr>
          <w:rFonts w:ascii="Arial" w:hAnsi="Arial" w:cs="Arial"/>
          <w:b/>
          <w:noProof/>
          <w:lang w:eastAsia="en-US"/>
        </w:rPr>
        <w:lastRenderedPageBreak/>
        <w:pict>
          <v:shape id="Text Box 27" o:spid="_x0000_s1027" type="#_x0000_t202" style="position:absolute;left:0;text-align:left;margin-left:170.3pt;margin-top:9pt;width:137.3pt;height:27.45pt;z-index:25165721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" stroked="f">
            <v:fill opacity="0"/>
            <v:textbox inset="0,0,0,0">
              <w:txbxContent>
                <w:p w:rsidR="00900E74" w:rsidRPr="0015586B" w:rsidRDefault="00552C4F" w:rsidP="00FA48DD">
                  <w:pPr>
                    <w:pStyle w:val="Heading3"/>
                    <w:tabs>
                      <w:tab w:val="clear" w:pos="720"/>
                    </w:tabs>
                    <w:ind w:left="0" w:firstLine="0"/>
                    <w:rPr>
                      <w:color w:val="FFFFFF"/>
                      <w:sz w:val="22"/>
                      <w:szCs w:val="22"/>
                      <w:lang w:val="tr-TR"/>
                    </w:rPr>
                  </w:pPr>
                  <w:r>
                    <w:rPr>
                      <w:color w:val="FFFFFF"/>
                      <w:sz w:val="22"/>
                      <w:szCs w:val="22"/>
                      <w:lang w:val="tr-TR"/>
                    </w:rPr>
                    <w:t>January</w:t>
                  </w:r>
                  <w:r w:rsidR="00900E74">
                    <w:rPr>
                      <w:color w:val="FFFFFF"/>
                      <w:sz w:val="22"/>
                      <w:szCs w:val="22"/>
                      <w:lang w:val="tr-TR"/>
                    </w:rPr>
                    <w:t xml:space="preserve"> </w:t>
                  </w:r>
                  <w:r w:rsidR="009F0550">
                    <w:rPr>
                      <w:color w:val="FFFFFF"/>
                      <w:sz w:val="22"/>
                      <w:szCs w:val="22"/>
                      <w:lang w:val="tr-TR"/>
                    </w:rPr>
                    <w:t>30</w:t>
                  </w:r>
                  <w:r w:rsidR="00900E74">
                    <w:rPr>
                      <w:color w:val="FFFFFF"/>
                      <w:sz w:val="22"/>
                      <w:szCs w:val="22"/>
                      <w:lang w:val="tr-TR"/>
                    </w:rPr>
                    <w:t>,</w:t>
                  </w:r>
                  <w:r>
                    <w:rPr>
                      <w:color w:val="FFFFFF"/>
                      <w:sz w:val="22"/>
                      <w:szCs w:val="22"/>
                      <w:lang w:val="tr-TR"/>
                    </w:rPr>
                    <w:t xml:space="preserve"> 2013</w:t>
                  </w:r>
                </w:p>
                <w:p w:rsidR="00900E74" w:rsidRDefault="00900E74" w:rsidP="00024559"/>
              </w:txbxContent>
            </v:textbox>
          </v:shape>
        </w:pict>
      </w:r>
    </w:p>
    <w:p w:rsidR="00357ECC" w:rsidRPr="008B2149" w:rsidRDefault="00357ECC" w:rsidP="001E4BF5">
      <w:pPr>
        <w:spacing w:line="360" w:lineRule="auto"/>
        <w:ind w:right="-319"/>
        <w:jc w:val="center"/>
        <w:outlineLvl w:val="0"/>
        <w:rPr>
          <w:rFonts w:ascii="Arial" w:hAnsi="Arial" w:cs="Arial"/>
          <w:b/>
          <w:sz w:val="32"/>
          <w:szCs w:val="32"/>
        </w:rPr>
        <w:sectPr w:rsidR="00357ECC" w:rsidRPr="008B2149" w:rsidSect="00357ECC">
          <w:pgSz w:w="11906" w:h="16838"/>
          <w:pgMar w:top="1417" w:right="1417" w:bottom="1417" w:left="1417" w:header="708" w:footer="708" w:gutter="0"/>
          <w:cols w:num="2" w:space="708" w:equalWidth="0">
            <w:col w:w="4182" w:space="708"/>
            <w:col w:w="4182"/>
          </w:cols>
          <w:docGrid w:linePitch="360"/>
        </w:sectPr>
      </w:pPr>
    </w:p>
    <w:p w:rsidR="00357ECC" w:rsidRPr="008B2149" w:rsidRDefault="00357ECC" w:rsidP="001E4BF5">
      <w:pPr>
        <w:spacing w:line="360" w:lineRule="auto"/>
        <w:ind w:right="-319"/>
        <w:outlineLvl w:val="0"/>
        <w:rPr>
          <w:rFonts w:ascii="Arial" w:hAnsi="Arial" w:cs="Arial"/>
          <w:b/>
          <w:sz w:val="32"/>
          <w:szCs w:val="32"/>
        </w:rPr>
      </w:pPr>
    </w:p>
    <w:p w:rsidR="00BF07F5" w:rsidRPr="00D63675" w:rsidRDefault="00BF07F5" w:rsidP="00BF07F5">
      <w:pPr>
        <w:ind w:right="-317"/>
        <w:jc w:val="center"/>
        <w:outlineLvl w:val="0"/>
        <w:rPr>
          <w:rFonts w:ascii="Arial" w:hAnsi="Arial" w:cs="Arial"/>
          <w:b/>
          <w:bCs/>
          <w:caps/>
          <w:sz w:val="28"/>
          <w:szCs w:val="28"/>
        </w:rPr>
      </w:pPr>
      <w:r>
        <w:rPr>
          <w:rFonts w:ascii="Arial" w:hAnsi="Arial" w:cs="Arial"/>
          <w:b/>
          <w:bCs/>
          <w:caps/>
          <w:sz w:val="28"/>
          <w:szCs w:val="28"/>
        </w:rPr>
        <w:t>REVIVAL IS BECOMING CLEAR</w:t>
      </w:r>
    </w:p>
    <w:p w:rsidR="00FA0BA3" w:rsidRPr="008B2149" w:rsidRDefault="00FA0BA3" w:rsidP="001E4BF5">
      <w:pPr>
        <w:spacing w:line="360" w:lineRule="auto"/>
        <w:ind w:right="-319"/>
        <w:jc w:val="center"/>
        <w:outlineLvl w:val="0"/>
        <w:rPr>
          <w:rFonts w:ascii="Arial" w:hAnsi="Arial" w:cs="Arial"/>
          <w:b/>
          <w:sz w:val="20"/>
          <w:szCs w:val="20"/>
        </w:rPr>
      </w:pPr>
    </w:p>
    <w:p w:rsidR="00357ECC" w:rsidRDefault="00357ECC" w:rsidP="003B5209">
      <w:pPr>
        <w:spacing w:line="360" w:lineRule="auto"/>
        <w:ind w:right="-319"/>
        <w:jc w:val="center"/>
        <w:outlineLvl w:val="0"/>
        <w:rPr>
          <w:rFonts w:ascii="Arial" w:hAnsi="Arial" w:cs="Arial"/>
          <w:b/>
          <w:vertAlign w:val="superscript"/>
        </w:rPr>
      </w:pPr>
      <w:r w:rsidRPr="008B2149">
        <w:rPr>
          <w:rFonts w:ascii="Arial" w:hAnsi="Arial" w:cs="Arial"/>
          <w:b/>
        </w:rPr>
        <w:t>Zümrüt</w:t>
      </w:r>
      <w:r w:rsidR="00573338">
        <w:rPr>
          <w:rFonts w:ascii="Arial" w:hAnsi="Arial" w:cs="Arial"/>
          <w:b/>
        </w:rPr>
        <w:t xml:space="preserve"> </w:t>
      </w:r>
      <w:r w:rsidRPr="008B2149">
        <w:rPr>
          <w:rFonts w:ascii="Arial" w:hAnsi="Arial" w:cs="Arial"/>
          <w:b/>
        </w:rPr>
        <w:t>İmamoğlu* ve</w:t>
      </w:r>
      <w:r w:rsidR="00573338">
        <w:rPr>
          <w:rFonts w:ascii="Arial" w:hAnsi="Arial" w:cs="Arial"/>
          <w:b/>
        </w:rPr>
        <w:t xml:space="preserve"> </w:t>
      </w:r>
      <w:r w:rsidRPr="008B2149">
        <w:rPr>
          <w:rFonts w:ascii="Arial" w:hAnsi="Arial" w:cs="Arial"/>
          <w:b/>
        </w:rPr>
        <w:t>Barış</w:t>
      </w:r>
      <w:r w:rsidR="00573338">
        <w:rPr>
          <w:rFonts w:ascii="Arial" w:hAnsi="Arial" w:cs="Arial"/>
          <w:b/>
        </w:rPr>
        <w:t xml:space="preserve"> </w:t>
      </w:r>
      <w:r w:rsidRPr="008B2149">
        <w:rPr>
          <w:rFonts w:ascii="Arial" w:hAnsi="Arial" w:cs="Arial"/>
          <w:b/>
        </w:rPr>
        <w:t>Soybilgen</w:t>
      </w:r>
      <w:r w:rsidRPr="008B2149">
        <w:rPr>
          <w:rFonts w:ascii="Arial" w:hAnsi="Arial" w:cs="Arial"/>
          <w:b/>
          <w:vertAlign w:val="superscript"/>
        </w:rPr>
        <w:t>†</w:t>
      </w:r>
    </w:p>
    <w:p w:rsidR="00FC36DC" w:rsidRPr="008B2149" w:rsidRDefault="00FC36DC" w:rsidP="003B5209">
      <w:pPr>
        <w:spacing w:line="360" w:lineRule="auto"/>
        <w:ind w:right="-319"/>
        <w:jc w:val="center"/>
        <w:outlineLvl w:val="0"/>
        <w:rPr>
          <w:rFonts w:ascii="Arial" w:hAnsi="Arial" w:cs="Arial"/>
          <w:sz w:val="20"/>
          <w:szCs w:val="20"/>
          <w:vertAlign w:val="superscript"/>
        </w:rPr>
      </w:pPr>
    </w:p>
    <w:p w:rsidR="001A2051" w:rsidRPr="008B2149" w:rsidRDefault="001A2051" w:rsidP="003B5209">
      <w:pPr>
        <w:spacing w:line="360" w:lineRule="auto"/>
        <w:ind w:right="-319"/>
        <w:jc w:val="center"/>
        <w:outlineLvl w:val="0"/>
        <w:rPr>
          <w:rFonts w:ascii="Arial" w:hAnsi="Arial" w:cs="Arial"/>
          <w:sz w:val="20"/>
          <w:szCs w:val="20"/>
          <w:vertAlign w:val="superscript"/>
        </w:rPr>
        <w:sectPr w:rsidR="001A2051" w:rsidRPr="008B2149" w:rsidSect="00357ECC">
          <w:type w:val="continuous"/>
          <w:pgSz w:w="11906" w:h="16838"/>
          <w:pgMar w:top="1417" w:right="1417" w:bottom="1417" w:left="1417" w:header="708" w:footer="708" w:gutter="0"/>
          <w:cols w:space="708"/>
          <w:docGrid w:linePitch="360"/>
        </w:sectPr>
      </w:pPr>
    </w:p>
    <w:p w:rsidR="008C38E5" w:rsidRPr="008B2149" w:rsidRDefault="008C38E5" w:rsidP="008C38E5">
      <w:pPr>
        <w:spacing w:line="360" w:lineRule="auto"/>
        <w:ind w:left="-360" w:right="42" w:firstLine="360"/>
        <w:jc w:val="center"/>
        <w:rPr>
          <w:b/>
          <w:sz w:val="22"/>
          <w:szCs w:val="22"/>
        </w:rPr>
      </w:pPr>
      <w:r w:rsidRPr="008B2149">
        <w:rPr>
          <w:b/>
          <w:sz w:val="22"/>
          <w:szCs w:val="22"/>
        </w:rPr>
        <w:lastRenderedPageBreak/>
        <w:t>Executive Summary</w:t>
      </w:r>
    </w:p>
    <w:p w:rsidR="008C38E5" w:rsidRPr="008B2149" w:rsidRDefault="008C38E5" w:rsidP="008C38E5">
      <w:pPr>
        <w:spacing w:line="360" w:lineRule="auto"/>
        <w:ind w:left="-360" w:right="42" w:firstLine="360"/>
        <w:jc w:val="center"/>
        <w:rPr>
          <w:b/>
          <w:sz w:val="22"/>
          <w:szCs w:val="22"/>
        </w:rPr>
      </w:pPr>
    </w:p>
    <w:p w:rsidR="00B12FD3" w:rsidRPr="005743FF" w:rsidRDefault="00BF07F5" w:rsidP="00BF07F5">
      <w:pPr>
        <w:spacing w:line="360" w:lineRule="auto"/>
        <w:ind w:left="-360" w:right="40"/>
        <w:jc w:val="both"/>
        <w:rPr>
          <w:sz w:val="22"/>
          <w:szCs w:val="22"/>
        </w:rPr>
      </w:pPr>
      <w:r>
        <w:rPr>
          <w:sz w:val="22"/>
          <w:szCs w:val="22"/>
        </w:rPr>
        <w:t>In November, the industrial production index (IPI) increased by 1.5 percent from October. Export volume inde</w:t>
      </w:r>
      <w:r w:rsidR="00C309DF">
        <w:rPr>
          <w:sz w:val="22"/>
          <w:szCs w:val="22"/>
        </w:rPr>
        <w:t>x</w:t>
      </w:r>
      <w:r>
        <w:rPr>
          <w:sz w:val="22"/>
          <w:szCs w:val="22"/>
        </w:rPr>
        <w:t xml:space="preserve"> decreased by 4.8 percent, whereas import volume index increased by 4.9 percent. </w:t>
      </w:r>
      <w:r w:rsidR="004E4961">
        <w:rPr>
          <w:sz w:val="22"/>
          <w:szCs w:val="22"/>
        </w:rPr>
        <w:t>The i</w:t>
      </w:r>
      <w:r>
        <w:rPr>
          <w:sz w:val="22"/>
          <w:szCs w:val="22"/>
        </w:rPr>
        <w:t>ncrease</w:t>
      </w:r>
      <w:r w:rsidR="004E4961">
        <w:rPr>
          <w:sz w:val="22"/>
          <w:szCs w:val="22"/>
        </w:rPr>
        <w:t>s in</w:t>
      </w:r>
      <w:r>
        <w:rPr>
          <w:sz w:val="22"/>
          <w:szCs w:val="22"/>
        </w:rPr>
        <w:t xml:space="preserve"> </w:t>
      </w:r>
      <w:r w:rsidR="004E4961">
        <w:rPr>
          <w:sz w:val="22"/>
          <w:szCs w:val="22"/>
        </w:rPr>
        <w:t>the</w:t>
      </w:r>
      <w:r>
        <w:rPr>
          <w:sz w:val="22"/>
          <w:szCs w:val="22"/>
        </w:rPr>
        <w:t xml:space="preserve"> </w:t>
      </w:r>
      <w:r w:rsidR="004E4961">
        <w:rPr>
          <w:sz w:val="22"/>
          <w:szCs w:val="22"/>
        </w:rPr>
        <w:t>import</w:t>
      </w:r>
      <w:r w:rsidR="00C309DF">
        <w:rPr>
          <w:sz w:val="22"/>
          <w:szCs w:val="22"/>
        </w:rPr>
        <w:t xml:space="preserve"> and production</w:t>
      </w:r>
      <w:r w:rsidR="004E4961">
        <w:rPr>
          <w:sz w:val="22"/>
          <w:szCs w:val="22"/>
        </w:rPr>
        <w:t xml:space="preserve"> indices</w:t>
      </w:r>
      <w:r w:rsidR="00C309DF">
        <w:rPr>
          <w:sz w:val="22"/>
          <w:szCs w:val="22"/>
        </w:rPr>
        <w:t xml:space="preserve"> </w:t>
      </w:r>
      <w:r w:rsidR="004E4961">
        <w:rPr>
          <w:sz w:val="22"/>
          <w:szCs w:val="22"/>
        </w:rPr>
        <w:t>imply</w:t>
      </w:r>
      <w:r>
        <w:rPr>
          <w:sz w:val="22"/>
          <w:szCs w:val="22"/>
        </w:rPr>
        <w:t xml:space="preserve"> that domestic demand </w:t>
      </w:r>
      <w:r w:rsidR="004E4961">
        <w:rPr>
          <w:sz w:val="22"/>
          <w:szCs w:val="22"/>
        </w:rPr>
        <w:t xml:space="preserve">has been </w:t>
      </w:r>
      <w:r>
        <w:rPr>
          <w:sz w:val="22"/>
          <w:szCs w:val="22"/>
        </w:rPr>
        <w:t>recov</w:t>
      </w:r>
      <w:r w:rsidR="004E4961">
        <w:rPr>
          <w:sz w:val="22"/>
          <w:szCs w:val="22"/>
        </w:rPr>
        <w:t>e</w:t>
      </w:r>
      <w:r>
        <w:rPr>
          <w:sz w:val="22"/>
          <w:szCs w:val="22"/>
        </w:rPr>
        <w:t>r</w:t>
      </w:r>
      <w:r w:rsidR="004E4961">
        <w:rPr>
          <w:sz w:val="22"/>
          <w:szCs w:val="22"/>
        </w:rPr>
        <w:t>ing</w:t>
      </w:r>
      <w:r>
        <w:rPr>
          <w:sz w:val="22"/>
          <w:szCs w:val="22"/>
        </w:rPr>
        <w:t xml:space="preserve">, and consumption and investment </w:t>
      </w:r>
      <w:r w:rsidR="004E4961">
        <w:rPr>
          <w:sz w:val="22"/>
          <w:szCs w:val="22"/>
        </w:rPr>
        <w:t>increased</w:t>
      </w:r>
      <w:r>
        <w:rPr>
          <w:sz w:val="22"/>
          <w:szCs w:val="22"/>
        </w:rPr>
        <w:t xml:space="preserve"> in the fourth quarter. On the other hand,</w:t>
      </w:r>
      <w:r w:rsidR="007E51AB">
        <w:rPr>
          <w:sz w:val="22"/>
          <w:szCs w:val="22"/>
        </w:rPr>
        <w:t xml:space="preserve"> the</w:t>
      </w:r>
      <w:r>
        <w:rPr>
          <w:sz w:val="22"/>
          <w:szCs w:val="22"/>
        </w:rPr>
        <w:t xml:space="preserve"> </w:t>
      </w:r>
      <w:r w:rsidR="007E51AB">
        <w:rPr>
          <w:sz w:val="22"/>
          <w:szCs w:val="22"/>
        </w:rPr>
        <w:t xml:space="preserve">increase in </w:t>
      </w:r>
      <w:r w:rsidR="00CB6431">
        <w:rPr>
          <w:sz w:val="22"/>
          <w:szCs w:val="22"/>
        </w:rPr>
        <w:t>ex</w:t>
      </w:r>
      <w:r w:rsidR="007E51AB">
        <w:rPr>
          <w:sz w:val="22"/>
          <w:szCs w:val="22"/>
        </w:rPr>
        <w:t>ports</w:t>
      </w:r>
      <w:r w:rsidR="00CB6431">
        <w:rPr>
          <w:sz w:val="22"/>
          <w:szCs w:val="22"/>
        </w:rPr>
        <w:t xml:space="preserve"> is not large enough to make</w:t>
      </w:r>
      <w:r w:rsidR="00671CB6">
        <w:rPr>
          <w:sz w:val="22"/>
          <w:szCs w:val="22"/>
        </w:rPr>
        <w:t xml:space="preserve"> </w:t>
      </w:r>
      <w:r>
        <w:rPr>
          <w:sz w:val="22"/>
          <w:szCs w:val="22"/>
        </w:rPr>
        <w:t xml:space="preserve">net exports </w:t>
      </w:r>
      <w:r w:rsidR="00671CB6">
        <w:rPr>
          <w:sz w:val="22"/>
          <w:szCs w:val="22"/>
        </w:rPr>
        <w:t xml:space="preserve">contribute </w:t>
      </w:r>
      <w:r w:rsidR="00CB6431">
        <w:rPr>
          <w:sz w:val="22"/>
          <w:szCs w:val="22"/>
        </w:rPr>
        <w:t>positively</w:t>
      </w:r>
      <w:r w:rsidR="004E4961">
        <w:rPr>
          <w:sz w:val="22"/>
          <w:szCs w:val="22"/>
        </w:rPr>
        <w:t xml:space="preserve"> to growth</w:t>
      </w:r>
      <w:r>
        <w:rPr>
          <w:sz w:val="22"/>
          <w:szCs w:val="22"/>
        </w:rPr>
        <w:t xml:space="preserve">. </w:t>
      </w:r>
      <w:r w:rsidR="00671CB6">
        <w:rPr>
          <w:sz w:val="22"/>
          <w:szCs w:val="22"/>
        </w:rPr>
        <w:t>Therefore</w:t>
      </w:r>
      <w:r>
        <w:rPr>
          <w:sz w:val="22"/>
          <w:szCs w:val="22"/>
        </w:rPr>
        <w:t>, we keep our</w:t>
      </w:r>
      <w:r w:rsidR="00671CB6">
        <w:rPr>
          <w:sz w:val="22"/>
          <w:szCs w:val="22"/>
        </w:rPr>
        <w:t xml:space="preserve"> </w:t>
      </w:r>
      <w:r>
        <w:rPr>
          <w:sz w:val="22"/>
          <w:szCs w:val="22"/>
        </w:rPr>
        <w:t>4</w:t>
      </w:r>
      <w:r w:rsidRPr="00C62C51">
        <w:rPr>
          <w:sz w:val="22"/>
          <w:szCs w:val="22"/>
          <w:vertAlign w:val="superscript"/>
        </w:rPr>
        <w:t>th</w:t>
      </w:r>
      <w:r>
        <w:rPr>
          <w:sz w:val="22"/>
          <w:szCs w:val="22"/>
        </w:rPr>
        <w:t xml:space="preserve"> quarter growth forecasts same, but we increase our</w:t>
      </w:r>
      <w:r w:rsidR="00671CB6">
        <w:rPr>
          <w:sz w:val="22"/>
          <w:szCs w:val="22"/>
        </w:rPr>
        <w:t xml:space="preserve"> current</w:t>
      </w:r>
      <w:r>
        <w:rPr>
          <w:sz w:val="22"/>
          <w:szCs w:val="22"/>
        </w:rPr>
        <w:t xml:space="preserve"> account</w:t>
      </w:r>
      <w:r w:rsidR="00671CB6">
        <w:rPr>
          <w:sz w:val="22"/>
          <w:szCs w:val="22"/>
        </w:rPr>
        <w:t xml:space="preserve"> deficit forecast</w:t>
      </w:r>
      <w:r w:rsidR="00AC4805">
        <w:rPr>
          <w:sz w:val="22"/>
          <w:szCs w:val="22"/>
        </w:rPr>
        <w:t xml:space="preserve"> slightly</w:t>
      </w:r>
      <w:r>
        <w:rPr>
          <w:sz w:val="22"/>
          <w:szCs w:val="22"/>
        </w:rPr>
        <w:t>. Betam’s quarter on quarter (QoQ) growth forecast for the fourth quarter of 2012 is 1.2 perc</w:t>
      </w:r>
      <w:r w:rsidR="00C32A34">
        <w:rPr>
          <w:sz w:val="22"/>
          <w:szCs w:val="22"/>
        </w:rPr>
        <w:t>ent. The corresponding year of y</w:t>
      </w:r>
      <w:r>
        <w:rPr>
          <w:sz w:val="22"/>
          <w:szCs w:val="22"/>
        </w:rPr>
        <w:t>ear (YoY) growth rate i</w:t>
      </w:r>
      <w:r w:rsidR="00671CB6">
        <w:rPr>
          <w:sz w:val="22"/>
          <w:szCs w:val="22"/>
        </w:rPr>
        <w:t>s 3.0 percent and the annual GDP</w:t>
      </w:r>
      <w:r>
        <w:rPr>
          <w:sz w:val="22"/>
          <w:szCs w:val="22"/>
        </w:rPr>
        <w:t xml:space="preserve"> growth rate estimate for 2012 is 2.7 percent. </w:t>
      </w:r>
    </w:p>
    <w:p w:rsidR="00B12FD3" w:rsidRDefault="00B12FD3" w:rsidP="00B12FD3">
      <w:pPr>
        <w:spacing w:line="360" w:lineRule="auto"/>
        <w:ind w:left="-360" w:right="40"/>
        <w:jc w:val="both"/>
        <w:rPr>
          <w:sz w:val="22"/>
          <w:szCs w:val="22"/>
        </w:rPr>
      </w:pPr>
    </w:p>
    <w:p w:rsidR="00BF07F5" w:rsidRDefault="00E401E1" w:rsidP="00BF07F5">
      <w:pPr>
        <w:spacing w:line="360" w:lineRule="auto"/>
        <w:ind w:left="-360" w:right="40"/>
        <w:jc w:val="both"/>
        <w:rPr>
          <w:sz w:val="22"/>
          <w:szCs w:val="22"/>
        </w:rPr>
      </w:pPr>
      <w:r>
        <w:rPr>
          <w:sz w:val="22"/>
          <w:szCs w:val="22"/>
        </w:rPr>
        <w:t>Trade deficit continued to shrink but at a slower pace in November due to increase in imports</w:t>
      </w:r>
      <w:r w:rsidR="00BF07F5">
        <w:rPr>
          <w:sz w:val="22"/>
          <w:szCs w:val="22"/>
        </w:rPr>
        <w:t>.</w:t>
      </w:r>
      <w:r>
        <w:rPr>
          <w:sz w:val="22"/>
          <w:szCs w:val="22"/>
        </w:rPr>
        <w:t xml:space="preserve"> Betam</w:t>
      </w:r>
      <w:r w:rsidR="00BF07F5">
        <w:rPr>
          <w:sz w:val="22"/>
          <w:szCs w:val="22"/>
        </w:rPr>
        <w:t xml:space="preserve"> revised </w:t>
      </w:r>
      <w:r>
        <w:rPr>
          <w:sz w:val="22"/>
          <w:szCs w:val="22"/>
        </w:rPr>
        <w:t>its</w:t>
      </w:r>
      <w:r w:rsidR="00C32A34">
        <w:rPr>
          <w:sz w:val="22"/>
          <w:szCs w:val="22"/>
        </w:rPr>
        <w:t xml:space="preserve"> forecast</w:t>
      </w:r>
      <w:r w:rsidR="00BF07F5">
        <w:rPr>
          <w:sz w:val="22"/>
          <w:szCs w:val="22"/>
        </w:rPr>
        <w:t xml:space="preserve"> for the current account deficit</w:t>
      </w:r>
      <w:r>
        <w:rPr>
          <w:sz w:val="22"/>
          <w:szCs w:val="22"/>
        </w:rPr>
        <w:t xml:space="preserve"> upwards</w:t>
      </w:r>
      <w:r w:rsidR="00BF07F5">
        <w:rPr>
          <w:sz w:val="22"/>
          <w:szCs w:val="22"/>
        </w:rPr>
        <w:t xml:space="preserve"> </w:t>
      </w:r>
      <w:r w:rsidR="00FA0BA3">
        <w:rPr>
          <w:sz w:val="22"/>
          <w:szCs w:val="22"/>
        </w:rPr>
        <w:t>to 6.4</w:t>
      </w:r>
      <w:r w:rsidR="00BF07F5">
        <w:rPr>
          <w:sz w:val="22"/>
          <w:szCs w:val="22"/>
        </w:rPr>
        <w:t xml:space="preserve"> percent</w:t>
      </w:r>
      <w:r>
        <w:rPr>
          <w:sz w:val="22"/>
          <w:szCs w:val="22"/>
        </w:rPr>
        <w:t xml:space="preserve"> from 6.3 percent previously</w:t>
      </w:r>
      <w:r w:rsidR="00BF07F5">
        <w:rPr>
          <w:sz w:val="22"/>
          <w:szCs w:val="22"/>
        </w:rPr>
        <w:t>.</w:t>
      </w:r>
    </w:p>
    <w:p w:rsidR="00A2686F" w:rsidRPr="008B2149" w:rsidRDefault="006F6A80" w:rsidP="00A2686F">
      <w:pPr>
        <w:spacing w:line="288" w:lineRule="auto"/>
        <w:ind w:left="-360" w:right="-318"/>
        <w:jc w:val="both"/>
        <w:rPr>
          <w:rFonts w:ascii="Arial" w:hAnsi="Arial" w:cs="Arial"/>
          <w:sz w:val="20"/>
          <w:szCs w:val="20"/>
        </w:rPr>
      </w:pPr>
      <w:r>
        <w:rPr>
          <w:rFonts w:ascii="Arial" w:hAnsi="Arial" w:cs="Arial"/>
          <w:noProof/>
          <w:sz w:val="20"/>
          <w:szCs w:val="20"/>
          <w:lang w:eastAsia="en-US"/>
        </w:rPr>
      </w:r>
      <w:r>
        <w:rPr>
          <w:rFonts w:ascii="Arial" w:hAnsi="Arial" w:cs="Arial"/>
          <w:noProof/>
          <w:sz w:val="20"/>
          <w:szCs w:val="20"/>
          <w:lang w:eastAsia="en-US"/>
        </w:rPr>
        <w:pict>
          <v:group id="Canvas 62" o:spid="_x0000_s1029" editas="canvas" style="width:198pt;height:3.6pt;mso-position-horizontal-relative:char;mso-position-vertical-relative:line" coordsize="25146,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25146;height:457;visibility:visible">
              <v:fill o:detectmouseclick="t"/>
              <v:path o:connecttype="none"/>
            </v:shape>
            <v:line id="Line 64" o:spid="_x0000_s1028" style="position:absolute;visibility:visible" from="0,0" to="251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XMMIAAADaAAAADwAAAGRycy9kb3ducmV2LnhtbERPTWvCQBC9C/6HZYTedGMLoURXEaWg&#10;PZRqBT2O2TGJZmfD7jZJ/31XKPQ0PN7nzJe9qUVLzleWFUwnCQji3OqKCwXHr7fxKwgfkDXWlknB&#10;D3lYLoaDOWbadryn9hAKEUPYZ6igDKHJpPR5SQb9xDbEkbtaZzBE6AqpHXYx3NTyOUlSabDi2FBi&#10;Q+uS8vvh2yj4ePlM29Xufdufdukl3+wv51vnlHoa9asZiEB9+Bf/ubc6zofHK48r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8XMMIAAADaAAAADwAAAAAAAAAAAAAA&#10;AAChAgAAZHJzL2Rvd25yZXYueG1sUEsFBgAAAAAEAAQA+QAAAJADAAAAAA==&#10;"/>
            <w10:wrap type="none"/>
            <w10:anchorlock/>
          </v:group>
        </w:pict>
      </w:r>
    </w:p>
    <w:p w:rsidR="00A2686F" w:rsidRPr="00C317F7" w:rsidRDefault="00A2686F" w:rsidP="00A2686F">
      <w:pPr>
        <w:spacing w:line="288" w:lineRule="auto"/>
        <w:ind w:left="-360" w:right="-318"/>
        <w:jc w:val="both"/>
        <w:rPr>
          <w:sz w:val="16"/>
          <w:szCs w:val="16"/>
        </w:rPr>
      </w:pPr>
      <w:r w:rsidRPr="00C317F7">
        <w:rPr>
          <w:sz w:val="16"/>
          <w:szCs w:val="16"/>
        </w:rPr>
        <w:t>* Dr. Zümrüt</w:t>
      </w:r>
      <w:r w:rsidR="00500C2E" w:rsidRPr="00C317F7">
        <w:rPr>
          <w:sz w:val="16"/>
          <w:szCs w:val="16"/>
        </w:rPr>
        <w:t xml:space="preserve"> </w:t>
      </w:r>
      <w:r w:rsidRPr="00C317F7">
        <w:rPr>
          <w:sz w:val="16"/>
          <w:szCs w:val="16"/>
        </w:rPr>
        <w:t>İmamoğlu, Betam, Research Associate.</w:t>
      </w:r>
    </w:p>
    <w:p w:rsidR="00A2686F" w:rsidRPr="00C317F7" w:rsidRDefault="00A2686F" w:rsidP="00A2686F">
      <w:pPr>
        <w:spacing w:line="288" w:lineRule="auto"/>
        <w:ind w:left="-360" w:right="-318"/>
        <w:jc w:val="both"/>
        <w:rPr>
          <w:sz w:val="16"/>
          <w:szCs w:val="16"/>
        </w:rPr>
      </w:pPr>
      <w:r w:rsidRPr="00C317F7">
        <w:rPr>
          <w:sz w:val="16"/>
          <w:szCs w:val="16"/>
        </w:rPr>
        <w:t xml:space="preserve">  zumrut.imamoglu@bahcesehir.edu.tr</w:t>
      </w:r>
    </w:p>
    <w:p w:rsidR="00A2686F" w:rsidRPr="00C317F7" w:rsidRDefault="00A2686F" w:rsidP="00A2686F">
      <w:pPr>
        <w:spacing w:line="288" w:lineRule="auto"/>
        <w:ind w:left="-360" w:right="-318"/>
        <w:jc w:val="both"/>
        <w:rPr>
          <w:sz w:val="16"/>
          <w:szCs w:val="16"/>
        </w:rPr>
      </w:pPr>
      <w:r w:rsidRPr="00C317F7">
        <w:rPr>
          <w:sz w:val="16"/>
          <w:szCs w:val="16"/>
          <w:vertAlign w:val="superscript"/>
        </w:rPr>
        <w:t xml:space="preserve">† </w:t>
      </w:r>
      <w:r w:rsidRPr="00C317F7">
        <w:rPr>
          <w:sz w:val="16"/>
          <w:szCs w:val="16"/>
        </w:rPr>
        <w:t>Barış</w:t>
      </w:r>
      <w:r w:rsidR="00500C2E" w:rsidRPr="00C317F7">
        <w:rPr>
          <w:sz w:val="16"/>
          <w:szCs w:val="16"/>
        </w:rPr>
        <w:t xml:space="preserve"> </w:t>
      </w:r>
      <w:r w:rsidRPr="00C317F7">
        <w:rPr>
          <w:sz w:val="16"/>
          <w:szCs w:val="16"/>
        </w:rPr>
        <w:t>Soybilgen, Betam, Research Assistant,</w:t>
      </w:r>
    </w:p>
    <w:p w:rsidR="006454DC" w:rsidRPr="00C317F7" w:rsidRDefault="00C8451F" w:rsidP="00736C84">
      <w:pPr>
        <w:ind w:left="-360"/>
        <w:rPr>
          <w:sz w:val="16"/>
          <w:szCs w:val="16"/>
        </w:rPr>
      </w:pPr>
      <w:r w:rsidRPr="00C317F7">
        <w:rPr>
          <w:sz w:val="16"/>
          <w:szCs w:val="16"/>
        </w:rPr>
        <w:t xml:space="preserve">  </w:t>
      </w:r>
      <w:r w:rsidR="00E81CDD" w:rsidRPr="00C317F7">
        <w:rPr>
          <w:sz w:val="16"/>
          <w:szCs w:val="16"/>
        </w:rPr>
        <w:t>baris.soybilgen@bahcesehir.edu.tr</w:t>
      </w:r>
    </w:p>
    <w:p w:rsidR="007D4F28" w:rsidRDefault="007D4F28" w:rsidP="008C38E5">
      <w:pPr>
        <w:ind w:left="-360" w:right="42"/>
        <w:jc w:val="both"/>
        <w:rPr>
          <w:b/>
          <w:sz w:val="22"/>
          <w:szCs w:val="22"/>
        </w:rPr>
      </w:pPr>
    </w:p>
    <w:p w:rsidR="007D4F28" w:rsidRDefault="007D4F28" w:rsidP="008C38E5">
      <w:pPr>
        <w:ind w:left="-360" w:right="42"/>
        <w:jc w:val="both"/>
        <w:rPr>
          <w:b/>
          <w:sz w:val="22"/>
          <w:szCs w:val="22"/>
        </w:rPr>
      </w:pPr>
    </w:p>
    <w:p w:rsidR="00BE56E0" w:rsidRDefault="00BE56E0" w:rsidP="001F275D">
      <w:pPr>
        <w:ind w:right="42"/>
        <w:jc w:val="both"/>
        <w:rPr>
          <w:b/>
          <w:sz w:val="22"/>
          <w:szCs w:val="22"/>
        </w:rPr>
      </w:pPr>
    </w:p>
    <w:p w:rsidR="008E32CB" w:rsidRPr="008B2149" w:rsidRDefault="008C38E5" w:rsidP="008C38E5">
      <w:pPr>
        <w:ind w:left="-360" w:right="42"/>
        <w:jc w:val="both"/>
        <w:rPr>
          <w:b/>
          <w:sz w:val="22"/>
          <w:szCs w:val="22"/>
        </w:rPr>
      </w:pPr>
      <w:r w:rsidRPr="008B2149">
        <w:rPr>
          <w:b/>
          <w:sz w:val="22"/>
          <w:szCs w:val="22"/>
        </w:rPr>
        <w:lastRenderedPageBreak/>
        <w:t>Table 1.</w:t>
      </w:r>
      <w:r w:rsidR="00C317F7">
        <w:rPr>
          <w:b/>
          <w:sz w:val="22"/>
          <w:szCs w:val="22"/>
        </w:rPr>
        <w:t xml:space="preserve"> </w:t>
      </w:r>
      <w:r w:rsidRPr="008B2149">
        <w:rPr>
          <w:b/>
          <w:sz w:val="22"/>
          <w:szCs w:val="22"/>
        </w:rPr>
        <w:t>Betam’s quarterly and annual growth rate forecasts</w:t>
      </w:r>
    </w:p>
    <w:tbl>
      <w:tblPr>
        <w:tblpPr w:leftFromText="141" w:rightFromText="141" w:vertAnchor="text" w:horzAnchor="margin" w:tblpXSpec="right" w:tblpY="129"/>
        <w:tblW w:w="4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02"/>
        <w:gridCol w:w="1186"/>
      </w:tblGrid>
      <w:tr w:rsidR="00BE56E0" w:rsidRPr="008B2149" w:rsidTr="00BE56E0">
        <w:trPr>
          <w:trHeight w:val="986"/>
        </w:trPr>
        <w:tc>
          <w:tcPr>
            <w:tcW w:w="3302" w:type="dxa"/>
            <w:tcBorders>
              <w:right w:val="single" w:sz="4" w:space="0" w:color="auto"/>
            </w:tcBorders>
            <w:tcMar>
              <w:left w:w="28" w:type="dxa"/>
              <w:right w:w="28" w:type="dxa"/>
            </w:tcMar>
            <w:vAlign w:val="center"/>
          </w:tcPr>
          <w:p w:rsidR="00BE56E0" w:rsidRPr="008B2149" w:rsidRDefault="00BE56E0" w:rsidP="00A878F4">
            <w:pPr>
              <w:ind w:right="42"/>
              <w:jc w:val="center"/>
              <w:rPr>
                <w:sz w:val="20"/>
                <w:szCs w:val="20"/>
              </w:rPr>
            </w:pPr>
          </w:p>
        </w:tc>
        <w:tc>
          <w:tcPr>
            <w:tcW w:w="1186" w:type="dxa"/>
            <w:tcBorders>
              <w:left w:val="single" w:sz="4" w:space="0" w:color="auto"/>
            </w:tcBorders>
            <w:tcMar>
              <w:left w:w="0" w:type="dxa"/>
              <w:right w:w="0" w:type="dxa"/>
            </w:tcMar>
            <w:vAlign w:val="center"/>
          </w:tcPr>
          <w:p w:rsidR="00BE56E0" w:rsidRPr="008B2149" w:rsidRDefault="00BE56E0" w:rsidP="00A878F4">
            <w:pPr>
              <w:ind w:right="40"/>
              <w:jc w:val="center"/>
              <w:rPr>
                <w:b/>
                <w:sz w:val="20"/>
                <w:szCs w:val="20"/>
              </w:rPr>
            </w:pPr>
            <w:r w:rsidRPr="008B2149">
              <w:rPr>
                <w:b/>
                <w:sz w:val="20"/>
                <w:szCs w:val="20"/>
              </w:rPr>
              <w:t>2012</w:t>
            </w:r>
          </w:p>
          <w:p w:rsidR="00BE56E0" w:rsidRPr="008B2149" w:rsidRDefault="00D62EB2" w:rsidP="001116C3">
            <w:pPr>
              <w:ind w:right="40"/>
              <w:jc w:val="center"/>
              <w:rPr>
                <w:b/>
                <w:sz w:val="20"/>
                <w:szCs w:val="20"/>
              </w:rPr>
            </w:pPr>
            <w:r>
              <w:rPr>
                <w:b/>
                <w:sz w:val="20"/>
                <w:szCs w:val="20"/>
              </w:rPr>
              <w:t>4</w:t>
            </w:r>
            <w:r w:rsidRPr="00D62EB2">
              <w:rPr>
                <w:b/>
                <w:sz w:val="20"/>
                <w:szCs w:val="20"/>
                <w:vertAlign w:val="superscript"/>
              </w:rPr>
              <w:t>th</w:t>
            </w:r>
            <w:r w:rsidR="00BE56E0" w:rsidRPr="008B2149">
              <w:rPr>
                <w:b/>
                <w:sz w:val="20"/>
                <w:szCs w:val="20"/>
              </w:rPr>
              <w:t xml:space="preserve"> Quarter Forecast</w:t>
            </w:r>
          </w:p>
        </w:tc>
      </w:tr>
      <w:tr w:rsidR="00BE56E0" w:rsidRPr="008B2149" w:rsidTr="00BE56E0">
        <w:trPr>
          <w:trHeight w:val="771"/>
        </w:trPr>
        <w:tc>
          <w:tcPr>
            <w:tcW w:w="3302" w:type="dxa"/>
            <w:tcBorders>
              <w:right w:val="single" w:sz="4" w:space="0" w:color="auto"/>
            </w:tcBorders>
            <w:tcMar>
              <w:left w:w="28" w:type="dxa"/>
              <w:right w:w="28" w:type="dxa"/>
            </w:tcMar>
            <w:vAlign w:val="center"/>
          </w:tcPr>
          <w:p w:rsidR="00BE56E0" w:rsidRPr="008B2149" w:rsidRDefault="00BE56E0" w:rsidP="004716A6">
            <w:pPr>
              <w:spacing w:line="360" w:lineRule="auto"/>
              <w:ind w:right="42"/>
              <w:rPr>
                <w:b/>
                <w:sz w:val="20"/>
                <w:szCs w:val="20"/>
              </w:rPr>
            </w:pPr>
            <w:r w:rsidRPr="008B2149">
              <w:rPr>
                <w:b/>
                <w:sz w:val="20"/>
                <w:szCs w:val="20"/>
              </w:rPr>
              <w:t xml:space="preserve">Real GDP growth, % </w:t>
            </w:r>
          </w:p>
          <w:p w:rsidR="00BE56E0" w:rsidRPr="008B2149" w:rsidRDefault="00BE56E0" w:rsidP="004716A6">
            <w:pPr>
              <w:ind w:right="42"/>
              <w:rPr>
                <w:sz w:val="20"/>
                <w:szCs w:val="20"/>
              </w:rPr>
            </w:pPr>
            <w:r w:rsidRPr="008B2149">
              <w:rPr>
                <w:sz w:val="20"/>
                <w:szCs w:val="20"/>
              </w:rPr>
              <w:t>(quarter on quarter, sa*)</w:t>
            </w:r>
          </w:p>
        </w:tc>
        <w:tc>
          <w:tcPr>
            <w:tcW w:w="1186" w:type="dxa"/>
            <w:tcBorders>
              <w:left w:val="single" w:sz="4" w:space="0" w:color="auto"/>
            </w:tcBorders>
            <w:vAlign w:val="center"/>
          </w:tcPr>
          <w:p w:rsidR="00BE56E0" w:rsidRPr="008B2149" w:rsidRDefault="00CF4040" w:rsidP="004716A6">
            <w:pPr>
              <w:ind w:right="42"/>
              <w:jc w:val="center"/>
              <w:rPr>
                <w:sz w:val="20"/>
                <w:szCs w:val="20"/>
              </w:rPr>
            </w:pPr>
            <w:r>
              <w:rPr>
                <w:sz w:val="20"/>
                <w:szCs w:val="20"/>
              </w:rPr>
              <w:t>1.2</w:t>
            </w:r>
          </w:p>
        </w:tc>
      </w:tr>
      <w:tr w:rsidR="00BE56E0" w:rsidRPr="008B2149" w:rsidTr="00BE56E0">
        <w:trPr>
          <w:trHeight w:val="756"/>
        </w:trPr>
        <w:tc>
          <w:tcPr>
            <w:tcW w:w="3302" w:type="dxa"/>
            <w:tcBorders>
              <w:right w:val="single" w:sz="4" w:space="0" w:color="auto"/>
            </w:tcBorders>
            <w:tcMar>
              <w:left w:w="28" w:type="dxa"/>
              <w:right w:w="28" w:type="dxa"/>
            </w:tcMar>
            <w:vAlign w:val="center"/>
          </w:tcPr>
          <w:p w:rsidR="00BE56E0" w:rsidRPr="008B2149" w:rsidRDefault="00BE56E0" w:rsidP="004716A6">
            <w:pPr>
              <w:spacing w:line="360" w:lineRule="auto"/>
              <w:ind w:right="42"/>
              <w:rPr>
                <w:sz w:val="20"/>
                <w:szCs w:val="20"/>
              </w:rPr>
            </w:pPr>
            <w:r w:rsidRPr="008B2149">
              <w:rPr>
                <w:b/>
                <w:sz w:val="20"/>
                <w:szCs w:val="20"/>
              </w:rPr>
              <w:t>Real GDP growth, %</w:t>
            </w:r>
          </w:p>
          <w:p w:rsidR="00BE56E0" w:rsidRPr="008B2149" w:rsidRDefault="00BE56E0" w:rsidP="004716A6">
            <w:pPr>
              <w:ind w:right="42"/>
              <w:rPr>
                <w:sz w:val="20"/>
                <w:szCs w:val="20"/>
              </w:rPr>
            </w:pPr>
            <w:r w:rsidRPr="008B2149">
              <w:rPr>
                <w:sz w:val="20"/>
                <w:szCs w:val="20"/>
              </w:rPr>
              <w:t>(year on year, ca**)</w:t>
            </w:r>
          </w:p>
        </w:tc>
        <w:tc>
          <w:tcPr>
            <w:tcW w:w="1186" w:type="dxa"/>
            <w:tcBorders>
              <w:left w:val="single" w:sz="4" w:space="0" w:color="auto"/>
            </w:tcBorders>
            <w:vAlign w:val="center"/>
          </w:tcPr>
          <w:p w:rsidR="00BE56E0" w:rsidRPr="008B2149" w:rsidRDefault="00CF4040" w:rsidP="004716A6">
            <w:pPr>
              <w:ind w:right="42"/>
              <w:jc w:val="center"/>
              <w:rPr>
                <w:sz w:val="20"/>
                <w:szCs w:val="20"/>
              </w:rPr>
            </w:pPr>
            <w:r>
              <w:rPr>
                <w:sz w:val="20"/>
                <w:szCs w:val="20"/>
              </w:rPr>
              <w:t>3.0</w:t>
            </w:r>
          </w:p>
        </w:tc>
      </w:tr>
      <w:tr w:rsidR="00BE56E0" w:rsidRPr="008B2149" w:rsidTr="00BE56E0">
        <w:trPr>
          <w:trHeight w:val="583"/>
        </w:trPr>
        <w:tc>
          <w:tcPr>
            <w:tcW w:w="3302" w:type="dxa"/>
            <w:tcBorders>
              <w:right w:val="single" w:sz="4" w:space="0" w:color="auto"/>
            </w:tcBorders>
            <w:tcMar>
              <w:left w:w="28" w:type="dxa"/>
              <w:right w:w="28" w:type="dxa"/>
            </w:tcMar>
            <w:vAlign w:val="center"/>
          </w:tcPr>
          <w:p w:rsidR="00BE56E0" w:rsidRPr="008B2149" w:rsidRDefault="00BE56E0" w:rsidP="004716A6">
            <w:pPr>
              <w:spacing w:line="360" w:lineRule="auto"/>
              <w:ind w:right="42"/>
              <w:rPr>
                <w:sz w:val="20"/>
                <w:szCs w:val="20"/>
              </w:rPr>
            </w:pPr>
            <w:r w:rsidRPr="008B2149">
              <w:rPr>
                <w:b/>
                <w:sz w:val="20"/>
                <w:szCs w:val="20"/>
              </w:rPr>
              <w:t>Current account deficit</w:t>
            </w:r>
          </w:p>
          <w:p w:rsidR="00BE56E0" w:rsidRPr="008B2149" w:rsidRDefault="00BE56E0" w:rsidP="004716A6">
            <w:pPr>
              <w:ind w:right="40"/>
              <w:rPr>
                <w:sz w:val="20"/>
                <w:szCs w:val="20"/>
              </w:rPr>
            </w:pPr>
            <w:r w:rsidRPr="008B2149">
              <w:rPr>
                <w:sz w:val="20"/>
                <w:szCs w:val="20"/>
              </w:rPr>
              <w:t>(% of GDP, annual)</w:t>
            </w:r>
          </w:p>
        </w:tc>
        <w:tc>
          <w:tcPr>
            <w:tcW w:w="1186" w:type="dxa"/>
            <w:tcBorders>
              <w:left w:val="single" w:sz="4" w:space="0" w:color="auto"/>
            </w:tcBorders>
            <w:vAlign w:val="center"/>
          </w:tcPr>
          <w:p w:rsidR="00BE56E0" w:rsidRPr="008B2149" w:rsidRDefault="00CF4040" w:rsidP="004716A6">
            <w:pPr>
              <w:ind w:right="40"/>
              <w:jc w:val="center"/>
              <w:rPr>
                <w:sz w:val="20"/>
                <w:szCs w:val="20"/>
              </w:rPr>
            </w:pPr>
            <w:r>
              <w:rPr>
                <w:sz w:val="20"/>
                <w:szCs w:val="20"/>
              </w:rPr>
              <w:t>6.</w:t>
            </w:r>
            <w:r w:rsidR="00C8451F">
              <w:rPr>
                <w:sz w:val="20"/>
                <w:szCs w:val="20"/>
              </w:rPr>
              <w:t>4</w:t>
            </w:r>
          </w:p>
        </w:tc>
      </w:tr>
      <w:tr w:rsidR="00D62EB2" w:rsidRPr="008B2149" w:rsidTr="00BE56E0">
        <w:trPr>
          <w:trHeight w:val="583"/>
        </w:trPr>
        <w:tc>
          <w:tcPr>
            <w:tcW w:w="3302" w:type="dxa"/>
            <w:tcBorders>
              <w:right w:val="single" w:sz="4" w:space="0" w:color="auto"/>
            </w:tcBorders>
            <w:tcMar>
              <w:left w:w="28" w:type="dxa"/>
              <w:right w:w="28" w:type="dxa"/>
            </w:tcMar>
            <w:vAlign w:val="center"/>
          </w:tcPr>
          <w:p w:rsidR="00D62EB2" w:rsidRPr="008B2149" w:rsidRDefault="00D62EB2" w:rsidP="004716A6">
            <w:pPr>
              <w:spacing w:line="360" w:lineRule="auto"/>
              <w:ind w:right="42"/>
              <w:rPr>
                <w:b/>
                <w:sz w:val="20"/>
                <w:szCs w:val="20"/>
              </w:rPr>
            </w:pPr>
          </w:p>
        </w:tc>
        <w:tc>
          <w:tcPr>
            <w:tcW w:w="1186" w:type="dxa"/>
            <w:tcBorders>
              <w:left w:val="single" w:sz="4" w:space="0" w:color="auto"/>
            </w:tcBorders>
            <w:vAlign w:val="center"/>
          </w:tcPr>
          <w:p w:rsidR="00D62EB2" w:rsidRPr="00102FC6" w:rsidRDefault="00102FC6" w:rsidP="004716A6">
            <w:pPr>
              <w:ind w:right="40"/>
              <w:jc w:val="center"/>
              <w:rPr>
                <w:b/>
                <w:sz w:val="20"/>
                <w:szCs w:val="20"/>
              </w:rPr>
            </w:pPr>
            <w:r w:rsidRPr="00102FC6">
              <w:rPr>
                <w:b/>
                <w:sz w:val="20"/>
                <w:szCs w:val="20"/>
              </w:rPr>
              <w:t>2012 Annual Growth</w:t>
            </w:r>
          </w:p>
        </w:tc>
      </w:tr>
      <w:tr w:rsidR="00102FC6" w:rsidRPr="008B2149" w:rsidTr="00BE56E0">
        <w:trPr>
          <w:trHeight w:val="583"/>
        </w:trPr>
        <w:tc>
          <w:tcPr>
            <w:tcW w:w="3302" w:type="dxa"/>
            <w:tcBorders>
              <w:right w:val="single" w:sz="4" w:space="0" w:color="auto"/>
            </w:tcBorders>
            <w:tcMar>
              <w:left w:w="28" w:type="dxa"/>
              <w:right w:w="28" w:type="dxa"/>
            </w:tcMar>
            <w:vAlign w:val="center"/>
          </w:tcPr>
          <w:p w:rsidR="00102FC6" w:rsidRPr="008B2149" w:rsidRDefault="00102FC6" w:rsidP="004716A6">
            <w:pPr>
              <w:spacing w:line="360" w:lineRule="auto"/>
              <w:ind w:right="42"/>
              <w:rPr>
                <w:b/>
                <w:sz w:val="20"/>
                <w:szCs w:val="20"/>
              </w:rPr>
            </w:pPr>
            <w:r>
              <w:rPr>
                <w:b/>
                <w:sz w:val="20"/>
                <w:szCs w:val="20"/>
              </w:rPr>
              <w:t xml:space="preserve">Real GDP growth, % </w:t>
            </w:r>
          </w:p>
        </w:tc>
        <w:tc>
          <w:tcPr>
            <w:tcW w:w="1186" w:type="dxa"/>
            <w:tcBorders>
              <w:left w:val="single" w:sz="4" w:space="0" w:color="auto"/>
            </w:tcBorders>
            <w:vAlign w:val="center"/>
          </w:tcPr>
          <w:p w:rsidR="00102FC6" w:rsidRDefault="00CF4040" w:rsidP="004716A6">
            <w:pPr>
              <w:ind w:right="40"/>
              <w:jc w:val="center"/>
              <w:rPr>
                <w:sz w:val="20"/>
                <w:szCs w:val="20"/>
              </w:rPr>
            </w:pPr>
            <w:r>
              <w:rPr>
                <w:sz w:val="20"/>
                <w:szCs w:val="20"/>
              </w:rPr>
              <w:t>2.7</w:t>
            </w:r>
          </w:p>
        </w:tc>
      </w:tr>
    </w:tbl>
    <w:p w:rsidR="008C38E5" w:rsidRPr="008B2149" w:rsidRDefault="008C38E5" w:rsidP="00BE56E0">
      <w:pPr>
        <w:ind w:right="40"/>
        <w:rPr>
          <w:sz w:val="4"/>
          <w:szCs w:val="4"/>
        </w:rPr>
      </w:pPr>
    </w:p>
    <w:p w:rsidR="008C38E5" w:rsidRPr="008B2149" w:rsidRDefault="008C38E5" w:rsidP="008C38E5">
      <w:pPr>
        <w:ind w:left="-360" w:right="40"/>
        <w:jc w:val="both"/>
        <w:rPr>
          <w:rFonts w:ascii="Arial" w:hAnsi="Arial" w:cs="Arial"/>
          <w:sz w:val="16"/>
          <w:szCs w:val="16"/>
        </w:rPr>
      </w:pPr>
      <w:r w:rsidRPr="008B2149">
        <w:rPr>
          <w:rFonts w:ascii="Arial" w:hAnsi="Arial" w:cs="Arial"/>
          <w:sz w:val="16"/>
          <w:szCs w:val="16"/>
        </w:rPr>
        <w:t>Source: Betam</w:t>
      </w:r>
    </w:p>
    <w:p w:rsidR="008C38E5" w:rsidRPr="008B2149" w:rsidRDefault="008C38E5" w:rsidP="008C38E5">
      <w:pPr>
        <w:ind w:left="-360" w:right="40"/>
        <w:jc w:val="both"/>
        <w:rPr>
          <w:rFonts w:ascii="Arial" w:hAnsi="Arial" w:cs="Arial"/>
          <w:sz w:val="16"/>
          <w:szCs w:val="16"/>
        </w:rPr>
      </w:pPr>
      <w:r w:rsidRPr="008B2149">
        <w:rPr>
          <w:rFonts w:ascii="Arial" w:hAnsi="Arial" w:cs="Arial"/>
          <w:sz w:val="16"/>
          <w:szCs w:val="16"/>
        </w:rPr>
        <w:t xml:space="preserve"> *sa: seasonally and calendar day adjusted </w:t>
      </w:r>
    </w:p>
    <w:p w:rsidR="00383A6E" w:rsidRPr="008B2149" w:rsidRDefault="008C38E5" w:rsidP="008C38E5">
      <w:pPr>
        <w:spacing w:line="360" w:lineRule="auto"/>
        <w:ind w:left="-360" w:right="42"/>
        <w:jc w:val="both"/>
        <w:rPr>
          <w:rFonts w:ascii="Arial" w:hAnsi="Arial" w:cs="Arial"/>
          <w:sz w:val="20"/>
          <w:szCs w:val="20"/>
        </w:rPr>
      </w:pPr>
      <w:r w:rsidRPr="008B2149">
        <w:rPr>
          <w:rFonts w:ascii="Arial" w:hAnsi="Arial" w:cs="Arial"/>
          <w:sz w:val="16"/>
          <w:szCs w:val="16"/>
        </w:rPr>
        <w:t xml:space="preserve"> **ca: calendar day adjusted</w:t>
      </w:r>
    </w:p>
    <w:p w:rsidR="008B74EE" w:rsidRDefault="008B74EE" w:rsidP="008B74EE">
      <w:pPr>
        <w:rPr>
          <w:b/>
          <w:sz w:val="22"/>
          <w:szCs w:val="22"/>
        </w:rPr>
      </w:pPr>
    </w:p>
    <w:p w:rsidR="00B12FD3" w:rsidRDefault="00B12FD3" w:rsidP="008B74EE">
      <w:pPr>
        <w:ind w:left="-360"/>
        <w:rPr>
          <w:b/>
          <w:sz w:val="22"/>
          <w:szCs w:val="22"/>
        </w:rPr>
      </w:pPr>
    </w:p>
    <w:p w:rsidR="001F275D" w:rsidRPr="005743FF" w:rsidRDefault="00C8451F" w:rsidP="001F275D">
      <w:pPr>
        <w:ind w:left="-360"/>
        <w:jc w:val="center"/>
        <w:rPr>
          <w:b/>
          <w:bCs/>
          <w:sz w:val="22"/>
          <w:szCs w:val="22"/>
        </w:rPr>
      </w:pPr>
      <w:r>
        <w:rPr>
          <w:b/>
          <w:bCs/>
          <w:sz w:val="22"/>
          <w:szCs w:val="22"/>
        </w:rPr>
        <w:t>Domestic demand driven growth cause</w:t>
      </w:r>
      <w:r w:rsidR="007E51AB">
        <w:rPr>
          <w:b/>
          <w:bCs/>
          <w:sz w:val="22"/>
          <w:szCs w:val="22"/>
        </w:rPr>
        <w:t>s</w:t>
      </w:r>
      <w:r>
        <w:rPr>
          <w:b/>
          <w:bCs/>
          <w:sz w:val="22"/>
          <w:szCs w:val="22"/>
        </w:rPr>
        <w:t xml:space="preserve"> net exports to contribute negatively</w:t>
      </w:r>
    </w:p>
    <w:p w:rsidR="008C38E5" w:rsidRPr="008B2149" w:rsidRDefault="008C38E5" w:rsidP="008C38E5">
      <w:pPr>
        <w:spacing w:line="360" w:lineRule="auto"/>
        <w:ind w:left="-360" w:right="42"/>
        <w:rPr>
          <w:b/>
          <w:sz w:val="22"/>
          <w:szCs w:val="22"/>
        </w:rPr>
      </w:pPr>
    </w:p>
    <w:p w:rsidR="006C2BFE" w:rsidRDefault="00AD63AE" w:rsidP="006C2BFE">
      <w:pPr>
        <w:spacing w:line="360" w:lineRule="auto"/>
        <w:ind w:left="-360" w:right="42"/>
        <w:jc w:val="both"/>
        <w:rPr>
          <w:sz w:val="22"/>
          <w:szCs w:val="22"/>
        </w:rPr>
      </w:pPr>
      <w:r>
        <w:rPr>
          <w:sz w:val="22"/>
          <w:szCs w:val="22"/>
        </w:rPr>
        <w:t>The revival in the economy beco</w:t>
      </w:r>
      <w:r w:rsidR="006C2BFE">
        <w:rPr>
          <w:sz w:val="22"/>
          <w:szCs w:val="22"/>
        </w:rPr>
        <w:t>me</w:t>
      </w:r>
      <w:r>
        <w:rPr>
          <w:sz w:val="22"/>
          <w:szCs w:val="22"/>
        </w:rPr>
        <w:t>s more</w:t>
      </w:r>
      <w:r w:rsidR="006C2BFE">
        <w:rPr>
          <w:sz w:val="22"/>
          <w:szCs w:val="22"/>
        </w:rPr>
        <w:t xml:space="preserve"> </w:t>
      </w:r>
      <w:r>
        <w:rPr>
          <w:sz w:val="22"/>
          <w:szCs w:val="22"/>
        </w:rPr>
        <w:t>clear after</w:t>
      </w:r>
      <w:r w:rsidR="00F238EE">
        <w:rPr>
          <w:sz w:val="22"/>
          <w:szCs w:val="22"/>
        </w:rPr>
        <w:t xml:space="preserve"> the data release for</w:t>
      </w:r>
      <w:r>
        <w:rPr>
          <w:sz w:val="22"/>
          <w:szCs w:val="22"/>
        </w:rPr>
        <w:t xml:space="preserve"> November</w:t>
      </w:r>
      <w:r w:rsidR="006C2BFE">
        <w:rPr>
          <w:sz w:val="22"/>
          <w:szCs w:val="22"/>
        </w:rPr>
        <w:t xml:space="preserve">. The increase in imports is a significant </w:t>
      </w:r>
      <w:r w:rsidR="00BB53AD">
        <w:rPr>
          <w:sz w:val="22"/>
          <w:szCs w:val="22"/>
        </w:rPr>
        <w:t>indicator of the recovery in</w:t>
      </w:r>
      <w:r w:rsidR="006C2BFE">
        <w:rPr>
          <w:sz w:val="22"/>
          <w:szCs w:val="22"/>
        </w:rPr>
        <w:t xml:space="preserve"> domestic demand. Even though </w:t>
      </w:r>
      <w:r w:rsidR="00BB53AD">
        <w:rPr>
          <w:sz w:val="22"/>
          <w:szCs w:val="22"/>
        </w:rPr>
        <w:t xml:space="preserve">the </w:t>
      </w:r>
      <w:r w:rsidR="006C2BFE">
        <w:rPr>
          <w:sz w:val="22"/>
          <w:szCs w:val="22"/>
        </w:rPr>
        <w:t>IPI does</w:t>
      </w:r>
      <w:r w:rsidR="00CF3257">
        <w:rPr>
          <w:sz w:val="22"/>
          <w:szCs w:val="22"/>
        </w:rPr>
        <w:t xml:space="preserve"> not</w:t>
      </w:r>
      <w:r w:rsidR="006C2BFE">
        <w:rPr>
          <w:sz w:val="22"/>
          <w:szCs w:val="22"/>
        </w:rPr>
        <w:t xml:space="preserve"> indicate a </w:t>
      </w:r>
      <w:r w:rsidR="00CF3257">
        <w:rPr>
          <w:sz w:val="22"/>
          <w:szCs w:val="22"/>
        </w:rPr>
        <w:t>strong</w:t>
      </w:r>
      <w:r w:rsidR="006C2BFE">
        <w:rPr>
          <w:sz w:val="22"/>
          <w:szCs w:val="22"/>
        </w:rPr>
        <w:t xml:space="preserve"> recovery, the increase in December capacity utilization rate is a positive </w:t>
      </w:r>
      <w:r w:rsidR="00BB53AD">
        <w:rPr>
          <w:sz w:val="22"/>
          <w:szCs w:val="22"/>
        </w:rPr>
        <w:t>sign for industrial production</w:t>
      </w:r>
      <w:r w:rsidR="006C2BFE">
        <w:rPr>
          <w:sz w:val="22"/>
          <w:szCs w:val="22"/>
        </w:rPr>
        <w:t>. Consumer and investment goods imports continue</w:t>
      </w:r>
      <w:r w:rsidR="00CF3257">
        <w:rPr>
          <w:sz w:val="22"/>
          <w:szCs w:val="22"/>
        </w:rPr>
        <w:t>d</w:t>
      </w:r>
      <w:r w:rsidR="006C2BFE">
        <w:rPr>
          <w:sz w:val="22"/>
          <w:szCs w:val="22"/>
        </w:rPr>
        <w:t xml:space="preserve"> </w:t>
      </w:r>
      <w:r w:rsidR="00CF3257">
        <w:rPr>
          <w:sz w:val="22"/>
          <w:szCs w:val="22"/>
        </w:rPr>
        <w:t>to rise</w:t>
      </w:r>
      <w:r w:rsidR="006C2BFE">
        <w:rPr>
          <w:sz w:val="22"/>
          <w:szCs w:val="22"/>
        </w:rPr>
        <w:t xml:space="preserve"> </w:t>
      </w:r>
      <w:r w:rsidR="00CF3257">
        <w:rPr>
          <w:sz w:val="22"/>
          <w:szCs w:val="22"/>
        </w:rPr>
        <w:t>in November.</w:t>
      </w:r>
      <w:r w:rsidR="006C2BFE">
        <w:rPr>
          <w:sz w:val="22"/>
          <w:szCs w:val="22"/>
        </w:rPr>
        <w:t xml:space="preserve"> </w:t>
      </w:r>
      <w:r w:rsidR="00CF3257">
        <w:rPr>
          <w:sz w:val="22"/>
          <w:szCs w:val="22"/>
        </w:rPr>
        <w:t>The c</w:t>
      </w:r>
      <w:r w:rsidR="006C2BFE">
        <w:rPr>
          <w:sz w:val="22"/>
          <w:szCs w:val="22"/>
        </w:rPr>
        <w:t>onsumer confidence index showed strong recovery</w:t>
      </w:r>
      <w:r w:rsidR="008954D6">
        <w:rPr>
          <w:sz w:val="22"/>
          <w:szCs w:val="22"/>
        </w:rPr>
        <w:t xml:space="preserve"> for the</w:t>
      </w:r>
      <w:r w:rsidR="006C2BFE">
        <w:rPr>
          <w:sz w:val="22"/>
          <w:szCs w:val="22"/>
        </w:rPr>
        <w:t xml:space="preserve"> first time in the last four months. Real sector confidence index fell </w:t>
      </w:r>
      <w:r w:rsidR="006C2BFE">
        <w:rPr>
          <w:sz w:val="22"/>
          <w:szCs w:val="22"/>
        </w:rPr>
        <w:lastRenderedPageBreak/>
        <w:t>slightly in December, but</w:t>
      </w:r>
      <w:r w:rsidR="00DB209F">
        <w:rPr>
          <w:sz w:val="22"/>
          <w:szCs w:val="22"/>
        </w:rPr>
        <w:t xml:space="preserve"> </w:t>
      </w:r>
      <w:r w:rsidR="006C2BFE">
        <w:rPr>
          <w:sz w:val="22"/>
          <w:szCs w:val="22"/>
        </w:rPr>
        <w:t xml:space="preserve">it </w:t>
      </w:r>
      <w:r w:rsidR="005B19CA">
        <w:rPr>
          <w:sz w:val="22"/>
          <w:szCs w:val="22"/>
        </w:rPr>
        <w:t>increased on a quarterly basis. O</w:t>
      </w:r>
      <w:r w:rsidR="006C2BFE">
        <w:rPr>
          <w:sz w:val="22"/>
          <w:szCs w:val="22"/>
        </w:rPr>
        <w:t xml:space="preserve">n the financial side, strong rally in the Istanbul Stock Exchange implies high growth for </w:t>
      </w:r>
      <w:r w:rsidR="005B19CA">
        <w:rPr>
          <w:sz w:val="22"/>
          <w:szCs w:val="22"/>
        </w:rPr>
        <w:t xml:space="preserve">both the last quarter of 2012 and </w:t>
      </w:r>
      <w:r w:rsidR="006C2BFE">
        <w:rPr>
          <w:sz w:val="22"/>
          <w:szCs w:val="22"/>
        </w:rPr>
        <w:t>the first quarter of</w:t>
      </w:r>
      <w:r w:rsidR="005B19CA">
        <w:rPr>
          <w:sz w:val="22"/>
          <w:szCs w:val="22"/>
        </w:rPr>
        <w:t xml:space="preserve"> 2013. Interest rates for bank</w:t>
      </w:r>
      <w:r w:rsidR="006C2BFE">
        <w:rPr>
          <w:sz w:val="22"/>
          <w:szCs w:val="22"/>
        </w:rPr>
        <w:t xml:space="preserve"> loans continue </w:t>
      </w:r>
      <w:r w:rsidR="005B19CA">
        <w:rPr>
          <w:sz w:val="22"/>
          <w:szCs w:val="22"/>
        </w:rPr>
        <w:t>to decline (Figure 4). Rates for housing loans have fa</w:t>
      </w:r>
      <w:r w:rsidR="006C2BFE">
        <w:rPr>
          <w:sz w:val="22"/>
          <w:szCs w:val="22"/>
        </w:rPr>
        <w:t>ll</w:t>
      </w:r>
      <w:r w:rsidR="005B19CA">
        <w:rPr>
          <w:sz w:val="22"/>
          <w:szCs w:val="22"/>
        </w:rPr>
        <w:t>en</w:t>
      </w:r>
      <w:r w:rsidR="006C2BFE">
        <w:rPr>
          <w:sz w:val="22"/>
          <w:szCs w:val="22"/>
        </w:rPr>
        <w:t xml:space="preserve"> </w:t>
      </w:r>
      <w:r w:rsidR="005B19CA">
        <w:rPr>
          <w:sz w:val="22"/>
          <w:szCs w:val="22"/>
        </w:rPr>
        <w:t xml:space="preserve">down </w:t>
      </w:r>
      <w:r w:rsidR="006C2BFE">
        <w:rPr>
          <w:sz w:val="22"/>
          <w:szCs w:val="22"/>
        </w:rPr>
        <w:t xml:space="preserve">to all time low levels </w:t>
      </w:r>
      <w:r w:rsidR="00944BC4">
        <w:rPr>
          <w:sz w:val="22"/>
          <w:szCs w:val="22"/>
        </w:rPr>
        <w:t>of</w:t>
      </w:r>
      <w:r w:rsidR="006C2BFE">
        <w:rPr>
          <w:sz w:val="22"/>
          <w:szCs w:val="22"/>
        </w:rPr>
        <w:t xml:space="preserve"> 2010. </w:t>
      </w:r>
      <w:r w:rsidR="005B19CA">
        <w:rPr>
          <w:sz w:val="22"/>
          <w:szCs w:val="22"/>
        </w:rPr>
        <w:t>Rates</w:t>
      </w:r>
      <w:r w:rsidR="006C2BFE">
        <w:rPr>
          <w:sz w:val="22"/>
          <w:szCs w:val="22"/>
        </w:rPr>
        <w:t xml:space="preserve"> for other loans are</w:t>
      </w:r>
      <w:r w:rsidR="005B19CA">
        <w:rPr>
          <w:sz w:val="22"/>
          <w:szCs w:val="22"/>
        </w:rPr>
        <w:t xml:space="preserve"> still slightly</w:t>
      </w:r>
      <w:r w:rsidR="006C2BFE">
        <w:rPr>
          <w:sz w:val="22"/>
          <w:szCs w:val="22"/>
        </w:rPr>
        <w:t xml:space="preserve"> above 2010 levels. </w:t>
      </w:r>
      <w:r w:rsidR="00944BC4">
        <w:rPr>
          <w:sz w:val="22"/>
          <w:szCs w:val="22"/>
        </w:rPr>
        <w:t>The f</w:t>
      </w:r>
      <w:r w:rsidR="006C2BFE">
        <w:rPr>
          <w:sz w:val="22"/>
          <w:szCs w:val="22"/>
        </w:rPr>
        <w:t xml:space="preserve">all in interest rates cause the speed of credit growth to increase for the first time </w:t>
      </w:r>
      <w:r w:rsidR="005B19CA">
        <w:rPr>
          <w:sz w:val="22"/>
          <w:szCs w:val="22"/>
        </w:rPr>
        <w:t>this year</w:t>
      </w:r>
      <w:r w:rsidR="006C2BFE">
        <w:rPr>
          <w:sz w:val="22"/>
          <w:szCs w:val="22"/>
        </w:rPr>
        <w:t xml:space="preserve"> (Table 3).</w:t>
      </w:r>
      <w:r w:rsidR="00944BC4">
        <w:rPr>
          <w:sz w:val="22"/>
          <w:szCs w:val="22"/>
        </w:rPr>
        <w:t xml:space="preserve"> Bank</w:t>
      </w:r>
      <w:r w:rsidR="006C2BFE">
        <w:rPr>
          <w:sz w:val="22"/>
          <w:szCs w:val="22"/>
        </w:rPr>
        <w:t xml:space="preserve"> </w:t>
      </w:r>
      <w:r w:rsidR="002B4D99">
        <w:rPr>
          <w:sz w:val="22"/>
          <w:szCs w:val="22"/>
        </w:rPr>
        <w:t>loans</w:t>
      </w:r>
      <w:r w:rsidR="00944BC4">
        <w:rPr>
          <w:sz w:val="22"/>
          <w:szCs w:val="22"/>
        </w:rPr>
        <w:t>,</w:t>
      </w:r>
      <w:r w:rsidR="006C2BFE">
        <w:rPr>
          <w:sz w:val="22"/>
          <w:szCs w:val="22"/>
        </w:rPr>
        <w:t xml:space="preserve"> </w:t>
      </w:r>
      <w:r w:rsidR="00944BC4">
        <w:rPr>
          <w:sz w:val="22"/>
          <w:szCs w:val="22"/>
        </w:rPr>
        <w:t>which</w:t>
      </w:r>
      <w:r w:rsidR="006C2BFE">
        <w:rPr>
          <w:sz w:val="22"/>
          <w:szCs w:val="22"/>
        </w:rPr>
        <w:t xml:space="preserve"> accelerate</w:t>
      </w:r>
      <w:r w:rsidR="00833C7C">
        <w:rPr>
          <w:sz w:val="22"/>
          <w:szCs w:val="22"/>
        </w:rPr>
        <w:t>d</w:t>
      </w:r>
      <w:r w:rsidR="006C2BFE">
        <w:rPr>
          <w:sz w:val="22"/>
          <w:szCs w:val="22"/>
        </w:rPr>
        <w:t xml:space="preserve"> after the 2009 crisis</w:t>
      </w:r>
      <w:r w:rsidR="00944BC4">
        <w:rPr>
          <w:sz w:val="22"/>
          <w:szCs w:val="22"/>
        </w:rPr>
        <w:t>,</w:t>
      </w:r>
      <w:r w:rsidR="00833C7C">
        <w:rPr>
          <w:sz w:val="22"/>
          <w:szCs w:val="22"/>
        </w:rPr>
        <w:t xml:space="preserve"> decelerated</w:t>
      </w:r>
      <w:r w:rsidR="006C2BFE">
        <w:rPr>
          <w:sz w:val="22"/>
          <w:szCs w:val="22"/>
        </w:rPr>
        <w:t xml:space="preserve"> in 2011 and </w:t>
      </w:r>
      <w:r w:rsidR="00833C7C">
        <w:rPr>
          <w:sz w:val="22"/>
          <w:szCs w:val="22"/>
        </w:rPr>
        <w:t>have slowed</w:t>
      </w:r>
      <w:r w:rsidR="006C2BFE">
        <w:rPr>
          <w:sz w:val="22"/>
          <w:szCs w:val="22"/>
        </w:rPr>
        <w:t xml:space="preserve"> down</w:t>
      </w:r>
      <w:r w:rsidR="00944BC4">
        <w:rPr>
          <w:sz w:val="22"/>
          <w:szCs w:val="22"/>
        </w:rPr>
        <w:t xml:space="preserve"> since </w:t>
      </w:r>
      <w:r w:rsidR="006C2BFE">
        <w:rPr>
          <w:sz w:val="22"/>
          <w:szCs w:val="22"/>
        </w:rPr>
        <w:t xml:space="preserve">the last quarter of 2011. We observe that the speed of credit growth </w:t>
      </w:r>
      <w:r w:rsidR="0091302D">
        <w:rPr>
          <w:sz w:val="22"/>
          <w:szCs w:val="22"/>
        </w:rPr>
        <w:t>has turned</w:t>
      </w:r>
      <w:r w:rsidR="006C2BFE">
        <w:rPr>
          <w:sz w:val="22"/>
          <w:szCs w:val="22"/>
        </w:rPr>
        <w:t xml:space="preserve"> posit</w:t>
      </w:r>
      <w:r w:rsidR="00944BC4">
        <w:rPr>
          <w:sz w:val="22"/>
          <w:szCs w:val="22"/>
        </w:rPr>
        <w:t>ive in the last qu</w:t>
      </w:r>
      <w:r w:rsidR="0091302D">
        <w:rPr>
          <w:sz w:val="22"/>
          <w:szCs w:val="22"/>
        </w:rPr>
        <w:t>arter of 2012, even though it remains to be</w:t>
      </w:r>
      <w:r w:rsidR="00944BC4">
        <w:rPr>
          <w:sz w:val="22"/>
          <w:szCs w:val="22"/>
        </w:rPr>
        <w:t xml:space="preserve"> </w:t>
      </w:r>
      <w:r w:rsidR="0091302D">
        <w:rPr>
          <w:sz w:val="22"/>
          <w:szCs w:val="22"/>
        </w:rPr>
        <w:t>small</w:t>
      </w:r>
      <w:r w:rsidR="00944BC4">
        <w:rPr>
          <w:sz w:val="22"/>
          <w:szCs w:val="22"/>
        </w:rPr>
        <w:t>.</w:t>
      </w:r>
      <w:r w:rsidR="006C2BFE">
        <w:rPr>
          <w:sz w:val="22"/>
          <w:szCs w:val="22"/>
        </w:rPr>
        <w:t xml:space="preserve">    </w:t>
      </w:r>
    </w:p>
    <w:p w:rsidR="006C2BFE" w:rsidRDefault="006C2BFE" w:rsidP="006C2BFE">
      <w:pPr>
        <w:spacing w:line="360" w:lineRule="auto"/>
        <w:ind w:left="-360" w:right="42"/>
        <w:jc w:val="both"/>
        <w:rPr>
          <w:sz w:val="22"/>
          <w:szCs w:val="22"/>
        </w:rPr>
      </w:pPr>
      <w:r>
        <w:rPr>
          <w:sz w:val="22"/>
          <w:szCs w:val="22"/>
        </w:rPr>
        <w:t xml:space="preserve">     </w:t>
      </w:r>
    </w:p>
    <w:p w:rsidR="006C2BFE" w:rsidRDefault="006C2BFE" w:rsidP="006C2BFE">
      <w:pPr>
        <w:spacing w:line="360" w:lineRule="auto"/>
        <w:ind w:left="-360" w:right="42"/>
        <w:jc w:val="both"/>
        <w:rPr>
          <w:sz w:val="22"/>
          <w:szCs w:val="22"/>
        </w:rPr>
      </w:pPr>
      <w:r>
        <w:rPr>
          <w:sz w:val="22"/>
          <w:szCs w:val="22"/>
        </w:rPr>
        <w:t xml:space="preserve">The </w:t>
      </w:r>
      <w:r w:rsidR="00944BC4">
        <w:rPr>
          <w:sz w:val="22"/>
          <w:szCs w:val="22"/>
        </w:rPr>
        <w:t xml:space="preserve">revival in </w:t>
      </w:r>
      <w:r w:rsidR="00467ACF">
        <w:rPr>
          <w:sz w:val="22"/>
          <w:szCs w:val="22"/>
        </w:rPr>
        <w:t xml:space="preserve">domestic demand in </w:t>
      </w:r>
      <w:r w:rsidR="00944BC4">
        <w:rPr>
          <w:sz w:val="22"/>
          <w:szCs w:val="22"/>
        </w:rPr>
        <w:t xml:space="preserve">the last quarter </w:t>
      </w:r>
      <w:r w:rsidR="00467ACF">
        <w:rPr>
          <w:sz w:val="22"/>
          <w:szCs w:val="22"/>
        </w:rPr>
        <w:t>boosts contribution of consumption and investment to growth</w:t>
      </w:r>
      <w:r w:rsidR="00944BC4">
        <w:rPr>
          <w:sz w:val="22"/>
          <w:szCs w:val="22"/>
        </w:rPr>
        <w:t>, but reduces</w:t>
      </w:r>
      <w:r>
        <w:rPr>
          <w:sz w:val="22"/>
          <w:szCs w:val="22"/>
        </w:rPr>
        <w:t xml:space="preserve"> </w:t>
      </w:r>
      <w:r w:rsidR="00467ACF">
        <w:rPr>
          <w:sz w:val="22"/>
          <w:szCs w:val="22"/>
        </w:rPr>
        <w:t xml:space="preserve">that of </w:t>
      </w:r>
      <w:r>
        <w:rPr>
          <w:sz w:val="22"/>
          <w:szCs w:val="22"/>
        </w:rPr>
        <w:t>net exports</w:t>
      </w:r>
      <w:r w:rsidR="00467ACF">
        <w:rPr>
          <w:sz w:val="22"/>
          <w:szCs w:val="22"/>
        </w:rPr>
        <w:t xml:space="preserve"> since the exports are not enough to compensate for the increase in imports</w:t>
      </w:r>
      <w:r>
        <w:rPr>
          <w:sz w:val="22"/>
          <w:szCs w:val="22"/>
        </w:rPr>
        <w:t xml:space="preserve">. The fall </w:t>
      </w:r>
      <w:r w:rsidR="00467ACF">
        <w:rPr>
          <w:sz w:val="22"/>
          <w:szCs w:val="22"/>
        </w:rPr>
        <w:t xml:space="preserve">in </w:t>
      </w:r>
      <w:r>
        <w:rPr>
          <w:sz w:val="22"/>
          <w:szCs w:val="22"/>
        </w:rPr>
        <w:t>exports</w:t>
      </w:r>
      <w:r w:rsidR="00467ACF">
        <w:rPr>
          <w:sz w:val="22"/>
          <w:szCs w:val="22"/>
        </w:rPr>
        <w:t xml:space="preserve"> in November</w:t>
      </w:r>
      <w:r>
        <w:rPr>
          <w:sz w:val="22"/>
          <w:szCs w:val="22"/>
        </w:rPr>
        <w:t xml:space="preserve"> is mainly caused by the decline in </w:t>
      </w:r>
      <w:r w:rsidR="00467ACF">
        <w:rPr>
          <w:sz w:val="22"/>
          <w:szCs w:val="22"/>
        </w:rPr>
        <w:t xml:space="preserve">exports of </w:t>
      </w:r>
      <w:r>
        <w:rPr>
          <w:sz w:val="22"/>
          <w:szCs w:val="22"/>
        </w:rPr>
        <w:t>gold</w:t>
      </w:r>
      <w:r w:rsidR="00467ACF">
        <w:rPr>
          <w:sz w:val="22"/>
          <w:szCs w:val="22"/>
        </w:rPr>
        <w:t xml:space="preserve"> to Iran</w:t>
      </w:r>
      <w:r>
        <w:rPr>
          <w:sz w:val="22"/>
          <w:szCs w:val="22"/>
        </w:rPr>
        <w:t xml:space="preserve">. According to Betam’s calculations, </w:t>
      </w:r>
      <w:r w:rsidR="00F55BB2">
        <w:rPr>
          <w:sz w:val="22"/>
          <w:szCs w:val="22"/>
        </w:rPr>
        <w:t xml:space="preserve">exports excluding </w:t>
      </w:r>
      <w:r w:rsidR="00D1434F">
        <w:rPr>
          <w:sz w:val="22"/>
          <w:szCs w:val="22"/>
        </w:rPr>
        <w:t>gold</w:t>
      </w:r>
      <w:r>
        <w:rPr>
          <w:sz w:val="22"/>
          <w:szCs w:val="22"/>
        </w:rPr>
        <w:t xml:space="preserve"> surged in the fourth quarter. However, the increase in imports which is fuelled by the revival in domestic demand </w:t>
      </w:r>
      <w:r w:rsidR="00932093">
        <w:rPr>
          <w:sz w:val="22"/>
          <w:szCs w:val="22"/>
        </w:rPr>
        <w:t>might cause</w:t>
      </w:r>
      <w:r>
        <w:rPr>
          <w:sz w:val="22"/>
          <w:szCs w:val="22"/>
        </w:rPr>
        <w:t xml:space="preserve"> net exports </w:t>
      </w:r>
      <w:r w:rsidR="00944BC4">
        <w:rPr>
          <w:sz w:val="22"/>
          <w:szCs w:val="22"/>
        </w:rPr>
        <w:t>to contribute negatively</w:t>
      </w:r>
      <w:r w:rsidR="00932093">
        <w:rPr>
          <w:sz w:val="22"/>
          <w:szCs w:val="22"/>
        </w:rPr>
        <w:t xml:space="preserve"> to growth</w:t>
      </w:r>
      <w:r w:rsidR="00944BC4">
        <w:rPr>
          <w:sz w:val="22"/>
          <w:szCs w:val="22"/>
        </w:rPr>
        <w:t>.</w:t>
      </w:r>
      <w:r>
        <w:rPr>
          <w:sz w:val="22"/>
          <w:szCs w:val="22"/>
        </w:rPr>
        <w:t xml:space="preserve"> In line with Betam’s forecasts, the contribution of net exports to GDP</w:t>
      </w:r>
      <w:r w:rsidR="0007515D">
        <w:rPr>
          <w:sz w:val="22"/>
          <w:szCs w:val="22"/>
        </w:rPr>
        <w:t xml:space="preserve"> growth</w:t>
      </w:r>
      <w:r>
        <w:rPr>
          <w:sz w:val="22"/>
          <w:szCs w:val="22"/>
        </w:rPr>
        <w:t xml:space="preserve"> was </w:t>
      </w:r>
      <w:r w:rsidR="004A6333">
        <w:rPr>
          <w:sz w:val="22"/>
          <w:szCs w:val="22"/>
        </w:rPr>
        <w:t xml:space="preserve">positive but </w:t>
      </w:r>
      <w:r>
        <w:rPr>
          <w:sz w:val="22"/>
          <w:szCs w:val="22"/>
        </w:rPr>
        <w:t>very limited</w:t>
      </w:r>
      <w:r w:rsidR="00944BC4">
        <w:rPr>
          <w:sz w:val="22"/>
          <w:szCs w:val="22"/>
        </w:rPr>
        <w:t xml:space="preserve"> in the third quarter</w:t>
      </w:r>
      <w:r>
        <w:rPr>
          <w:sz w:val="22"/>
          <w:szCs w:val="22"/>
        </w:rPr>
        <w:t>.</w:t>
      </w:r>
      <w:r>
        <w:rPr>
          <w:rStyle w:val="FootnoteReference"/>
          <w:sz w:val="22"/>
          <w:szCs w:val="22"/>
        </w:rPr>
        <w:footnoteReference w:id="2"/>
      </w:r>
      <w:r>
        <w:rPr>
          <w:sz w:val="22"/>
          <w:szCs w:val="22"/>
        </w:rPr>
        <w:t xml:space="preserve"> We expect the contribution of net exports </w:t>
      </w:r>
      <w:r w:rsidR="0007515D">
        <w:rPr>
          <w:sz w:val="22"/>
          <w:szCs w:val="22"/>
        </w:rPr>
        <w:t>to turn</w:t>
      </w:r>
      <w:r>
        <w:rPr>
          <w:sz w:val="22"/>
          <w:szCs w:val="22"/>
        </w:rPr>
        <w:t xml:space="preserve"> n</w:t>
      </w:r>
      <w:r w:rsidR="007E041E">
        <w:rPr>
          <w:sz w:val="22"/>
          <w:szCs w:val="22"/>
        </w:rPr>
        <w:t>egative in the fourth quarter. T</w:t>
      </w:r>
      <w:r>
        <w:rPr>
          <w:sz w:val="22"/>
          <w:szCs w:val="22"/>
        </w:rPr>
        <w:t xml:space="preserve">his </w:t>
      </w:r>
      <w:r w:rsidR="00422F8A">
        <w:rPr>
          <w:sz w:val="22"/>
          <w:szCs w:val="22"/>
        </w:rPr>
        <w:t>implies</w:t>
      </w:r>
      <w:r>
        <w:rPr>
          <w:sz w:val="22"/>
          <w:szCs w:val="22"/>
        </w:rPr>
        <w:t xml:space="preserve"> that domestic demand driven growth </w:t>
      </w:r>
      <w:r w:rsidR="007E041E">
        <w:rPr>
          <w:sz w:val="22"/>
          <w:szCs w:val="22"/>
        </w:rPr>
        <w:t xml:space="preserve">regime </w:t>
      </w:r>
      <w:r w:rsidR="00422F8A">
        <w:rPr>
          <w:sz w:val="22"/>
          <w:szCs w:val="22"/>
        </w:rPr>
        <w:t>is making a comeback</w:t>
      </w:r>
      <w:r>
        <w:rPr>
          <w:sz w:val="22"/>
          <w:szCs w:val="22"/>
        </w:rPr>
        <w:t xml:space="preserve">. </w:t>
      </w:r>
    </w:p>
    <w:p w:rsidR="006C2BFE" w:rsidRDefault="006C2BFE" w:rsidP="0087056B">
      <w:pPr>
        <w:spacing w:line="360" w:lineRule="auto"/>
        <w:ind w:right="42"/>
        <w:jc w:val="both"/>
        <w:rPr>
          <w:sz w:val="22"/>
          <w:szCs w:val="22"/>
        </w:rPr>
      </w:pPr>
    </w:p>
    <w:p w:rsidR="00E8064F" w:rsidRPr="006C2BFE" w:rsidRDefault="007E041E" w:rsidP="006C2BFE">
      <w:pPr>
        <w:spacing w:line="360" w:lineRule="auto"/>
        <w:ind w:left="-360" w:right="42"/>
        <w:jc w:val="both"/>
        <w:rPr>
          <w:sz w:val="22"/>
          <w:szCs w:val="22"/>
        </w:rPr>
      </w:pPr>
      <w:r>
        <w:rPr>
          <w:sz w:val="22"/>
          <w:szCs w:val="22"/>
        </w:rPr>
        <w:lastRenderedPageBreak/>
        <w:t xml:space="preserve">Even though the </w:t>
      </w:r>
      <w:r w:rsidR="00E57FF6">
        <w:rPr>
          <w:sz w:val="22"/>
          <w:szCs w:val="22"/>
        </w:rPr>
        <w:t>revival</w:t>
      </w:r>
      <w:r>
        <w:rPr>
          <w:sz w:val="22"/>
          <w:szCs w:val="22"/>
        </w:rPr>
        <w:t xml:space="preserve"> in domestic demand bec</w:t>
      </w:r>
      <w:r w:rsidR="00E57FF6">
        <w:rPr>
          <w:sz w:val="22"/>
          <w:szCs w:val="22"/>
        </w:rPr>
        <w:t>ame</w:t>
      </w:r>
      <w:r>
        <w:rPr>
          <w:sz w:val="22"/>
          <w:szCs w:val="22"/>
        </w:rPr>
        <w:t xml:space="preserve"> clearer</w:t>
      </w:r>
      <w:r w:rsidR="00E57FF6">
        <w:rPr>
          <w:sz w:val="22"/>
          <w:szCs w:val="22"/>
        </w:rPr>
        <w:t xml:space="preserve"> after November data release</w:t>
      </w:r>
      <w:r>
        <w:rPr>
          <w:sz w:val="22"/>
          <w:szCs w:val="22"/>
        </w:rPr>
        <w:t xml:space="preserve">, </w:t>
      </w:r>
      <w:r w:rsidR="006C2BFE">
        <w:rPr>
          <w:sz w:val="22"/>
          <w:szCs w:val="22"/>
        </w:rPr>
        <w:t>we keep our 4</w:t>
      </w:r>
      <w:r w:rsidR="006C2BFE" w:rsidRPr="00C62C51">
        <w:rPr>
          <w:sz w:val="22"/>
          <w:szCs w:val="22"/>
          <w:vertAlign w:val="superscript"/>
        </w:rPr>
        <w:t>th</w:t>
      </w:r>
      <w:r w:rsidR="006C2BFE">
        <w:rPr>
          <w:sz w:val="22"/>
          <w:szCs w:val="22"/>
        </w:rPr>
        <w:t xml:space="preserve"> quarter growth forecasts same</w:t>
      </w:r>
      <w:r w:rsidR="00E57FF6">
        <w:rPr>
          <w:sz w:val="22"/>
          <w:szCs w:val="22"/>
        </w:rPr>
        <w:t xml:space="preserve"> as previous month</w:t>
      </w:r>
      <w:r>
        <w:rPr>
          <w:sz w:val="22"/>
          <w:szCs w:val="22"/>
        </w:rPr>
        <w:t>.</w:t>
      </w:r>
      <w:r w:rsidR="006C2BFE">
        <w:rPr>
          <w:sz w:val="22"/>
          <w:szCs w:val="22"/>
        </w:rPr>
        <w:t xml:space="preserve"> Betam’s quarter on quarter (QoQ) growth forecast for the fourth quarter of 2012 is 1.2 percent. The corresponding year of Year (YoY) growth rate i</w:t>
      </w:r>
      <w:r>
        <w:rPr>
          <w:sz w:val="22"/>
          <w:szCs w:val="22"/>
        </w:rPr>
        <w:t>s 3.0 percent and the annual GDP</w:t>
      </w:r>
      <w:r w:rsidR="006C2BFE">
        <w:rPr>
          <w:sz w:val="22"/>
          <w:szCs w:val="22"/>
        </w:rPr>
        <w:t xml:space="preserve"> growth rate estimate for 2012 is 2.7 percent. We revised our current account deficit forecast from 6.3 percent to 6.4 percent</w:t>
      </w:r>
      <w:r w:rsidR="0072379E">
        <w:rPr>
          <w:sz w:val="22"/>
          <w:szCs w:val="22"/>
        </w:rPr>
        <w:t xml:space="preserve"> due to increase in imports</w:t>
      </w:r>
      <w:r w:rsidR="006C2BFE">
        <w:rPr>
          <w:sz w:val="22"/>
          <w:szCs w:val="22"/>
        </w:rPr>
        <w:t xml:space="preserve">. </w:t>
      </w:r>
    </w:p>
    <w:p w:rsidR="00A74D70" w:rsidRDefault="00A74D70" w:rsidP="00DD6027">
      <w:pPr>
        <w:spacing w:line="360" w:lineRule="auto"/>
        <w:ind w:left="-360" w:right="-48"/>
        <w:jc w:val="center"/>
        <w:rPr>
          <w:b/>
          <w:bCs/>
          <w:sz w:val="22"/>
          <w:szCs w:val="22"/>
        </w:rPr>
      </w:pPr>
    </w:p>
    <w:p w:rsidR="00542834" w:rsidRDefault="00683B0E" w:rsidP="00DD6027">
      <w:pPr>
        <w:spacing w:line="360" w:lineRule="auto"/>
        <w:ind w:left="-360" w:right="-48"/>
        <w:jc w:val="center"/>
        <w:rPr>
          <w:b/>
          <w:bCs/>
          <w:sz w:val="22"/>
          <w:szCs w:val="22"/>
        </w:rPr>
      </w:pPr>
      <w:r>
        <w:rPr>
          <w:b/>
          <w:bCs/>
          <w:sz w:val="22"/>
          <w:szCs w:val="22"/>
        </w:rPr>
        <w:t xml:space="preserve">Outlook for </w:t>
      </w:r>
      <w:r w:rsidR="00A74D70">
        <w:rPr>
          <w:b/>
          <w:bCs/>
          <w:sz w:val="22"/>
          <w:szCs w:val="22"/>
        </w:rPr>
        <w:t>economic</w:t>
      </w:r>
      <w:r w:rsidR="00DD6027" w:rsidRPr="00DD6027">
        <w:rPr>
          <w:b/>
          <w:bCs/>
          <w:sz w:val="22"/>
          <w:szCs w:val="22"/>
        </w:rPr>
        <w:t xml:space="preserve"> growth</w:t>
      </w:r>
    </w:p>
    <w:p w:rsidR="001A0237" w:rsidRDefault="001A0237" w:rsidP="00DD6027">
      <w:pPr>
        <w:spacing w:line="360" w:lineRule="auto"/>
        <w:ind w:left="-360" w:right="-48"/>
        <w:jc w:val="center"/>
        <w:rPr>
          <w:b/>
          <w:bCs/>
          <w:sz w:val="22"/>
          <w:szCs w:val="22"/>
        </w:rPr>
      </w:pPr>
    </w:p>
    <w:p w:rsidR="007E041E" w:rsidRDefault="007E041E" w:rsidP="007E041E">
      <w:pPr>
        <w:spacing w:line="360" w:lineRule="auto"/>
        <w:ind w:left="-360" w:right="42"/>
        <w:jc w:val="both"/>
        <w:rPr>
          <w:sz w:val="22"/>
          <w:szCs w:val="22"/>
        </w:rPr>
      </w:pPr>
      <w:r>
        <w:rPr>
          <w:sz w:val="22"/>
          <w:szCs w:val="22"/>
        </w:rPr>
        <w:t>We expect the government expenditure</w:t>
      </w:r>
      <w:r w:rsidR="00D312DB">
        <w:rPr>
          <w:sz w:val="22"/>
          <w:szCs w:val="22"/>
        </w:rPr>
        <w:t>s,</w:t>
      </w:r>
      <w:r>
        <w:rPr>
          <w:sz w:val="22"/>
          <w:szCs w:val="22"/>
        </w:rPr>
        <w:t xml:space="preserve"> which</w:t>
      </w:r>
      <w:r w:rsidR="00D312DB">
        <w:rPr>
          <w:sz w:val="22"/>
          <w:szCs w:val="22"/>
        </w:rPr>
        <w:t xml:space="preserve"> contributed significantly to</w:t>
      </w:r>
      <w:r>
        <w:rPr>
          <w:sz w:val="22"/>
          <w:szCs w:val="22"/>
        </w:rPr>
        <w:t xml:space="preserve"> GDP growth in the third quarter</w:t>
      </w:r>
      <w:r w:rsidR="00D312DB">
        <w:rPr>
          <w:sz w:val="22"/>
          <w:szCs w:val="22"/>
        </w:rPr>
        <w:t>, to</w:t>
      </w:r>
      <w:r>
        <w:rPr>
          <w:sz w:val="22"/>
          <w:szCs w:val="22"/>
        </w:rPr>
        <w:t xml:space="preserve"> continue to </w:t>
      </w:r>
      <w:r w:rsidR="00D312DB">
        <w:rPr>
          <w:sz w:val="22"/>
          <w:szCs w:val="22"/>
        </w:rPr>
        <w:t>contribute positively to growth in the</w:t>
      </w:r>
      <w:r>
        <w:rPr>
          <w:sz w:val="22"/>
          <w:szCs w:val="22"/>
        </w:rPr>
        <w:t xml:space="preserve"> fourth quart</w:t>
      </w:r>
      <w:r w:rsidR="00D312DB">
        <w:rPr>
          <w:sz w:val="22"/>
          <w:szCs w:val="22"/>
        </w:rPr>
        <w:t>er. On the other hand, the Central B</w:t>
      </w:r>
      <w:r w:rsidR="00502586">
        <w:rPr>
          <w:sz w:val="22"/>
          <w:szCs w:val="22"/>
        </w:rPr>
        <w:t>ank of Turkey (CBRT) acted</w:t>
      </w:r>
      <w:r>
        <w:rPr>
          <w:sz w:val="22"/>
          <w:szCs w:val="22"/>
        </w:rPr>
        <w:t xml:space="preserve"> cautious</w:t>
      </w:r>
      <w:r w:rsidR="00502586">
        <w:rPr>
          <w:sz w:val="22"/>
          <w:szCs w:val="22"/>
        </w:rPr>
        <w:t>ly</w:t>
      </w:r>
      <w:r>
        <w:rPr>
          <w:sz w:val="22"/>
          <w:szCs w:val="22"/>
        </w:rPr>
        <w:t xml:space="preserve"> and d</w:t>
      </w:r>
      <w:r w:rsidR="00502586">
        <w:rPr>
          <w:sz w:val="22"/>
          <w:szCs w:val="22"/>
        </w:rPr>
        <w:t>id not</w:t>
      </w:r>
      <w:r>
        <w:rPr>
          <w:sz w:val="22"/>
          <w:szCs w:val="22"/>
        </w:rPr>
        <w:t xml:space="preserve"> reduce the lower bound of interest rate </w:t>
      </w:r>
      <w:r w:rsidR="006C4642">
        <w:rPr>
          <w:sz w:val="22"/>
          <w:szCs w:val="22"/>
        </w:rPr>
        <w:t>corridor</w:t>
      </w:r>
      <w:r w:rsidR="00502586">
        <w:rPr>
          <w:sz w:val="22"/>
          <w:szCs w:val="22"/>
        </w:rPr>
        <w:t xml:space="preserve"> in its December meeting</w:t>
      </w:r>
      <w:r>
        <w:rPr>
          <w:sz w:val="22"/>
          <w:szCs w:val="22"/>
        </w:rPr>
        <w:t>. CBRT ma</w:t>
      </w:r>
      <w:r w:rsidR="00502586">
        <w:rPr>
          <w:sz w:val="22"/>
          <w:szCs w:val="22"/>
        </w:rPr>
        <w:t>d</w:t>
      </w:r>
      <w:r>
        <w:rPr>
          <w:sz w:val="22"/>
          <w:szCs w:val="22"/>
        </w:rPr>
        <w:t>e a symbolic</w:t>
      </w:r>
      <w:r w:rsidR="00502586">
        <w:rPr>
          <w:sz w:val="22"/>
          <w:szCs w:val="22"/>
        </w:rPr>
        <w:t xml:space="preserve"> cut in the policy interest rate</w:t>
      </w:r>
      <w:r>
        <w:rPr>
          <w:sz w:val="22"/>
          <w:szCs w:val="22"/>
        </w:rPr>
        <w:t>.</w:t>
      </w:r>
      <w:r w:rsidR="00502586">
        <w:rPr>
          <w:sz w:val="22"/>
          <w:szCs w:val="22"/>
        </w:rPr>
        <w:t xml:space="preserve"> Only in January has the Bank lowered both the upper and lower bounds of the interest rate corridor.</w:t>
      </w:r>
      <w:r>
        <w:rPr>
          <w:sz w:val="22"/>
          <w:szCs w:val="22"/>
        </w:rPr>
        <w:t xml:space="preserve"> The decline in </w:t>
      </w:r>
      <w:r w:rsidR="00502586">
        <w:rPr>
          <w:sz w:val="22"/>
          <w:szCs w:val="22"/>
        </w:rPr>
        <w:t xml:space="preserve">the </w:t>
      </w:r>
      <w:r>
        <w:rPr>
          <w:sz w:val="22"/>
          <w:szCs w:val="22"/>
        </w:rPr>
        <w:t xml:space="preserve">current account deficit from 10 percent to </w:t>
      </w:r>
      <w:r w:rsidR="00502586">
        <w:rPr>
          <w:sz w:val="22"/>
          <w:szCs w:val="22"/>
        </w:rPr>
        <w:t xml:space="preserve">less than </w:t>
      </w:r>
      <w:r>
        <w:rPr>
          <w:sz w:val="22"/>
          <w:szCs w:val="22"/>
        </w:rPr>
        <w:t>7 percent</w:t>
      </w:r>
      <w:r w:rsidR="00502586">
        <w:rPr>
          <w:sz w:val="22"/>
          <w:szCs w:val="22"/>
        </w:rPr>
        <w:t xml:space="preserve"> in 2012</w:t>
      </w:r>
      <w:r>
        <w:rPr>
          <w:sz w:val="22"/>
          <w:szCs w:val="22"/>
        </w:rPr>
        <w:t xml:space="preserve"> and </w:t>
      </w:r>
      <w:r w:rsidR="00502586">
        <w:rPr>
          <w:sz w:val="22"/>
          <w:szCs w:val="22"/>
        </w:rPr>
        <w:t xml:space="preserve">the strong </w:t>
      </w:r>
      <w:r>
        <w:rPr>
          <w:sz w:val="22"/>
          <w:szCs w:val="22"/>
        </w:rPr>
        <w:t xml:space="preserve">fiscal </w:t>
      </w:r>
      <w:r w:rsidR="00502586">
        <w:rPr>
          <w:sz w:val="22"/>
          <w:szCs w:val="22"/>
        </w:rPr>
        <w:t>figures</w:t>
      </w:r>
      <w:r>
        <w:rPr>
          <w:sz w:val="22"/>
          <w:szCs w:val="22"/>
        </w:rPr>
        <w:t xml:space="preserve"> </w:t>
      </w:r>
      <w:r w:rsidR="00502586">
        <w:rPr>
          <w:sz w:val="22"/>
          <w:szCs w:val="22"/>
        </w:rPr>
        <w:t>are increase investors risk appetite</w:t>
      </w:r>
      <w:r>
        <w:rPr>
          <w:sz w:val="22"/>
          <w:szCs w:val="22"/>
        </w:rPr>
        <w:t xml:space="preserve">. Thus </w:t>
      </w:r>
      <w:r w:rsidR="00E16A20">
        <w:rPr>
          <w:sz w:val="22"/>
          <w:szCs w:val="22"/>
        </w:rPr>
        <w:t>capital inflows accelerate</w:t>
      </w:r>
      <w:r w:rsidR="00502586">
        <w:rPr>
          <w:sz w:val="22"/>
          <w:szCs w:val="22"/>
        </w:rPr>
        <w:t>d</w:t>
      </w:r>
      <w:r>
        <w:rPr>
          <w:sz w:val="22"/>
          <w:szCs w:val="22"/>
        </w:rPr>
        <w:t xml:space="preserve"> again. In the coming periods, </w:t>
      </w:r>
      <w:r w:rsidR="00C44A6C">
        <w:rPr>
          <w:sz w:val="22"/>
          <w:szCs w:val="22"/>
        </w:rPr>
        <w:t xml:space="preserve">there may be </w:t>
      </w:r>
      <w:r>
        <w:rPr>
          <w:sz w:val="22"/>
          <w:szCs w:val="22"/>
        </w:rPr>
        <w:t xml:space="preserve">needs some policy measures to prevent </w:t>
      </w:r>
      <w:r w:rsidR="00BD0DAF">
        <w:rPr>
          <w:sz w:val="22"/>
          <w:szCs w:val="22"/>
        </w:rPr>
        <w:t xml:space="preserve">financial instability and </w:t>
      </w:r>
      <w:r>
        <w:rPr>
          <w:sz w:val="22"/>
          <w:szCs w:val="22"/>
        </w:rPr>
        <w:t xml:space="preserve">increases in current account deficit.    </w:t>
      </w:r>
    </w:p>
    <w:p w:rsidR="00A74D70" w:rsidRDefault="00A74D70" w:rsidP="00FE7F40">
      <w:pPr>
        <w:spacing w:line="360" w:lineRule="auto"/>
        <w:ind w:left="-360" w:right="-48"/>
        <w:jc w:val="both"/>
        <w:rPr>
          <w:bCs/>
          <w:sz w:val="22"/>
          <w:szCs w:val="22"/>
        </w:rPr>
      </w:pPr>
    </w:p>
    <w:p w:rsidR="00E16A20" w:rsidRDefault="00E16A20" w:rsidP="00E16A20">
      <w:pPr>
        <w:spacing w:line="360" w:lineRule="auto"/>
        <w:ind w:right="42"/>
        <w:jc w:val="center"/>
        <w:rPr>
          <w:b/>
          <w:bCs/>
          <w:sz w:val="22"/>
          <w:szCs w:val="22"/>
        </w:rPr>
      </w:pPr>
      <w:r>
        <w:rPr>
          <w:b/>
          <w:bCs/>
          <w:sz w:val="22"/>
          <w:szCs w:val="22"/>
        </w:rPr>
        <w:t>Private consumption expenditure</w:t>
      </w:r>
      <w:r w:rsidR="00386866">
        <w:rPr>
          <w:b/>
          <w:bCs/>
          <w:sz w:val="22"/>
          <w:szCs w:val="22"/>
        </w:rPr>
        <w:t>s</w:t>
      </w:r>
      <w:r>
        <w:rPr>
          <w:b/>
          <w:bCs/>
          <w:sz w:val="22"/>
          <w:szCs w:val="22"/>
        </w:rPr>
        <w:t xml:space="preserve"> continue to rise</w:t>
      </w:r>
    </w:p>
    <w:p w:rsidR="00E16A20" w:rsidRDefault="00E16A20" w:rsidP="00E16A20">
      <w:pPr>
        <w:spacing w:line="360" w:lineRule="auto"/>
        <w:ind w:right="42"/>
        <w:jc w:val="center"/>
        <w:rPr>
          <w:b/>
          <w:bCs/>
          <w:sz w:val="22"/>
          <w:szCs w:val="22"/>
        </w:rPr>
      </w:pPr>
    </w:p>
    <w:p w:rsidR="00E16A20" w:rsidRDefault="007F2156" w:rsidP="00E16A20">
      <w:pPr>
        <w:spacing w:line="360" w:lineRule="auto"/>
        <w:ind w:left="-360" w:right="42"/>
        <w:jc w:val="both"/>
        <w:rPr>
          <w:sz w:val="22"/>
          <w:szCs w:val="22"/>
        </w:rPr>
      </w:pPr>
      <w:r>
        <w:rPr>
          <w:sz w:val="22"/>
          <w:szCs w:val="22"/>
        </w:rPr>
        <w:t>After the ongoing decline in the last three months</w:t>
      </w:r>
      <w:r w:rsidR="00E16A20">
        <w:rPr>
          <w:sz w:val="22"/>
          <w:szCs w:val="22"/>
        </w:rPr>
        <w:t xml:space="preserve">, consumer confidence index increased by 3.8 </w:t>
      </w:r>
      <w:r w:rsidR="00E16A20">
        <w:rPr>
          <w:sz w:val="22"/>
          <w:szCs w:val="22"/>
        </w:rPr>
        <w:lastRenderedPageBreak/>
        <w:t>percent in November.</w:t>
      </w:r>
      <w:r w:rsidR="008E7436">
        <w:rPr>
          <w:sz w:val="22"/>
          <w:szCs w:val="22"/>
        </w:rPr>
        <w:t xml:space="preserve"> Production of</w:t>
      </w:r>
      <w:r w:rsidR="002451C2">
        <w:rPr>
          <w:sz w:val="22"/>
          <w:szCs w:val="22"/>
        </w:rPr>
        <w:t xml:space="preserve"> </w:t>
      </w:r>
      <w:r w:rsidR="008E7436">
        <w:rPr>
          <w:sz w:val="22"/>
          <w:szCs w:val="22"/>
        </w:rPr>
        <w:t>n</w:t>
      </w:r>
      <w:r w:rsidR="002451C2">
        <w:rPr>
          <w:sz w:val="22"/>
          <w:szCs w:val="22"/>
        </w:rPr>
        <w:t>on</w:t>
      </w:r>
      <w:r w:rsidR="00E16A20">
        <w:rPr>
          <w:sz w:val="22"/>
          <w:szCs w:val="22"/>
        </w:rPr>
        <w:t>dura</w:t>
      </w:r>
      <w:r w:rsidR="008E7436">
        <w:rPr>
          <w:sz w:val="22"/>
          <w:szCs w:val="22"/>
        </w:rPr>
        <w:t>ble and durable consumer goods</w:t>
      </w:r>
      <w:r w:rsidR="00E16A20">
        <w:rPr>
          <w:sz w:val="22"/>
          <w:szCs w:val="22"/>
        </w:rPr>
        <w:t xml:space="preserve"> increased </w:t>
      </w:r>
      <w:r w:rsidR="002451C2">
        <w:rPr>
          <w:sz w:val="22"/>
          <w:szCs w:val="22"/>
        </w:rPr>
        <w:t>by</w:t>
      </w:r>
      <w:r w:rsidR="0087056B">
        <w:rPr>
          <w:sz w:val="22"/>
          <w:szCs w:val="22"/>
        </w:rPr>
        <w:t xml:space="preserve"> </w:t>
      </w:r>
      <w:r w:rsidR="00E16A20">
        <w:rPr>
          <w:sz w:val="22"/>
          <w:szCs w:val="22"/>
        </w:rPr>
        <w:t>0.6 percent and 6.1 percent</w:t>
      </w:r>
      <w:r w:rsidR="008E7436">
        <w:rPr>
          <w:sz w:val="22"/>
          <w:szCs w:val="22"/>
        </w:rPr>
        <w:t>,</w:t>
      </w:r>
      <w:r w:rsidR="00E16A20">
        <w:rPr>
          <w:sz w:val="22"/>
          <w:szCs w:val="22"/>
        </w:rPr>
        <w:t xml:space="preserve"> respectively</w:t>
      </w:r>
      <w:r w:rsidR="008E7436">
        <w:rPr>
          <w:sz w:val="22"/>
          <w:szCs w:val="22"/>
        </w:rPr>
        <w:t>,</w:t>
      </w:r>
      <w:r w:rsidR="002451C2">
        <w:rPr>
          <w:sz w:val="22"/>
          <w:szCs w:val="22"/>
        </w:rPr>
        <w:t xml:space="preserve"> in November</w:t>
      </w:r>
      <w:r w:rsidR="00E16A20">
        <w:rPr>
          <w:sz w:val="22"/>
          <w:szCs w:val="22"/>
        </w:rPr>
        <w:t xml:space="preserve">. Consumer goods imports </w:t>
      </w:r>
      <w:r w:rsidR="008E7436">
        <w:rPr>
          <w:sz w:val="22"/>
          <w:szCs w:val="22"/>
        </w:rPr>
        <w:t xml:space="preserve">have been </w:t>
      </w:r>
      <w:r w:rsidR="00E16A20">
        <w:rPr>
          <w:sz w:val="22"/>
          <w:szCs w:val="22"/>
        </w:rPr>
        <w:t>increas</w:t>
      </w:r>
      <w:r w:rsidR="008E7436">
        <w:rPr>
          <w:sz w:val="22"/>
          <w:szCs w:val="22"/>
        </w:rPr>
        <w:t>ing</w:t>
      </w:r>
      <w:r w:rsidR="00E16A20">
        <w:rPr>
          <w:sz w:val="22"/>
          <w:szCs w:val="22"/>
        </w:rPr>
        <w:t xml:space="preserve"> </w:t>
      </w:r>
      <w:r w:rsidR="008E7436">
        <w:rPr>
          <w:sz w:val="22"/>
          <w:szCs w:val="22"/>
        </w:rPr>
        <w:t>for</w:t>
      </w:r>
      <w:r w:rsidR="00E16A20">
        <w:rPr>
          <w:sz w:val="22"/>
          <w:szCs w:val="22"/>
        </w:rPr>
        <w:t xml:space="preserve"> the last</w:t>
      </w:r>
      <w:r w:rsidR="002451C2">
        <w:rPr>
          <w:sz w:val="22"/>
          <w:szCs w:val="22"/>
        </w:rPr>
        <w:t xml:space="preserve"> three</w:t>
      </w:r>
      <w:r w:rsidR="00E16A20">
        <w:rPr>
          <w:sz w:val="22"/>
          <w:szCs w:val="22"/>
        </w:rPr>
        <w:t xml:space="preserve"> months. Overall, we expect </w:t>
      </w:r>
      <w:r w:rsidR="00D61432">
        <w:rPr>
          <w:sz w:val="22"/>
          <w:szCs w:val="22"/>
        </w:rPr>
        <w:t>the</w:t>
      </w:r>
      <w:r w:rsidR="00E16A20">
        <w:rPr>
          <w:sz w:val="22"/>
          <w:szCs w:val="22"/>
        </w:rPr>
        <w:t xml:space="preserve"> private consumption expenditure</w:t>
      </w:r>
      <w:r w:rsidR="00D61432">
        <w:rPr>
          <w:sz w:val="22"/>
          <w:szCs w:val="22"/>
        </w:rPr>
        <w:t>s to</w:t>
      </w:r>
      <w:r w:rsidR="00E16A20">
        <w:rPr>
          <w:sz w:val="22"/>
          <w:szCs w:val="22"/>
        </w:rPr>
        <w:t xml:space="preserve"> increase in the last quarter </w:t>
      </w:r>
      <w:r w:rsidR="0091587A">
        <w:rPr>
          <w:sz w:val="22"/>
          <w:szCs w:val="22"/>
        </w:rPr>
        <w:t xml:space="preserve">of 2012 </w:t>
      </w:r>
      <w:r w:rsidR="00E16A20">
        <w:rPr>
          <w:sz w:val="22"/>
          <w:szCs w:val="22"/>
        </w:rPr>
        <w:t xml:space="preserve">from the third quarter. </w:t>
      </w:r>
    </w:p>
    <w:p w:rsidR="00E16A20" w:rsidRPr="002E6F87" w:rsidRDefault="00E16A20" w:rsidP="00E16A20">
      <w:pPr>
        <w:spacing w:line="360" w:lineRule="auto"/>
        <w:ind w:right="42"/>
        <w:jc w:val="both"/>
        <w:rPr>
          <w:sz w:val="22"/>
          <w:szCs w:val="22"/>
        </w:rPr>
      </w:pPr>
      <w:r>
        <w:rPr>
          <w:sz w:val="22"/>
          <w:szCs w:val="22"/>
        </w:rPr>
        <w:t xml:space="preserve">     </w:t>
      </w:r>
    </w:p>
    <w:p w:rsidR="00E16A20" w:rsidRDefault="00003E34" w:rsidP="00E16A20">
      <w:pPr>
        <w:spacing w:line="360" w:lineRule="auto"/>
        <w:ind w:left="-360" w:right="42"/>
        <w:jc w:val="center"/>
        <w:rPr>
          <w:b/>
          <w:bCs/>
          <w:sz w:val="22"/>
          <w:szCs w:val="22"/>
        </w:rPr>
      </w:pPr>
      <w:r>
        <w:rPr>
          <w:b/>
          <w:bCs/>
          <w:sz w:val="22"/>
          <w:szCs w:val="22"/>
        </w:rPr>
        <w:t xml:space="preserve">The contribution of investment is </w:t>
      </w:r>
      <w:r w:rsidR="00D82349">
        <w:rPr>
          <w:b/>
          <w:bCs/>
          <w:sz w:val="22"/>
          <w:szCs w:val="22"/>
        </w:rPr>
        <w:t>turning</w:t>
      </w:r>
      <w:r>
        <w:rPr>
          <w:b/>
          <w:bCs/>
          <w:sz w:val="22"/>
          <w:szCs w:val="22"/>
        </w:rPr>
        <w:t xml:space="preserve"> positive</w:t>
      </w:r>
    </w:p>
    <w:p w:rsidR="00E16A20" w:rsidRDefault="00E16A20" w:rsidP="00E16A20">
      <w:pPr>
        <w:spacing w:line="360" w:lineRule="auto"/>
        <w:ind w:left="-360" w:right="42"/>
        <w:jc w:val="center"/>
        <w:rPr>
          <w:b/>
          <w:bCs/>
          <w:sz w:val="22"/>
          <w:szCs w:val="22"/>
        </w:rPr>
      </w:pPr>
    </w:p>
    <w:p w:rsidR="00E16A20" w:rsidRDefault="00E16A20" w:rsidP="00E16A20">
      <w:pPr>
        <w:spacing w:line="360" w:lineRule="auto"/>
        <w:ind w:left="-360" w:right="42"/>
        <w:jc w:val="both"/>
        <w:rPr>
          <w:sz w:val="22"/>
          <w:szCs w:val="22"/>
        </w:rPr>
      </w:pPr>
      <w:r>
        <w:rPr>
          <w:sz w:val="22"/>
          <w:szCs w:val="22"/>
        </w:rPr>
        <w:t xml:space="preserve">After </w:t>
      </w:r>
      <w:r w:rsidR="00D83262">
        <w:rPr>
          <w:sz w:val="22"/>
          <w:szCs w:val="22"/>
        </w:rPr>
        <w:t xml:space="preserve">increasing </w:t>
      </w:r>
      <w:r w:rsidR="00003E34">
        <w:rPr>
          <w:sz w:val="22"/>
          <w:szCs w:val="22"/>
        </w:rPr>
        <w:t>continuous</w:t>
      </w:r>
      <w:r w:rsidR="00D83262">
        <w:rPr>
          <w:sz w:val="22"/>
          <w:szCs w:val="22"/>
        </w:rPr>
        <w:t>ly for three months, the</w:t>
      </w:r>
      <w:r>
        <w:rPr>
          <w:sz w:val="22"/>
          <w:szCs w:val="22"/>
        </w:rPr>
        <w:t xml:space="preserve"> real sector confidence index fell by 0.9 percent in December. However, it increased by 4.6 percent in the last quarter</w:t>
      </w:r>
      <w:r w:rsidR="00AE06D6">
        <w:rPr>
          <w:sz w:val="22"/>
          <w:szCs w:val="22"/>
        </w:rPr>
        <w:t xml:space="preserve"> from the third quarter</w:t>
      </w:r>
      <w:r>
        <w:rPr>
          <w:sz w:val="22"/>
          <w:szCs w:val="22"/>
        </w:rPr>
        <w:t>. Automobile production and in</w:t>
      </w:r>
      <w:r w:rsidR="00992BC5">
        <w:rPr>
          <w:sz w:val="22"/>
          <w:szCs w:val="22"/>
        </w:rPr>
        <w:t>vestment goods imports continue</w:t>
      </w:r>
      <w:r w:rsidR="00F574D7">
        <w:rPr>
          <w:sz w:val="22"/>
          <w:szCs w:val="22"/>
        </w:rPr>
        <w:t>d</w:t>
      </w:r>
      <w:r>
        <w:rPr>
          <w:sz w:val="22"/>
          <w:szCs w:val="22"/>
        </w:rPr>
        <w:t xml:space="preserve"> to increase</w:t>
      </w:r>
      <w:r w:rsidR="00F574D7">
        <w:rPr>
          <w:sz w:val="22"/>
          <w:szCs w:val="22"/>
        </w:rPr>
        <w:t xml:space="preserve"> in November following increases</w:t>
      </w:r>
      <w:r>
        <w:rPr>
          <w:sz w:val="22"/>
          <w:szCs w:val="22"/>
        </w:rPr>
        <w:t xml:space="preserve"> in the last</w:t>
      </w:r>
      <w:r w:rsidR="00992BC5">
        <w:rPr>
          <w:sz w:val="22"/>
          <w:szCs w:val="22"/>
        </w:rPr>
        <w:t xml:space="preserve"> four</w:t>
      </w:r>
      <w:r>
        <w:rPr>
          <w:sz w:val="22"/>
          <w:szCs w:val="22"/>
        </w:rPr>
        <w:t xml:space="preserve"> months. They increased by 1.4 percent and 5.8 percent</w:t>
      </w:r>
      <w:r w:rsidR="00F574D7">
        <w:rPr>
          <w:sz w:val="22"/>
          <w:szCs w:val="22"/>
        </w:rPr>
        <w:t>,</w:t>
      </w:r>
      <w:r>
        <w:rPr>
          <w:sz w:val="22"/>
          <w:szCs w:val="22"/>
        </w:rPr>
        <w:t xml:space="preserve"> respectively.</w:t>
      </w:r>
      <w:r w:rsidR="00992BC5">
        <w:rPr>
          <w:sz w:val="22"/>
          <w:szCs w:val="22"/>
        </w:rPr>
        <w:t xml:space="preserve"> In November, i</w:t>
      </w:r>
      <w:r>
        <w:rPr>
          <w:sz w:val="22"/>
          <w:szCs w:val="22"/>
        </w:rPr>
        <w:t xml:space="preserve">ntermediate goods production and </w:t>
      </w:r>
      <w:r w:rsidR="00D91644">
        <w:rPr>
          <w:sz w:val="22"/>
          <w:szCs w:val="22"/>
        </w:rPr>
        <w:t xml:space="preserve">the </w:t>
      </w:r>
      <w:r>
        <w:rPr>
          <w:sz w:val="22"/>
          <w:szCs w:val="22"/>
        </w:rPr>
        <w:t>IPI increased by 5.0</w:t>
      </w:r>
      <w:r w:rsidR="00D91644">
        <w:rPr>
          <w:sz w:val="22"/>
          <w:szCs w:val="22"/>
        </w:rPr>
        <w:t xml:space="preserve"> percent</w:t>
      </w:r>
      <w:r>
        <w:rPr>
          <w:sz w:val="22"/>
          <w:szCs w:val="22"/>
        </w:rPr>
        <w:t xml:space="preserve"> and 1.5 percent</w:t>
      </w:r>
      <w:r w:rsidR="00992BC5">
        <w:rPr>
          <w:sz w:val="22"/>
          <w:szCs w:val="22"/>
        </w:rPr>
        <w:t>, res</w:t>
      </w:r>
      <w:r w:rsidR="00D91644">
        <w:rPr>
          <w:sz w:val="22"/>
          <w:szCs w:val="22"/>
        </w:rPr>
        <w:t>pectively. In conclusion, signs of a revival in investment demand are becoming clear</w:t>
      </w:r>
      <w:r>
        <w:rPr>
          <w:sz w:val="22"/>
          <w:szCs w:val="22"/>
        </w:rPr>
        <w:t xml:space="preserve">. We expect the private investment expenditures to contribute positively to GDP growth in the fourth quarter. </w:t>
      </w:r>
    </w:p>
    <w:p w:rsidR="00E16A20" w:rsidRPr="00B20A56" w:rsidRDefault="00E16A20" w:rsidP="00E16A20">
      <w:pPr>
        <w:spacing w:line="360" w:lineRule="auto"/>
        <w:ind w:right="42"/>
        <w:jc w:val="both"/>
        <w:rPr>
          <w:sz w:val="22"/>
          <w:szCs w:val="22"/>
        </w:rPr>
      </w:pPr>
    </w:p>
    <w:p w:rsidR="00E16A20" w:rsidRDefault="00AD78F5" w:rsidP="00E16A20">
      <w:pPr>
        <w:spacing w:line="360" w:lineRule="auto"/>
        <w:ind w:left="-360" w:right="42"/>
        <w:jc w:val="center"/>
        <w:rPr>
          <w:b/>
          <w:bCs/>
          <w:sz w:val="22"/>
          <w:szCs w:val="22"/>
        </w:rPr>
      </w:pPr>
      <w:r>
        <w:rPr>
          <w:b/>
          <w:bCs/>
          <w:sz w:val="22"/>
          <w:szCs w:val="22"/>
        </w:rPr>
        <w:t>The contribution of net exports is negative</w:t>
      </w:r>
    </w:p>
    <w:p w:rsidR="00E16A20" w:rsidRDefault="00E16A20" w:rsidP="00E16A20">
      <w:pPr>
        <w:spacing w:line="360" w:lineRule="auto"/>
        <w:ind w:right="42"/>
        <w:jc w:val="both"/>
        <w:rPr>
          <w:sz w:val="22"/>
          <w:szCs w:val="22"/>
        </w:rPr>
      </w:pPr>
    </w:p>
    <w:p w:rsidR="00E16A20" w:rsidRDefault="00E16A20" w:rsidP="00E16A20">
      <w:pPr>
        <w:spacing w:line="360" w:lineRule="auto"/>
        <w:ind w:left="-360" w:right="42"/>
        <w:jc w:val="both"/>
        <w:rPr>
          <w:sz w:val="22"/>
          <w:szCs w:val="22"/>
        </w:rPr>
      </w:pPr>
      <w:r>
        <w:rPr>
          <w:sz w:val="22"/>
          <w:szCs w:val="22"/>
        </w:rPr>
        <w:t xml:space="preserve">Figure 2 shows monthly changes of seasonally adjusted import and export volume indices. In November, export volume index </w:t>
      </w:r>
      <w:r w:rsidR="00AD78F5">
        <w:rPr>
          <w:sz w:val="22"/>
          <w:szCs w:val="22"/>
        </w:rPr>
        <w:t>decreased</w:t>
      </w:r>
      <w:r>
        <w:rPr>
          <w:sz w:val="22"/>
          <w:szCs w:val="22"/>
        </w:rPr>
        <w:t xml:space="preserve"> by 4.8 percent whereas import volume index </w:t>
      </w:r>
      <w:r w:rsidR="00AD78F5">
        <w:rPr>
          <w:sz w:val="22"/>
          <w:szCs w:val="22"/>
        </w:rPr>
        <w:t>increased</w:t>
      </w:r>
      <w:r>
        <w:rPr>
          <w:sz w:val="22"/>
          <w:szCs w:val="22"/>
        </w:rPr>
        <w:t xml:space="preserve"> by 4.9 percent. When we adjust the trade data for gold (i.e., excluding gold imports and exports), we see that the real exports and real imports increased by 5.4 percent and 4.5 percent, respectively. </w:t>
      </w:r>
      <w:r w:rsidR="00B869FB">
        <w:rPr>
          <w:sz w:val="22"/>
          <w:szCs w:val="22"/>
        </w:rPr>
        <w:t xml:space="preserve">Although the increase in exports </w:t>
      </w:r>
      <w:r w:rsidR="00AA76E6">
        <w:rPr>
          <w:sz w:val="22"/>
          <w:szCs w:val="22"/>
        </w:rPr>
        <w:t>wa</w:t>
      </w:r>
      <w:r w:rsidR="00B869FB">
        <w:rPr>
          <w:sz w:val="22"/>
          <w:szCs w:val="22"/>
        </w:rPr>
        <w:t>s slightly above imports</w:t>
      </w:r>
      <w:r w:rsidR="00AA76E6">
        <w:rPr>
          <w:sz w:val="22"/>
          <w:szCs w:val="22"/>
        </w:rPr>
        <w:t>,</w:t>
      </w:r>
      <w:r w:rsidR="00B869FB">
        <w:rPr>
          <w:sz w:val="22"/>
          <w:szCs w:val="22"/>
        </w:rPr>
        <w:t xml:space="preserve"> it is not enough to turn the contribution of net exports to growth </w:t>
      </w:r>
      <w:r w:rsidR="00A757FF">
        <w:rPr>
          <w:sz w:val="22"/>
          <w:szCs w:val="22"/>
        </w:rPr>
        <w:t xml:space="preserve">to </w:t>
      </w:r>
      <w:r w:rsidR="00B869FB">
        <w:rPr>
          <w:sz w:val="22"/>
          <w:szCs w:val="22"/>
        </w:rPr>
        <w:t>positive.</w:t>
      </w:r>
    </w:p>
    <w:p w:rsidR="00E16A20" w:rsidRDefault="00E16A20" w:rsidP="00E16A20">
      <w:pPr>
        <w:spacing w:line="360" w:lineRule="auto"/>
        <w:ind w:right="42"/>
        <w:rPr>
          <w:b/>
          <w:bCs/>
          <w:sz w:val="22"/>
          <w:szCs w:val="22"/>
        </w:rPr>
      </w:pPr>
    </w:p>
    <w:p w:rsidR="00E16A20" w:rsidRDefault="00717236" w:rsidP="00717236">
      <w:pPr>
        <w:spacing w:line="360" w:lineRule="auto"/>
        <w:ind w:right="42"/>
        <w:jc w:val="center"/>
        <w:rPr>
          <w:b/>
          <w:bCs/>
          <w:sz w:val="22"/>
          <w:szCs w:val="22"/>
        </w:rPr>
      </w:pPr>
      <w:r>
        <w:rPr>
          <w:b/>
          <w:bCs/>
          <w:sz w:val="22"/>
          <w:szCs w:val="22"/>
        </w:rPr>
        <w:t>The current account deficit returns to pre-crisis levels</w:t>
      </w:r>
    </w:p>
    <w:p w:rsidR="00E16A20" w:rsidRPr="003A3575" w:rsidRDefault="00E16A20" w:rsidP="00E16A20">
      <w:pPr>
        <w:spacing w:line="360" w:lineRule="auto"/>
        <w:ind w:right="42"/>
        <w:rPr>
          <w:b/>
          <w:bCs/>
          <w:sz w:val="22"/>
          <w:szCs w:val="22"/>
        </w:rPr>
      </w:pPr>
    </w:p>
    <w:p w:rsidR="00E16A20" w:rsidRDefault="00E16A20" w:rsidP="00E16A20">
      <w:pPr>
        <w:spacing w:line="360" w:lineRule="auto"/>
        <w:ind w:left="-360" w:right="40"/>
        <w:jc w:val="both"/>
        <w:rPr>
          <w:sz w:val="22"/>
          <w:szCs w:val="22"/>
        </w:rPr>
      </w:pPr>
      <w:r>
        <w:rPr>
          <w:sz w:val="22"/>
          <w:szCs w:val="22"/>
        </w:rPr>
        <w:t xml:space="preserve">The 12-month CAD was $53.1 billion in October. </w:t>
      </w:r>
      <w:r w:rsidR="00900E74">
        <w:rPr>
          <w:sz w:val="22"/>
          <w:szCs w:val="22"/>
        </w:rPr>
        <w:t>I</w:t>
      </w:r>
      <w:r>
        <w:rPr>
          <w:sz w:val="22"/>
          <w:szCs w:val="22"/>
        </w:rPr>
        <w:t xml:space="preserve">n November </w:t>
      </w:r>
      <w:r w:rsidR="00900E74">
        <w:rPr>
          <w:sz w:val="22"/>
          <w:szCs w:val="22"/>
        </w:rPr>
        <w:t>it decreased to</w:t>
      </w:r>
      <w:r>
        <w:rPr>
          <w:sz w:val="22"/>
          <w:szCs w:val="22"/>
        </w:rPr>
        <w:t xml:space="preserve"> </w:t>
      </w:r>
      <w:r w:rsidR="00A757FF">
        <w:rPr>
          <w:sz w:val="22"/>
          <w:szCs w:val="22"/>
        </w:rPr>
        <w:t>$</w:t>
      </w:r>
      <w:r>
        <w:rPr>
          <w:sz w:val="22"/>
          <w:szCs w:val="22"/>
        </w:rPr>
        <w:t>5</w:t>
      </w:r>
      <w:r w:rsidR="00900E74">
        <w:rPr>
          <w:sz w:val="22"/>
          <w:szCs w:val="22"/>
        </w:rPr>
        <w:t>1</w:t>
      </w:r>
      <w:r>
        <w:rPr>
          <w:sz w:val="22"/>
          <w:szCs w:val="22"/>
        </w:rPr>
        <w:t>.</w:t>
      </w:r>
      <w:r w:rsidR="00900E74">
        <w:rPr>
          <w:sz w:val="22"/>
          <w:szCs w:val="22"/>
        </w:rPr>
        <w:t>8</w:t>
      </w:r>
      <w:r>
        <w:rPr>
          <w:sz w:val="22"/>
          <w:szCs w:val="22"/>
        </w:rPr>
        <w:t xml:space="preserve"> billion due to a small fall in the </w:t>
      </w:r>
      <w:r w:rsidR="00900E74">
        <w:rPr>
          <w:sz w:val="22"/>
          <w:szCs w:val="22"/>
        </w:rPr>
        <w:t>trade</w:t>
      </w:r>
      <w:r w:rsidR="00490FC2">
        <w:rPr>
          <w:sz w:val="22"/>
          <w:szCs w:val="22"/>
        </w:rPr>
        <w:t xml:space="preserve"> deficit. W</w:t>
      </w:r>
      <w:r>
        <w:rPr>
          <w:sz w:val="22"/>
          <w:szCs w:val="22"/>
        </w:rPr>
        <w:t xml:space="preserve">e expect the 12-month current account deficit to the GDP ratio, which was 7.2 percent at the end of the third quarter, to fall down to 6.4 percent at the end of the fourth quarter. </w:t>
      </w:r>
    </w:p>
    <w:p w:rsidR="002A5E74" w:rsidRDefault="002A5E74" w:rsidP="00AE7542">
      <w:pPr>
        <w:spacing w:line="360" w:lineRule="auto"/>
        <w:ind w:left="-360" w:right="42"/>
        <w:jc w:val="both"/>
        <w:rPr>
          <w:sz w:val="22"/>
          <w:szCs w:val="22"/>
        </w:rPr>
        <w:sectPr w:rsidR="002A5E74" w:rsidSect="00A74D70">
          <w:type w:val="continuous"/>
          <w:pgSz w:w="11906" w:h="16838"/>
          <w:pgMar w:top="1417" w:right="1417" w:bottom="1417" w:left="1417" w:header="708" w:footer="708" w:gutter="0"/>
          <w:cols w:num="2" w:space="708"/>
          <w:docGrid w:linePitch="360"/>
        </w:sectPr>
      </w:pPr>
    </w:p>
    <w:p w:rsidR="001D4B8B" w:rsidRDefault="001D4B8B" w:rsidP="00AE7542">
      <w:pPr>
        <w:spacing w:line="360" w:lineRule="auto"/>
        <w:ind w:left="-360" w:right="42"/>
        <w:jc w:val="both"/>
        <w:rPr>
          <w:sz w:val="22"/>
          <w:szCs w:val="22"/>
        </w:rPr>
      </w:pPr>
    </w:p>
    <w:p w:rsidR="001D4B8B" w:rsidRDefault="001D4B8B" w:rsidP="00AE7542">
      <w:pPr>
        <w:spacing w:line="360" w:lineRule="auto"/>
        <w:ind w:left="-360" w:right="42"/>
        <w:jc w:val="both"/>
        <w:rPr>
          <w:sz w:val="22"/>
          <w:szCs w:val="22"/>
        </w:rPr>
      </w:pPr>
    </w:p>
    <w:p w:rsidR="002A5E74" w:rsidRDefault="002A5E74" w:rsidP="00AE7542">
      <w:pPr>
        <w:spacing w:line="360" w:lineRule="auto"/>
        <w:ind w:left="-360" w:right="42"/>
        <w:jc w:val="both"/>
        <w:rPr>
          <w:sz w:val="22"/>
          <w:szCs w:val="22"/>
        </w:rPr>
      </w:pPr>
    </w:p>
    <w:p w:rsidR="002A5E74" w:rsidRDefault="002A5E74" w:rsidP="00AE7542">
      <w:pPr>
        <w:spacing w:line="360" w:lineRule="auto"/>
        <w:ind w:left="-360" w:right="42"/>
        <w:jc w:val="both"/>
        <w:rPr>
          <w:sz w:val="22"/>
          <w:szCs w:val="22"/>
        </w:rPr>
      </w:pPr>
    </w:p>
    <w:p w:rsidR="002A5E74" w:rsidRDefault="002A5E74" w:rsidP="00AE7542">
      <w:pPr>
        <w:spacing w:line="360" w:lineRule="auto"/>
        <w:ind w:left="-360" w:right="42"/>
        <w:jc w:val="both"/>
        <w:rPr>
          <w:sz w:val="22"/>
          <w:szCs w:val="22"/>
        </w:rPr>
      </w:pPr>
    </w:p>
    <w:p w:rsidR="002A5E74" w:rsidRDefault="002A5E74" w:rsidP="00AE7542">
      <w:pPr>
        <w:spacing w:line="360" w:lineRule="auto"/>
        <w:ind w:left="-360" w:right="42"/>
        <w:jc w:val="both"/>
        <w:rPr>
          <w:sz w:val="22"/>
          <w:szCs w:val="22"/>
        </w:rPr>
      </w:pPr>
    </w:p>
    <w:p w:rsidR="002A5E74" w:rsidRDefault="002A5E74" w:rsidP="00AE7542">
      <w:pPr>
        <w:spacing w:line="360" w:lineRule="auto"/>
        <w:ind w:left="-360" w:right="42"/>
        <w:jc w:val="both"/>
        <w:rPr>
          <w:sz w:val="22"/>
          <w:szCs w:val="22"/>
        </w:rPr>
      </w:pPr>
    </w:p>
    <w:p w:rsidR="002A5E74" w:rsidRDefault="002A5E74" w:rsidP="00AE7542">
      <w:pPr>
        <w:spacing w:line="360" w:lineRule="auto"/>
        <w:ind w:left="-360" w:right="42"/>
        <w:jc w:val="both"/>
        <w:rPr>
          <w:sz w:val="22"/>
          <w:szCs w:val="22"/>
        </w:rPr>
      </w:pPr>
    </w:p>
    <w:p w:rsidR="002A5E74" w:rsidRDefault="002A5E74" w:rsidP="00AE7542">
      <w:pPr>
        <w:spacing w:line="360" w:lineRule="auto"/>
        <w:ind w:left="-360" w:right="42"/>
        <w:jc w:val="both"/>
        <w:rPr>
          <w:sz w:val="22"/>
          <w:szCs w:val="22"/>
        </w:rPr>
      </w:pPr>
    </w:p>
    <w:p w:rsidR="002A5E74" w:rsidRDefault="002A5E74" w:rsidP="00AE7542">
      <w:pPr>
        <w:spacing w:line="360" w:lineRule="auto"/>
        <w:ind w:left="-360" w:right="42"/>
        <w:jc w:val="both"/>
        <w:rPr>
          <w:sz w:val="22"/>
          <w:szCs w:val="22"/>
        </w:rPr>
      </w:pPr>
    </w:p>
    <w:p w:rsidR="002A5E74" w:rsidRDefault="002A5E74" w:rsidP="00AE7542">
      <w:pPr>
        <w:spacing w:line="360" w:lineRule="auto"/>
        <w:ind w:left="-360" w:right="42"/>
        <w:jc w:val="both"/>
        <w:rPr>
          <w:sz w:val="22"/>
          <w:szCs w:val="22"/>
        </w:rPr>
      </w:pPr>
    </w:p>
    <w:p w:rsidR="002A5E74" w:rsidRDefault="002A5E74" w:rsidP="00AE7542">
      <w:pPr>
        <w:spacing w:line="360" w:lineRule="auto"/>
        <w:ind w:left="-360" w:right="42"/>
        <w:jc w:val="both"/>
        <w:rPr>
          <w:sz w:val="22"/>
          <w:szCs w:val="22"/>
        </w:rPr>
      </w:pPr>
    </w:p>
    <w:p w:rsidR="002A5E74" w:rsidRDefault="002A5E74" w:rsidP="00AE7542">
      <w:pPr>
        <w:spacing w:line="360" w:lineRule="auto"/>
        <w:ind w:left="-360" w:right="42"/>
        <w:jc w:val="both"/>
        <w:rPr>
          <w:sz w:val="22"/>
          <w:szCs w:val="22"/>
        </w:rPr>
      </w:pPr>
    </w:p>
    <w:p w:rsidR="002A5E74" w:rsidRDefault="002A5E74" w:rsidP="00AE7542">
      <w:pPr>
        <w:spacing w:line="360" w:lineRule="auto"/>
        <w:ind w:left="-360" w:right="42"/>
        <w:jc w:val="both"/>
        <w:rPr>
          <w:sz w:val="22"/>
          <w:szCs w:val="22"/>
        </w:rPr>
      </w:pPr>
    </w:p>
    <w:p w:rsidR="006E2D48" w:rsidRPr="000B669B" w:rsidRDefault="00AE7542" w:rsidP="00AE7542">
      <w:pPr>
        <w:spacing w:line="360" w:lineRule="auto"/>
        <w:ind w:left="-360" w:right="42"/>
        <w:jc w:val="both"/>
        <w:rPr>
          <w:sz w:val="16"/>
          <w:szCs w:val="16"/>
        </w:rPr>
        <w:sectPr w:rsidR="006E2D48" w:rsidRPr="000B669B" w:rsidSect="00523C58">
          <w:type w:val="continuous"/>
          <w:pgSz w:w="11906" w:h="16838"/>
          <w:pgMar w:top="1417" w:right="1417" w:bottom="1417" w:left="1417" w:header="708" w:footer="708" w:gutter="0"/>
          <w:cols w:num="2" w:space="708" w:equalWidth="0">
            <w:col w:w="4182" w:space="708"/>
            <w:col w:w="4182"/>
          </w:cols>
          <w:docGrid w:linePitch="360"/>
        </w:sectPr>
      </w:pPr>
      <w:r>
        <w:rPr>
          <w:sz w:val="22"/>
          <w:szCs w:val="22"/>
        </w:rPr>
        <w:br w:type="column"/>
      </w:r>
    </w:p>
    <w:p w:rsidR="008C6E50" w:rsidRPr="008B2149" w:rsidRDefault="00E823E8" w:rsidP="00801493">
      <w:pPr>
        <w:spacing w:line="360" w:lineRule="auto"/>
        <w:ind w:right="42"/>
        <w:jc w:val="both"/>
        <w:rPr>
          <w:rFonts w:ascii="Arial" w:hAnsi="Arial" w:cs="Arial"/>
          <w:sz w:val="20"/>
          <w:szCs w:val="20"/>
        </w:rPr>
      </w:pPr>
      <w:r w:rsidRPr="008B2149">
        <w:rPr>
          <w:rFonts w:ascii="Arial" w:hAnsi="Arial" w:cs="Arial"/>
          <w:b/>
          <w:sz w:val="20"/>
          <w:szCs w:val="20"/>
        </w:rPr>
        <w:lastRenderedPageBreak/>
        <w:t>Table</w:t>
      </w:r>
      <w:r w:rsidR="008C6E50" w:rsidRPr="008B2149">
        <w:rPr>
          <w:rFonts w:ascii="Arial" w:hAnsi="Arial" w:cs="Arial"/>
          <w:b/>
          <w:sz w:val="20"/>
          <w:szCs w:val="20"/>
        </w:rPr>
        <w:t xml:space="preserve"> 2.</w:t>
      </w:r>
      <w:r w:rsidR="00D62EB2">
        <w:rPr>
          <w:rFonts w:ascii="Arial" w:hAnsi="Arial" w:cs="Arial"/>
          <w:b/>
          <w:sz w:val="20"/>
          <w:szCs w:val="20"/>
        </w:rPr>
        <w:t xml:space="preserve"> </w:t>
      </w:r>
      <w:r w:rsidRPr="008B2149">
        <w:rPr>
          <w:rFonts w:ascii="Arial" w:hAnsi="Arial" w:cs="Arial"/>
          <w:b/>
          <w:sz w:val="20"/>
          <w:szCs w:val="20"/>
        </w:rPr>
        <w:t xml:space="preserve">Monthly and quarterly changes of Betam’s selected indicators (real </w:t>
      </w:r>
      <w:r w:rsidR="00455777" w:rsidRPr="008B2149">
        <w:rPr>
          <w:rFonts w:ascii="Arial" w:hAnsi="Arial" w:cs="Arial"/>
          <w:b/>
          <w:sz w:val="20"/>
          <w:szCs w:val="20"/>
        </w:rPr>
        <w:t>and</w:t>
      </w:r>
      <w:r w:rsidR="00D62EB2">
        <w:rPr>
          <w:rFonts w:ascii="Arial" w:hAnsi="Arial" w:cs="Arial"/>
          <w:b/>
          <w:sz w:val="20"/>
          <w:szCs w:val="20"/>
        </w:rPr>
        <w:t xml:space="preserve"> </w:t>
      </w:r>
      <w:r w:rsidRPr="008B2149">
        <w:rPr>
          <w:rFonts w:ascii="Arial" w:hAnsi="Arial" w:cs="Arial"/>
          <w:b/>
          <w:sz w:val="20"/>
          <w:szCs w:val="20"/>
        </w:rPr>
        <w:t>sa</w:t>
      </w:r>
      <w:r w:rsidR="008C6E50" w:rsidRPr="008B2149">
        <w:rPr>
          <w:rFonts w:ascii="Arial" w:hAnsi="Arial" w:cs="Arial"/>
          <w:b/>
          <w:sz w:val="20"/>
          <w:szCs w:val="20"/>
        </w:rPr>
        <w:t>)</w:t>
      </w:r>
    </w:p>
    <w:p w:rsidR="008C6E50" w:rsidRPr="008B2149" w:rsidRDefault="008C6E50" w:rsidP="001E4BF5">
      <w:pPr>
        <w:spacing w:line="360" w:lineRule="auto"/>
        <w:ind w:left="-360" w:right="42"/>
        <w:jc w:val="both"/>
        <w:rPr>
          <w:rFonts w:ascii="Arial" w:hAnsi="Arial" w:cs="Arial"/>
          <w:sz w:val="20"/>
          <w:szCs w:val="20"/>
        </w:rPr>
        <w:sectPr w:rsidR="008C6E50" w:rsidRPr="008B2149" w:rsidSect="0075074A">
          <w:type w:val="continuous"/>
          <w:pgSz w:w="11906" w:h="16838"/>
          <w:pgMar w:top="1417" w:right="1417" w:bottom="1417" w:left="1417" w:header="708" w:footer="708" w:gutter="0"/>
          <w:cols w:space="708"/>
          <w:docGrid w:linePitch="360"/>
        </w:sectPr>
      </w:pPr>
    </w:p>
    <w:tbl>
      <w:tblPr>
        <w:tblW w:w="5550" w:type="pct"/>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3245"/>
        <w:gridCol w:w="1140"/>
        <w:gridCol w:w="1140"/>
        <w:gridCol w:w="1139"/>
        <w:gridCol w:w="1139"/>
        <w:gridCol w:w="1139"/>
        <w:gridCol w:w="1139"/>
      </w:tblGrid>
      <w:tr w:rsidR="006C4642" w:rsidRPr="00067DF6" w:rsidTr="00230A81">
        <w:tc>
          <w:tcPr>
            <w:tcW w:w="1609" w:type="pct"/>
            <w:tcBorders>
              <w:bottom w:val="single" w:sz="4" w:space="0" w:color="auto"/>
            </w:tcBorders>
            <w:vAlign w:val="bottom"/>
          </w:tcPr>
          <w:p w:rsidR="006C4642" w:rsidRPr="00067DF6" w:rsidRDefault="006C4642" w:rsidP="00067DF6">
            <w:pPr>
              <w:spacing w:line="288" w:lineRule="auto"/>
              <w:ind w:right="77"/>
              <w:jc w:val="center"/>
              <w:rPr>
                <w:rFonts w:ascii="Arial" w:hAnsi="Arial" w:cs="Arial"/>
                <w:sz w:val="20"/>
                <w:szCs w:val="20"/>
              </w:rPr>
            </w:pPr>
            <w:r w:rsidRPr="00067DF6">
              <w:rPr>
                <w:rFonts w:ascii="Arial" w:hAnsi="Arial" w:cs="Arial"/>
                <w:b/>
                <w:sz w:val="20"/>
                <w:szCs w:val="20"/>
              </w:rPr>
              <w:lastRenderedPageBreak/>
              <w:t>Indicators</w:t>
            </w:r>
          </w:p>
        </w:tc>
        <w:tc>
          <w:tcPr>
            <w:tcW w:w="565" w:type="pct"/>
            <w:tcBorders>
              <w:bottom w:val="single" w:sz="4" w:space="0" w:color="auto"/>
            </w:tcBorders>
            <w:vAlign w:val="center"/>
          </w:tcPr>
          <w:p w:rsidR="006C4642" w:rsidRPr="00067DF6" w:rsidRDefault="006C4642" w:rsidP="00042C84">
            <w:pPr>
              <w:spacing w:line="288" w:lineRule="auto"/>
              <w:ind w:right="77"/>
              <w:jc w:val="center"/>
              <w:rPr>
                <w:rFonts w:ascii="Arial" w:hAnsi="Arial" w:cs="Arial"/>
                <w:b/>
                <w:sz w:val="20"/>
                <w:szCs w:val="20"/>
              </w:rPr>
            </w:pPr>
            <w:r>
              <w:rPr>
                <w:rFonts w:ascii="Arial" w:hAnsi="Arial" w:cs="Arial"/>
                <w:b/>
                <w:sz w:val="20"/>
                <w:szCs w:val="20"/>
              </w:rPr>
              <w:t>September</w:t>
            </w:r>
          </w:p>
        </w:tc>
        <w:tc>
          <w:tcPr>
            <w:tcW w:w="565" w:type="pct"/>
            <w:tcBorders>
              <w:bottom w:val="single" w:sz="4" w:space="0" w:color="auto"/>
            </w:tcBorders>
            <w:vAlign w:val="center"/>
          </w:tcPr>
          <w:p w:rsidR="006C4642" w:rsidRPr="00067DF6" w:rsidRDefault="006C4642" w:rsidP="00042C84">
            <w:pPr>
              <w:spacing w:line="288" w:lineRule="auto"/>
              <w:ind w:right="77"/>
              <w:jc w:val="center"/>
              <w:rPr>
                <w:rFonts w:ascii="Arial" w:hAnsi="Arial" w:cs="Arial"/>
                <w:b/>
                <w:sz w:val="20"/>
                <w:szCs w:val="20"/>
              </w:rPr>
            </w:pPr>
            <w:r>
              <w:rPr>
                <w:rFonts w:ascii="Arial" w:hAnsi="Arial" w:cs="Arial"/>
                <w:b/>
                <w:sz w:val="20"/>
                <w:szCs w:val="20"/>
              </w:rPr>
              <w:t>October</w:t>
            </w:r>
          </w:p>
        </w:tc>
        <w:tc>
          <w:tcPr>
            <w:tcW w:w="565" w:type="pct"/>
            <w:tcBorders>
              <w:bottom w:val="single" w:sz="4" w:space="0" w:color="auto"/>
            </w:tcBorders>
            <w:vAlign w:val="center"/>
          </w:tcPr>
          <w:p w:rsidR="006C4642" w:rsidRPr="00067DF6" w:rsidRDefault="006C4642" w:rsidP="00042C84">
            <w:pPr>
              <w:spacing w:line="288" w:lineRule="auto"/>
              <w:ind w:right="77"/>
              <w:jc w:val="center"/>
              <w:rPr>
                <w:rFonts w:ascii="Arial" w:hAnsi="Arial" w:cs="Arial"/>
                <w:b/>
                <w:sz w:val="20"/>
                <w:szCs w:val="20"/>
              </w:rPr>
            </w:pPr>
            <w:r>
              <w:rPr>
                <w:rFonts w:ascii="Arial" w:hAnsi="Arial" w:cs="Arial"/>
                <w:b/>
                <w:sz w:val="20"/>
                <w:szCs w:val="20"/>
              </w:rPr>
              <w:t>November</w:t>
            </w:r>
          </w:p>
        </w:tc>
        <w:tc>
          <w:tcPr>
            <w:tcW w:w="565" w:type="pct"/>
            <w:tcBorders>
              <w:bottom w:val="single" w:sz="4" w:space="0" w:color="auto"/>
            </w:tcBorders>
            <w:vAlign w:val="center"/>
          </w:tcPr>
          <w:p w:rsidR="006C4642" w:rsidRPr="00067DF6" w:rsidRDefault="006C4642" w:rsidP="00067DF6">
            <w:pPr>
              <w:spacing w:line="288" w:lineRule="auto"/>
              <w:ind w:right="77"/>
              <w:jc w:val="center"/>
              <w:rPr>
                <w:rFonts w:ascii="Arial" w:hAnsi="Arial" w:cs="Arial"/>
                <w:b/>
                <w:sz w:val="20"/>
                <w:szCs w:val="20"/>
              </w:rPr>
            </w:pPr>
            <w:r>
              <w:rPr>
                <w:rFonts w:ascii="Arial" w:hAnsi="Arial" w:cs="Arial"/>
                <w:b/>
                <w:sz w:val="20"/>
                <w:szCs w:val="20"/>
              </w:rPr>
              <w:t>December</w:t>
            </w:r>
          </w:p>
        </w:tc>
        <w:tc>
          <w:tcPr>
            <w:tcW w:w="565" w:type="pct"/>
            <w:tcBorders>
              <w:left w:val="double" w:sz="4" w:space="0" w:color="auto"/>
              <w:bottom w:val="single" w:sz="4" w:space="0" w:color="auto"/>
            </w:tcBorders>
            <w:vAlign w:val="center"/>
          </w:tcPr>
          <w:p w:rsidR="006C4642" w:rsidRPr="00067DF6" w:rsidRDefault="006C4642" w:rsidP="006C4642">
            <w:pPr>
              <w:spacing w:line="288" w:lineRule="auto"/>
              <w:ind w:right="77"/>
              <w:jc w:val="center"/>
              <w:rPr>
                <w:rFonts w:ascii="Arial" w:hAnsi="Arial" w:cs="Arial"/>
                <w:b/>
                <w:sz w:val="20"/>
                <w:szCs w:val="20"/>
              </w:rPr>
            </w:pPr>
            <w:r>
              <w:rPr>
                <w:rFonts w:ascii="Arial" w:hAnsi="Arial" w:cs="Arial"/>
                <w:b/>
                <w:sz w:val="20"/>
                <w:szCs w:val="20"/>
              </w:rPr>
              <w:t>2012 3</w:t>
            </w:r>
            <w:r w:rsidRPr="006C4642">
              <w:rPr>
                <w:rFonts w:ascii="Arial" w:hAnsi="Arial" w:cs="Arial"/>
                <w:b/>
                <w:sz w:val="20"/>
                <w:szCs w:val="20"/>
                <w:vertAlign w:val="superscript"/>
              </w:rPr>
              <w:t>rd</w:t>
            </w:r>
            <w:r>
              <w:rPr>
                <w:rFonts w:ascii="Arial" w:hAnsi="Arial" w:cs="Arial"/>
                <w:b/>
                <w:sz w:val="20"/>
                <w:szCs w:val="20"/>
              </w:rPr>
              <w:t xml:space="preserve"> </w:t>
            </w:r>
            <w:r w:rsidRPr="00067DF6">
              <w:rPr>
                <w:rFonts w:ascii="Arial" w:hAnsi="Arial" w:cs="Arial"/>
                <w:b/>
                <w:sz w:val="20"/>
                <w:szCs w:val="20"/>
              </w:rPr>
              <w:t>Quarter</w:t>
            </w:r>
          </w:p>
        </w:tc>
        <w:tc>
          <w:tcPr>
            <w:tcW w:w="565" w:type="pct"/>
            <w:tcBorders>
              <w:bottom w:val="single" w:sz="4" w:space="0" w:color="auto"/>
            </w:tcBorders>
            <w:vAlign w:val="center"/>
          </w:tcPr>
          <w:p w:rsidR="006C4642" w:rsidRPr="00067DF6" w:rsidRDefault="006C4642" w:rsidP="006C4642">
            <w:pPr>
              <w:spacing w:line="288" w:lineRule="auto"/>
              <w:ind w:right="77"/>
              <w:jc w:val="center"/>
              <w:rPr>
                <w:rFonts w:ascii="Arial" w:hAnsi="Arial" w:cs="Arial"/>
                <w:b/>
                <w:sz w:val="20"/>
                <w:szCs w:val="20"/>
              </w:rPr>
            </w:pPr>
            <w:r>
              <w:rPr>
                <w:rFonts w:ascii="Arial" w:hAnsi="Arial" w:cs="Arial"/>
                <w:b/>
                <w:sz w:val="20"/>
                <w:szCs w:val="20"/>
              </w:rPr>
              <w:t>2012 4</w:t>
            </w:r>
            <w:r w:rsidRPr="006C4642">
              <w:rPr>
                <w:rFonts w:ascii="Arial" w:hAnsi="Arial" w:cs="Arial"/>
                <w:b/>
                <w:sz w:val="20"/>
                <w:szCs w:val="20"/>
                <w:vertAlign w:val="superscript"/>
              </w:rPr>
              <w:t>th</w:t>
            </w:r>
            <w:r>
              <w:rPr>
                <w:rFonts w:ascii="Arial" w:hAnsi="Arial" w:cs="Arial"/>
                <w:b/>
                <w:sz w:val="20"/>
                <w:szCs w:val="20"/>
              </w:rPr>
              <w:t xml:space="preserve"> </w:t>
            </w:r>
            <w:r w:rsidRPr="00067DF6">
              <w:rPr>
                <w:rFonts w:ascii="Arial" w:hAnsi="Arial" w:cs="Arial"/>
                <w:b/>
                <w:sz w:val="20"/>
                <w:szCs w:val="20"/>
              </w:rPr>
              <w:t xml:space="preserve"> Quarter</w:t>
            </w:r>
          </w:p>
        </w:tc>
      </w:tr>
      <w:tr w:rsidR="006C4642" w:rsidRPr="00067DF6" w:rsidTr="002A5E74">
        <w:trPr>
          <w:trHeight w:val="20"/>
        </w:trPr>
        <w:tc>
          <w:tcPr>
            <w:tcW w:w="1609" w:type="pct"/>
            <w:tcBorders>
              <w:bottom w:val="nil"/>
              <w:right w:val="single" w:sz="4" w:space="0" w:color="auto"/>
            </w:tcBorders>
            <w:vAlign w:val="bottom"/>
          </w:tcPr>
          <w:p w:rsidR="006C4642" w:rsidRPr="00067DF6" w:rsidRDefault="006C4642" w:rsidP="00067DF6">
            <w:pPr>
              <w:spacing w:line="288" w:lineRule="auto"/>
              <w:ind w:right="77"/>
              <w:rPr>
                <w:rFonts w:ascii="Arial" w:hAnsi="Arial" w:cs="Arial"/>
                <w:b/>
                <w:sz w:val="20"/>
                <w:szCs w:val="20"/>
              </w:rPr>
            </w:pPr>
            <w:r w:rsidRPr="00067DF6">
              <w:rPr>
                <w:rFonts w:ascii="Arial" w:hAnsi="Arial" w:cs="Arial"/>
                <w:b/>
                <w:sz w:val="20"/>
                <w:szCs w:val="20"/>
              </w:rPr>
              <w:t>Exports</w:t>
            </w:r>
          </w:p>
        </w:tc>
        <w:tc>
          <w:tcPr>
            <w:tcW w:w="565" w:type="pct"/>
            <w:tcBorders>
              <w:left w:val="single" w:sz="4" w:space="0" w:color="auto"/>
              <w:bottom w:val="nil"/>
              <w:right w:val="single" w:sz="4" w:space="0" w:color="auto"/>
            </w:tcBorders>
            <w:tcMar>
              <w:left w:w="0" w:type="dxa"/>
              <w:right w:w="160" w:type="dxa"/>
            </w:tcMar>
            <w:vAlign w:val="center"/>
          </w:tcPr>
          <w:p w:rsidR="006C4642" w:rsidRPr="006007C7" w:rsidRDefault="006C4642" w:rsidP="006C4642">
            <w:pPr>
              <w:spacing w:line="288" w:lineRule="auto"/>
              <w:ind w:right="77"/>
              <w:jc w:val="right"/>
              <w:rPr>
                <w:b/>
                <w:bCs/>
              </w:rPr>
            </w:pPr>
            <w:r>
              <w:rPr>
                <w:b/>
                <w:bCs/>
              </w:rPr>
              <w:t>-9</w:t>
            </w:r>
            <w:r w:rsidR="009F0550">
              <w:rPr>
                <w:b/>
                <w:bCs/>
              </w:rPr>
              <w:t>.</w:t>
            </w:r>
            <w:r>
              <w:rPr>
                <w:b/>
                <w:bCs/>
              </w:rPr>
              <w:t>6</w:t>
            </w:r>
          </w:p>
        </w:tc>
        <w:tc>
          <w:tcPr>
            <w:tcW w:w="565" w:type="pct"/>
            <w:tcBorders>
              <w:left w:val="single" w:sz="4" w:space="0" w:color="auto"/>
              <w:bottom w:val="nil"/>
              <w:right w:val="single" w:sz="4" w:space="0" w:color="auto"/>
            </w:tcBorders>
            <w:vAlign w:val="center"/>
          </w:tcPr>
          <w:p w:rsidR="006C4642" w:rsidRPr="006007C7" w:rsidRDefault="006C4642" w:rsidP="006C4642">
            <w:pPr>
              <w:spacing w:line="288" w:lineRule="auto"/>
              <w:ind w:right="77"/>
              <w:rPr>
                <w:b/>
                <w:bCs/>
              </w:rPr>
            </w:pPr>
            <w:r>
              <w:rPr>
                <w:b/>
                <w:bCs/>
              </w:rPr>
              <w:t xml:space="preserve">          3</w:t>
            </w:r>
            <w:r w:rsidR="009F0550">
              <w:rPr>
                <w:b/>
                <w:bCs/>
              </w:rPr>
              <w:t>.</w:t>
            </w:r>
            <w:r>
              <w:rPr>
                <w:b/>
                <w:bCs/>
              </w:rPr>
              <w:t>4</w:t>
            </w:r>
          </w:p>
        </w:tc>
        <w:tc>
          <w:tcPr>
            <w:tcW w:w="565" w:type="pct"/>
            <w:tcBorders>
              <w:left w:val="single" w:sz="4" w:space="0" w:color="auto"/>
              <w:bottom w:val="nil"/>
              <w:right w:val="single" w:sz="4" w:space="0" w:color="auto"/>
            </w:tcBorders>
            <w:vAlign w:val="center"/>
          </w:tcPr>
          <w:p w:rsidR="006C4642" w:rsidRPr="006007C7" w:rsidRDefault="006C4642" w:rsidP="006C4642">
            <w:pPr>
              <w:spacing w:line="288" w:lineRule="auto"/>
              <w:ind w:right="177"/>
              <w:jc w:val="right"/>
              <w:rPr>
                <w:b/>
                <w:bCs/>
              </w:rPr>
            </w:pPr>
            <w:r>
              <w:rPr>
                <w:b/>
                <w:bCs/>
              </w:rPr>
              <w:t>-4</w:t>
            </w:r>
            <w:r w:rsidR="009F0550">
              <w:rPr>
                <w:b/>
                <w:bCs/>
              </w:rPr>
              <w:t>.</w:t>
            </w:r>
            <w:r>
              <w:rPr>
                <w:b/>
                <w:bCs/>
              </w:rPr>
              <w:t>8</w:t>
            </w:r>
          </w:p>
        </w:tc>
        <w:tc>
          <w:tcPr>
            <w:tcW w:w="565" w:type="pct"/>
            <w:tcBorders>
              <w:left w:val="single" w:sz="4" w:space="0" w:color="auto"/>
              <w:bottom w:val="nil"/>
              <w:right w:val="single" w:sz="4" w:space="0" w:color="auto"/>
            </w:tcBorders>
            <w:tcMar>
              <w:left w:w="0" w:type="dxa"/>
              <w:right w:w="160" w:type="dxa"/>
            </w:tcMar>
            <w:vAlign w:val="center"/>
          </w:tcPr>
          <w:p w:rsidR="006C4642" w:rsidRPr="006007C7" w:rsidRDefault="006C4642" w:rsidP="006C4642">
            <w:pPr>
              <w:spacing w:line="288" w:lineRule="auto"/>
              <w:ind w:right="77"/>
              <w:jc w:val="right"/>
              <w:rPr>
                <w:b/>
                <w:bCs/>
              </w:rPr>
            </w:pPr>
            <w:r>
              <w:rPr>
                <w:b/>
                <w:bCs/>
              </w:rPr>
              <w:t>**</w:t>
            </w:r>
          </w:p>
        </w:tc>
        <w:tc>
          <w:tcPr>
            <w:tcW w:w="565" w:type="pct"/>
            <w:tcBorders>
              <w:left w:val="double" w:sz="4" w:space="0" w:color="auto"/>
              <w:bottom w:val="nil"/>
              <w:right w:val="single" w:sz="4" w:space="0" w:color="auto"/>
            </w:tcBorders>
            <w:vAlign w:val="center"/>
          </w:tcPr>
          <w:p w:rsidR="006C4642" w:rsidRPr="006007C7" w:rsidRDefault="006C4642" w:rsidP="006C4642">
            <w:pPr>
              <w:spacing w:line="288" w:lineRule="auto"/>
              <w:ind w:right="77"/>
              <w:jc w:val="center"/>
              <w:rPr>
                <w:b/>
                <w:bCs/>
              </w:rPr>
            </w:pPr>
            <w:r>
              <w:rPr>
                <w:b/>
                <w:bCs/>
              </w:rPr>
              <w:t xml:space="preserve">      3</w:t>
            </w:r>
            <w:r w:rsidR="009F0550">
              <w:rPr>
                <w:b/>
                <w:bCs/>
              </w:rPr>
              <w:t>.</w:t>
            </w:r>
            <w:r>
              <w:rPr>
                <w:b/>
                <w:bCs/>
              </w:rPr>
              <w:t>7</w:t>
            </w:r>
          </w:p>
        </w:tc>
        <w:tc>
          <w:tcPr>
            <w:tcW w:w="565" w:type="pct"/>
            <w:tcBorders>
              <w:left w:val="single" w:sz="4" w:space="0" w:color="auto"/>
              <w:bottom w:val="nil"/>
            </w:tcBorders>
            <w:vAlign w:val="center"/>
          </w:tcPr>
          <w:p w:rsidR="006C4642" w:rsidRPr="006007C7" w:rsidRDefault="006C4642" w:rsidP="006C4642">
            <w:pPr>
              <w:spacing w:line="288" w:lineRule="auto"/>
              <w:ind w:right="174"/>
              <w:jc w:val="right"/>
              <w:rPr>
                <w:b/>
                <w:bCs/>
              </w:rPr>
            </w:pPr>
            <w:r>
              <w:rPr>
                <w:b/>
                <w:bCs/>
              </w:rPr>
              <w:t>-3</w:t>
            </w:r>
            <w:r w:rsidR="009F0550">
              <w:rPr>
                <w:b/>
                <w:bCs/>
              </w:rPr>
              <w:t>.</w:t>
            </w:r>
            <w:r>
              <w:rPr>
                <w:b/>
                <w:bCs/>
              </w:rPr>
              <w:t>1</w:t>
            </w:r>
          </w:p>
        </w:tc>
      </w:tr>
      <w:tr w:rsidR="006C4642" w:rsidRPr="00067DF6" w:rsidTr="002A5E74">
        <w:trPr>
          <w:trHeight w:val="20"/>
        </w:trPr>
        <w:tc>
          <w:tcPr>
            <w:tcW w:w="1609" w:type="pct"/>
            <w:tcBorders>
              <w:bottom w:val="nil"/>
              <w:right w:val="single" w:sz="4" w:space="0" w:color="auto"/>
            </w:tcBorders>
            <w:vAlign w:val="bottom"/>
          </w:tcPr>
          <w:p w:rsidR="006C4642" w:rsidRPr="00067DF6" w:rsidRDefault="006C4642" w:rsidP="00067DF6">
            <w:pPr>
              <w:spacing w:line="288" w:lineRule="auto"/>
              <w:ind w:right="77"/>
              <w:rPr>
                <w:rFonts w:ascii="Arial" w:hAnsi="Arial" w:cs="Arial"/>
                <w:b/>
                <w:sz w:val="20"/>
                <w:szCs w:val="20"/>
              </w:rPr>
            </w:pPr>
            <w:r w:rsidRPr="00067DF6">
              <w:rPr>
                <w:rFonts w:ascii="Arial" w:hAnsi="Arial" w:cs="Arial"/>
                <w:b/>
                <w:sz w:val="20"/>
                <w:szCs w:val="20"/>
              </w:rPr>
              <w:t>Imports</w:t>
            </w:r>
          </w:p>
        </w:tc>
        <w:tc>
          <w:tcPr>
            <w:tcW w:w="565" w:type="pct"/>
            <w:tcBorders>
              <w:left w:val="single" w:sz="4" w:space="0" w:color="auto"/>
              <w:bottom w:val="nil"/>
              <w:right w:val="single" w:sz="4" w:space="0" w:color="auto"/>
            </w:tcBorders>
            <w:tcMar>
              <w:left w:w="0" w:type="dxa"/>
              <w:right w:w="160" w:type="dxa"/>
            </w:tcMar>
            <w:vAlign w:val="center"/>
          </w:tcPr>
          <w:p w:rsidR="006C4642" w:rsidRPr="006007C7" w:rsidRDefault="006C4642" w:rsidP="006C4642">
            <w:pPr>
              <w:spacing w:line="288" w:lineRule="auto"/>
              <w:ind w:right="77"/>
              <w:jc w:val="right"/>
              <w:rPr>
                <w:b/>
                <w:bCs/>
              </w:rPr>
            </w:pPr>
            <w:r>
              <w:rPr>
                <w:b/>
                <w:bCs/>
              </w:rPr>
              <w:t>1</w:t>
            </w:r>
            <w:r w:rsidR="009F0550">
              <w:rPr>
                <w:b/>
                <w:bCs/>
              </w:rPr>
              <w:t>.</w:t>
            </w:r>
            <w:r>
              <w:rPr>
                <w:b/>
                <w:bCs/>
              </w:rPr>
              <w:t>1</w:t>
            </w:r>
          </w:p>
        </w:tc>
        <w:tc>
          <w:tcPr>
            <w:tcW w:w="565" w:type="pct"/>
            <w:tcBorders>
              <w:left w:val="single" w:sz="4" w:space="0" w:color="auto"/>
              <w:bottom w:val="nil"/>
              <w:right w:val="single" w:sz="4" w:space="0" w:color="auto"/>
            </w:tcBorders>
            <w:vAlign w:val="center"/>
          </w:tcPr>
          <w:p w:rsidR="006C4642" w:rsidRPr="006007C7" w:rsidRDefault="006C4642" w:rsidP="006C4642">
            <w:pPr>
              <w:spacing w:line="288" w:lineRule="auto"/>
              <w:ind w:right="77"/>
              <w:rPr>
                <w:b/>
                <w:bCs/>
              </w:rPr>
            </w:pPr>
            <w:r>
              <w:rPr>
                <w:b/>
                <w:bCs/>
              </w:rPr>
              <w:t xml:space="preserve">         -1</w:t>
            </w:r>
            <w:r w:rsidR="009F0550">
              <w:rPr>
                <w:b/>
                <w:bCs/>
              </w:rPr>
              <w:t>.</w:t>
            </w:r>
            <w:r>
              <w:rPr>
                <w:b/>
                <w:bCs/>
              </w:rPr>
              <w:t xml:space="preserve">3 </w:t>
            </w:r>
          </w:p>
        </w:tc>
        <w:tc>
          <w:tcPr>
            <w:tcW w:w="565" w:type="pct"/>
            <w:tcBorders>
              <w:left w:val="single" w:sz="4" w:space="0" w:color="auto"/>
              <w:bottom w:val="nil"/>
              <w:right w:val="single" w:sz="4" w:space="0" w:color="auto"/>
            </w:tcBorders>
            <w:vAlign w:val="center"/>
          </w:tcPr>
          <w:p w:rsidR="006C4642" w:rsidRPr="006007C7" w:rsidRDefault="006C4642" w:rsidP="006C4642">
            <w:pPr>
              <w:spacing w:line="288" w:lineRule="auto"/>
              <w:ind w:right="177"/>
              <w:jc w:val="right"/>
              <w:rPr>
                <w:b/>
                <w:bCs/>
              </w:rPr>
            </w:pPr>
            <w:r>
              <w:rPr>
                <w:b/>
                <w:bCs/>
              </w:rPr>
              <w:t>4</w:t>
            </w:r>
            <w:r w:rsidR="009F0550">
              <w:rPr>
                <w:b/>
                <w:bCs/>
              </w:rPr>
              <w:t>.</w:t>
            </w:r>
            <w:r>
              <w:rPr>
                <w:b/>
                <w:bCs/>
              </w:rPr>
              <w:t>9</w:t>
            </w:r>
          </w:p>
        </w:tc>
        <w:tc>
          <w:tcPr>
            <w:tcW w:w="565" w:type="pct"/>
            <w:tcBorders>
              <w:left w:val="single" w:sz="4" w:space="0" w:color="auto"/>
              <w:bottom w:val="nil"/>
              <w:right w:val="single" w:sz="4" w:space="0" w:color="auto"/>
            </w:tcBorders>
            <w:tcMar>
              <w:left w:w="0" w:type="dxa"/>
              <w:right w:w="160" w:type="dxa"/>
            </w:tcMar>
            <w:vAlign w:val="center"/>
          </w:tcPr>
          <w:p w:rsidR="006C4642" w:rsidRPr="006007C7" w:rsidRDefault="006C4642" w:rsidP="006C4642">
            <w:pPr>
              <w:spacing w:line="288" w:lineRule="auto"/>
              <w:ind w:right="77"/>
              <w:jc w:val="right"/>
              <w:rPr>
                <w:b/>
                <w:bCs/>
              </w:rPr>
            </w:pPr>
            <w:r>
              <w:rPr>
                <w:b/>
                <w:bCs/>
              </w:rPr>
              <w:t>**</w:t>
            </w:r>
          </w:p>
        </w:tc>
        <w:tc>
          <w:tcPr>
            <w:tcW w:w="565" w:type="pct"/>
            <w:tcBorders>
              <w:left w:val="double" w:sz="4" w:space="0" w:color="auto"/>
              <w:bottom w:val="nil"/>
              <w:right w:val="single" w:sz="4" w:space="0" w:color="auto"/>
            </w:tcBorders>
            <w:vAlign w:val="center"/>
          </w:tcPr>
          <w:p w:rsidR="006C4642" w:rsidRPr="006007C7" w:rsidRDefault="006C4642" w:rsidP="006C4642">
            <w:pPr>
              <w:spacing w:line="288" w:lineRule="auto"/>
              <w:ind w:right="77"/>
              <w:jc w:val="center"/>
              <w:rPr>
                <w:b/>
                <w:bCs/>
              </w:rPr>
            </w:pPr>
            <w:r>
              <w:rPr>
                <w:b/>
                <w:bCs/>
              </w:rPr>
              <w:t xml:space="preserve">     -0</w:t>
            </w:r>
            <w:r w:rsidR="009F0550">
              <w:rPr>
                <w:b/>
                <w:bCs/>
              </w:rPr>
              <w:t>.</w:t>
            </w:r>
            <w:r>
              <w:rPr>
                <w:b/>
                <w:bCs/>
              </w:rPr>
              <w:t>1</w:t>
            </w:r>
          </w:p>
        </w:tc>
        <w:tc>
          <w:tcPr>
            <w:tcW w:w="565" w:type="pct"/>
            <w:tcBorders>
              <w:left w:val="single" w:sz="4" w:space="0" w:color="auto"/>
              <w:bottom w:val="nil"/>
            </w:tcBorders>
            <w:vAlign w:val="center"/>
          </w:tcPr>
          <w:p w:rsidR="006C4642" w:rsidRPr="006007C7" w:rsidRDefault="006C4642" w:rsidP="006C4642">
            <w:pPr>
              <w:spacing w:line="288" w:lineRule="auto"/>
              <w:ind w:right="174"/>
              <w:jc w:val="right"/>
              <w:rPr>
                <w:b/>
                <w:bCs/>
              </w:rPr>
            </w:pPr>
            <w:r>
              <w:rPr>
                <w:b/>
                <w:bCs/>
              </w:rPr>
              <w:t>1</w:t>
            </w:r>
            <w:r w:rsidR="009F0550">
              <w:rPr>
                <w:b/>
                <w:bCs/>
              </w:rPr>
              <w:t>.</w:t>
            </w:r>
            <w:r>
              <w:rPr>
                <w:b/>
                <w:bCs/>
              </w:rPr>
              <w:t>2</w:t>
            </w:r>
          </w:p>
        </w:tc>
      </w:tr>
      <w:tr w:rsidR="006C4642" w:rsidRPr="00067DF6" w:rsidTr="002A5E74">
        <w:trPr>
          <w:trHeight w:val="20"/>
        </w:trPr>
        <w:tc>
          <w:tcPr>
            <w:tcW w:w="1609" w:type="pct"/>
            <w:tcBorders>
              <w:top w:val="nil"/>
              <w:bottom w:val="nil"/>
              <w:right w:val="single" w:sz="4" w:space="0" w:color="auto"/>
            </w:tcBorders>
            <w:vAlign w:val="bottom"/>
          </w:tcPr>
          <w:p w:rsidR="006C4642" w:rsidRPr="00067DF6" w:rsidRDefault="006C4642" w:rsidP="00067DF6">
            <w:pPr>
              <w:spacing w:line="288" w:lineRule="auto"/>
              <w:ind w:right="77"/>
              <w:rPr>
                <w:rFonts w:ascii="Arial" w:hAnsi="Arial" w:cs="Arial"/>
                <w:sz w:val="20"/>
                <w:szCs w:val="20"/>
              </w:rPr>
            </w:pPr>
            <w:r w:rsidRPr="00067DF6">
              <w:rPr>
                <w:rFonts w:ascii="Arial" w:hAnsi="Arial" w:cs="Arial"/>
                <w:sz w:val="20"/>
                <w:szCs w:val="20"/>
              </w:rPr>
              <w:t>Intermediate goods import</w:t>
            </w:r>
          </w:p>
        </w:tc>
        <w:tc>
          <w:tcPr>
            <w:tcW w:w="565" w:type="pct"/>
            <w:tcBorders>
              <w:top w:val="nil"/>
              <w:left w:val="single" w:sz="4" w:space="0" w:color="auto"/>
              <w:bottom w:val="nil"/>
              <w:right w:val="single" w:sz="4" w:space="0" w:color="auto"/>
            </w:tcBorders>
            <w:tcMar>
              <w:left w:w="57" w:type="dxa"/>
              <w:right w:w="160" w:type="dxa"/>
            </w:tcMar>
            <w:vAlign w:val="center"/>
          </w:tcPr>
          <w:p w:rsidR="006C4642" w:rsidRPr="006007C7" w:rsidRDefault="006C4642" w:rsidP="006C4642">
            <w:pPr>
              <w:spacing w:line="288" w:lineRule="auto"/>
              <w:ind w:right="77"/>
              <w:jc w:val="right"/>
            </w:pPr>
            <w:r>
              <w:t>-2</w:t>
            </w:r>
            <w:r w:rsidR="009F0550">
              <w:t>.</w:t>
            </w:r>
            <w:r>
              <w:t>7</w:t>
            </w:r>
          </w:p>
        </w:tc>
        <w:tc>
          <w:tcPr>
            <w:tcW w:w="565" w:type="pct"/>
            <w:tcBorders>
              <w:top w:val="nil"/>
              <w:left w:val="single" w:sz="4" w:space="0" w:color="auto"/>
              <w:bottom w:val="nil"/>
              <w:right w:val="single" w:sz="4" w:space="0" w:color="auto"/>
            </w:tcBorders>
            <w:tcMar>
              <w:left w:w="0" w:type="dxa"/>
              <w:right w:w="160" w:type="dxa"/>
            </w:tcMar>
            <w:vAlign w:val="center"/>
          </w:tcPr>
          <w:p w:rsidR="006C4642" w:rsidRPr="006007C7" w:rsidRDefault="006C4642" w:rsidP="006C4642">
            <w:pPr>
              <w:spacing w:line="288" w:lineRule="auto"/>
              <w:ind w:right="77"/>
              <w:jc w:val="right"/>
            </w:pPr>
            <w:r>
              <w:t>3</w:t>
            </w:r>
            <w:r w:rsidR="009F0550">
              <w:t>.</w:t>
            </w:r>
            <w:r>
              <w:t>9</w:t>
            </w:r>
          </w:p>
        </w:tc>
        <w:tc>
          <w:tcPr>
            <w:tcW w:w="565" w:type="pct"/>
            <w:tcBorders>
              <w:top w:val="nil"/>
              <w:left w:val="single" w:sz="4" w:space="0" w:color="auto"/>
              <w:bottom w:val="nil"/>
              <w:right w:val="single" w:sz="4" w:space="0" w:color="auto"/>
            </w:tcBorders>
            <w:vAlign w:val="center"/>
          </w:tcPr>
          <w:p w:rsidR="006C4642" w:rsidRPr="006007C7" w:rsidRDefault="006C4642" w:rsidP="006C4642">
            <w:pPr>
              <w:spacing w:line="288" w:lineRule="auto"/>
              <w:ind w:right="177"/>
              <w:jc w:val="right"/>
            </w:pPr>
            <w:r>
              <w:t>5</w:t>
            </w:r>
            <w:r w:rsidR="009F0550">
              <w:t>.</w:t>
            </w:r>
            <w:r>
              <w:t>0</w:t>
            </w:r>
          </w:p>
        </w:tc>
        <w:tc>
          <w:tcPr>
            <w:tcW w:w="565" w:type="pct"/>
            <w:tcBorders>
              <w:top w:val="nil"/>
              <w:left w:val="single" w:sz="4" w:space="0" w:color="auto"/>
              <w:bottom w:val="nil"/>
              <w:right w:val="single" w:sz="4" w:space="0" w:color="auto"/>
            </w:tcBorders>
            <w:tcMar>
              <w:right w:w="160" w:type="dxa"/>
            </w:tcMar>
            <w:vAlign w:val="center"/>
          </w:tcPr>
          <w:p w:rsidR="006C4642" w:rsidRPr="006007C7" w:rsidRDefault="006C4642" w:rsidP="006C4642">
            <w:pPr>
              <w:spacing w:line="288" w:lineRule="auto"/>
              <w:ind w:right="77"/>
              <w:jc w:val="right"/>
            </w:pPr>
            <w:r>
              <w:t>**</w:t>
            </w:r>
          </w:p>
        </w:tc>
        <w:tc>
          <w:tcPr>
            <w:tcW w:w="565" w:type="pct"/>
            <w:tcBorders>
              <w:top w:val="nil"/>
              <w:left w:val="double" w:sz="4" w:space="0" w:color="auto"/>
              <w:bottom w:val="nil"/>
              <w:right w:val="single" w:sz="4" w:space="0" w:color="auto"/>
            </w:tcBorders>
            <w:tcMar>
              <w:left w:w="57" w:type="dxa"/>
              <w:right w:w="160" w:type="dxa"/>
            </w:tcMar>
            <w:vAlign w:val="center"/>
          </w:tcPr>
          <w:p w:rsidR="006C4642" w:rsidRPr="006007C7" w:rsidRDefault="006C4642" w:rsidP="006C4642">
            <w:pPr>
              <w:spacing w:line="288" w:lineRule="auto"/>
              <w:ind w:right="77"/>
              <w:jc w:val="right"/>
            </w:pPr>
            <w:r>
              <w:t>0</w:t>
            </w:r>
            <w:r w:rsidR="009F0550">
              <w:t>.</w:t>
            </w:r>
            <w:r>
              <w:t>0</w:t>
            </w:r>
          </w:p>
        </w:tc>
        <w:tc>
          <w:tcPr>
            <w:tcW w:w="565" w:type="pct"/>
            <w:tcBorders>
              <w:top w:val="nil"/>
              <w:left w:val="single" w:sz="4" w:space="0" w:color="auto"/>
              <w:bottom w:val="nil"/>
            </w:tcBorders>
            <w:vAlign w:val="center"/>
          </w:tcPr>
          <w:p w:rsidR="006C4642" w:rsidRPr="006007C7" w:rsidRDefault="006C4642" w:rsidP="006C4642">
            <w:pPr>
              <w:spacing w:line="288" w:lineRule="auto"/>
              <w:ind w:right="174"/>
              <w:jc w:val="right"/>
            </w:pPr>
            <w:r>
              <w:t>3</w:t>
            </w:r>
            <w:r w:rsidR="009F0550">
              <w:t>.</w:t>
            </w:r>
            <w:r>
              <w:t>3</w:t>
            </w:r>
          </w:p>
        </w:tc>
      </w:tr>
      <w:tr w:rsidR="006C4642" w:rsidRPr="00067DF6" w:rsidTr="002A5E74">
        <w:trPr>
          <w:trHeight w:val="20"/>
        </w:trPr>
        <w:tc>
          <w:tcPr>
            <w:tcW w:w="1609" w:type="pct"/>
            <w:tcBorders>
              <w:top w:val="nil"/>
              <w:bottom w:val="nil"/>
              <w:right w:val="single" w:sz="4" w:space="0" w:color="auto"/>
            </w:tcBorders>
            <w:vAlign w:val="bottom"/>
          </w:tcPr>
          <w:p w:rsidR="006C4642" w:rsidRPr="00067DF6" w:rsidRDefault="006C4642" w:rsidP="00067DF6">
            <w:pPr>
              <w:spacing w:line="288" w:lineRule="auto"/>
              <w:ind w:right="77"/>
              <w:rPr>
                <w:rFonts w:ascii="Arial" w:hAnsi="Arial" w:cs="Arial"/>
                <w:sz w:val="20"/>
                <w:szCs w:val="20"/>
              </w:rPr>
            </w:pPr>
            <w:r w:rsidRPr="00067DF6">
              <w:rPr>
                <w:rFonts w:ascii="Arial" w:hAnsi="Arial" w:cs="Arial"/>
                <w:sz w:val="20"/>
                <w:szCs w:val="20"/>
              </w:rPr>
              <w:t>Consumer goods import</w:t>
            </w:r>
          </w:p>
        </w:tc>
        <w:tc>
          <w:tcPr>
            <w:tcW w:w="565" w:type="pct"/>
            <w:tcBorders>
              <w:top w:val="nil"/>
              <w:left w:val="single" w:sz="4" w:space="0" w:color="auto"/>
              <w:bottom w:val="nil"/>
              <w:right w:val="single" w:sz="4" w:space="0" w:color="auto"/>
            </w:tcBorders>
            <w:tcMar>
              <w:left w:w="57" w:type="dxa"/>
              <w:right w:w="160" w:type="dxa"/>
            </w:tcMar>
            <w:vAlign w:val="center"/>
          </w:tcPr>
          <w:p w:rsidR="006C4642" w:rsidRPr="006007C7" w:rsidRDefault="006C4642" w:rsidP="006C4642">
            <w:pPr>
              <w:spacing w:line="288" w:lineRule="auto"/>
              <w:ind w:right="77"/>
              <w:jc w:val="right"/>
            </w:pPr>
            <w:r>
              <w:t>0</w:t>
            </w:r>
            <w:r w:rsidR="009F0550">
              <w:t>.</w:t>
            </w:r>
            <w:r>
              <w:t>5</w:t>
            </w:r>
          </w:p>
        </w:tc>
        <w:tc>
          <w:tcPr>
            <w:tcW w:w="565" w:type="pct"/>
            <w:tcBorders>
              <w:top w:val="nil"/>
              <w:left w:val="single" w:sz="4" w:space="0" w:color="auto"/>
              <w:bottom w:val="nil"/>
              <w:right w:val="single" w:sz="4" w:space="0" w:color="auto"/>
            </w:tcBorders>
            <w:tcMar>
              <w:left w:w="0" w:type="dxa"/>
              <w:right w:w="160" w:type="dxa"/>
            </w:tcMar>
            <w:vAlign w:val="center"/>
          </w:tcPr>
          <w:p w:rsidR="006C4642" w:rsidRPr="006007C7" w:rsidRDefault="006C4642" w:rsidP="006C4642">
            <w:pPr>
              <w:spacing w:line="288" w:lineRule="auto"/>
              <w:ind w:right="77"/>
              <w:jc w:val="right"/>
            </w:pPr>
            <w:r>
              <w:t>8</w:t>
            </w:r>
            <w:r w:rsidR="009F0550">
              <w:t>.</w:t>
            </w:r>
            <w:r>
              <w:t>1</w:t>
            </w:r>
          </w:p>
        </w:tc>
        <w:tc>
          <w:tcPr>
            <w:tcW w:w="565" w:type="pct"/>
            <w:tcBorders>
              <w:top w:val="nil"/>
              <w:left w:val="single" w:sz="4" w:space="0" w:color="auto"/>
              <w:bottom w:val="nil"/>
              <w:right w:val="single" w:sz="4" w:space="0" w:color="auto"/>
            </w:tcBorders>
            <w:vAlign w:val="center"/>
          </w:tcPr>
          <w:p w:rsidR="006C4642" w:rsidRPr="006007C7" w:rsidRDefault="006C4642" w:rsidP="006C4642">
            <w:pPr>
              <w:spacing w:line="288" w:lineRule="auto"/>
              <w:ind w:right="177"/>
              <w:jc w:val="right"/>
            </w:pPr>
            <w:r>
              <w:t>4</w:t>
            </w:r>
            <w:r w:rsidR="009F0550">
              <w:t>.</w:t>
            </w:r>
            <w:r>
              <w:t>4</w:t>
            </w:r>
          </w:p>
        </w:tc>
        <w:tc>
          <w:tcPr>
            <w:tcW w:w="565" w:type="pct"/>
            <w:tcBorders>
              <w:top w:val="nil"/>
              <w:left w:val="single" w:sz="4" w:space="0" w:color="auto"/>
              <w:bottom w:val="nil"/>
              <w:right w:val="single" w:sz="4" w:space="0" w:color="auto"/>
            </w:tcBorders>
            <w:tcMar>
              <w:right w:w="160" w:type="dxa"/>
            </w:tcMar>
            <w:vAlign w:val="center"/>
          </w:tcPr>
          <w:p w:rsidR="006C4642" w:rsidRPr="006007C7" w:rsidRDefault="006C4642" w:rsidP="006C4642">
            <w:pPr>
              <w:spacing w:line="288" w:lineRule="auto"/>
              <w:ind w:right="77"/>
              <w:jc w:val="right"/>
            </w:pPr>
            <w:r>
              <w:t>**</w:t>
            </w:r>
          </w:p>
        </w:tc>
        <w:tc>
          <w:tcPr>
            <w:tcW w:w="565" w:type="pct"/>
            <w:tcBorders>
              <w:top w:val="nil"/>
              <w:left w:val="double" w:sz="4" w:space="0" w:color="auto"/>
              <w:bottom w:val="nil"/>
              <w:right w:val="single" w:sz="4" w:space="0" w:color="auto"/>
            </w:tcBorders>
            <w:tcMar>
              <w:left w:w="57" w:type="dxa"/>
              <w:right w:w="160" w:type="dxa"/>
            </w:tcMar>
            <w:vAlign w:val="center"/>
          </w:tcPr>
          <w:p w:rsidR="006C4642" w:rsidRPr="006007C7" w:rsidRDefault="006C4642" w:rsidP="006C4642">
            <w:pPr>
              <w:spacing w:line="288" w:lineRule="auto"/>
              <w:ind w:right="77"/>
              <w:jc w:val="right"/>
            </w:pPr>
            <w:r>
              <w:t>0</w:t>
            </w:r>
            <w:r w:rsidR="009F0550">
              <w:t>.</w:t>
            </w:r>
            <w:r>
              <w:t>0</w:t>
            </w:r>
          </w:p>
        </w:tc>
        <w:tc>
          <w:tcPr>
            <w:tcW w:w="565" w:type="pct"/>
            <w:tcBorders>
              <w:top w:val="nil"/>
              <w:left w:val="single" w:sz="4" w:space="0" w:color="auto"/>
              <w:bottom w:val="nil"/>
            </w:tcBorders>
            <w:vAlign w:val="center"/>
          </w:tcPr>
          <w:p w:rsidR="006C4642" w:rsidRPr="006007C7" w:rsidRDefault="006C4642" w:rsidP="006C4642">
            <w:pPr>
              <w:spacing w:line="288" w:lineRule="auto"/>
              <w:ind w:right="174"/>
              <w:jc w:val="right"/>
            </w:pPr>
            <w:r>
              <w:t>8</w:t>
            </w:r>
            <w:r w:rsidR="009F0550">
              <w:t>.</w:t>
            </w:r>
            <w:r>
              <w:t>2</w:t>
            </w:r>
          </w:p>
        </w:tc>
      </w:tr>
      <w:tr w:rsidR="006C4642" w:rsidRPr="00067DF6" w:rsidTr="002A5E74">
        <w:trPr>
          <w:trHeight w:val="20"/>
        </w:trPr>
        <w:tc>
          <w:tcPr>
            <w:tcW w:w="1609" w:type="pct"/>
            <w:tcBorders>
              <w:top w:val="nil"/>
              <w:bottom w:val="single" w:sz="4" w:space="0" w:color="auto"/>
              <w:right w:val="single" w:sz="4" w:space="0" w:color="auto"/>
            </w:tcBorders>
            <w:vAlign w:val="bottom"/>
          </w:tcPr>
          <w:p w:rsidR="006C4642" w:rsidRPr="00067DF6" w:rsidRDefault="006C4642" w:rsidP="00067DF6">
            <w:pPr>
              <w:spacing w:line="288" w:lineRule="auto"/>
              <w:ind w:right="77"/>
              <w:rPr>
                <w:rFonts w:ascii="Arial" w:hAnsi="Arial" w:cs="Arial"/>
                <w:sz w:val="20"/>
                <w:szCs w:val="20"/>
              </w:rPr>
            </w:pPr>
            <w:r w:rsidRPr="00067DF6">
              <w:rPr>
                <w:rFonts w:ascii="Arial" w:hAnsi="Arial" w:cs="Arial"/>
                <w:sz w:val="20"/>
                <w:szCs w:val="20"/>
              </w:rPr>
              <w:t>Investment goods import</w:t>
            </w:r>
          </w:p>
        </w:tc>
        <w:tc>
          <w:tcPr>
            <w:tcW w:w="565" w:type="pct"/>
            <w:tcBorders>
              <w:top w:val="nil"/>
              <w:left w:val="single" w:sz="4" w:space="0" w:color="auto"/>
              <w:bottom w:val="single" w:sz="4" w:space="0" w:color="auto"/>
              <w:right w:val="single" w:sz="4" w:space="0" w:color="auto"/>
            </w:tcBorders>
            <w:tcMar>
              <w:left w:w="57" w:type="dxa"/>
              <w:right w:w="160" w:type="dxa"/>
            </w:tcMar>
            <w:vAlign w:val="center"/>
          </w:tcPr>
          <w:p w:rsidR="006C4642" w:rsidRPr="006007C7" w:rsidRDefault="006C4642" w:rsidP="006C4642">
            <w:pPr>
              <w:spacing w:line="288" w:lineRule="auto"/>
              <w:ind w:right="77"/>
              <w:jc w:val="right"/>
            </w:pPr>
            <w:r>
              <w:t>2</w:t>
            </w:r>
            <w:r w:rsidR="009F0550">
              <w:t>.</w:t>
            </w:r>
            <w:r>
              <w:t>3</w:t>
            </w:r>
          </w:p>
        </w:tc>
        <w:tc>
          <w:tcPr>
            <w:tcW w:w="565" w:type="pct"/>
            <w:tcBorders>
              <w:top w:val="nil"/>
              <w:left w:val="single" w:sz="4" w:space="0" w:color="auto"/>
              <w:bottom w:val="single" w:sz="4" w:space="0" w:color="auto"/>
              <w:right w:val="single" w:sz="4" w:space="0" w:color="auto"/>
            </w:tcBorders>
            <w:tcMar>
              <w:left w:w="0" w:type="dxa"/>
              <w:right w:w="160" w:type="dxa"/>
            </w:tcMar>
            <w:vAlign w:val="center"/>
          </w:tcPr>
          <w:p w:rsidR="006C4642" w:rsidRPr="006007C7" w:rsidRDefault="006C4642" w:rsidP="006C4642">
            <w:pPr>
              <w:spacing w:line="288" w:lineRule="auto"/>
              <w:ind w:right="77"/>
              <w:jc w:val="right"/>
            </w:pPr>
            <w:r>
              <w:t>10</w:t>
            </w:r>
            <w:r w:rsidR="009F0550">
              <w:t>.</w:t>
            </w:r>
            <w:r>
              <w:t>2</w:t>
            </w:r>
          </w:p>
        </w:tc>
        <w:tc>
          <w:tcPr>
            <w:tcW w:w="565" w:type="pct"/>
            <w:tcBorders>
              <w:top w:val="nil"/>
              <w:left w:val="single" w:sz="4" w:space="0" w:color="auto"/>
              <w:bottom w:val="single" w:sz="4" w:space="0" w:color="auto"/>
              <w:right w:val="single" w:sz="4" w:space="0" w:color="auto"/>
            </w:tcBorders>
            <w:vAlign w:val="center"/>
          </w:tcPr>
          <w:p w:rsidR="006C4642" w:rsidRPr="006007C7" w:rsidRDefault="006C4642" w:rsidP="006C4642">
            <w:pPr>
              <w:spacing w:line="288" w:lineRule="auto"/>
              <w:ind w:right="177"/>
              <w:jc w:val="right"/>
            </w:pPr>
            <w:r>
              <w:t>5</w:t>
            </w:r>
            <w:r w:rsidR="009F0550">
              <w:t>.</w:t>
            </w:r>
            <w:r>
              <w:t>8</w:t>
            </w:r>
          </w:p>
        </w:tc>
        <w:tc>
          <w:tcPr>
            <w:tcW w:w="565" w:type="pct"/>
            <w:tcBorders>
              <w:top w:val="nil"/>
              <w:left w:val="single" w:sz="4" w:space="0" w:color="auto"/>
              <w:bottom w:val="single" w:sz="4" w:space="0" w:color="auto"/>
              <w:right w:val="single" w:sz="4" w:space="0" w:color="auto"/>
            </w:tcBorders>
            <w:tcMar>
              <w:right w:w="160" w:type="dxa"/>
            </w:tcMar>
            <w:vAlign w:val="center"/>
          </w:tcPr>
          <w:p w:rsidR="006C4642" w:rsidRPr="006007C7" w:rsidRDefault="006C4642" w:rsidP="006C4642">
            <w:pPr>
              <w:spacing w:line="288" w:lineRule="auto"/>
              <w:ind w:right="77"/>
              <w:jc w:val="right"/>
            </w:pPr>
            <w:r>
              <w:t>**</w:t>
            </w:r>
          </w:p>
        </w:tc>
        <w:tc>
          <w:tcPr>
            <w:tcW w:w="565" w:type="pct"/>
            <w:tcBorders>
              <w:top w:val="nil"/>
              <w:left w:val="double" w:sz="4" w:space="0" w:color="auto"/>
              <w:bottom w:val="single" w:sz="4" w:space="0" w:color="auto"/>
              <w:right w:val="single" w:sz="4" w:space="0" w:color="auto"/>
            </w:tcBorders>
            <w:tcMar>
              <w:left w:w="57" w:type="dxa"/>
              <w:right w:w="160" w:type="dxa"/>
            </w:tcMar>
            <w:vAlign w:val="center"/>
          </w:tcPr>
          <w:p w:rsidR="006C4642" w:rsidRPr="006007C7" w:rsidRDefault="006C4642" w:rsidP="006C4642">
            <w:pPr>
              <w:spacing w:line="288" w:lineRule="auto"/>
              <w:ind w:right="77"/>
              <w:jc w:val="right"/>
            </w:pPr>
            <w:r>
              <w:t>-7</w:t>
            </w:r>
            <w:r w:rsidR="009F0550">
              <w:t>.</w:t>
            </w:r>
            <w:r>
              <w:t>3</w:t>
            </w:r>
          </w:p>
        </w:tc>
        <w:tc>
          <w:tcPr>
            <w:tcW w:w="565" w:type="pct"/>
            <w:tcBorders>
              <w:top w:val="nil"/>
              <w:left w:val="single" w:sz="4" w:space="0" w:color="auto"/>
              <w:bottom w:val="single" w:sz="4" w:space="0" w:color="auto"/>
            </w:tcBorders>
            <w:vAlign w:val="center"/>
          </w:tcPr>
          <w:p w:rsidR="006C4642" w:rsidRPr="006007C7" w:rsidRDefault="006C4642" w:rsidP="006C4642">
            <w:pPr>
              <w:spacing w:line="288" w:lineRule="auto"/>
              <w:ind w:right="174"/>
              <w:jc w:val="right"/>
            </w:pPr>
            <w:r>
              <w:t>15</w:t>
            </w:r>
            <w:r w:rsidR="009F0550">
              <w:t>.</w:t>
            </w:r>
            <w:r>
              <w:t>3</w:t>
            </w:r>
          </w:p>
        </w:tc>
      </w:tr>
      <w:tr w:rsidR="006C4642" w:rsidRPr="00067DF6" w:rsidTr="002A5E74">
        <w:trPr>
          <w:trHeight w:val="20"/>
        </w:trPr>
        <w:tc>
          <w:tcPr>
            <w:tcW w:w="1609" w:type="pct"/>
            <w:tcBorders>
              <w:bottom w:val="single" w:sz="4" w:space="0" w:color="auto"/>
              <w:right w:val="single" w:sz="4" w:space="0" w:color="auto"/>
            </w:tcBorders>
            <w:vAlign w:val="bottom"/>
          </w:tcPr>
          <w:p w:rsidR="006C4642" w:rsidRPr="00067DF6" w:rsidRDefault="006C4642" w:rsidP="00042C84">
            <w:pPr>
              <w:spacing w:line="288" w:lineRule="auto"/>
              <w:ind w:right="77"/>
              <w:rPr>
                <w:rFonts w:ascii="Arial" w:hAnsi="Arial" w:cs="Arial"/>
                <w:sz w:val="20"/>
                <w:szCs w:val="20"/>
              </w:rPr>
            </w:pPr>
            <w:r>
              <w:rPr>
                <w:rFonts w:ascii="Arial" w:hAnsi="Arial" w:cs="Arial"/>
                <w:sz w:val="20"/>
                <w:szCs w:val="20"/>
              </w:rPr>
              <w:t>Exports without gold***</w:t>
            </w:r>
          </w:p>
        </w:tc>
        <w:tc>
          <w:tcPr>
            <w:tcW w:w="565" w:type="pct"/>
            <w:tcBorders>
              <w:left w:val="single" w:sz="4" w:space="0" w:color="auto"/>
              <w:bottom w:val="single" w:sz="4" w:space="0" w:color="auto"/>
              <w:right w:val="single" w:sz="4" w:space="0" w:color="auto"/>
            </w:tcBorders>
            <w:tcMar>
              <w:left w:w="57" w:type="dxa"/>
              <w:right w:w="160" w:type="dxa"/>
            </w:tcMar>
            <w:vAlign w:val="center"/>
          </w:tcPr>
          <w:p w:rsidR="006C4642" w:rsidRPr="006007C7" w:rsidRDefault="006C4642" w:rsidP="006C4642">
            <w:pPr>
              <w:spacing w:line="288" w:lineRule="auto"/>
              <w:ind w:right="77"/>
              <w:jc w:val="right"/>
              <w:rPr>
                <w:b/>
                <w:bCs/>
              </w:rPr>
            </w:pPr>
            <w:r>
              <w:rPr>
                <w:b/>
                <w:bCs/>
              </w:rPr>
              <w:t>-0</w:t>
            </w:r>
            <w:r w:rsidR="009F0550">
              <w:rPr>
                <w:b/>
                <w:bCs/>
              </w:rPr>
              <w:t>.</w:t>
            </w:r>
            <w:r>
              <w:rPr>
                <w:b/>
                <w:bCs/>
              </w:rPr>
              <w:t>9</w:t>
            </w:r>
          </w:p>
        </w:tc>
        <w:tc>
          <w:tcPr>
            <w:tcW w:w="565" w:type="pct"/>
            <w:tcBorders>
              <w:left w:val="single" w:sz="4" w:space="0" w:color="auto"/>
              <w:bottom w:val="single" w:sz="4" w:space="0" w:color="auto"/>
              <w:right w:val="single" w:sz="4" w:space="0" w:color="auto"/>
            </w:tcBorders>
            <w:tcMar>
              <w:left w:w="0" w:type="dxa"/>
              <w:right w:w="160" w:type="dxa"/>
            </w:tcMar>
            <w:vAlign w:val="center"/>
          </w:tcPr>
          <w:p w:rsidR="006C4642" w:rsidRPr="006007C7" w:rsidRDefault="006C4642" w:rsidP="006C4642">
            <w:pPr>
              <w:spacing w:line="288" w:lineRule="auto"/>
              <w:ind w:right="77"/>
              <w:jc w:val="right"/>
              <w:rPr>
                <w:b/>
                <w:bCs/>
              </w:rPr>
            </w:pPr>
            <w:r>
              <w:rPr>
                <w:b/>
                <w:bCs/>
              </w:rPr>
              <w:t>2</w:t>
            </w:r>
            <w:r w:rsidR="009F0550">
              <w:rPr>
                <w:b/>
                <w:bCs/>
              </w:rPr>
              <w:t>.</w:t>
            </w:r>
            <w:r>
              <w:rPr>
                <w:b/>
                <w:bCs/>
              </w:rPr>
              <w:t>9</w:t>
            </w:r>
          </w:p>
        </w:tc>
        <w:tc>
          <w:tcPr>
            <w:tcW w:w="565" w:type="pct"/>
            <w:tcBorders>
              <w:left w:val="single" w:sz="4" w:space="0" w:color="auto"/>
              <w:bottom w:val="single" w:sz="4" w:space="0" w:color="auto"/>
              <w:right w:val="single" w:sz="4" w:space="0" w:color="auto"/>
            </w:tcBorders>
            <w:vAlign w:val="center"/>
          </w:tcPr>
          <w:p w:rsidR="006C4642" w:rsidRPr="006007C7" w:rsidRDefault="006C4642" w:rsidP="006C4642">
            <w:pPr>
              <w:spacing w:line="288" w:lineRule="auto"/>
              <w:ind w:right="177"/>
              <w:jc w:val="right"/>
              <w:rPr>
                <w:b/>
                <w:bCs/>
              </w:rPr>
            </w:pPr>
            <w:r>
              <w:rPr>
                <w:b/>
                <w:bCs/>
              </w:rPr>
              <w:t>4</w:t>
            </w:r>
            <w:r w:rsidR="009F0550">
              <w:rPr>
                <w:b/>
                <w:bCs/>
              </w:rPr>
              <w:t>.</w:t>
            </w:r>
            <w:r>
              <w:rPr>
                <w:b/>
                <w:bCs/>
              </w:rPr>
              <w:t>4</w:t>
            </w:r>
          </w:p>
        </w:tc>
        <w:tc>
          <w:tcPr>
            <w:tcW w:w="565" w:type="pct"/>
            <w:tcBorders>
              <w:left w:val="single" w:sz="4" w:space="0" w:color="auto"/>
              <w:bottom w:val="single" w:sz="4" w:space="0" w:color="auto"/>
              <w:right w:val="single" w:sz="4" w:space="0" w:color="auto"/>
            </w:tcBorders>
            <w:tcMar>
              <w:right w:w="160" w:type="dxa"/>
            </w:tcMar>
            <w:vAlign w:val="center"/>
          </w:tcPr>
          <w:p w:rsidR="006C4642" w:rsidRPr="006007C7" w:rsidRDefault="006C4642" w:rsidP="006C4642">
            <w:pPr>
              <w:spacing w:line="288" w:lineRule="auto"/>
              <w:ind w:right="77"/>
              <w:jc w:val="right"/>
              <w:rPr>
                <w:b/>
                <w:bCs/>
              </w:rPr>
            </w:pPr>
            <w:r>
              <w:rPr>
                <w:b/>
                <w:bCs/>
              </w:rPr>
              <w:t>**</w:t>
            </w:r>
          </w:p>
        </w:tc>
        <w:tc>
          <w:tcPr>
            <w:tcW w:w="565" w:type="pct"/>
            <w:tcBorders>
              <w:left w:val="single" w:sz="4" w:space="0" w:color="auto"/>
              <w:bottom w:val="single" w:sz="4" w:space="0" w:color="auto"/>
              <w:right w:val="single" w:sz="4" w:space="0" w:color="auto"/>
            </w:tcBorders>
            <w:tcMar>
              <w:left w:w="57" w:type="dxa"/>
              <w:right w:w="160" w:type="dxa"/>
            </w:tcMar>
            <w:vAlign w:val="center"/>
          </w:tcPr>
          <w:p w:rsidR="006C4642" w:rsidRPr="006007C7" w:rsidRDefault="006C4642" w:rsidP="006C4642">
            <w:pPr>
              <w:spacing w:line="288" w:lineRule="auto"/>
              <w:ind w:right="77"/>
              <w:jc w:val="right"/>
              <w:rPr>
                <w:b/>
                <w:bCs/>
              </w:rPr>
            </w:pPr>
            <w:r>
              <w:rPr>
                <w:b/>
                <w:bCs/>
              </w:rPr>
              <w:t>-0</w:t>
            </w:r>
            <w:r w:rsidR="009F0550">
              <w:rPr>
                <w:b/>
                <w:bCs/>
              </w:rPr>
              <w:t>.</w:t>
            </w:r>
            <w:r>
              <w:rPr>
                <w:b/>
                <w:bCs/>
              </w:rPr>
              <w:t>6</w:t>
            </w:r>
          </w:p>
        </w:tc>
        <w:tc>
          <w:tcPr>
            <w:tcW w:w="565" w:type="pct"/>
            <w:tcBorders>
              <w:left w:val="single" w:sz="4" w:space="0" w:color="auto"/>
              <w:bottom w:val="single" w:sz="4" w:space="0" w:color="auto"/>
            </w:tcBorders>
            <w:vAlign w:val="center"/>
          </w:tcPr>
          <w:p w:rsidR="006C4642" w:rsidRPr="006007C7" w:rsidRDefault="006C4642" w:rsidP="006C4642">
            <w:pPr>
              <w:spacing w:line="288" w:lineRule="auto"/>
              <w:ind w:right="174"/>
              <w:jc w:val="right"/>
              <w:rPr>
                <w:b/>
                <w:bCs/>
              </w:rPr>
            </w:pPr>
            <w:r>
              <w:rPr>
                <w:b/>
                <w:bCs/>
              </w:rPr>
              <w:t>5</w:t>
            </w:r>
            <w:r w:rsidR="009F0550">
              <w:rPr>
                <w:b/>
                <w:bCs/>
              </w:rPr>
              <w:t>.</w:t>
            </w:r>
            <w:r>
              <w:rPr>
                <w:b/>
                <w:bCs/>
              </w:rPr>
              <w:t>4</w:t>
            </w:r>
          </w:p>
        </w:tc>
      </w:tr>
      <w:tr w:rsidR="006C4642" w:rsidRPr="00067DF6" w:rsidTr="002A5E74">
        <w:trPr>
          <w:trHeight w:val="20"/>
        </w:trPr>
        <w:tc>
          <w:tcPr>
            <w:tcW w:w="1609" w:type="pct"/>
            <w:tcBorders>
              <w:top w:val="single" w:sz="4" w:space="0" w:color="auto"/>
              <w:bottom w:val="single" w:sz="4" w:space="0" w:color="auto"/>
              <w:right w:val="single" w:sz="4" w:space="0" w:color="auto"/>
            </w:tcBorders>
            <w:vAlign w:val="bottom"/>
          </w:tcPr>
          <w:p w:rsidR="006C4642" w:rsidRPr="00067DF6" w:rsidRDefault="006C4642" w:rsidP="00042C84">
            <w:pPr>
              <w:spacing w:line="288" w:lineRule="auto"/>
              <w:ind w:right="77"/>
              <w:rPr>
                <w:rFonts w:ascii="Arial" w:hAnsi="Arial" w:cs="Arial"/>
                <w:sz w:val="20"/>
                <w:szCs w:val="20"/>
              </w:rPr>
            </w:pPr>
            <w:r>
              <w:rPr>
                <w:rFonts w:ascii="Arial" w:hAnsi="Arial" w:cs="Arial"/>
                <w:sz w:val="20"/>
                <w:szCs w:val="20"/>
              </w:rPr>
              <w:t>Imports without gold***</w:t>
            </w:r>
          </w:p>
        </w:tc>
        <w:tc>
          <w:tcPr>
            <w:tcW w:w="565" w:type="pct"/>
            <w:tcBorders>
              <w:top w:val="single" w:sz="4" w:space="0" w:color="auto"/>
              <w:left w:val="single" w:sz="4" w:space="0" w:color="auto"/>
              <w:bottom w:val="single" w:sz="4" w:space="0" w:color="auto"/>
              <w:right w:val="single" w:sz="4" w:space="0" w:color="auto"/>
            </w:tcBorders>
            <w:tcMar>
              <w:left w:w="57" w:type="dxa"/>
              <w:right w:w="160" w:type="dxa"/>
            </w:tcMar>
            <w:vAlign w:val="center"/>
          </w:tcPr>
          <w:p w:rsidR="006C4642" w:rsidRPr="006007C7" w:rsidRDefault="006C4642" w:rsidP="006C4642">
            <w:pPr>
              <w:spacing w:line="288" w:lineRule="auto"/>
              <w:ind w:right="77"/>
              <w:jc w:val="right"/>
              <w:rPr>
                <w:b/>
                <w:bCs/>
              </w:rPr>
            </w:pPr>
            <w:r>
              <w:rPr>
                <w:b/>
                <w:bCs/>
              </w:rPr>
              <w:t>1</w:t>
            </w:r>
            <w:r w:rsidR="009F0550">
              <w:rPr>
                <w:b/>
                <w:bCs/>
              </w:rPr>
              <w:t>.</w:t>
            </w:r>
            <w:r>
              <w:rPr>
                <w:b/>
                <w:bCs/>
              </w:rPr>
              <w:t>2</w:t>
            </w:r>
          </w:p>
        </w:tc>
        <w:tc>
          <w:tcPr>
            <w:tcW w:w="565" w:type="pct"/>
            <w:tcBorders>
              <w:top w:val="single" w:sz="4" w:space="0" w:color="auto"/>
              <w:left w:val="single" w:sz="4" w:space="0" w:color="auto"/>
              <w:bottom w:val="single" w:sz="4" w:space="0" w:color="auto"/>
              <w:right w:val="single" w:sz="4" w:space="0" w:color="auto"/>
            </w:tcBorders>
            <w:tcMar>
              <w:left w:w="0" w:type="dxa"/>
              <w:right w:w="160" w:type="dxa"/>
            </w:tcMar>
            <w:vAlign w:val="center"/>
          </w:tcPr>
          <w:p w:rsidR="006C4642" w:rsidRPr="006007C7" w:rsidRDefault="006C4642" w:rsidP="006C4642">
            <w:pPr>
              <w:spacing w:line="288" w:lineRule="auto"/>
              <w:ind w:right="77"/>
              <w:jc w:val="right"/>
              <w:rPr>
                <w:b/>
                <w:bCs/>
              </w:rPr>
            </w:pPr>
            <w:r>
              <w:rPr>
                <w:b/>
                <w:bCs/>
              </w:rPr>
              <w:t>1</w:t>
            </w:r>
            <w:r w:rsidR="009F0550">
              <w:rPr>
                <w:b/>
                <w:bCs/>
              </w:rPr>
              <w:t>.</w:t>
            </w:r>
            <w:r>
              <w:rPr>
                <w:b/>
                <w:bCs/>
              </w:rPr>
              <w:t>9</w:t>
            </w:r>
          </w:p>
        </w:tc>
        <w:tc>
          <w:tcPr>
            <w:tcW w:w="565" w:type="pct"/>
            <w:tcBorders>
              <w:top w:val="single" w:sz="4" w:space="0" w:color="auto"/>
              <w:left w:val="single" w:sz="4" w:space="0" w:color="auto"/>
              <w:bottom w:val="single" w:sz="4" w:space="0" w:color="auto"/>
              <w:right w:val="single" w:sz="4" w:space="0" w:color="auto"/>
            </w:tcBorders>
            <w:vAlign w:val="center"/>
          </w:tcPr>
          <w:p w:rsidR="006C4642" w:rsidRPr="006007C7" w:rsidRDefault="006C4642" w:rsidP="006C4642">
            <w:pPr>
              <w:spacing w:line="288" w:lineRule="auto"/>
              <w:ind w:right="177"/>
              <w:jc w:val="right"/>
              <w:rPr>
                <w:b/>
                <w:bCs/>
              </w:rPr>
            </w:pPr>
            <w:r>
              <w:rPr>
                <w:b/>
                <w:bCs/>
              </w:rPr>
              <w:t>4</w:t>
            </w:r>
            <w:r w:rsidR="009F0550">
              <w:rPr>
                <w:b/>
                <w:bCs/>
              </w:rPr>
              <w:t>.</w:t>
            </w:r>
            <w:r>
              <w:rPr>
                <w:b/>
                <w:bCs/>
              </w:rPr>
              <w:t>1</w:t>
            </w:r>
          </w:p>
        </w:tc>
        <w:tc>
          <w:tcPr>
            <w:tcW w:w="565" w:type="pct"/>
            <w:tcBorders>
              <w:top w:val="single" w:sz="4" w:space="0" w:color="auto"/>
              <w:left w:val="single" w:sz="4" w:space="0" w:color="auto"/>
              <w:bottom w:val="single" w:sz="4" w:space="0" w:color="auto"/>
              <w:right w:val="single" w:sz="4" w:space="0" w:color="auto"/>
            </w:tcBorders>
            <w:tcMar>
              <w:right w:w="160" w:type="dxa"/>
            </w:tcMar>
            <w:vAlign w:val="center"/>
          </w:tcPr>
          <w:p w:rsidR="006C4642" w:rsidRPr="006007C7" w:rsidRDefault="006C4642" w:rsidP="006C4642">
            <w:pPr>
              <w:spacing w:line="288" w:lineRule="auto"/>
              <w:ind w:right="77"/>
              <w:jc w:val="right"/>
              <w:rPr>
                <w:b/>
                <w:bCs/>
              </w:rPr>
            </w:pPr>
            <w:r>
              <w:rPr>
                <w:b/>
                <w:bCs/>
              </w:rPr>
              <w:t>**</w:t>
            </w:r>
          </w:p>
        </w:tc>
        <w:tc>
          <w:tcPr>
            <w:tcW w:w="565" w:type="pct"/>
            <w:tcBorders>
              <w:top w:val="single" w:sz="4" w:space="0" w:color="auto"/>
              <w:left w:val="single" w:sz="4" w:space="0" w:color="auto"/>
              <w:bottom w:val="single" w:sz="4" w:space="0" w:color="auto"/>
              <w:right w:val="single" w:sz="4" w:space="0" w:color="auto"/>
            </w:tcBorders>
            <w:tcMar>
              <w:left w:w="57" w:type="dxa"/>
              <w:right w:w="160" w:type="dxa"/>
            </w:tcMar>
            <w:vAlign w:val="center"/>
          </w:tcPr>
          <w:p w:rsidR="006C4642" w:rsidRPr="006007C7" w:rsidRDefault="006C4642" w:rsidP="006C4642">
            <w:pPr>
              <w:spacing w:line="288" w:lineRule="auto"/>
              <w:ind w:right="77"/>
              <w:jc w:val="right"/>
              <w:rPr>
                <w:b/>
                <w:bCs/>
              </w:rPr>
            </w:pPr>
            <w:r>
              <w:rPr>
                <w:b/>
                <w:bCs/>
              </w:rPr>
              <w:t>0</w:t>
            </w:r>
            <w:r w:rsidR="009F0550">
              <w:rPr>
                <w:b/>
                <w:bCs/>
              </w:rPr>
              <w:t>.</w:t>
            </w:r>
            <w:r>
              <w:rPr>
                <w:b/>
                <w:bCs/>
              </w:rPr>
              <w:t>4</w:t>
            </w:r>
          </w:p>
        </w:tc>
        <w:tc>
          <w:tcPr>
            <w:tcW w:w="565" w:type="pct"/>
            <w:tcBorders>
              <w:top w:val="single" w:sz="4" w:space="0" w:color="auto"/>
              <w:left w:val="single" w:sz="4" w:space="0" w:color="auto"/>
              <w:bottom w:val="single" w:sz="4" w:space="0" w:color="auto"/>
            </w:tcBorders>
            <w:vAlign w:val="center"/>
          </w:tcPr>
          <w:p w:rsidR="006C4642" w:rsidRPr="006007C7" w:rsidRDefault="006C4642" w:rsidP="006C4642">
            <w:pPr>
              <w:spacing w:line="288" w:lineRule="auto"/>
              <w:ind w:right="174"/>
              <w:jc w:val="right"/>
              <w:rPr>
                <w:b/>
                <w:bCs/>
              </w:rPr>
            </w:pPr>
            <w:r>
              <w:rPr>
                <w:b/>
                <w:bCs/>
              </w:rPr>
              <w:t>4</w:t>
            </w:r>
            <w:r w:rsidR="009F0550">
              <w:rPr>
                <w:b/>
                <w:bCs/>
              </w:rPr>
              <w:t>.</w:t>
            </w:r>
            <w:r>
              <w:rPr>
                <w:b/>
                <w:bCs/>
              </w:rPr>
              <w:t>5</w:t>
            </w:r>
          </w:p>
        </w:tc>
      </w:tr>
      <w:tr w:rsidR="006C4642" w:rsidRPr="00067DF6" w:rsidTr="002A5E74">
        <w:trPr>
          <w:trHeight w:val="20"/>
        </w:trPr>
        <w:tc>
          <w:tcPr>
            <w:tcW w:w="1609" w:type="pct"/>
            <w:tcBorders>
              <w:top w:val="single" w:sz="4" w:space="0" w:color="auto"/>
              <w:bottom w:val="nil"/>
              <w:right w:val="single" w:sz="4" w:space="0" w:color="auto"/>
            </w:tcBorders>
            <w:vAlign w:val="bottom"/>
          </w:tcPr>
          <w:p w:rsidR="006C4642" w:rsidRPr="00067DF6" w:rsidRDefault="006C4642" w:rsidP="00042C84">
            <w:pPr>
              <w:spacing w:line="288" w:lineRule="auto"/>
              <w:ind w:right="77"/>
              <w:rPr>
                <w:rFonts w:ascii="Arial" w:hAnsi="Arial" w:cs="Arial"/>
                <w:b/>
                <w:sz w:val="20"/>
                <w:szCs w:val="20"/>
              </w:rPr>
            </w:pPr>
            <w:r w:rsidRPr="00067DF6">
              <w:rPr>
                <w:rFonts w:ascii="Arial" w:hAnsi="Arial" w:cs="Arial"/>
                <w:b/>
                <w:sz w:val="20"/>
                <w:szCs w:val="20"/>
              </w:rPr>
              <w:t xml:space="preserve">Industrial Production Index (IPI) </w:t>
            </w:r>
          </w:p>
        </w:tc>
        <w:tc>
          <w:tcPr>
            <w:tcW w:w="565" w:type="pct"/>
            <w:tcBorders>
              <w:top w:val="single" w:sz="4" w:space="0" w:color="auto"/>
              <w:left w:val="single" w:sz="4" w:space="0" w:color="auto"/>
              <w:bottom w:val="nil"/>
              <w:right w:val="single" w:sz="4" w:space="0" w:color="auto"/>
            </w:tcBorders>
            <w:tcMar>
              <w:left w:w="57" w:type="dxa"/>
              <w:right w:w="160" w:type="dxa"/>
            </w:tcMar>
            <w:vAlign w:val="center"/>
          </w:tcPr>
          <w:p w:rsidR="006C4642" w:rsidRPr="006007C7" w:rsidRDefault="006C4642" w:rsidP="006C4642">
            <w:pPr>
              <w:spacing w:line="288" w:lineRule="auto"/>
              <w:ind w:right="77"/>
              <w:jc w:val="right"/>
              <w:rPr>
                <w:b/>
                <w:bCs/>
              </w:rPr>
            </w:pPr>
            <w:r>
              <w:rPr>
                <w:b/>
                <w:bCs/>
              </w:rPr>
              <w:t>5</w:t>
            </w:r>
            <w:r w:rsidR="009F0550">
              <w:rPr>
                <w:b/>
                <w:bCs/>
              </w:rPr>
              <w:t>.</w:t>
            </w:r>
            <w:r>
              <w:rPr>
                <w:b/>
                <w:bCs/>
              </w:rPr>
              <w:t>1</w:t>
            </w:r>
          </w:p>
        </w:tc>
        <w:tc>
          <w:tcPr>
            <w:tcW w:w="565" w:type="pct"/>
            <w:tcBorders>
              <w:top w:val="single" w:sz="4" w:space="0" w:color="auto"/>
              <w:left w:val="single" w:sz="4" w:space="0" w:color="auto"/>
              <w:bottom w:val="nil"/>
              <w:right w:val="single" w:sz="4" w:space="0" w:color="auto"/>
            </w:tcBorders>
            <w:tcMar>
              <w:left w:w="0" w:type="dxa"/>
              <w:right w:w="160" w:type="dxa"/>
            </w:tcMar>
            <w:vAlign w:val="center"/>
          </w:tcPr>
          <w:p w:rsidR="006C4642" w:rsidRPr="006007C7" w:rsidRDefault="006C4642" w:rsidP="006C4642">
            <w:pPr>
              <w:spacing w:line="288" w:lineRule="auto"/>
              <w:ind w:right="77"/>
              <w:jc w:val="right"/>
              <w:rPr>
                <w:b/>
                <w:bCs/>
              </w:rPr>
            </w:pPr>
            <w:r>
              <w:rPr>
                <w:b/>
                <w:bCs/>
              </w:rPr>
              <w:t>-2</w:t>
            </w:r>
            <w:r w:rsidR="009F0550">
              <w:rPr>
                <w:b/>
                <w:bCs/>
              </w:rPr>
              <w:t>.</w:t>
            </w:r>
            <w:r>
              <w:rPr>
                <w:b/>
                <w:bCs/>
              </w:rPr>
              <w:t>4</w:t>
            </w:r>
          </w:p>
        </w:tc>
        <w:tc>
          <w:tcPr>
            <w:tcW w:w="565" w:type="pct"/>
            <w:tcBorders>
              <w:top w:val="single" w:sz="4" w:space="0" w:color="auto"/>
              <w:left w:val="single" w:sz="4" w:space="0" w:color="auto"/>
              <w:bottom w:val="nil"/>
              <w:right w:val="single" w:sz="4" w:space="0" w:color="auto"/>
            </w:tcBorders>
            <w:vAlign w:val="center"/>
          </w:tcPr>
          <w:p w:rsidR="006C4642" w:rsidRPr="006007C7" w:rsidRDefault="006C4642" w:rsidP="006C4642">
            <w:pPr>
              <w:spacing w:line="288" w:lineRule="auto"/>
              <w:ind w:right="177"/>
              <w:jc w:val="right"/>
              <w:rPr>
                <w:b/>
                <w:bCs/>
              </w:rPr>
            </w:pPr>
            <w:r>
              <w:rPr>
                <w:b/>
                <w:bCs/>
              </w:rPr>
              <w:t>1</w:t>
            </w:r>
            <w:r w:rsidR="009F0550">
              <w:rPr>
                <w:b/>
                <w:bCs/>
              </w:rPr>
              <w:t>.</w:t>
            </w:r>
            <w:r>
              <w:rPr>
                <w:b/>
                <w:bCs/>
              </w:rPr>
              <w:t>5</w:t>
            </w:r>
          </w:p>
        </w:tc>
        <w:tc>
          <w:tcPr>
            <w:tcW w:w="565" w:type="pct"/>
            <w:tcBorders>
              <w:top w:val="single" w:sz="4" w:space="0" w:color="auto"/>
              <w:left w:val="single" w:sz="4" w:space="0" w:color="auto"/>
              <w:bottom w:val="nil"/>
              <w:right w:val="single" w:sz="4" w:space="0" w:color="auto"/>
            </w:tcBorders>
            <w:tcMar>
              <w:right w:w="160" w:type="dxa"/>
            </w:tcMar>
            <w:vAlign w:val="center"/>
          </w:tcPr>
          <w:p w:rsidR="006C4642" w:rsidRPr="006007C7" w:rsidRDefault="006C4642" w:rsidP="006C4642">
            <w:pPr>
              <w:spacing w:line="288" w:lineRule="auto"/>
              <w:ind w:right="77"/>
              <w:jc w:val="right"/>
              <w:rPr>
                <w:b/>
                <w:bCs/>
              </w:rPr>
            </w:pPr>
            <w:r>
              <w:rPr>
                <w:b/>
                <w:bCs/>
              </w:rPr>
              <w:t>**</w:t>
            </w:r>
          </w:p>
        </w:tc>
        <w:tc>
          <w:tcPr>
            <w:tcW w:w="565" w:type="pct"/>
            <w:tcBorders>
              <w:top w:val="single" w:sz="4" w:space="0" w:color="auto"/>
              <w:left w:val="double" w:sz="4" w:space="0" w:color="auto"/>
              <w:bottom w:val="nil"/>
              <w:right w:val="single" w:sz="4" w:space="0" w:color="auto"/>
            </w:tcBorders>
            <w:tcMar>
              <w:left w:w="57" w:type="dxa"/>
              <w:right w:w="160" w:type="dxa"/>
            </w:tcMar>
            <w:vAlign w:val="center"/>
          </w:tcPr>
          <w:p w:rsidR="006C4642" w:rsidRPr="006007C7" w:rsidRDefault="006C4642" w:rsidP="006C4642">
            <w:pPr>
              <w:spacing w:line="288" w:lineRule="auto"/>
              <w:ind w:right="77"/>
              <w:jc w:val="right"/>
              <w:rPr>
                <w:b/>
                <w:bCs/>
              </w:rPr>
            </w:pPr>
            <w:r>
              <w:rPr>
                <w:b/>
                <w:bCs/>
              </w:rPr>
              <w:t>0</w:t>
            </w:r>
            <w:r w:rsidR="009F0550">
              <w:rPr>
                <w:b/>
                <w:bCs/>
              </w:rPr>
              <w:t>.</w:t>
            </w:r>
            <w:r>
              <w:rPr>
                <w:b/>
                <w:bCs/>
              </w:rPr>
              <w:t>3</w:t>
            </w:r>
          </w:p>
        </w:tc>
        <w:tc>
          <w:tcPr>
            <w:tcW w:w="565" w:type="pct"/>
            <w:tcBorders>
              <w:top w:val="single" w:sz="4" w:space="0" w:color="auto"/>
              <w:left w:val="single" w:sz="4" w:space="0" w:color="auto"/>
              <w:bottom w:val="nil"/>
            </w:tcBorders>
            <w:vAlign w:val="center"/>
          </w:tcPr>
          <w:p w:rsidR="006C4642" w:rsidRPr="006007C7" w:rsidRDefault="006C4642" w:rsidP="006C4642">
            <w:pPr>
              <w:spacing w:line="288" w:lineRule="auto"/>
              <w:ind w:right="174"/>
              <w:jc w:val="right"/>
              <w:rPr>
                <w:b/>
                <w:bCs/>
              </w:rPr>
            </w:pPr>
            <w:r>
              <w:rPr>
                <w:b/>
                <w:bCs/>
              </w:rPr>
              <w:t>0</w:t>
            </w:r>
            <w:r w:rsidR="009F0550">
              <w:rPr>
                <w:b/>
                <w:bCs/>
              </w:rPr>
              <w:t>.</w:t>
            </w:r>
            <w:r>
              <w:rPr>
                <w:b/>
                <w:bCs/>
              </w:rPr>
              <w:t>5</w:t>
            </w:r>
          </w:p>
        </w:tc>
      </w:tr>
      <w:tr w:rsidR="006C4642" w:rsidRPr="00067DF6" w:rsidTr="00544439">
        <w:trPr>
          <w:trHeight w:val="20"/>
        </w:trPr>
        <w:tc>
          <w:tcPr>
            <w:tcW w:w="1609" w:type="pct"/>
            <w:tcBorders>
              <w:top w:val="nil"/>
              <w:bottom w:val="nil"/>
              <w:right w:val="single" w:sz="4" w:space="0" w:color="auto"/>
            </w:tcBorders>
            <w:vAlign w:val="bottom"/>
          </w:tcPr>
          <w:p w:rsidR="006C4642" w:rsidRPr="00067DF6" w:rsidRDefault="006C4642" w:rsidP="00042C84">
            <w:pPr>
              <w:spacing w:line="288" w:lineRule="auto"/>
              <w:ind w:right="77"/>
              <w:rPr>
                <w:rFonts w:ascii="Arial" w:hAnsi="Arial" w:cs="Arial"/>
                <w:sz w:val="20"/>
                <w:szCs w:val="20"/>
              </w:rPr>
            </w:pPr>
            <w:r w:rsidRPr="00067DF6">
              <w:rPr>
                <w:rFonts w:ascii="Arial" w:hAnsi="Arial" w:cs="Arial"/>
                <w:sz w:val="20"/>
                <w:szCs w:val="20"/>
              </w:rPr>
              <w:t>Nondurable consumer goods</w:t>
            </w:r>
          </w:p>
        </w:tc>
        <w:tc>
          <w:tcPr>
            <w:tcW w:w="565" w:type="pct"/>
            <w:tcBorders>
              <w:top w:val="nil"/>
              <w:left w:val="single" w:sz="4" w:space="0" w:color="auto"/>
              <w:bottom w:val="nil"/>
              <w:right w:val="single" w:sz="4" w:space="0" w:color="auto"/>
            </w:tcBorders>
            <w:tcMar>
              <w:left w:w="57" w:type="dxa"/>
              <w:right w:w="160" w:type="dxa"/>
            </w:tcMar>
            <w:vAlign w:val="center"/>
          </w:tcPr>
          <w:p w:rsidR="006C4642" w:rsidRPr="006007C7" w:rsidRDefault="006C4642" w:rsidP="006C4642">
            <w:pPr>
              <w:spacing w:line="288" w:lineRule="auto"/>
              <w:ind w:right="77"/>
              <w:jc w:val="right"/>
            </w:pPr>
            <w:r>
              <w:t>2</w:t>
            </w:r>
            <w:r w:rsidR="009F0550">
              <w:t>.</w:t>
            </w:r>
            <w:r>
              <w:t>2</w:t>
            </w:r>
          </w:p>
        </w:tc>
        <w:tc>
          <w:tcPr>
            <w:tcW w:w="565" w:type="pct"/>
            <w:tcBorders>
              <w:top w:val="nil"/>
              <w:left w:val="single" w:sz="4" w:space="0" w:color="auto"/>
              <w:bottom w:val="nil"/>
              <w:right w:val="single" w:sz="4" w:space="0" w:color="auto"/>
            </w:tcBorders>
            <w:tcMar>
              <w:left w:w="0" w:type="dxa"/>
              <w:right w:w="160" w:type="dxa"/>
            </w:tcMar>
            <w:vAlign w:val="center"/>
          </w:tcPr>
          <w:p w:rsidR="006C4642" w:rsidRPr="006007C7" w:rsidRDefault="006C4642" w:rsidP="006C4642">
            <w:pPr>
              <w:spacing w:line="288" w:lineRule="auto"/>
              <w:ind w:right="77"/>
              <w:jc w:val="right"/>
            </w:pPr>
            <w:r>
              <w:t>2</w:t>
            </w:r>
            <w:r w:rsidR="009F0550">
              <w:t>.</w:t>
            </w:r>
            <w:r>
              <w:t>9</w:t>
            </w:r>
          </w:p>
        </w:tc>
        <w:tc>
          <w:tcPr>
            <w:tcW w:w="565" w:type="pct"/>
            <w:tcBorders>
              <w:top w:val="nil"/>
              <w:left w:val="single" w:sz="4" w:space="0" w:color="auto"/>
              <w:bottom w:val="nil"/>
              <w:right w:val="single" w:sz="4" w:space="0" w:color="auto"/>
            </w:tcBorders>
            <w:vAlign w:val="center"/>
          </w:tcPr>
          <w:p w:rsidR="006C4642" w:rsidRPr="006007C7" w:rsidRDefault="006C4642" w:rsidP="006C4642">
            <w:pPr>
              <w:spacing w:line="288" w:lineRule="auto"/>
              <w:ind w:right="177"/>
              <w:jc w:val="right"/>
            </w:pPr>
            <w:r>
              <w:t>0</w:t>
            </w:r>
            <w:r w:rsidR="009F0550">
              <w:t>.</w:t>
            </w:r>
            <w:r>
              <w:t>6</w:t>
            </w:r>
          </w:p>
        </w:tc>
        <w:tc>
          <w:tcPr>
            <w:tcW w:w="565" w:type="pct"/>
            <w:tcBorders>
              <w:top w:val="nil"/>
              <w:left w:val="single" w:sz="4" w:space="0" w:color="auto"/>
              <w:bottom w:val="nil"/>
              <w:right w:val="single" w:sz="4" w:space="0" w:color="auto"/>
            </w:tcBorders>
            <w:tcMar>
              <w:right w:w="160" w:type="dxa"/>
            </w:tcMar>
            <w:vAlign w:val="center"/>
          </w:tcPr>
          <w:p w:rsidR="006C4642" w:rsidRPr="006007C7" w:rsidRDefault="006C4642" w:rsidP="006C4642">
            <w:pPr>
              <w:spacing w:line="288" w:lineRule="auto"/>
              <w:ind w:right="77"/>
              <w:jc w:val="right"/>
            </w:pPr>
            <w:r>
              <w:t>**</w:t>
            </w:r>
          </w:p>
        </w:tc>
        <w:tc>
          <w:tcPr>
            <w:tcW w:w="565" w:type="pct"/>
            <w:tcBorders>
              <w:top w:val="nil"/>
              <w:left w:val="double" w:sz="4" w:space="0" w:color="auto"/>
              <w:bottom w:val="nil"/>
              <w:right w:val="single" w:sz="4" w:space="0" w:color="auto"/>
            </w:tcBorders>
            <w:tcMar>
              <w:left w:w="57" w:type="dxa"/>
              <w:right w:w="160" w:type="dxa"/>
            </w:tcMar>
            <w:vAlign w:val="center"/>
          </w:tcPr>
          <w:p w:rsidR="006C4642" w:rsidRPr="006007C7" w:rsidRDefault="006C4642" w:rsidP="006C4642">
            <w:pPr>
              <w:spacing w:line="288" w:lineRule="auto"/>
              <w:ind w:right="77"/>
              <w:jc w:val="right"/>
            </w:pPr>
            <w:r>
              <w:t>1</w:t>
            </w:r>
            <w:r w:rsidR="009F0550">
              <w:t>.</w:t>
            </w:r>
            <w:r>
              <w:t>5</w:t>
            </w:r>
          </w:p>
        </w:tc>
        <w:tc>
          <w:tcPr>
            <w:tcW w:w="565" w:type="pct"/>
            <w:tcBorders>
              <w:top w:val="nil"/>
              <w:left w:val="single" w:sz="4" w:space="0" w:color="auto"/>
              <w:bottom w:val="nil"/>
            </w:tcBorders>
            <w:vAlign w:val="center"/>
          </w:tcPr>
          <w:p w:rsidR="006C4642" w:rsidRPr="006007C7" w:rsidRDefault="006C4642" w:rsidP="006C4642">
            <w:pPr>
              <w:spacing w:line="288" w:lineRule="auto"/>
              <w:ind w:right="174"/>
              <w:jc w:val="right"/>
            </w:pPr>
            <w:r>
              <w:t>3</w:t>
            </w:r>
            <w:r w:rsidR="009F0550">
              <w:t>.</w:t>
            </w:r>
            <w:r>
              <w:t>8</w:t>
            </w:r>
          </w:p>
        </w:tc>
      </w:tr>
      <w:tr w:rsidR="006C4642" w:rsidRPr="00067DF6" w:rsidTr="00544439">
        <w:trPr>
          <w:trHeight w:val="20"/>
        </w:trPr>
        <w:tc>
          <w:tcPr>
            <w:tcW w:w="1609" w:type="pct"/>
            <w:tcBorders>
              <w:top w:val="nil"/>
              <w:bottom w:val="nil"/>
              <w:right w:val="single" w:sz="4" w:space="0" w:color="auto"/>
            </w:tcBorders>
            <w:vAlign w:val="bottom"/>
          </w:tcPr>
          <w:p w:rsidR="006C4642" w:rsidRPr="00067DF6" w:rsidRDefault="006C4642" w:rsidP="00042C84">
            <w:pPr>
              <w:spacing w:line="288" w:lineRule="auto"/>
              <w:ind w:right="77"/>
              <w:rPr>
                <w:rFonts w:ascii="Arial" w:hAnsi="Arial" w:cs="Arial"/>
                <w:sz w:val="20"/>
                <w:szCs w:val="20"/>
              </w:rPr>
            </w:pPr>
            <w:r w:rsidRPr="00067DF6">
              <w:rPr>
                <w:rFonts w:ascii="Arial" w:hAnsi="Arial" w:cs="Arial"/>
                <w:sz w:val="20"/>
                <w:szCs w:val="20"/>
              </w:rPr>
              <w:t>Durable consumer goods</w:t>
            </w:r>
          </w:p>
        </w:tc>
        <w:tc>
          <w:tcPr>
            <w:tcW w:w="565" w:type="pct"/>
            <w:tcBorders>
              <w:top w:val="nil"/>
              <w:left w:val="single" w:sz="4" w:space="0" w:color="auto"/>
              <w:bottom w:val="nil"/>
              <w:right w:val="single" w:sz="4" w:space="0" w:color="auto"/>
            </w:tcBorders>
            <w:tcMar>
              <w:left w:w="57" w:type="dxa"/>
              <w:right w:w="160" w:type="dxa"/>
            </w:tcMar>
            <w:vAlign w:val="center"/>
          </w:tcPr>
          <w:p w:rsidR="006C4642" w:rsidRPr="006007C7" w:rsidRDefault="006C4642" w:rsidP="006C4642">
            <w:pPr>
              <w:spacing w:line="288" w:lineRule="auto"/>
              <w:ind w:right="77"/>
              <w:jc w:val="right"/>
            </w:pPr>
            <w:r>
              <w:t>9</w:t>
            </w:r>
            <w:r w:rsidR="009F0550">
              <w:t>.</w:t>
            </w:r>
            <w:r>
              <w:t>6</w:t>
            </w:r>
          </w:p>
        </w:tc>
        <w:tc>
          <w:tcPr>
            <w:tcW w:w="565" w:type="pct"/>
            <w:tcBorders>
              <w:top w:val="nil"/>
              <w:left w:val="single" w:sz="4" w:space="0" w:color="auto"/>
              <w:bottom w:val="nil"/>
              <w:right w:val="single" w:sz="4" w:space="0" w:color="auto"/>
            </w:tcBorders>
            <w:tcMar>
              <w:left w:w="0" w:type="dxa"/>
              <w:right w:w="160" w:type="dxa"/>
            </w:tcMar>
            <w:vAlign w:val="center"/>
          </w:tcPr>
          <w:p w:rsidR="006C4642" w:rsidRPr="006007C7" w:rsidRDefault="006C4642" w:rsidP="006C4642">
            <w:pPr>
              <w:spacing w:line="288" w:lineRule="auto"/>
              <w:ind w:right="77"/>
              <w:jc w:val="right"/>
            </w:pPr>
            <w:r>
              <w:t>-4</w:t>
            </w:r>
            <w:r w:rsidR="009F0550">
              <w:t>.</w:t>
            </w:r>
            <w:r>
              <w:t>1</w:t>
            </w:r>
          </w:p>
        </w:tc>
        <w:tc>
          <w:tcPr>
            <w:tcW w:w="565" w:type="pct"/>
            <w:tcBorders>
              <w:top w:val="nil"/>
              <w:left w:val="single" w:sz="4" w:space="0" w:color="auto"/>
              <w:bottom w:val="nil"/>
              <w:right w:val="single" w:sz="4" w:space="0" w:color="auto"/>
            </w:tcBorders>
            <w:vAlign w:val="center"/>
          </w:tcPr>
          <w:p w:rsidR="006C4642" w:rsidRPr="006007C7" w:rsidRDefault="006C4642" w:rsidP="006C4642">
            <w:pPr>
              <w:spacing w:line="288" w:lineRule="auto"/>
              <w:ind w:right="177"/>
              <w:jc w:val="right"/>
            </w:pPr>
            <w:r>
              <w:t>6</w:t>
            </w:r>
            <w:r w:rsidR="009F0550">
              <w:t>.</w:t>
            </w:r>
            <w:r>
              <w:t>1</w:t>
            </w:r>
          </w:p>
        </w:tc>
        <w:tc>
          <w:tcPr>
            <w:tcW w:w="565" w:type="pct"/>
            <w:tcBorders>
              <w:top w:val="nil"/>
              <w:left w:val="single" w:sz="4" w:space="0" w:color="auto"/>
              <w:bottom w:val="nil"/>
              <w:right w:val="single" w:sz="4" w:space="0" w:color="auto"/>
            </w:tcBorders>
            <w:tcMar>
              <w:right w:w="160" w:type="dxa"/>
            </w:tcMar>
            <w:vAlign w:val="center"/>
          </w:tcPr>
          <w:p w:rsidR="006C4642" w:rsidRPr="006007C7" w:rsidRDefault="006C4642" w:rsidP="006C4642">
            <w:pPr>
              <w:spacing w:line="288" w:lineRule="auto"/>
              <w:ind w:right="77"/>
              <w:jc w:val="right"/>
            </w:pPr>
            <w:r>
              <w:t>**</w:t>
            </w:r>
          </w:p>
        </w:tc>
        <w:tc>
          <w:tcPr>
            <w:tcW w:w="565" w:type="pct"/>
            <w:tcBorders>
              <w:top w:val="nil"/>
              <w:left w:val="double" w:sz="4" w:space="0" w:color="auto"/>
              <w:bottom w:val="nil"/>
              <w:right w:val="single" w:sz="4" w:space="0" w:color="auto"/>
            </w:tcBorders>
            <w:tcMar>
              <w:left w:w="57" w:type="dxa"/>
              <w:right w:w="160" w:type="dxa"/>
            </w:tcMar>
            <w:vAlign w:val="center"/>
          </w:tcPr>
          <w:p w:rsidR="006C4642" w:rsidRPr="006007C7" w:rsidRDefault="006C4642" w:rsidP="006C4642">
            <w:pPr>
              <w:spacing w:line="288" w:lineRule="auto"/>
              <w:ind w:right="77"/>
              <w:jc w:val="right"/>
            </w:pPr>
            <w:r>
              <w:t>2</w:t>
            </w:r>
            <w:r w:rsidR="009F0550">
              <w:t>.</w:t>
            </w:r>
            <w:r>
              <w:t>9</w:t>
            </w:r>
          </w:p>
        </w:tc>
        <w:tc>
          <w:tcPr>
            <w:tcW w:w="565" w:type="pct"/>
            <w:tcBorders>
              <w:top w:val="nil"/>
              <w:left w:val="single" w:sz="4" w:space="0" w:color="auto"/>
              <w:bottom w:val="nil"/>
            </w:tcBorders>
            <w:vAlign w:val="center"/>
          </w:tcPr>
          <w:p w:rsidR="006C4642" w:rsidRPr="006007C7" w:rsidRDefault="006C4642" w:rsidP="006C4642">
            <w:pPr>
              <w:spacing w:line="288" w:lineRule="auto"/>
              <w:ind w:right="174"/>
              <w:jc w:val="right"/>
            </w:pPr>
            <w:r>
              <w:t>4</w:t>
            </w:r>
            <w:r w:rsidR="009F0550">
              <w:t>.</w:t>
            </w:r>
            <w:r>
              <w:t>6</w:t>
            </w:r>
          </w:p>
        </w:tc>
      </w:tr>
      <w:tr w:rsidR="006C4642" w:rsidRPr="00067DF6" w:rsidTr="00544439">
        <w:trPr>
          <w:trHeight w:val="20"/>
        </w:trPr>
        <w:tc>
          <w:tcPr>
            <w:tcW w:w="1609" w:type="pct"/>
            <w:tcBorders>
              <w:top w:val="nil"/>
              <w:bottom w:val="nil"/>
              <w:right w:val="single" w:sz="4" w:space="0" w:color="auto"/>
            </w:tcBorders>
            <w:vAlign w:val="bottom"/>
          </w:tcPr>
          <w:p w:rsidR="006C4642" w:rsidRPr="00067DF6" w:rsidRDefault="006C4642" w:rsidP="00042C84">
            <w:pPr>
              <w:spacing w:line="288" w:lineRule="auto"/>
              <w:ind w:right="77"/>
              <w:rPr>
                <w:rFonts w:ascii="Arial" w:hAnsi="Arial" w:cs="Arial"/>
                <w:sz w:val="20"/>
                <w:szCs w:val="20"/>
              </w:rPr>
            </w:pPr>
            <w:r w:rsidRPr="00067DF6">
              <w:rPr>
                <w:rFonts w:ascii="Arial" w:hAnsi="Arial" w:cs="Arial"/>
                <w:sz w:val="20"/>
                <w:szCs w:val="20"/>
              </w:rPr>
              <w:t>Intermediate goods</w:t>
            </w:r>
          </w:p>
        </w:tc>
        <w:tc>
          <w:tcPr>
            <w:tcW w:w="565" w:type="pct"/>
            <w:tcBorders>
              <w:top w:val="nil"/>
              <w:left w:val="single" w:sz="4" w:space="0" w:color="auto"/>
              <w:bottom w:val="nil"/>
              <w:right w:val="single" w:sz="4" w:space="0" w:color="auto"/>
            </w:tcBorders>
            <w:tcMar>
              <w:left w:w="57" w:type="dxa"/>
              <w:right w:w="160" w:type="dxa"/>
            </w:tcMar>
            <w:vAlign w:val="center"/>
          </w:tcPr>
          <w:p w:rsidR="006C4642" w:rsidRPr="006007C7" w:rsidRDefault="006C4642" w:rsidP="006C4642">
            <w:pPr>
              <w:spacing w:line="288" w:lineRule="auto"/>
              <w:ind w:right="77"/>
              <w:jc w:val="right"/>
            </w:pPr>
            <w:r>
              <w:t>1</w:t>
            </w:r>
            <w:r w:rsidR="009F0550">
              <w:t>.</w:t>
            </w:r>
            <w:r>
              <w:t>3</w:t>
            </w:r>
          </w:p>
        </w:tc>
        <w:tc>
          <w:tcPr>
            <w:tcW w:w="565" w:type="pct"/>
            <w:tcBorders>
              <w:top w:val="nil"/>
              <w:left w:val="single" w:sz="4" w:space="0" w:color="auto"/>
              <w:bottom w:val="nil"/>
              <w:right w:val="single" w:sz="4" w:space="0" w:color="auto"/>
            </w:tcBorders>
            <w:tcMar>
              <w:left w:w="0" w:type="dxa"/>
              <w:right w:w="160" w:type="dxa"/>
            </w:tcMar>
            <w:vAlign w:val="center"/>
          </w:tcPr>
          <w:p w:rsidR="006C4642" w:rsidRPr="006007C7" w:rsidRDefault="006C4642" w:rsidP="006C4642">
            <w:pPr>
              <w:spacing w:line="288" w:lineRule="auto"/>
              <w:ind w:right="77"/>
              <w:jc w:val="right"/>
            </w:pPr>
            <w:r>
              <w:t>0</w:t>
            </w:r>
            <w:r w:rsidR="009F0550">
              <w:t>.</w:t>
            </w:r>
            <w:r>
              <w:t>0</w:t>
            </w:r>
          </w:p>
        </w:tc>
        <w:tc>
          <w:tcPr>
            <w:tcW w:w="565" w:type="pct"/>
            <w:tcBorders>
              <w:top w:val="nil"/>
              <w:left w:val="single" w:sz="4" w:space="0" w:color="auto"/>
              <w:bottom w:val="nil"/>
              <w:right w:val="single" w:sz="4" w:space="0" w:color="auto"/>
            </w:tcBorders>
            <w:vAlign w:val="center"/>
          </w:tcPr>
          <w:p w:rsidR="006C4642" w:rsidRPr="006007C7" w:rsidRDefault="006C4642" w:rsidP="006C4642">
            <w:pPr>
              <w:spacing w:line="288" w:lineRule="auto"/>
              <w:ind w:right="177"/>
              <w:jc w:val="right"/>
            </w:pPr>
            <w:r>
              <w:t>2</w:t>
            </w:r>
            <w:r w:rsidR="009F0550">
              <w:t>.</w:t>
            </w:r>
            <w:r>
              <w:t>1</w:t>
            </w:r>
          </w:p>
        </w:tc>
        <w:tc>
          <w:tcPr>
            <w:tcW w:w="565" w:type="pct"/>
            <w:tcBorders>
              <w:top w:val="nil"/>
              <w:left w:val="single" w:sz="4" w:space="0" w:color="auto"/>
              <w:bottom w:val="nil"/>
              <w:right w:val="single" w:sz="4" w:space="0" w:color="auto"/>
            </w:tcBorders>
            <w:tcMar>
              <w:right w:w="160" w:type="dxa"/>
            </w:tcMar>
            <w:vAlign w:val="center"/>
          </w:tcPr>
          <w:p w:rsidR="006C4642" w:rsidRPr="006007C7" w:rsidRDefault="006C4642" w:rsidP="006C4642">
            <w:pPr>
              <w:spacing w:line="288" w:lineRule="auto"/>
              <w:ind w:right="77"/>
              <w:jc w:val="right"/>
            </w:pPr>
            <w:r>
              <w:t>**</w:t>
            </w:r>
          </w:p>
        </w:tc>
        <w:tc>
          <w:tcPr>
            <w:tcW w:w="565" w:type="pct"/>
            <w:tcBorders>
              <w:top w:val="nil"/>
              <w:left w:val="double" w:sz="4" w:space="0" w:color="auto"/>
              <w:bottom w:val="nil"/>
              <w:right w:val="single" w:sz="4" w:space="0" w:color="auto"/>
            </w:tcBorders>
            <w:tcMar>
              <w:left w:w="57" w:type="dxa"/>
              <w:right w:w="160" w:type="dxa"/>
            </w:tcMar>
            <w:vAlign w:val="center"/>
          </w:tcPr>
          <w:p w:rsidR="006C4642" w:rsidRPr="006007C7" w:rsidRDefault="006C4642" w:rsidP="006C4642">
            <w:pPr>
              <w:spacing w:line="288" w:lineRule="auto"/>
              <w:ind w:right="77"/>
              <w:jc w:val="right"/>
            </w:pPr>
            <w:r>
              <w:t>0</w:t>
            </w:r>
            <w:r w:rsidR="009F0550">
              <w:t>.</w:t>
            </w:r>
            <w:r>
              <w:t>3</w:t>
            </w:r>
          </w:p>
        </w:tc>
        <w:tc>
          <w:tcPr>
            <w:tcW w:w="565" w:type="pct"/>
            <w:tcBorders>
              <w:top w:val="nil"/>
              <w:left w:val="single" w:sz="4" w:space="0" w:color="auto"/>
              <w:bottom w:val="nil"/>
            </w:tcBorders>
            <w:vAlign w:val="center"/>
          </w:tcPr>
          <w:p w:rsidR="006C4642" w:rsidRPr="006007C7" w:rsidRDefault="006C4642" w:rsidP="006C4642">
            <w:pPr>
              <w:spacing w:line="288" w:lineRule="auto"/>
              <w:ind w:right="174"/>
              <w:jc w:val="right"/>
            </w:pPr>
            <w:r>
              <w:t>1</w:t>
            </w:r>
            <w:r w:rsidR="009F0550">
              <w:t>.</w:t>
            </w:r>
            <w:r>
              <w:t>4</w:t>
            </w:r>
          </w:p>
        </w:tc>
      </w:tr>
      <w:tr w:rsidR="006C4642" w:rsidRPr="00067DF6" w:rsidTr="00544439">
        <w:trPr>
          <w:trHeight w:val="20"/>
        </w:trPr>
        <w:tc>
          <w:tcPr>
            <w:tcW w:w="1609" w:type="pct"/>
            <w:tcBorders>
              <w:top w:val="nil"/>
              <w:bottom w:val="single" w:sz="4" w:space="0" w:color="auto"/>
              <w:right w:val="single" w:sz="4" w:space="0" w:color="auto"/>
            </w:tcBorders>
            <w:vAlign w:val="bottom"/>
          </w:tcPr>
          <w:p w:rsidR="006C4642" w:rsidRPr="00067DF6" w:rsidRDefault="006C4642" w:rsidP="00042C84">
            <w:pPr>
              <w:spacing w:line="288" w:lineRule="auto"/>
              <w:ind w:right="77"/>
              <w:rPr>
                <w:rFonts w:ascii="Arial" w:hAnsi="Arial" w:cs="Arial"/>
                <w:sz w:val="20"/>
                <w:szCs w:val="20"/>
              </w:rPr>
            </w:pPr>
            <w:r w:rsidRPr="00067DF6">
              <w:rPr>
                <w:rFonts w:ascii="Arial" w:hAnsi="Arial" w:cs="Arial"/>
                <w:sz w:val="20"/>
                <w:szCs w:val="20"/>
              </w:rPr>
              <w:t>Investment goods</w:t>
            </w:r>
          </w:p>
        </w:tc>
        <w:tc>
          <w:tcPr>
            <w:tcW w:w="565" w:type="pct"/>
            <w:tcBorders>
              <w:top w:val="nil"/>
              <w:left w:val="single" w:sz="4" w:space="0" w:color="auto"/>
              <w:bottom w:val="single" w:sz="4" w:space="0" w:color="auto"/>
              <w:right w:val="single" w:sz="4" w:space="0" w:color="auto"/>
            </w:tcBorders>
            <w:tcMar>
              <w:left w:w="57" w:type="dxa"/>
              <w:right w:w="160" w:type="dxa"/>
            </w:tcMar>
            <w:vAlign w:val="center"/>
          </w:tcPr>
          <w:p w:rsidR="006C4642" w:rsidRPr="006007C7" w:rsidRDefault="006C4642" w:rsidP="006C4642">
            <w:pPr>
              <w:spacing w:line="288" w:lineRule="auto"/>
              <w:ind w:right="77"/>
              <w:jc w:val="right"/>
            </w:pPr>
            <w:r>
              <w:t>6</w:t>
            </w:r>
            <w:r w:rsidR="009F0550">
              <w:t>.</w:t>
            </w:r>
            <w:r>
              <w:t>1</w:t>
            </w:r>
          </w:p>
        </w:tc>
        <w:tc>
          <w:tcPr>
            <w:tcW w:w="565" w:type="pct"/>
            <w:tcBorders>
              <w:top w:val="nil"/>
              <w:left w:val="single" w:sz="4" w:space="0" w:color="auto"/>
              <w:bottom w:val="single" w:sz="4" w:space="0" w:color="auto"/>
              <w:right w:val="single" w:sz="4" w:space="0" w:color="auto"/>
            </w:tcBorders>
            <w:tcMar>
              <w:left w:w="0" w:type="dxa"/>
              <w:right w:w="160" w:type="dxa"/>
            </w:tcMar>
            <w:vAlign w:val="center"/>
          </w:tcPr>
          <w:p w:rsidR="006C4642" w:rsidRPr="006007C7" w:rsidRDefault="006C4642" w:rsidP="006C4642">
            <w:pPr>
              <w:spacing w:line="288" w:lineRule="auto"/>
              <w:ind w:right="77"/>
              <w:jc w:val="right"/>
            </w:pPr>
            <w:r>
              <w:t>3</w:t>
            </w:r>
            <w:r w:rsidR="009F0550">
              <w:t>.</w:t>
            </w:r>
            <w:r>
              <w:t>0</w:t>
            </w:r>
          </w:p>
        </w:tc>
        <w:tc>
          <w:tcPr>
            <w:tcW w:w="565" w:type="pct"/>
            <w:tcBorders>
              <w:top w:val="nil"/>
              <w:left w:val="single" w:sz="4" w:space="0" w:color="auto"/>
              <w:bottom w:val="single" w:sz="4" w:space="0" w:color="auto"/>
              <w:right w:val="single" w:sz="4" w:space="0" w:color="auto"/>
            </w:tcBorders>
            <w:vAlign w:val="center"/>
          </w:tcPr>
          <w:p w:rsidR="006C4642" w:rsidRPr="006007C7" w:rsidRDefault="006C4642" w:rsidP="006C4642">
            <w:pPr>
              <w:spacing w:line="288" w:lineRule="auto"/>
              <w:ind w:right="177"/>
              <w:jc w:val="right"/>
            </w:pPr>
            <w:r>
              <w:t>1</w:t>
            </w:r>
            <w:r w:rsidR="009F0550">
              <w:t>.</w:t>
            </w:r>
            <w:r>
              <w:t>9</w:t>
            </w:r>
          </w:p>
        </w:tc>
        <w:tc>
          <w:tcPr>
            <w:tcW w:w="565" w:type="pct"/>
            <w:tcBorders>
              <w:top w:val="nil"/>
              <w:left w:val="single" w:sz="4" w:space="0" w:color="auto"/>
              <w:bottom w:val="single" w:sz="4" w:space="0" w:color="auto"/>
              <w:right w:val="single" w:sz="4" w:space="0" w:color="auto"/>
            </w:tcBorders>
            <w:tcMar>
              <w:right w:w="160" w:type="dxa"/>
            </w:tcMar>
            <w:vAlign w:val="center"/>
          </w:tcPr>
          <w:p w:rsidR="006C4642" w:rsidRPr="006007C7" w:rsidRDefault="006C4642" w:rsidP="006C4642">
            <w:pPr>
              <w:spacing w:line="288" w:lineRule="auto"/>
              <w:ind w:right="77"/>
              <w:jc w:val="right"/>
            </w:pPr>
            <w:r>
              <w:t>**</w:t>
            </w:r>
          </w:p>
        </w:tc>
        <w:tc>
          <w:tcPr>
            <w:tcW w:w="565" w:type="pct"/>
            <w:tcBorders>
              <w:top w:val="nil"/>
              <w:left w:val="double" w:sz="4" w:space="0" w:color="auto"/>
              <w:bottom w:val="single" w:sz="4" w:space="0" w:color="auto"/>
              <w:right w:val="single" w:sz="4" w:space="0" w:color="auto"/>
            </w:tcBorders>
            <w:tcMar>
              <w:left w:w="57" w:type="dxa"/>
              <w:right w:w="160" w:type="dxa"/>
            </w:tcMar>
            <w:vAlign w:val="center"/>
          </w:tcPr>
          <w:p w:rsidR="006C4642" w:rsidRPr="006007C7" w:rsidRDefault="006C4642" w:rsidP="006C4642">
            <w:pPr>
              <w:spacing w:line="288" w:lineRule="auto"/>
              <w:ind w:right="77"/>
              <w:jc w:val="right"/>
            </w:pPr>
            <w:r>
              <w:t>-2</w:t>
            </w:r>
            <w:r w:rsidR="009F0550">
              <w:t>.</w:t>
            </w:r>
            <w:r>
              <w:t>6</w:t>
            </w:r>
          </w:p>
        </w:tc>
        <w:tc>
          <w:tcPr>
            <w:tcW w:w="565" w:type="pct"/>
            <w:tcBorders>
              <w:top w:val="nil"/>
              <w:left w:val="single" w:sz="4" w:space="0" w:color="auto"/>
              <w:bottom w:val="single" w:sz="4" w:space="0" w:color="auto"/>
            </w:tcBorders>
            <w:vAlign w:val="center"/>
          </w:tcPr>
          <w:p w:rsidR="006C4642" w:rsidRPr="006007C7" w:rsidRDefault="006C4642" w:rsidP="006C4642">
            <w:pPr>
              <w:spacing w:line="288" w:lineRule="auto"/>
              <w:ind w:right="174"/>
              <w:jc w:val="right"/>
            </w:pPr>
            <w:r>
              <w:t>5</w:t>
            </w:r>
            <w:r w:rsidR="009F0550">
              <w:t>.</w:t>
            </w:r>
            <w:r>
              <w:t>4</w:t>
            </w:r>
          </w:p>
        </w:tc>
      </w:tr>
      <w:tr w:rsidR="006C4642" w:rsidRPr="00067DF6" w:rsidTr="00544439">
        <w:trPr>
          <w:trHeight w:val="20"/>
        </w:trPr>
        <w:tc>
          <w:tcPr>
            <w:tcW w:w="1609" w:type="pct"/>
            <w:tcBorders>
              <w:top w:val="single" w:sz="4" w:space="0" w:color="auto"/>
              <w:bottom w:val="nil"/>
              <w:right w:val="single" w:sz="4" w:space="0" w:color="auto"/>
            </w:tcBorders>
            <w:vAlign w:val="bottom"/>
          </w:tcPr>
          <w:p w:rsidR="006C4642" w:rsidRPr="00067DF6" w:rsidRDefault="006C4642" w:rsidP="00042C84">
            <w:pPr>
              <w:spacing w:line="288" w:lineRule="auto"/>
              <w:ind w:right="77"/>
              <w:rPr>
                <w:rFonts w:ascii="Arial" w:hAnsi="Arial" w:cs="Arial"/>
                <w:b/>
                <w:sz w:val="20"/>
                <w:szCs w:val="20"/>
              </w:rPr>
            </w:pPr>
            <w:r w:rsidRPr="00067DF6">
              <w:rPr>
                <w:rFonts w:ascii="Arial" w:hAnsi="Arial" w:cs="Arial"/>
                <w:b/>
                <w:sz w:val="20"/>
                <w:szCs w:val="20"/>
              </w:rPr>
              <w:t>Capacity Utilization Rate (CUR)</w:t>
            </w:r>
          </w:p>
        </w:tc>
        <w:tc>
          <w:tcPr>
            <w:tcW w:w="565" w:type="pct"/>
            <w:tcBorders>
              <w:top w:val="single" w:sz="4" w:space="0" w:color="auto"/>
              <w:left w:val="single" w:sz="4" w:space="0" w:color="auto"/>
              <w:bottom w:val="nil"/>
              <w:right w:val="single" w:sz="4" w:space="0" w:color="auto"/>
            </w:tcBorders>
            <w:tcMar>
              <w:left w:w="57" w:type="dxa"/>
              <w:right w:w="160" w:type="dxa"/>
            </w:tcMar>
            <w:vAlign w:val="center"/>
          </w:tcPr>
          <w:p w:rsidR="006C4642" w:rsidRPr="006007C7" w:rsidRDefault="006C4642" w:rsidP="006C4642">
            <w:pPr>
              <w:spacing w:line="288" w:lineRule="auto"/>
              <w:ind w:right="77"/>
              <w:jc w:val="right"/>
              <w:rPr>
                <w:b/>
                <w:bCs/>
              </w:rPr>
            </w:pPr>
            <w:r>
              <w:rPr>
                <w:b/>
                <w:bCs/>
              </w:rPr>
              <w:t>0</w:t>
            </w:r>
            <w:r w:rsidR="009F0550">
              <w:rPr>
                <w:b/>
                <w:bCs/>
              </w:rPr>
              <w:t>.</w:t>
            </w:r>
            <w:r>
              <w:rPr>
                <w:b/>
                <w:bCs/>
              </w:rPr>
              <w:t>0</w:t>
            </w:r>
          </w:p>
        </w:tc>
        <w:tc>
          <w:tcPr>
            <w:tcW w:w="565" w:type="pct"/>
            <w:tcBorders>
              <w:top w:val="single" w:sz="4" w:space="0" w:color="auto"/>
              <w:left w:val="single" w:sz="4" w:space="0" w:color="auto"/>
              <w:bottom w:val="nil"/>
              <w:right w:val="single" w:sz="4" w:space="0" w:color="auto"/>
            </w:tcBorders>
            <w:tcMar>
              <w:left w:w="0" w:type="dxa"/>
              <w:right w:w="160" w:type="dxa"/>
            </w:tcMar>
            <w:vAlign w:val="center"/>
          </w:tcPr>
          <w:p w:rsidR="006C4642" w:rsidRPr="006007C7" w:rsidRDefault="006C4642" w:rsidP="006C4642">
            <w:pPr>
              <w:spacing w:line="288" w:lineRule="auto"/>
              <w:ind w:right="77"/>
              <w:jc w:val="right"/>
              <w:rPr>
                <w:b/>
                <w:bCs/>
              </w:rPr>
            </w:pPr>
            <w:r>
              <w:rPr>
                <w:b/>
                <w:bCs/>
              </w:rPr>
              <w:t>0</w:t>
            </w:r>
            <w:r w:rsidR="009F0550">
              <w:rPr>
                <w:b/>
                <w:bCs/>
              </w:rPr>
              <w:t>.</w:t>
            </w:r>
            <w:r>
              <w:rPr>
                <w:b/>
                <w:bCs/>
              </w:rPr>
              <w:t>3</w:t>
            </w:r>
          </w:p>
        </w:tc>
        <w:tc>
          <w:tcPr>
            <w:tcW w:w="565" w:type="pct"/>
            <w:tcBorders>
              <w:top w:val="single" w:sz="4" w:space="0" w:color="auto"/>
              <w:left w:val="single" w:sz="4" w:space="0" w:color="auto"/>
              <w:bottom w:val="nil"/>
              <w:right w:val="single" w:sz="4" w:space="0" w:color="auto"/>
            </w:tcBorders>
            <w:vAlign w:val="center"/>
          </w:tcPr>
          <w:p w:rsidR="006C4642" w:rsidRPr="006007C7" w:rsidRDefault="006C4642" w:rsidP="006C4642">
            <w:pPr>
              <w:spacing w:line="288" w:lineRule="auto"/>
              <w:ind w:right="177"/>
              <w:jc w:val="right"/>
              <w:rPr>
                <w:b/>
                <w:bCs/>
              </w:rPr>
            </w:pPr>
            <w:r>
              <w:rPr>
                <w:b/>
                <w:bCs/>
              </w:rPr>
              <w:t>-0</w:t>
            </w:r>
            <w:r w:rsidR="009F0550">
              <w:rPr>
                <w:b/>
                <w:bCs/>
              </w:rPr>
              <w:t>.</w:t>
            </w:r>
            <w:r>
              <w:rPr>
                <w:b/>
                <w:bCs/>
              </w:rPr>
              <w:t>4</w:t>
            </w:r>
          </w:p>
        </w:tc>
        <w:tc>
          <w:tcPr>
            <w:tcW w:w="565" w:type="pct"/>
            <w:tcBorders>
              <w:top w:val="single" w:sz="4" w:space="0" w:color="auto"/>
              <w:left w:val="single" w:sz="4" w:space="0" w:color="auto"/>
              <w:bottom w:val="nil"/>
              <w:right w:val="single" w:sz="4" w:space="0" w:color="auto"/>
            </w:tcBorders>
            <w:tcMar>
              <w:right w:w="160" w:type="dxa"/>
            </w:tcMar>
            <w:vAlign w:val="center"/>
          </w:tcPr>
          <w:p w:rsidR="006C4642" w:rsidRPr="006007C7" w:rsidRDefault="006C4642" w:rsidP="006C4642">
            <w:pPr>
              <w:spacing w:line="288" w:lineRule="auto"/>
              <w:ind w:right="77"/>
              <w:jc w:val="right"/>
              <w:rPr>
                <w:b/>
                <w:bCs/>
              </w:rPr>
            </w:pPr>
            <w:r>
              <w:rPr>
                <w:b/>
                <w:bCs/>
              </w:rPr>
              <w:t>1</w:t>
            </w:r>
            <w:r w:rsidR="009F0550">
              <w:rPr>
                <w:b/>
                <w:bCs/>
              </w:rPr>
              <w:t>.</w:t>
            </w:r>
            <w:r>
              <w:rPr>
                <w:b/>
                <w:bCs/>
              </w:rPr>
              <w:t>6</w:t>
            </w:r>
          </w:p>
        </w:tc>
        <w:tc>
          <w:tcPr>
            <w:tcW w:w="565" w:type="pct"/>
            <w:tcBorders>
              <w:top w:val="single" w:sz="4" w:space="0" w:color="auto"/>
              <w:left w:val="double" w:sz="4" w:space="0" w:color="auto"/>
              <w:bottom w:val="nil"/>
              <w:right w:val="single" w:sz="4" w:space="0" w:color="auto"/>
            </w:tcBorders>
            <w:tcMar>
              <w:left w:w="57" w:type="dxa"/>
              <w:right w:w="160" w:type="dxa"/>
            </w:tcMar>
            <w:vAlign w:val="center"/>
          </w:tcPr>
          <w:p w:rsidR="006C4642" w:rsidRPr="006007C7" w:rsidRDefault="006C4642" w:rsidP="006C4642">
            <w:pPr>
              <w:spacing w:line="288" w:lineRule="auto"/>
              <w:ind w:right="77"/>
              <w:jc w:val="right"/>
              <w:rPr>
                <w:b/>
                <w:bCs/>
              </w:rPr>
            </w:pPr>
            <w:r>
              <w:rPr>
                <w:b/>
                <w:bCs/>
              </w:rPr>
              <w:t>-1</w:t>
            </w:r>
            <w:r w:rsidR="009F0550">
              <w:rPr>
                <w:b/>
                <w:bCs/>
              </w:rPr>
              <w:t>.</w:t>
            </w:r>
            <w:r>
              <w:rPr>
                <w:b/>
                <w:bCs/>
              </w:rPr>
              <w:t>7</w:t>
            </w:r>
          </w:p>
        </w:tc>
        <w:tc>
          <w:tcPr>
            <w:tcW w:w="565" w:type="pct"/>
            <w:tcBorders>
              <w:top w:val="single" w:sz="4" w:space="0" w:color="auto"/>
              <w:left w:val="single" w:sz="4" w:space="0" w:color="auto"/>
              <w:bottom w:val="nil"/>
            </w:tcBorders>
            <w:vAlign w:val="center"/>
          </w:tcPr>
          <w:p w:rsidR="006C4642" w:rsidRPr="006007C7" w:rsidRDefault="006C4642" w:rsidP="006C4642">
            <w:pPr>
              <w:spacing w:line="288" w:lineRule="auto"/>
              <w:ind w:right="174"/>
              <w:jc w:val="right"/>
              <w:rPr>
                <w:b/>
                <w:bCs/>
              </w:rPr>
            </w:pPr>
            <w:r>
              <w:rPr>
                <w:b/>
                <w:bCs/>
              </w:rPr>
              <w:t>0</w:t>
            </w:r>
            <w:r w:rsidR="009F0550">
              <w:rPr>
                <w:b/>
                <w:bCs/>
              </w:rPr>
              <w:t>.</w:t>
            </w:r>
            <w:r>
              <w:rPr>
                <w:b/>
                <w:bCs/>
              </w:rPr>
              <w:t>7</w:t>
            </w:r>
          </w:p>
        </w:tc>
      </w:tr>
      <w:tr w:rsidR="006C4642" w:rsidRPr="00067DF6" w:rsidTr="00544439">
        <w:trPr>
          <w:trHeight w:val="20"/>
        </w:trPr>
        <w:tc>
          <w:tcPr>
            <w:tcW w:w="1609" w:type="pct"/>
            <w:tcBorders>
              <w:top w:val="nil"/>
              <w:bottom w:val="nil"/>
              <w:right w:val="single" w:sz="4" w:space="0" w:color="auto"/>
            </w:tcBorders>
            <w:vAlign w:val="bottom"/>
          </w:tcPr>
          <w:p w:rsidR="006C4642" w:rsidRPr="00067DF6" w:rsidRDefault="006C4642" w:rsidP="00042C84">
            <w:pPr>
              <w:spacing w:line="288" w:lineRule="auto"/>
              <w:ind w:right="77"/>
              <w:rPr>
                <w:rFonts w:ascii="Arial" w:hAnsi="Arial" w:cs="Arial"/>
                <w:sz w:val="20"/>
                <w:szCs w:val="20"/>
              </w:rPr>
            </w:pPr>
            <w:r w:rsidRPr="00067DF6">
              <w:rPr>
                <w:rFonts w:ascii="Arial" w:hAnsi="Arial" w:cs="Arial"/>
                <w:sz w:val="20"/>
                <w:szCs w:val="20"/>
              </w:rPr>
              <w:t>Nondurable consumer goods</w:t>
            </w:r>
          </w:p>
        </w:tc>
        <w:tc>
          <w:tcPr>
            <w:tcW w:w="565" w:type="pct"/>
            <w:tcBorders>
              <w:top w:val="nil"/>
              <w:left w:val="single" w:sz="4" w:space="0" w:color="auto"/>
              <w:bottom w:val="nil"/>
              <w:right w:val="single" w:sz="4" w:space="0" w:color="auto"/>
            </w:tcBorders>
            <w:tcMar>
              <w:left w:w="57" w:type="dxa"/>
              <w:right w:w="160" w:type="dxa"/>
            </w:tcMar>
            <w:vAlign w:val="center"/>
          </w:tcPr>
          <w:p w:rsidR="006C4642" w:rsidRPr="006007C7" w:rsidRDefault="006C4642" w:rsidP="006C4642">
            <w:pPr>
              <w:spacing w:line="288" w:lineRule="auto"/>
              <w:ind w:right="77"/>
              <w:jc w:val="right"/>
            </w:pPr>
            <w:r>
              <w:t>-0</w:t>
            </w:r>
            <w:r w:rsidR="009F0550">
              <w:t>.</w:t>
            </w:r>
            <w:r>
              <w:t>1</w:t>
            </w:r>
          </w:p>
        </w:tc>
        <w:tc>
          <w:tcPr>
            <w:tcW w:w="565" w:type="pct"/>
            <w:tcBorders>
              <w:top w:val="nil"/>
              <w:left w:val="single" w:sz="4" w:space="0" w:color="auto"/>
              <w:bottom w:val="nil"/>
              <w:right w:val="single" w:sz="4" w:space="0" w:color="auto"/>
            </w:tcBorders>
            <w:tcMar>
              <w:left w:w="0" w:type="dxa"/>
              <w:right w:w="160" w:type="dxa"/>
            </w:tcMar>
            <w:vAlign w:val="center"/>
          </w:tcPr>
          <w:p w:rsidR="006C4642" w:rsidRPr="006007C7" w:rsidRDefault="006C4642" w:rsidP="006C4642">
            <w:pPr>
              <w:spacing w:line="288" w:lineRule="auto"/>
              <w:ind w:right="77"/>
              <w:jc w:val="right"/>
            </w:pPr>
            <w:r>
              <w:t>0</w:t>
            </w:r>
            <w:r w:rsidR="009F0550">
              <w:t>.</w:t>
            </w:r>
            <w:r>
              <w:t>3</w:t>
            </w:r>
          </w:p>
        </w:tc>
        <w:tc>
          <w:tcPr>
            <w:tcW w:w="565" w:type="pct"/>
            <w:tcBorders>
              <w:top w:val="nil"/>
              <w:left w:val="single" w:sz="4" w:space="0" w:color="auto"/>
              <w:bottom w:val="nil"/>
              <w:right w:val="single" w:sz="4" w:space="0" w:color="auto"/>
            </w:tcBorders>
            <w:vAlign w:val="center"/>
          </w:tcPr>
          <w:p w:rsidR="006C4642" w:rsidRPr="006007C7" w:rsidRDefault="006C4642" w:rsidP="006C4642">
            <w:pPr>
              <w:spacing w:line="288" w:lineRule="auto"/>
              <w:ind w:right="177"/>
              <w:jc w:val="right"/>
            </w:pPr>
            <w:r>
              <w:t>-0</w:t>
            </w:r>
            <w:r w:rsidR="009F0550">
              <w:t>.</w:t>
            </w:r>
            <w:r>
              <w:t>2</w:t>
            </w:r>
          </w:p>
        </w:tc>
        <w:tc>
          <w:tcPr>
            <w:tcW w:w="565" w:type="pct"/>
            <w:tcBorders>
              <w:top w:val="nil"/>
              <w:left w:val="single" w:sz="4" w:space="0" w:color="auto"/>
              <w:bottom w:val="nil"/>
              <w:right w:val="single" w:sz="4" w:space="0" w:color="auto"/>
            </w:tcBorders>
            <w:tcMar>
              <w:right w:w="160" w:type="dxa"/>
            </w:tcMar>
            <w:vAlign w:val="center"/>
          </w:tcPr>
          <w:p w:rsidR="006C4642" w:rsidRPr="006007C7" w:rsidRDefault="006C4642" w:rsidP="006C4642">
            <w:pPr>
              <w:spacing w:line="288" w:lineRule="auto"/>
              <w:ind w:right="77"/>
              <w:jc w:val="right"/>
            </w:pPr>
            <w:r>
              <w:t>0</w:t>
            </w:r>
            <w:r w:rsidR="009F0550">
              <w:t>.</w:t>
            </w:r>
            <w:r>
              <w:t>0</w:t>
            </w:r>
          </w:p>
        </w:tc>
        <w:tc>
          <w:tcPr>
            <w:tcW w:w="565" w:type="pct"/>
            <w:tcBorders>
              <w:top w:val="nil"/>
              <w:left w:val="double" w:sz="4" w:space="0" w:color="auto"/>
              <w:bottom w:val="nil"/>
              <w:right w:val="single" w:sz="4" w:space="0" w:color="auto"/>
            </w:tcBorders>
            <w:tcMar>
              <w:left w:w="57" w:type="dxa"/>
              <w:right w:w="160" w:type="dxa"/>
            </w:tcMar>
            <w:vAlign w:val="center"/>
          </w:tcPr>
          <w:p w:rsidR="006C4642" w:rsidRPr="006007C7" w:rsidRDefault="006C4642" w:rsidP="006C4642">
            <w:pPr>
              <w:spacing w:line="288" w:lineRule="auto"/>
              <w:ind w:right="77"/>
              <w:jc w:val="right"/>
            </w:pPr>
            <w:r>
              <w:t>-0</w:t>
            </w:r>
            <w:r w:rsidR="009F0550">
              <w:t>.</w:t>
            </w:r>
            <w:r>
              <w:t>2</w:t>
            </w:r>
          </w:p>
        </w:tc>
        <w:tc>
          <w:tcPr>
            <w:tcW w:w="565" w:type="pct"/>
            <w:tcBorders>
              <w:top w:val="nil"/>
              <w:left w:val="single" w:sz="4" w:space="0" w:color="auto"/>
              <w:bottom w:val="nil"/>
            </w:tcBorders>
            <w:vAlign w:val="center"/>
          </w:tcPr>
          <w:p w:rsidR="006C4642" w:rsidRPr="006007C7" w:rsidRDefault="006C4642" w:rsidP="006C4642">
            <w:pPr>
              <w:spacing w:line="288" w:lineRule="auto"/>
              <w:ind w:right="174"/>
              <w:jc w:val="right"/>
            </w:pPr>
            <w:r>
              <w:t>0</w:t>
            </w:r>
            <w:r w:rsidR="009F0550">
              <w:t>.</w:t>
            </w:r>
            <w:r>
              <w:t>0</w:t>
            </w:r>
          </w:p>
        </w:tc>
      </w:tr>
      <w:tr w:rsidR="006C4642" w:rsidRPr="00067DF6" w:rsidTr="00544439">
        <w:trPr>
          <w:trHeight w:val="20"/>
        </w:trPr>
        <w:tc>
          <w:tcPr>
            <w:tcW w:w="1609" w:type="pct"/>
            <w:tcBorders>
              <w:top w:val="nil"/>
              <w:bottom w:val="nil"/>
              <w:right w:val="single" w:sz="4" w:space="0" w:color="auto"/>
            </w:tcBorders>
            <w:vAlign w:val="bottom"/>
          </w:tcPr>
          <w:p w:rsidR="006C4642" w:rsidRPr="00067DF6" w:rsidRDefault="006C4642" w:rsidP="00042C84">
            <w:pPr>
              <w:spacing w:line="288" w:lineRule="auto"/>
              <w:ind w:right="77"/>
              <w:rPr>
                <w:rFonts w:ascii="Arial" w:hAnsi="Arial" w:cs="Arial"/>
                <w:sz w:val="20"/>
                <w:szCs w:val="20"/>
              </w:rPr>
            </w:pPr>
            <w:r w:rsidRPr="00067DF6">
              <w:rPr>
                <w:rFonts w:ascii="Arial" w:hAnsi="Arial" w:cs="Arial"/>
                <w:sz w:val="20"/>
                <w:szCs w:val="20"/>
              </w:rPr>
              <w:t>Durable consumer goods</w:t>
            </w:r>
          </w:p>
        </w:tc>
        <w:tc>
          <w:tcPr>
            <w:tcW w:w="565" w:type="pct"/>
            <w:tcBorders>
              <w:top w:val="nil"/>
              <w:left w:val="single" w:sz="4" w:space="0" w:color="auto"/>
              <w:bottom w:val="nil"/>
              <w:right w:val="single" w:sz="4" w:space="0" w:color="auto"/>
            </w:tcBorders>
            <w:tcMar>
              <w:left w:w="57" w:type="dxa"/>
              <w:right w:w="160" w:type="dxa"/>
            </w:tcMar>
            <w:vAlign w:val="center"/>
          </w:tcPr>
          <w:p w:rsidR="006C4642" w:rsidRPr="006007C7" w:rsidRDefault="006C4642" w:rsidP="006C4642">
            <w:pPr>
              <w:spacing w:line="288" w:lineRule="auto"/>
              <w:ind w:right="77"/>
              <w:jc w:val="right"/>
            </w:pPr>
            <w:r>
              <w:t>0</w:t>
            </w:r>
            <w:r w:rsidR="009F0550">
              <w:t>.</w:t>
            </w:r>
            <w:r>
              <w:t>8</w:t>
            </w:r>
          </w:p>
        </w:tc>
        <w:tc>
          <w:tcPr>
            <w:tcW w:w="565" w:type="pct"/>
            <w:tcBorders>
              <w:top w:val="nil"/>
              <w:left w:val="single" w:sz="4" w:space="0" w:color="auto"/>
              <w:bottom w:val="nil"/>
              <w:right w:val="single" w:sz="4" w:space="0" w:color="auto"/>
            </w:tcBorders>
            <w:tcMar>
              <w:left w:w="0" w:type="dxa"/>
              <w:right w:w="160" w:type="dxa"/>
            </w:tcMar>
            <w:vAlign w:val="center"/>
          </w:tcPr>
          <w:p w:rsidR="006C4642" w:rsidRPr="006007C7" w:rsidRDefault="006C4642" w:rsidP="006C4642">
            <w:pPr>
              <w:spacing w:line="288" w:lineRule="auto"/>
              <w:ind w:right="77"/>
              <w:jc w:val="right"/>
            </w:pPr>
            <w:r>
              <w:t>-0</w:t>
            </w:r>
            <w:r w:rsidR="009F0550">
              <w:t>.</w:t>
            </w:r>
            <w:r>
              <w:t>8</w:t>
            </w:r>
          </w:p>
        </w:tc>
        <w:tc>
          <w:tcPr>
            <w:tcW w:w="565" w:type="pct"/>
            <w:tcBorders>
              <w:top w:val="nil"/>
              <w:left w:val="single" w:sz="4" w:space="0" w:color="auto"/>
              <w:bottom w:val="nil"/>
              <w:right w:val="single" w:sz="4" w:space="0" w:color="auto"/>
            </w:tcBorders>
            <w:vAlign w:val="center"/>
          </w:tcPr>
          <w:p w:rsidR="006C4642" w:rsidRPr="006007C7" w:rsidRDefault="006C4642" w:rsidP="006C4642">
            <w:pPr>
              <w:spacing w:line="288" w:lineRule="auto"/>
              <w:ind w:right="177"/>
              <w:jc w:val="right"/>
            </w:pPr>
            <w:r>
              <w:t>-1</w:t>
            </w:r>
            <w:r w:rsidR="009F0550">
              <w:t>.</w:t>
            </w:r>
            <w:r>
              <w:t>3</w:t>
            </w:r>
          </w:p>
        </w:tc>
        <w:tc>
          <w:tcPr>
            <w:tcW w:w="565" w:type="pct"/>
            <w:tcBorders>
              <w:top w:val="nil"/>
              <w:left w:val="single" w:sz="4" w:space="0" w:color="auto"/>
              <w:bottom w:val="nil"/>
              <w:right w:val="single" w:sz="4" w:space="0" w:color="auto"/>
            </w:tcBorders>
            <w:tcMar>
              <w:right w:w="160" w:type="dxa"/>
            </w:tcMar>
            <w:vAlign w:val="center"/>
          </w:tcPr>
          <w:p w:rsidR="006C4642" w:rsidRPr="006007C7" w:rsidRDefault="006C4642" w:rsidP="006C4642">
            <w:pPr>
              <w:spacing w:line="288" w:lineRule="auto"/>
              <w:ind w:right="77"/>
              <w:jc w:val="right"/>
            </w:pPr>
            <w:r>
              <w:t>-0</w:t>
            </w:r>
            <w:r w:rsidR="009F0550">
              <w:t>.</w:t>
            </w:r>
            <w:r>
              <w:t>2</w:t>
            </w:r>
          </w:p>
        </w:tc>
        <w:tc>
          <w:tcPr>
            <w:tcW w:w="565" w:type="pct"/>
            <w:tcBorders>
              <w:top w:val="nil"/>
              <w:left w:val="double" w:sz="4" w:space="0" w:color="auto"/>
              <w:bottom w:val="nil"/>
              <w:right w:val="single" w:sz="4" w:space="0" w:color="auto"/>
            </w:tcBorders>
            <w:tcMar>
              <w:left w:w="57" w:type="dxa"/>
              <w:right w:w="160" w:type="dxa"/>
            </w:tcMar>
            <w:vAlign w:val="center"/>
          </w:tcPr>
          <w:p w:rsidR="006C4642" w:rsidRPr="006007C7" w:rsidRDefault="006C4642" w:rsidP="006C4642">
            <w:pPr>
              <w:spacing w:line="288" w:lineRule="auto"/>
              <w:ind w:right="77"/>
              <w:jc w:val="right"/>
            </w:pPr>
            <w:r>
              <w:t>-2</w:t>
            </w:r>
            <w:r w:rsidR="009F0550">
              <w:t>.</w:t>
            </w:r>
            <w:r>
              <w:t>1</w:t>
            </w:r>
          </w:p>
        </w:tc>
        <w:tc>
          <w:tcPr>
            <w:tcW w:w="565" w:type="pct"/>
            <w:tcBorders>
              <w:top w:val="nil"/>
              <w:left w:val="single" w:sz="4" w:space="0" w:color="auto"/>
              <w:bottom w:val="nil"/>
            </w:tcBorders>
            <w:vAlign w:val="center"/>
          </w:tcPr>
          <w:p w:rsidR="006C4642" w:rsidRPr="006007C7" w:rsidRDefault="006C4642" w:rsidP="006C4642">
            <w:pPr>
              <w:spacing w:line="288" w:lineRule="auto"/>
              <w:ind w:right="174"/>
              <w:jc w:val="right"/>
            </w:pPr>
            <w:r>
              <w:t>-2</w:t>
            </w:r>
            <w:r w:rsidR="009F0550">
              <w:t>.</w:t>
            </w:r>
            <w:r>
              <w:t>1</w:t>
            </w:r>
          </w:p>
        </w:tc>
      </w:tr>
      <w:tr w:rsidR="006C4642" w:rsidRPr="00067DF6" w:rsidTr="00544439">
        <w:trPr>
          <w:trHeight w:val="20"/>
        </w:trPr>
        <w:tc>
          <w:tcPr>
            <w:tcW w:w="1609" w:type="pct"/>
            <w:tcBorders>
              <w:top w:val="nil"/>
              <w:bottom w:val="nil"/>
              <w:right w:val="single" w:sz="4" w:space="0" w:color="auto"/>
            </w:tcBorders>
            <w:vAlign w:val="bottom"/>
          </w:tcPr>
          <w:p w:rsidR="006C4642" w:rsidRPr="00067DF6" w:rsidRDefault="006C4642" w:rsidP="00042C84">
            <w:pPr>
              <w:spacing w:line="288" w:lineRule="auto"/>
              <w:ind w:right="77"/>
              <w:rPr>
                <w:rFonts w:ascii="Arial" w:hAnsi="Arial" w:cs="Arial"/>
                <w:sz w:val="20"/>
                <w:szCs w:val="20"/>
              </w:rPr>
            </w:pPr>
            <w:r w:rsidRPr="00067DF6">
              <w:rPr>
                <w:rFonts w:ascii="Arial" w:hAnsi="Arial" w:cs="Arial"/>
                <w:sz w:val="20"/>
                <w:szCs w:val="20"/>
              </w:rPr>
              <w:t>Intermediate goods</w:t>
            </w:r>
          </w:p>
        </w:tc>
        <w:tc>
          <w:tcPr>
            <w:tcW w:w="565" w:type="pct"/>
            <w:tcBorders>
              <w:top w:val="nil"/>
              <w:left w:val="single" w:sz="4" w:space="0" w:color="auto"/>
              <w:bottom w:val="nil"/>
              <w:right w:val="single" w:sz="4" w:space="0" w:color="auto"/>
            </w:tcBorders>
            <w:tcMar>
              <w:left w:w="57" w:type="dxa"/>
              <w:right w:w="160" w:type="dxa"/>
            </w:tcMar>
            <w:vAlign w:val="center"/>
          </w:tcPr>
          <w:p w:rsidR="006C4642" w:rsidRPr="006007C7" w:rsidRDefault="006C4642" w:rsidP="006C4642">
            <w:pPr>
              <w:spacing w:line="288" w:lineRule="auto"/>
              <w:ind w:right="77"/>
              <w:jc w:val="right"/>
            </w:pPr>
            <w:r>
              <w:t>-0</w:t>
            </w:r>
            <w:r w:rsidR="009F0550">
              <w:t>.</w:t>
            </w:r>
            <w:r>
              <w:t>3</w:t>
            </w:r>
          </w:p>
        </w:tc>
        <w:tc>
          <w:tcPr>
            <w:tcW w:w="565" w:type="pct"/>
            <w:tcBorders>
              <w:top w:val="nil"/>
              <w:left w:val="single" w:sz="4" w:space="0" w:color="auto"/>
              <w:bottom w:val="nil"/>
              <w:right w:val="single" w:sz="4" w:space="0" w:color="auto"/>
            </w:tcBorders>
            <w:tcMar>
              <w:left w:w="0" w:type="dxa"/>
              <w:right w:w="160" w:type="dxa"/>
            </w:tcMar>
            <w:vAlign w:val="center"/>
          </w:tcPr>
          <w:p w:rsidR="006C4642" w:rsidRPr="006007C7" w:rsidRDefault="006C4642" w:rsidP="006C4642">
            <w:pPr>
              <w:spacing w:line="288" w:lineRule="auto"/>
              <w:ind w:right="77"/>
              <w:jc w:val="right"/>
            </w:pPr>
            <w:r>
              <w:t>0</w:t>
            </w:r>
            <w:r w:rsidR="009F0550">
              <w:t>.</w:t>
            </w:r>
            <w:r>
              <w:t>4</w:t>
            </w:r>
          </w:p>
        </w:tc>
        <w:tc>
          <w:tcPr>
            <w:tcW w:w="565" w:type="pct"/>
            <w:tcBorders>
              <w:top w:val="nil"/>
              <w:left w:val="single" w:sz="4" w:space="0" w:color="auto"/>
              <w:bottom w:val="nil"/>
              <w:right w:val="single" w:sz="4" w:space="0" w:color="auto"/>
            </w:tcBorders>
            <w:vAlign w:val="center"/>
          </w:tcPr>
          <w:p w:rsidR="006C4642" w:rsidRPr="006007C7" w:rsidRDefault="006C4642" w:rsidP="006C4642">
            <w:pPr>
              <w:spacing w:line="288" w:lineRule="auto"/>
              <w:ind w:right="177"/>
              <w:jc w:val="right"/>
            </w:pPr>
            <w:r>
              <w:t>-0</w:t>
            </w:r>
            <w:r w:rsidR="009F0550">
              <w:t>.</w:t>
            </w:r>
            <w:r>
              <w:t>4</w:t>
            </w:r>
          </w:p>
        </w:tc>
        <w:tc>
          <w:tcPr>
            <w:tcW w:w="565" w:type="pct"/>
            <w:tcBorders>
              <w:top w:val="nil"/>
              <w:left w:val="single" w:sz="4" w:space="0" w:color="auto"/>
              <w:bottom w:val="nil"/>
              <w:right w:val="single" w:sz="4" w:space="0" w:color="auto"/>
            </w:tcBorders>
            <w:tcMar>
              <w:right w:w="160" w:type="dxa"/>
            </w:tcMar>
            <w:vAlign w:val="center"/>
          </w:tcPr>
          <w:p w:rsidR="006C4642" w:rsidRPr="006007C7" w:rsidRDefault="006C4642" w:rsidP="006C4642">
            <w:pPr>
              <w:spacing w:line="288" w:lineRule="auto"/>
              <w:ind w:right="77"/>
              <w:jc w:val="right"/>
            </w:pPr>
            <w:r>
              <w:t>1</w:t>
            </w:r>
            <w:r w:rsidR="009F0550">
              <w:t>.</w:t>
            </w:r>
            <w:r>
              <w:t>8</w:t>
            </w:r>
          </w:p>
        </w:tc>
        <w:tc>
          <w:tcPr>
            <w:tcW w:w="565" w:type="pct"/>
            <w:tcBorders>
              <w:top w:val="nil"/>
              <w:left w:val="double" w:sz="4" w:space="0" w:color="auto"/>
              <w:bottom w:val="nil"/>
              <w:right w:val="single" w:sz="4" w:space="0" w:color="auto"/>
            </w:tcBorders>
            <w:tcMar>
              <w:left w:w="57" w:type="dxa"/>
              <w:right w:w="160" w:type="dxa"/>
            </w:tcMar>
            <w:vAlign w:val="center"/>
          </w:tcPr>
          <w:p w:rsidR="006C4642" w:rsidRPr="006007C7" w:rsidRDefault="006C4642" w:rsidP="006C4642">
            <w:pPr>
              <w:spacing w:line="288" w:lineRule="auto"/>
              <w:ind w:right="77"/>
              <w:jc w:val="right"/>
            </w:pPr>
            <w:r>
              <w:t>-0</w:t>
            </w:r>
            <w:r w:rsidR="009F0550">
              <w:t>.</w:t>
            </w:r>
            <w:r>
              <w:t>8</w:t>
            </w:r>
          </w:p>
        </w:tc>
        <w:tc>
          <w:tcPr>
            <w:tcW w:w="565" w:type="pct"/>
            <w:tcBorders>
              <w:top w:val="nil"/>
              <w:left w:val="single" w:sz="4" w:space="0" w:color="auto"/>
              <w:bottom w:val="nil"/>
            </w:tcBorders>
            <w:vAlign w:val="center"/>
          </w:tcPr>
          <w:p w:rsidR="006C4642" w:rsidRPr="006007C7" w:rsidRDefault="006C4642" w:rsidP="006C4642">
            <w:pPr>
              <w:spacing w:line="288" w:lineRule="auto"/>
              <w:ind w:right="174"/>
              <w:jc w:val="right"/>
            </w:pPr>
            <w:r>
              <w:t>0</w:t>
            </w:r>
            <w:r w:rsidR="009F0550">
              <w:t>.</w:t>
            </w:r>
            <w:r>
              <w:t>4</w:t>
            </w:r>
          </w:p>
        </w:tc>
      </w:tr>
      <w:tr w:rsidR="006C4642" w:rsidRPr="00067DF6" w:rsidTr="00544439">
        <w:trPr>
          <w:trHeight w:val="20"/>
        </w:trPr>
        <w:tc>
          <w:tcPr>
            <w:tcW w:w="1609" w:type="pct"/>
            <w:tcBorders>
              <w:top w:val="nil"/>
              <w:bottom w:val="single" w:sz="4" w:space="0" w:color="auto"/>
              <w:right w:val="single" w:sz="4" w:space="0" w:color="auto"/>
            </w:tcBorders>
            <w:vAlign w:val="bottom"/>
          </w:tcPr>
          <w:p w:rsidR="006C4642" w:rsidRPr="00067DF6" w:rsidRDefault="006C4642" w:rsidP="00042C84">
            <w:pPr>
              <w:spacing w:line="288" w:lineRule="auto"/>
              <w:ind w:right="77"/>
              <w:rPr>
                <w:rFonts w:ascii="Arial" w:hAnsi="Arial" w:cs="Arial"/>
                <w:sz w:val="20"/>
                <w:szCs w:val="20"/>
              </w:rPr>
            </w:pPr>
            <w:r w:rsidRPr="00067DF6">
              <w:rPr>
                <w:rFonts w:ascii="Arial" w:hAnsi="Arial" w:cs="Arial"/>
                <w:sz w:val="20"/>
                <w:szCs w:val="20"/>
              </w:rPr>
              <w:t>Investment goods</w:t>
            </w:r>
          </w:p>
        </w:tc>
        <w:tc>
          <w:tcPr>
            <w:tcW w:w="565" w:type="pct"/>
            <w:tcBorders>
              <w:top w:val="nil"/>
              <w:left w:val="single" w:sz="4" w:space="0" w:color="auto"/>
              <w:bottom w:val="single" w:sz="4" w:space="0" w:color="auto"/>
              <w:right w:val="single" w:sz="4" w:space="0" w:color="auto"/>
            </w:tcBorders>
            <w:tcMar>
              <w:left w:w="57" w:type="dxa"/>
              <w:right w:w="160" w:type="dxa"/>
            </w:tcMar>
            <w:vAlign w:val="center"/>
          </w:tcPr>
          <w:p w:rsidR="006C4642" w:rsidRPr="006007C7" w:rsidRDefault="006C4642" w:rsidP="006C4642">
            <w:pPr>
              <w:spacing w:line="288" w:lineRule="auto"/>
              <w:ind w:right="77"/>
              <w:jc w:val="right"/>
            </w:pPr>
            <w:r>
              <w:t>-2</w:t>
            </w:r>
            <w:r w:rsidR="009F0550">
              <w:t>.</w:t>
            </w:r>
            <w:r>
              <w:t>5</w:t>
            </w:r>
          </w:p>
        </w:tc>
        <w:tc>
          <w:tcPr>
            <w:tcW w:w="565" w:type="pct"/>
            <w:tcBorders>
              <w:top w:val="nil"/>
              <w:left w:val="single" w:sz="4" w:space="0" w:color="auto"/>
              <w:bottom w:val="single" w:sz="4" w:space="0" w:color="auto"/>
              <w:right w:val="single" w:sz="4" w:space="0" w:color="auto"/>
            </w:tcBorders>
            <w:tcMar>
              <w:left w:w="0" w:type="dxa"/>
              <w:right w:w="160" w:type="dxa"/>
            </w:tcMar>
            <w:vAlign w:val="center"/>
          </w:tcPr>
          <w:p w:rsidR="006C4642" w:rsidRPr="006007C7" w:rsidRDefault="006C4642" w:rsidP="006C4642">
            <w:pPr>
              <w:spacing w:line="288" w:lineRule="auto"/>
              <w:ind w:right="77"/>
              <w:jc w:val="right"/>
            </w:pPr>
            <w:r>
              <w:t>1</w:t>
            </w:r>
            <w:r w:rsidR="009F0550">
              <w:t>.</w:t>
            </w:r>
            <w:r>
              <w:t>8</w:t>
            </w:r>
          </w:p>
        </w:tc>
        <w:tc>
          <w:tcPr>
            <w:tcW w:w="565" w:type="pct"/>
            <w:tcBorders>
              <w:top w:val="nil"/>
              <w:left w:val="single" w:sz="4" w:space="0" w:color="auto"/>
              <w:bottom w:val="single" w:sz="4" w:space="0" w:color="auto"/>
              <w:right w:val="single" w:sz="4" w:space="0" w:color="auto"/>
            </w:tcBorders>
            <w:vAlign w:val="center"/>
          </w:tcPr>
          <w:p w:rsidR="006C4642" w:rsidRPr="006007C7" w:rsidRDefault="006C4642" w:rsidP="006C4642">
            <w:pPr>
              <w:spacing w:line="288" w:lineRule="auto"/>
              <w:ind w:right="177"/>
              <w:jc w:val="right"/>
            </w:pPr>
            <w:r>
              <w:t>-2</w:t>
            </w:r>
            <w:r w:rsidR="009F0550">
              <w:t>.</w:t>
            </w:r>
            <w:r>
              <w:t>9</w:t>
            </w:r>
          </w:p>
        </w:tc>
        <w:tc>
          <w:tcPr>
            <w:tcW w:w="565" w:type="pct"/>
            <w:tcBorders>
              <w:top w:val="nil"/>
              <w:left w:val="single" w:sz="4" w:space="0" w:color="auto"/>
              <w:bottom w:val="single" w:sz="4" w:space="0" w:color="auto"/>
              <w:right w:val="single" w:sz="4" w:space="0" w:color="auto"/>
            </w:tcBorders>
            <w:tcMar>
              <w:right w:w="160" w:type="dxa"/>
            </w:tcMar>
            <w:vAlign w:val="center"/>
          </w:tcPr>
          <w:p w:rsidR="006C4642" w:rsidRPr="006007C7" w:rsidRDefault="006C4642" w:rsidP="006C4642">
            <w:pPr>
              <w:spacing w:line="288" w:lineRule="auto"/>
              <w:ind w:right="77"/>
              <w:jc w:val="right"/>
            </w:pPr>
            <w:r>
              <w:t>4</w:t>
            </w:r>
            <w:r w:rsidR="009F0550">
              <w:t>.</w:t>
            </w:r>
            <w:r>
              <w:t>0</w:t>
            </w:r>
          </w:p>
        </w:tc>
        <w:tc>
          <w:tcPr>
            <w:tcW w:w="565" w:type="pct"/>
            <w:tcBorders>
              <w:top w:val="nil"/>
              <w:left w:val="double" w:sz="4" w:space="0" w:color="auto"/>
              <w:bottom w:val="single" w:sz="4" w:space="0" w:color="auto"/>
              <w:right w:val="single" w:sz="4" w:space="0" w:color="auto"/>
            </w:tcBorders>
            <w:tcMar>
              <w:left w:w="57" w:type="dxa"/>
              <w:right w:w="160" w:type="dxa"/>
            </w:tcMar>
            <w:vAlign w:val="center"/>
          </w:tcPr>
          <w:p w:rsidR="006C4642" w:rsidRPr="006007C7" w:rsidRDefault="006C4642" w:rsidP="006C4642">
            <w:pPr>
              <w:spacing w:line="288" w:lineRule="auto"/>
              <w:ind w:right="77"/>
              <w:jc w:val="right"/>
            </w:pPr>
            <w:r>
              <w:t>-2</w:t>
            </w:r>
            <w:r w:rsidR="009F0550">
              <w:t>.</w:t>
            </w:r>
            <w:r>
              <w:t>2</w:t>
            </w:r>
          </w:p>
        </w:tc>
        <w:tc>
          <w:tcPr>
            <w:tcW w:w="565" w:type="pct"/>
            <w:tcBorders>
              <w:top w:val="nil"/>
              <w:left w:val="single" w:sz="4" w:space="0" w:color="auto"/>
              <w:bottom w:val="single" w:sz="4" w:space="0" w:color="auto"/>
            </w:tcBorders>
            <w:vAlign w:val="center"/>
          </w:tcPr>
          <w:p w:rsidR="006C4642" w:rsidRPr="006007C7" w:rsidRDefault="006C4642" w:rsidP="006C4642">
            <w:pPr>
              <w:spacing w:line="288" w:lineRule="auto"/>
              <w:ind w:right="174"/>
              <w:jc w:val="right"/>
            </w:pPr>
            <w:r>
              <w:t>0</w:t>
            </w:r>
            <w:r w:rsidR="009F0550">
              <w:t>.</w:t>
            </w:r>
            <w:r>
              <w:t>8</w:t>
            </w:r>
          </w:p>
        </w:tc>
      </w:tr>
      <w:tr w:rsidR="006C4642" w:rsidRPr="00067DF6" w:rsidTr="00544439">
        <w:trPr>
          <w:trHeight w:val="20"/>
        </w:trPr>
        <w:tc>
          <w:tcPr>
            <w:tcW w:w="1609" w:type="pct"/>
            <w:tcBorders>
              <w:top w:val="single" w:sz="4" w:space="0" w:color="auto"/>
              <w:bottom w:val="nil"/>
              <w:right w:val="single" w:sz="4" w:space="0" w:color="auto"/>
            </w:tcBorders>
            <w:vAlign w:val="bottom"/>
          </w:tcPr>
          <w:p w:rsidR="006C4642" w:rsidRPr="00067DF6" w:rsidRDefault="006C4642" w:rsidP="00042C84">
            <w:pPr>
              <w:spacing w:line="288" w:lineRule="auto"/>
              <w:ind w:right="77"/>
              <w:rPr>
                <w:rFonts w:ascii="Arial" w:hAnsi="Arial" w:cs="Arial"/>
                <w:b/>
                <w:sz w:val="20"/>
                <w:szCs w:val="20"/>
              </w:rPr>
            </w:pPr>
            <w:r w:rsidRPr="00067DF6">
              <w:rPr>
                <w:rFonts w:ascii="Arial" w:hAnsi="Arial" w:cs="Arial"/>
                <w:b/>
                <w:sz w:val="20"/>
                <w:szCs w:val="20"/>
              </w:rPr>
              <w:t>Manufacturing Order</w:t>
            </w:r>
            <w:r>
              <w:rPr>
                <w:rFonts w:ascii="Arial" w:hAnsi="Arial" w:cs="Arial"/>
                <w:b/>
                <w:sz w:val="20"/>
                <w:szCs w:val="20"/>
              </w:rPr>
              <w:t>s</w:t>
            </w:r>
            <w:r w:rsidRPr="00067DF6">
              <w:rPr>
                <w:rFonts w:ascii="Arial" w:hAnsi="Arial" w:cs="Arial"/>
                <w:b/>
                <w:sz w:val="20"/>
                <w:szCs w:val="20"/>
              </w:rPr>
              <w:t xml:space="preserve"> Index</w:t>
            </w:r>
          </w:p>
        </w:tc>
        <w:tc>
          <w:tcPr>
            <w:tcW w:w="565" w:type="pct"/>
            <w:tcBorders>
              <w:top w:val="single" w:sz="4" w:space="0" w:color="auto"/>
              <w:left w:val="single" w:sz="4" w:space="0" w:color="auto"/>
              <w:bottom w:val="nil"/>
              <w:right w:val="single" w:sz="4" w:space="0" w:color="auto"/>
            </w:tcBorders>
            <w:tcMar>
              <w:left w:w="57" w:type="dxa"/>
              <w:right w:w="160" w:type="dxa"/>
            </w:tcMar>
            <w:vAlign w:val="center"/>
          </w:tcPr>
          <w:p w:rsidR="006C4642" w:rsidRPr="006007C7" w:rsidRDefault="006C4642" w:rsidP="006C4642">
            <w:pPr>
              <w:spacing w:line="288" w:lineRule="auto"/>
              <w:ind w:right="77"/>
              <w:jc w:val="right"/>
              <w:rPr>
                <w:b/>
                <w:bCs/>
              </w:rPr>
            </w:pPr>
            <w:r>
              <w:rPr>
                <w:b/>
                <w:bCs/>
              </w:rPr>
              <w:t>-0</w:t>
            </w:r>
            <w:r w:rsidR="009F0550">
              <w:rPr>
                <w:b/>
                <w:bCs/>
              </w:rPr>
              <w:t>.</w:t>
            </w:r>
            <w:r>
              <w:rPr>
                <w:b/>
                <w:bCs/>
              </w:rPr>
              <w:t>4</w:t>
            </w:r>
          </w:p>
        </w:tc>
        <w:tc>
          <w:tcPr>
            <w:tcW w:w="565" w:type="pct"/>
            <w:tcBorders>
              <w:top w:val="single" w:sz="4" w:space="0" w:color="auto"/>
              <w:left w:val="single" w:sz="4" w:space="0" w:color="auto"/>
              <w:bottom w:val="nil"/>
              <w:right w:val="single" w:sz="4" w:space="0" w:color="auto"/>
            </w:tcBorders>
            <w:tcMar>
              <w:left w:w="0" w:type="dxa"/>
              <w:right w:w="160" w:type="dxa"/>
            </w:tcMar>
            <w:vAlign w:val="center"/>
          </w:tcPr>
          <w:p w:rsidR="006C4642" w:rsidRPr="006007C7" w:rsidRDefault="006C4642" w:rsidP="006C4642">
            <w:pPr>
              <w:spacing w:line="288" w:lineRule="auto"/>
              <w:ind w:right="77"/>
              <w:jc w:val="right"/>
              <w:rPr>
                <w:b/>
                <w:bCs/>
              </w:rPr>
            </w:pPr>
            <w:r>
              <w:rPr>
                <w:b/>
                <w:bCs/>
              </w:rPr>
              <w:t>3</w:t>
            </w:r>
            <w:r w:rsidR="009F0550">
              <w:rPr>
                <w:b/>
                <w:bCs/>
              </w:rPr>
              <w:t>.</w:t>
            </w:r>
            <w:r>
              <w:rPr>
                <w:b/>
                <w:bCs/>
              </w:rPr>
              <w:t>6</w:t>
            </w:r>
          </w:p>
        </w:tc>
        <w:tc>
          <w:tcPr>
            <w:tcW w:w="565" w:type="pct"/>
            <w:tcBorders>
              <w:top w:val="single" w:sz="4" w:space="0" w:color="auto"/>
              <w:left w:val="single" w:sz="4" w:space="0" w:color="auto"/>
              <w:bottom w:val="nil"/>
              <w:right w:val="single" w:sz="4" w:space="0" w:color="auto"/>
            </w:tcBorders>
            <w:vAlign w:val="center"/>
          </w:tcPr>
          <w:p w:rsidR="006C4642" w:rsidRPr="006007C7" w:rsidRDefault="006C4642" w:rsidP="006C4642">
            <w:pPr>
              <w:spacing w:line="288" w:lineRule="auto"/>
              <w:ind w:right="177"/>
              <w:jc w:val="right"/>
              <w:rPr>
                <w:b/>
                <w:bCs/>
              </w:rPr>
            </w:pPr>
            <w:r>
              <w:rPr>
                <w:b/>
                <w:bCs/>
              </w:rPr>
              <w:t>**</w:t>
            </w:r>
          </w:p>
        </w:tc>
        <w:tc>
          <w:tcPr>
            <w:tcW w:w="565" w:type="pct"/>
            <w:tcBorders>
              <w:top w:val="single" w:sz="4" w:space="0" w:color="auto"/>
              <w:left w:val="single" w:sz="4" w:space="0" w:color="auto"/>
              <w:bottom w:val="nil"/>
              <w:right w:val="single" w:sz="4" w:space="0" w:color="auto"/>
            </w:tcBorders>
            <w:tcMar>
              <w:right w:w="160" w:type="dxa"/>
            </w:tcMar>
            <w:vAlign w:val="center"/>
          </w:tcPr>
          <w:p w:rsidR="006C4642" w:rsidRPr="006007C7" w:rsidRDefault="006C4642" w:rsidP="006C4642">
            <w:pPr>
              <w:spacing w:line="288" w:lineRule="auto"/>
              <w:ind w:right="77"/>
              <w:jc w:val="right"/>
              <w:rPr>
                <w:b/>
                <w:bCs/>
              </w:rPr>
            </w:pPr>
            <w:r>
              <w:rPr>
                <w:b/>
                <w:bCs/>
              </w:rPr>
              <w:t>**</w:t>
            </w:r>
          </w:p>
        </w:tc>
        <w:tc>
          <w:tcPr>
            <w:tcW w:w="565" w:type="pct"/>
            <w:tcBorders>
              <w:top w:val="single" w:sz="4" w:space="0" w:color="auto"/>
              <w:left w:val="double" w:sz="4" w:space="0" w:color="auto"/>
              <w:bottom w:val="nil"/>
              <w:right w:val="single" w:sz="4" w:space="0" w:color="auto"/>
            </w:tcBorders>
            <w:tcMar>
              <w:left w:w="57" w:type="dxa"/>
              <w:right w:w="160" w:type="dxa"/>
            </w:tcMar>
            <w:vAlign w:val="center"/>
          </w:tcPr>
          <w:p w:rsidR="006C4642" w:rsidRPr="006007C7" w:rsidRDefault="006C4642" w:rsidP="006C4642">
            <w:pPr>
              <w:spacing w:line="288" w:lineRule="auto"/>
              <w:ind w:right="77"/>
              <w:jc w:val="right"/>
              <w:rPr>
                <w:b/>
                <w:bCs/>
              </w:rPr>
            </w:pPr>
            <w:r>
              <w:rPr>
                <w:b/>
                <w:bCs/>
              </w:rPr>
              <w:t>-4</w:t>
            </w:r>
            <w:r w:rsidR="009F0550">
              <w:rPr>
                <w:b/>
                <w:bCs/>
              </w:rPr>
              <w:t>.</w:t>
            </w:r>
            <w:r>
              <w:rPr>
                <w:b/>
                <w:bCs/>
              </w:rPr>
              <w:t>1</w:t>
            </w:r>
          </w:p>
        </w:tc>
        <w:tc>
          <w:tcPr>
            <w:tcW w:w="565" w:type="pct"/>
            <w:tcBorders>
              <w:top w:val="single" w:sz="4" w:space="0" w:color="auto"/>
              <w:left w:val="single" w:sz="4" w:space="0" w:color="auto"/>
              <w:bottom w:val="nil"/>
            </w:tcBorders>
            <w:vAlign w:val="center"/>
          </w:tcPr>
          <w:p w:rsidR="006C4642" w:rsidRPr="006007C7" w:rsidRDefault="006C4642" w:rsidP="006C4642">
            <w:pPr>
              <w:spacing w:line="288" w:lineRule="auto"/>
              <w:ind w:right="174"/>
              <w:jc w:val="right"/>
              <w:rPr>
                <w:b/>
                <w:bCs/>
              </w:rPr>
            </w:pPr>
            <w:r>
              <w:rPr>
                <w:b/>
                <w:bCs/>
              </w:rPr>
              <w:t>3</w:t>
            </w:r>
            <w:r w:rsidR="009F0550">
              <w:rPr>
                <w:b/>
                <w:bCs/>
              </w:rPr>
              <w:t>.</w:t>
            </w:r>
            <w:r>
              <w:rPr>
                <w:b/>
                <w:bCs/>
              </w:rPr>
              <w:t>5</w:t>
            </w:r>
          </w:p>
        </w:tc>
      </w:tr>
      <w:tr w:rsidR="006C4642" w:rsidRPr="00067DF6" w:rsidTr="00544439">
        <w:trPr>
          <w:trHeight w:val="20"/>
        </w:trPr>
        <w:tc>
          <w:tcPr>
            <w:tcW w:w="1609" w:type="pct"/>
            <w:tcBorders>
              <w:top w:val="nil"/>
              <w:bottom w:val="nil"/>
              <w:right w:val="single" w:sz="4" w:space="0" w:color="auto"/>
            </w:tcBorders>
            <w:vAlign w:val="bottom"/>
          </w:tcPr>
          <w:p w:rsidR="006C4642" w:rsidRPr="00067DF6" w:rsidRDefault="006C4642" w:rsidP="00042C84">
            <w:pPr>
              <w:spacing w:line="288" w:lineRule="auto"/>
              <w:ind w:right="77"/>
              <w:rPr>
                <w:rFonts w:ascii="Arial" w:hAnsi="Arial" w:cs="Arial"/>
                <w:sz w:val="20"/>
                <w:szCs w:val="20"/>
              </w:rPr>
            </w:pPr>
            <w:r w:rsidRPr="00067DF6">
              <w:rPr>
                <w:rFonts w:ascii="Arial" w:hAnsi="Arial" w:cs="Arial"/>
                <w:sz w:val="20"/>
                <w:szCs w:val="20"/>
              </w:rPr>
              <w:t>Domestic Orders</w:t>
            </w:r>
          </w:p>
        </w:tc>
        <w:tc>
          <w:tcPr>
            <w:tcW w:w="565" w:type="pct"/>
            <w:tcBorders>
              <w:top w:val="nil"/>
              <w:left w:val="single" w:sz="4" w:space="0" w:color="auto"/>
              <w:bottom w:val="nil"/>
              <w:right w:val="single" w:sz="4" w:space="0" w:color="auto"/>
            </w:tcBorders>
            <w:tcMar>
              <w:left w:w="57" w:type="dxa"/>
              <w:right w:w="160" w:type="dxa"/>
            </w:tcMar>
            <w:vAlign w:val="center"/>
          </w:tcPr>
          <w:p w:rsidR="006C4642" w:rsidRPr="0097770C" w:rsidRDefault="006C4642" w:rsidP="006C4642">
            <w:pPr>
              <w:spacing w:line="288" w:lineRule="auto"/>
              <w:ind w:right="77"/>
              <w:jc w:val="right"/>
            </w:pPr>
            <w:r w:rsidRPr="0097770C">
              <w:t>-0</w:t>
            </w:r>
            <w:r w:rsidR="009F0550">
              <w:t>.</w:t>
            </w:r>
            <w:r w:rsidRPr="0097770C">
              <w:t>3</w:t>
            </w:r>
          </w:p>
        </w:tc>
        <w:tc>
          <w:tcPr>
            <w:tcW w:w="565" w:type="pct"/>
            <w:tcBorders>
              <w:top w:val="nil"/>
              <w:left w:val="single" w:sz="4" w:space="0" w:color="auto"/>
              <w:bottom w:val="nil"/>
              <w:right w:val="single" w:sz="4" w:space="0" w:color="auto"/>
            </w:tcBorders>
            <w:tcMar>
              <w:left w:w="0" w:type="dxa"/>
              <w:right w:w="160" w:type="dxa"/>
            </w:tcMar>
            <w:vAlign w:val="center"/>
          </w:tcPr>
          <w:p w:rsidR="006C4642" w:rsidRPr="0097770C" w:rsidRDefault="006C4642" w:rsidP="006C4642">
            <w:pPr>
              <w:spacing w:line="288" w:lineRule="auto"/>
              <w:ind w:right="77"/>
              <w:jc w:val="right"/>
            </w:pPr>
            <w:r w:rsidRPr="0097770C">
              <w:t>5</w:t>
            </w:r>
            <w:r w:rsidR="009F0550">
              <w:t>.</w:t>
            </w:r>
            <w:r w:rsidRPr="0097770C">
              <w:t>6</w:t>
            </w:r>
          </w:p>
        </w:tc>
        <w:tc>
          <w:tcPr>
            <w:tcW w:w="565" w:type="pct"/>
            <w:tcBorders>
              <w:top w:val="nil"/>
              <w:left w:val="single" w:sz="4" w:space="0" w:color="auto"/>
              <w:bottom w:val="nil"/>
              <w:right w:val="single" w:sz="4" w:space="0" w:color="auto"/>
            </w:tcBorders>
            <w:vAlign w:val="center"/>
          </w:tcPr>
          <w:p w:rsidR="006C4642" w:rsidRPr="0097770C" w:rsidRDefault="006C4642" w:rsidP="006C4642">
            <w:pPr>
              <w:spacing w:line="288" w:lineRule="auto"/>
              <w:ind w:right="177"/>
              <w:jc w:val="right"/>
            </w:pPr>
            <w:r w:rsidRPr="0097770C">
              <w:t>**</w:t>
            </w:r>
          </w:p>
        </w:tc>
        <w:tc>
          <w:tcPr>
            <w:tcW w:w="565" w:type="pct"/>
            <w:tcBorders>
              <w:top w:val="nil"/>
              <w:left w:val="single" w:sz="4" w:space="0" w:color="auto"/>
              <w:bottom w:val="nil"/>
              <w:right w:val="single" w:sz="4" w:space="0" w:color="auto"/>
            </w:tcBorders>
            <w:tcMar>
              <w:right w:w="160" w:type="dxa"/>
            </w:tcMar>
            <w:vAlign w:val="center"/>
          </w:tcPr>
          <w:p w:rsidR="006C4642" w:rsidRPr="0097770C" w:rsidRDefault="006C4642" w:rsidP="006C4642">
            <w:pPr>
              <w:spacing w:line="288" w:lineRule="auto"/>
              <w:ind w:right="77"/>
              <w:jc w:val="right"/>
            </w:pPr>
            <w:r w:rsidRPr="0097770C">
              <w:t>**</w:t>
            </w:r>
          </w:p>
        </w:tc>
        <w:tc>
          <w:tcPr>
            <w:tcW w:w="565" w:type="pct"/>
            <w:tcBorders>
              <w:top w:val="nil"/>
              <w:left w:val="double" w:sz="4" w:space="0" w:color="auto"/>
              <w:bottom w:val="nil"/>
              <w:right w:val="single" w:sz="4" w:space="0" w:color="auto"/>
            </w:tcBorders>
            <w:tcMar>
              <w:left w:w="57" w:type="dxa"/>
              <w:right w:w="160" w:type="dxa"/>
            </w:tcMar>
            <w:vAlign w:val="center"/>
          </w:tcPr>
          <w:p w:rsidR="006C4642" w:rsidRPr="006007C7" w:rsidRDefault="006C4642" w:rsidP="006C4642">
            <w:pPr>
              <w:spacing w:line="288" w:lineRule="auto"/>
              <w:ind w:right="77"/>
              <w:jc w:val="right"/>
            </w:pPr>
            <w:r>
              <w:t>-2</w:t>
            </w:r>
            <w:r w:rsidR="009F0550">
              <w:t>.</w:t>
            </w:r>
            <w:r>
              <w:t>9</w:t>
            </w:r>
          </w:p>
        </w:tc>
        <w:tc>
          <w:tcPr>
            <w:tcW w:w="565" w:type="pct"/>
            <w:tcBorders>
              <w:top w:val="nil"/>
              <w:left w:val="single" w:sz="4" w:space="0" w:color="auto"/>
              <w:bottom w:val="nil"/>
            </w:tcBorders>
            <w:vAlign w:val="center"/>
          </w:tcPr>
          <w:p w:rsidR="006C4642" w:rsidRPr="006007C7" w:rsidRDefault="006C4642" w:rsidP="006C4642">
            <w:pPr>
              <w:spacing w:line="288" w:lineRule="auto"/>
              <w:ind w:right="174"/>
              <w:jc w:val="right"/>
            </w:pPr>
            <w:r>
              <w:t>4</w:t>
            </w:r>
            <w:r w:rsidR="009F0550">
              <w:t>.</w:t>
            </w:r>
            <w:r>
              <w:t>7</w:t>
            </w:r>
          </w:p>
        </w:tc>
      </w:tr>
      <w:tr w:rsidR="006C4642" w:rsidRPr="00067DF6" w:rsidTr="00544439">
        <w:trPr>
          <w:trHeight w:val="20"/>
        </w:trPr>
        <w:tc>
          <w:tcPr>
            <w:tcW w:w="1609" w:type="pct"/>
            <w:tcBorders>
              <w:top w:val="nil"/>
              <w:bottom w:val="single" w:sz="4" w:space="0" w:color="auto"/>
              <w:right w:val="single" w:sz="4" w:space="0" w:color="auto"/>
            </w:tcBorders>
            <w:vAlign w:val="bottom"/>
          </w:tcPr>
          <w:p w:rsidR="006C4642" w:rsidRPr="00067DF6" w:rsidRDefault="006C4642" w:rsidP="00042C84">
            <w:pPr>
              <w:spacing w:line="288" w:lineRule="auto"/>
              <w:ind w:right="77"/>
              <w:rPr>
                <w:rFonts w:ascii="Arial" w:hAnsi="Arial" w:cs="Arial"/>
                <w:sz w:val="20"/>
                <w:szCs w:val="20"/>
              </w:rPr>
            </w:pPr>
            <w:r w:rsidRPr="00067DF6">
              <w:rPr>
                <w:rFonts w:ascii="Arial" w:hAnsi="Arial" w:cs="Arial"/>
                <w:sz w:val="20"/>
                <w:szCs w:val="20"/>
              </w:rPr>
              <w:t>Foreign Orderrs</w:t>
            </w:r>
          </w:p>
        </w:tc>
        <w:tc>
          <w:tcPr>
            <w:tcW w:w="565" w:type="pct"/>
            <w:tcBorders>
              <w:top w:val="nil"/>
              <w:left w:val="single" w:sz="4" w:space="0" w:color="auto"/>
              <w:bottom w:val="single" w:sz="4" w:space="0" w:color="auto"/>
              <w:right w:val="single" w:sz="4" w:space="0" w:color="auto"/>
            </w:tcBorders>
            <w:tcMar>
              <w:left w:w="57" w:type="dxa"/>
              <w:right w:w="160" w:type="dxa"/>
            </w:tcMar>
            <w:vAlign w:val="center"/>
          </w:tcPr>
          <w:p w:rsidR="006C4642" w:rsidRPr="006007C7" w:rsidRDefault="006C4642" w:rsidP="006C4642">
            <w:pPr>
              <w:spacing w:line="288" w:lineRule="auto"/>
              <w:ind w:right="77"/>
              <w:jc w:val="right"/>
            </w:pPr>
            <w:r>
              <w:t>-1</w:t>
            </w:r>
            <w:r w:rsidR="009F0550">
              <w:t>.</w:t>
            </w:r>
            <w:r>
              <w:t>2</w:t>
            </w:r>
          </w:p>
        </w:tc>
        <w:tc>
          <w:tcPr>
            <w:tcW w:w="565" w:type="pct"/>
            <w:tcBorders>
              <w:top w:val="nil"/>
              <w:left w:val="single" w:sz="4" w:space="0" w:color="auto"/>
              <w:bottom w:val="single" w:sz="4" w:space="0" w:color="auto"/>
              <w:right w:val="single" w:sz="4" w:space="0" w:color="auto"/>
            </w:tcBorders>
            <w:tcMar>
              <w:left w:w="0" w:type="dxa"/>
              <w:right w:w="160" w:type="dxa"/>
            </w:tcMar>
            <w:vAlign w:val="center"/>
          </w:tcPr>
          <w:p w:rsidR="006C4642" w:rsidRPr="006007C7" w:rsidRDefault="006C4642" w:rsidP="006C4642">
            <w:pPr>
              <w:spacing w:line="288" w:lineRule="auto"/>
              <w:ind w:right="77"/>
              <w:jc w:val="right"/>
            </w:pPr>
            <w:r>
              <w:t>4</w:t>
            </w:r>
            <w:r w:rsidR="009F0550">
              <w:t>.</w:t>
            </w:r>
            <w:r>
              <w:t>1</w:t>
            </w:r>
          </w:p>
        </w:tc>
        <w:tc>
          <w:tcPr>
            <w:tcW w:w="565" w:type="pct"/>
            <w:tcBorders>
              <w:top w:val="nil"/>
              <w:left w:val="single" w:sz="4" w:space="0" w:color="auto"/>
              <w:bottom w:val="single" w:sz="4" w:space="0" w:color="auto"/>
              <w:right w:val="single" w:sz="4" w:space="0" w:color="auto"/>
            </w:tcBorders>
            <w:vAlign w:val="center"/>
          </w:tcPr>
          <w:p w:rsidR="006C4642" w:rsidRPr="006007C7" w:rsidRDefault="006C4642" w:rsidP="006C4642">
            <w:pPr>
              <w:spacing w:line="288" w:lineRule="auto"/>
              <w:ind w:right="177"/>
              <w:jc w:val="right"/>
            </w:pPr>
            <w:r>
              <w:t>**</w:t>
            </w:r>
          </w:p>
        </w:tc>
        <w:tc>
          <w:tcPr>
            <w:tcW w:w="565" w:type="pct"/>
            <w:tcBorders>
              <w:top w:val="nil"/>
              <w:left w:val="single" w:sz="4" w:space="0" w:color="auto"/>
              <w:bottom w:val="single" w:sz="4" w:space="0" w:color="auto"/>
              <w:right w:val="single" w:sz="4" w:space="0" w:color="auto"/>
            </w:tcBorders>
            <w:tcMar>
              <w:right w:w="160" w:type="dxa"/>
            </w:tcMar>
            <w:vAlign w:val="center"/>
          </w:tcPr>
          <w:p w:rsidR="006C4642" w:rsidRPr="006007C7" w:rsidRDefault="006C4642" w:rsidP="006C4642">
            <w:pPr>
              <w:spacing w:line="288" w:lineRule="auto"/>
              <w:ind w:right="77"/>
              <w:jc w:val="right"/>
            </w:pPr>
            <w:r>
              <w:t>**</w:t>
            </w:r>
          </w:p>
        </w:tc>
        <w:tc>
          <w:tcPr>
            <w:tcW w:w="565" w:type="pct"/>
            <w:tcBorders>
              <w:top w:val="nil"/>
              <w:left w:val="double" w:sz="4" w:space="0" w:color="auto"/>
              <w:bottom w:val="single" w:sz="4" w:space="0" w:color="auto"/>
              <w:right w:val="single" w:sz="4" w:space="0" w:color="auto"/>
            </w:tcBorders>
            <w:tcMar>
              <w:left w:w="57" w:type="dxa"/>
              <w:right w:w="160" w:type="dxa"/>
            </w:tcMar>
            <w:vAlign w:val="center"/>
          </w:tcPr>
          <w:p w:rsidR="006C4642" w:rsidRPr="006007C7" w:rsidRDefault="006C4642" w:rsidP="006C4642">
            <w:pPr>
              <w:spacing w:line="288" w:lineRule="auto"/>
              <w:ind w:right="77"/>
              <w:jc w:val="right"/>
            </w:pPr>
            <w:r>
              <w:t>-5</w:t>
            </w:r>
            <w:r w:rsidR="009F0550">
              <w:t>.</w:t>
            </w:r>
            <w:r>
              <w:t>6</w:t>
            </w:r>
          </w:p>
        </w:tc>
        <w:tc>
          <w:tcPr>
            <w:tcW w:w="565" w:type="pct"/>
            <w:tcBorders>
              <w:top w:val="nil"/>
              <w:left w:val="single" w:sz="4" w:space="0" w:color="auto"/>
              <w:bottom w:val="single" w:sz="4" w:space="0" w:color="auto"/>
            </w:tcBorders>
            <w:vAlign w:val="center"/>
          </w:tcPr>
          <w:p w:rsidR="006C4642" w:rsidRPr="006007C7" w:rsidRDefault="006C4642" w:rsidP="006C4642">
            <w:pPr>
              <w:spacing w:line="288" w:lineRule="auto"/>
              <w:ind w:right="174"/>
              <w:jc w:val="right"/>
            </w:pPr>
            <w:r>
              <w:t>4</w:t>
            </w:r>
            <w:r w:rsidR="009F0550">
              <w:t>.</w:t>
            </w:r>
            <w:r>
              <w:t>9</w:t>
            </w:r>
          </w:p>
        </w:tc>
      </w:tr>
      <w:tr w:rsidR="006C4642" w:rsidRPr="00067DF6" w:rsidTr="00544439">
        <w:trPr>
          <w:trHeight w:val="20"/>
        </w:trPr>
        <w:tc>
          <w:tcPr>
            <w:tcW w:w="1609" w:type="pct"/>
            <w:tcBorders>
              <w:top w:val="single" w:sz="4" w:space="0" w:color="auto"/>
              <w:bottom w:val="nil"/>
              <w:right w:val="single" w:sz="4" w:space="0" w:color="auto"/>
            </w:tcBorders>
            <w:vAlign w:val="bottom"/>
          </w:tcPr>
          <w:p w:rsidR="006C4642" w:rsidRPr="00067DF6" w:rsidRDefault="006C4642" w:rsidP="00042C84">
            <w:pPr>
              <w:spacing w:line="288" w:lineRule="auto"/>
              <w:ind w:right="77"/>
              <w:rPr>
                <w:rFonts w:ascii="Arial" w:hAnsi="Arial" w:cs="Arial"/>
                <w:b/>
                <w:sz w:val="20"/>
                <w:szCs w:val="20"/>
              </w:rPr>
            </w:pPr>
            <w:r w:rsidRPr="00067DF6">
              <w:rPr>
                <w:rFonts w:ascii="Arial" w:hAnsi="Arial" w:cs="Arial"/>
                <w:b/>
                <w:sz w:val="20"/>
                <w:szCs w:val="20"/>
              </w:rPr>
              <w:t>Soft Data</w:t>
            </w:r>
          </w:p>
        </w:tc>
        <w:tc>
          <w:tcPr>
            <w:tcW w:w="565" w:type="pct"/>
            <w:tcBorders>
              <w:top w:val="single" w:sz="4" w:space="0" w:color="auto"/>
              <w:left w:val="single" w:sz="4" w:space="0" w:color="auto"/>
              <w:bottom w:val="nil"/>
              <w:right w:val="single" w:sz="4" w:space="0" w:color="auto"/>
            </w:tcBorders>
            <w:tcMar>
              <w:left w:w="57" w:type="dxa"/>
              <w:right w:w="160" w:type="dxa"/>
            </w:tcMar>
            <w:vAlign w:val="center"/>
          </w:tcPr>
          <w:p w:rsidR="006C4642" w:rsidRPr="006007C7" w:rsidRDefault="006C4642" w:rsidP="006C4642">
            <w:pPr>
              <w:spacing w:line="288" w:lineRule="auto"/>
              <w:ind w:right="77"/>
              <w:jc w:val="right"/>
            </w:pPr>
          </w:p>
        </w:tc>
        <w:tc>
          <w:tcPr>
            <w:tcW w:w="565" w:type="pct"/>
            <w:tcBorders>
              <w:top w:val="single" w:sz="4" w:space="0" w:color="auto"/>
              <w:left w:val="single" w:sz="4" w:space="0" w:color="auto"/>
              <w:bottom w:val="nil"/>
              <w:right w:val="single" w:sz="4" w:space="0" w:color="auto"/>
            </w:tcBorders>
            <w:tcMar>
              <w:left w:w="0" w:type="dxa"/>
              <w:right w:w="160" w:type="dxa"/>
            </w:tcMar>
            <w:vAlign w:val="center"/>
          </w:tcPr>
          <w:p w:rsidR="006C4642" w:rsidRPr="006007C7" w:rsidRDefault="006C4642" w:rsidP="006C4642">
            <w:pPr>
              <w:spacing w:line="288" w:lineRule="auto"/>
              <w:ind w:right="77"/>
              <w:jc w:val="right"/>
            </w:pPr>
          </w:p>
        </w:tc>
        <w:tc>
          <w:tcPr>
            <w:tcW w:w="565" w:type="pct"/>
            <w:tcBorders>
              <w:top w:val="single" w:sz="4" w:space="0" w:color="auto"/>
              <w:left w:val="single" w:sz="4" w:space="0" w:color="auto"/>
              <w:bottom w:val="nil"/>
              <w:right w:val="single" w:sz="4" w:space="0" w:color="auto"/>
            </w:tcBorders>
            <w:vAlign w:val="center"/>
          </w:tcPr>
          <w:p w:rsidR="006C4642" w:rsidRPr="006007C7" w:rsidRDefault="006C4642" w:rsidP="006C4642">
            <w:pPr>
              <w:spacing w:line="288" w:lineRule="auto"/>
              <w:ind w:right="177"/>
              <w:jc w:val="right"/>
            </w:pPr>
          </w:p>
        </w:tc>
        <w:tc>
          <w:tcPr>
            <w:tcW w:w="565" w:type="pct"/>
            <w:tcBorders>
              <w:top w:val="single" w:sz="4" w:space="0" w:color="auto"/>
              <w:left w:val="single" w:sz="4" w:space="0" w:color="auto"/>
              <w:bottom w:val="nil"/>
              <w:right w:val="single" w:sz="4" w:space="0" w:color="auto"/>
            </w:tcBorders>
            <w:tcMar>
              <w:right w:w="160" w:type="dxa"/>
            </w:tcMar>
            <w:vAlign w:val="center"/>
          </w:tcPr>
          <w:p w:rsidR="006C4642" w:rsidRPr="006007C7" w:rsidRDefault="006C4642" w:rsidP="006C4642">
            <w:pPr>
              <w:spacing w:line="288" w:lineRule="auto"/>
              <w:ind w:right="77"/>
              <w:jc w:val="right"/>
            </w:pPr>
          </w:p>
        </w:tc>
        <w:tc>
          <w:tcPr>
            <w:tcW w:w="565" w:type="pct"/>
            <w:tcBorders>
              <w:top w:val="single" w:sz="4" w:space="0" w:color="auto"/>
              <w:left w:val="double" w:sz="4" w:space="0" w:color="auto"/>
              <w:bottom w:val="nil"/>
              <w:right w:val="single" w:sz="4" w:space="0" w:color="auto"/>
            </w:tcBorders>
            <w:tcMar>
              <w:left w:w="57" w:type="dxa"/>
              <w:right w:w="160" w:type="dxa"/>
            </w:tcMar>
            <w:vAlign w:val="center"/>
          </w:tcPr>
          <w:p w:rsidR="006C4642" w:rsidRPr="006007C7" w:rsidRDefault="006C4642" w:rsidP="006C4642">
            <w:pPr>
              <w:spacing w:line="288" w:lineRule="auto"/>
              <w:ind w:right="77"/>
              <w:jc w:val="right"/>
            </w:pPr>
          </w:p>
        </w:tc>
        <w:tc>
          <w:tcPr>
            <w:tcW w:w="565" w:type="pct"/>
            <w:tcBorders>
              <w:top w:val="single" w:sz="4" w:space="0" w:color="auto"/>
              <w:left w:val="single" w:sz="4" w:space="0" w:color="auto"/>
              <w:bottom w:val="nil"/>
            </w:tcBorders>
            <w:vAlign w:val="center"/>
          </w:tcPr>
          <w:p w:rsidR="006C4642" w:rsidRPr="006007C7" w:rsidRDefault="006C4642" w:rsidP="006C4642">
            <w:pPr>
              <w:spacing w:line="288" w:lineRule="auto"/>
              <w:ind w:right="174"/>
              <w:jc w:val="right"/>
            </w:pPr>
          </w:p>
        </w:tc>
      </w:tr>
      <w:tr w:rsidR="006C4642" w:rsidRPr="00067DF6" w:rsidTr="00544439">
        <w:trPr>
          <w:trHeight w:val="20"/>
        </w:trPr>
        <w:tc>
          <w:tcPr>
            <w:tcW w:w="1609" w:type="pct"/>
            <w:tcBorders>
              <w:top w:val="nil"/>
              <w:bottom w:val="nil"/>
            </w:tcBorders>
            <w:vAlign w:val="bottom"/>
          </w:tcPr>
          <w:p w:rsidR="006C4642" w:rsidRPr="00067DF6" w:rsidRDefault="006C4642" w:rsidP="00042C84">
            <w:pPr>
              <w:spacing w:line="288" w:lineRule="auto"/>
              <w:ind w:right="77"/>
              <w:rPr>
                <w:rFonts w:ascii="Arial" w:hAnsi="Arial" w:cs="Arial"/>
                <w:sz w:val="20"/>
                <w:szCs w:val="20"/>
              </w:rPr>
            </w:pPr>
            <w:r w:rsidRPr="00067DF6">
              <w:rPr>
                <w:rFonts w:ascii="Arial" w:hAnsi="Arial" w:cs="Arial"/>
                <w:sz w:val="20"/>
                <w:szCs w:val="20"/>
              </w:rPr>
              <w:t>Consumer confidence index (Turkstat)</w:t>
            </w:r>
          </w:p>
        </w:tc>
        <w:tc>
          <w:tcPr>
            <w:tcW w:w="565" w:type="pct"/>
            <w:tcBorders>
              <w:top w:val="nil"/>
              <w:bottom w:val="nil"/>
            </w:tcBorders>
            <w:tcMar>
              <w:left w:w="57" w:type="dxa"/>
              <w:right w:w="160" w:type="dxa"/>
            </w:tcMar>
            <w:vAlign w:val="center"/>
          </w:tcPr>
          <w:p w:rsidR="006C4642" w:rsidRPr="006007C7" w:rsidRDefault="006C4642" w:rsidP="006C4642">
            <w:pPr>
              <w:spacing w:line="288" w:lineRule="auto"/>
              <w:ind w:right="77"/>
              <w:jc w:val="right"/>
            </w:pPr>
            <w:r>
              <w:t>-2</w:t>
            </w:r>
            <w:r w:rsidR="009F0550">
              <w:t>.</w:t>
            </w:r>
            <w:r>
              <w:t>4</w:t>
            </w:r>
          </w:p>
        </w:tc>
        <w:tc>
          <w:tcPr>
            <w:tcW w:w="565" w:type="pct"/>
            <w:tcBorders>
              <w:top w:val="nil"/>
              <w:bottom w:val="nil"/>
            </w:tcBorders>
            <w:tcMar>
              <w:left w:w="0" w:type="dxa"/>
              <w:right w:w="160" w:type="dxa"/>
            </w:tcMar>
            <w:vAlign w:val="center"/>
          </w:tcPr>
          <w:p w:rsidR="006C4642" w:rsidRPr="006007C7" w:rsidRDefault="006C4642" w:rsidP="006C4642">
            <w:pPr>
              <w:spacing w:line="288" w:lineRule="auto"/>
              <w:ind w:right="77"/>
              <w:jc w:val="right"/>
            </w:pPr>
            <w:r>
              <w:t>-1</w:t>
            </w:r>
            <w:r w:rsidR="009F0550">
              <w:t>.</w:t>
            </w:r>
            <w:r>
              <w:t>4</w:t>
            </w:r>
          </w:p>
        </w:tc>
        <w:tc>
          <w:tcPr>
            <w:tcW w:w="565" w:type="pct"/>
            <w:tcBorders>
              <w:top w:val="nil"/>
              <w:bottom w:val="nil"/>
            </w:tcBorders>
            <w:vAlign w:val="center"/>
          </w:tcPr>
          <w:p w:rsidR="006C4642" w:rsidRPr="006007C7" w:rsidRDefault="006C4642" w:rsidP="006C4642">
            <w:pPr>
              <w:spacing w:line="288" w:lineRule="auto"/>
              <w:ind w:right="177"/>
              <w:jc w:val="right"/>
            </w:pPr>
            <w:r>
              <w:t>3</w:t>
            </w:r>
            <w:r w:rsidR="009F0550">
              <w:t>.</w:t>
            </w:r>
            <w:r>
              <w:t>8</w:t>
            </w:r>
          </w:p>
        </w:tc>
        <w:tc>
          <w:tcPr>
            <w:tcW w:w="565" w:type="pct"/>
            <w:tcBorders>
              <w:top w:val="nil"/>
              <w:bottom w:val="nil"/>
            </w:tcBorders>
            <w:tcMar>
              <w:right w:w="160" w:type="dxa"/>
            </w:tcMar>
            <w:vAlign w:val="center"/>
          </w:tcPr>
          <w:p w:rsidR="006C4642" w:rsidRPr="006007C7" w:rsidRDefault="006C4642" w:rsidP="006C4642">
            <w:pPr>
              <w:spacing w:line="288" w:lineRule="auto"/>
              <w:ind w:right="77"/>
              <w:jc w:val="right"/>
            </w:pPr>
            <w:r>
              <w:t>**</w:t>
            </w:r>
          </w:p>
        </w:tc>
        <w:tc>
          <w:tcPr>
            <w:tcW w:w="565" w:type="pct"/>
            <w:tcBorders>
              <w:top w:val="nil"/>
              <w:left w:val="double" w:sz="4" w:space="0" w:color="auto"/>
              <w:bottom w:val="nil"/>
            </w:tcBorders>
            <w:tcMar>
              <w:left w:w="57" w:type="dxa"/>
              <w:right w:w="160" w:type="dxa"/>
            </w:tcMar>
            <w:vAlign w:val="center"/>
          </w:tcPr>
          <w:p w:rsidR="006C4642" w:rsidRPr="006007C7" w:rsidRDefault="006C4642" w:rsidP="006C4642">
            <w:pPr>
              <w:spacing w:line="288" w:lineRule="auto"/>
              <w:ind w:right="77"/>
              <w:jc w:val="right"/>
            </w:pPr>
            <w:r>
              <w:t>-0</w:t>
            </w:r>
            <w:r w:rsidR="009F0550">
              <w:t>.</w:t>
            </w:r>
            <w:r>
              <w:t>3</w:t>
            </w:r>
          </w:p>
        </w:tc>
        <w:tc>
          <w:tcPr>
            <w:tcW w:w="565" w:type="pct"/>
            <w:tcBorders>
              <w:top w:val="nil"/>
              <w:bottom w:val="nil"/>
            </w:tcBorders>
            <w:vAlign w:val="center"/>
          </w:tcPr>
          <w:p w:rsidR="006C4642" w:rsidRPr="006007C7" w:rsidRDefault="006C4642" w:rsidP="006C4642">
            <w:pPr>
              <w:spacing w:line="288" w:lineRule="auto"/>
              <w:ind w:right="174"/>
              <w:jc w:val="right"/>
            </w:pPr>
            <w:r>
              <w:t>-1</w:t>
            </w:r>
            <w:r w:rsidR="009F0550">
              <w:t>.</w:t>
            </w:r>
            <w:r>
              <w:t>4</w:t>
            </w:r>
          </w:p>
        </w:tc>
      </w:tr>
      <w:tr w:rsidR="006C4642" w:rsidRPr="00067DF6" w:rsidTr="002A5E74">
        <w:trPr>
          <w:trHeight w:val="20"/>
        </w:trPr>
        <w:tc>
          <w:tcPr>
            <w:tcW w:w="1609" w:type="pct"/>
            <w:tcBorders>
              <w:top w:val="nil"/>
              <w:bottom w:val="single" w:sz="4" w:space="0" w:color="auto"/>
            </w:tcBorders>
            <w:vAlign w:val="bottom"/>
          </w:tcPr>
          <w:p w:rsidR="006C4642" w:rsidRPr="00067DF6" w:rsidRDefault="006C4642" w:rsidP="00042C84">
            <w:pPr>
              <w:spacing w:line="288" w:lineRule="auto"/>
              <w:ind w:right="77"/>
              <w:rPr>
                <w:rFonts w:ascii="Arial" w:hAnsi="Arial" w:cs="Arial"/>
                <w:sz w:val="20"/>
                <w:szCs w:val="20"/>
              </w:rPr>
            </w:pPr>
            <w:r w:rsidRPr="00067DF6">
              <w:rPr>
                <w:rFonts w:ascii="Arial" w:hAnsi="Arial" w:cs="Arial"/>
                <w:sz w:val="20"/>
                <w:szCs w:val="20"/>
              </w:rPr>
              <w:t>Reel sector confidence index</w:t>
            </w:r>
          </w:p>
        </w:tc>
        <w:tc>
          <w:tcPr>
            <w:tcW w:w="565" w:type="pct"/>
            <w:tcBorders>
              <w:top w:val="nil"/>
              <w:bottom w:val="single" w:sz="4" w:space="0" w:color="auto"/>
            </w:tcBorders>
            <w:tcMar>
              <w:left w:w="57" w:type="dxa"/>
              <w:right w:w="160" w:type="dxa"/>
            </w:tcMar>
            <w:vAlign w:val="center"/>
          </w:tcPr>
          <w:p w:rsidR="006C4642" w:rsidRPr="006007C7" w:rsidRDefault="006C4642" w:rsidP="006C4642">
            <w:pPr>
              <w:spacing w:line="288" w:lineRule="auto"/>
              <w:ind w:right="77"/>
              <w:jc w:val="right"/>
            </w:pPr>
            <w:r>
              <w:t>0</w:t>
            </w:r>
            <w:r w:rsidR="009F0550">
              <w:t>.</w:t>
            </w:r>
            <w:r>
              <w:t>3</w:t>
            </w:r>
          </w:p>
        </w:tc>
        <w:tc>
          <w:tcPr>
            <w:tcW w:w="565" w:type="pct"/>
            <w:tcBorders>
              <w:top w:val="nil"/>
              <w:bottom w:val="single" w:sz="4" w:space="0" w:color="auto"/>
            </w:tcBorders>
            <w:tcMar>
              <w:left w:w="0" w:type="dxa"/>
              <w:right w:w="160" w:type="dxa"/>
            </w:tcMar>
            <w:vAlign w:val="center"/>
          </w:tcPr>
          <w:p w:rsidR="006C4642" w:rsidRPr="006007C7" w:rsidRDefault="006C4642" w:rsidP="006C4642">
            <w:pPr>
              <w:spacing w:line="288" w:lineRule="auto"/>
              <w:ind w:right="77"/>
              <w:jc w:val="right"/>
            </w:pPr>
            <w:r>
              <w:t>4</w:t>
            </w:r>
            <w:r w:rsidR="009F0550">
              <w:t>.</w:t>
            </w:r>
            <w:r>
              <w:t>5</w:t>
            </w:r>
          </w:p>
        </w:tc>
        <w:tc>
          <w:tcPr>
            <w:tcW w:w="565" w:type="pct"/>
            <w:tcBorders>
              <w:top w:val="nil"/>
              <w:bottom w:val="single" w:sz="4" w:space="0" w:color="auto"/>
            </w:tcBorders>
            <w:vAlign w:val="center"/>
          </w:tcPr>
          <w:p w:rsidR="006C4642" w:rsidRPr="006007C7" w:rsidRDefault="006C4642" w:rsidP="006C4642">
            <w:pPr>
              <w:spacing w:line="288" w:lineRule="auto"/>
              <w:ind w:right="177"/>
              <w:jc w:val="right"/>
            </w:pPr>
            <w:r>
              <w:t>0</w:t>
            </w:r>
            <w:r w:rsidR="009F0550">
              <w:t>.</w:t>
            </w:r>
            <w:r>
              <w:t>7</w:t>
            </w:r>
          </w:p>
        </w:tc>
        <w:tc>
          <w:tcPr>
            <w:tcW w:w="565" w:type="pct"/>
            <w:tcBorders>
              <w:top w:val="nil"/>
              <w:bottom w:val="single" w:sz="4" w:space="0" w:color="auto"/>
            </w:tcBorders>
            <w:tcMar>
              <w:right w:w="160" w:type="dxa"/>
            </w:tcMar>
            <w:vAlign w:val="center"/>
          </w:tcPr>
          <w:p w:rsidR="006C4642" w:rsidRPr="006007C7" w:rsidRDefault="006C4642" w:rsidP="006C4642">
            <w:pPr>
              <w:spacing w:line="288" w:lineRule="auto"/>
              <w:ind w:right="77"/>
              <w:jc w:val="right"/>
            </w:pPr>
            <w:r>
              <w:t>-0</w:t>
            </w:r>
            <w:r w:rsidR="009F0550">
              <w:t>.</w:t>
            </w:r>
            <w:r>
              <w:t>9</w:t>
            </w:r>
          </w:p>
        </w:tc>
        <w:tc>
          <w:tcPr>
            <w:tcW w:w="565" w:type="pct"/>
            <w:tcBorders>
              <w:top w:val="nil"/>
              <w:left w:val="double" w:sz="4" w:space="0" w:color="auto"/>
              <w:bottom w:val="single" w:sz="4" w:space="0" w:color="auto"/>
            </w:tcBorders>
            <w:tcMar>
              <w:left w:w="57" w:type="dxa"/>
              <w:right w:w="160" w:type="dxa"/>
            </w:tcMar>
            <w:vAlign w:val="center"/>
          </w:tcPr>
          <w:p w:rsidR="006C4642" w:rsidRPr="006007C7" w:rsidRDefault="006C4642" w:rsidP="006C4642">
            <w:pPr>
              <w:spacing w:line="288" w:lineRule="auto"/>
              <w:ind w:right="77"/>
              <w:jc w:val="right"/>
            </w:pPr>
            <w:r>
              <w:t>-3</w:t>
            </w:r>
            <w:r w:rsidR="009F0550">
              <w:t>.</w:t>
            </w:r>
            <w:r>
              <w:t>0</w:t>
            </w:r>
          </w:p>
        </w:tc>
        <w:tc>
          <w:tcPr>
            <w:tcW w:w="565" w:type="pct"/>
            <w:tcBorders>
              <w:top w:val="nil"/>
              <w:bottom w:val="single" w:sz="4" w:space="0" w:color="auto"/>
            </w:tcBorders>
            <w:vAlign w:val="center"/>
          </w:tcPr>
          <w:p w:rsidR="006C4642" w:rsidRPr="006007C7" w:rsidRDefault="006C4642" w:rsidP="006C4642">
            <w:pPr>
              <w:spacing w:line="288" w:lineRule="auto"/>
              <w:ind w:right="174"/>
              <w:jc w:val="right"/>
            </w:pPr>
            <w:r>
              <w:t>4</w:t>
            </w:r>
            <w:r w:rsidR="009F0550">
              <w:t>.</w:t>
            </w:r>
            <w:r>
              <w:t>6</w:t>
            </w:r>
          </w:p>
        </w:tc>
      </w:tr>
      <w:tr w:rsidR="006C4642" w:rsidRPr="00067DF6" w:rsidTr="002A5E74">
        <w:trPr>
          <w:trHeight w:val="20"/>
        </w:trPr>
        <w:tc>
          <w:tcPr>
            <w:tcW w:w="1609" w:type="pct"/>
            <w:tcBorders>
              <w:bottom w:val="nil"/>
            </w:tcBorders>
            <w:vAlign w:val="bottom"/>
          </w:tcPr>
          <w:p w:rsidR="006C4642" w:rsidRPr="00067DF6" w:rsidRDefault="006C4642" w:rsidP="00042C84">
            <w:pPr>
              <w:spacing w:line="288" w:lineRule="auto"/>
              <w:ind w:right="77"/>
              <w:rPr>
                <w:rFonts w:ascii="Arial" w:hAnsi="Arial" w:cs="Arial"/>
                <w:b/>
                <w:sz w:val="20"/>
                <w:szCs w:val="20"/>
              </w:rPr>
            </w:pPr>
            <w:r w:rsidRPr="00067DF6">
              <w:rPr>
                <w:rFonts w:ascii="Arial" w:hAnsi="Arial" w:cs="Arial"/>
                <w:b/>
                <w:sz w:val="20"/>
                <w:szCs w:val="20"/>
              </w:rPr>
              <w:t>Financial Data</w:t>
            </w:r>
          </w:p>
        </w:tc>
        <w:tc>
          <w:tcPr>
            <w:tcW w:w="565" w:type="pct"/>
            <w:tcBorders>
              <w:bottom w:val="nil"/>
            </w:tcBorders>
            <w:tcMar>
              <w:left w:w="57" w:type="dxa"/>
              <w:right w:w="160" w:type="dxa"/>
            </w:tcMar>
            <w:vAlign w:val="center"/>
          </w:tcPr>
          <w:p w:rsidR="006C4642" w:rsidRPr="006007C7" w:rsidRDefault="006C4642" w:rsidP="006C4642">
            <w:pPr>
              <w:spacing w:line="288" w:lineRule="auto"/>
              <w:ind w:right="77"/>
              <w:jc w:val="right"/>
            </w:pPr>
          </w:p>
        </w:tc>
        <w:tc>
          <w:tcPr>
            <w:tcW w:w="565" w:type="pct"/>
            <w:tcBorders>
              <w:bottom w:val="nil"/>
            </w:tcBorders>
            <w:tcMar>
              <w:left w:w="0" w:type="dxa"/>
              <w:right w:w="160" w:type="dxa"/>
            </w:tcMar>
            <w:vAlign w:val="center"/>
          </w:tcPr>
          <w:p w:rsidR="006C4642" w:rsidRPr="006007C7" w:rsidRDefault="006C4642" w:rsidP="006C4642">
            <w:pPr>
              <w:spacing w:line="288" w:lineRule="auto"/>
              <w:ind w:right="77"/>
              <w:jc w:val="right"/>
            </w:pPr>
          </w:p>
        </w:tc>
        <w:tc>
          <w:tcPr>
            <w:tcW w:w="565" w:type="pct"/>
            <w:tcBorders>
              <w:bottom w:val="nil"/>
            </w:tcBorders>
            <w:vAlign w:val="center"/>
          </w:tcPr>
          <w:p w:rsidR="006C4642" w:rsidRPr="006007C7" w:rsidRDefault="006C4642" w:rsidP="006C4642">
            <w:pPr>
              <w:spacing w:line="288" w:lineRule="auto"/>
              <w:ind w:right="177"/>
              <w:jc w:val="right"/>
            </w:pPr>
          </w:p>
        </w:tc>
        <w:tc>
          <w:tcPr>
            <w:tcW w:w="565" w:type="pct"/>
            <w:tcBorders>
              <w:bottom w:val="nil"/>
            </w:tcBorders>
            <w:tcMar>
              <w:right w:w="160" w:type="dxa"/>
            </w:tcMar>
            <w:vAlign w:val="center"/>
          </w:tcPr>
          <w:p w:rsidR="006C4642" w:rsidRPr="006007C7" w:rsidRDefault="006C4642" w:rsidP="006C4642">
            <w:pPr>
              <w:spacing w:line="288" w:lineRule="auto"/>
              <w:ind w:right="77"/>
              <w:jc w:val="right"/>
            </w:pPr>
          </w:p>
        </w:tc>
        <w:tc>
          <w:tcPr>
            <w:tcW w:w="565" w:type="pct"/>
            <w:tcBorders>
              <w:left w:val="double" w:sz="4" w:space="0" w:color="auto"/>
              <w:bottom w:val="nil"/>
            </w:tcBorders>
            <w:tcMar>
              <w:left w:w="57" w:type="dxa"/>
              <w:right w:w="160" w:type="dxa"/>
            </w:tcMar>
            <w:vAlign w:val="center"/>
          </w:tcPr>
          <w:p w:rsidR="006C4642" w:rsidRPr="006007C7" w:rsidRDefault="006C4642" w:rsidP="006C4642">
            <w:pPr>
              <w:spacing w:line="288" w:lineRule="auto"/>
              <w:ind w:right="77"/>
              <w:jc w:val="right"/>
            </w:pPr>
          </w:p>
        </w:tc>
        <w:tc>
          <w:tcPr>
            <w:tcW w:w="565" w:type="pct"/>
            <w:tcBorders>
              <w:bottom w:val="nil"/>
            </w:tcBorders>
            <w:vAlign w:val="center"/>
          </w:tcPr>
          <w:p w:rsidR="006C4642" w:rsidRPr="006007C7" w:rsidRDefault="006C4642" w:rsidP="006C4642">
            <w:pPr>
              <w:spacing w:line="288" w:lineRule="auto"/>
              <w:ind w:right="174"/>
              <w:jc w:val="right"/>
            </w:pPr>
          </w:p>
        </w:tc>
      </w:tr>
      <w:tr w:rsidR="006C4642" w:rsidRPr="00067DF6" w:rsidTr="00544439">
        <w:trPr>
          <w:trHeight w:val="20"/>
        </w:trPr>
        <w:tc>
          <w:tcPr>
            <w:tcW w:w="1609" w:type="pct"/>
            <w:tcBorders>
              <w:top w:val="nil"/>
              <w:bottom w:val="single" w:sz="4" w:space="0" w:color="auto"/>
            </w:tcBorders>
            <w:vAlign w:val="bottom"/>
          </w:tcPr>
          <w:p w:rsidR="006C4642" w:rsidRPr="00067DF6" w:rsidRDefault="006C4642" w:rsidP="00042C84">
            <w:pPr>
              <w:spacing w:line="288" w:lineRule="auto"/>
              <w:ind w:right="77"/>
              <w:rPr>
                <w:rFonts w:ascii="Arial" w:hAnsi="Arial" w:cs="Arial"/>
                <w:sz w:val="20"/>
                <w:szCs w:val="20"/>
              </w:rPr>
            </w:pPr>
            <w:r w:rsidRPr="00067DF6">
              <w:rPr>
                <w:rFonts w:ascii="Arial" w:hAnsi="Arial" w:cs="Arial"/>
                <w:sz w:val="20"/>
                <w:szCs w:val="20"/>
              </w:rPr>
              <w:t>IMKB 100 (Stock Exchange)</w:t>
            </w:r>
          </w:p>
        </w:tc>
        <w:tc>
          <w:tcPr>
            <w:tcW w:w="565" w:type="pct"/>
            <w:tcBorders>
              <w:top w:val="nil"/>
              <w:bottom w:val="single" w:sz="4" w:space="0" w:color="auto"/>
            </w:tcBorders>
            <w:tcMar>
              <w:left w:w="57" w:type="dxa"/>
              <w:right w:w="160" w:type="dxa"/>
            </w:tcMar>
            <w:vAlign w:val="center"/>
          </w:tcPr>
          <w:p w:rsidR="006C4642" w:rsidRPr="006007C7" w:rsidRDefault="006C4642" w:rsidP="006C4642">
            <w:pPr>
              <w:spacing w:line="288" w:lineRule="auto"/>
              <w:ind w:right="77"/>
              <w:jc w:val="right"/>
            </w:pPr>
            <w:r>
              <w:t>1</w:t>
            </w:r>
            <w:r w:rsidR="009F0550">
              <w:t>.</w:t>
            </w:r>
            <w:r>
              <w:t>5</w:t>
            </w:r>
          </w:p>
        </w:tc>
        <w:tc>
          <w:tcPr>
            <w:tcW w:w="565" w:type="pct"/>
            <w:tcBorders>
              <w:top w:val="nil"/>
              <w:bottom w:val="single" w:sz="4" w:space="0" w:color="auto"/>
            </w:tcBorders>
            <w:tcMar>
              <w:left w:w="0" w:type="dxa"/>
              <w:right w:w="160" w:type="dxa"/>
            </w:tcMar>
            <w:vAlign w:val="center"/>
          </w:tcPr>
          <w:p w:rsidR="006C4642" w:rsidRPr="006007C7" w:rsidRDefault="006C4642" w:rsidP="006C4642">
            <w:pPr>
              <w:spacing w:line="288" w:lineRule="auto"/>
              <w:ind w:right="77"/>
              <w:jc w:val="right"/>
            </w:pPr>
            <w:r>
              <w:t>0</w:t>
            </w:r>
            <w:r w:rsidR="009F0550">
              <w:t>.</w:t>
            </w:r>
            <w:r>
              <w:t>6</w:t>
            </w:r>
          </w:p>
        </w:tc>
        <w:tc>
          <w:tcPr>
            <w:tcW w:w="565" w:type="pct"/>
            <w:tcBorders>
              <w:top w:val="nil"/>
              <w:bottom w:val="single" w:sz="4" w:space="0" w:color="auto"/>
            </w:tcBorders>
            <w:vAlign w:val="center"/>
          </w:tcPr>
          <w:p w:rsidR="006C4642" w:rsidRPr="006007C7" w:rsidRDefault="006C4642" w:rsidP="006C4642">
            <w:pPr>
              <w:spacing w:line="288" w:lineRule="auto"/>
              <w:ind w:right="177"/>
              <w:jc w:val="right"/>
            </w:pPr>
            <w:r>
              <w:t>5</w:t>
            </w:r>
            <w:r w:rsidR="009F0550">
              <w:t>.</w:t>
            </w:r>
            <w:r>
              <w:t>6</w:t>
            </w:r>
          </w:p>
        </w:tc>
        <w:tc>
          <w:tcPr>
            <w:tcW w:w="565" w:type="pct"/>
            <w:tcBorders>
              <w:top w:val="nil"/>
              <w:bottom w:val="single" w:sz="4" w:space="0" w:color="auto"/>
            </w:tcBorders>
            <w:tcMar>
              <w:right w:w="160" w:type="dxa"/>
            </w:tcMar>
            <w:vAlign w:val="center"/>
          </w:tcPr>
          <w:p w:rsidR="006C4642" w:rsidRPr="006007C7" w:rsidRDefault="006C4642" w:rsidP="006C4642">
            <w:pPr>
              <w:spacing w:line="288" w:lineRule="auto"/>
              <w:ind w:right="77"/>
              <w:jc w:val="right"/>
            </w:pPr>
            <w:r>
              <w:t>5</w:t>
            </w:r>
            <w:r w:rsidR="009F0550">
              <w:t>.</w:t>
            </w:r>
            <w:r>
              <w:t>7</w:t>
            </w:r>
          </w:p>
        </w:tc>
        <w:tc>
          <w:tcPr>
            <w:tcW w:w="565" w:type="pct"/>
            <w:tcBorders>
              <w:top w:val="nil"/>
              <w:left w:val="double" w:sz="4" w:space="0" w:color="auto"/>
              <w:bottom w:val="single" w:sz="4" w:space="0" w:color="auto"/>
            </w:tcBorders>
            <w:tcMar>
              <w:left w:w="57" w:type="dxa"/>
              <w:right w:w="160" w:type="dxa"/>
            </w:tcMar>
            <w:vAlign w:val="center"/>
          </w:tcPr>
          <w:p w:rsidR="006C4642" w:rsidRPr="006007C7" w:rsidRDefault="006C4642" w:rsidP="006C4642">
            <w:pPr>
              <w:spacing w:line="288" w:lineRule="auto"/>
              <w:ind w:right="77"/>
              <w:jc w:val="right"/>
            </w:pPr>
            <w:r>
              <w:t>9</w:t>
            </w:r>
            <w:r w:rsidR="009F0550">
              <w:t>.</w:t>
            </w:r>
            <w:r>
              <w:t>5</w:t>
            </w:r>
          </w:p>
        </w:tc>
        <w:tc>
          <w:tcPr>
            <w:tcW w:w="565" w:type="pct"/>
            <w:tcBorders>
              <w:top w:val="nil"/>
              <w:bottom w:val="single" w:sz="4" w:space="0" w:color="auto"/>
            </w:tcBorders>
            <w:vAlign w:val="center"/>
          </w:tcPr>
          <w:p w:rsidR="006C4642" w:rsidRPr="006007C7" w:rsidRDefault="006C4642" w:rsidP="006C4642">
            <w:pPr>
              <w:spacing w:line="288" w:lineRule="auto"/>
              <w:ind w:right="174"/>
              <w:jc w:val="right"/>
            </w:pPr>
            <w:r>
              <w:t>8</w:t>
            </w:r>
            <w:r w:rsidR="009F0550">
              <w:t>.</w:t>
            </w:r>
            <w:r>
              <w:t>7</w:t>
            </w:r>
          </w:p>
        </w:tc>
      </w:tr>
      <w:tr w:rsidR="006C4642" w:rsidRPr="00067DF6" w:rsidTr="00544439">
        <w:trPr>
          <w:trHeight w:val="20"/>
        </w:trPr>
        <w:tc>
          <w:tcPr>
            <w:tcW w:w="1609" w:type="pct"/>
            <w:tcBorders>
              <w:top w:val="single" w:sz="4" w:space="0" w:color="auto"/>
              <w:bottom w:val="nil"/>
            </w:tcBorders>
            <w:vAlign w:val="bottom"/>
          </w:tcPr>
          <w:p w:rsidR="006C4642" w:rsidRPr="00067DF6" w:rsidRDefault="006C4642" w:rsidP="00042C84">
            <w:pPr>
              <w:spacing w:line="288" w:lineRule="auto"/>
              <w:ind w:right="77"/>
              <w:rPr>
                <w:rFonts w:ascii="Arial" w:hAnsi="Arial" w:cs="Arial"/>
                <w:b/>
                <w:sz w:val="20"/>
                <w:szCs w:val="20"/>
              </w:rPr>
            </w:pPr>
            <w:r w:rsidRPr="00067DF6">
              <w:rPr>
                <w:rFonts w:ascii="Arial" w:hAnsi="Arial" w:cs="Arial"/>
                <w:b/>
                <w:sz w:val="20"/>
                <w:szCs w:val="20"/>
              </w:rPr>
              <w:t>Other</w:t>
            </w:r>
          </w:p>
        </w:tc>
        <w:tc>
          <w:tcPr>
            <w:tcW w:w="565" w:type="pct"/>
            <w:tcBorders>
              <w:top w:val="single" w:sz="4" w:space="0" w:color="auto"/>
              <w:bottom w:val="nil"/>
            </w:tcBorders>
            <w:tcMar>
              <w:left w:w="57" w:type="dxa"/>
              <w:right w:w="160" w:type="dxa"/>
            </w:tcMar>
            <w:vAlign w:val="center"/>
          </w:tcPr>
          <w:p w:rsidR="006C4642" w:rsidRPr="006007C7" w:rsidRDefault="006C4642" w:rsidP="006C4642">
            <w:pPr>
              <w:spacing w:line="288" w:lineRule="auto"/>
              <w:ind w:right="77"/>
              <w:jc w:val="right"/>
            </w:pPr>
          </w:p>
        </w:tc>
        <w:tc>
          <w:tcPr>
            <w:tcW w:w="565" w:type="pct"/>
            <w:tcBorders>
              <w:top w:val="single" w:sz="4" w:space="0" w:color="auto"/>
              <w:bottom w:val="nil"/>
            </w:tcBorders>
            <w:tcMar>
              <w:left w:w="0" w:type="dxa"/>
              <w:right w:w="160" w:type="dxa"/>
            </w:tcMar>
            <w:vAlign w:val="center"/>
          </w:tcPr>
          <w:p w:rsidR="006C4642" w:rsidRPr="006007C7" w:rsidRDefault="006C4642" w:rsidP="006C4642">
            <w:pPr>
              <w:spacing w:line="288" w:lineRule="auto"/>
              <w:ind w:right="77"/>
              <w:jc w:val="right"/>
            </w:pPr>
          </w:p>
        </w:tc>
        <w:tc>
          <w:tcPr>
            <w:tcW w:w="565" w:type="pct"/>
            <w:tcBorders>
              <w:top w:val="single" w:sz="4" w:space="0" w:color="auto"/>
              <w:bottom w:val="nil"/>
            </w:tcBorders>
            <w:vAlign w:val="center"/>
          </w:tcPr>
          <w:p w:rsidR="006C4642" w:rsidRPr="006007C7" w:rsidRDefault="006C4642" w:rsidP="006C4642">
            <w:pPr>
              <w:spacing w:line="288" w:lineRule="auto"/>
              <w:ind w:right="177"/>
              <w:jc w:val="right"/>
            </w:pPr>
          </w:p>
        </w:tc>
        <w:tc>
          <w:tcPr>
            <w:tcW w:w="565" w:type="pct"/>
            <w:tcBorders>
              <w:top w:val="single" w:sz="4" w:space="0" w:color="auto"/>
              <w:bottom w:val="nil"/>
            </w:tcBorders>
            <w:tcMar>
              <w:right w:w="160" w:type="dxa"/>
            </w:tcMar>
            <w:vAlign w:val="center"/>
          </w:tcPr>
          <w:p w:rsidR="006C4642" w:rsidRPr="006007C7" w:rsidRDefault="006C4642" w:rsidP="006C4642">
            <w:pPr>
              <w:spacing w:line="288" w:lineRule="auto"/>
              <w:ind w:right="77"/>
              <w:jc w:val="right"/>
            </w:pPr>
          </w:p>
        </w:tc>
        <w:tc>
          <w:tcPr>
            <w:tcW w:w="565" w:type="pct"/>
            <w:tcBorders>
              <w:top w:val="single" w:sz="4" w:space="0" w:color="auto"/>
              <w:left w:val="double" w:sz="4" w:space="0" w:color="auto"/>
              <w:bottom w:val="nil"/>
            </w:tcBorders>
            <w:tcMar>
              <w:left w:w="57" w:type="dxa"/>
              <w:right w:w="160" w:type="dxa"/>
            </w:tcMar>
            <w:vAlign w:val="center"/>
          </w:tcPr>
          <w:p w:rsidR="006C4642" w:rsidRPr="006007C7" w:rsidRDefault="006C4642" w:rsidP="006C4642">
            <w:pPr>
              <w:spacing w:line="288" w:lineRule="auto"/>
              <w:ind w:right="77"/>
              <w:jc w:val="right"/>
            </w:pPr>
          </w:p>
        </w:tc>
        <w:tc>
          <w:tcPr>
            <w:tcW w:w="565" w:type="pct"/>
            <w:tcBorders>
              <w:top w:val="single" w:sz="4" w:space="0" w:color="auto"/>
              <w:bottom w:val="nil"/>
            </w:tcBorders>
            <w:vAlign w:val="center"/>
          </w:tcPr>
          <w:p w:rsidR="006C4642" w:rsidRPr="006007C7" w:rsidRDefault="006C4642" w:rsidP="006C4642">
            <w:pPr>
              <w:spacing w:line="288" w:lineRule="auto"/>
              <w:ind w:right="174"/>
              <w:jc w:val="right"/>
            </w:pPr>
          </w:p>
        </w:tc>
      </w:tr>
      <w:tr w:rsidR="006C4642" w:rsidRPr="00067DF6" w:rsidTr="00544439">
        <w:trPr>
          <w:trHeight w:val="20"/>
        </w:trPr>
        <w:tc>
          <w:tcPr>
            <w:tcW w:w="1609" w:type="pct"/>
            <w:tcBorders>
              <w:top w:val="nil"/>
              <w:bottom w:val="nil"/>
            </w:tcBorders>
            <w:vAlign w:val="bottom"/>
          </w:tcPr>
          <w:p w:rsidR="006C4642" w:rsidRPr="00067DF6" w:rsidRDefault="006C4642" w:rsidP="00042C84">
            <w:pPr>
              <w:spacing w:line="288" w:lineRule="auto"/>
              <w:ind w:right="77"/>
              <w:rPr>
                <w:rFonts w:ascii="Arial" w:hAnsi="Arial" w:cs="Arial"/>
                <w:sz w:val="20"/>
                <w:szCs w:val="20"/>
              </w:rPr>
            </w:pPr>
            <w:r w:rsidRPr="00067DF6">
              <w:rPr>
                <w:rFonts w:ascii="Arial" w:hAnsi="Arial" w:cs="Arial"/>
                <w:sz w:val="20"/>
                <w:szCs w:val="20"/>
              </w:rPr>
              <w:t>Special consumer tax* (SCT)</w:t>
            </w:r>
          </w:p>
        </w:tc>
        <w:tc>
          <w:tcPr>
            <w:tcW w:w="565" w:type="pct"/>
            <w:tcBorders>
              <w:top w:val="nil"/>
              <w:bottom w:val="nil"/>
            </w:tcBorders>
            <w:tcMar>
              <w:left w:w="57" w:type="dxa"/>
              <w:right w:w="160" w:type="dxa"/>
            </w:tcMar>
            <w:vAlign w:val="center"/>
          </w:tcPr>
          <w:p w:rsidR="006C4642" w:rsidRPr="006007C7" w:rsidRDefault="006C4642" w:rsidP="006C4642">
            <w:pPr>
              <w:spacing w:line="288" w:lineRule="auto"/>
              <w:ind w:right="77"/>
              <w:jc w:val="right"/>
            </w:pPr>
            <w:r>
              <w:t>-0</w:t>
            </w:r>
            <w:r w:rsidR="009F0550">
              <w:t>.</w:t>
            </w:r>
            <w:r>
              <w:t>8</w:t>
            </w:r>
          </w:p>
        </w:tc>
        <w:tc>
          <w:tcPr>
            <w:tcW w:w="565" w:type="pct"/>
            <w:tcBorders>
              <w:top w:val="nil"/>
              <w:bottom w:val="nil"/>
            </w:tcBorders>
            <w:tcMar>
              <w:left w:w="0" w:type="dxa"/>
              <w:right w:w="160" w:type="dxa"/>
            </w:tcMar>
            <w:vAlign w:val="center"/>
          </w:tcPr>
          <w:p w:rsidR="006C4642" w:rsidRPr="006007C7" w:rsidRDefault="006C4642" w:rsidP="006C4642">
            <w:pPr>
              <w:spacing w:line="288" w:lineRule="auto"/>
              <w:ind w:right="77"/>
              <w:jc w:val="right"/>
            </w:pPr>
            <w:r>
              <w:t>31</w:t>
            </w:r>
            <w:r w:rsidR="009F0550">
              <w:t>.</w:t>
            </w:r>
            <w:r>
              <w:t>7</w:t>
            </w:r>
          </w:p>
        </w:tc>
        <w:tc>
          <w:tcPr>
            <w:tcW w:w="565" w:type="pct"/>
            <w:tcBorders>
              <w:top w:val="nil"/>
              <w:bottom w:val="nil"/>
            </w:tcBorders>
            <w:vAlign w:val="center"/>
          </w:tcPr>
          <w:p w:rsidR="006C4642" w:rsidRPr="006007C7" w:rsidRDefault="006C4642" w:rsidP="006C4642">
            <w:pPr>
              <w:spacing w:line="288" w:lineRule="auto"/>
              <w:ind w:right="177"/>
              <w:jc w:val="right"/>
            </w:pPr>
            <w:r>
              <w:t>-23</w:t>
            </w:r>
            <w:r w:rsidR="009F0550">
              <w:t>.</w:t>
            </w:r>
            <w:r>
              <w:t>0</w:t>
            </w:r>
          </w:p>
        </w:tc>
        <w:tc>
          <w:tcPr>
            <w:tcW w:w="565" w:type="pct"/>
            <w:tcBorders>
              <w:top w:val="nil"/>
              <w:bottom w:val="nil"/>
            </w:tcBorders>
            <w:tcMar>
              <w:right w:w="160" w:type="dxa"/>
            </w:tcMar>
            <w:vAlign w:val="center"/>
          </w:tcPr>
          <w:p w:rsidR="006C4642" w:rsidRPr="006007C7" w:rsidRDefault="006C4642" w:rsidP="006C4642">
            <w:pPr>
              <w:spacing w:line="288" w:lineRule="auto"/>
              <w:ind w:right="77"/>
              <w:jc w:val="right"/>
            </w:pPr>
            <w:r>
              <w:t>**</w:t>
            </w:r>
          </w:p>
        </w:tc>
        <w:tc>
          <w:tcPr>
            <w:tcW w:w="565" w:type="pct"/>
            <w:tcBorders>
              <w:top w:val="nil"/>
              <w:left w:val="double" w:sz="4" w:space="0" w:color="auto"/>
              <w:bottom w:val="nil"/>
            </w:tcBorders>
            <w:tcMar>
              <w:left w:w="57" w:type="dxa"/>
              <w:right w:w="160" w:type="dxa"/>
            </w:tcMar>
            <w:vAlign w:val="center"/>
          </w:tcPr>
          <w:p w:rsidR="006C4642" w:rsidRPr="006007C7" w:rsidRDefault="006C4642" w:rsidP="006C4642">
            <w:pPr>
              <w:spacing w:line="288" w:lineRule="auto"/>
              <w:ind w:right="77"/>
              <w:jc w:val="right"/>
            </w:pPr>
            <w:r>
              <w:t>1</w:t>
            </w:r>
            <w:r w:rsidR="009F0550">
              <w:t>.</w:t>
            </w:r>
            <w:r>
              <w:t>2</w:t>
            </w:r>
          </w:p>
        </w:tc>
        <w:tc>
          <w:tcPr>
            <w:tcW w:w="565" w:type="pct"/>
            <w:tcBorders>
              <w:top w:val="nil"/>
              <w:bottom w:val="nil"/>
            </w:tcBorders>
            <w:vAlign w:val="center"/>
          </w:tcPr>
          <w:p w:rsidR="006C4642" w:rsidRPr="006007C7" w:rsidRDefault="006C4642" w:rsidP="006C4642">
            <w:pPr>
              <w:spacing w:line="288" w:lineRule="auto"/>
              <w:ind w:right="174"/>
              <w:jc w:val="right"/>
            </w:pPr>
            <w:r>
              <w:t>16</w:t>
            </w:r>
            <w:r w:rsidR="009F0550">
              <w:t>.</w:t>
            </w:r>
            <w:r>
              <w:t>7</w:t>
            </w:r>
          </w:p>
        </w:tc>
      </w:tr>
      <w:tr w:rsidR="006C4642" w:rsidRPr="00067DF6" w:rsidTr="00544439">
        <w:trPr>
          <w:trHeight w:val="20"/>
        </w:trPr>
        <w:tc>
          <w:tcPr>
            <w:tcW w:w="1609" w:type="pct"/>
            <w:tcBorders>
              <w:top w:val="nil"/>
            </w:tcBorders>
            <w:vAlign w:val="bottom"/>
          </w:tcPr>
          <w:p w:rsidR="006C4642" w:rsidRPr="00067DF6" w:rsidRDefault="006C4642" w:rsidP="00042C84">
            <w:pPr>
              <w:spacing w:line="288" w:lineRule="auto"/>
              <w:ind w:right="77"/>
              <w:rPr>
                <w:rFonts w:ascii="Arial" w:hAnsi="Arial" w:cs="Arial"/>
                <w:sz w:val="20"/>
                <w:szCs w:val="20"/>
              </w:rPr>
            </w:pPr>
            <w:r w:rsidRPr="00067DF6">
              <w:rPr>
                <w:rFonts w:ascii="Arial" w:hAnsi="Arial" w:cs="Arial"/>
                <w:sz w:val="20"/>
                <w:szCs w:val="20"/>
              </w:rPr>
              <w:t>Automobile production</w:t>
            </w:r>
          </w:p>
        </w:tc>
        <w:tc>
          <w:tcPr>
            <w:tcW w:w="565" w:type="pct"/>
            <w:tcBorders>
              <w:top w:val="nil"/>
            </w:tcBorders>
            <w:tcMar>
              <w:left w:w="57" w:type="dxa"/>
              <w:right w:w="160" w:type="dxa"/>
            </w:tcMar>
            <w:vAlign w:val="center"/>
          </w:tcPr>
          <w:p w:rsidR="006C4642" w:rsidRPr="006007C7" w:rsidRDefault="006C4642" w:rsidP="006C4642">
            <w:pPr>
              <w:spacing w:line="288" w:lineRule="auto"/>
              <w:ind w:right="77"/>
              <w:jc w:val="right"/>
            </w:pPr>
            <w:r>
              <w:t>0</w:t>
            </w:r>
            <w:r w:rsidR="009F0550">
              <w:t>.</w:t>
            </w:r>
            <w:r>
              <w:t>1</w:t>
            </w:r>
          </w:p>
        </w:tc>
        <w:tc>
          <w:tcPr>
            <w:tcW w:w="565" w:type="pct"/>
            <w:tcBorders>
              <w:top w:val="nil"/>
            </w:tcBorders>
            <w:tcMar>
              <w:left w:w="0" w:type="dxa"/>
              <w:right w:w="160" w:type="dxa"/>
            </w:tcMar>
            <w:vAlign w:val="center"/>
          </w:tcPr>
          <w:p w:rsidR="006C4642" w:rsidRPr="006007C7" w:rsidRDefault="006C4642" w:rsidP="006C4642">
            <w:pPr>
              <w:spacing w:line="288" w:lineRule="auto"/>
              <w:ind w:right="77"/>
              <w:jc w:val="right"/>
            </w:pPr>
            <w:r>
              <w:t>3</w:t>
            </w:r>
            <w:r w:rsidR="009F0550">
              <w:t>.</w:t>
            </w:r>
            <w:r>
              <w:t>2</w:t>
            </w:r>
          </w:p>
        </w:tc>
        <w:tc>
          <w:tcPr>
            <w:tcW w:w="565" w:type="pct"/>
            <w:tcBorders>
              <w:top w:val="nil"/>
            </w:tcBorders>
            <w:vAlign w:val="center"/>
          </w:tcPr>
          <w:p w:rsidR="006C4642" w:rsidRPr="006007C7" w:rsidRDefault="006C4642" w:rsidP="006C4642">
            <w:pPr>
              <w:spacing w:line="288" w:lineRule="auto"/>
              <w:ind w:right="177"/>
              <w:jc w:val="right"/>
            </w:pPr>
            <w:r>
              <w:t>1</w:t>
            </w:r>
            <w:r w:rsidR="009F0550">
              <w:t>.</w:t>
            </w:r>
            <w:r>
              <w:t>6</w:t>
            </w:r>
          </w:p>
        </w:tc>
        <w:tc>
          <w:tcPr>
            <w:tcW w:w="565" w:type="pct"/>
            <w:tcBorders>
              <w:top w:val="nil"/>
            </w:tcBorders>
            <w:tcMar>
              <w:right w:w="160" w:type="dxa"/>
            </w:tcMar>
            <w:vAlign w:val="center"/>
          </w:tcPr>
          <w:p w:rsidR="006C4642" w:rsidRPr="006007C7" w:rsidRDefault="006C4642" w:rsidP="006C4642">
            <w:pPr>
              <w:spacing w:line="288" w:lineRule="auto"/>
              <w:ind w:right="77"/>
              <w:jc w:val="right"/>
            </w:pPr>
            <w:r>
              <w:t>**</w:t>
            </w:r>
          </w:p>
        </w:tc>
        <w:tc>
          <w:tcPr>
            <w:tcW w:w="565" w:type="pct"/>
            <w:tcBorders>
              <w:top w:val="nil"/>
              <w:left w:val="double" w:sz="4" w:space="0" w:color="auto"/>
            </w:tcBorders>
            <w:tcMar>
              <w:left w:w="57" w:type="dxa"/>
              <w:right w:w="160" w:type="dxa"/>
            </w:tcMar>
            <w:vAlign w:val="center"/>
          </w:tcPr>
          <w:p w:rsidR="006C4642" w:rsidRPr="006007C7" w:rsidRDefault="006C4642" w:rsidP="006C4642">
            <w:pPr>
              <w:spacing w:line="288" w:lineRule="auto"/>
              <w:ind w:right="77"/>
              <w:jc w:val="right"/>
            </w:pPr>
            <w:r>
              <w:t>-2</w:t>
            </w:r>
            <w:r w:rsidR="009F0550">
              <w:t>.</w:t>
            </w:r>
            <w:r>
              <w:t>8</w:t>
            </w:r>
          </w:p>
        </w:tc>
        <w:tc>
          <w:tcPr>
            <w:tcW w:w="565" w:type="pct"/>
            <w:tcBorders>
              <w:top w:val="nil"/>
            </w:tcBorders>
            <w:vAlign w:val="center"/>
          </w:tcPr>
          <w:p w:rsidR="006C4642" w:rsidRPr="006007C7" w:rsidRDefault="006C4642" w:rsidP="006C4642">
            <w:pPr>
              <w:spacing w:line="288" w:lineRule="auto"/>
              <w:ind w:right="174"/>
              <w:jc w:val="right"/>
            </w:pPr>
            <w:r>
              <w:t>6</w:t>
            </w:r>
            <w:r w:rsidR="009F0550">
              <w:t>.</w:t>
            </w:r>
            <w:r>
              <w:t>7</w:t>
            </w:r>
          </w:p>
        </w:tc>
      </w:tr>
    </w:tbl>
    <w:p w:rsidR="008C6E50" w:rsidRPr="008B2149" w:rsidRDefault="00E823E8" w:rsidP="006B60DC">
      <w:pPr>
        <w:spacing w:line="360" w:lineRule="auto"/>
        <w:ind w:left="-540" w:right="42"/>
        <w:jc w:val="both"/>
        <w:rPr>
          <w:rFonts w:ascii="Arial" w:hAnsi="Arial" w:cs="Arial"/>
          <w:sz w:val="16"/>
          <w:szCs w:val="16"/>
        </w:rPr>
      </w:pPr>
      <w:r w:rsidRPr="008B2149">
        <w:rPr>
          <w:rFonts w:ascii="Arial" w:hAnsi="Arial" w:cs="Arial"/>
          <w:sz w:val="16"/>
          <w:szCs w:val="16"/>
        </w:rPr>
        <w:t>Source: TurkStat</w:t>
      </w:r>
      <w:r w:rsidR="00E03485">
        <w:rPr>
          <w:rFonts w:ascii="Arial" w:hAnsi="Arial" w:cs="Arial"/>
          <w:sz w:val="16"/>
          <w:szCs w:val="16"/>
        </w:rPr>
        <w:t>,</w:t>
      </w:r>
      <w:r w:rsidR="002A5E74">
        <w:rPr>
          <w:rFonts w:ascii="Arial" w:hAnsi="Arial" w:cs="Arial"/>
          <w:sz w:val="16"/>
          <w:szCs w:val="16"/>
        </w:rPr>
        <w:t xml:space="preserve"> </w:t>
      </w:r>
      <w:r w:rsidR="00E03485">
        <w:rPr>
          <w:rFonts w:ascii="Arial" w:hAnsi="Arial" w:cs="Arial"/>
          <w:sz w:val="16"/>
          <w:szCs w:val="16"/>
        </w:rPr>
        <w:t>CBRT,</w:t>
      </w:r>
      <w:r w:rsidR="002A5E74">
        <w:rPr>
          <w:rFonts w:ascii="Arial" w:hAnsi="Arial" w:cs="Arial"/>
          <w:sz w:val="16"/>
          <w:szCs w:val="16"/>
        </w:rPr>
        <w:t xml:space="preserve"> </w:t>
      </w:r>
      <w:r w:rsidRPr="008B2149">
        <w:rPr>
          <w:rFonts w:ascii="Arial" w:hAnsi="Arial" w:cs="Arial"/>
          <w:sz w:val="16"/>
          <w:szCs w:val="16"/>
        </w:rPr>
        <w:t>Treasury</w:t>
      </w:r>
      <w:r w:rsidR="00E03485">
        <w:rPr>
          <w:rFonts w:ascii="Arial" w:hAnsi="Arial" w:cs="Arial"/>
          <w:sz w:val="16"/>
          <w:szCs w:val="16"/>
        </w:rPr>
        <w:t>,</w:t>
      </w:r>
      <w:r w:rsidR="002A5E74">
        <w:rPr>
          <w:rFonts w:ascii="Arial" w:hAnsi="Arial" w:cs="Arial"/>
          <w:sz w:val="16"/>
          <w:szCs w:val="16"/>
        </w:rPr>
        <w:t xml:space="preserve"> </w:t>
      </w:r>
      <w:r w:rsidR="00E03485">
        <w:rPr>
          <w:rFonts w:ascii="Arial" w:hAnsi="Arial" w:cs="Arial"/>
          <w:sz w:val="16"/>
          <w:szCs w:val="16"/>
        </w:rPr>
        <w:t>ISE,</w:t>
      </w:r>
      <w:r w:rsidR="002A5E74">
        <w:rPr>
          <w:rFonts w:ascii="Arial" w:hAnsi="Arial" w:cs="Arial"/>
          <w:sz w:val="16"/>
          <w:szCs w:val="16"/>
        </w:rPr>
        <w:t xml:space="preserve"> </w:t>
      </w:r>
      <w:r w:rsidRPr="008B2149">
        <w:rPr>
          <w:rFonts w:ascii="Arial" w:hAnsi="Arial" w:cs="Arial"/>
          <w:sz w:val="16"/>
          <w:szCs w:val="16"/>
        </w:rPr>
        <w:t>Betam. All series are real (or inflation adjusted) wherever necessary and seasonally adjusted.</w:t>
      </w:r>
    </w:p>
    <w:p w:rsidR="00E823E8" w:rsidRPr="008B2149" w:rsidRDefault="00E823E8" w:rsidP="006B60DC">
      <w:pPr>
        <w:spacing w:line="360" w:lineRule="auto"/>
        <w:ind w:left="-540" w:right="42"/>
        <w:jc w:val="both"/>
        <w:rPr>
          <w:rFonts w:ascii="Arial" w:hAnsi="Arial" w:cs="Arial"/>
          <w:sz w:val="16"/>
          <w:szCs w:val="16"/>
        </w:rPr>
      </w:pPr>
      <w:r w:rsidRPr="008B2149">
        <w:rPr>
          <w:rFonts w:ascii="Arial" w:hAnsi="Arial" w:cs="Arial"/>
          <w:sz w:val="16"/>
          <w:szCs w:val="16"/>
        </w:rPr>
        <w:t>*This tax is collected on sales of goods such as gas</w:t>
      </w:r>
      <w:r w:rsidR="002151FC">
        <w:rPr>
          <w:rFonts w:ascii="Arial" w:hAnsi="Arial" w:cs="Arial"/>
          <w:sz w:val="16"/>
          <w:szCs w:val="16"/>
        </w:rPr>
        <w:t>,</w:t>
      </w:r>
      <w:r w:rsidR="002A5E74">
        <w:rPr>
          <w:rFonts w:ascii="Arial" w:hAnsi="Arial" w:cs="Arial"/>
          <w:sz w:val="16"/>
          <w:szCs w:val="16"/>
        </w:rPr>
        <w:t xml:space="preserve"> </w:t>
      </w:r>
      <w:r w:rsidRPr="008B2149">
        <w:rPr>
          <w:rFonts w:ascii="Arial" w:hAnsi="Arial" w:cs="Arial"/>
          <w:sz w:val="16"/>
          <w:szCs w:val="16"/>
        </w:rPr>
        <w:t>fuel oils</w:t>
      </w:r>
      <w:r w:rsidR="002151FC">
        <w:rPr>
          <w:rFonts w:ascii="Arial" w:hAnsi="Arial" w:cs="Arial"/>
          <w:sz w:val="16"/>
          <w:szCs w:val="16"/>
        </w:rPr>
        <w:t>,</w:t>
      </w:r>
      <w:r w:rsidR="002A5E74">
        <w:rPr>
          <w:rFonts w:ascii="Arial" w:hAnsi="Arial" w:cs="Arial"/>
          <w:sz w:val="16"/>
          <w:szCs w:val="16"/>
        </w:rPr>
        <w:t xml:space="preserve"> </w:t>
      </w:r>
      <w:r w:rsidRPr="008B2149">
        <w:rPr>
          <w:rFonts w:ascii="Arial" w:hAnsi="Arial" w:cs="Arial"/>
          <w:sz w:val="16"/>
          <w:szCs w:val="16"/>
        </w:rPr>
        <w:t>alcohol</w:t>
      </w:r>
      <w:r w:rsidR="002151FC">
        <w:rPr>
          <w:rFonts w:ascii="Arial" w:hAnsi="Arial" w:cs="Arial"/>
          <w:sz w:val="16"/>
          <w:szCs w:val="16"/>
        </w:rPr>
        <w:t>,</w:t>
      </w:r>
      <w:r w:rsidR="002A5E74">
        <w:rPr>
          <w:rFonts w:ascii="Arial" w:hAnsi="Arial" w:cs="Arial"/>
          <w:sz w:val="16"/>
          <w:szCs w:val="16"/>
        </w:rPr>
        <w:t xml:space="preserve"> </w:t>
      </w:r>
      <w:r w:rsidRPr="008B2149">
        <w:rPr>
          <w:rFonts w:ascii="Arial" w:hAnsi="Arial" w:cs="Arial"/>
          <w:sz w:val="16"/>
          <w:szCs w:val="16"/>
        </w:rPr>
        <w:t>tobacco products and automobiles.</w:t>
      </w:r>
    </w:p>
    <w:p w:rsidR="00E823E8" w:rsidRDefault="00E823E8" w:rsidP="006B60DC">
      <w:pPr>
        <w:spacing w:line="360" w:lineRule="auto"/>
        <w:ind w:left="-540" w:right="42"/>
        <w:jc w:val="both"/>
        <w:rPr>
          <w:rFonts w:ascii="Arial" w:hAnsi="Arial" w:cs="Arial"/>
          <w:sz w:val="16"/>
          <w:szCs w:val="16"/>
        </w:rPr>
      </w:pPr>
      <w:r w:rsidRPr="008B2149">
        <w:rPr>
          <w:rFonts w:ascii="Arial" w:hAnsi="Arial" w:cs="Arial"/>
          <w:sz w:val="16"/>
          <w:szCs w:val="16"/>
        </w:rPr>
        <w:t>**Data not yet released</w:t>
      </w:r>
      <w:r w:rsidR="00544439">
        <w:rPr>
          <w:rFonts w:ascii="Arial" w:hAnsi="Arial" w:cs="Arial"/>
          <w:sz w:val="16"/>
          <w:szCs w:val="16"/>
        </w:rPr>
        <w:t>.</w:t>
      </w:r>
    </w:p>
    <w:p w:rsidR="00544439" w:rsidRPr="008B2149" w:rsidRDefault="00544439" w:rsidP="00544439">
      <w:pPr>
        <w:spacing w:line="360" w:lineRule="auto"/>
        <w:ind w:left="-540" w:right="42"/>
        <w:jc w:val="both"/>
        <w:rPr>
          <w:rFonts w:ascii="Arial" w:hAnsi="Arial" w:cs="Arial"/>
          <w:sz w:val="16"/>
          <w:szCs w:val="16"/>
        </w:rPr>
      </w:pPr>
      <w:r>
        <w:rPr>
          <w:rFonts w:ascii="Arial" w:hAnsi="Arial" w:cs="Arial"/>
          <w:sz w:val="16"/>
          <w:szCs w:val="16"/>
        </w:rPr>
        <w:t>***</w:t>
      </w:r>
      <w:r w:rsidRPr="00E2683B">
        <w:rPr>
          <w:sz w:val="18"/>
          <w:szCs w:val="18"/>
        </w:rPr>
        <w:t xml:space="preserve"> </w:t>
      </w:r>
      <w:r>
        <w:rPr>
          <w:rFonts w:ascii="Arial" w:hAnsi="Arial" w:cs="Arial"/>
          <w:sz w:val="16"/>
          <w:szCs w:val="16"/>
        </w:rPr>
        <w:t>Betam’s calculations: N</w:t>
      </w:r>
      <w:r w:rsidRPr="00035DDC">
        <w:rPr>
          <w:rFonts w:ascii="Arial" w:hAnsi="Arial" w:cs="Arial"/>
          <w:sz w:val="16"/>
          <w:szCs w:val="16"/>
        </w:rPr>
        <w:t>omi</w:t>
      </w:r>
      <w:r>
        <w:rPr>
          <w:rFonts w:ascii="Arial" w:hAnsi="Arial" w:cs="Arial"/>
          <w:sz w:val="16"/>
          <w:szCs w:val="16"/>
        </w:rPr>
        <w:t>nal exports (imports) minus non-</w:t>
      </w:r>
      <w:r w:rsidRPr="00035DDC">
        <w:rPr>
          <w:rFonts w:ascii="Arial" w:hAnsi="Arial" w:cs="Arial"/>
          <w:sz w:val="16"/>
          <w:szCs w:val="16"/>
        </w:rPr>
        <w:t>monetary gold</w:t>
      </w:r>
      <w:r w:rsidR="00E03485">
        <w:rPr>
          <w:rFonts w:ascii="Arial" w:hAnsi="Arial" w:cs="Arial"/>
          <w:sz w:val="16"/>
          <w:szCs w:val="16"/>
        </w:rPr>
        <w:t>,</w:t>
      </w:r>
      <w:r w:rsidRPr="00035DDC">
        <w:rPr>
          <w:rFonts w:ascii="Arial" w:hAnsi="Arial" w:cs="Arial"/>
          <w:sz w:val="16"/>
          <w:szCs w:val="16"/>
        </w:rPr>
        <w:t xml:space="preserve"> deflated by </w:t>
      </w:r>
      <w:r>
        <w:rPr>
          <w:rFonts w:ascii="Arial" w:hAnsi="Arial" w:cs="Arial"/>
          <w:sz w:val="16"/>
          <w:szCs w:val="16"/>
        </w:rPr>
        <w:t xml:space="preserve">the </w:t>
      </w:r>
      <w:r w:rsidRPr="00035DDC">
        <w:rPr>
          <w:rFonts w:ascii="Arial" w:hAnsi="Arial" w:cs="Arial"/>
          <w:sz w:val="16"/>
          <w:szCs w:val="16"/>
        </w:rPr>
        <w:t>export (import) unit value index.</w:t>
      </w:r>
    </w:p>
    <w:p w:rsidR="00544439" w:rsidRPr="008B2149" w:rsidRDefault="00544439" w:rsidP="006B60DC">
      <w:pPr>
        <w:spacing w:line="360" w:lineRule="auto"/>
        <w:ind w:left="-540" w:right="42"/>
        <w:jc w:val="both"/>
        <w:rPr>
          <w:rFonts w:ascii="Arial" w:hAnsi="Arial" w:cs="Arial"/>
          <w:sz w:val="16"/>
          <w:szCs w:val="16"/>
        </w:rPr>
      </w:pPr>
    </w:p>
    <w:p w:rsidR="00BD7514" w:rsidRDefault="00BD7514" w:rsidP="00150B84">
      <w:pPr>
        <w:ind w:right="42"/>
        <w:jc w:val="both"/>
        <w:rPr>
          <w:rFonts w:ascii="Arial" w:hAnsi="Arial" w:cs="Arial"/>
          <w:b/>
          <w:sz w:val="20"/>
          <w:szCs w:val="20"/>
        </w:rPr>
      </w:pPr>
    </w:p>
    <w:p w:rsidR="00E03485" w:rsidRPr="008B2149" w:rsidRDefault="00E03485" w:rsidP="00150B84">
      <w:pPr>
        <w:ind w:right="42"/>
        <w:jc w:val="both"/>
        <w:rPr>
          <w:rFonts w:ascii="Arial" w:hAnsi="Arial" w:cs="Arial"/>
          <w:b/>
          <w:sz w:val="20"/>
          <w:szCs w:val="20"/>
        </w:rPr>
        <w:sectPr w:rsidR="00E03485" w:rsidRPr="008B2149" w:rsidSect="001E7720">
          <w:type w:val="continuous"/>
          <w:pgSz w:w="11906" w:h="16838"/>
          <w:pgMar w:top="1417" w:right="1417" w:bottom="1417" w:left="1417" w:header="708" w:footer="708" w:gutter="0"/>
          <w:cols w:space="708"/>
          <w:docGrid w:linePitch="360"/>
        </w:sectPr>
      </w:pPr>
    </w:p>
    <w:p w:rsidR="001E192B" w:rsidRDefault="001E192B" w:rsidP="00C22DC8">
      <w:pPr>
        <w:ind w:right="42"/>
        <w:jc w:val="both"/>
        <w:rPr>
          <w:rFonts w:ascii="Arial" w:hAnsi="Arial" w:cs="Arial"/>
          <w:b/>
          <w:sz w:val="20"/>
          <w:szCs w:val="20"/>
        </w:rPr>
      </w:pPr>
    </w:p>
    <w:p w:rsidR="009D7880" w:rsidRDefault="009D7880" w:rsidP="006B60DC">
      <w:pPr>
        <w:ind w:left="-360" w:right="42"/>
        <w:jc w:val="both"/>
        <w:rPr>
          <w:rFonts w:ascii="Arial" w:hAnsi="Arial" w:cs="Arial"/>
          <w:b/>
          <w:sz w:val="20"/>
          <w:szCs w:val="20"/>
        </w:rPr>
      </w:pPr>
    </w:p>
    <w:p w:rsidR="009D7880" w:rsidRDefault="009D7880" w:rsidP="006B60DC">
      <w:pPr>
        <w:ind w:left="-360" w:right="42"/>
        <w:jc w:val="both"/>
        <w:rPr>
          <w:rFonts w:ascii="Arial" w:hAnsi="Arial" w:cs="Arial"/>
          <w:b/>
          <w:sz w:val="20"/>
          <w:szCs w:val="20"/>
        </w:rPr>
      </w:pPr>
    </w:p>
    <w:p w:rsidR="009D7880" w:rsidRDefault="009D7880" w:rsidP="006B60DC">
      <w:pPr>
        <w:ind w:left="-360" w:right="42"/>
        <w:jc w:val="both"/>
        <w:rPr>
          <w:rFonts w:ascii="Arial" w:hAnsi="Arial" w:cs="Arial"/>
          <w:b/>
          <w:sz w:val="20"/>
          <w:szCs w:val="20"/>
        </w:rPr>
      </w:pPr>
    </w:p>
    <w:p w:rsidR="009D7880" w:rsidRDefault="009D7880" w:rsidP="006B60DC">
      <w:pPr>
        <w:ind w:left="-360" w:right="42"/>
        <w:jc w:val="both"/>
        <w:rPr>
          <w:rFonts w:ascii="Arial" w:hAnsi="Arial" w:cs="Arial"/>
          <w:b/>
          <w:sz w:val="20"/>
          <w:szCs w:val="20"/>
        </w:rPr>
      </w:pPr>
    </w:p>
    <w:p w:rsidR="009D7880" w:rsidRDefault="009D7880" w:rsidP="006B60DC">
      <w:pPr>
        <w:ind w:left="-360" w:right="42"/>
        <w:jc w:val="both"/>
        <w:rPr>
          <w:rFonts w:ascii="Arial" w:hAnsi="Arial" w:cs="Arial"/>
          <w:b/>
          <w:sz w:val="20"/>
          <w:szCs w:val="20"/>
        </w:rPr>
      </w:pPr>
    </w:p>
    <w:p w:rsidR="009D7880" w:rsidRDefault="009D7880" w:rsidP="006B60DC">
      <w:pPr>
        <w:ind w:left="-360" w:right="42"/>
        <w:jc w:val="both"/>
        <w:rPr>
          <w:rFonts w:ascii="Arial" w:hAnsi="Arial" w:cs="Arial"/>
          <w:b/>
          <w:sz w:val="20"/>
          <w:szCs w:val="20"/>
        </w:rPr>
      </w:pPr>
    </w:p>
    <w:p w:rsidR="009D7880" w:rsidRDefault="009D7880" w:rsidP="006B60DC">
      <w:pPr>
        <w:ind w:left="-360" w:right="42"/>
        <w:jc w:val="both"/>
        <w:rPr>
          <w:rFonts w:ascii="Arial" w:hAnsi="Arial" w:cs="Arial"/>
          <w:b/>
          <w:sz w:val="20"/>
          <w:szCs w:val="20"/>
        </w:rPr>
      </w:pPr>
    </w:p>
    <w:p w:rsidR="009D7880" w:rsidRDefault="009D7880" w:rsidP="006B60DC">
      <w:pPr>
        <w:ind w:left="-360" w:right="42"/>
        <w:jc w:val="both"/>
        <w:rPr>
          <w:rFonts w:ascii="Arial" w:hAnsi="Arial" w:cs="Arial"/>
          <w:b/>
          <w:sz w:val="20"/>
          <w:szCs w:val="20"/>
        </w:rPr>
      </w:pPr>
    </w:p>
    <w:p w:rsidR="009D7880" w:rsidRDefault="009D7880" w:rsidP="006B60DC">
      <w:pPr>
        <w:ind w:left="-360" w:right="42"/>
        <w:jc w:val="both"/>
        <w:rPr>
          <w:rFonts w:ascii="Arial" w:hAnsi="Arial" w:cs="Arial"/>
          <w:b/>
          <w:sz w:val="20"/>
          <w:szCs w:val="20"/>
        </w:rPr>
      </w:pPr>
    </w:p>
    <w:p w:rsidR="009D7880" w:rsidRDefault="009D7880" w:rsidP="006B60DC">
      <w:pPr>
        <w:ind w:left="-360" w:right="42"/>
        <w:jc w:val="both"/>
        <w:rPr>
          <w:rFonts w:ascii="Arial" w:hAnsi="Arial" w:cs="Arial"/>
          <w:b/>
          <w:sz w:val="20"/>
          <w:szCs w:val="20"/>
        </w:rPr>
      </w:pPr>
    </w:p>
    <w:p w:rsidR="003A3575" w:rsidRPr="008B2149" w:rsidRDefault="00AC630B" w:rsidP="006B60DC">
      <w:pPr>
        <w:ind w:left="-360" w:right="42"/>
        <w:jc w:val="both"/>
        <w:rPr>
          <w:rFonts w:ascii="Arial" w:hAnsi="Arial" w:cs="Arial"/>
          <w:b/>
          <w:sz w:val="20"/>
          <w:szCs w:val="20"/>
        </w:rPr>
      </w:pPr>
      <w:r w:rsidRPr="008B2149">
        <w:rPr>
          <w:rFonts w:ascii="Arial" w:hAnsi="Arial" w:cs="Arial"/>
          <w:b/>
          <w:sz w:val="20"/>
          <w:szCs w:val="20"/>
        </w:rPr>
        <w:lastRenderedPageBreak/>
        <w:t>Figure</w:t>
      </w:r>
      <w:r w:rsidR="003A3575" w:rsidRPr="008B2149">
        <w:rPr>
          <w:rFonts w:ascii="Arial" w:hAnsi="Arial" w:cs="Arial"/>
          <w:b/>
          <w:sz w:val="20"/>
          <w:szCs w:val="20"/>
        </w:rPr>
        <w:t xml:space="preserve"> 1: </w:t>
      </w:r>
      <w:r w:rsidRPr="008B2149">
        <w:rPr>
          <w:rFonts w:ascii="Arial" w:hAnsi="Arial" w:cs="Arial"/>
          <w:b/>
          <w:sz w:val="20"/>
          <w:szCs w:val="20"/>
        </w:rPr>
        <w:t>Capacity utilization rate and industrial production index</w:t>
      </w:r>
      <w:r w:rsidR="003A3575" w:rsidRPr="008B2149">
        <w:rPr>
          <w:rFonts w:ascii="Arial" w:hAnsi="Arial" w:cs="Arial"/>
          <w:b/>
          <w:sz w:val="20"/>
          <w:szCs w:val="20"/>
        </w:rPr>
        <w:t xml:space="preserve"> (</w:t>
      </w:r>
      <w:r w:rsidRPr="008B2149">
        <w:rPr>
          <w:rFonts w:ascii="Arial" w:hAnsi="Arial" w:cs="Arial"/>
          <w:b/>
          <w:sz w:val="20"/>
          <w:szCs w:val="20"/>
        </w:rPr>
        <w:t>s</w:t>
      </w:r>
      <w:r w:rsidR="00F65107" w:rsidRPr="008B2149">
        <w:rPr>
          <w:rFonts w:ascii="Arial" w:hAnsi="Arial" w:cs="Arial"/>
          <w:b/>
          <w:sz w:val="20"/>
          <w:szCs w:val="20"/>
        </w:rPr>
        <w:t>a</w:t>
      </w:r>
      <w:r w:rsidR="0071337D" w:rsidRPr="008B2149">
        <w:rPr>
          <w:rFonts w:ascii="Arial" w:hAnsi="Arial" w:cs="Arial"/>
          <w:b/>
          <w:sz w:val="20"/>
          <w:szCs w:val="20"/>
        </w:rPr>
        <w:t>.</w:t>
      </w:r>
      <w:r w:rsidRPr="008B2149">
        <w:rPr>
          <w:rFonts w:ascii="Arial" w:hAnsi="Arial" w:cs="Arial"/>
          <w:b/>
          <w:sz w:val="20"/>
          <w:szCs w:val="20"/>
        </w:rPr>
        <w:t xml:space="preserve"> left axis for CUR and right axis for IPI</w:t>
      </w:r>
      <w:r w:rsidR="003A3575" w:rsidRPr="008B2149">
        <w:rPr>
          <w:rFonts w:ascii="Arial" w:hAnsi="Arial" w:cs="Arial"/>
          <w:b/>
          <w:sz w:val="20"/>
          <w:szCs w:val="20"/>
        </w:rPr>
        <w:t>)</w:t>
      </w:r>
    </w:p>
    <w:p w:rsidR="003A3575" w:rsidRPr="008F5ED9" w:rsidRDefault="00A82F2C" w:rsidP="003A3575">
      <w:pPr>
        <w:spacing w:line="360" w:lineRule="auto"/>
        <w:ind w:left="-360" w:right="42"/>
        <w:jc w:val="both"/>
        <w:rPr>
          <w:szCs w:val="20"/>
        </w:rPr>
      </w:pPr>
      <w:r w:rsidRPr="00A82F2C">
        <w:rPr>
          <w:noProof/>
          <w:szCs w:val="20"/>
          <w:lang w:eastAsia="en-US"/>
        </w:rPr>
        <w:drawing>
          <wp:inline distT="0" distB="0" distL="0" distR="0">
            <wp:extent cx="2746730" cy="2303253"/>
            <wp:effectExtent l="19050" t="0" r="0" b="0"/>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2748207" cy="2304492"/>
                    </a:xfrm>
                    <a:prstGeom prst="rect">
                      <a:avLst/>
                    </a:prstGeom>
                    <a:noFill/>
                    <a:ln w="9525">
                      <a:noFill/>
                      <a:miter lim="800000"/>
                      <a:headEnd/>
                      <a:tailEnd/>
                    </a:ln>
                  </pic:spPr>
                </pic:pic>
              </a:graphicData>
            </a:graphic>
          </wp:inline>
        </w:drawing>
      </w:r>
    </w:p>
    <w:p w:rsidR="00B677BF" w:rsidRDefault="00AC630B" w:rsidP="00B677BF">
      <w:pPr>
        <w:ind w:left="-360" w:right="42"/>
        <w:jc w:val="both"/>
        <w:rPr>
          <w:rFonts w:ascii="Arial" w:hAnsi="Arial" w:cs="Arial"/>
          <w:sz w:val="16"/>
          <w:szCs w:val="16"/>
        </w:rPr>
      </w:pPr>
      <w:r w:rsidRPr="008B2149">
        <w:rPr>
          <w:rFonts w:ascii="Arial" w:hAnsi="Arial" w:cs="Arial"/>
          <w:sz w:val="16"/>
          <w:szCs w:val="16"/>
        </w:rPr>
        <w:t>Source</w:t>
      </w:r>
      <w:r w:rsidR="003A3575" w:rsidRPr="008B2149">
        <w:rPr>
          <w:rFonts w:ascii="Arial" w:hAnsi="Arial" w:cs="Arial"/>
          <w:sz w:val="16"/>
          <w:szCs w:val="16"/>
        </w:rPr>
        <w:t>:</w:t>
      </w:r>
      <w:r w:rsidR="00544439">
        <w:rPr>
          <w:rFonts w:ascii="Arial" w:hAnsi="Arial" w:cs="Arial"/>
          <w:sz w:val="16"/>
          <w:szCs w:val="16"/>
        </w:rPr>
        <w:t xml:space="preserve"> </w:t>
      </w:r>
      <w:r w:rsidRPr="008B2149">
        <w:rPr>
          <w:rFonts w:ascii="Arial" w:hAnsi="Arial" w:cs="Arial"/>
          <w:sz w:val="16"/>
          <w:szCs w:val="16"/>
        </w:rPr>
        <w:t>TurkStat</w:t>
      </w:r>
      <w:r w:rsidR="002151FC">
        <w:rPr>
          <w:rFonts w:ascii="Arial" w:hAnsi="Arial" w:cs="Arial"/>
          <w:sz w:val="16"/>
          <w:szCs w:val="16"/>
        </w:rPr>
        <w:t>.</w:t>
      </w:r>
      <w:r w:rsidR="00544439">
        <w:rPr>
          <w:rFonts w:ascii="Arial" w:hAnsi="Arial" w:cs="Arial"/>
          <w:sz w:val="16"/>
          <w:szCs w:val="16"/>
        </w:rPr>
        <w:t xml:space="preserve"> </w:t>
      </w:r>
      <w:r w:rsidR="003A3575" w:rsidRPr="008B2149">
        <w:rPr>
          <w:rFonts w:ascii="Arial" w:hAnsi="Arial" w:cs="Arial"/>
          <w:sz w:val="16"/>
          <w:szCs w:val="16"/>
        </w:rPr>
        <w:t>Betam</w:t>
      </w:r>
      <w:r w:rsidR="00544439">
        <w:rPr>
          <w:rFonts w:ascii="Arial" w:hAnsi="Arial" w:cs="Arial"/>
          <w:sz w:val="16"/>
          <w:szCs w:val="16"/>
        </w:rPr>
        <w:t>.</w:t>
      </w:r>
    </w:p>
    <w:p w:rsidR="00C3029B" w:rsidRDefault="00AC630B" w:rsidP="00A82F2C">
      <w:pPr>
        <w:ind w:left="-360" w:right="42"/>
        <w:jc w:val="both"/>
        <w:rPr>
          <w:rFonts w:ascii="Arial" w:hAnsi="Arial" w:cs="Arial"/>
          <w:b/>
          <w:sz w:val="20"/>
          <w:szCs w:val="20"/>
        </w:rPr>
      </w:pPr>
      <w:r w:rsidRPr="008B2149">
        <w:rPr>
          <w:rFonts w:ascii="Arial" w:hAnsi="Arial" w:cs="Arial"/>
          <w:b/>
          <w:sz w:val="20"/>
          <w:szCs w:val="20"/>
        </w:rPr>
        <w:lastRenderedPageBreak/>
        <w:t>Figure</w:t>
      </w:r>
      <w:r w:rsidR="007067F4" w:rsidRPr="008B2149">
        <w:rPr>
          <w:rFonts w:ascii="Arial" w:hAnsi="Arial" w:cs="Arial"/>
          <w:b/>
          <w:sz w:val="20"/>
          <w:szCs w:val="20"/>
        </w:rPr>
        <w:t xml:space="preserve"> 2: </w:t>
      </w:r>
      <w:r w:rsidRPr="008B2149">
        <w:rPr>
          <w:rFonts w:ascii="Arial" w:hAnsi="Arial" w:cs="Arial"/>
          <w:b/>
          <w:sz w:val="20"/>
          <w:szCs w:val="20"/>
        </w:rPr>
        <w:t>Volume indices of exports and imports</w:t>
      </w:r>
      <w:r w:rsidR="007067F4" w:rsidRPr="008B2149">
        <w:rPr>
          <w:rFonts w:ascii="Arial" w:hAnsi="Arial" w:cs="Arial"/>
          <w:b/>
          <w:sz w:val="20"/>
          <w:szCs w:val="20"/>
        </w:rPr>
        <w:t xml:space="preserve"> (</w:t>
      </w:r>
      <w:r w:rsidRPr="008B2149">
        <w:rPr>
          <w:rFonts w:ascii="Arial" w:hAnsi="Arial" w:cs="Arial"/>
          <w:b/>
          <w:sz w:val="20"/>
          <w:szCs w:val="20"/>
        </w:rPr>
        <w:t>sa</w:t>
      </w:r>
      <w:r w:rsidR="007067F4" w:rsidRPr="008B2149">
        <w:rPr>
          <w:rFonts w:ascii="Arial" w:hAnsi="Arial" w:cs="Arial"/>
          <w:b/>
          <w:sz w:val="20"/>
          <w:szCs w:val="20"/>
        </w:rPr>
        <w:t>)</w:t>
      </w:r>
    </w:p>
    <w:p w:rsidR="00C3029B" w:rsidRPr="008B2149" w:rsidRDefault="00C3029B" w:rsidP="00C3029B">
      <w:pPr>
        <w:ind w:left="-360" w:right="42"/>
        <w:jc w:val="both"/>
        <w:rPr>
          <w:rFonts w:ascii="Arial" w:hAnsi="Arial" w:cs="Arial"/>
          <w:b/>
          <w:sz w:val="20"/>
          <w:szCs w:val="20"/>
        </w:rPr>
      </w:pPr>
    </w:p>
    <w:p w:rsidR="003A3575" w:rsidRPr="008F5ED9" w:rsidRDefault="00042C84" w:rsidP="003A3575">
      <w:pPr>
        <w:spacing w:line="360" w:lineRule="auto"/>
        <w:ind w:left="-360" w:right="42"/>
        <w:jc w:val="both"/>
        <w:rPr>
          <w:szCs w:val="20"/>
        </w:rPr>
      </w:pPr>
      <w:r w:rsidRPr="00042C84">
        <w:rPr>
          <w:noProof/>
          <w:szCs w:val="20"/>
          <w:lang w:eastAsia="en-US"/>
        </w:rPr>
        <w:drawing>
          <wp:inline distT="0" distB="0" distL="0" distR="0">
            <wp:extent cx="2655570" cy="2300693"/>
            <wp:effectExtent l="19050" t="0" r="0" b="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2655570" cy="2300693"/>
                    </a:xfrm>
                    <a:prstGeom prst="rect">
                      <a:avLst/>
                    </a:prstGeom>
                    <a:noFill/>
                    <a:ln w="9525">
                      <a:noFill/>
                      <a:miter lim="800000"/>
                      <a:headEnd/>
                      <a:tailEnd/>
                    </a:ln>
                  </pic:spPr>
                </pic:pic>
              </a:graphicData>
            </a:graphic>
          </wp:inline>
        </w:drawing>
      </w:r>
    </w:p>
    <w:p w:rsidR="003A3575" w:rsidRPr="008B2149" w:rsidRDefault="00544439" w:rsidP="003A3575">
      <w:pPr>
        <w:spacing w:line="360" w:lineRule="auto"/>
        <w:ind w:left="-360" w:right="42"/>
        <w:jc w:val="both"/>
        <w:rPr>
          <w:rFonts w:ascii="Arial" w:hAnsi="Arial" w:cs="Arial"/>
          <w:sz w:val="16"/>
          <w:szCs w:val="16"/>
        </w:rPr>
      </w:pPr>
      <w:r>
        <w:rPr>
          <w:rFonts w:ascii="Arial" w:hAnsi="Arial" w:cs="Arial"/>
          <w:sz w:val="16"/>
          <w:szCs w:val="16"/>
        </w:rPr>
        <w:t>Source</w:t>
      </w:r>
      <w:r w:rsidR="00AC630B" w:rsidRPr="008B2149">
        <w:rPr>
          <w:rFonts w:ascii="Arial" w:hAnsi="Arial" w:cs="Arial"/>
          <w:sz w:val="16"/>
          <w:szCs w:val="16"/>
        </w:rPr>
        <w:t>:</w:t>
      </w:r>
      <w:r>
        <w:rPr>
          <w:rFonts w:ascii="Arial" w:hAnsi="Arial" w:cs="Arial"/>
          <w:sz w:val="16"/>
          <w:szCs w:val="16"/>
        </w:rPr>
        <w:t xml:space="preserve"> </w:t>
      </w:r>
      <w:r w:rsidR="00AC630B" w:rsidRPr="008B2149">
        <w:rPr>
          <w:rFonts w:ascii="Arial" w:hAnsi="Arial" w:cs="Arial"/>
          <w:sz w:val="16"/>
          <w:szCs w:val="16"/>
        </w:rPr>
        <w:t>TurkStat</w:t>
      </w:r>
      <w:r w:rsidR="002151FC">
        <w:rPr>
          <w:rFonts w:ascii="Arial" w:hAnsi="Arial" w:cs="Arial"/>
          <w:sz w:val="16"/>
          <w:szCs w:val="16"/>
        </w:rPr>
        <w:t>.</w:t>
      </w:r>
      <w:r>
        <w:rPr>
          <w:rFonts w:ascii="Arial" w:hAnsi="Arial" w:cs="Arial"/>
          <w:sz w:val="16"/>
          <w:szCs w:val="16"/>
        </w:rPr>
        <w:t xml:space="preserve"> </w:t>
      </w:r>
      <w:r w:rsidR="003A3575" w:rsidRPr="008B2149">
        <w:rPr>
          <w:rFonts w:ascii="Arial" w:hAnsi="Arial" w:cs="Arial"/>
          <w:sz w:val="16"/>
          <w:szCs w:val="16"/>
        </w:rPr>
        <w:t>Betam</w:t>
      </w:r>
      <w:r>
        <w:rPr>
          <w:rFonts w:ascii="Arial" w:hAnsi="Arial" w:cs="Arial"/>
          <w:sz w:val="16"/>
          <w:szCs w:val="16"/>
        </w:rPr>
        <w:t>.</w:t>
      </w:r>
    </w:p>
    <w:p w:rsidR="007067F4" w:rsidRPr="008B2149" w:rsidRDefault="007067F4" w:rsidP="00010DD1">
      <w:pPr>
        <w:spacing w:line="360" w:lineRule="auto"/>
        <w:ind w:right="42"/>
        <w:jc w:val="both"/>
        <w:rPr>
          <w:rFonts w:ascii="Arial" w:hAnsi="Arial" w:cs="Arial"/>
          <w:sz w:val="20"/>
          <w:szCs w:val="20"/>
        </w:rPr>
        <w:sectPr w:rsidR="007067F4" w:rsidRPr="008B2149" w:rsidSect="007067F4">
          <w:type w:val="continuous"/>
          <w:pgSz w:w="11906" w:h="16838"/>
          <w:pgMar w:top="1417" w:right="1417" w:bottom="1417" w:left="1417" w:header="708" w:footer="708" w:gutter="0"/>
          <w:cols w:num="2" w:space="708" w:equalWidth="0">
            <w:col w:w="4182" w:space="708"/>
            <w:col w:w="4182"/>
          </w:cols>
          <w:docGrid w:linePitch="360"/>
        </w:sectPr>
      </w:pPr>
    </w:p>
    <w:p w:rsidR="00A74D70" w:rsidRDefault="00A74D70" w:rsidP="00C3029B">
      <w:pPr>
        <w:spacing w:line="360" w:lineRule="auto"/>
        <w:ind w:left="-360" w:right="42"/>
        <w:jc w:val="both"/>
        <w:rPr>
          <w:rFonts w:ascii="Arial" w:hAnsi="Arial" w:cs="Arial"/>
          <w:b/>
          <w:sz w:val="20"/>
          <w:szCs w:val="20"/>
        </w:rPr>
      </w:pPr>
    </w:p>
    <w:p w:rsidR="00EF6AB5" w:rsidRPr="008B2149" w:rsidRDefault="00AC630B" w:rsidP="00C3029B">
      <w:pPr>
        <w:spacing w:line="360" w:lineRule="auto"/>
        <w:ind w:left="-360" w:right="42"/>
        <w:jc w:val="both"/>
        <w:rPr>
          <w:rFonts w:ascii="Arial" w:hAnsi="Arial" w:cs="Arial"/>
          <w:b/>
          <w:sz w:val="20"/>
          <w:szCs w:val="20"/>
        </w:rPr>
      </w:pPr>
      <w:r w:rsidRPr="008B2149">
        <w:rPr>
          <w:rFonts w:ascii="Arial" w:hAnsi="Arial" w:cs="Arial"/>
          <w:b/>
          <w:sz w:val="20"/>
          <w:szCs w:val="20"/>
        </w:rPr>
        <w:t>Figure</w:t>
      </w:r>
      <w:r w:rsidR="00150B84" w:rsidRPr="008B2149">
        <w:rPr>
          <w:rFonts w:ascii="Arial" w:hAnsi="Arial" w:cs="Arial"/>
          <w:b/>
          <w:sz w:val="20"/>
          <w:szCs w:val="20"/>
        </w:rPr>
        <w:t xml:space="preserve"> 3:</w:t>
      </w:r>
      <w:r w:rsidR="00EF2A9C">
        <w:rPr>
          <w:rFonts w:ascii="Arial" w:hAnsi="Arial" w:cs="Arial"/>
          <w:b/>
          <w:sz w:val="20"/>
          <w:szCs w:val="20"/>
        </w:rPr>
        <w:t xml:space="preserve"> </w:t>
      </w:r>
      <w:r w:rsidRPr="008B2149">
        <w:rPr>
          <w:rFonts w:ascii="Arial" w:hAnsi="Arial" w:cs="Arial"/>
          <w:b/>
          <w:sz w:val="20"/>
          <w:szCs w:val="20"/>
        </w:rPr>
        <w:t>Ratio of current account deficit to</w:t>
      </w:r>
      <w:r w:rsidR="00EF2A9C">
        <w:rPr>
          <w:rFonts w:ascii="Arial" w:hAnsi="Arial" w:cs="Arial"/>
          <w:b/>
          <w:sz w:val="20"/>
          <w:szCs w:val="20"/>
        </w:rPr>
        <w:t xml:space="preserve"> </w:t>
      </w:r>
      <w:r w:rsidRPr="008B2149">
        <w:rPr>
          <w:rFonts w:ascii="Arial" w:hAnsi="Arial" w:cs="Arial"/>
          <w:b/>
          <w:sz w:val="20"/>
          <w:szCs w:val="20"/>
        </w:rPr>
        <w:t>GDP</w:t>
      </w:r>
      <w:r w:rsidR="00455777" w:rsidRPr="008B2149">
        <w:rPr>
          <w:rFonts w:ascii="Arial" w:hAnsi="Arial" w:cs="Arial"/>
          <w:b/>
          <w:sz w:val="20"/>
          <w:szCs w:val="20"/>
        </w:rPr>
        <w:t xml:space="preserve"> (yearly)</w:t>
      </w:r>
    </w:p>
    <w:p w:rsidR="001E7720" w:rsidRPr="00451FEA" w:rsidRDefault="00042C84" w:rsidP="008865B7">
      <w:pPr>
        <w:spacing w:line="360" w:lineRule="auto"/>
        <w:ind w:left="-360" w:right="42"/>
        <w:rPr>
          <w:szCs w:val="20"/>
        </w:rPr>
      </w:pPr>
      <w:r w:rsidRPr="00042C84">
        <w:rPr>
          <w:noProof/>
          <w:szCs w:val="20"/>
          <w:lang w:eastAsia="en-US"/>
        </w:rPr>
        <w:drawing>
          <wp:inline distT="0" distB="0" distL="0" distR="0">
            <wp:extent cx="5615940" cy="3088005"/>
            <wp:effectExtent l="19050" t="0" r="3810" b="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5615940" cy="3088005"/>
                    </a:xfrm>
                    <a:prstGeom prst="rect">
                      <a:avLst/>
                    </a:prstGeom>
                    <a:noFill/>
                    <a:ln w="9525">
                      <a:noFill/>
                      <a:miter lim="800000"/>
                      <a:headEnd/>
                      <a:tailEnd/>
                    </a:ln>
                  </pic:spPr>
                </pic:pic>
              </a:graphicData>
            </a:graphic>
          </wp:inline>
        </w:drawing>
      </w:r>
    </w:p>
    <w:p w:rsidR="001E7720" w:rsidRPr="008B2149" w:rsidRDefault="00AC630B" w:rsidP="001E4BF5">
      <w:pPr>
        <w:spacing w:line="360" w:lineRule="auto"/>
        <w:ind w:left="-360" w:right="42"/>
        <w:jc w:val="both"/>
        <w:rPr>
          <w:rFonts w:ascii="Arial" w:hAnsi="Arial" w:cs="Arial"/>
          <w:sz w:val="16"/>
          <w:szCs w:val="16"/>
        </w:rPr>
      </w:pPr>
      <w:r w:rsidRPr="008B2149">
        <w:rPr>
          <w:rFonts w:ascii="Arial" w:hAnsi="Arial" w:cs="Arial"/>
          <w:sz w:val="16"/>
          <w:szCs w:val="16"/>
        </w:rPr>
        <w:t xml:space="preserve">Source: </w:t>
      </w:r>
      <w:r w:rsidR="00E03485">
        <w:rPr>
          <w:rFonts w:ascii="Arial" w:hAnsi="Arial" w:cs="Arial"/>
          <w:sz w:val="16"/>
          <w:szCs w:val="16"/>
        </w:rPr>
        <w:t>CBRT</w:t>
      </w:r>
      <w:r w:rsidR="002151FC">
        <w:rPr>
          <w:rFonts w:ascii="Arial" w:hAnsi="Arial" w:cs="Arial"/>
          <w:sz w:val="16"/>
          <w:szCs w:val="16"/>
        </w:rPr>
        <w:t>.</w:t>
      </w:r>
      <w:r w:rsidR="00EF2A9C">
        <w:rPr>
          <w:rFonts w:ascii="Arial" w:hAnsi="Arial" w:cs="Arial"/>
          <w:sz w:val="16"/>
          <w:szCs w:val="16"/>
        </w:rPr>
        <w:t xml:space="preserve"> </w:t>
      </w:r>
      <w:r w:rsidRPr="008B2149">
        <w:rPr>
          <w:rFonts w:ascii="Arial" w:hAnsi="Arial" w:cs="Arial"/>
          <w:sz w:val="16"/>
          <w:szCs w:val="16"/>
        </w:rPr>
        <w:t>TurkStat</w:t>
      </w:r>
      <w:r w:rsidR="002151FC">
        <w:rPr>
          <w:rFonts w:ascii="Arial" w:hAnsi="Arial" w:cs="Arial"/>
          <w:sz w:val="16"/>
          <w:szCs w:val="16"/>
        </w:rPr>
        <w:t>.</w:t>
      </w:r>
      <w:r w:rsidR="00EF2A9C">
        <w:rPr>
          <w:rFonts w:ascii="Arial" w:hAnsi="Arial" w:cs="Arial"/>
          <w:sz w:val="16"/>
          <w:szCs w:val="16"/>
        </w:rPr>
        <w:t xml:space="preserve"> </w:t>
      </w:r>
      <w:r w:rsidRPr="008B2149">
        <w:rPr>
          <w:rFonts w:ascii="Arial" w:hAnsi="Arial" w:cs="Arial"/>
          <w:sz w:val="16"/>
          <w:szCs w:val="16"/>
        </w:rPr>
        <w:t>Betam</w:t>
      </w:r>
      <w:r w:rsidR="00EF2A9C">
        <w:rPr>
          <w:rFonts w:ascii="Arial" w:hAnsi="Arial" w:cs="Arial"/>
          <w:sz w:val="16"/>
          <w:szCs w:val="16"/>
        </w:rPr>
        <w:t>.</w:t>
      </w:r>
    </w:p>
    <w:p w:rsidR="001E7720" w:rsidRDefault="001E7720" w:rsidP="00C30DC1">
      <w:pPr>
        <w:spacing w:line="360" w:lineRule="auto"/>
        <w:ind w:right="42"/>
        <w:jc w:val="both"/>
        <w:rPr>
          <w:rFonts w:ascii="Arial" w:hAnsi="Arial" w:cs="Arial"/>
          <w:sz w:val="20"/>
          <w:szCs w:val="20"/>
        </w:rPr>
      </w:pPr>
    </w:p>
    <w:p w:rsidR="00042C84" w:rsidRDefault="00042C84" w:rsidP="001E4BF5">
      <w:pPr>
        <w:spacing w:line="360" w:lineRule="auto"/>
        <w:ind w:left="-360" w:right="42"/>
        <w:jc w:val="both"/>
        <w:rPr>
          <w:rFonts w:ascii="Arial" w:hAnsi="Arial" w:cs="Arial"/>
          <w:b/>
          <w:sz w:val="20"/>
          <w:szCs w:val="20"/>
        </w:rPr>
      </w:pPr>
    </w:p>
    <w:p w:rsidR="00042C84" w:rsidRDefault="00042C84" w:rsidP="001E4BF5">
      <w:pPr>
        <w:spacing w:line="360" w:lineRule="auto"/>
        <w:ind w:left="-360" w:right="42"/>
        <w:jc w:val="both"/>
        <w:rPr>
          <w:rFonts w:ascii="Arial" w:hAnsi="Arial" w:cs="Arial"/>
          <w:b/>
          <w:sz w:val="20"/>
          <w:szCs w:val="20"/>
        </w:rPr>
      </w:pPr>
    </w:p>
    <w:p w:rsidR="00042C84" w:rsidRDefault="00042C84" w:rsidP="001E4BF5">
      <w:pPr>
        <w:spacing w:line="360" w:lineRule="auto"/>
        <w:ind w:left="-360" w:right="42"/>
        <w:jc w:val="both"/>
        <w:rPr>
          <w:rFonts w:ascii="Arial" w:hAnsi="Arial" w:cs="Arial"/>
          <w:b/>
          <w:sz w:val="20"/>
          <w:szCs w:val="20"/>
        </w:rPr>
      </w:pPr>
    </w:p>
    <w:p w:rsidR="00042C84" w:rsidRDefault="00042C84" w:rsidP="001E4BF5">
      <w:pPr>
        <w:spacing w:line="360" w:lineRule="auto"/>
        <w:ind w:left="-360" w:right="42"/>
        <w:jc w:val="both"/>
        <w:rPr>
          <w:rFonts w:ascii="Arial" w:hAnsi="Arial" w:cs="Arial"/>
          <w:b/>
          <w:sz w:val="20"/>
          <w:szCs w:val="20"/>
        </w:rPr>
      </w:pPr>
    </w:p>
    <w:p w:rsidR="00042C84" w:rsidRDefault="00042C84" w:rsidP="001E4BF5">
      <w:pPr>
        <w:spacing w:line="360" w:lineRule="auto"/>
        <w:ind w:left="-360" w:right="42"/>
        <w:jc w:val="both"/>
        <w:rPr>
          <w:rFonts w:ascii="Arial" w:hAnsi="Arial" w:cs="Arial"/>
          <w:b/>
          <w:sz w:val="20"/>
          <w:szCs w:val="20"/>
        </w:rPr>
      </w:pPr>
    </w:p>
    <w:p w:rsidR="00042C84" w:rsidRDefault="00042C84" w:rsidP="001E4BF5">
      <w:pPr>
        <w:spacing w:line="360" w:lineRule="auto"/>
        <w:ind w:left="-360" w:right="42"/>
        <w:jc w:val="both"/>
        <w:rPr>
          <w:rFonts w:ascii="Arial" w:hAnsi="Arial" w:cs="Arial"/>
          <w:b/>
          <w:sz w:val="20"/>
          <w:szCs w:val="20"/>
        </w:rPr>
      </w:pPr>
    </w:p>
    <w:p w:rsidR="00042C84" w:rsidRDefault="00042C84" w:rsidP="001E4BF5">
      <w:pPr>
        <w:spacing w:line="360" w:lineRule="auto"/>
        <w:ind w:left="-360" w:right="42"/>
        <w:jc w:val="both"/>
        <w:rPr>
          <w:rFonts w:ascii="Arial" w:hAnsi="Arial" w:cs="Arial"/>
          <w:b/>
          <w:sz w:val="20"/>
          <w:szCs w:val="20"/>
        </w:rPr>
      </w:pPr>
    </w:p>
    <w:p w:rsidR="00042C84" w:rsidRDefault="00042C84" w:rsidP="001E4BF5">
      <w:pPr>
        <w:spacing w:line="360" w:lineRule="auto"/>
        <w:ind w:left="-360" w:right="42"/>
        <w:jc w:val="both"/>
        <w:rPr>
          <w:rFonts w:ascii="Arial" w:hAnsi="Arial" w:cs="Arial"/>
          <w:b/>
          <w:sz w:val="20"/>
          <w:szCs w:val="20"/>
        </w:rPr>
      </w:pPr>
    </w:p>
    <w:p w:rsidR="00C30DC1" w:rsidRDefault="00C30DC1" w:rsidP="001E4BF5">
      <w:pPr>
        <w:spacing w:line="360" w:lineRule="auto"/>
        <w:ind w:left="-360" w:right="42"/>
        <w:jc w:val="both"/>
        <w:rPr>
          <w:rFonts w:ascii="Arial" w:hAnsi="Arial" w:cs="Arial"/>
          <w:b/>
          <w:sz w:val="20"/>
          <w:szCs w:val="20"/>
        </w:rPr>
      </w:pPr>
      <w:r w:rsidRPr="00C30DC1">
        <w:rPr>
          <w:rFonts w:ascii="Arial" w:hAnsi="Arial" w:cs="Arial"/>
          <w:b/>
          <w:sz w:val="20"/>
          <w:szCs w:val="20"/>
        </w:rPr>
        <w:lastRenderedPageBreak/>
        <w:t>Figure 4:</w:t>
      </w:r>
      <w:r w:rsidR="00D62EB2">
        <w:rPr>
          <w:rFonts w:ascii="Arial" w:hAnsi="Arial" w:cs="Arial"/>
          <w:b/>
          <w:sz w:val="20"/>
          <w:szCs w:val="20"/>
        </w:rPr>
        <w:t xml:space="preserve"> </w:t>
      </w:r>
      <w:r w:rsidRPr="00C30DC1">
        <w:rPr>
          <w:rFonts w:ascii="Arial" w:hAnsi="Arial" w:cs="Arial"/>
          <w:b/>
          <w:sz w:val="20"/>
          <w:szCs w:val="20"/>
        </w:rPr>
        <w:t>W</w:t>
      </w:r>
      <w:r w:rsidR="00042C84">
        <w:rPr>
          <w:rFonts w:ascii="Arial" w:hAnsi="Arial" w:cs="Arial"/>
          <w:b/>
          <w:sz w:val="20"/>
          <w:szCs w:val="20"/>
        </w:rPr>
        <w:t>eighted Average Interest Rates f</w:t>
      </w:r>
      <w:r w:rsidRPr="00C30DC1">
        <w:rPr>
          <w:rFonts w:ascii="Arial" w:hAnsi="Arial" w:cs="Arial"/>
          <w:b/>
          <w:sz w:val="20"/>
          <w:szCs w:val="20"/>
        </w:rPr>
        <w:t>or Turkish Lira Banks' Loans</w:t>
      </w:r>
      <w:r>
        <w:rPr>
          <w:rFonts w:ascii="Arial" w:hAnsi="Arial" w:cs="Arial"/>
          <w:b/>
          <w:sz w:val="20"/>
          <w:szCs w:val="20"/>
        </w:rPr>
        <w:t xml:space="preserve"> (%)</w:t>
      </w:r>
    </w:p>
    <w:p w:rsidR="00C30DC1" w:rsidRPr="00C30DC1" w:rsidRDefault="005B63A2" w:rsidP="001E4BF5">
      <w:pPr>
        <w:spacing w:line="360" w:lineRule="auto"/>
        <w:ind w:left="-360" w:right="42"/>
        <w:jc w:val="both"/>
        <w:rPr>
          <w:rFonts w:ascii="Arial" w:hAnsi="Arial" w:cs="Arial"/>
          <w:b/>
          <w:sz w:val="20"/>
          <w:szCs w:val="20"/>
        </w:rPr>
      </w:pPr>
      <w:r w:rsidRPr="005B63A2">
        <w:rPr>
          <w:noProof/>
          <w:szCs w:val="20"/>
          <w:lang w:eastAsia="en-US"/>
        </w:rPr>
        <w:drawing>
          <wp:inline distT="0" distB="0" distL="0" distR="0">
            <wp:extent cx="5760720" cy="2765917"/>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5760720" cy="2765917"/>
                    </a:xfrm>
                    <a:prstGeom prst="rect">
                      <a:avLst/>
                    </a:prstGeom>
                    <a:noFill/>
                    <a:ln w="9525">
                      <a:noFill/>
                      <a:miter lim="800000"/>
                      <a:headEnd/>
                      <a:tailEnd/>
                    </a:ln>
                  </pic:spPr>
                </pic:pic>
              </a:graphicData>
            </a:graphic>
          </wp:inline>
        </w:drawing>
      </w:r>
    </w:p>
    <w:p w:rsidR="005E0781" w:rsidRPr="00C30DC1" w:rsidRDefault="00C30DC1" w:rsidP="00C30DC1">
      <w:pPr>
        <w:spacing w:line="360" w:lineRule="auto"/>
        <w:ind w:left="-360" w:right="42"/>
        <w:jc w:val="both"/>
        <w:rPr>
          <w:rFonts w:ascii="Arial" w:hAnsi="Arial" w:cs="Arial"/>
          <w:sz w:val="20"/>
          <w:szCs w:val="20"/>
        </w:rPr>
      </w:pPr>
      <w:r w:rsidRPr="008B2149">
        <w:rPr>
          <w:rFonts w:ascii="Arial" w:hAnsi="Arial" w:cs="Arial"/>
          <w:sz w:val="16"/>
          <w:szCs w:val="16"/>
        </w:rPr>
        <w:t xml:space="preserve">Source: </w:t>
      </w:r>
      <w:r w:rsidR="00E03485">
        <w:rPr>
          <w:rFonts w:ascii="Arial" w:hAnsi="Arial" w:cs="Arial"/>
          <w:sz w:val="16"/>
          <w:szCs w:val="16"/>
        </w:rPr>
        <w:t>CBRT</w:t>
      </w:r>
      <w:r w:rsidR="00EF2A9C">
        <w:rPr>
          <w:rFonts w:ascii="Arial" w:hAnsi="Arial" w:cs="Arial"/>
          <w:sz w:val="16"/>
          <w:szCs w:val="16"/>
        </w:rPr>
        <w:t>.</w:t>
      </w:r>
    </w:p>
    <w:p w:rsidR="00A74D70" w:rsidRDefault="00A74D70" w:rsidP="00D0799D">
      <w:pPr>
        <w:spacing w:line="360" w:lineRule="auto"/>
        <w:ind w:right="42"/>
        <w:jc w:val="both"/>
        <w:rPr>
          <w:rFonts w:ascii="Arial" w:hAnsi="Arial" w:cs="Arial"/>
          <w:b/>
          <w:sz w:val="20"/>
          <w:szCs w:val="20"/>
        </w:rPr>
      </w:pPr>
    </w:p>
    <w:p w:rsidR="00042C84" w:rsidRPr="00366A30" w:rsidRDefault="00042C84" w:rsidP="00042C84">
      <w:pPr>
        <w:spacing w:line="360" w:lineRule="auto"/>
        <w:ind w:left="-360"/>
        <w:rPr>
          <w:b/>
          <w:sz w:val="22"/>
          <w:szCs w:val="22"/>
        </w:rPr>
      </w:pPr>
      <w:r w:rsidRPr="00366A30">
        <w:rPr>
          <w:b/>
          <w:sz w:val="22"/>
          <w:szCs w:val="22"/>
        </w:rPr>
        <w:t xml:space="preserve">Tablo 3. </w:t>
      </w:r>
      <w:r w:rsidR="00A82F2C">
        <w:rPr>
          <w:b/>
        </w:rPr>
        <w:t>The change in the total credit growth</w:t>
      </w:r>
      <w:r w:rsidR="00A82F2C" w:rsidRPr="00366A30">
        <w:rPr>
          <w:b/>
          <w:sz w:val="22"/>
          <w:szCs w:val="22"/>
        </w:rPr>
        <w:t xml:space="preserve"> </w:t>
      </w:r>
      <w:r w:rsidR="00A82F2C">
        <w:rPr>
          <w:b/>
          <w:sz w:val="22"/>
          <w:szCs w:val="22"/>
        </w:rPr>
        <w:t xml:space="preserve">and GDP growth </w:t>
      </w:r>
      <w:r w:rsidRPr="00366A30">
        <w:rPr>
          <w:b/>
          <w:sz w:val="22"/>
          <w:szCs w:val="22"/>
        </w:rPr>
        <w:t>(</w:t>
      </w:r>
      <w:r w:rsidR="00A82F2C">
        <w:rPr>
          <w:b/>
          <w:sz w:val="22"/>
          <w:szCs w:val="22"/>
        </w:rPr>
        <w:t>Quarterly</w:t>
      </w:r>
      <w:r w:rsidRPr="00366A30">
        <w:rPr>
          <w:b/>
          <w:sz w:val="22"/>
          <w:szCs w:val="22"/>
        </w:rPr>
        <w:t>)</w:t>
      </w:r>
    </w:p>
    <w:tbl>
      <w:tblPr>
        <w:tblW w:w="7125" w:type="dxa"/>
        <w:tblInd w:w="-162" w:type="dxa"/>
        <w:tblLook w:val="04A0"/>
      </w:tblPr>
      <w:tblGrid>
        <w:gridCol w:w="1966"/>
        <w:gridCol w:w="2279"/>
        <w:gridCol w:w="2880"/>
      </w:tblGrid>
      <w:tr w:rsidR="00042C84" w:rsidRPr="002C61D5" w:rsidTr="00042C84">
        <w:trPr>
          <w:trHeight w:val="485"/>
        </w:trPr>
        <w:tc>
          <w:tcPr>
            <w:tcW w:w="1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2C84" w:rsidRPr="00D92933" w:rsidRDefault="00042C84" w:rsidP="00042C84">
            <w:pPr>
              <w:ind w:left="-363" w:firstLine="363"/>
              <w:rPr>
                <w:b/>
              </w:rPr>
            </w:pPr>
            <w:r w:rsidRPr="00D92933">
              <w:rPr>
                <w:b/>
              </w:rPr>
              <w:t> </w:t>
            </w:r>
          </w:p>
        </w:tc>
        <w:tc>
          <w:tcPr>
            <w:tcW w:w="2279" w:type="dxa"/>
            <w:tcBorders>
              <w:top w:val="single" w:sz="4" w:space="0" w:color="auto"/>
              <w:left w:val="nil"/>
              <w:bottom w:val="single" w:sz="4" w:space="0" w:color="auto"/>
              <w:right w:val="single" w:sz="4" w:space="0" w:color="auto"/>
            </w:tcBorders>
            <w:shd w:val="clear" w:color="auto" w:fill="auto"/>
            <w:noWrap/>
            <w:vAlign w:val="bottom"/>
            <w:hideMark/>
          </w:tcPr>
          <w:p w:rsidR="00042C84" w:rsidRPr="00D92933" w:rsidRDefault="00042C84" w:rsidP="0087056B">
            <w:pPr>
              <w:jc w:val="center"/>
              <w:rPr>
                <w:b/>
              </w:rPr>
            </w:pPr>
            <w:r>
              <w:rPr>
                <w:b/>
              </w:rPr>
              <w:t>The change in the credit growth</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042C84" w:rsidRPr="00D92933" w:rsidRDefault="00042C84" w:rsidP="00042C84">
            <w:pPr>
              <w:rPr>
                <w:b/>
              </w:rPr>
            </w:pPr>
            <w:r>
              <w:rPr>
                <w:b/>
              </w:rPr>
              <w:t>Real GDP growth</w:t>
            </w:r>
            <w:r w:rsidRPr="00D92933">
              <w:rPr>
                <w:b/>
              </w:rPr>
              <w:t xml:space="preserve"> (</w:t>
            </w:r>
            <w:r>
              <w:rPr>
                <w:b/>
              </w:rPr>
              <w:t>YoY</w:t>
            </w:r>
            <w:r w:rsidRPr="00D92933">
              <w:rPr>
                <w:b/>
              </w:rPr>
              <w:t>)</w:t>
            </w:r>
          </w:p>
        </w:tc>
      </w:tr>
      <w:tr w:rsidR="00042C84" w:rsidRPr="002C61D5" w:rsidTr="00042C84">
        <w:trPr>
          <w:trHeight w:val="285"/>
        </w:trPr>
        <w:tc>
          <w:tcPr>
            <w:tcW w:w="1966" w:type="dxa"/>
            <w:tcBorders>
              <w:top w:val="nil"/>
              <w:left w:val="single" w:sz="4" w:space="0" w:color="auto"/>
              <w:bottom w:val="single" w:sz="4" w:space="0" w:color="auto"/>
              <w:right w:val="single" w:sz="4" w:space="0" w:color="auto"/>
            </w:tcBorders>
            <w:shd w:val="clear" w:color="auto" w:fill="auto"/>
            <w:noWrap/>
            <w:vAlign w:val="bottom"/>
            <w:hideMark/>
          </w:tcPr>
          <w:p w:rsidR="00042C84" w:rsidRPr="00D92933" w:rsidRDefault="00042C84" w:rsidP="00042C84">
            <w:pPr>
              <w:jc w:val="right"/>
              <w:rPr>
                <w:b/>
              </w:rPr>
            </w:pPr>
            <w:r>
              <w:rPr>
                <w:b/>
              </w:rPr>
              <w:t>March</w:t>
            </w:r>
            <w:r w:rsidRPr="00D92933">
              <w:rPr>
                <w:b/>
              </w:rPr>
              <w:t xml:space="preserve"> 08</w:t>
            </w:r>
          </w:p>
        </w:tc>
        <w:tc>
          <w:tcPr>
            <w:tcW w:w="2279" w:type="dxa"/>
            <w:tcBorders>
              <w:top w:val="nil"/>
              <w:left w:val="nil"/>
              <w:bottom w:val="single" w:sz="4" w:space="0" w:color="auto"/>
              <w:right w:val="single" w:sz="4" w:space="0" w:color="auto"/>
            </w:tcBorders>
            <w:shd w:val="clear" w:color="auto" w:fill="auto"/>
            <w:noWrap/>
            <w:vAlign w:val="bottom"/>
            <w:hideMark/>
          </w:tcPr>
          <w:p w:rsidR="00042C84" w:rsidRPr="00D92933" w:rsidRDefault="00042C84" w:rsidP="00042C84">
            <w:pPr>
              <w:jc w:val="right"/>
            </w:pPr>
            <w:r w:rsidRPr="00D92933">
              <w:t>32.5</w:t>
            </w:r>
          </w:p>
        </w:tc>
        <w:tc>
          <w:tcPr>
            <w:tcW w:w="2880" w:type="dxa"/>
            <w:tcBorders>
              <w:top w:val="nil"/>
              <w:left w:val="nil"/>
              <w:bottom w:val="single" w:sz="4" w:space="0" w:color="auto"/>
              <w:right w:val="single" w:sz="4" w:space="0" w:color="auto"/>
            </w:tcBorders>
            <w:shd w:val="clear" w:color="auto" w:fill="auto"/>
            <w:noWrap/>
            <w:vAlign w:val="bottom"/>
            <w:hideMark/>
          </w:tcPr>
          <w:p w:rsidR="00042C84" w:rsidRPr="00D92933" w:rsidRDefault="00042C84" w:rsidP="00042C84">
            <w:pPr>
              <w:jc w:val="right"/>
            </w:pPr>
            <w:r w:rsidRPr="00D92933">
              <w:t>7.0</w:t>
            </w:r>
          </w:p>
        </w:tc>
      </w:tr>
      <w:tr w:rsidR="00042C84" w:rsidRPr="002C61D5" w:rsidTr="00042C84">
        <w:trPr>
          <w:trHeight w:val="285"/>
        </w:trPr>
        <w:tc>
          <w:tcPr>
            <w:tcW w:w="1966" w:type="dxa"/>
            <w:tcBorders>
              <w:top w:val="nil"/>
              <w:left w:val="single" w:sz="4" w:space="0" w:color="auto"/>
              <w:bottom w:val="single" w:sz="4" w:space="0" w:color="auto"/>
              <w:right w:val="single" w:sz="4" w:space="0" w:color="auto"/>
            </w:tcBorders>
            <w:shd w:val="clear" w:color="auto" w:fill="auto"/>
            <w:noWrap/>
            <w:vAlign w:val="bottom"/>
            <w:hideMark/>
          </w:tcPr>
          <w:p w:rsidR="00042C84" w:rsidRPr="00D92933" w:rsidRDefault="00042C84" w:rsidP="00042C84">
            <w:pPr>
              <w:jc w:val="right"/>
              <w:rPr>
                <w:b/>
              </w:rPr>
            </w:pPr>
            <w:r>
              <w:rPr>
                <w:b/>
              </w:rPr>
              <w:t>June</w:t>
            </w:r>
            <w:r w:rsidRPr="00D92933">
              <w:rPr>
                <w:b/>
              </w:rPr>
              <w:t xml:space="preserve"> 08</w:t>
            </w:r>
          </w:p>
        </w:tc>
        <w:tc>
          <w:tcPr>
            <w:tcW w:w="2279" w:type="dxa"/>
            <w:tcBorders>
              <w:top w:val="nil"/>
              <w:left w:val="nil"/>
              <w:bottom w:val="single" w:sz="4" w:space="0" w:color="auto"/>
              <w:right w:val="single" w:sz="4" w:space="0" w:color="auto"/>
            </w:tcBorders>
            <w:shd w:val="clear" w:color="auto" w:fill="auto"/>
            <w:noWrap/>
            <w:vAlign w:val="bottom"/>
            <w:hideMark/>
          </w:tcPr>
          <w:p w:rsidR="00042C84" w:rsidRPr="00D92933" w:rsidRDefault="00042C84" w:rsidP="00042C84">
            <w:pPr>
              <w:jc w:val="right"/>
            </w:pPr>
            <w:r w:rsidRPr="00D92933">
              <w:t>11.4</w:t>
            </w:r>
          </w:p>
        </w:tc>
        <w:tc>
          <w:tcPr>
            <w:tcW w:w="2880" w:type="dxa"/>
            <w:tcBorders>
              <w:top w:val="nil"/>
              <w:left w:val="nil"/>
              <w:bottom w:val="single" w:sz="4" w:space="0" w:color="auto"/>
              <w:right w:val="single" w:sz="4" w:space="0" w:color="auto"/>
            </w:tcBorders>
            <w:shd w:val="clear" w:color="auto" w:fill="auto"/>
            <w:noWrap/>
            <w:vAlign w:val="bottom"/>
            <w:hideMark/>
          </w:tcPr>
          <w:p w:rsidR="00042C84" w:rsidRPr="00D92933" w:rsidRDefault="00042C84" w:rsidP="00042C84">
            <w:pPr>
              <w:jc w:val="right"/>
            </w:pPr>
            <w:r w:rsidRPr="00D92933">
              <w:t>2.6</w:t>
            </w:r>
          </w:p>
        </w:tc>
      </w:tr>
      <w:tr w:rsidR="00042C84" w:rsidRPr="002C61D5" w:rsidTr="00042C84">
        <w:trPr>
          <w:trHeight w:val="285"/>
        </w:trPr>
        <w:tc>
          <w:tcPr>
            <w:tcW w:w="1966" w:type="dxa"/>
            <w:tcBorders>
              <w:top w:val="nil"/>
              <w:left w:val="single" w:sz="4" w:space="0" w:color="auto"/>
              <w:bottom w:val="single" w:sz="4" w:space="0" w:color="auto"/>
              <w:right w:val="single" w:sz="4" w:space="0" w:color="auto"/>
            </w:tcBorders>
            <w:shd w:val="clear" w:color="auto" w:fill="auto"/>
            <w:noWrap/>
            <w:vAlign w:val="bottom"/>
            <w:hideMark/>
          </w:tcPr>
          <w:p w:rsidR="00042C84" w:rsidRPr="00D92933" w:rsidRDefault="00042C84" w:rsidP="00042C84">
            <w:pPr>
              <w:jc w:val="right"/>
              <w:rPr>
                <w:b/>
              </w:rPr>
            </w:pPr>
            <w:r>
              <w:rPr>
                <w:b/>
              </w:rPr>
              <w:t>September</w:t>
            </w:r>
            <w:r w:rsidRPr="00D92933">
              <w:rPr>
                <w:b/>
              </w:rPr>
              <w:t xml:space="preserve"> 08</w:t>
            </w:r>
          </w:p>
        </w:tc>
        <w:tc>
          <w:tcPr>
            <w:tcW w:w="2279" w:type="dxa"/>
            <w:tcBorders>
              <w:top w:val="nil"/>
              <w:left w:val="nil"/>
              <w:bottom w:val="single" w:sz="4" w:space="0" w:color="auto"/>
              <w:right w:val="single" w:sz="4" w:space="0" w:color="auto"/>
            </w:tcBorders>
            <w:shd w:val="clear" w:color="auto" w:fill="auto"/>
            <w:noWrap/>
            <w:vAlign w:val="bottom"/>
            <w:hideMark/>
          </w:tcPr>
          <w:p w:rsidR="00042C84" w:rsidRPr="00D92933" w:rsidRDefault="00042C84" w:rsidP="00042C84">
            <w:pPr>
              <w:jc w:val="right"/>
            </w:pPr>
            <w:r w:rsidRPr="00D92933">
              <w:t>9.8</w:t>
            </w:r>
          </w:p>
        </w:tc>
        <w:tc>
          <w:tcPr>
            <w:tcW w:w="2880" w:type="dxa"/>
            <w:tcBorders>
              <w:top w:val="nil"/>
              <w:left w:val="nil"/>
              <w:bottom w:val="single" w:sz="4" w:space="0" w:color="auto"/>
              <w:right w:val="single" w:sz="4" w:space="0" w:color="auto"/>
            </w:tcBorders>
            <w:shd w:val="clear" w:color="auto" w:fill="auto"/>
            <w:noWrap/>
            <w:vAlign w:val="bottom"/>
            <w:hideMark/>
          </w:tcPr>
          <w:p w:rsidR="00042C84" w:rsidRPr="00D92933" w:rsidRDefault="00042C84" w:rsidP="00042C84">
            <w:pPr>
              <w:jc w:val="right"/>
            </w:pPr>
            <w:r w:rsidRPr="00D92933">
              <w:t>0.9</w:t>
            </w:r>
          </w:p>
        </w:tc>
      </w:tr>
      <w:tr w:rsidR="00042C84" w:rsidRPr="002C61D5" w:rsidTr="00042C84">
        <w:trPr>
          <w:trHeight w:val="285"/>
        </w:trPr>
        <w:tc>
          <w:tcPr>
            <w:tcW w:w="1966" w:type="dxa"/>
            <w:tcBorders>
              <w:top w:val="nil"/>
              <w:left w:val="single" w:sz="4" w:space="0" w:color="auto"/>
              <w:bottom w:val="single" w:sz="4" w:space="0" w:color="auto"/>
              <w:right w:val="single" w:sz="4" w:space="0" w:color="auto"/>
            </w:tcBorders>
            <w:shd w:val="clear" w:color="auto" w:fill="C4BC96" w:themeFill="background2" w:themeFillShade="BF"/>
            <w:noWrap/>
            <w:vAlign w:val="bottom"/>
            <w:hideMark/>
          </w:tcPr>
          <w:p w:rsidR="00042C84" w:rsidRPr="00D92933" w:rsidRDefault="00042C84" w:rsidP="00042C84">
            <w:pPr>
              <w:jc w:val="right"/>
              <w:rPr>
                <w:b/>
              </w:rPr>
            </w:pPr>
            <w:r>
              <w:rPr>
                <w:b/>
              </w:rPr>
              <w:t>December</w:t>
            </w:r>
            <w:r w:rsidRPr="00D92933">
              <w:rPr>
                <w:b/>
              </w:rPr>
              <w:t xml:space="preserve"> 08</w:t>
            </w:r>
          </w:p>
        </w:tc>
        <w:tc>
          <w:tcPr>
            <w:tcW w:w="2279" w:type="dxa"/>
            <w:tcBorders>
              <w:top w:val="nil"/>
              <w:left w:val="nil"/>
              <w:bottom w:val="single" w:sz="4" w:space="0" w:color="auto"/>
              <w:right w:val="single" w:sz="4" w:space="0" w:color="auto"/>
            </w:tcBorders>
            <w:shd w:val="clear" w:color="auto" w:fill="C4BC96" w:themeFill="background2" w:themeFillShade="BF"/>
            <w:noWrap/>
            <w:vAlign w:val="bottom"/>
            <w:hideMark/>
          </w:tcPr>
          <w:p w:rsidR="00042C84" w:rsidRPr="00D92933" w:rsidRDefault="00042C84" w:rsidP="00042C84">
            <w:pPr>
              <w:jc w:val="right"/>
            </w:pPr>
            <w:r w:rsidRPr="00D92933">
              <w:t>-15.7</w:t>
            </w:r>
          </w:p>
        </w:tc>
        <w:tc>
          <w:tcPr>
            <w:tcW w:w="2880" w:type="dxa"/>
            <w:tcBorders>
              <w:top w:val="nil"/>
              <w:left w:val="nil"/>
              <w:bottom w:val="single" w:sz="4" w:space="0" w:color="auto"/>
              <w:right w:val="single" w:sz="4" w:space="0" w:color="auto"/>
            </w:tcBorders>
            <w:shd w:val="clear" w:color="auto" w:fill="C4BC96" w:themeFill="background2" w:themeFillShade="BF"/>
            <w:noWrap/>
            <w:vAlign w:val="bottom"/>
            <w:hideMark/>
          </w:tcPr>
          <w:p w:rsidR="00042C84" w:rsidRPr="00D92933" w:rsidRDefault="00042C84" w:rsidP="00042C84">
            <w:pPr>
              <w:jc w:val="right"/>
            </w:pPr>
            <w:r w:rsidRPr="00D92933">
              <w:t>-7.0</w:t>
            </w:r>
          </w:p>
        </w:tc>
      </w:tr>
      <w:tr w:rsidR="00042C84" w:rsidRPr="002C61D5" w:rsidTr="00042C84">
        <w:trPr>
          <w:trHeight w:val="285"/>
        </w:trPr>
        <w:tc>
          <w:tcPr>
            <w:tcW w:w="1966" w:type="dxa"/>
            <w:tcBorders>
              <w:top w:val="nil"/>
              <w:left w:val="single" w:sz="4" w:space="0" w:color="auto"/>
              <w:bottom w:val="single" w:sz="4" w:space="0" w:color="auto"/>
              <w:right w:val="single" w:sz="4" w:space="0" w:color="auto"/>
            </w:tcBorders>
            <w:shd w:val="clear" w:color="auto" w:fill="C4BC96" w:themeFill="background2" w:themeFillShade="BF"/>
            <w:noWrap/>
            <w:vAlign w:val="bottom"/>
            <w:hideMark/>
          </w:tcPr>
          <w:p w:rsidR="00042C84" w:rsidRPr="00D92933" w:rsidRDefault="00042C84" w:rsidP="00042C84">
            <w:pPr>
              <w:jc w:val="right"/>
              <w:rPr>
                <w:b/>
              </w:rPr>
            </w:pPr>
            <w:r>
              <w:rPr>
                <w:b/>
              </w:rPr>
              <w:t>March</w:t>
            </w:r>
            <w:r w:rsidRPr="00D92933">
              <w:rPr>
                <w:b/>
              </w:rPr>
              <w:t xml:space="preserve"> 0</w:t>
            </w:r>
            <w:r>
              <w:rPr>
                <w:b/>
              </w:rPr>
              <w:t>9</w:t>
            </w:r>
          </w:p>
        </w:tc>
        <w:tc>
          <w:tcPr>
            <w:tcW w:w="2279" w:type="dxa"/>
            <w:tcBorders>
              <w:top w:val="nil"/>
              <w:left w:val="nil"/>
              <w:bottom w:val="single" w:sz="4" w:space="0" w:color="auto"/>
              <w:right w:val="single" w:sz="4" w:space="0" w:color="auto"/>
            </w:tcBorders>
            <w:shd w:val="clear" w:color="auto" w:fill="C4BC96" w:themeFill="background2" w:themeFillShade="BF"/>
            <w:noWrap/>
            <w:vAlign w:val="bottom"/>
            <w:hideMark/>
          </w:tcPr>
          <w:p w:rsidR="00042C84" w:rsidRPr="00D92933" w:rsidRDefault="00042C84" w:rsidP="00042C84">
            <w:pPr>
              <w:jc w:val="right"/>
            </w:pPr>
            <w:r w:rsidRPr="00D92933">
              <w:t>-38.4</w:t>
            </w:r>
          </w:p>
        </w:tc>
        <w:tc>
          <w:tcPr>
            <w:tcW w:w="2880" w:type="dxa"/>
            <w:tcBorders>
              <w:top w:val="nil"/>
              <w:left w:val="nil"/>
              <w:bottom w:val="single" w:sz="4" w:space="0" w:color="auto"/>
              <w:right w:val="single" w:sz="4" w:space="0" w:color="auto"/>
            </w:tcBorders>
            <w:shd w:val="clear" w:color="auto" w:fill="C4BC96" w:themeFill="background2" w:themeFillShade="BF"/>
            <w:noWrap/>
            <w:vAlign w:val="bottom"/>
            <w:hideMark/>
          </w:tcPr>
          <w:p w:rsidR="00042C84" w:rsidRPr="00D92933" w:rsidRDefault="00042C84" w:rsidP="00042C84">
            <w:pPr>
              <w:jc w:val="right"/>
            </w:pPr>
            <w:r w:rsidRPr="00D92933">
              <w:t>-14.7</w:t>
            </w:r>
          </w:p>
        </w:tc>
      </w:tr>
      <w:tr w:rsidR="00042C84" w:rsidRPr="002C61D5" w:rsidTr="00042C84">
        <w:trPr>
          <w:trHeight w:val="285"/>
        </w:trPr>
        <w:tc>
          <w:tcPr>
            <w:tcW w:w="1966" w:type="dxa"/>
            <w:tcBorders>
              <w:top w:val="nil"/>
              <w:left w:val="single" w:sz="4" w:space="0" w:color="auto"/>
              <w:bottom w:val="single" w:sz="4" w:space="0" w:color="auto"/>
              <w:right w:val="single" w:sz="4" w:space="0" w:color="auto"/>
            </w:tcBorders>
            <w:shd w:val="clear" w:color="auto" w:fill="C4BC96" w:themeFill="background2" w:themeFillShade="BF"/>
            <w:noWrap/>
            <w:vAlign w:val="bottom"/>
            <w:hideMark/>
          </w:tcPr>
          <w:p w:rsidR="00042C84" w:rsidRPr="00D92933" w:rsidRDefault="00042C84" w:rsidP="00042C84">
            <w:pPr>
              <w:jc w:val="right"/>
              <w:rPr>
                <w:b/>
              </w:rPr>
            </w:pPr>
            <w:r>
              <w:rPr>
                <w:b/>
              </w:rPr>
              <w:t>June</w:t>
            </w:r>
            <w:r w:rsidRPr="00D92933">
              <w:rPr>
                <w:b/>
              </w:rPr>
              <w:t xml:space="preserve"> 0</w:t>
            </w:r>
            <w:r>
              <w:rPr>
                <w:b/>
              </w:rPr>
              <w:t>9</w:t>
            </w:r>
          </w:p>
        </w:tc>
        <w:tc>
          <w:tcPr>
            <w:tcW w:w="2279" w:type="dxa"/>
            <w:tcBorders>
              <w:top w:val="nil"/>
              <w:left w:val="nil"/>
              <w:bottom w:val="single" w:sz="4" w:space="0" w:color="auto"/>
              <w:right w:val="single" w:sz="4" w:space="0" w:color="auto"/>
            </w:tcBorders>
            <w:shd w:val="clear" w:color="auto" w:fill="C4BC96" w:themeFill="background2" w:themeFillShade="BF"/>
            <w:noWrap/>
            <w:vAlign w:val="bottom"/>
            <w:hideMark/>
          </w:tcPr>
          <w:p w:rsidR="00042C84" w:rsidRPr="00D92933" w:rsidRDefault="00042C84" w:rsidP="00042C84">
            <w:pPr>
              <w:jc w:val="right"/>
            </w:pPr>
            <w:r w:rsidRPr="00D92933">
              <w:t>-38.5</w:t>
            </w:r>
          </w:p>
        </w:tc>
        <w:tc>
          <w:tcPr>
            <w:tcW w:w="2880" w:type="dxa"/>
            <w:tcBorders>
              <w:top w:val="nil"/>
              <w:left w:val="nil"/>
              <w:bottom w:val="single" w:sz="4" w:space="0" w:color="auto"/>
              <w:right w:val="single" w:sz="4" w:space="0" w:color="auto"/>
            </w:tcBorders>
            <w:shd w:val="clear" w:color="auto" w:fill="C4BC96" w:themeFill="background2" w:themeFillShade="BF"/>
            <w:noWrap/>
            <w:vAlign w:val="bottom"/>
            <w:hideMark/>
          </w:tcPr>
          <w:p w:rsidR="00042C84" w:rsidRPr="00D92933" w:rsidRDefault="00042C84" w:rsidP="00042C84">
            <w:pPr>
              <w:jc w:val="right"/>
            </w:pPr>
            <w:r w:rsidRPr="00D92933">
              <w:t>-7.8</w:t>
            </w:r>
          </w:p>
        </w:tc>
      </w:tr>
      <w:tr w:rsidR="00042C84" w:rsidRPr="002C61D5" w:rsidTr="00042C84">
        <w:trPr>
          <w:trHeight w:val="285"/>
        </w:trPr>
        <w:tc>
          <w:tcPr>
            <w:tcW w:w="1966" w:type="dxa"/>
            <w:tcBorders>
              <w:top w:val="nil"/>
              <w:left w:val="single" w:sz="4" w:space="0" w:color="auto"/>
              <w:bottom w:val="single" w:sz="4" w:space="0" w:color="auto"/>
              <w:right w:val="single" w:sz="4" w:space="0" w:color="auto"/>
            </w:tcBorders>
            <w:shd w:val="clear" w:color="auto" w:fill="C4BC96" w:themeFill="background2" w:themeFillShade="BF"/>
            <w:noWrap/>
            <w:vAlign w:val="bottom"/>
            <w:hideMark/>
          </w:tcPr>
          <w:p w:rsidR="00042C84" w:rsidRPr="00D92933" w:rsidRDefault="00042C84" w:rsidP="00042C84">
            <w:pPr>
              <w:jc w:val="right"/>
              <w:rPr>
                <w:b/>
              </w:rPr>
            </w:pPr>
            <w:r>
              <w:rPr>
                <w:b/>
              </w:rPr>
              <w:t>September</w:t>
            </w:r>
            <w:r w:rsidRPr="00D92933">
              <w:rPr>
                <w:b/>
              </w:rPr>
              <w:t xml:space="preserve"> 0</w:t>
            </w:r>
            <w:r>
              <w:rPr>
                <w:b/>
              </w:rPr>
              <w:t>9</w:t>
            </w:r>
          </w:p>
        </w:tc>
        <w:tc>
          <w:tcPr>
            <w:tcW w:w="2279" w:type="dxa"/>
            <w:tcBorders>
              <w:top w:val="nil"/>
              <w:left w:val="nil"/>
              <w:bottom w:val="single" w:sz="4" w:space="0" w:color="auto"/>
              <w:right w:val="single" w:sz="4" w:space="0" w:color="auto"/>
            </w:tcBorders>
            <w:shd w:val="clear" w:color="auto" w:fill="C4BC96" w:themeFill="background2" w:themeFillShade="BF"/>
            <w:noWrap/>
            <w:vAlign w:val="bottom"/>
            <w:hideMark/>
          </w:tcPr>
          <w:p w:rsidR="00042C84" w:rsidRPr="00D92933" w:rsidRDefault="00042C84" w:rsidP="00042C84">
            <w:pPr>
              <w:jc w:val="right"/>
            </w:pPr>
            <w:r w:rsidRPr="00D92933">
              <w:t>-68.0</w:t>
            </w:r>
          </w:p>
        </w:tc>
        <w:tc>
          <w:tcPr>
            <w:tcW w:w="2880" w:type="dxa"/>
            <w:tcBorders>
              <w:top w:val="nil"/>
              <w:left w:val="nil"/>
              <w:bottom w:val="single" w:sz="4" w:space="0" w:color="auto"/>
              <w:right w:val="single" w:sz="4" w:space="0" w:color="auto"/>
            </w:tcBorders>
            <w:shd w:val="clear" w:color="auto" w:fill="C4BC96" w:themeFill="background2" w:themeFillShade="BF"/>
            <w:noWrap/>
            <w:vAlign w:val="bottom"/>
            <w:hideMark/>
          </w:tcPr>
          <w:p w:rsidR="00042C84" w:rsidRPr="00D92933" w:rsidRDefault="00042C84" w:rsidP="00042C84">
            <w:pPr>
              <w:jc w:val="right"/>
            </w:pPr>
            <w:r w:rsidRPr="00D92933">
              <w:t>-2.8</w:t>
            </w:r>
          </w:p>
        </w:tc>
      </w:tr>
      <w:tr w:rsidR="00042C84" w:rsidRPr="002C61D5" w:rsidTr="00042C84">
        <w:trPr>
          <w:trHeight w:val="285"/>
        </w:trPr>
        <w:tc>
          <w:tcPr>
            <w:tcW w:w="1966" w:type="dxa"/>
            <w:tcBorders>
              <w:top w:val="nil"/>
              <w:left w:val="single" w:sz="4" w:space="0" w:color="auto"/>
              <w:bottom w:val="single" w:sz="4" w:space="0" w:color="auto"/>
              <w:right w:val="single" w:sz="4" w:space="0" w:color="auto"/>
            </w:tcBorders>
            <w:shd w:val="clear" w:color="auto" w:fill="95B3D7" w:themeFill="accent1" w:themeFillTint="99"/>
            <w:noWrap/>
            <w:vAlign w:val="bottom"/>
            <w:hideMark/>
          </w:tcPr>
          <w:p w:rsidR="00042C84" w:rsidRPr="00D92933" w:rsidRDefault="00042C84" w:rsidP="00042C84">
            <w:pPr>
              <w:jc w:val="right"/>
              <w:rPr>
                <w:b/>
              </w:rPr>
            </w:pPr>
            <w:r>
              <w:rPr>
                <w:b/>
              </w:rPr>
              <w:t>December</w:t>
            </w:r>
            <w:r w:rsidRPr="00D92933">
              <w:rPr>
                <w:b/>
              </w:rPr>
              <w:t xml:space="preserve"> 0</w:t>
            </w:r>
            <w:r>
              <w:rPr>
                <w:b/>
              </w:rPr>
              <w:t>9</w:t>
            </w:r>
          </w:p>
        </w:tc>
        <w:tc>
          <w:tcPr>
            <w:tcW w:w="2279" w:type="dxa"/>
            <w:tcBorders>
              <w:top w:val="nil"/>
              <w:left w:val="nil"/>
              <w:bottom w:val="single" w:sz="4" w:space="0" w:color="auto"/>
              <w:right w:val="single" w:sz="4" w:space="0" w:color="auto"/>
            </w:tcBorders>
            <w:shd w:val="clear" w:color="auto" w:fill="95B3D7" w:themeFill="accent1" w:themeFillTint="99"/>
            <w:noWrap/>
            <w:vAlign w:val="bottom"/>
            <w:hideMark/>
          </w:tcPr>
          <w:p w:rsidR="00042C84" w:rsidRPr="00D92933" w:rsidRDefault="00042C84" w:rsidP="00042C84">
            <w:pPr>
              <w:jc w:val="right"/>
            </w:pPr>
            <w:r w:rsidRPr="00D92933">
              <w:t>156.4</w:t>
            </w:r>
          </w:p>
        </w:tc>
        <w:tc>
          <w:tcPr>
            <w:tcW w:w="2880" w:type="dxa"/>
            <w:tcBorders>
              <w:top w:val="nil"/>
              <w:left w:val="nil"/>
              <w:bottom w:val="single" w:sz="4" w:space="0" w:color="auto"/>
              <w:right w:val="single" w:sz="4" w:space="0" w:color="auto"/>
            </w:tcBorders>
            <w:shd w:val="clear" w:color="auto" w:fill="95B3D7" w:themeFill="accent1" w:themeFillTint="99"/>
            <w:noWrap/>
            <w:vAlign w:val="bottom"/>
            <w:hideMark/>
          </w:tcPr>
          <w:p w:rsidR="00042C84" w:rsidRPr="00D92933" w:rsidRDefault="00042C84" w:rsidP="00042C84">
            <w:pPr>
              <w:jc w:val="right"/>
            </w:pPr>
            <w:r w:rsidRPr="00D92933">
              <w:t>5.9</w:t>
            </w:r>
          </w:p>
        </w:tc>
      </w:tr>
      <w:tr w:rsidR="00042C84" w:rsidRPr="002C61D5" w:rsidTr="00042C84">
        <w:trPr>
          <w:trHeight w:val="285"/>
        </w:trPr>
        <w:tc>
          <w:tcPr>
            <w:tcW w:w="1966" w:type="dxa"/>
            <w:tcBorders>
              <w:top w:val="nil"/>
              <w:left w:val="single" w:sz="4" w:space="0" w:color="auto"/>
              <w:bottom w:val="single" w:sz="4" w:space="0" w:color="auto"/>
              <w:right w:val="single" w:sz="4" w:space="0" w:color="auto"/>
            </w:tcBorders>
            <w:shd w:val="clear" w:color="auto" w:fill="95B3D7" w:themeFill="accent1" w:themeFillTint="99"/>
            <w:noWrap/>
            <w:vAlign w:val="bottom"/>
            <w:hideMark/>
          </w:tcPr>
          <w:p w:rsidR="00042C84" w:rsidRPr="00D92933" w:rsidRDefault="00042C84" w:rsidP="00042C84">
            <w:pPr>
              <w:jc w:val="right"/>
              <w:rPr>
                <w:b/>
              </w:rPr>
            </w:pPr>
            <w:r>
              <w:rPr>
                <w:b/>
              </w:rPr>
              <w:t>March</w:t>
            </w:r>
            <w:r w:rsidRPr="00D92933">
              <w:rPr>
                <w:b/>
              </w:rPr>
              <w:t xml:space="preserve"> </w:t>
            </w:r>
            <w:r>
              <w:rPr>
                <w:b/>
              </w:rPr>
              <w:t>10</w:t>
            </w:r>
          </w:p>
        </w:tc>
        <w:tc>
          <w:tcPr>
            <w:tcW w:w="2279" w:type="dxa"/>
            <w:tcBorders>
              <w:top w:val="nil"/>
              <w:left w:val="nil"/>
              <w:bottom w:val="single" w:sz="4" w:space="0" w:color="auto"/>
              <w:right w:val="single" w:sz="4" w:space="0" w:color="auto"/>
            </w:tcBorders>
            <w:shd w:val="clear" w:color="auto" w:fill="95B3D7" w:themeFill="accent1" w:themeFillTint="99"/>
            <w:noWrap/>
            <w:vAlign w:val="bottom"/>
            <w:hideMark/>
          </w:tcPr>
          <w:p w:rsidR="00042C84" w:rsidRPr="00D92933" w:rsidRDefault="00042C84" w:rsidP="00042C84">
            <w:pPr>
              <w:jc w:val="right"/>
            </w:pPr>
            <w:r w:rsidRPr="00D92933">
              <w:t>78.3</w:t>
            </w:r>
          </w:p>
        </w:tc>
        <w:tc>
          <w:tcPr>
            <w:tcW w:w="2880" w:type="dxa"/>
            <w:tcBorders>
              <w:top w:val="nil"/>
              <w:left w:val="nil"/>
              <w:bottom w:val="single" w:sz="4" w:space="0" w:color="auto"/>
              <w:right w:val="single" w:sz="4" w:space="0" w:color="auto"/>
            </w:tcBorders>
            <w:shd w:val="clear" w:color="auto" w:fill="95B3D7" w:themeFill="accent1" w:themeFillTint="99"/>
            <w:noWrap/>
            <w:vAlign w:val="bottom"/>
            <w:hideMark/>
          </w:tcPr>
          <w:p w:rsidR="00042C84" w:rsidRPr="00D92933" w:rsidRDefault="00042C84" w:rsidP="00042C84">
            <w:pPr>
              <w:jc w:val="right"/>
            </w:pPr>
            <w:r w:rsidRPr="00D92933">
              <w:t>12.6</w:t>
            </w:r>
          </w:p>
        </w:tc>
      </w:tr>
      <w:tr w:rsidR="00042C84" w:rsidRPr="002C61D5" w:rsidTr="00042C84">
        <w:trPr>
          <w:trHeight w:val="285"/>
        </w:trPr>
        <w:tc>
          <w:tcPr>
            <w:tcW w:w="1966" w:type="dxa"/>
            <w:tcBorders>
              <w:top w:val="nil"/>
              <w:left w:val="single" w:sz="4" w:space="0" w:color="auto"/>
              <w:bottom w:val="single" w:sz="4" w:space="0" w:color="auto"/>
              <w:right w:val="single" w:sz="4" w:space="0" w:color="auto"/>
            </w:tcBorders>
            <w:shd w:val="clear" w:color="auto" w:fill="95B3D7" w:themeFill="accent1" w:themeFillTint="99"/>
            <w:noWrap/>
            <w:vAlign w:val="bottom"/>
            <w:hideMark/>
          </w:tcPr>
          <w:p w:rsidR="00042C84" w:rsidRPr="00D92933" w:rsidRDefault="00042C84" w:rsidP="00042C84">
            <w:pPr>
              <w:jc w:val="right"/>
              <w:rPr>
                <w:b/>
              </w:rPr>
            </w:pPr>
            <w:r>
              <w:rPr>
                <w:b/>
              </w:rPr>
              <w:t>June 10</w:t>
            </w:r>
          </w:p>
        </w:tc>
        <w:tc>
          <w:tcPr>
            <w:tcW w:w="2279" w:type="dxa"/>
            <w:tcBorders>
              <w:top w:val="nil"/>
              <w:left w:val="nil"/>
              <w:bottom w:val="single" w:sz="4" w:space="0" w:color="auto"/>
              <w:right w:val="single" w:sz="4" w:space="0" w:color="auto"/>
            </w:tcBorders>
            <w:shd w:val="clear" w:color="auto" w:fill="95B3D7" w:themeFill="accent1" w:themeFillTint="99"/>
            <w:noWrap/>
            <w:vAlign w:val="bottom"/>
            <w:hideMark/>
          </w:tcPr>
          <w:p w:rsidR="00042C84" w:rsidRPr="00D92933" w:rsidRDefault="00042C84" w:rsidP="00042C84">
            <w:pPr>
              <w:jc w:val="right"/>
            </w:pPr>
            <w:r w:rsidRPr="00D92933">
              <w:t>62.6</w:t>
            </w:r>
          </w:p>
        </w:tc>
        <w:tc>
          <w:tcPr>
            <w:tcW w:w="2880" w:type="dxa"/>
            <w:tcBorders>
              <w:top w:val="nil"/>
              <w:left w:val="nil"/>
              <w:bottom w:val="single" w:sz="4" w:space="0" w:color="auto"/>
              <w:right w:val="single" w:sz="4" w:space="0" w:color="auto"/>
            </w:tcBorders>
            <w:shd w:val="clear" w:color="auto" w:fill="95B3D7" w:themeFill="accent1" w:themeFillTint="99"/>
            <w:noWrap/>
            <w:vAlign w:val="bottom"/>
            <w:hideMark/>
          </w:tcPr>
          <w:p w:rsidR="00042C84" w:rsidRPr="00D92933" w:rsidRDefault="00042C84" w:rsidP="00042C84">
            <w:pPr>
              <w:jc w:val="right"/>
            </w:pPr>
            <w:r w:rsidRPr="00D92933">
              <w:t>10.4</w:t>
            </w:r>
          </w:p>
        </w:tc>
      </w:tr>
      <w:tr w:rsidR="00042C84" w:rsidRPr="002C61D5" w:rsidTr="00042C84">
        <w:trPr>
          <w:trHeight w:val="285"/>
        </w:trPr>
        <w:tc>
          <w:tcPr>
            <w:tcW w:w="1966" w:type="dxa"/>
            <w:tcBorders>
              <w:top w:val="nil"/>
              <w:left w:val="single" w:sz="4" w:space="0" w:color="auto"/>
              <w:bottom w:val="single" w:sz="4" w:space="0" w:color="auto"/>
              <w:right w:val="single" w:sz="4" w:space="0" w:color="auto"/>
            </w:tcBorders>
            <w:shd w:val="clear" w:color="auto" w:fill="95B3D7" w:themeFill="accent1" w:themeFillTint="99"/>
            <w:noWrap/>
            <w:vAlign w:val="bottom"/>
            <w:hideMark/>
          </w:tcPr>
          <w:p w:rsidR="00042C84" w:rsidRPr="00D92933" w:rsidRDefault="00042C84" w:rsidP="00042C84">
            <w:pPr>
              <w:jc w:val="right"/>
              <w:rPr>
                <w:b/>
              </w:rPr>
            </w:pPr>
            <w:r>
              <w:rPr>
                <w:b/>
              </w:rPr>
              <w:t>September 10</w:t>
            </w:r>
          </w:p>
        </w:tc>
        <w:tc>
          <w:tcPr>
            <w:tcW w:w="2279" w:type="dxa"/>
            <w:tcBorders>
              <w:top w:val="nil"/>
              <w:left w:val="nil"/>
              <w:bottom w:val="single" w:sz="4" w:space="0" w:color="auto"/>
              <w:right w:val="single" w:sz="4" w:space="0" w:color="auto"/>
            </w:tcBorders>
            <w:shd w:val="clear" w:color="auto" w:fill="95B3D7" w:themeFill="accent1" w:themeFillTint="99"/>
            <w:noWrap/>
            <w:vAlign w:val="bottom"/>
            <w:hideMark/>
          </w:tcPr>
          <w:p w:rsidR="00042C84" w:rsidRPr="00D92933" w:rsidRDefault="00042C84" w:rsidP="00042C84">
            <w:pPr>
              <w:jc w:val="right"/>
            </w:pPr>
            <w:r w:rsidRPr="00D92933">
              <w:t>30.0</w:t>
            </w:r>
          </w:p>
        </w:tc>
        <w:tc>
          <w:tcPr>
            <w:tcW w:w="2880" w:type="dxa"/>
            <w:tcBorders>
              <w:top w:val="nil"/>
              <w:left w:val="nil"/>
              <w:bottom w:val="single" w:sz="4" w:space="0" w:color="auto"/>
              <w:right w:val="single" w:sz="4" w:space="0" w:color="auto"/>
            </w:tcBorders>
            <w:shd w:val="clear" w:color="auto" w:fill="95B3D7" w:themeFill="accent1" w:themeFillTint="99"/>
            <w:noWrap/>
            <w:vAlign w:val="bottom"/>
            <w:hideMark/>
          </w:tcPr>
          <w:p w:rsidR="00042C84" w:rsidRPr="00D92933" w:rsidRDefault="00042C84" w:rsidP="00042C84">
            <w:pPr>
              <w:jc w:val="right"/>
            </w:pPr>
            <w:r w:rsidRPr="00D92933">
              <w:t>5.3</w:t>
            </w:r>
          </w:p>
        </w:tc>
      </w:tr>
      <w:tr w:rsidR="00042C84" w:rsidRPr="002C61D5" w:rsidTr="00042C84">
        <w:trPr>
          <w:trHeight w:val="285"/>
        </w:trPr>
        <w:tc>
          <w:tcPr>
            <w:tcW w:w="1966" w:type="dxa"/>
            <w:tcBorders>
              <w:top w:val="nil"/>
              <w:left w:val="single" w:sz="4" w:space="0" w:color="auto"/>
              <w:bottom w:val="single" w:sz="4" w:space="0" w:color="auto"/>
              <w:right w:val="single" w:sz="4" w:space="0" w:color="auto"/>
            </w:tcBorders>
            <w:shd w:val="clear" w:color="auto" w:fill="95B3D7" w:themeFill="accent1" w:themeFillTint="99"/>
            <w:noWrap/>
            <w:vAlign w:val="bottom"/>
            <w:hideMark/>
          </w:tcPr>
          <w:p w:rsidR="00042C84" w:rsidRPr="00D92933" w:rsidRDefault="00042C84" w:rsidP="00042C84">
            <w:pPr>
              <w:jc w:val="right"/>
              <w:rPr>
                <w:b/>
              </w:rPr>
            </w:pPr>
            <w:r>
              <w:rPr>
                <w:b/>
              </w:rPr>
              <w:t>December 10</w:t>
            </w:r>
          </w:p>
        </w:tc>
        <w:tc>
          <w:tcPr>
            <w:tcW w:w="2279" w:type="dxa"/>
            <w:tcBorders>
              <w:top w:val="nil"/>
              <w:left w:val="nil"/>
              <w:bottom w:val="single" w:sz="4" w:space="0" w:color="auto"/>
              <w:right w:val="single" w:sz="4" w:space="0" w:color="auto"/>
            </w:tcBorders>
            <w:shd w:val="clear" w:color="auto" w:fill="95B3D7" w:themeFill="accent1" w:themeFillTint="99"/>
            <w:noWrap/>
            <w:vAlign w:val="bottom"/>
            <w:hideMark/>
          </w:tcPr>
          <w:p w:rsidR="00042C84" w:rsidRPr="00D92933" w:rsidRDefault="00042C84" w:rsidP="00042C84">
            <w:pPr>
              <w:jc w:val="right"/>
            </w:pPr>
            <w:r w:rsidRPr="00D92933">
              <w:t>34.2</w:t>
            </w:r>
          </w:p>
        </w:tc>
        <w:tc>
          <w:tcPr>
            <w:tcW w:w="2880" w:type="dxa"/>
            <w:tcBorders>
              <w:top w:val="nil"/>
              <w:left w:val="nil"/>
              <w:bottom w:val="single" w:sz="4" w:space="0" w:color="auto"/>
              <w:right w:val="single" w:sz="4" w:space="0" w:color="auto"/>
            </w:tcBorders>
            <w:shd w:val="clear" w:color="auto" w:fill="95B3D7" w:themeFill="accent1" w:themeFillTint="99"/>
            <w:noWrap/>
            <w:vAlign w:val="bottom"/>
            <w:hideMark/>
          </w:tcPr>
          <w:p w:rsidR="00042C84" w:rsidRPr="00D92933" w:rsidRDefault="00042C84" w:rsidP="00042C84">
            <w:pPr>
              <w:jc w:val="right"/>
            </w:pPr>
            <w:r w:rsidRPr="00D92933">
              <w:t>9.3</w:t>
            </w:r>
          </w:p>
        </w:tc>
      </w:tr>
      <w:tr w:rsidR="00042C84" w:rsidRPr="002C61D5" w:rsidTr="00042C84">
        <w:trPr>
          <w:trHeight w:val="285"/>
        </w:trPr>
        <w:tc>
          <w:tcPr>
            <w:tcW w:w="1966" w:type="dxa"/>
            <w:tcBorders>
              <w:top w:val="nil"/>
              <w:left w:val="single" w:sz="4" w:space="0" w:color="auto"/>
              <w:bottom w:val="single" w:sz="4" w:space="0" w:color="auto"/>
              <w:right w:val="single" w:sz="4" w:space="0" w:color="auto"/>
            </w:tcBorders>
            <w:shd w:val="clear" w:color="auto" w:fill="auto"/>
            <w:noWrap/>
            <w:vAlign w:val="bottom"/>
            <w:hideMark/>
          </w:tcPr>
          <w:p w:rsidR="00042C84" w:rsidRPr="00D92933" w:rsidRDefault="00042C84" w:rsidP="00042C84">
            <w:pPr>
              <w:jc w:val="right"/>
              <w:rPr>
                <w:b/>
              </w:rPr>
            </w:pPr>
            <w:r>
              <w:rPr>
                <w:b/>
              </w:rPr>
              <w:t>March</w:t>
            </w:r>
            <w:r w:rsidRPr="00D92933">
              <w:rPr>
                <w:b/>
              </w:rPr>
              <w:t xml:space="preserve"> </w:t>
            </w:r>
            <w:r>
              <w:rPr>
                <w:b/>
              </w:rPr>
              <w:t>11</w:t>
            </w:r>
          </w:p>
        </w:tc>
        <w:tc>
          <w:tcPr>
            <w:tcW w:w="2279" w:type="dxa"/>
            <w:tcBorders>
              <w:top w:val="nil"/>
              <w:left w:val="nil"/>
              <w:bottom w:val="single" w:sz="4" w:space="0" w:color="auto"/>
              <w:right w:val="single" w:sz="4" w:space="0" w:color="auto"/>
            </w:tcBorders>
            <w:shd w:val="clear" w:color="auto" w:fill="auto"/>
            <w:noWrap/>
            <w:vAlign w:val="bottom"/>
            <w:hideMark/>
          </w:tcPr>
          <w:p w:rsidR="00042C84" w:rsidRPr="00D92933" w:rsidRDefault="00042C84" w:rsidP="00042C84">
            <w:pPr>
              <w:jc w:val="right"/>
            </w:pPr>
            <w:r w:rsidRPr="00D92933">
              <w:t>7.8</w:t>
            </w:r>
          </w:p>
        </w:tc>
        <w:tc>
          <w:tcPr>
            <w:tcW w:w="2880" w:type="dxa"/>
            <w:tcBorders>
              <w:top w:val="nil"/>
              <w:left w:val="nil"/>
              <w:bottom w:val="single" w:sz="4" w:space="0" w:color="auto"/>
              <w:right w:val="single" w:sz="4" w:space="0" w:color="auto"/>
            </w:tcBorders>
            <w:shd w:val="clear" w:color="auto" w:fill="auto"/>
            <w:noWrap/>
            <w:vAlign w:val="bottom"/>
            <w:hideMark/>
          </w:tcPr>
          <w:p w:rsidR="00042C84" w:rsidRPr="00D92933" w:rsidRDefault="00042C84" w:rsidP="00042C84">
            <w:pPr>
              <w:jc w:val="right"/>
            </w:pPr>
            <w:r w:rsidRPr="00D92933">
              <w:t>12.1</w:t>
            </w:r>
          </w:p>
        </w:tc>
      </w:tr>
      <w:tr w:rsidR="00042C84" w:rsidRPr="002C61D5" w:rsidTr="00042C84">
        <w:trPr>
          <w:trHeight w:val="285"/>
        </w:trPr>
        <w:tc>
          <w:tcPr>
            <w:tcW w:w="1966" w:type="dxa"/>
            <w:tcBorders>
              <w:top w:val="nil"/>
              <w:left w:val="single" w:sz="4" w:space="0" w:color="auto"/>
              <w:bottom w:val="single" w:sz="4" w:space="0" w:color="auto"/>
              <w:right w:val="single" w:sz="4" w:space="0" w:color="auto"/>
            </w:tcBorders>
            <w:shd w:val="clear" w:color="auto" w:fill="auto"/>
            <w:noWrap/>
            <w:vAlign w:val="bottom"/>
            <w:hideMark/>
          </w:tcPr>
          <w:p w:rsidR="00042C84" w:rsidRPr="00D92933" w:rsidRDefault="00042C84" w:rsidP="00042C84">
            <w:pPr>
              <w:jc w:val="right"/>
              <w:rPr>
                <w:b/>
              </w:rPr>
            </w:pPr>
            <w:r>
              <w:rPr>
                <w:b/>
              </w:rPr>
              <w:t>June 11</w:t>
            </w:r>
          </w:p>
        </w:tc>
        <w:tc>
          <w:tcPr>
            <w:tcW w:w="2279" w:type="dxa"/>
            <w:tcBorders>
              <w:top w:val="nil"/>
              <w:left w:val="nil"/>
              <w:bottom w:val="single" w:sz="4" w:space="0" w:color="auto"/>
              <w:right w:val="single" w:sz="4" w:space="0" w:color="auto"/>
            </w:tcBorders>
            <w:shd w:val="clear" w:color="auto" w:fill="auto"/>
            <w:noWrap/>
            <w:vAlign w:val="bottom"/>
            <w:hideMark/>
          </w:tcPr>
          <w:p w:rsidR="00042C84" w:rsidRPr="00D92933" w:rsidRDefault="00042C84" w:rsidP="00042C84">
            <w:pPr>
              <w:jc w:val="right"/>
            </w:pPr>
            <w:r w:rsidRPr="00D92933">
              <w:t>13.1</w:t>
            </w:r>
          </w:p>
        </w:tc>
        <w:tc>
          <w:tcPr>
            <w:tcW w:w="2880" w:type="dxa"/>
            <w:tcBorders>
              <w:top w:val="nil"/>
              <w:left w:val="nil"/>
              <w:bottom w:val="single" w:sz="4" w:space="0" w:color="auto"/>
              <w:right w:val="single" w:sz="4" w:space="0" w:color="auto"/>
            </w:tcBorders>
            <w:shd w:val="clear" w:color="auto" w:fill="auto"/>
            <w:noWrap/>
            <w:vAlign w:val="bottom"/>
            <w:hideMark/>
          </w:tcPr>
          <w:p w:rsidR="00042C84" w:rsidRPr="00D92933" w:rsidRDefault="00042C84" w:rsidP="00042C84">
            <w:pPr>
              <w:jc w:val="right"/>
            </w:pPr>
            <w:r w:rsidRPr="00D92933">
              <w:t>9.1</w:t>
            </w:r>
          </w:p>
        </w:tc>
      </w:tr>
      <w:tr w:rsidR="00042C84" w:rsidRPr="002C61D5" w:rsidTr="00042C84">
        <w:trPr>
          <w:trHeight w:val="285"/>
        </w:trPr>
        <w:tc>
          <w:tcPr>
            <w:tcW w:w="1966" w:type="dxa"/>
            <w:tcBorders>
              <w:top w:val="nil"/>
              <w:left w:val="single" w:sz="4" w:space="0" w:color="auto"/>
              <w:bottom w:val="single" w:sz="4" w:space="0" w:color="auto"/>
              <w:right w:val="single" w:sz="4" w:space="0" w:color="auto"/>
            </w:tcBorders>
            <w:shd w:val="clear" w:color="auto" w:fill="auto"/>
            <w:noWrap/>
            <w:vAlign w:val="bottom"/>
            <w:hideMark/>
          </w:tcPr>
          <w:p w:rsidR="00042C84" w:rsidRPr="00D92933" w:rsidRDefault="00042C84" w:rsidP="00042C84">
            <w:pPr>
              <w:jc w:val="right"/>
              <w:rPr>
                <w:b/>
              </w:rPr>
            </w:pPr>
            <w:r>
              <w:rPr>
                <w:b/>
              </w:rPr>
              <w:t>September 11</w:t>
            </w:r>
          </w:p>
        </w:tc>
        <w:tc>
          <w:tcPr>
            <w:tcW w:w="2279" w:type="dxa"/>
            <w:tcBorders>
              <w:top w:val="nil"/>
              <w:left w:val="nil"/>
              <w:bottom w:val="single" w:sz="4" w:space="0" w:color="auto"/>
              <w:right w:val="single" w:sz="4" w:space="0" w:color="auto"/>
            </w:tcBorders>
            <w:shd w:val="clear" w:color="auto" w:fill="auto"/>
            <w:noWrap/>
            <w:vAlign w:val="bottom"/>
            <w:hideMark/>
          </w:tcPr>
          <w:p w:rsidR="00042C84" w:rsidRPr="00D92933" w:rsidRDefault="00042C84" w:rsidP="00042C84">
            <w:pPr>
              <w:jc w:val="right"/>
            </w:pPr>
            <w:r w:rsidRPr="00D92933">
              <w:t>17.4</w:t>
            </w:r>
          </w:p>
        </w:tc>
        <w:tc>
          <w:tcPr>
            <w:tcW w:w="2880" w:type="dxa"/>
            <w:tcBorders>
              <w:top w:val="nil"/>
              <w:left w:val="nil"/>
              <w:bottom w:val="single" w:sz="4" w:space="0" w:color="auto"/>
              <w:right w:val="single" w:sz="4" w:space="0" w:color="auto"/>
            </w:tcBorders>
            <w:shd w:val="clear" w:color="auto" w:fill="auto"/>
            <w:noWrap/>
            <w:vAlign w:val="bottom"/>
            <w:hideMark/>
          </w:tcPr>
          <w:p w:rsidR="00042C84" w:rsidRPr="00D92933" w:rsidRDefault="00042C84" w:rsidP="00042C84">
            <w:pPr>
              <w:jc w:val="right"/>
            </w:pPr>
            <w:r w:rsidRPr="00D92933">
              <w:t>8.4</w:t>
            </w:r>
          </w:p>
        </w:tc>
      </w:tr>
      <w:tr w:rsidR="00042C84" w:rsidRPr="002C61D5" w:rsidTr="00042C84">
        <w:trPr>
          <w:trHeight w:val="285"/>
        </w:trPr>
        <w:tc>
          <w:tcPr>
            <w:tcW w:w="1966" w:type="dxa"/>
            <w:tcBorders>
              <w:top w:val="nil"/>
              <w:left w:val="single" w:sz="4" w:space="0" w:color="auto"/>
              <w:bottom w:val="single" w:sz="4" w:space="0" w:color="auto"/>
              <w:right w:val="single" w:sz="4" w:space="0" w:color="auto"/>
            </w:tcBorders>
            <w:shd w:val="clear" w:color="auto" w:fill="C4BC96" w:themeFill="background2" w:themeFillShade="BF"/>
            <w:noWrap/>
            <w:vAlign w:val="bottom"/>
            <w:hideMark/>
          </w:tcPr>
          <w:p w:rsidR="00042C84" w:rsidRPr="00D92933" w:rsidRDefault="00042C84" w:rsidP="00042C84">
            <w:pPr>
              <w:jc w:val="right"/>
              <w:rPr>
                <w:b/>
              </w:rPr>
            </w:pPr>
            <w:r>
              <w:rPr>
                <w:b/>
              </w:rPr>
              <w:t>December 11</w:t>
            </w:r>
          </w:p>
        </w:tc>
        <w:tc>
          <w:tcPr>
            <w:tcW w:w="2279" w:type="dxa"/>
            <w:tcBorders>
              <w:top w:val="nil"/>
              <w:left w:val="nil"/>
              <w:bottom w:val="single" w:sz="4" w:space="0" w:color="auto"/>
              <w:right w:val="single" w:sz="4" w:space="0" w:color="auto"/>
            </w:tcBorders>
            <w:shd w:val="clear" w:color="auto" w:fill="C4BC96" w:themeFill="background2" w:themeFillShade="BF"/>
            <w:noWrap/>
            <w:vAlign w:val="bottom"/>
            <w:hideMark/>
          </w:tcPr>
          <w:p w:rsidR="00042C84" w:rsidRPr="00D92933" w:rsidRDefault="00042C84" w:rsidP="00042C84">
            <w:pPr>
              <w:jc w:val="right"/>
            </w:pPr>
            <w:r w:rsidRPr="00D92933">
              <w:t>-18.1</w:t>
            </w:r>
          </w:p>
        </w:tc>
        <w:tc>
          <w:tcPr>
            <w:tcW w:w="2880" w:type="dxa"/>
            <w:tcBorders>
              <w:top w:val="nil"/>
              <w:left w:val="nil"/>
              <w:bottom w:val="single" w:sz="4" w:space="0" w:color="auto"/>
              <w:right w:val="single" w:sz="4" w:space="0" w:color="auto"/>
            </w:tcBorders>
            <w:shd w:val="clear" w:color="auto" w:fill="C4BC96" w:themeFill="background2" w:themeFillShade="BF"/>
            <w:noWrap/>
            <w:vAlign w:val="bottom"/>
            <w:hideMark/>
          </w:tcPr>
          <w:p w:rsidR="00042C84" w:rsidRPr="00D92933" w:rsidRDefault="00042C84" w:rsidP="00042C84">
            <w:pPr>
              <w:jc w:val="right"/>
            </w:pPr>
            <w:r w:rsidRPr="00D92933">
              <w:t>5.0</w:t>
            </w:r>
          </w:p>
        </w:tc>
      </w:tr>
      <w:tr w:rsidR="00042C84" w:rsidRPr="002C61D5" w:rsidTr="00042C84">
        <w:trPr>
          <w:trHeight w:val="285"/>
        </w:trPr>
        <w:tc>
          <w:tcPr>
            <w:tcW w:w="1966" w:type="dxa"/>
            <w:tcBorders>
              <w:top w:val="nil"/>
              <w:left w:val="single" w:sz="4" w:space="0" w:color="auto"/>
              <w:bottom w:val="single" w:sz="4" w:space="0" w:color="auto"/>
              <w:right w:val="single" w:sz="4" w:space="0" w:color="auto"/>
            </w:tcBorders>
            <w:shd w:val="clear" w:color="auto" w:fill="C4BC96" w:themeFill="background2" w:themeFillShade="BF"/>
            <w:noWrap/>
            <w:vAlign w:val="bottom"/>
            <w:hideMark/>
          </w:tcPr>
          <w:p w:rsidR="00042C84" w:rsidRPr="00D92933" w:rsidRDefault="00042C84" w:rsidP="00042C84">
            <w:pPr>
              <w:jc w:val="right"/>
              <w:rPr>
                <w:b/>
              </w:rPr>
            </w:pPr>
            <w:r>
              <w:rPr>
                <w:b/>
              </w:rPr>
              <w:t>March</w:t>
            </w:r>
            <w:r w:rsidRPr="00D92933">
              <w:rPr>
                <w:b/>
              </w:rPr>
              <w:t xml:space="preserve"> </w:t>
            </w:r>
            <w:r>
              <w:rPr>
                <w:b/>
              </w:rPr>
              <w:t>12</w:t>
            </w:r>
          </w:p>
        </w:tc>
        <w:tc>
          <w:tcPr>
            <w:tcW w:w="2279" w:type="dxa"/>
            <w:tcBorders>
              <w:top w:val="nil"/>
              <w:left w:val="nil"/>
              <w:bottom w:val="single" w:sz="4" w:space="0" w:color="auto"/>
              <w:right w:val="single" w:sz="4" w:space="0" w:color="auto"/>
            </w:tcBorders>
            <w:shd w:val="clear" w:color="auto" w:fill="C4BC96" w:themeFill="background2" w:themeFillShade="BF"/>
            <w:noWrap/>
            <w:vAlign w:val="bottom"/>
            <w:hideMark/>
          </w:tcPr>
          <w:p w:rsidR="00042C84" w:rsidRPr="00D92933" w:rsidRDefault="00042C84" w:rsidP="00042C84">
            <w:pPr>
              <w:jc w:val="right"/>
            </w:pPr>
            <w:r w:rsidRPr="00D92933">
              <w:t>-9.3</w:t>
            </w:r>
          </w:p>
        </w:tc>
        <w:tc>
          <w:tcPr>
            <w:tcW w:w="2880" w:type="dxa"/>
            <w:tcBorders>
              <w:top w:val="nil"/>
              <w:left w:val="nil"/>
              <w:bottom w:val="single" w:sz="4" w:space="0" w:color="auto"/>
              <w:right w:val="single" w:sz="4" w:space="0" w:color="auto"/>
            </w:tcBorders>
            <w:shd w:val="clear" w:color="auto" w:fill="C4BC96" w:themeFill="background2" w:themeFillShade="BF"/>
            <w:noWrap/>
            <w:vAlign w:val="bottom"/>
            <w:hideMark/>
          </w:tcPr>
          <w:p w:rsidR="00042C84" w:rsidRPr="00D92933" w:rsidRDefault="00042C84" w:rsidP="00042C84">
            <w:pPr>
              <w:jc w:val="right"/>
            </w:pPr>
            <w:r w:rsidRPr="00D92933">
              <w:t>3.4</w:t>
            </w:r>
          </w:p>
        </w:tc>
      </w:tr>
      <w:tr w:rsidR="00042C84" w:rsidRPr="002C61D5" w:rsidTr="00042C84">
        <w:trPr>
          <w:trHeight w:val="285"/>
        </w:trPr>
        <w:tc>
          <w:tcPr>
            <w:tcW w:w="1966" w:type="dxa"/>
            <w:tcBorders>
              <w:top w:val="nil"/>
              <w:left w:val="single" w:sz="4" w:space="0" w:color="auto"/>
              <w:bottom w:val="single" w:sz="4" w:space="0" w:color="auto"/>
              <w:right w:val="single" w:sz="4" w:space="0" w:color="auto"/>
            </w:tcBorders>
            <w:shd w:val="clear" w:color="auto" w:fill="C4BC96" w:themeFill="background2" w:themeFillShade="BF"/>
            <w:noWrap/>
            <w:vAlign w:val="bottom"/>
            <w:hideMark/>
          </w:tcPr>
          <w:p w:rsidR="00042C84" w:rsidRPr="00D92933" w:rsidRDefault="00042C84" w:rsidP="00042C84">
            <w:pPr>
              <w:jc w:val="right"/>
              <w:rPr>
                <w:b/>
              </w:rPr>
            </w:pPr>
            <w:r>
              <w:rPr>
                <w:b/>
              </w:rPr>
              <w:t>June 12</w:t>
            </w:r>
          </w:p>
        </w:tc>
        <w:tc>
          <w:tcPr>
            <w:tcW w:w="2279" w:type="dxa"/>
            <w:tcBorders>
              <w:top w:val="nil"/>
              <w:left w:val="nil"/>
              <w:bottom w:val="single" w:sz="4" w:space="0" w:color="auto"/>
              <w:right w:val="single" w:sz="4" w:space="0" w:color="auto"/>
            </w:tcBorders>
            <w:shd w:val="clear" w:color="auto" w:fill="C4BC96" w:themeFill="background2" w:themeFillShade="BF"/>
            <w:noWrap/>
            <w:vAlign w:val="bottom"/>
            <w:hideMark/>
          </w:tcPr>
          <w:p w:rsidR="00042C84" w:rsidRPr="00D92933" w:rsidRDefault="00042C84" w:rsidP="00042C84">
            <w:pPr>
              <w:jc w:val="right"/>
            </w:pPr>
            <w:r w:rsidRPr="00D92933">
              <w:t>-10.2</w:t>
            </w:r>
          </w:p>
        </w:tc>
        <w:tc>
          <w:tcPr>
            <w:tcW w:w="2880" w:type="dxa"/>
            <w:tcBorders>
              <w:top w:val="nil"/>
              <w:left w:val="nil"/>
              <w:bottom w:val="single" w:sz="4" w:space="0" w:color="auto"/>
              <w:right w:val="single" w:sz="4" w:space="0" w:color="auto"/>
            </w:tcBorders>
            <w:shd w:val="clear" w:color="auto" w:fill="C4BC96" w:themeFill="background2" w:themeFillShade="BF"/>
            <w:noWrap/>
            <w:vAlign w:val="bottom"/>
            <w:hideMark/>
          </w:tcPr>
          <w:p w:rsidR="00042C84" w:rsidRPr="00D92933" w:rsidRDefault="00042C84" w:rsidP="00042C84">
            <w:pPr>
              <w:jc w:val="right"/>
            </w:pPr>
            <w:r w:rsidRPr="00D92933">
              <w:t>3.0</w:t>
            </w:r>
          </w:p>
        </w:tc>
      </w:tr>
      <w:tr w:rsidR="00042C84" w:rsidRPr="002C61D5" w:rsidTr="00042C84">
        <w:trPr>
          <w:trHeight w:val="285"/>
        </w:trPr>
        <w:tc>
          <w:tcPr>
            <w:tcW w:w="1966" w:type="dxa"/>
            <w:tcBorders>
              <w:top w:val="nil"/>
              <w:left w:val="single" w:sz="4" w:space="0" w:color="auto"/>
              <w:bottom w:val="single" w:sz="4" w:space="0" w:color="auto"/>
              <w:right w:val="single" w:sz="4" w:space="0" w:color="auto"/>
            </w:tcBorders>
            <w:shd w:val="clear" w:color="auto" w:fill="C4BC96" w:themeFill="background2" w:themeFillShade="BF"/>
            <w:noWrap/>
            <w:vAlign w:val="bottom"/>
            <w:hideMark/>
          </w:tcPr>
          <w:p w:rsidR="00042C84" w:rsidRPr="00D92933" w:rsidRDefault="00042C84" w:rsidP="00042C84">
            <w:pPr>
              <w:jc w:val="right"/>
              <w:rPr>
                <w:b/>
              </w:rPr>
            </w:pPr>
            <w:r>
              <w:rPr>
                <w:b/>
              </w:rPr>
              <w:t>September 12</w:t>
            </w:r>
          </w:p>
        </w:tc>
        <w:tc>
          <w:tcPr>
            <w:tcW w:w="2279" w:type="dxa"/>
            <w:tcBorders>
              <w:top w:val="nil"/>
              <w:left w:val="nil"/>
              <w:bottom w:val="single" w:sz="4" w:space="0" w:color="auto"/>
              <w:right w:val="single" w:sz="4" w:space="0" w:color="auto"/>
            </w:tcBorders>
            <w:shd w:val="clear" w:color="auto" w:fill="C4BC96" w:themeFill="background2" w:themeFillShade="BF"/>
            <w:noWrap/>
            <w:vAlign w:val="bottom"/>
            <w:hideMark/>
          </w:tcPr>
          <w:p w:rsidR="00042C84" w:rsidRPr="00D92933" w:rsidRDefault="00042C84" w:rsidP="00042C84">
            <w:pPr>
              <w:jc w:val="right"/>
            </w:pPr>
            <w:r w:rsidRPr="00D92933">
              <w:t>-24.8</w:t>
            </w:r>
          </w:p>
        </w:tc>
        <w:tc>
          <w:tcPr>
            <w:tcW w:w="2880" w:type="dxa"/>
            <w:tcBorders>
              <w:top w:val="nil"/>
              <w:left w:val="nil"/>
              <w:bottom w:val="single" w:sz="4" w:space="0" w:color="auto"/>
              <w:right w:val="single" w:sz="4" w:space="0" w:color="auto"/>
            </w:tcBorders>
            <w:shd w:val="clear" w:color="auto" w:fill="C4BC96" w:themeFill="background2" w:themeFillShade="BF"/>
            <w:noWrap/>
            <w:vAlign w:val="bottom"/>
            <w:hideMark/>
          </w:tcPr>
          <w:p w:rsidR="00042C84" w:rsidRPr="00D92933" w:rsidRDefault="00042C84" w:rsidP="00042C84">
            <w:pPr>
              <w:jc w:val="right"/>
            </w:pPr>
            <w:r w:rsidRPr="00D92933">
              <w:t>1.6</w:t>
            </w:r>
          </w:p>
        </w:tc>
      </w:tr>
      <w:tr w:rsidR="00042C84" w:rsidRPr="002C61D5" w:rsidTr="00042C84">
        <w:trPr>
          <w:trHeight w:val="285"/>
        </w:trPr>
        <w:tc>
          <w:tcPr>
            <w:tcW w:w="1966" w:type="dxa"/>
            <w:tcBorders>
              <w:top w:val="nil"/>
              <w:left w:val="single" w:sz="4" w:space="0" w:color="auto"/>
              <w:bottom w:val="single" w:sz="4" w:space="0" w:color="auto"/>
              <w:right w:val="single" w:sz="4" w:space="0" w:color="auto"/>
            </w:tcBorders>
            <w:shd w:val="clear" w:color="auto" w:fill="auto"/>
            <w:noWrap/>
            <w:vAlign w:val="bottom"/>
            <w:hideMark/>
          </w:tcPr>
          <w:p w:rsidR="00042C84" w:rsidRPr="00D92933" w:rsidRDefault="00042C84" w:rsidP="00042C84">
            <w:pPr>
              <w:jc w:val="right"/>
              <w:rPr>
                <w:b/>
              </w:rPr>
            </w:pPr>
            <w:r>
              <w:rPr>
                <w:b/>
              </w:rPr>
              <w:t>December 12</w:t>
            </w:r>
          </w:p>
        </w:tc>
        <w:tc>
          <w:tcPr>
            <w:tcW w:w="2279" w:type="dxa"/>
            <w:tcBorders>
              <w:top w:val="nil"/>
              <w:left w:val="nil"/>
              <w:bottom w:val="single" w:sz="4" w:space="0" w:color="auto"/>
              <w:right w:val="single" w:sz="4" w:space="0" w:color="auto"/>
            </w:tcBorders>
            <w:shd w:val="clear" w:color="auto" w:fill="auto"/>
            <w:noWrap/>
            <w:vAlign w:val="bottom"/>
            <w:hideMark/>
          </w:tcPr>
          <w:p w:rsidR="00042C84" w:rsidRPr="00D92933" w:rsidRDefault="00042C84" w:rsidP="00042C84">
            <w:pPr>
              <w:jc w:val="right"/>
            </w:pPr>
            <w:r w:rsidRPr="00D92933">
              <w:t>4.2</w:t>
            </w:r>
          </w:p>
        </w:tc>
        <w:tc>
          <w:tcPr>
            <w:tcW w:w="2880" w:type="dxa"/>
            <w:tcBorders>
              <w:top w:val="nil"/>
              <w:left w:val="nil"/>
              <w:bottom w:val="single" w:sz="4" w:space="0" w:color="auto"/>
              <w:right w:val="single" w:sz="4" w:space="0" w:color="auto"/>
            </w:tcBorders>
            <w:shd w:val="clear" w:color="auto" w:fill="auto"/>
            <w:noWrap/>
            <w:vAlign w:val="bottom"/>
            <w:hideMark/>
          </w:tcPr>
          <w:p w:rsidR="00042C84" w:rsidRPr="00D92933" w:rsidRDefault="00042C84" w:rsidP="00042C84">
            <w:r w:rsidRPr="00D92933">
              <w:t> </w:t>
            </w:r>
          </w:p>
        </w:tc>
      </w:tr>
    </w:tbl>
    <w:p w:rsidR="00042C84" w:rsidRPr="00366A30" w:rsidRDefault="00042C84" w:rsidP="00042C84">
      <w:pPr>
        <w:ind w:left="-360" w:right="42"/>
        <w:rPr>
          <w:sz w:val="20"/>
          <w:szCs w:val="20"/>
        </w:rPr>
      </w:pPr>
      <w:r>
        <w:rPr>
          <w:sz w:val="20"/>
          <w:szCs w:val="20"/>
        </w:rPr>
        <w:t xml:space="preserve">  Source</w:t>
      </w:r>
      <w:r w:rsidRPr="00366A30">
        <w:rPr>
          <w:sz w:val="20"/>
          <w:szCs w:val="20"/>
        </w:rPr>
        <w:t xml:space="preserve">: </w:t>
      </w:r>
      <w:r w:rsidR="00E03485">
        <w:rPr>
          <w:sz w:val="20"/>
          <w:szCs w:val="20"/>
        </w:rPr>
        <w:t>CBRT</w:t>
      </w:r>
      <w:r w:rsidRPr="00366A30">
        <w:rPr>
          <w:sz w:val="20"/>
          <w:szCs w:val="20"/>
        </w:rPr>
        <w:t>, T</w:t>
      </w:r>
      <w:r w:rsidR="00E03485">
        <w:rPr>
          <w:sz w:val="20"/>
          <w:szCs w:val="20"/>
        </w:rPr>
        <w:t>urkStat</w:t>
      </w:r>
      <w:r w:rsidRPr="00366A30">
        <w:rPr>
          <w:sz w:val="20"/>
          <w:szCs w:val="20"/>
        </w:rPr>
        <w:t>, Betam.</w:t>
      </w:r>
    </w:p>
    <w:p w:rsidR="00042C84" w:rsidRDefault="00042C84" w:rsidP="00D0799D">
      <w:pPr>
        <w:spacing w:line="360" w:lineRule="auto"/>
        <w:ind w:right="42"/>
        <w:jc w:val="both"/>
        <w:rPr>
          <w:rFonts w:ascii="Arial" w:hAnsi="Arial" w:cs="Arial"/>
          <w:b/>
          <w:sz w:val="20"/>
          <w:szCs w:val="20"/>
        </w:rPr>
      </w:pPr>
    </w:p>
    <w:p w:rsidR="00042C84" w:rsidRDefault="00042C84" w:rsidP="00D0799D">
      <w:pPr>
        <w:spacing w:line="360" w:lineRule="auto"/>
        <w:ind w:right="42"/>
        <w:jc w:val="both"/>
        <w:rPr>
          <w:rFonts w:ascii="Arial" w:hAnsi="Arial" w:cs="Arial"/>
          <w:b/>
          <w:sz w:val="20"/>
          <w:szCs w:val="20"/>
        </w:rPr>
      </w:pPr>
    </w:p>
    <w:p w:rsidR="00042C84" w:rsidRDefault="00042C84" w:rsidP="00D0799D">
      <w:pPr>
        <w:spacing w:line="360" w:lineRule="auto"/>
        <w:ind w:right="42"/>
        <w:jc w:val="both"/>
        <w:rPr>
          <w:rFonts w:ascii="Arial" w:hAnsi="Arial" w:cs="Arial"/>
          <w:b/>
          <w:sz w:val="20"/>
          <w:szCs w:val="20"/>
        </w:rPr>
      </w:pPr>
    </w:p>
    <w:p w:rsidR="0087056B" w:rsidRDefault="0087056B" w:rsidP="00D0799D">
      <w:pPr>
        <w:spacing w:line="360" w:lineRule="auto"/>
        <w:ind w:right="42"/>
        <w:jc w:val="both"/>
        <w:rPr>
          <w:rFonts w:ascii="Arial" w:hAnsi="Arial" w:cs="Arial"/>
          <w:b/>
          <w:sz w:val="20"/>
          <w:szCs w:val="20"/>
        </w:rPr>
      </w:pPr>
    </w:p>
    <w:p w:rsidR="001E7720" w:rsidRPr="008B2149" w:rsidRDefault="00344070" w:rsidP="00D0799D">
      <w:pPr>
        <w:spacing w:line="360" w:lineRule="auto"/>
        <w:ind w:right="42"/>
        <w:jc w:val="both"/>
        <w:rPr>
          <w:rFonts w:ascii="Arial" w:hAnsi="Arial" w:cs="Arial"/>
          <w:b/>
          <w:sz w:val="20"/>
          <w:szCs w:val="20"/>
        </w:rPr>
      </w:pPr>
      <w:r w:rsidRPr="008B2149">
        <w:rPr>
          <w:rFonts w:ascii="Arial" w:hAnsi="Arial" w:cs="Arial"/>
          <w:b/>
          <w:sz w:val="20"/>
          <w:szCs w:val="20"/>
        </w:rPr>
        <w:lastRenderedPageBreak/>
        <w:t>Figure</w:t>
      </w:r>
      <w:r w:rsidR="00C30DC1">
        <w:rPr>
          <w:rFonts w:ascii="Arial" w:hAnsi="Arial" w:cs="Arial"/>
          <w:b/>
          <w:sz w:val="20"/>
          <w:szCs w:val="20"/>
        </w:rPr>
        <w:t xml:space="preserve"> 5</w:t>
      </w:r>
      <w:r w:rsidR="008C6E50" w:rsidRPr="008B2149">
        <w:rPr>
          <w:rFonts w:ascii="Arial" w:hAnsi="Arial" w:cs="Arial"/>
          <w:b/>
          <w:sz w:val="20"/>
          <w:szCs w:val="20"/>
        </w:rPr>
        <w:t>:</w:t>
      </w:r>
      <w:r w:rsidR="00EF2A9C">
        <w:rPr>
          <w:rFonts w:ascii="Arial" w:hAnsi="Arial" w:cs="Arial"/>
          <w:b/>
          <w:sz w:val="20"/>
          <w:szCs w:val="20"/>
        </w:rPr>
        <w:t xml:space="preserve"> </w:t>
      </w:r>
      <w:r w:rsidR="00AC630B" w:rsidRPr="008B2149">
        <w:rPr>
          <w:rFonts w:ascii="Arial" w:hAnsi="Arial" w:cs="Arial"/>
          <w:b/>
          <w:sz w:val="20"/>
          <w:szCs w:val="20"/>
        </w:rPr>
        <w:t>Monthly changes of manufacturing industry exports</w:t>
      </w:r>
      <w:r w:rsidR="008C6E50" w:rsidRPr="008B2149">
        <w:rPr>
          <w:rFonts w:ascii="Arial" w:hAnsi="Arial" w:cs="Arial"/>
          <w:b/>
          <w:sz w:val="20"/>
          <w:szCs w:val="20"/>
        </w:rPr>
        <w:t xml:space="preserve"> (</w:t>
      </w:r>
      <w:r w:rsidRPr="008B2149">
        <w:rPr>
          <w:rFonts w:ascii="Arial" w:hAnsi="Arial" w:cs="Arial"/>
          <w:b/>
          <w:sz w:val="20"/>
          <w:szCs w:val="20"/>
        </w:rPr>
        <w:t>sa</w:t>
      </w:r>
      <w:r w:rsidR="008C6E50" w:rsidRPr="008B2149">
        <w:rPr>
          <w:rFonts w:ascii="Arial" w:hAnsi="Arial" w:cs="Arial"/>
          <w:b/>
          <w:sz w:val="20"/>
          <w:szCs w:val="20"/>
        </w:rPr>
        <w:t>)</w:t>
      </w:r>
    </w:p>
    <w:p w:rsidR="001F707E" w:rsidRPr="008B2149" w:rsidRDefault="00042C84" w:rsidP="00D0799D">
      <w:pPr>
        <w:spacing w:line="360" w:lineRule="auto"/>
        <w:ind w:right="42"/>
        <w:jc w:val="both"/>
        <w:rPr>
          <w:rFonts w:ascii="Arial" w:hAnsi="Arial" w:cs="Arial"/>
          <w:sz w:val="20"/>
          <w:szCs w:val="20"/>
        </w:rPr>
      </w:pPr>
      <w:r w:rsidRPr="00042C84">
        <w:rPr>
          <w:noProof/>
          <w:szCs w:val="20"/>
          <w:lang w:eastAsia="en-US"/>
        </w:rPr>
        <w:drawing>
          <wp:inline distT="0" distB="0" distL="0" distR="0">
            <wp:extent cx="5760720" cy="6282558"/>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5760720" cy="6282558"/>
                    </a:xfrm>
                    <a:prstGeom prst="rect">
                      <a:avLst/>
                    </a:prstGeom>
                    <a:noFill/>
                    <a:ln w="9525">
                      <a:noFill/>
                      <a:miter lim="800000"/>
                      <a:headEnd/>
                      <a:tailEnd/>
                    </a:ln>
                  </pic:spPr>
                </pic:pic>
              </a:graphicData>
            </a:graphic>
          </wp:inline>
        </w:drawing>
      </w:r>
    </w:p>
    <w:p w:rsidR="008C6E50" w:rsidRPr="008B2149" w:rsidRDefault="00AC630B" w:rsidP="00D0799D">
      <w:pPr>
        <w:spacing w:line="360" w:lineRule="auto"/>
        <w:ind w:right="42"/>
        <w:jc w:val="both"/>
        <w:rPr>
          <w:rFonts w:ascii="Arial" w:hAnsi="Arial" w:cs="Arial"/>
          <w:sz w:val="16"/>
          <w:szCs w:val="16"/>
        </w:rPr>
      </w:pPr>
      <w:r w:rsidRPr="008B2149">
        <w:rPr>
          <w:rFonts w:ascii="Arial" w:hAnsi="Arial" w:cs="Arial"/>
          <w:sz w:val="16"/>
          <w:szCs w:val="16"/>
        </w:rPr>
        <w:t>Source: TurkStat</w:t>
      </w:r>
      <w:r w:rsidR="002151FC">
        <w:rPr>
          <w:rFonts w:ascii="Arial" w:hAnsi="Arial" w:cs="Arial"/>
          <w:sz w:val="16"/>
          <w:szCs w:val="16"/>
        </w:rPr>
        <w:t>.</w:t>
      </w:r>
      <w:r w:rsidR="00EF2A9C">
        <w:rPr>
          <w:rFonts w:ascii="Arial" w:hAnsi="Arial" w:cs="Arial"/>
          <w:sz w:val="16"/>
          <w:szCs w:val="16"/>
        </w:rPr>
        <w:t xml:space="preserve"> </w:t>
      </w:r>
      <w:r w:rsidR="008C6E50" w:rsidRPr="008B2149">
        <w:rPr>
          <w:rFonts w:ascii="Arial" w:hAnsi="Arial" w:cs="Arial"/>
          <w:sz w:val="16"/>
          <w:szCs w:val="16"/>
        </w:rPr>
        <w:t>Betam</w:t>
      </w:r>
      <w:r w:rsidR="00EF2A9C">
        <w:rPr>
          <w:rFonts w:ascii="Arial" w:hAnsi="Arial" w:cs="Arial"/>
          <w:sz w:val="16"/>
          <w:szCs w:val="16"/>
        </w:rPr>
        <w:t>.</w:t>
      </w:r>
    </w:p>
    <w:p w:rsidR="009B43D6" w:rsidRDefault="009B43D6" w:rsidP="001E4BF5">
      <w:pPr>
        <w:spacing w:line="360" w:lineRule="auto"/>
        <w:ind w:left="-360" w:right="42"/>
        <w:jc w:val="both"/>
        <w:rPr>
          <w:sz w:val="22"/>
          <w:szCs w:val="22"/>
        </w:rPr>
      </w:pPr>
    </w:p>
    <w:p w:rsidR="00451FEA" w:rsidRDefault="00451FEA" w:rsidP="001E4BF5">
      <w:pPr>
        <w:spacing w:line="360" w:lineRule="auto"/>
        <w:ind w:left="-360" w:right="42"/>
        <w:jc w:val="both"/>
        <w:rPr>
          <w:sz w:val="22"/>
          <w:szCs w:val="22"/>
        </w:rPr>
      </w:pPr>
    </w:p>
    <w:p w:rsidR="00451FEA" w:rsidRDefault="00451FEA" w:rsidP="001E4BF5">
      <w:pPr>
        <w:spacing w:line="360" w:lineRule="auto"/>
        <w:ind w:left="-360" w:right="42"/>
        <w:jc w:val="both"/>
        <w:rPr>
          <w:sz w:val="22"/>
          <w:szCs w:val="22"/>
        </w:rPr>
      </w:pPr>
    </w:p>
    <w:p w:rsidR="00451FEA" w:rsidRDefault="00451FEA" w:rsidP="001E4BF5">
      <w:pPr>
        <w:spacing w:line="360" w:lineRule="auto"/>
        <w:ind w:left="-360" w:right="42"/>
        <w:jc w:val="both"/>
        <w:rPr>
          <w:sz w:val="22"/>
          <w:szCs w:val="22"/>
        </w:rPr>
      </w:pPr>
    </w:p>
    <w:p w:rsidR="00451FEA" w:rsidRDefault="00451FEA" w:rsidP="001E4BF5">
      <w:pPr>
        <w:spacing w:line="360" w:lineRule="auto"/>
        <w:ind w:left="-360" w:right="42"/>
        <w:jc w:val="both"/>
        <w:rPr>
          <w:sz w:val="22"/>
          <w:szCs w:val="22"/>
        </w:rPr>
      </w:pPr>
    </w:p>
    <w:p w:rsidR="00451FEA" w:rsidRDefault="00451FEA" w:rsidP="001E4BF5">
      <w:pPr>
        <w:spacing w:line="360" w:lineRule="auto"/>
        <w:ind w:left="-360" w:right="42"/>
        <w:jc w:val="both"/>
        <w:rPr>
          <w:sz w:val="22"/>
          <w:szCs w:val="22"/>
        </w:rPr>
      </w:pPr>
    </w:p>
    <w:p w:rsidR="00451FEA" w:rsidRDefault="00451FEA" w:rsidP="001E4BF5">
      <w:pPr>
        <w:spacing w:line="360" w:lineRule="auto"/>
        <w:ind w:left="-360" w:right="42"/>
        <w:jc w:val="both"/>
        <w:rPr>
          <w:sz w:val="22"/>
          <w:szCs w:val="22"/>
        </w:rPr>
      </w:pPr>
    </w:p>
    <w:p w:rsidR="009B43D6" w:rsidRPr="008B2149" w:rsidRDefault="009B43D6" w:rsidP="00D63012">
      <w:pPr>
        <w:spacing w:line="360" w:lineRule="auto"/>
        <w:ind w:right="42"/>
        <w:jc w:val="both"/>
        <w:rPr>
          <w:sz w:val="22"/>
          <w:szCs w:val="22"/>
        </w:rPr>
      </w:pPr>
    </w:p>
    <w:p w:rsidR="00B677BF" w:rsidRPr="008B2149" w:rsidRDefault="00B677BF" w:rsidP="001F707E">
      <w:pPr>
        <w:spacing w:line="360" w:lineRule="auto"/>
        <w:ind w:right="42"/>
        <w:jc w:val="both"/>
        <w:rPr>
          <w:sz w:val="22"/>
          <w:szCs w:val="22"/>
        </w:rPr>
      </w:pPr>
    </w:p>
    <w:sectPr w:rsidR="00B677BF" w:rsidRPr="008B2149" w:rsidSect="001E7720">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8CC" w:rsidRDefault="00B878CC">
      <w:r>
        <w:separator/>
      </w:r>
    </w:p>
  </w:endnote>
  <w:endnote w:type="continuationSeparator" w:id="1">
    <w:p w:rsidR="00B878CC" w:rsidRDefault="00B878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8CC" w:rsidRDefault="00B878CC">
      <w:r>
        <w:separator/>
      </w:r>
    </w:p>
  </w:footnote>
  <w:footnote w:type="continuationSeparator" w:id="1">
    <w:p w:rsidR="00B878CC" w:rsidRDefault="00B878CC">
      <w:r>
        <w:continuationSeparator/>
      </w:r>
    </w:p>
  </w:footnote>
  <w:footnote w:id="2">
    <w:p w:rsidR="00900E74" w:rsidRPr="0087056B" w:rsidRDefault="00900E74" w:rsidP="0087056B">
      <w:pPr>
        <w:pStyle w:val="FootnoteText"/>
        <w:ind w:left="-360"/>
        <w:rPr>
          <w:sz w:val="16"/>
          <w:szCs w:val="16"/>
        </w:rPr>
      </w:pPr>
      <w:r w:rsidRPr="0087056B">
        <w:rPr>
          <w:rStyle w:val="FootnoteReference"/>
          <w:sz w:val="16"/>
          <w:szCs w:val="16"/>
        </w:rPr>
        <w:footnoteRef/>
      </w:r>
      <w:r w:rsidRPr="0087056B">
        <w:rPr>
          <w:sz w:val="16"/>
          <w:szCs w:val="16"/>
        </w:rPr>
        <w:t xml:space="preserve"> Betam’s “Growth Review: 3</w:t>
      </w:r>
      <w:r w:rsidRPr="0087056B">
        <w:rPr>
          <w:sz w:val="16"/>
          <w:szCs w:val="16"/>
          <w:vertAlign w:val="superscript"/>
        </w:rPr>
        <w:t>rd</w:t>
      </w:r>
      <w:r w:rsidRPr="0087056B">
        <w:rPr>
          <w:sz w:val="16"/>
          <w:szCs w:val="16"/>
        </w:rPr>
        <w:t xml:space="preserve"> Quarter” Research Brief.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hyphenationZone w:val="425"/>
  <w:characterSpacingControl w:val="doNotCompress"/>
  <w:footnotePr>
    <w:footnote w:id="0"/>
    <w:footnote w:id="1"/>
  </w:footnotePr>
  <w:endnotePr>
    <w:endnote w:id="0"/>
    <w:endnote w:id="1"/>
  </w:endnotePr>
  <w:compat/>
  <w:rsids>
    <w:rsidRoot w:val="00357ECC"/>
    <w:rsid w:val="000003F0"/>
    <w:rsid w:val="00001050"/>
    <w:rsid w:val="00003567"/>
    <w:rsid w:val="00003E34"/>
    <w:rsid w:val="0000434B"/>
    <w:rsid w:val="00004745"/>
    <w:rsid w:val="00010DD1"/>
    <w:rsid w:val="00013406"/>
    <w:rsid w:val="00017F2E"/>
    <w:rsid w:val="00024559"/>
    <w:rsid w:val="00024B55"/>
    <w:rsid w:val="00034421"/>
    <w:rsid w:val="00037CE9"/>
    <w:rsid w:val="00042C84"/>
    <w:rsid w:val="00047B99"/>
    <w:rsid w:val="00050DCF"/>
    <w:rsid w:val="00051CD0"/>
    <w:rsid w:val="00055814"/>
    <w:rsid w:val="00055A3E"/>
    <w:rsid w:val="000625E8"/>
    <w:rsid w:val="00063758"/>
    <w:rsid w:val="00065B3C"/>
    <w:rsid w:val="00067DF6"/>
    <w:rsid w:val="000715CA"/>
    <w:rsid w:val="000717B5"/>
    <w:rsid w:val="000743ED"/>
    <w:rsid w:val="0007515D"/>
    <w:rsid w:val="000820D2"/>
    <w:rsid w:val="0008367E"/>
    <w:rsid w:val="00084ED0"/>
    <w:rsid w:val="00086F46"/>
    <w:rsid w:val="00091D4B"/>
    <w:rsid w:val="00097481"/>
    <w:rsid w:val="000A1E16"/>
    <w:rsid w:val="000A383B"/>
    <w:rsid w:val="000A3D92"/>
    <w:rsid w:val="000A6429"/>
    <w:rsid w:val="000A701D"/>
    <w:rsid w:val="000B0553"/>
    <w:rsid w:val="000B669B"/>
    <w:rsid w:val="000C3022"/>
    <w:rsid w:val="000C5B7E"/>
    <w:rsid w:val="000D029B"/>
    <w:rsid w:val="000D0DA7"/>
    <w:rsid w:val="000D6420"/>
    <w:rsid w:val="000D7F65"/>
    <w:rsid w:val="000E10A3"/>
    <w:rsid w:val="000E4231"/>
    <w:rsid w:val="000E4C57"/>
    <w:rsid w:val="000F219F"/>
    <w:rsid w:val="000F3017"/>
    <w:rsid w:val="000F396D"/>
    <w:rsid w:val="000F4941"/>
    <w:rsid w:val="000F68F9"/>
    <w:rsid w:val="00100750"/>
    <w:rsid w:val="00102FC6"/>
    <w:rsid w:val="001105B2"/>
    <w:rsid w:val="001116C3"/>
    <w:rsid w:val="00114BC7"/>
    <w:rsid w:val="00124929"/>
    <w:rsid w:val="00131702"/>
    <w:rsid w:val="00133054"/>
    <w:rsid w:val="001357C1"/>
    <w:rsid w:val="00135FEE"/>
    <w:rsid w:val="00137054"/>
    <w:rsid w:val="00137F02"/>
    <w:rsid w:val="00141B93"/>
    <w:rsid w:val="00143828"/>
    <w:rsid w:val="0015045A"/>
    <w:rsid w:val="00150B84"/>
    <w:rsid w:val="00154DC3"/>
    <w:rsid w:val="00157DC2"/>
    <w:rsid w:val="00163E33"/>
    <w:rsid w:val="001648A8"/>
    <w:rsid w:val="001661B0"/>
    <w:rsid w:val="00166FE5"/>
    <w:rsid w:val="00167408"/>
    <w:rsid w:val="00167D69"/>
    <w:rsid w:val="00170085"/>
    <w:rsid w:val="00170DE7"/>
    <w:rsid w:val="00177F4E"/>
    <w:rsid w:val="00177FE3"/>
    <w:rsid w:val="0019538C"/>
    <w:rsid w:val="00195EC6"/>
    <w:rsid w:val="00197ACB"/>
    <w:rsid w:val="001A0237"/>
    <w:rsid w:val="001A2051"/>
    <w:rsid w:val="001A787F"/>
    <w:rsid w:val="001B0683"/>
    <w:rsid w:val="001B0861"/>
    <w:rsid w:val="001B1CFE"/>
    <w:rsid w:val="001B34B5"/>
    <w:rsid w:val="001B6256"/>
    <w:rsid w:val="001B6836"/>
    <w:rsid w:val="001B6AFA"/>
    <w:rsid w:val="001C457D"/>
    <w:rsid w:val="001D09B1"/>
    <w:rsid w:val="001D11F7"/>
    <w:rsid w:val="001D1F1B"/>
    <w:rsid w:val="001D3C27"/>
    <w:rsid w:val="001D4B8B"/>
    <w:rsid w:val="001E0274"/>
    <w:rsid w:val="001E192B"/>
    <w:rsid w:val="001E4122"/>
    <w:rsid w:val="001E4BF5"/>
    <w:rsid w:val="001E7720"/>
    <w:rsid w:val="001E7DE1"/>
    <w:rsid w:val="001F1052"/>
    <w:rsid w:val="001F1361"/>
    <w:rsid w:val="001F275D"/>
    <w:rsid w:val="001F4CFB"/>
    <w:rsid w:val="001F6E7D"/>
    <w:rsid w:val="001F707E"/>
    <w:rsid w:val="001F7216"/>
    <w:rsid w:val="0020115E"/>
    <w:rsid w:val="00203CD9"/>
    <w:rsid w:val="00204364"/>
    <w:rsid w:val="00207185"/>
    <w:rsid w:val="002151FC"/>
    <w:rsid w:val="002166A1"/>
    <w:rsid w:val="002176C5"/>
    <w:rsid w:val="002220B5"/>
    <w:rsid w:val="00225215"/>
    <w:rsid w:val="00230A81"/>
    <w:rsid w:val="00236A19"/>
    <w:rsid w:val="00236F07"/>
    <w:rsid w:val="002451C2"/>
    <w:rsid w:val="00245E19"/>
    <w:rsid w:val="00260693"/>
    <w:rsid w:val="002639C0"/>
    <w:rsid w:val="00264000"/>
    <w:rsid w:val="002663F7"/>
    <w:rsid w:val="00271168"/>
    <w:rsid w:val="00272C27"/>
    <w:rsid w:val="002751F5"/>
    <w:rsid w:val="00283EE6"/>
    <w:rsid w:val="00287ACE"/>
    <w:rsid w:val="002902DE"/>
    <w:rsid w:val="00293BAB"/>
    <w:rsid w:val="002A27C0"/>
    <w:rsid w:val="002A5E74"/>
    <w:rsid w:val="002A66ED"/>
    <w:rsid w:val="002B015D"/>
    <w:rsid w:val="002B1FC3"/>
    <w:rsid w:val="002B3644"/>
    <w:rsid w:val="002B460F"/>
    <w:rsid w:val="002B4D99"/>
    <w:rsid w:val="002C0475"/>
    <w:rsid w:val="002C0C55"/>
    <w:rsid w:val="002C28A4"/>
    <w:rsid w:val="002C391B"/>
    <w:rsid w:val="002C3E54"/>
    <w:rsid w:val="002C6F7E"/>
    <w:rsid w:val="002D7743"/>
    <w:rsid w:val="002E1EA4"/>
    <w:rsid w:val="002E5892"/>
    <w:rsid w:val="002E6BB4"/>
    <w:rsid w:val="002E6BD6"/>
    <w:rsid w:val="002F0BDE"/>
    <w:rsid w:val="002F1C42"/>
    <w:rsid w:val="002F2CD1"/>
    <w:rsid w:val="002F30D3"/>
    <w:rsid w:val="002F30F9"/>
    <w:rsid w:val="002F5134"/>
    <w:rsid w:val="00306FA7"/>
    <w:rsid w:val="0031043B"/>
    <w:rsid w:val="0031201B"/>
    <w:rsid w:val="0031360B"/>
    <w:rsid w:val="003142BA"/>
    <w:rsid w:val="00316CE9"/>
    <w:rsid w:val="00316DB4"/>
    <w:rsid w:val="00321318"/>
    <w:rsid w:val="00322134"/>
    <w:rsid w:val="003223B0"/>
    <w:rsid w:val="00322EBE"/>
    <w:rsid w:val="003269F7"/>
    <w:rsid w:val="0033349F"/>
    <w:rsid w:val="00333B98"/>
    <w:rsid w:val="003345C8"/>
    <w:rsid w:val="00337824"/>
    <w:rsid w:val="00337AE5"/>
    <w:rsid w:val="003410B9"/>
    <w:rsid w:val="00341195"/>
    <w:rsid w:val="00344070"/>
    <w:rsid w:val="0034543C"/>
    <w:rsid w:val="00345CDD"/>
    <w:rsid w:val="00347145"/>
    <w:rsid w:val="003474D9"/>
    <w:rsid w:val="00353B31"/>
    <w:rsid w:val="003552A4"/>
    <w:rsid w:val="00356765"/>
    <w:rsid w:val="00357ECC"/>
    <w:rsid w:val="00360133"/>
    <w:rsid w:val="00361D56"/>
    <w:rsid w:val="00362436"/>
    <w:rsid w:val="00363520"/>
    <w:rsid w:val="003729BF"/>
    <w:rsid w:val="00376AC1"/>
    <w:rsid w:val="00381853"/>
    <w:rsid w:val="00383A6E"/>
    <w:rsid w:val="00384212"/>
    <w:rsid w:val="0038488E"/>
    <w:rsid w:val="003866F7"/>
    <w:rsid w:val="00386866"/>
    <w:rsid w:val="00394358"/>
    <w:rsid w:val="00395C47"/>
    <w:rsid w:val="00396E44"/>
    <w:rsid w:val="00397518"/>
    <w:rsid w:val="003A048F"/>
    <w:rsid w:val="003A219A"/>
    <w:rsid w:val="003A2B60"/>
    <w:rsid w:val="003A31B2"/>
    <w:rsid w:val="003A3575"/>
    <w:rsid w:val="003A5AD9"/>
    <w:rsid w:val="003B0F7E"/>
    <w:rsid w:val="003B109E"/>
    <w:rsid w:val="003B199A"/>
    <w:rsid w:val="003B1C3A"/>
    <w:rsid w:val="003B2720"/>
    <w:rsid w:val="003B472B"/>
    <w:rsid w:val="003B5209"/>
    <w:rsid w:val="003B797F"/>
    <w:rsid w:val="003C5112"/>
    <w:rsid w:val="003C640D"/>
    <w:rsid w:val="003D0BE4"/>
    <w:rsid w:val="003D142F"/>
    <w:rsid w:val="003D7E7F"/>
    <w:rsid w:val="003E5C49"/>
    <w:rsid w:val="003F347E"/>
    <w:rsid w:val="00402158"/>
    <w:rsid w:val="00405F8D"/>
    <w:rsid w:val="00406615"/>
    <w:rsid w:val="00422832"/>
    <w:rsid w:val="00422F8A"/>
    <w:rsid w:val="00437C99"/>
    <w:rsid w:val="004475F5"/>
    <w:rsid w:val="00451FEA"/>
    <w:rsid w:val="00452B69"/>
    <w:rsid w:val="00455777"/>
    <w:rsid w:val="00463BBF"/>
    <w:rsid w:val="00467ACF"/>
    <w:rsid w:val="004716A6"/>
    <w:rsid w:val="004814F0"/>
    <w:rsid w:val="00485884"/>
    <w:rsid w:val="00487146"/>
    <w:rsid w:val="00490FC2"/>
    <w:rsid w:val="0049613B"/>
    <w:rsid w:val="004A4DD6"/>
    <w:rsid w:val="004A6333"/>
    <w:rsid w:val="004A7343"/>
    <w:rsid w:val="004A7FE6"/>
    <w:rsid w:val="004B358D"/>
    <w:rsid w:val="004C6A82"/>
    <w:rsid w:val="004D0590"/>
    <w:rsid w:val="004D60DE"/>
    <w:rsid w:val="004D67C5"/>
    <w:rsid w:val="004D7A57"/>
    <w:rsid w:val="004E2D21"/>
    <w:rsid w:val="004E40D1"/>
    <w:rsid w:val="004E4961"/>
    <w:rsid w:val="004E4C5E"/>
    <w:rsid w:val="004E7CBD"/>
    <w:rsid w:val="004F08D3"/>
    <w:rsid w:val="004F1286"/>
    <w:rsid w:val="004F1E07"/>
    <w:rsid w:val="0050049B"/>
    <w:rsid w:val="00500C2E"/>
    <w:rsid w:val="00502586"/>
    <w:rsid w:val="00502793"/>
    <w:rsid w:val="00506264"/>
    <w:rsid w:val="00515398"/>
    <w:rsid w:val="005155AC"/>
    <w:rsid w:val="0051750C"/>
    <w:rsid w:val="00522ED0"/>
    <w:rsid w:val="00523C58"/>
    <w:rsid w:val="00536C48"/>
    <w:rsid w:val="00542728"/>
    <w:rsid w:val="00542834"/>
    <w:rsid w:val="00543E56"/>
    <w:rsid w:val="00544439"/>
    <w:rsid w:val="00546373"/>
    <w:rsid w:val="00551E19"/>
    <w:rsid w:val="00552C4F"/>
    <w:rsid w:val="00552D5D"/>
    <w:rsid w:val="00556328"/>
    <w:rsid w:val="00556F7E"/>
    <w:rsid w:val="00567E14"/>
    <w:rsid w:val="00573338"/>
    <w:rsid w:val="005758D1"/>
    <w:rsid w:val="00585800"/>
    <w:rsid w:val="005871D8"/>
    <w:rsid w:val="0058799A"/>
    <w:rsid w:val="00592676"/>
    <w:rsid w:val="00593B80"/>
    <w:rsid w:val="005A03EE"/>
    <w:rsid w:val="005A06D3"/>
    <w:rsid w:val="005A0AF8"/>
    <w:rsid w:val="005A2B2E"/>
    <w:rsid w:val="005A3159"/>
    <w:rsid w:val="005A5144"/>
    <w:rsid w:val="005B19CA"/>
    <w:rsid w:val="005B5D93"/>
    <w:rsid w:val="005B63A2"/>
    <w:rsid w:val="005C42DE"/>
    <w:rsid w:val="005C4CC3"/>
    <w:rsid w:val="005C571D"/>
    <w:rsid w:val="005C59F0"/>
    <w:rsid w:val="005C7783"/>
    <w:rsid w:val="005D7E62"/>
    <w:rsid w:val="005E0781"/>
    <w:rsid w:val="005E0E66"/>
    <w:rsid w:val="005E2983"/>
    <w:rsid w:val="005E45BB"/>
    <w:rsid w:val="005F1C44"/>
    <w:rsid w:val="005F2A5B"/>
    <w:rsid w:val="005F2ECA"/>
    <w:rsid w:val="005F31BE"/>
    <w:rsid w:val="005F62CB"/>
    <w:rsid w:val="005F79D9"/>
    <w:rsid w:val="00600A02"/>
    <w:rsid w:val="00602EB0"/>
    <w:rsid w:val="00610482"/>
    <w:rsid w:val="00613B72"/>
    <w:rsid w:val="006221AA"/>
    <w:rsid w:val="00623B31"/>
    <w:rsid w:val="006274E1"/>
    <w:rsid w:val="0062776E"/>
    <w:rsid w:val="00631163"/>
    <w:rsid w:val="00631270"/>
    <w:rsid w:val="00632044"/>
    <w:rsid w:val="006360F2"/>
    <w:rsid w:val="006419AA"/>
    <w:rsid w:val="00644C74"/>
    <w:rsid w:val="006454DC"/>
    <w:rsid w:val="006461CC"/>
    <w:rsid w:val="00662C10"/>
    <w:rsid w:val="00664C1C"/>
    <w:rsid w:val="0066576D"/>
    <w:rsid w:val="00667305"/>
    <w:rsid w:val="006713C0"/>
    <w:rsid w:val="00671CB6"/>
    <w:rsid w:val="00672830"/>
    <w:rsid w:val="00672CA0"/>
    <w:rsid w:val="00682DF3"/>
    <w:rsid w:val="006836A7"/>
    <w:rsid w:val="006837F6"/>
    <w:rsid w:val="00683A24"/>
    <w:rsid w:val="00683B0E"/>
    <w:rsid w:val="00691D96"/>
    <w:rsid w:val="0069686F"/>
    <w:rsid w:val="006A3F76"/>
    <w:rsid w:val="006A507F"/>
    <w:rsid w:val="006B08B4"/>
    <w:rsid w:val="006B1779"/>
    <w:rsid w:val="006B3B9F"/>
    <w:rsid w:val="006B54D7"/>
    <w:rsid w:val="006B60DC"/>
    <w:rsid w:val="006B7B76"/>
    <w:rsid w:val="006C162B"/>
    <w:rsid w:val="006C2BFE"/>
    <w:rsid w:val="006C4642"/>
    <w:rsid w:val="006C6C6F"/>
    <w:rsid w:val="006D13C9"/>
    <w:rsid w:val="006E2D48"/>
    <w:rsid w:val="006F0116"/>
    <w:rsid w:val="006F1A82"/>
    <w:rsid w:val="006F2049"/>
    <w:rsid w:val="006F309B"/>
    <w:rsid w:val="006F6A80"/>
    <w:rsid w:val="007008D1"/>
    <w:rsid w:val="00704765"/>
    <w:rsid w:val="007067F4"/>
    <w:rsid w:val="0071337D"/>
    <w:rsid w:val="00714FBF"/>
    <w:rsid w:val="0071687F"/>
    <w:rsid w:val="00717236"/>
    <w:rsid w:val="00720303"/>
    <w:rsid w:val="0072169E"/>
    <w:rsid w:val="0072379E"/>
    <w:rsid w:val="00726C38"/>
    <w:rsid w:val="007320A1"/>
    <w:rsid w:val="007361F6"/>
    <w:rsid w:val="00736C84"/>
    <w:rsid w:val="007415EE"/>
    <w:rsid w:val="0075074A"/>
    <w:rsid w:val="007533D7"/>
    <w:rsid w:val="0075696F"/>
    <w:rsid w:val="007633AD"/>
    <w:rsid w:val="00765414"/>
    <w:rsid w:val="007670E1"/>
    <w:rsid w:val="00770832"/>
    <w:rsid w:val="00770BBA"/>
    <w:rsid w:val="00774EA6"/>
    <w:rsid w:val="0078192F"/>
    <w:rsid w:val="00782D82"/>
    <w:rsid w:val="007834AF"/>
    <w:rsid w:val="0079752F"/>
    <w:rsid w:val="007975F4"/>
    <w:rsid w:val="007A0897"/>
    <w:rsid w:val="007A35F3"/>
    <w:rsid w:val="007A64EE"/>
    <w:rsid w:val="007A6702"/>
    <w:rsid w:val="007B208E"/>
    <w:rsid w:val="007C21C4"/>
    <w:rsid w:val="007C4EAE"/>
    <w:rsid w:val="007C543A"/>
    <w:rsid w:val="007C56C1"/>
    <w:rsid w:val="007D04CC"/>
    <w:rsid w:val="007D08AB"/>
    <w:rsid w:val="007D3176"/>
    <w:rsid w:val="007D4F28"/>
    <w:rsid w:val="007E041E"/>
    <w:rsid w:val="007E16B9"/>
    <w:rsid w:val="007E182F"/>
    <w:rsid w:val="007E3D0F"/>
    <w:rsid w:val="007E51AB"/>
    <w:rsid w:val="007E5E9A"/>
    <w:rsid w:val="007F1E8F"/>
    <w:rsid w:val="007F2156"/>
    <w:rsid w:val="007F50E5"/>
    <w:rsid w:val="00801493"/>
    <w:rsid w:val="0080748E"/>
    <w:rsid w:val="008129C1"/>
    <w:rsid w:val="00814665"/>
    <w:rsid w:val="00814DF4"/>
    <w:rsid w:val="00817438"/>
    <w:rsid w:val="00817FBF"/>
    <w:rsid w:val="00820714"/>
    <w:rsid w:val="008226C9"/>
    <w:rsid w:val="00831E42"/>
    <w:rsid w:val="00831E59"/>
    <w:rsid w:val="008332DD"/>
    <w:rsid w:val="00833C7C"/>
    <w:rsid w:val="00841898"/>
    <w:rsid w:val="00842EA5"/>
    <w:rsid w:val="00845505"/>
    <w:rsid w:val="00846685"/>
    <w:rsid w:val="00847ADC"/>
    <w:rsid w:val="00852D1A"/>
    <w:rsid w:val="008572C9"/>
    <w:rsid w:val="00861348"/>
    <w:rsid w:val="00861740"/>
    <w:rsid w:val="00862B92"/>
    <w:rsid w:val="0086333C"/>
    <w:rsid w:val="008672F6"/>
    <w:rsid w:val="0087056B"/>
    <w:rsid w:val="00871E2A"/>
    <w:rsid w:val="008721A8"/>
    <w:rsid w:val="008729A3"/>
    <w:rsid w:val="00872BE1"/>
    <w:rsid w:val="00875229"/>
    <w:rsid w:val="008865B7"/>
    <w:rsid w:val="00887060"/>
    <w:rsid w:val="00892423"/>
    <w:rsid w:val="008954D6"/>
    <w:rsid w:val="00895E6C"/>
    <w:rsid w:val="008A38AB"/>
    <w:rsid w:val="008A6C67"/>
    <w:rsid w:val="008B2149"/>
    <w:rsid w:val="008B74EE"/>
    <w:rsid w:val="008C0F43"/>
    <w:rsid w:val="008C14F4"/>
    <w:rsid w:val="008C17F4"/>
    <w:rsid w:val="008C2826"/>
    <w:rsid w:val="008C38E5"/>
    <w:rsid w:val="008C6E50"/>
    <w:rsid w:val="008D3976"/>
    <w:rsid w:val="008D5D64"/>
    <w:rsid w:val="008E32CB"/>
    <w:rsid w:val="008E63CB"/>
    <w:rsid w:val="008E7436"/>
    <w:rsid w:val="008F391E"/>
    <w:rsid w:val="008F5ED9"/>
    <w:rsid w:val="00900E74"/>
    <w:rsid w:val="0090421E"/>
    <w:rsid w:val="0090604F"/>
    <w:rsid w:val="009125B5"/>
    <w:rsid w:val="009128F9"/>
    <w:rsid w:val="0091302D"/>
    <w:rsid w:val="0091403E"/>
    <w:rsid w:val="0091587A"/>
    <w:rsid w:val="00915CF1"/>
    <w:rsid w:val="00916E57"/>
    <w:rsid w:val="009174AD"/>
    <w:rsid w:val="009178BB"/>
    <w:rsid w:val="00923AE7"/>
    <w:rsid w:val="00924E54"/>
    <w:rsid w:val="009260AC"/>
    <w:rsid w:val="00931B8C"/>
    <w:rsid w:val="00932093"/>
    <w:rsid w:val="00934BE6"/>
    <w:rsid w:val="0093780A"/>
    <w:rsid w:val="00942492"/>
    <w:rsid w:val="009441DB"/>
    <w:rsid w:val="00944BC4"/>
    <w:rsid w:val="00953C28"/>
    <w:rsid w:val="00964B29"/>
    <w:rsid w:val="009652E9"/>
    <w:rsid w:val="00965AA7"/>
    <w:rsid w:val="00967E92"/>
    <w:rsid w:val="00971D26"/>
    <w:rsid w:val="00973503"/>
    <w:rsid w:val="00973AE1"/>
    <w:rsid w:val="00974030"/>
    <w:rsid w:val="009743FB"/>
    <w:rsid w:val="0098063D"/>
    <w:rsid w:val="009848D3"/>
    <w:rsid w:val="00984D79"/>
    <w:rsid w:val="0098721A"/>
    <w:rsid w:val="00990226"/>
    <w:rsid w:val="00992B27"/>
    <w:rsid w:val="00992BC5"/>
    <w:rsid w:val="00993679"/>
    <w:rsid w:val="00995E1B"/>
    <w:rsid w:val="00995F40"/>
    <w:rsid w:val="009A6149"/>
    <w:rsid w:val="009B2569"/>
    <w:rsid w:val="009B39A4"/>
    <w:rsid w:val="009B43D6"/>
    <w:rsid w:val="009B5407"/>
    <w:rsid w:val="009C2397"/>
    <w:rsid w:val="009C53F9"/>
    <w:rsid w:val="009C59AC"/>
    <w:rsid w:val="009D1323"/>
    <w:rsid w:val="009D3B55"/>
    <w:rsid w:val="009D4079"/>
    <w:rsid w:val="009D4275"/>
    <w:rsid w:val="009D77CC"/>
    <w:rsid w:val="009D7880"/>
    <w:rsid w:val="009E0464"/>
    <w:rsid w:val="009E2A57"/>
    <w:rsid w:val="009E73C4"/>
    <w:rsid w:val="009F0111"/>
    <w:rsid w:val="009F0550"/>
    <w:rsid w:val="009F1B4D"/>
    <w:rsid w:val="009F2088"/>
    <w:rsid w:val="009F29F3"/>
    <w:rsid w:val="009F6583"/>
    <w:rsid w:val="00A0243A"/>
    <w:rsid w:val="00A05DEF"/>
    <w:rsid w:val="00A0725A"/>
    <w:rsid w:val="00A0768E"/>
    <w:rsid w:val="00A11CB3"/>
    <w:rsid w:val="00A1561F"/>
    <w:rsid w:val="00A158E0"/>
    <w:rsid w:val="00A208D0"/>
    <w:rsid w:val="00A217FD"/>
    <w:rsid w:val="00A22AF3"/>
    <w:rsid w:val="00A24957"/>
    <w:rsid w:val="00A265E2"/>
    <w:rsid w:val="00A2686F"/>
    <w:rsid w:val="00A32CC6"/>
    <w:rsid w:val="00A35FDD"/>
    <w:rsid w:val="00A50B01"/>
    <w:rsid w:val="00A64100"/>
    <w:rsid w:val="00A6642E"/>
    <w:rsid w:val="00A67A86"/>
    <w:rsid w:val="00A71B18"/>
    <w:rsid w:val="00A726B4"/>
    <w:rsid w:val="00A74D70"/>
    <w:rsid w:val="00A757FF"/>
    <w:rsid w:val="00A75A46"/>
    <w:rsid w:val="00A80C2F"/>
    <w:rsid w:val="00A82A89"/>
    <w:rsid w:val="00A82F2C"/>
    <w:rsid w:val="00A83CAB"/>
    <w:rsid w:val="00A86049"/>
    <w:rsid w:val="00A878F4"/>
    <w:rsid w:val="00A917AD"/>
    <w:rsid w:val="00A9385F"/>
    <w:rsid w:val="00A93A56"/>
    <w:rsid w:val="00A94086"/>
    <w:rsid w:val="00A9596F"/>
    <w:rsid w:val="00A96EF6"/>
    <w:rsid w:val="00AA179B"/>
    <w:rsid w:val="00AA2704"/>
    <w:rsid w:val="00AA3845"/>
    <w:rsid w:val="00AA50EA"/>
    <w:rsid w:val="00AA76E6"/>
    <w:rsid w:val="00AB717C"/>
    <w:rsid w:val="00AB7E39"/>
    <w:rsid w:val="00AC1A14"/>
    <w:rsid w:val="00AC1C97"/>
    <w:rsid w:val="00AC4805"/>
    <w:rsid w:val="00AC630B"/>
    <w:rsid w:val="00AD4568"/>
    <w:rsid w:val="00AD5A12"/>
    <w:rsid w:val="00AD63AE"/>
    <w:rsid w:val="00AD6D9C"/>
    <w:rsid w:val="00AD6E7B"/>
    <w:rsid w:val="00AD78F5"/>
    <w:rsid w:val="00AE06D6"/>
    <w:rsid w:val="00AE7542"/>
    <w:rsid w:val="00AF0503"/>
    <w:rsid w:val="00AF2D7A"/>
    <w:rsid w:val="00AF34E9"/>
    <w:rsid w:val="00AF501D"/>
    <w:rsid w:val="00AF6051"/>
    <w:rsid w:val="00AF6500"/>
    <w:rsid w:val="00B01B40"/>
    <w:rsid w:val="00B062A2"/>
    <w:rsid w:val="00B10F74"/>
    <w:rsid w:val="00B115D5"/>
    <w:rsid w:val="00B1244F"/>
    <w:rsid w:val="00B12FD3"/>
    <w:rsid w:val="00B14F53"/>
    <w:rsid w:val="00B1612F"/>
    <w:rsid w:val="00B169C6"/>
    <w:rsid w:val="00B25C21"/>
    <w:rsid w:val="00B34C83"/>
    <w:rsid w:val="00B377EE"/>
    <w:rsid w:val="00B42B18"/>
    <w:rsid w:val="00B47161"/>
    <w:rsid w:val="00B510B9"/>
    <w:rsid w:val="00B51DCC"/>
    <w:rsid w:val="00B677BF"/>
    <w:rsid w:val="00B71BC1"/>
    <w:rsid w:val="00B7481B"/>
    <w:rsid w:val="00B7575B"/>
    <w:rsid w:val="00B800C0"/>
    <w:rsid w:val="00B8531E"/>
    <w:rsid w:val="00B869FB"/>
    <w:rsid w:val="00B878CC"/>
    <w:rsid w:val="00B9215F"/>
    <w:rsid w:val="00B95352"/>
    <w:rsid w:val="00B97F6C"/>
    <w:rsid w:val="00BA47FF"/>
    <w:rsid w:val="00BB0877"/>
    <w:rsid w:val="00BB08BD"/>
    <w:rsid w:val="00BB4CA7"/>
    <w:rsid w:val="00BB53AD"/>
    <w:rsid w:val="00BB7CE9"/>
    <w:rsid w:val="00BD0DAF"/>
    <w:rsid w:val="00BD4ADF"/>
    <w:rsid w:val="00BD7514"/>
    <w:rsid w:val="00BE4CDD"/>
    <w:rsid w:val="00BE505A"/>
    <w:rsid w:val="00BE56E0"/>
    <w:rsid w:val="00BE61FB"/>
    <w:rsid w:val="00BF07F5"/>
    <w:rsid w:val="00BF14F1"/>
    <w:rsid w:val="00BF17E5"/>
    <w:rsid w:val="00BF22C5"/>
    <w:rsid w:val="00BF37B8"/>
    <w:rsid w:val="00BF409F"/>
    <w:rsid w:val="00BF5712"/>
    <w:rsid w:val="00BF60D3"/>
    <w:rsid w:val="00BF79CD"/>
    <w:rsid w:val="00C02556"/>
    <w:rsid w:val="00C11348"/>
    <w:rsid w:val="00C15156"/>
    <w:rsid w:val="00C15A9A"/>
    <w:rsid w:val="00C16CFB"/>
    <w:rsid w:val="00C171D9"/>
    <w:rsid w:val="00C22DC8"/>
    <w:rsid w:val="00C2420F"/>
    <w:rsid w:val="00C25007"/>
    <w:rsid w:val="00C25959"/>
    <w:rsid w:val="00C3029B"/>
    <w:rsid w:val="00C30485"/>
    <w:rsid w:val="00C309DF"/>
    <w:rsid w:val="00C30DC1"/>
    <w:rsid w:val="00C317F7"/>
    <w:rsid w:val="00C32A34"/>
    <w:rsid w:val="00C369DA"/>
    <w:rsid w:val="00C37220"/>
    <w:rsid w:val="00C37AB3"/>
    <w:rsid w:val="00C4382B"/>
    <w:rsid w:val="00C44A6C"/>
    <w:rsid w:val="00C45FC0"/>
    <w:rsid w:val="00C54FB9"/>
    <w:rsid w:val="00C56CA3"/>
    <w:rsid w:val="00C56E8D"/>
    <w:rsid w:val="00C60595"/>
    <w:rsid w:val="00C61305"/>
    <w:rsid w:val="00C61472"/>
    <w:rsid w:val="00C62404"/>
    <w:rsid w:val="00C6427A"/>
    <w:rsid w:val="00C6542A"/>
    <w:rsid w:val="00C6608D"/>
    <w:rsid w:val="00C67EFE"/>
    <w:rsid w:val="00C71DD6"/>
    <w:rsid w:val="00C74078"/>
    <w:rsid w:val="00C76273"/>
    <w:rsid w:val="00C80F88"/>
    <w:rsid w:val="00C8451F"/>
    <w:rsid w:val="00C875DE"/>
    <w:rsid w:val="00C91E59"/>
    <w:rsid w:val="00C944BB"/>
    <w:rsid w:val="00C9569C"/>
    <w:rsid w:val="00CA17D7"/>
    <w:rsid w:val="00CA3FDA"/>
    <w:rsid w:val="00CA6DDE"/>
    <w:rsid w:val="00CB4CC5"/>
    <w:rsid w:val="00CB6431"/>
    <w:rsid w:val="00CB7096"/>
    <w:rsid w:val="00CC23AA"/>
    <w:rsid w:val="00CC26C6"/>
    <w:rsid w:val="00CC41EB"/>
    <w:rsid w:val="00CD3014"/>
    <w:rsid w:val="00CD3056"/>
    <w:rsid w:val="00CD6716"/>
    <w:rsid w:val="00CE15C2"/>
    <w:rsid w:val="00CE3983"/>
    <w:rsid w:val="00CE6C1E"/>
    <w:rsid w:val="00CF1326"/>
    <w:rsid w:val="00CF3257"/>
    <w:rsid w:val="00CF4040"/>
    <w:rsid w:val="00CF51B2"/>
    <w:rsid w:val="00D002D6"/>
    <w:rsid w:val="00D039D1"/>
    <w:rsid w:val="00D067E1"/>
    <w:rsid w:val="00D0799D"/>
    <w:rsid w:val="00D126AA"/>
    <w:rsid w:val="00D1434F"/>
    <w:rsid w:val="00D15819"/>
    <w:rsid w:val="00D15D49"/>
    <w:rsid w:val="00D271E9"/>
    <w:rsid w:val="00D312DB"/>
    <w:rsid w:val="00D43E2F"/>
    <w:rsid w:val="00D446CF"/>
    <w:rsid w:val="00D509B0"/>
    <w:rsid w:val="00D50D78"/>
    <w:rsid w:val="00D535DB"/>
    <w:rsid w:val="00D55327"/>
    <w:rsid w:val="00D61432"/>
    <w:rsid w:val="00D62A48"/>
    <w:rsid w:val="00D62EB2"/>
    <w:rsid w:val="00D63012"/>
    <w:rsid w:val="00D64E8A"/>
    <w:rsid w:val="00D674E0"/>
    <w:rsid w:val="00D71B1A"/>
    <w:rsid w:val="00D72039"/>
    <w:rsid w:val="00D74A5F"/>
    <w:rsid w:val="00D7539A"/>
    <w:rsid w:val="00D77152"/>
    <w:rsid w:val="00D7792C"/>
    <w:rsid w:val="00D82349"/>
    <w:rsid w:val="00D83206"/>
    <w:rsid w:val="00D83262"/>
    <w:rsid w:val="00D91644"/>
    <w:rsid w:val="00D959C2"/>
    <w:rsid w:val="00D96D24"/>
    <w:rsid w:val="00DA6778"/>
    <w:rsid w:val="00DB16F5"/>
    <w:rsid w:val="00DB209F"/>
    <w:rsid w:val="00DB2CA8"/>
    <w:rsid w:val="00DC0405"/>
    <w:rsid w:val="00DC0504"/>
    <w:rsid w:val="00DC064C"/>
    <w:rsid w:val="00DC1D93"/>
    <w:rsid w:val="00DC3ABC"/>
    <w:rsid w:val="00DC6F7B"/>
    <w:rsid w:val="00DD0F50"/>
    <w:rsid w:val="00DD3C93"/>
    <w:rsid w:val="00DD6027"/>
    <w:rsid w:val="00DE22D8"/>
    <w:rsid w:val="00DE24A1"/>
    <w:rsid w:val="00DF0CD9"/>
    <w:rsid w:val="00DF379E"/>
    <w:rsid w:val="00DF5067"/>
    <w:rsid w:val="00E030DE"/>
    <w:rsid w:val="00E03485"/>
    <w:rsid w:val="00E0426E"/>
    <w:rsid w:val="00E06ADA"/>
    <w:rsid w:val="00E16A20"/>
    <w:rsid w:val="00E1729A"/>
    <w:rsid w:val="00E21A09"/>
    <w:rsid w:val="00E24F8C"/>
    <w:rsid w:val="00E401E1"/>
    <w:rsid w:val="00E4542C"/>
    <w:rsid w:val="00E50C36"/>
    <w:rsid w:val="00E57FF6"/>
    <w:rsid w:val="00E60FC8"/>
    <w:rsid w:val="00E6151B"/>
    <w:rsid w:val="00E63C04"/>
    <w:rsid w:val="00E63FD3"/>
    <w:rsid w:val="00E64197"/>
    <w:rsid w:val="00E64338"/>
    <w:rsid w:val="00E646F1"/>
    <w:rsid w:val="00E651A3"/>
    <w:rsid w:val="00E71111"/>
    <w:rsid w:val="00E74B0A"/>
    <w:rsid w:val="00E8064F"/>
    <w:rsid w:val="00E80B9E"/>
    <w:rsid w:val="00E81CDD"/>
    <w:rsid w:val="00E823E8"/>
    <w:rsid w:val="00E84728"/>
    <w:rsid w:val="00E91947"/>
    <w:rsid w:val="00E94945"/>
    <w:rsid w:val="00E95FDB"/>
    <w:rsid w:val="00E96583"/>
    <w:rsid w:val="00EA009A"/>
    <w:rsid w:val="00EA194C"/>
    <w:rsid w:val="00EA6E74"/>
    <w:rsid w:val="00EB30E8"/>
    <w:rsid w:val="00EB5E9B"/>
    <w:rsid w:val="00EB65F5"/>
    <w:rsid w:val="00EB6BA3"/>
    <w:rsid w:val="00EB7CE3"/>
    <w:rsid w:val="00EC1A1C"/>
    <w:rsid w:val="00EC3360"/>
    <w:rsid w:val="00EC4C96"/>
    <w:rsid w:val="00EC5A13"/>
    <w:rsid w:val="00ED0629"/>
    <w:rsid w:val="00ED3E42"/>
    <w:rsid w:val="00ED55B0"/>
    <w:rsid w:val="00ED7A5F"/>
    <w:rsid w:val="00EE040C"/>
    <w:rsid w:val="00EE075B"/>
    <w:rsid w:val="00EE1EA9"/>
    <w:rsid w:val="00EE636D"/>
    <w:rsid w:val="00EF0790"/>
    <w:rsid w:val="00EF1B11"/>
    <w:rsid w:val="00EF2A9C"/>
    <w:rsid w:val="00EF6AB5"/>
    <w:rsid w:val="00F06742"/>
    <w:rsid w:val="00F12CB3"/>
    <w:rsid w:val="00F12FF6"/>
    <w:rsid w:val="00F157DD"/>
    <w:rsid w:val="00F17A65"/>
    <w:rsid w:val="00F201AE"/>
    <w:rsid w:val="00F20742"/>
    <w:rsid w:val="00F238EE"/>
    <w:rsid w:val="00F2622C"/>
    <w:rsid w:val="00F2732E"/>
    <w:rsid w:val="00F2778C"/>
    <w:rsid w:val="00F30EEA"/>
    <w:rsid w:val="00F3115B"/>
    <w:rsid w:val="00F446CE"/>
    <w:rsid w:val="00F46A4B"/>
    <w:rsid w:val="00F55BB2"/>
    <w:rsid w:val="00F55F47"/>
    <w:rsid w:val="00F56BF3"/>
    <w:rsid w:val="00F56DAB"/>
    <w:rsid w:val="00F574D7"/>
    <w:rsid w:val="00F5758D"/>
    <w:rsid w:val="00F642A3"/>
    <w:rsid w:val="00F65107"/>
    <w:rsid w:val="00F6527A"/>
    <w:rsid w:val="00F6592D"/>
    <w:rsid w:val="00F71E13"/>
    <w:rsid w:val="00F86020"/>
    <w:rsid w:val="00F948F3"/>
    <w:rsid w:val="00F97D27"/>
    <w:rsid w:val="00F97DA6"/>
    <w:rsid w:val="00FA01C6"/>
    <w:rsid w:val="00FA0BA3"/>
    <w:rsid w:val="00FA2446"/>
    <w:rsid w:val="00FA48DD"/>
    <w:rsid w:val="00FA61C6"/>
    <w:rsid w:val="00FA6289"/>
    <w:rsid w:val="00FB193A"/>
    <w:rsid w:val="00FB3515"/>
    <w:rsid w:val="00FB495B"/>
    <w:rsid w:val="00FC2F6E"/>
    <w:rsid w:val="00FC36DC"/>
    <w:rsid w:val="00FC75A8"/>
    <w:rsid w:val="00FD0678"/>
    <w:rsid w:val="00FD213A"/>
    <w:rsid w:val="00FD37B4"/>
    <w:rsid w:val="00FD531E"/>
    <w:rsid w:val="00FE0BEA"/>
    <w:rsid w:val="00FE2D6C"/>
    <w:rsid w:val="00FE2FFA"/>
    <w:rsid w:val="00FE7F40"/>
    <w:rsid w:val="00FF5CBB"/>
    <w:rsid w:val="00FF6389"/>
    <w:rsid w:val="00FF7022"/>
    <w:rsid w:val="00FF759F"/>
    <w:rsid w:val="00FF79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7ECC"/>
    <w:rPr>
      <w:sz w:val="24"/>
      <w:szCs w:val="24"/>
      <w:lang w:eastAsia="tr-TR"/>
    </w:rPr>
  </w:style>
  <w:style w:type="paragraph" w:styleId="Heading1">
    <w:name w:val="heading 1"/>
    <w:basedOn w:val="Normal"/>
    <w:next w:val="Normal"/>
    <w:qFormat/>
    <w:rsid w:val="00024559"/>
    <w:pPr>
      <w:keepNext/>
      <w:tabs>
        <w:tab w:val="num" w:pos="432"/>
      </w:tabs>
      <w:suppressAutoHyphens/>
      <w:ind w:left="432" w:hanging="432"/>
      <w:jc w:val="center"/>
      <w:outlineLvl w:val="0"/>
    </w:pPr>
    <w:rPr>
      <w:rFonts w:ascii="Arial" w:hAnsi="Arial"/>
      <w:b/>
      <w:iCs/>
      <w:sz w:val="18"/>
      <w:szCs w:val="18"/>
      <w:lang w:eastAsia="ar-SA"/>
    </w:rPr>
  </w:style>
  <w:style w:type="paragraph" w:styleId="Heading2">
    <w:name w:val="heading 2"/>
    <w:basedOn w:val="Normal"/>
    <w:next w:val="Normal"/>
    <w:qFormat/>
    <w:rsid w:val="00024559"/>
    <w:pPr>
      <w:keepNext/>
      <w:tabs>
        <w:tab w:val="num" w:pos="576"/>
      </w:tabs>
      <w:suppressAutoHyphens/>
      <w:spacing w:before="240" w:after="60"/>
      <w:ind w:left="576" w:hanging="576"/>
      <w:outlineLvl w:val="1"/>
    </w:pPr>
    <w:rPr>
      <w:rFonts w:ascii="Arial" w:hAnsi="Arial" w:cs="Arial"/>
      <w:b/>
      <w:bCs/>
      <w:i/>
      <w:iCs/>
      <w:sz w:val="28"/>
      <w:szCs w:val="28"/>
      <w:lang w:val="en-GB" w:eastAsia="ar-SA"/>
    </w:rPr>
  </w:style>
  <w:style w:type="paragraph" w:styleId="Heading3">
    <w:name w:val="heading 3"/>
    <w:basedOn w:val="Normal"/>
    <w:next w:val="Normal"/>
    <w:qFormat/>
    <w:rsid w:val="00024559"/>
    <w:pPr>
      <w:keepNext/>
      <w:tabs>
        <w:tab w:val="num" w:pos="720"/>
      </w:tabs>
      <w:suppressAutoHyphens/>
      <w:spacing w:before="240" w:after="60"/>
      <w:ind w:left="720" w:hanging="720"/>
      <w:outlineLvl w:val="2"/>
    </w:pPr>
    <w:rPr>
      <w:rFonts w:ascii="Arial" w:hAnsi="Arial" w:cs="Arial"/>
      <w:b/>
      <w:bCs/>
      <w:sz w:val="26"/>
      <w:szCs w:val="26"/>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7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D0799D"/>
    <w:rPr>
      <w:sz w:val="20"/>
      <w:szCs w:val="20"/>
    </w:rPr>
  </w:style>
  <w:style w:type="character" w:styleId="FootnoteReference">
    <w:name w:val="footnote reference"/>
    <w:basedOn w:val="DefaultParagraphFont"/>
    <w:uiPriority w:val="99"/>
    <w:semiHidden/>
    <w:rsid w:val="00D0799D"/>
    <w:rPr>
      <w:vertAlign w:val="superscript"/>
    </w:rPr>
  </w:style>
  <w:style w:type="paragraph" w:styleId="BalloonText">
    <w:name w:val="Balloon Text"/>
    <w:basedOn w:val="Normal"/>
    <w:semiHidden/>
    <w:rsid w:val="00BF17E5"/>
    <w:rPr>
      <w:rFonts w:ascii="Tahoma" w:hAnsi="Tahoma" w:cs="Tahoma"/>
      <w:sz w:val="16"/>
      <w:szCs w:val="16"/>
    </w:rPr>
  </w:style>
  <w:style w:type="character" w:styleId="Hyperlink">
    <w:name w:val="Hyperlink"/>
    <w:basedOn w:val="DefaultParagraphFont"/>
    <w:rsid w:val="00E81CDD"/>
    <w:rPr>
      <w:color w:val="0000FF"/>
      <w:u w:val="single"/>
    </w:rPr>
  </w:style>
  <w:style w:type="character" w:customStyle="1" w:styleId="FootnoteTextChar">
    <w:name w:val="Footnote Text Char"/>
    <w:basedOn w:val="DefaultParagraphFont"/>
    <w:link w:val="FootnoteText"/>
    <w:uiPriority w:val="99"/>
    <w:semiHidden/>
    <w:locked/>
    <w:rsid w:val="001F275D"/>
    <w:rPr>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7ECC"/>
    <w:rPr>
      <w:sz w:val="24"/>
      <w:szCs w:val="24"/>
      <w:lang w:eastAsia="tr-TR"/>
    </w:rPr>
  </w:style>
  <w:style w:type="paragraph" w:styleId="Heading1">
    <w:name w:val="heading 1"/>
    <w:basedOn w:val="Normal"/>
    <w:next w:val="Normal"/>
    <w:qFormat/>
    <w:rsid w:val="00024559"/>
    <w:pPr>
      <w:keepNext/>
      <w:tabs>
        <w:tab w:val="num" w:pos="432"/>
      </w:tabs>
      <w:suppressAutoHyphens/>
      <w:ind w:left="432" w:hanging="432"/>
      <w:jc w:val="center"/>
      <w:outlineLvl w:val="0"/>
    </w:pPr>
    <w:rPr>
      <w:rFonts w:ascii="Arial" w:hAnsi="Arial"/>
      <w:b/>
      <w:iCs/>
      <w:sz w:val="18"/>
      <w:szCs w:val="18"/>
      <w:lang w:eastAsia="ar-SA"/>
    </w:rPr>
  </w:style>
  <w:style w:type="paragraph" w:styleId="Heading2">
    <w:name w:val="heading 2"/>
    <w:basedOn w:val="Normal"/>
    <w:next w:val="Normal"/>
    <w:qFormat/>
    <w:rsid w:val="00024559"/>
    <w:pPr>
      <w:keepNext/>
      <w:tabs>
        <w:tab w:val="num" w:pos="576"/>
      </w:tabs>
      <w:suppressAutoHyphens/>
      <w:spacing w:before="240" w:after="60"/>
      <w:ind w:left="576" w:hanging="576"/>
      <w:outlineLvl w:val="1"/>
    </w:pPr>
    <w:rPr>
      <w:rFonts w:ascii="Arial" w:hAnsi="Arial" w:cs="Arial"/>
      <w:b/>
      <w:bCs/>
      <w:i/>
      <w:iCs/>
      <w:sz w:val="28"/>
      <w:szCs w:val="28"/>
      <w:lang w:val="en-GB" w:eastAsia="ar-SA"/>
    </w:rPr>
  </w:style>
  <w:style w:type="paragraph" w:styleId="Heading3">
    <w:name w:val="heading 3"/>
    <w:basedOn w:val="Normal"/>
    <w:next w:val="Normal"/>
    <w:qFormat/>
    <w:rsid w:val="00024559"/>
    <w:pPr>
      <w:keepNext/>
      <w:tabs>
        <w:tab w:val="num" w:pos="720"/>
      </w:tabs>
      <w:suppressAutoHyphens/>
      <w:spacing w:before="240" w:after="60"/>
      <w:ind w:left="720" w:hanging="720"/>
      <w:outlineLvl w:val="2"/>
    </w:pPr>
    <w:rPr>
      <w:rFonts w:ascii="Arial" w:hAnsi="Arial" w:cs="Arial"/>
      <w:b/>
      <w:bCs/>
      <w:sz w:val="26"/>
      <w:szCs w:val="26"/>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7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D0799D"/>
    <w:rPr>
      <w:sz w:val="20"/>
      <w:szCs w:val="20"/>
    </w:rPr>
  </w:style>
  <w:style w:type="character" w:styleId="FootnoteReference">
    <w:name w:val="footnote reference"/>
    <w:basedOn w:val="DefaultParagraphFont"/>
    <w:uiPriority w:val="99"/>
    <w:semiHidden/>
    <w:rsid w:val="00D0799D"/>
    <w:rPr>
      <w:vertAlign w:val="superscript"/>
    </w:rPr>
  </w:style>
  <w:style w:type="paragraph" w:styleId="BalloonText">
    <w:name w:val="Balloon Text"/>
    <w:basedOn w:val="Normal"/>
    <w:semiHidden/>
    <w:rsid w:val="00BF17E5"/>
    <w:rPr>
      <w:rFonts w:ascii="Tahoma" w:hAnsi="Tahoma" w:cs="Tahoma"/>
      <w:sz w:val="16"/>
      <w:szCs w:val="16"/>
    </w:rPr>
  </w:style>
  <w:style w:type="character" w:styleId="Hyperlink">
    <w:name w:val="Hyperlink"/>
    <w:basedOn w:val="DefaultParagraphFont"/>
    <w:rsid w:val="00E81CDD"/>
    <w:rPr>
      <w:color w:val="0000FF"/>
      <w:u w:val="single"/>
    </w:rPr>
  </w:style>
  <w:style w:type="character" w:customStyle="1" w:styleId="FootnoteTextChar">
    <w:name w:val="Footnote Text Char"/>
    <w:basedOn w:val="DefaultParagraphFont"/>
    <w:link w:val="FootnoteText"/>
    <w:uiPriority w:val="99"/>
    <w:semiHidden/>
    <w:locked/>
    <w:rsid w:val="001F275D"/>
    <w:rPr>
      <w:lang w:eastAsia="tr-TR"/>
    </w:rPr>
  </w:style>
</w:styles>
</file>

<file path=word/webSettings.xml><?xml version="1.0" encoding="utf-8"?>
<w:webSettings xmlns:r="http://schemas.openxmlformats.org/officeDocument/2006/relationships" xmlns:w="http://schemas.openxmlformats.org/wordprocessingml/2006/main">
  <w:divs>
    <w:div w:id="1038817145">
      <w:bodyDiv w:val="1"/>
      <w:marLeft w:val="0"/>
      <w:marRight w:val="0"/>
      <w:marTop w:val="375"/>
      <w:marBottom w:val="0"/>
      <w:divBdr>
        <w:top w:val="none" w:sz="0" w:space="0" w:color="auto"/>
        <w:left w:val="none" w:sz="0" w:space="0" w:color="auto"/>
        <w:bottom w:val="none" w:sz="0" w:space="0" w:color="auto"/>
        <w:right w:val="none" w:sz="0" w:space="0" w:color="auto"/>
      </w:divBdr>
    </w:div>
    <w:div w:id="122941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D343D-7875-4B70-96DB-EAF33C229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7</Pages>
  <Words>1555</Words>
  <Characters>8866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unv</Company>
  <LinksUpToDate>false</LinksUpToDate>
  <CharactersWithSpaces>10401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baris.soybilgen</dc:creator>
  <cp:lastModifiedBy>baris.soybilgen</cp:lastModifiedBy>
  <cp:revision>51</cp:revision>
  <cp:lastPrinted>2013-01-18T13:53:00Z</cp:lastPrinted>
  <dcterms:created xsi:type="dcterms:W3CDTF">2013-01-18T14:15:00Z</dcterms:created>
  <dcterms:modified xsi:type="dcterms:W3CDTF">2013-01-30T11:22:00Z</dcterms:modified>
</cp:coreProperties>
</file>