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8B2149" w:rsidRDefault="00AB717C" w:rsidP="001E4BF5">
      <w:pPr>
        <w:spacing w:line="360" w:lineRule="auto"/>
        <w:ind w:right="-319"/>
        <w:jc w:val="center"/>
        <w:outlineLvl w:val="0"/>
        <w:rPr>
          <w:rFonts w:ascii="Arial" w:hAnsi="Arial" w:cs="Arial"/>
          <w:b/>
          <w:sz w:val="32"/>
          <w:szCs w:val="32"/>
        </w:rPr>
      </w:pPr>
      <w:r>
        <w:rPr>
          <w:rFonts w:ascii="Arial" w:hAnsi="Arial" w:cs="Arial"/>
          <w:b/>
          <w:noProof/>
          <w:sz w:val="32"/>
          <w:szCs w:val="32"/>
          <w:lang w:val="tr-TR"/>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5E45BB" w:rsidRPr="005E45BB">
        <w:rPr>
          <w:rFonts w:ascii="Arial" w:hAnsi="Arial" w:cs="Arial"/>
          <w:b/>
          <w:noProof/>
          <w:sz w:val="32"/>
          <w:szCs w:val="32"/>
          <w:lang w:eastAsia="en-US"/>
        </w:rPr>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YPzkYYwCAAAdBQAADgAAAAAAAAAAAAAAAAAuAgAAZHJzL2Uyb0RvYy54bWxQSwECLQAU&#10;AAYACAAAACEAbnw7794AAAAJAQAADwAAAAAAAAAAAAAAAADmBAAAZHJzL2Rvd25yZXYueG1sUEsF&#10;BgAAAAAEAAQA8wAAAPEFAAAAAA==&#10;" stroked="f">
            <v:fill opacity="0"/>
            <v:textbox inset="0,0,0,0">
              <w:txbxContent>
                <w:p w:rsidR="008F5ED9" w:rsidRPr="00342E6B" w:rsidRDefault="008F5ED9" w:rsidP="00024559">
                  <w:pPr>
                    <w:pStyle w:val="Balk1"/>
                    <w:rPr>
                      <w:rFonts w:ascii="Times New Roman" w:hAnsi="Times New Roman"/>
                      <w:sz w:val="40"/>
                      <w:szCs w:val="40"/>
                    </w:rPr>
                  </w:pPr>
                  <w:r>
                    <w:rPr>
                      <w:rFonts w:ascii="Times New Roman" w:hAnsi="Times New Roman"/>
                      <w:sz w:val="40"/>
                      <w:szCs w:val="40"/>
                    </w:rPr>
                    <w:t>Econ</w:t>
                  </w:r>
                  <w:r w:rsidR="00230A81">
                    <w:rPr>
                      <w:rFonts w:ascii="Times New Roman" w:hAnsi="Times New Roman"/>
                      <w:sz w:val="40"/>
                      <w:szCs w:val="40"/>
                    </w:rPr>
                    <w:t xml:space="preserve">omic Outlook and Forecasts: </w:t>
                  </w:r>
                  <w:r w:rsidR="00CF4040">
                    <w:rPr>
                      <w:rFonts w:ascii="Times New Roman" w:hAnsi="Times New Roman"/>
                      <w:sz w:val="40"/>
                      <w:szCs w:val="40"/>
                    </w:rPr>
                    <w:t>December</w:t>
                  </w:r>
                  <w:r w:rsidR="00C6542A">
                    <w:rPr>
                      <w:rFonts w:ascii="Times New Roman" w:hAnsi="Times New Roman"/>
                      <w:sz w:val="40"/>
                      <w:szCs w:val="40"/>
                    </w:rPr>
                    <w:t xml:space="preserve"> 2012</w:t>
                  </w:r>
                </w:p>
                <w:p w:rsidR="008F5ED9" w:rsidRPr="00A75A46" w:rsidRDefault="008F5ED9" w:rsidP="00024559">
                  <w:pPr>
                    <w:pStyle w:val="Balk2"/>
                    <w:rPr>
                      <w:b w:val="0"/>
                      <w:i w:val="0"/>
                      <w:lang w:val="nl-NL"/>
                    </w:rPr>
                  </w:pPr>
                </w:p>
              </w:txbxContent>
            </v:textbox>
          </v:shape>
        </w:pict>
      </w:r>
    </w:p>
    <w:p w:rsidR="00357ECC" w:rsidRPr="008B2149" w:rsidRDefault="005E45BB" w:rsidP="001E4BF5">
      <w:pPr>
        <w:spacing w:line="360" w:lineRule="auto"/>
        <w:ind w:right="-319"/>
        <w:jc w:val="center"/>
        <w:outlineLvl w:val="0"/>
        <w:rPr>
          <w:rFonts w:ascii="Arial" w:hAnsi="Arial" w:cs="Arial"/>
          <w:b/>
          <w:sz w:val="32"/>
          <w:szCs w:val="32"/>
        </w:rPr>
      </w:pPr>
      <w:r w:rsidRPr="005E45BB">
        <w:rPr>
          <w:rFonts w:ascii="Arial" w:hAnsi="Arial" w:cs="Arial"/>
          <w:b/>
          <w:noProof/>
          <w:lang w:eastAsia="en-US"/>
        </w:rPr>
        <w:lastRenderedPageBreak/>
        <w:pict>
          <v:shape id="Text Box 27" o:spid="_x0000_s1027" type="#_x0000_t202" style="position:absolute;left:0;text-align:left;margin-left:149.25pt;margin-top:9pt;width:137.3pt;height:27.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aLjwIAACQ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" stroked="f">
            <v:fill opacity="0"/>
            <v:textbox inset="0,0,0,0">
              <w:txbxContent>
                <w:p w:rsidR="008F5ED9" w:rsidRPr="0015586B" w:rsidRDefault="00C6542A" w:rsidP="00FA48DD">
                  <w:pPr>
                    <w:pStyle w:val="Balk3"/>
                    <w:tabs>
                      <w:tab w:val="clear" w:pos="720"/>
                    </w:tabs>
                    <w:ind w:left="0" w:firstLine="0"/>
                    <w:rPr>
                      <w:color w:val="FFFFFF"/>
                      <w:sz w:val="22"/>
                      <w:szCs w:val="22"/>
                      <w:lang w:val="tr-TR"/>
                    </w:rPr>
                  </w:pPr>
                  <w:r>
                    <w:rPr>
                      <w:color w:val="FFFFFF"/>
                      <w:sz w:val="22"/>
                      <w:szCs w:val="22"/>
                      <w:lang w:val="tr-TR"/>
                    </w:rPr>
                    <w:t>September 19,</w:t>
                  </w:r>
                  <w:r w:rsidR="008F5ED9">
                    <w:rPr>
                      <w:color w:val="FFFFFF"/>
                      <w:sz w:val="22"/>
                      <w:szCs w:val="22"/>
                      <w:lang w:val="tr-TR"/>
                    </w:rPr>
                    <w:t xml:space="preserve"> 201</w:t>
                  </w:r>
                  <w:r>
                    <w:rPr>
                      <w:color w:val="FFFFFF"/>
                      <w:sz w:val="22"/>
                      <w:szCs w:val="22"/>
                      <w:lang w:val="tr-TR"/>
                    </w:rPr>
                    <w:t>2</w:t>
                  </w:r>
                </w:p>
                <w:p w:rsidR="008F5ED9" w:rsidRDefault="008F5ED9" w:rsidP="00024559"/>
              </w:txbxContent>
            </v:textbox>
          </v:shape>
        </w:pict>
      </w:r>
    </w:p>
    <w:p w:rsidR="00357ECC" w:rsidRPr="008B2149" w:rsidRDefault="00357ECC" w:rsidP="001E4BF5">
      <w:pPr>
        <w:spacing w:line="360" w:lineRule="auto"/>
        <w:ind w:right="-319"/>
        <w:jc w:val="center"/>
        <w:outlineLvl w:val="0"/>
        <w:rPr>
          <w:rFonts w:ascii="Arial" w:hAnsi="Arial" w:cs="Arial"/>
          <w:b/>
          <w:sz w:val="32"/>
          <w:szCs w:val="32"/>
        </w:rPr>
        <w:sectPr w:rsidR="00357ECC" w:rsidRPr="008B2149" w:rsidSect="00357ECC">
          <w:pgSz w:w="11906" w:h="16838"/>
          <w:pgMar w:top="1417" w:right="1417" w:bottom="1417" w:left="1417" w:header="708" w:footer="708" w:gutter="0"/>
          <w:cols w:num="2" w:space="708" w:equalWidth="0">
            <w:col w:w="4182" w:space="708"/>
            <w:col w:w="4182"/>
          </w:cols>
          <w:docGrid w:linePitch="360"/>
        </w:sectPr>
      </w:pPr>
    </w:p>
    <w:p w:rsidR="00357ECC" w:rsidRPr="008B2149" w:rsidRDefault="00357ECC" w:rsidP="001E4BF5">
      <w:pPr>
        <w:spacing w:line="360" w:lineRule="auto"/>
        <w:ind w:right="-319"/>
        <w:outlineLvl w:val="0"/>
        <w:rPr>
          <w:rFonts w:ascii="Arial" w:hAnsi="Arial" w:cs="Arial"/>
          <w:b/>
          <w:sz w:val="32"/>
          <w:szCs w:val="32"/>
        </w:rPr>
      </w:pPr>
    </w:p>
    <w:p w:rsidR="00D271E9" w:rsidRPr="00B062A2" w:rsidRDefault="00B10F74" w:rsidP="005F62CB">
      <w:pPr>
        <w:spacing w:line="360" w:lineRule="auto"/>
        <w:ind w:right="-319"/>
        <w:jc w:val="center"/>
        <w:outlineLvl w:val="0"/>
        <w:rPr>
          <w:rFonts w:ascii="Arial" w:hAnsi="Arial" w:cs="Arial"/>
          <w:b/>
          <w:caps/>
          <w:sz w:val="26"/>
          <w:szCs w:val="26"/>
        </w:rPr>
      </w:pPr>
      <w:r>
        <w:rPr>
          <w:rFonts w:ascii="Arial" w:hAnsi="Arial" w:cs="Arial"/>
          <w:b/>
          <w:caps/>
          <w:sz w:val="26"/>
          <w:szCs w:val="26"/>
        </w:rPr>
        <w:t>Revival in the 4</w:t>
      </w:r>
      <w:r w:rsidRPr="00B10F74">
        <w:rPr>
          <w:rFonts w:ascii="Arial" w:hAnsi="Arial" w:cs="Arial"/>
          <w:b/>
          <w:caps/>
          <w:sz w:val="26"/>
          <w:szCs w:val="26"/>
          <w:vertAlign w:val="superscript"/>
        </w:rPr>
        <w:t>th</w:t>
      </w:r>
      <w:r>
        <w:rPr>
          <w:rFonts w:ascii="Arial" w:hAnsi="Arial" w:cs="Arial"/>
          <w:b/>
          <w:caps/>
          <w:sz w:val="26"/>
          <w:szCs w:val="26"/>
        </w:rPr>
        <w:t xml:space="preserve"> quarter</w:t>
      </w:r>
      <w:bookmarkStart w:id="0" w:name="_GoBack"/>
      <w:bookmarkEnd w:id="0"/>
    </w:p>
    <w:p w:rsidR="001E4BF5" w:rsidRPr="008B2149" w:rsidRDefault="001E4BF5" w:rsidP="001E4BF5">
      <w:pPr>
        <w:spacing w:line="360" w:lineRule="auto"/>
        <w:ind w:right="-319"/>
        <w:jc w:val="center"/>
        <w:outlineLvl w:val="0"/>
        <w:rPr>
          <w:rFonts w:ascii="Arial" w:hAnsi="Arial" w:cs="Arial"/>
          <w:b/>
          <w:sz w:val="20"/>
          <w:szCs w:val="20"/>
        </w:rPr>
      </w:pPr>
    </w:p>
    <w:p w:rsidR="00357ECC" w:rsidRPr="008B2149" w:rsidRDefault="00357ECC" w:rsidP="003B5209">
      <w:pPr>
        <w:spacing w:line="360" w:lineRule="auto"/>
        <w:ind w:right="-319"/>
        <w:jc w:val="center"/>
        <w:outlineLvl w:val="0"/>
        <w:rPr>
          <w:rFonts w:ascii="Arial" w:hAnsi="Arial" w:cs="Arial"/>
          <w:b/>
          <w:vertAlign w:val="superscript"/>
        </w:rPr>
      </w:pPr>
      <w:r w:rsidRPr="008B2149">
        <w:rPr>
          <w:rFonts w:ascii="Arial" w:hAnsi="Arial" w:cs="Arial"/>
          <w:b/>
        </w:rPr>
        <w:t>Zümrüt</w:t>
      </w:r>
      <w:r w:rsidR="00573338">
        <w:rPr>
          <w:rFonts w:ascii="Arial" w:hAnsi="Arial" w:cs="Arial"/>
          <w:b/>
        </w:rPr>
        <w:t xml:space="preserve"> </w:t>
      </w:r>
      <w:r w:rsidRPr="008B2149">
        <w:rPr>
          <w:rFonts w:ascii="Arial" w:hAnsi="Arial" w:cs="Arial"/>
          <w:b/>
        </w:rPr>
        <w:t>İmamoğlu* ve</w:t>
      </w:r>
      <w:r w:rsidR="00573338">
        <w:rPr>
          <w:rFonts w:ascii="Arial" w:hAnsi="Arial" w:cs="Arial"/>
          <w:b/>
        </w:rPr>
        <w:t xml:space="preserve"> </w:t>
      </w:r>
      <w:r w:rsidRPr="008B2149">
        <w:rPr>
          <w:rFonts w:ascii="Arial" w:hAnsi="Arial" w:cs="Arial"/>
          <w:b/>
        </w:rPr>
        <w:t>Barış</w:t>
      </w:r>
      <w:r w:rsidR="00573338">
        <w:rPr>
          <w:rFonts w:ascii="Arial" w:hAnsi="Arial" w:cs="Arial"/>
          <w:b/>
        </w:rPr>
        <w:t xml:space="preserve"> </w:t>
      </w:r>
      <w:r w:rsidRPr="008B2149">
        <w:rPr>
          <w:rFonts w:ascii="Arial" w:hAnsi="Arial" w:cs="Arial"/>
          <w:b/>
        </w:rPr>
        <w:t>Soybilgen</w:t>
      </w:r>
      <w:r w:rsidRPr="008B2149">
        <w:rPr>
          <w:rFonts w:ascii="Arial" w:hAnsi="Arial" w:cs="Arial"/>
          <w:b/>
          <w:vertAlign w:val="superscript"/>
        </w:rPr>
        <w:t>†</w:t>
      </w:r>
    </w:p>
    <w:p w:rsidR="00FC36DC" w:rsidRPr="008B2149" w:rsidRDefault="00FC36DC" w:rsidP="003B5209">
      <w:pPr>
        <w:spacing w:line="360" w:lineRule="auto"/>
        <w:ind w:right="-319"/>
        <w:jc w:val="center"/>
        <w:outlineLvl w:val="0"/>
        <w:rPr>
          <w:rFonts w:ascii="Arial" w:hAnsi="Arial" w:cs="Arial"/>
          <w:sz w:val="20"/>
          <w:szCs w:val="20"/>
          <w:vertAlign w:val="superscript"/>
        </w:rPr>
      </w:pPr>
    </w:p>
    <w:p w:rsidR="001A2051" w:rsidRPr="008B2149" w:rsidRDefault="001A2051" w:rsidP="003B5209">
      <w:pPr>
        <w:spacing w:line="360" w:lineRule="auto"/>
        <w:ind w:right="-319"/>
        <w:jc w:val="center"/>
        <w:outlineLvl w:val="0"/>
        <w:rPr>
          <w:rFonts w:ascii="Arial" w:hAnsi="Arial" w:cs="Arial"/>
          <w:sz w:val="20"/>
          <w:szCs w:val="20"/>
          <w:vertAlign w:val="superscript"/>
        </w:rPr>
        <w:sectPr w:rsidR="001A2051" w:rsidRPr="008B2149" w:rsidSect="00357ECC">
          <w:type w:val="continuous"/>
          <w:pgSz w:w="11906" w:h="16838"/>
          <w:pgMar w:top="1417" w:right="1417" w:bottom="1417" w:left="1417" w:header="708" w:footer="708" w:gutter="0"/>
          <w:cols w:space="708"/>
          <w:docGrid w:linePitch="360"/>
        </w:sectPr>
      </w:pPr>
    </w:p>
    <w:p w:rsidR="008C38E5" w:rsidRPr="008B2149" w:rsidRDefault="008C38E5" w:rsidP="008C38E5">
      <w:pPr>
        <w:spacing w:line="360" w:lineRule="auto"/>
        <w:ind w:left="-360" w:right="42" w:firstLine="360"/>
        <w:jc w:val="center"/>
        <w:rPr>
          <w:b/>
          <w:sz w:val="22"/>
          <w:szCs w:val="22"/>
        </w:rPr>
      </w:pPr>
      <w:r w:rsidRPr="008B2149">
        <w:rPr>
          <w:b/>
          <w:sz w:val="22"/>
          <w:szCs w:val="22"/>
        </w:rPr>
        <w:lastRenderedPageBreak/>
        <w:t>Executive Summary</w:t>
      </w:r>
    </w:p>
    <w:p w:rsidR="008C38E5" w:rsidRPr="008B2149" w:rsidRDefault="008C38E5" w:rsidP="008C38E5">
      <w:pPr>
        <w:spacing w:line="360" w:lineRule="auto"/>
        <w:ind w:left="-360" w:right="42" w:firstLine="360"/>
        <w:jc w:val="center"/>
        <w:rPr>
          <w:b/>
          <w:sz w:val="22"/>
          <w:szCs w:val="22"/>
        </w:rPr>
      </w:pPr>
    </w:p>
    <w:p w:rsidR="00B12FD3" w:rsidRPr="005743FF" w:rsidRDefault="00B12FD3" w:rsidP="00003567">
      <w:pPr>
        <w:spacing w:line="360" w:lineRule="auto"/>
        <w:ind w:left="-360" w:right="40"/>
        <w:jc w:val="both"/>
        <w:rPr>
          <w:sz w:val="22"/>
          <w:szCs w:val="22"/>
        </w:rPr>
      </w:pPr>
      <w:r w:rsidRPr="005743FF">
        <w:rPr>
          <w:sz w:val="22"/>
          <w:szCs w:val="22"/>
        </w:rPr>
        <w:t xml:space="preserve">In </w:t>
      </w:r>
      <w:r w:rsidR="00E646F1">
        <w:rPr>
          <w:sz w:val="22"/>
          <w:szCs w:val="22"/>
        </w:rPr>
        <w:t>October</w:t>
      </w:r>
      <w:r w:rsidRPr="005743FF">
        <w:rPr>
          <w:sz w:val="22"/>
          <w:szCs w:val="22"/>
        </w:rPr>
        <w:t>,</w:t>
      </w:r>
      <w:r w:rsidR="00573338">
        <w:rPr>
          <w:sz w:val="22"/>
          <w:szCs w:val="22"/>
        </w:rPr>
        <w:t xml:space="preserve"> the</w:t>
      </w:r>
      <w:r w:rsidRPr="005743FF">
        <w:rPr>
          <w:sz w:val="22"/>
          <w:szCs w:val="22"/>
        </w:rPr>
        <w:t xml:space="preserve"> industrial production index (IPI) </w:t>
      </w:r>
      <w:r w:rsidR="00770BBA">
        <w:rPr>
          <w:sz w:val="22"/>
          <w:szCs w:val="22"/>
        </w:rPr>
        <w:t>decreased</w:t>
      </w:r>
      <w:r w:rsidRPr="005743FF">
        <w:rPr>
          <w:sz w:val="22"/>
          <w:szCs w:val="22"/>
        </w:rPr>
        <w:t xml:space="preserve"> by </w:t>
      </w:r>
      <w:r w:rsidR="00E646F1">
        <w:rPr>
          <w:sz w:val="22"/>
          <w:szCs w:val="22"/>
        </w:rPr>
        <w:t xml:space="preserve">2.6 </w:t>
      </w:r>
      <w:r w:rsidRPr="005743FF">
        <w:rPr>
          <w:sz w:val="22"/>
          <w:szCs w:val="22"/>
        </w:rPr>
        <w:t xml:space="preserve">percent from </w:t>
      </w:r>
      <w:r w:rsidR="00E646F1">
        <w:rPr>
          <w:sz w:val="22"/>
          <w:szCs w:val="22"/>
        </w:rPr>
        <w:t>September</w:t>
      </w:r>
      <w:r w:rsidRPr="005743FF">
        <w:rPr>
          <w:sz w:val="22"/>
          <w:szCs w:val="22"/>
        </w:rPr>
        <w:t xml:space="preserve">. Export volume index </w:t>
      </w:r>
      <w:r w:rsidR="00E646F1">
        <w:rPr>
          <w:sz w:val="22"/>
          <w:szCs w:val="22"/>
        </w:rPr>
        <w:t>increased by 3.5</w:t>
      </w:r>
      <w:r w:rsidRPr="005743FF">
        <w:rPr>
          <w:sz w:val="22"/>
          <w:szCs w:val="22"/>
        </w:rPr>
        <w:t xml:space="preserve"> percent</w:t>
      </w:r>
      <w:r w:rsidR="00500C2E">
        <w:rPr>
          <w:sz w:val="22"/>
          <w:szCs w:val="22"/>
        </w:rPr>
        <w:t>,</w:t>
      </w:r>
      <w:r w:rsidRPr="005743FF">
        <w:rPr>
          <w:sz w:val="22"/>
          <w:szCs w:val="22"/>
        </w:rPr>
        <w:t xml:space="preserve"> whereas import volume index </w:t>
      </w:r>
      <w:r w:rsidR="00E646F1">
        <w:rPr>
          <w:sz w:val="22"/>
          <w:szCs w:val="22"/>
        </w:rPr>
        <w:t>decreased by 1.4</w:t>
      </w:r>
      <w:r w:rsidRPr="005743FF">
        <w:rPr>
          <w:sz w:val="22"/>
          <w:szCs w:val="22"/>
        </w:rPr>
        <w:t xml:space="preserve"> percent. According to first indicators, there </w:t>
      </w:r>
      <w:r w:rsidR="00E646F1">
        <w:rPr>
          <w:sz w:val="22"/>
          <w:szCs w:val="22"/>
        </w:rPr>
        <w:t>m</w:t>
      </w:r>
      <w:r w:rsidR="006C162B">
        <w:rPr>
          <w:sz w:val="22"/>
          <w:szCs w:val="22"/>
        </w:rPr>
        <w:t>ight</w:t>
      </w:r>
      <w:r w:rsidR="00E646F1">
        <w:rPr>
          <w:sz w:val="22"/>
          <w:szCs w:val="22"/>
        </w:rPr>
        <w:t xml:space="preserve"> be</w:t>
      </w:r>
      <w:r w:rsidRPr="005743FF">
        <w:rPr>
          <w:sz w:val="22"/>
          <w:szCs w:val="22"/>
        </w:rPr>
        <w:t xml:space="preserve"> a</w:t>
      </w:r>
      <w:r w:rsidR="00E646F1">
        <w:rPr>
          <w:sz w:val="22"/>
          <w:szCs w:val="22"/>
        </w:rPr>
        <w:t xml:space="preserve"> limited</w:t>
      </w:r>
      <w:r w:rsidR="00500C2E">
        <w:rPr>
          <w:sz w:val="22"/>
          <w:szCs w:val="22"/>
        </w:rPr>
        <w:t xml:space="preserve"> </w:t>
      </w:r>
      <w:r w:rsidR="006C162B">
        <w:rPr>
          <w:sz w:val="22"/>
          <w:szCs w:val="22"/>
        </w:rPr>
        <w:t>increase</w:t>
      </w:r>
      <w:r w:rsidRPr="005743FF">
        <w:rPr>
          <w:sz w:val="22"/>
          <w:szCs w:val="22"/>
        </w:rPr>
        <w:t xml:space="preserve"> in private investment expenditure</w:t>
      </w:r>
      <w:r w:rsidR="00E646F1">
        <w:rPr>
          <w:sz w:val="22"/>
          <w:szCs w:val="22"/>
        </w:rPr>
        <w:t>, and</w:t>
      </w:r>
      <w:r w:rsidR="00770BBA">
        <w:rPr>
          <w:sz w:val="22"/>
          <w:szCs w:val="22"/>
        </w:rPr>
        <w:t xml:space="preserve"> the</w:t>
      </w:r>
      <w:r w:rsidR="00E646F1">
        <w:rPr>
          <w:sz w:val="22"/>
          <w:szCs w:val="22"/>
        </w:rPr>
        <w:t xml:space="preserve"> revival in consumption </w:t>
      </w:r>
      <w:r w:rsidR="006C162B">
        <w:rPr>
          <w:sz w:val="22"/>
          <w:szCs w:val="22"/>
        </w:rPr>
        <w:t xml:space="preserve">that </w:t>
      </w:r>
      <w:r w:rsidR="00E646F1">
        <w:rPr>
          <w:sz w:val="22"/>
          <w:szCs w:val="22"/>
        </w:rPr>
        <w:t xml:space="preserve">began in the </w:t>
      </w:r>
      <w:r w:rsidR="006C162B">
        <w:rPr>
          <w:sz w:val="22"/>
          <w:szCs w:val="22"/>
        </w:rPr>
        <w:t>third</w:t>
      </w:r>
      <w:r w:rsidR="00E646F1">
        <w:rPr>
          <w:sz w:val="22"/>
          <w:szCs w:val="22"/>
        </w:rPr>
        <w:t xml:space="preserve"> quarter </w:t>
      </w:r>
      <w:r w:rsidR="00770BBA">
        <w:rPr>
          <w:sz w:val="22"/>
          <w:szCs w:val="22"/>
        </w:rPr>
        <w:t>may continue in</w:t>
      </w:r>
      <w:r w:rsidR="006C162B">
        <w:rPr>
          <w:sz w:val="22"/>
          <w:szCs w:val="22"/>
        </w:rPr>
        <w:t>to</w:t>
      </w:r>
      <w:r w:rsidR="00F446CE">
        <w:rPr>
          <w:sz w:val="22"/>
          <w:szCs w:val="22"/>
        </w:rPr>
        <w:t xml:space="preserve"> the</w:t>
      </w:r>
      <w:r w:rsidR="00E646F1">
        <w:rPr>
          <w:sz w:val="22"/>
          <w:szCs w:val="22"/>
        </w:rPr>
        <w:t xml:space="preserve"> </w:t>
      </w:r>
      <w:r w:rsidR="006C162B">
        <w:rPr>
          <w:sz w:val="22"/>
          <w:szCs w:val="22"/>
        </w:rPr>
        <w:t>fourth</w:t>
      </w:r>
      <w:r w:rsidR="00E646F1">
        <w:rPr>
          <w:sz w:val="22"/>
          <w:szCs w:val="22"/>
        </w:rPr>
        <w:t xml:space="preserve"> quarter.  Even though IPI declined in October, positive expectations about November seem to</w:t>
      </w:r>
      <w:r w:rsidR="006C162B">
        <w:rPr>
          <w:sz w:val="22"/>
          <w:szCs w:val="22"/>
        </w:rPr>
        <w:t xml:space="preserve"> be</w:t>
      </w:r>
      <w:r w:rsidR="00E646F1">
        <w:rPr>
          <w:sz w:val="22"/>
          <w:szCs w:val="22"/>
        </w:rPr>
        <w:t xml:space="preserve"> reflect</w:t>
      </w:r>
      <w:r w:rsidR="006C162B">
        <w:rPr>
          <w:sz w:val="22"/>
          <w:szCs w:val="22"/>
        </w:rPr>
        <w:t>ed</w:t>
      </w:r>
      <w:r w:rsidR="00E646F1">
        <w:rPr>
          <w:sz w:val="22"/>
          <w:szCs w:val="22"/>
        </w:rPr>
        <w:t xml:space="preserve">  in </w:t>
      </w:r>
      <w:r w:rsidR="00F446CE">
        <w:rPr>
          <w:sz w:val="22"/>
          <w:szCs w:val="22"/>
        </w:rPr>
        <w:t>the real sector confidence index.</w:t>
      </w:r>
      <w:r w:rsidR="00500C2E">
        <w:rPr>
          <w:sz w:val="22"/>
          <w:szCs w:val="22"/>
        </w:rPr>
        <w:t xml:space="preserve"> </w:t>
      </w:r>
      <w:r w:rsidR="00003567">
        <w:rPr>
          <w:sz w:val="22"/>
          <w:szCs w:val="22"/>
        </w:rPr>
        <w:t xml:space="preserve">Overall, economic indicators </w:t>
      </w:r>
      <w:r w:rsidR="0031360B">
        <w:rPr>
          <w:sz w:val="22"/>
          <w:szCs w:val="22"/>
        </w:rPr>
        <w:t>imply</w:t>
      </w:r>
      <w:r w:rsidR="00003567">
        <w:rPr>
          <w:sz w:val="22"/>
          <w:szCs w:val="22"/>
        </w:rPr>
        <w:t xml:space="preserve"> a revival in the fourth quarter compared to the third quarter. </w:t>
      </w:r>
      <w:r w:rsidRPr="005743FF">
        <w:rPr>
          <w:sz w:val="22"/>
          <w:szCs w:val="22"/>
        </w:rPr>
        <w:t>Betam’s quarter on quarter (Qo</w:t>
      </w:r>
      <w:r w:rsidR="00003567">
        <w:rPr>
          <w:sz w:val="22"/>
          <w:szCs w:val="22"/>
        </w:rPr>
        <w:t>Q) growth forecast for the fourth</w:t>
      </w:r>
      <w:r w:rsidRPr="005743FF">
        <w:rPr>
          <w:sz w:val="22"/>
          <w:szCs w:val="22"/>
        </w:rPr>
        <w:t xml:space="preserve"> quarter of 2012 is </w:t>
      </w:r>
      <w:r w:rsidR="00003567">
        <w:rPr>
          <w:sz w:val="22"/>
          <w:szCs w:val="22"/>
        </w:rPr>
        <w:t>1.2</w:t>
      </w:r>
      <w:r w:rsidRPr="005743FF">
        <w:rPr>
          <w:sz w:val="22"/>
          <w:szCs w:val="22"/>
        </w:rPr>
        <w:t xml:space="preserve"> percent. The corresponding year on year (YoY) growth rate is </w:t>
      </w:r>
      <w:r w:rsidR="00003567">
        <w:rPr>
          <w:sz w:val="22"/>
          <w:szCs w:val="22"/>
        </w:rPr>
        <w:t>3.0 percent and the annual GDP growth rate</w:t>
      </w:r>
      <w:r w:rsidR="008F391E">
        <w:rPr>
          <w:sz w:val="22"/>
          <w:szCs w:val="22"/>
        </w:rPr>
        <w:t xml:space="preserve"> estimate</w:t>
      </w:r>
      <w:r w:rsidR="00003567">
        <w:rPr>
          <w:sz w:val="22"/>
          <w:szCs w:val="22"/>
        </w:rPr>
        <w:t xml:space="preserve"> for 2012 is 2.7 percent.</w:t>
      </w:r>
    </w:p>
    <w:p w:rsidR="00B12FD3" w:rsidRPr="005743FF" w:rsidRDefault="00B12FD3" w:rsidP="00B12FD3">
      <w:pPr>
        <w:spacing w:line="360" w:lineRule="auto"/>
        <w:ind w:left="-360" w:right="40"/>
        <w:jc w:val="both"/>
        <w:rPr>
          <w:sz w:val="22"/>
          <w:szCs w:val="22"/>
        </w:rPr>
      </w:pPr>
    </w:p>
    <w:p w:rsidR="00500C2E" w:rsidRPr="005743FF" w:rsidRDefault="00B12FD3" w:rsidP="00500C2E">
      <w:pPr>
        <w:spacing w:line="360" w:lineRule="auto"/>
        <w:ind w:left="-360" w:right="40"/>
        <w:jc w:val="both"/>
        <w:rPr>
          <w:sz w:val="22"/>
          <w:szCs w:val="22"/>
        </w:rPr>
      </w:pPr>
      <w:r w:rsidRPr="005743FF">
        <w:rPr>
          <w:sz w:val="22"/>
          <w:szCs w:val="22"/>
        </w:rPr>
        <w:t>The current account deficit</w:t>
      </w:r>
      <w:r w:rsidR="00003567">
        <w:rPr>
          <w:sz w:val="22"/>
          <w:szCs w:val="22"/>
        </w:rPr>
        <w:t xml:space="preserve"> (CAD)</w:t>
      </w:r>
      <w:r w:rsidR="0031360B">
        <w:rPr>
          <w:sz w:val="22"/>
          <w:szCs w:val="22"/>
        </w:rPr>
        <w:t xml:space="preserve"> continued</w:t>
      </w:r>
      <w:r w:rsidRPr="005743FF">
        <w:rPr>
          <w:sz w:val="22"/>
          <w:szCs w:val="22"/>
        </w:rPr>
        <w:t xml:space="preserve"> to decline</w:t>
      </w:r>
      <w:r w:rsidR="00003567">
        <w:rPr>
          <w:sz w:val="22"/>
          <w:szCs w:val="22"/>
        </w:rPr>
        <w:t xml:space="preserve"> in October and</w:t>
      </w:r>
      <w:r w:rsidR="00500C2E">
        <w:rPr>
          <w:sz w:val="22"/>
          <w:szCs w:val="22"/>
        </w:rPr>
        <w:t xml:space="preserve"> </w:t>
      </w:r>
      <w:r w:rsidR="00003567">
        <w:rPr>
          <w:sz w:val="22"/>
          <w:szCs w:val="22"/>
        </w:rPr>
        <w:t>t</w:t>
      </w:r>
      <w:r w:rsidRPr="005743FF">
        <w:rPr>
          <w:sz w:val="22"/>
          <w:szCs w:val="22"/>
        </w:rPr>
        <w:t xml:space="preserve">he 12-month current account deficit </w:t>
      </w:r>
      <w:r w:rsidR="008F391E">
        <w:rPr>
          <w:sz w:val="22"/>
          <w:szCs w:val="22"/>
        </w:rPr>
        <w:t xml:space="preserve">ended up at $41 billion. Even though the </w:t>
      </w:r>
      <w:r w:rsidR="00003567">
        <w:rPr>
          <w:sz w:val="22"/>
          <w:szCs w:val="22"/>
        </w:rPr>
        <w:t>base</w:t>
      </w:r>
      <w:r w:rsidR="008F391E">
        <w:rPr>
          <w:sz w:val="22"/>
          <w:szCs w:val="22"/>
        </w:rPr>
        <w:t xml:space="preserve"> </w:t>
      </w:r>
      <w:r w:rsidR="00BF37B8" w:rsidRPr="00500C2E">
        <w:rPr>
          <w:bCs/>
          <w:sz w:val="22"/>
          <w:szCs w:val="22"/>
        </w:rPr>
        <w:t>effect diminishes in November</w:t>
      </w:r>
      <w:r w:rsidR="008F391E">
        <w:rPr>
          <w:bCs/>
          <w:sz w:val="22"/>
          <w:szCs w:val="22"/>
        </w:rPr>
        <w:t xml:space="preserve"> </w:t>
      </w:r>
      <w:r w:rsidR="00BF37B8" w:rsidRPr="00500C2E">
        <w:rPr>
          <w:bCs/>
          <w:sz w:val="22"/>
          <w:szCs w:val="22"/>
        </w:rPr>
        <w:t>and December, we</w:t>
      </w:r>
      <w:r w:rsidR="008F391E">
        <w:rPr>
          <w:bCs/>
          <w:sz w:val="22"/>
          <w:szCs w:val="22"/>
        </w:rPr>
        <w:t xml:space="preserve"> </w:t>
      </w:r>
      <w:r w:rsidR="008F391E" w:rsidRPr="00500C2E">
        <w:rPr>
          <w:bCs/>
          <w:sz w:val="22"/>
          <w:szCs w:val="22"/>
        </w:rPr>
        <w:t>ex</w:t>
      </w:r>
      <w:r w:rsidR="008F391E">
        <w:rPr>
          <w:bCs/>
          <w:sz w:val="22"/>
          <w:szCs w:val="22"/>
        </w:rPr>
        <w:t>pect that the decline in CAD</w:t>
      </w:r>
    </w:p>
    <w:p w:rsidR="00A2686F" w:rsidRPr="008B2149" w:rsidRDefault="005E45BB" w:rsidP="00A2686F">
      <w:pPr>
        <w:spacing w:line="288" w:lineRule="auto"/>
        <w:ind w:left="-360" w:right="-318"/>
        <w:jc w:val="both"/>
        <w:rPr>
          <w:rFonts w:ascii="Arial" w:hAnsi="Arial" w:cs="Arial"/>
          <w:sz w:val="20"/>
          <w:szCs w:val="20"/>
        </w:rPr>
      </w:pPr>
      <w:r w:rsidRPr="005E45BB">
        <w:rPr>
          <w:rFonts w:ascii="Arial" w:hAnsi="Arial" w:cs="Arial"/>
          <w:noProof/>
          <w:sz w:val="20"/>
          <w:szCs w:val="20"/>
          <w:lang w:eastAsia="en-US"/>
        </w:rPr>
      </w:r>
      <w:r>
        <w:rPr>
          <w:rFonts w:ascii="Arial" w:hAnsi="Arial" w:cs="Arial"/>
          <w:noProof/>
          <w:sz w:val="20"/>
          <w:szCs w:val="20"/>
          <w:lang w:eastAsia="en-US"/>
        </w:rPr>
        <w:pict>
          <v:group id="Canvas 62" o:spid="_x0000_s1029"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457;visibility:visible">
              <v:fill o:detectmouseclick="t"/>
              <v:path o:connecttype="none"/>
            </v:shape>
            <v:line id="Line 64" o:spid="_x0000_s1028" style="position:absolute;visibility:visible" from="0,0" to="2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Dr. Zümrüt</w:t>
      </w:r>
      <w:r w:rsidR="00500C2E">
        <w:rPr>
          <w:rFonts w:ascii="Arial" w:hAnsi="Arial" w:cs="Arial"/>
          <w:sz w:val="16"/>
          <w:szCs w:val="16"/>
        </w:rPr>
        <w:t xml:space="preserve"> </w:t>
      </w:r>
      <w:r w:rsidRPr="008B2149">
        <w:rPr>
          <w:rFonts w:ascii="Arial" w:hAnsi="Arial" w:cs="Arial"/>
          <w:sz w:val="16"/>
          <w:szCs w:val="16"/>
        </w:rPr>
        <w:t>İmamoğlu, Betam, Research Associate.</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xml:space="preserve">  zumrut.imamoglu@bahcesehir.edu.tr</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vertAlign w:val="superscript"/>
        </w:rPr>
        <w:t xml:space="preserve">† </w:t>
      </w:r>
      <w:r w:rsidRPr="008B2149">
        <w:rPr>
          <w:rFonts w:ascii="Arial" w:hAnsi="Arial" w:cs="Arial"/>
          <w:sz w:val="16"/>
          <w:szCs w:val="16"/>
        </w:rPr>
        <w:t>Barış</w:t>
      </w:r>
      <w:r w:rsidR="00500C2E">
        <w:rPr>
          <w:rFonts w:ascii="Arial" w:hAnsi="Arial" w:cs="Arial"/>
          <w:sz w:val="16"/>
          <w:szCs w:val="16"/>
        </w:rPr>
        <w:t xml:space="preserve"> </w:t>
      </w:r>
      <w:r w:rsidRPr="008B2149">
        <w:rPr>
          <w:rFonts w:ascii="Arial" w:hAnsi="Arial" w:cs="Arial"/>
          <w:sz w:val="16"/>
          <w:szCs w:val="16"/>
        </w:rPr>
        <w:t>Soybilgen, Betam, Research Assistant,</w:t>
      </w:r>
    </w:p>
    <w:p w:rsidR="006454DC" w:rsidRPr="008B2149" w:rsidRDefault="00E81CDD" w:rsidP="00736C84">
      <w:pPr>
        <w:ind w:left="-360"/>
        <w:rPr>
          <w:rFonts w:ascii="Arial" w:hAnsi="Arial" w:cs="Arial"/>
          <w:sz w:val="16"/>
          <w:szCs w:val="16"/>
        </w:rPr>
      </w:pPr>
      <w:r w:rsidRPr="008B2149">
        <w:rPr>
          <w:rFonts w:ascii="Arial" w:hAnsi="Arial" w:cs="Arial"/>
          <w:sz w:val="16"/>
          <w:szCs w:val="16"/>
        </w:rPr>
        <w:t>baris.soybilgen@bahcesehir.edu.tr</w:t>
      </w: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BE56E0" w:rsidRDefault="00BE56E0" w:rsidP="001F275D">
      <w:pPr>
        <w:ind w:right="42"/>
        <w:jc w:val="both"/>
        <w:rPr>
          <w:b/>
          <w:sz w:val="22"/>
          <w:szCs w:val="22"/>
        </w:rPr>
      </w:pPr>
    </w:p>
    <w:p w:rsidR="008E32CB" w:rsidRPr="008B2149" w:rsidRDefault="008C38E5" w:rsidP="008C38E5">
      <w:pPr>
        <w:ind w:left="-360" w:right="42"/>
        <w:jc w:val="both"/>
        <w:rPr>
          <w:b/>
          <w:sz w:val="22"/>
          <w:szCs w:val="22"/>
        </w:rPr>
      </w:pPr>
      <w:r w:rsidRPr="008B2149">
        <w:rPr>
          <w:b/>
          <w:sz w:val="22"/>
          <w:szCs w:val="22"/>
        </w:rPr>
        <w:t>Table 1.Betam’s quarterly and annual growth rate forecasts</w:t>
      </w:r>
    </w:p>
    <w:tbl>
      <w:tblPr>
        <w:tblpPr w:leftFromText="141" w:rightFromText="141" w:vertAnchor="text" w:horzAnchor="margin" w:tblpXSpec="right" w:tblpY="129"/>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186"/>
      </w:tblGrid>
      <w:tr w:rsidR="00BE56E0" w:rsidRPr="008B2149" w:rsidTr="00BE56E0">
        <w:trPr>
          <w:trHeight w:val="986"/>
        </w:trPr>
        <w:tc>
          <w:tcPr>
            <w:tcW w:w="3302" w:type="dxa"/>
            <w:tcBorders>
              <w:right w:val="single" w:sz="4" w:space="0" w:color="auto"/>
            </w:tcBorders>
            <w:tcMar>
              <w:left w:w="28" w:type="dxa"/>
              <w:right w:w="28" w:type="dxa"/>
            </w:tcMar>
            <w:vAlign w:val="center"/>
          </w:tcPr>
          <w:p w:rsidR="00BE56E0" w:rsidRPr="008B2149" w:rsidRDefault="00BE56E0" w:rsidP="00A878F4">
            <w:pPr>
              <w:ind w:right="42"/>
              <w:jc w:val="center"/>
              <w:rPr>
                <w:sz w:val="20"/>
                <w:szCs w:val="20"/>
              </w:rPr>
            </w:pPr>
          </w:p>
        </w:tc>
        <w:tc>
          <w:tcPr>
            <w:tcW w:w="1186" w:type="dxa"/>
            <w:tcBorders>
              <w:left w:val="single" w:sz="4" w:space="0" w:color="auto"/>
            </w:tcBorders>
            <w:tcMar>
              <w:left w:w="0" w:type="dxa"/>
              <w:right w:w="0" w:type="dxa"/>
            </w:tcMar>
            <w:vAlign w:val="center"/>
          </w:tcPr>
          <w:p w:rsidR="00BE56E0" w:rsidRPr="008B2149" w:rsidRDefault="00BE56E0" w:rsidP="00A878F4">
            <w:pPr>
              <w:ind w:right="40"/>
              <w:jc w:val="center"/>
              <w:rPr>
                <w:b/>
                <w:sz w:val="20"/>
                <w:szCs w:val="20"/>
              </w:rPr>
            </w:pPr>
            <w:r w:rsidRPr="008B2149">
              <w:rPr>
                <w:b/>
                <w:sz w:val="20"/>
                <w:szCs w:val="20"/>
              </w:rPr>
              <w:t>2012</w:t>
            </w:r>
          </w:p>
          <w:p w:rsidR="00BE56E0" w:rsidRPr="008B2149" w:rsidRDefault="00D62EB2" w:rsidP="001116C3">
            <w:pPr>
              <w:ind w:right="40"/>
              <w:jc w:val="center"/>
              <w:rPr>
                <w:b/>
                <w:sz w:val="20"/>
                <w:szCs w:val="20"/>
              </w:rPr>
            </w:pPr>
            <w:r>
              <w:rPr>
                <w:b/>
                <w:sz w:val="20"/>
                <w:szCs w:val="20"/>
              </w:rPr>
              <w:t>4</w:t>
            </w:r>
            <w:r w:rsidRPr="00D62EB2">
              <w:rPr>
                <w:b/>
                <w:sz w:val="20"/>
                <w:szCs w:val="20"/>
                <w:vertAlign w:val="superscript"/>
              </w:rPr>
              <w:t>th</w:t>
            </w:r>
            <w:r w:rsidR="00BE56E0" w:rsidRPr="008B2149">
              <w:rPr>
                <w:b/>
                <w:sz w:val="20"/>
                <w:szCs w:val="20"/>
              </w:rPr>
              <w:t xml:space="preserve"> Quarter Forecast</w:t>
            </w:r>
          </w:p>
        </w:tc>
      </w:tr>
      <w:tr w:rsidR="00BE56E0" w:rsidRPr="008B2149" w:rsidTr="00BE56E0">
        <w:trPr>
          <w:trHeight w:val="771"/>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b/>
                <w:sz w:val="20"/>
                <w:szCs w:val="20"/>
              </w:rPr>
            </w:pPr>
            <w:r w:rsidRPr="008B2149">
              <w:rPr>
                <w:b/>
                <w:sz w:val="20"/>
                <w:szCs w:val="20"/>
              </w:rPr>
              <w:t xml:space="preserve">Real GDP growth, % </w:t>
            </w:r>
          </w:p>
          <w:p w:rsidR="00BE56E0" w:rsidRPr="008B2149" w:rsidRDefault="00BE56E0" w:rsidP="004716A6">
            <w:pPr>
              <w:ind w:right="42"/>
              <w:rPr>
                <w:sz w:val="20"/>
                <w:szCs w:val="20"/>
              </w:rPr>
            </w:pPr>
            <w:r w:rsidRPr="008B2149">
              <w:rPr>
                <w:sz w:val="20"/>
                <w:szCs w:val="20"/>
              </w:rPr>
              <w:t>(quarter on quarter, sa*)</w:t>
            </w:r>
          </w:p>
        </w:tc>
        <w:tc>
          <w:tcPr>
            <w:tcW w:w="1186" w:type="dxa"/>
            <w:tcBorders>
              <w:left w:val="single" w:sz="4" w:space="0" w:color="auto"/>
            </w:tcBorders>
            <w:vAlign w:val="center"/>
          </w:tcPr>
          <w:p w:rsidR="00BE56E0" w:rsidRPr="008B2149" w:rsidRDefault="00CF4040" w:rsidP="004716A6">
            <w:pPr>
              <w:ind w:right="42"/>
              <w:jc w:val="center"/>
              <w:rPr>
                <w:sz w:val="20"/>
                <w:szCs w:val="20"/>
              </w:rPr>
            </w:pPr>
            <w:r>
              <w:rPr>
                <w:sz w:val="20"/>
                <w:szCs w:val="20"/>
              </w:rPr>
              <w:t>1.2</w:t>
            </w:r>
          </w:p>
        </w:tc>
      </w:tr>
      <w:tr w:rsidR="00BE56E0" w:rsidRPr="008B2149" w:rsidTr="00BE56E0">
        <w:trPr>
          <w:trHeight w:val="756"/>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Real GDP growth, %</w:t>
            </w:r>
          </w:p>
          <w:p w:rsidR="00BE56E0" w:rsidRPr="008B2149" w:rsidRDefault="00BE56E0" w:rsidP="004716A6">
            <w:pPr>
              <w:ind w:right="42"/>
              <w:rPr>
                <w:sz w:val="20"/>
                <w:szCs w:val="20"/>
              </w:rPr>
            </w:pPr>
            <w:r w:rsidRPr="008B2149">
              <w:rPr>
                <w:sz w:val="20"/>
                <w:szCs w:val="20"/>
              </w:rPr>
              <w:t>(year on year, ca**)</w:t>
            </w:r>
          </w:p>
        </w:tc>
        <w:tc>
          <w:tcPr>
            <w:tcW w:w="1186" w:type="dxa"/>
            <w:tcBorders>
              <w:left w:val="single" w:sz="4" w:space="0" w:color="auto"/>
            </w:tcBorders>
            <w:vAlign w:val="center"/>
          </w:tcPr>
          <w:p w:rsidR="00BE56E0" w:rsidRPr="008B2149" w:rsidRDefault="00CF4040" w:rsidP="004716A6">
            <w:pPr>
              <w:ind w:right="42"/>
              <w:jc w:val="center"/>
              <w:rPr>
                <w:sz w:val="20"/>
                <w:szCs w:val="20"/>
              </w:rPr>
            </w:pPr>
            <w:r>
              <w:rPr>
                <w:sz w:val="20"/>
                <w:szCs w:val="20"/>
              </w:rPr>
              <w:t>3.0</w:t>
            </w:r>
          </w:p>
        </w:tc>
      </w:tr>
      <w:tr w:rsidR="00BE56E0" w:rsidRPr="008B2149" w:rsidTr="00BE56E0">
        <w:trPr>
          <w:trHeight w:val="583"/>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Current account deficit</w:t>
            </w:r>
          </w:p>
          <w:p w:rsidR="00BE56E0" w:rsidRPr="008B2149" w:rsidRDefault="00BE56E0" w:rsidP="004716A6">
            <w:pPr>
              <w:ind w:right="40"/>
              <w:rPr>
                <w:sz w:val="20"/>
                <w:szCs w:val="20"/>
              </w:rPr>
            </w:pPr>
            <w:r w:rsidRPr="008B2149">
              <w:rPr>
                <w:sz w:val="20"/>
                <w:szCs w:val="20"/>
              </w:rPr>
              <w:t>(% of GDP, annual)</w:t>
            </w:r>
          </w:p>
        </w:tc>
        <w:tc>
          <w:tcPr>
            <w:tcW w:w="1186" w:type="dxa"/>
            <w:tcBorders>
              <w:left w:val="single" w:sz="4" w:space="0" w:color="auto"/>
            </w:tcBorders>
            <w:vAlign w:val="center"/>
          </w:tcPr>
          <w:p w:rsidR="00BE56E0" w:rsidRPr="008B2149" w:rsidRDefault="00CF4040" w:rsidP="004716A6">
            <w:pPr>
              <w:ind w:right="40"/>
              <w:jc w:val="center"/>
              <w:rPr>
                <w:sz w:val="20"/>
                <w:szCs w:val="20"/>
              </w:rPr>
            </w:pPr>
            <w:r>
              <w:rPr>
                <w:sz w:val="20"/>
                <w:szCs w:val="20"/>
              </w:rPr>
              <w:t>6.3</w:t>
            </w:r>
          </w:p>
        </w:tc>
      </w:tr>
      <w:tr w:rsidR="00D62EB2" w:rsidRPr="008B2149" w:rsidTr="00BE56E0">
        <w:trPr>
          <w:trHeight w:val="583"/>
        </w:trPr>
        <w:tc>
          <w:tcPr>
            <w:tcW w:w="3302" w:type="dxa"/>
            <w:tcBorders>
              <w:right w:val="single" w:sz="4" w:space="0" w:color="auto"/>
            </w:tcBorders>
            <w:tcMar>
              <w:left w:w="28" w:type="dxa"/>
              <w:right w:w="28" w:type="dxa"/>
            </w:tcMar>
            <w:vAlign w:val="center"/>
          </w:tcPr>
          <w:p w:rsidR="00D62EB2" w:rsidRPr="008B2149" w:rsidRDefault="00D62EB2" w:rsidP="004716A6">
            <w:pPr>
              <w:spacing w:line="360" w:lineRule="auto"/>
              <w:ind w:right="42"/>
              <w:rPr>
                <w:b/>
                <w:sz w:val="20"/>
                <w:szCs w:val="20"/>
              </w:rPr>
            </w:pPr>
          </w:p>
        </w:tc>
        <w:tc>
          <w:tcPr>
            <w:tcW w:w="1186" w:type="dxa"/>
            <w:tcBorders>
              <w:left w:val="single" w:sz="4" w:space="0" w:color="auto"/>
            </w:tcBorders>
            <w:vAlign w:val="center"/>
          </w:tcPr>
          <w:p w:rsidR="00D62EB2" w:rsidRPr="00102FC6" w:rsidRDefault="00102FC6" w:rsidP="004716A6">
            <w:pPr>
              <w:ind w:right="40"/>
              <w:jc w:val="center"/>
              <w:rPr>
                <w:b/>
                <w:sz w:val="20"/>
                <w:szCs w:val="20"/>
              </w:rPr>
            </w:pPr>
            <w:r w:rsidRPr="00102FC6">
              <w:rPr>
                <w:b/>
                <w:sz w:val="20"/>
                <w:szCs w:val="20"/>
              </w:rPr>
              <w:t>2012 Annual Growth</w:t>
            </w:r>
          </w:p>
        </w:tc>
      </w:tr>
      <w:tr w:rsidR="00102FC6" w:rsidRPr="008B2149" w:rsidTr="00BE56E0">
        <w:trPr>
          <w:trHeight w:val="583"/>
        </w:trPr>
        <w:tc>
          <w:tcPr>
            <w:tcW w:w="3302" w:type="dxa"/>
            <w:tcBorders>
              <w:right w:val="single" w:sz="4" w:space="0" w:color="auto"/>
            </w:tcBorders>
            <w:tcMar>
              <w:left w:w="28" w:type="dxa"/>
              <w:right w:w="28" w:type="dxa"/>
            </w:tcMar>
            <w:vAlign w:val="center"/>
          </w:tcPr>
          <w:p w:rsidR="00102FC6" w:rsidRPr="008B2149" w:rsidRDefault="00102FC6" w:rsidP="004716A6">
            <w:pPr>
              <w:spacing w:line="360" w:lineRule="auto"/>
              <w:ind w:right="42"/>
              <w:rPr>
                <w:b/>
                <w:sz w:val="20"/>
                <w:szCs w:val="20"/>
              </w:rPr>
            </w:pPr>
            <w:r>
              <w:rPr>
                <w:b/>
                <w:sz w:val="20"/>
                <w:szCs w:val="20"/>
              </w:rPr>
              <w:t xml:space="preserve">Real GDP growth, % </w:t>
            </w:r>
          </w:p>
        </w:tc>
        <w:tc>
          <w:tcPr>
            <w:tcW w:w="1186" w:type="dxa"/>
            <w:tcBorders>
              <w:left w:val="single" w:sz="4" w:space="0" w:color="auto"/>
            </w:tcBorders>
            <w:vAlign w:val="center"/>
          </w:tcPr>
          <w:p w:rsidR="00102FC6" w:rsidRDefault="00CF4040" w:rsidP="004716A6">
            <w:pPr>
              <w:ind w:right="40"/>
              <w:jc w:val="center"/>
              <w:rPr>
                <w:sz w:val="20"/>
                <w:szCs w:val="20"/>
              </w:rPr>
            </w:pPr>
            <w:r>
              <w:rPr>
                <w:sz w:val="20"/>
                <w:szCs w:val="20"/>
              </w:rPr>
              <w:t>2.7</w:t>
            </w:r>
          </w:p>
        </w:tc>
      </w:tr>
    </w:tbl>
    <w:p w:rsidR="008C38E5" w:rsidRPr="008B2149" w:rsidRDefault="008C38E5" w:rsidP="00BE56E0">
      <w:pPr>
        <w:ind w:right="40"/>
        <w:rPr>
          <w:sz w:val="4"/>
          <w:szCs w:val="4"/>
        </w:rPr>
      </w:pP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Source: Betam</w:t>
      </w: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 xml:space="preserve"> *sa: seasonally and calendar day adjusted </w:t>
      </w:r>
    </w:p>
    <w:p w:rsidR="00383A6E" w:rsidRPr="008B2149" w:rsidRDefault="008C38E5" w:rsidP="008C38E5">
      <w:pPr>
        <w:spacing w:line="360" w:lineRule="auto"/>
        <w:ind w:left="-360" w:right="42"/>
        <w:jc w:val="both"/>
        <w:rPr>
          <w:rFonts w:ascii="Arial" w:hAnsi="Arial" w:cs="Arial"/>
          <w:sz w:val="20"/>
          <w:szCs w:val="20"/>
        </w:rPr>
      </w:pPr>
      <w:r w:rsidRPr="008B2149">
        <w:rPr>
          <w:rFonts w:ascii="Arial" w:hAnsi="Arial" w:cs="Arial"/>
          <w:sz w:val="16"/>
          <w:szCs w:val="16"/>
        </w:rPr>
        <w:t xml:space="preserve"> **ca: calendar day adjusted</w:t>
      </w:r>
    </w:p>
    <w:p w:rsidR="008B74EE" w:rsidRDefault="008B74EE" w:rsidP="008B74EE">
      <w:pPr>
        <w:rPr>
          <w:b/>
          <w:sz w:val="22"/>
          <w:szCs w:val="22"/>
        </w:rPr>
      </w:pPr>
    </w:p>
    <w:p w:rsidR="00B12FD3" w:rsidRPr="00500C2E" w:rsidRDefault="008F391E" w:rsidP="00500C2E">
      <w:pPr>
        <w:spacing w:line="360" w:lineRule="auto"/>
        <w:ind w:left="-360"/>
        <w:jc w:val="both"/>
        <w:rPr>
          <w:bCs/>
          <w:sz w:val="22"/>
          <w:szCs w:val="22"/>
        </w:rPr>
      </w:pPr>
      <w:r>
        <w:rPr>
          <w:bCs/>
          <w:sz w:val="22"/>
          <w:szCs w:val="22"/>
        </w:rPr>
        <w:t xml:space="preserve">will </w:t>
      </w:r>
      <w:r w:rsidR="00500C2E" w:rsidRPr="00500C2E">
        <w:rPr>
          <w:bCs/>
          <w:sz w:val="22"/>
          <w:szCs w:val="22"/>
        </w:rPr>
        <w:t xml:space="preserve">continue </w:t>
      </w:r>
      <w:r>
        <w:rPr>
          <w:bCs/>
          <w:sz w:val="22"/>
          <w:szCs w:val="22"/>
        </w:rPr>
        <w:t xml:space="preserve">but </w:t>
      </w:r>
      <w:r w:rsidR="00500C2E" w:rsidRPr="00500C2E">
        <w:rPr>
          <w:bCs/>
          <w:sz w:val="22"/>
          <w:szCs w:val="22"/>
        </w:rPr>
        <w:t>at a slow</w:t>
      </w:r>
      <w:r>
        <w:rPr>
          <w:bCs/>
          <w:sz w:val="22"/>
          <w:szCs w:val="22"/>
        </w:rPr>
        <w:t>er</w:t>
      </w:r>
      <w:r w:rsidR="00500C2E" w:rsidRPr="00500C2E">
        <w:rPr>
          <w:bCs/>
          <w:sz w:val="22"/>
          <w:szCs w:val="22"/>
        </w:rPr>
        <w:t xml:space="preserve"> pace</w:t>
      </w:r>
      <w:r>
        <w:rPr>
          <w:bCs/>
          <w:sz w:val="22"/>
          <w:szCs w:val="22"/>
        </w:rPr>
        <w:t>.</w:t>
      </w:r>
      <w:r w:rsidR="00500C2E" w:rsidRPr="00500C2E">
        <w:rPr>
          <w:bCs/>
          <w:sz w:val="22"/>
          <w:szCs w:val="22"/>
        </w:rPr>
        <w:t xml:space="preserve"> </w:t>
      </w:r>
      <w:r>
        <w:rPr>
          <w:bCs/>
          <w:sz w:val="22"/>
          <w:szCs w:val="22"/>
        </w:rPr>
        <w:t>We think that the</w:t>
      </w:r>
      <w:r w:rsidR="00500C2E" w:rsidRPr="00500C2E">
        <w:rPr>
          <w:bCs/>
          <w:sz w:val="22"/>
          <w:szCs w:val="22"/>
        </w:rPr>
        <w:t xml:space="preserve"> </w:t>
      </w:r>
      <w:r>
        <w:rPr>
          <w:bCs/>
          <w:sz w:val="22"/>
          <w:szCs w:val="22"/>
        </w:rPr>
        <w:t xml:space="preserve">end of year </w:t>
      </w:r>
      <w:r w:rsidR="00500C2E" w:rsidRPr="00500C2E">
        <w:rPr>
          <w:bCs/>
          <w:sz w:val="22"/>
          <w:szCs w:val="22"/>
        </w:rPr>
        <w:t xml:space="preserve">CAD </w:t>
      </w:r>
      <w:r>
        <w:rPr>
          <w:bCs/>
          <w:sz w:val="22"/>
          <w:szCs w:val="22"/>
        </w:rPr>
        <w:t>to</w:t>
      </w:r>
      <w:r w:rsidR="00500C2E" w:rsidRPr="00500C2E">
        <w:rPr>
          <w:bCs/>
          <w:sz w:val="22"/>
          <w:szCs w:val="22"/>
        </w:rPr>
        <w:t xml:space="preserve"> be</w:t>
      </w:r>
      <w:r>
        <w:rPr>
          <w:bCs/>
          <w:sz w:val="22"/>
          <w:szCs w:val="22"/>
        </w:rPr>
        <w:t xml:space="preserve"> around</w:t>
      </w:r>
      <w:r w:rsidR="00500C2E" w:rsidRPr="00500C2E">
        <w:rPr>
          <w:bCs/>
          <w:sz w:val="22"/>
          <w:szCs w:val="22"/>
        </w:rPr>
        <w:t xml:space="preserve"> $50 billion. </w:t>
      </w:r>
      <w:r w:rsidR="0031201B">
        <w:rPr>
          <w:bCs/>
          <w:sz w:val="22"/>
          <w:szCs w:val="22"/>
        </w:rPr>
        <w:t xml:space="preserve">Our </w:t>
      </w:r>
      <w:r w:rsidR="00500C2E" w:rsidRPr="00500C2E">
        <w:rPr>
          <w:bCs/>
          <w:sz w:val="22"/>
          <w:szCs w:val="22"/>
        </w:rPr>
        <w:t xml:space="preserve">forecast </w:t>
      </w:r>
      <w:r w:rsidR="0031201B">
        <w:rPr>
          <w:bCs/>
          <w:sz w:val="22"/>
          <w:szCs w:val="22"/>
        </w:rPr>
        <w:t>for</w:t>
      </w:r>
      <w:r w:rsidR="00500C2E" w:rsidRPr="00500C2E">
        <w:rPr>
          <w:bCs/>
          <w:sz w:val="22"/>
          <w:szCs w:val="22"/>
        </w:rPr>
        <w:t xml:space="preserve"> the CAD to GDP</w:t>
      </w:r>
      <w:r w:rsidR="0031201B">
        <w:rPr>
          <w:bCs/>
          <w:sz w:val="22"/>
          <w:szCs w:val="22"/>
        </w:rPr>
        <w:t xml:space="preserve"> ratio</w:t>
      </w:r>
      <w:r w:rsidR="00500C2E" w:rsidRPr="00500C2E">
        <w:rPr>
          <w:bCs/>
          <w:sz w:val="22"/>
          <w:szCs w:val="22"/>
        </w:rPr>
        <w:t>, which was 7.2 percent at the end of the</w:t>
      </w:r>
      <w:r w:rsidR="00BF37B8">
        <w:rPr>
          <w:bCs/>
          <w:sz w:val="22"/>
          <w:szCs w:val="22"/>
        </w:rPr>
        <w:t xml:space="preserve"> </w:t>
      </w:r>
      <w:r w:rsidR="00BF37B8">
        <w:rPr>
          <w:sz w:val="22"/>
          <w:szCs w:val="22"/>
        </w:rPr>
        <w:t>3</w:t>
      </w:r>
      <w:r w:rsidR="00BF37B8" w:rsidRPr="00003567">
        <w:rPr>
          <w:sz w:val="22"/>
          <w:szCs w:val="22"/>
          <w:vertAlign w:val="superscript"/>
        </w:rPr>
        <w:t>rd</w:t>
      </w:r>
      <w:r w:rsidR="00BF37B8">
        <w:rPr>
          <w:sz w:val="22"/>
          <w:szCs w:val="22"/>
          <w:vertAlign w:val="superscript"/>
        </w:rPr>
        <w:t xml:space="preserve"> </w:t>
      </w:r>
      <w:r w:rsidR="00BF37B8">
        <w:rPr>
          <w:sz w:val="22"/>
          <w:szCs w:val="22"/>
        </w:rPr>
        <w:t xml:space="preserve">quarter, </w:t>
      </w:r>
      <w:r w:rsidR="0031201B">
        <w:rPr>
          <w:sz w:val="22"/>
          <w:szCs w:val="22"/>
        </w:rPr>
        <w:t>is</w:t>
      </w:r>
      <w:r w:rsidR="00BF37B8">
        <w:rPr>
          <w:sz w:val="22"/>
          <w:szCs w:val="22"/>
        </w:rPr>
        <w:t xml:space="preserve"> 6.3 percent </w:t>
      </w:r>
      <w:r w:rsidR="005A3159">
        <w:rPr>
          <w:sz w:val="22"/>
          <w:szCs w:val="22"/>
        </w:rPr>
        <w:t>for</w:t>
      </w:r>
      <w:r w:rsidR="00BF37B8">
        <w:rPr>
          <w:sz w:val="22"/>
          <w:szCs w:val="22"/>
        </w:rPr>
        <w:t xml:space="preserve"> the end of </w:t>
      </w:r>
      <w:r w:rsidR="005A3159">
        <w:rPr>
          <w:sz w:val="22"/>
          <w:szCs w:val="22"/>
        </w:rPr>
        <w:t>the year</w:t>
      </w:r>
      <w:r w:rsidR="00BF37B8">
        <w:rPr>
          <w:sz w:val="22"/>
          <w:szCs w:val="22"/>
        </w:rPr>
        <w:t>.</w:t>
      </w:r>
    </w:p>
    <w:p w:rsidR="00B12FD3" w:rsidRDefault="00B12FD3" w:rsidP="008B74EE">
      <w:pPr>
        <w:ind w:left="-360"/>
        <w:rPr>
          <w:b/>
          <w:sz w:val="22"/>
          <w:szCs w:val="22"/>
        </w:rPr>
      </w:pPr>
    </w:p>
    <w:p w:rsidR="001F275D" w:rsidRPr="005743FF" w:rsidRDefault="0031360B" w:rsidP="001F275D">
      <w:pPr>
        <w:ind w:left="-360"/>
        <w:jc w:val="center"/>
        <w:rPr>
          <w:b/>
          <w:bCs/>
          <w:sz w:val="22"/>
          <w:szCs w:val="22"/>
        </w:rPr>
      </w:pPr>
      <w:r>
        <w:rPr>
          <w:b/>
          <w:bCs/>
          <w:sz w:val="22"/>
          <w:szCs w:val="22"/>
        </w:rPr>
        <w:t>Growth is stronger in the 4</w:t>
      </w:r>
      <w:r w:rsidRPr="0031360B">
        <w:rPr>
          <w:b/>
          <w:bCs/>
          <w:sz w:val="22"/>
          <w:szCs w:val="22"/>
          <w:vertAlign w:val="superscript"/>
        </w:rPr>
        <w:t>th</w:t>
      </w:r>
      <w:r>
        <w:rPr>
          <w:b/>
          <w:bCs/>
          <w:sz w:val="22"/>
          <w:szCs w:val="22"/>
        </w:rPr>
        <w:t xml:space="preserve"> quarter</w:t>
      </w:r>
    </w:p>
    <w:p w:rsidR="008C38E5" w:rsidRPr="008B2149" w:rsidRDefault="008C38E5" w:rsidP="008C38E5">
      <w:pPr>
        <w:spacing w:line="360" w:lineRule="auto"/>
        <w:ind w:left="-360" w:right="42"/>
        <w:rPr>
          <w:b/>
          <w:sz w:val="22"/>
          <w:szCs w:val="22"/>
        </w:rPr>
      </w:pPr>
    </w:p>
    <w:p w:rsidR="00965AA7" w:rsidRDefault="00542834" w:rsidP="001F275D">
      <w:pPr>
        <w:spacing w:line="360" w:lineRule="auto"/>
        <w:ind w:left="-360" w:right="-48"/>
        <w:jc w:val="both"/>
        <w:rPr>
          <w:bCs/>
          <w:sz w:val="22"/>
          <w:szCs w:val="22"/>
        </w:rPr>
      </w:pPr>
      <w:r>
        <w:rPr>
          <w:bCs/>
          <w:sz w:val="22"/>
          <w:szCs w:val="22"/>
        </w:rPr>
        <w:t>Even though Betam expected that the growth in the 3</w:t>
      </w:r>
      <w:r w:rsidRPr="00542834">
        <w:rPr>
          <w:bCs/>
          <w:sz w:val="22"/>
          <w:szCs w:val="22"/>
          <w:vertAlign w:val="superscript"/>
        </w:rPr>
        <w:t>rd</w:t>
      </w:r>
      <w:r>
        <w:rPr>
          <w:bCs/>
          <w:sz w:val="22"/>
          <w:szCs w:val="22"/>
        </w:rPr>
        <w:t xml:space="preserve"> quarter would slow</w:t>
      </w:r>
      <w:r w:rsidR="00BF37B8">
        <w:rPr>
          <w:bCs/>
          <w:sz w:val="22"/>
          <w:szCs w:val="22"/>
        </w:rPr>
        <w:t xml:space="preserve"> </w:t>
      </w:r>
      <w:r>
        <w:rPr>
          <w:bCs/>
          <w:sz w:val="22"/>
          <w:szCs w:val="22"/>
        </w:rPr>
        <w:t xml:space="preserve">down compared to the previous quarter growth, </w:t>
      </w:r>
      <w:r w:rsidR="00124929">
        <w:rPr>
          <w:bCs/>
          <w:sz w:val="22"/>
          <w:szCs w:val="22"/>
        </w:rPr>
        <w:t xml:space="preserve">the </w:t>
      </w:r>
      <w:r>
        <w:rPr>
          <w:bCs/>
          <w:sz w:val="22"/>
          <w:szCs w:val="22"/>
        </w:rPr>
        <w:t>3</w:t>
      </w:r>
      <w:r w:rsidRPr="00542834">
        <w:rPr>
          <w:bCs/>
          <w:sz w:val="22"/>
          <w:szCs w:val="22"/>
          <w:vertAlign w:val="superscript"/>
        </w:rPr>
        <w:t>rd</w:t>
      </w:r>
      <w:r>
        <w:rPr>
          <w:bCs/>
          <w:sz w:val="22"/>
          <w:szCs w:val="22"/>
        </w:rPr>
        <w:t xml:space="preserve"> quarter growth rate was</w:t>
      </w:r>
      <w:r w:rsidR="0031360B">
        <w:rPr>
          <w:bCs/>
          <w:sz w:val="22"/>
          <w:szCs w:val="22"/>
        </w:rPr>
        <w:t xml:space="preserve"> </w:t>
      </w:r>
      <w:r w:rsidR="00124929">
        <w:rPr>
          <w:bCs/>
          <w:sz w:val="22"/>
          <w:szCs w:val="22"/>
        </w:rPr>
        <w:t>much</w:t>
      </w:r>
      <w:r>
        <w:rPr>
          <w:bCs/>
          <w:sz w:val="22"/>
          <w:szCs w:val="22"/>
        </w:rPr>
        <w:t xml:space="preserve"> lower than our expectations. According to first indicators for the fourth quarter, growth </w:t>
      </w:r>
      <w:r w:rsidR="009128F9">
        <w:rPr>
          <w:bCs/>
          <w:sz w:val="22"/>
          <w:szCs w:val="22"/>
        </w:rPr>
        <w:t>will</w:t>
      </w:r>
      <w:r>
        <w:rPr>
          <w:bCs/>
          <w:sz w:val="22"/>
          <w:szCs w:val="22"/>
        </w:rPr>
        <w:t xml:space="preserve"> </w:t>
      </w:r>
      <w:r>
        <w:rPr>
          <w:bCs/>
          <w:sz w:val="22"/>
          <w:szCs w:val="22"/>
        </w:rPr>
        <w:lastRenderedPageBreak/>
        <w:t>be higher</w:t>
      </w:r>
      <w:r w:rsidR="009128F9">
        <w:rPr>
          <w:bCs/>
          <w:sz w:val="22"/>
          <w:szCs w:val="22"/>
        </w:rPr>
        <w:t xml:space="preserve"> this quarter</w:t>
      </w:r>
      <w:r>
        <w:rPr>
          <w:bCs/>
          <w:sz w:val="22"/>
          <w:szCs w:val="22"/>
        </w:rPr>
        <w:t xml:space="preserve">. </w:t>
      </w:r>
      <w:r w:rsidR="00E8064F">
        <w:rPr>
          <w:bCs/>
          <w:sz w:val="22"/>
          <w:szCs w:val="22"/>
        </w:rPr>
        <w:t>However,</w:t>
      </w:r>
      <w:r w:rsidR="002C0475">
        <w:rPr>
          <w:bCs/>
          <w:sz w:val="22"/>
          <w:szCs w:val="22"/>
        </w:rPr>
        <w:t xml:space="preserve"> it is </w:t>
      </w:r>
      <w:r w:rsidR="009128F9">
        <w:rPr>
          <w:bCs/>
          <w:sz w:val="22"/>
          <w:szCs w:val="22"/>
        </w:rPr>
        <w:t>doubtful</w:t>
      </w:r>
      <w:r w:rsidR="002C0475">
        <w:rPr>
          <w:bCs/>
          <w:sz w:val="22"/>
          <w:szCs w:val="22"/>
        </w:rPr>
        <w:t xml:space="preserve"> </w:t>
      </w:r>
      <w:r w:rsidR="009128F9">
        <w:rPr>
          <w:bCs/>
          <w:sz w:val="22"/>
          <w:szCs w:val="22"/>
        </w:rPr>
        <w:t>that</w:t>
      </w:r>
      <w:r w:rsidR="0031360B">
        <w:rPr>
          <w:bCs/>
          <w:sz w:val="22"/>
          <w:szCs w:val="22"/>
        </w:rPr>
        <w:t xml:space="preserve"> th</w:t>
      </w:r>
      <w:r w:rsidR="009128F9">
        <w:rPr>
          <w:bCs/>
          <w:sz w:val="22"/>
          <w:szCs w:val="22"/>
        </w:rPr>
        <w:t>e</w:t>
      </w:r>
      <w:r w:rsidR="0031360B">
        <w:rPr>
          <w:bCs/>
          <w:sz w:val="22"/>
          <w:szCs w:val="22"/>
        </w:rPr>
        <w:t xml:space="preserve"> revival</w:t>
      </w:r>
      <w:r w:rsidR="002C0475">
        <w:rPr>
          <w:bCs/>
          <w:sz w:val="22"/>
          <w:szCs w:val="22"/>
        </w:rPr>
        <w:t xml:space="preserve"> </w:t>
      </w:r>
      <w:r w:rsidR="009128F9">
        <w:rPr>
          <w:bCs/>
          <w:sz w:val="22"/>
          <w:szCs w:val="22"/>
        </w:rPr>
        <w:t>will</w:t>
      </w:r>
      <w:r w:rsidR="002C0475">
        <w:rPr>
          <w:bCs/>
          <w:sz w:val="22"/>
          <w:szCs w:val="22"/>
        </w:rPr>
        <w:t xml:space="preserve"> push up</w:t>
      </w:r>
      <w:r w:rsidR="0031360B">
        <w:rPr>
          <w:bCs/>
          <w:sz w:val="22"/>
          <w:szCs w:val="22"/>
        </w:rPr>
        <w:t xml:space="preserve"> </w:t>
      </w:r>
      <w:r w:rsidR="009128F9">
        <w:rPr>
          <w:bCs/>
          <w:sz w:val="22"/>
          <w:szCs w:val="22"/>
        </w:rPr>
        <w:t xml:space="preserve">the </w:t>
      </w:r>
      <w:r w:rsidR="0031360B">
        <w:rPr>
          <w:bCs/>
          <w:sz w:val="22"/>
          <w:szCs w:val="22"/>
        </w:rPr>
        <w:t xml:space="preserve">annual growth rate </w:t>
      </w:r>
      <w:r w:rsidR="009128F9">
        <w:rPr>
          <w:bCs/>
          <w:sz w:val="22"/>
          <w:szCs w:val="22"/>
        </w:rPr>
        <w:t>above</w:t>
      </w:r>
      <w:r w:rsidR="0031360B">
        <w:rPr>
          <w:bCs/>
          <w:sz w:val="22"/>
          <w:szCs w:val="22"/>
        </w:rPr>
        <w:t xml:space="preserve"> 3 percent</w:t>
      </w:r>
      <w:r w:rsidR="00E8064F">
        <w:rPr>
          <w:bCs/>
          <w:sz w:val="22"/>
          <w:szCs w:val="22"/>
        </w:rPr>
        <w:t xml:space="preserve">. November and December data is highly important to shed new light on this </w:t>
      </w:r>
      <w:r w:rsidR="0031360B">
        <w:rPr>
          <w:bCs/>
          <w:sz w:val="22"/>
          <w:szCs w:val="22"/>
        </w:rPr>
        <w:t>topic</w:t>
      </w:r>
      <w:r w:rsidR="00CB7096">
        <w:rPr>
          <w:bCs/>
          <w:sz w:val="22"/>
          <w:szCs w:val="22"/>
        </w:rPr>
        <w:t xml:space="preserve"> but</w:t>
      </w:r>
      <w:r w:rsidR="00E8064F">
        <w:rPr>
          <w:bCs/>
          <w:sz w:val="22"/>
          <w:szCs w:val="22"/>
        </w:rPr>
        <w:t xml:space="preserve">, </w:t>
      </w:r>
      <w:r w:rsidR="00CB7096">
        <w:rPr>
          <w:bCs/>
          <w:sz w:val="22"/>
          <w:szCs w:val="22"/>
        </w:rPr>
        <w:t xml:space="preserve">the </w:t>
      </w:r>
      <w:r w:rsidR="00E8064F">
        <w:rPr>
          <w:bCs/>
          <w:sz w:val="22"/>
          <w:szCs w:val="22"/>
        </w:rPr>
        <w:t>3.2</w:t>
      </w:r>
      <w:r w:rsidR="00D959C2">
        <w:rPr>
          <w:bCs/>
          <w:sz w:val="22"/>
          <w:szCs w:val="22"/>
        </w:rPr>
        <w:t xml:space="preserve"> percent</w:t>
      </w:r>
      <w:r w:rsidR="00E8064F">
        <w:rPr>
          <w:bCs/>
          <w:sz w:val="22"/>
          <w:szCs w:val="22"/>
        </w:rPr>
        <w:t xml:space="preserve"> annual growth rate pr</w:t>
      </w:r>
      <w:r w:rsidR="00CB7096">
        <w:rPr>
          <w:bCs/>
          <w:sz w:val="22"/>
          <w:szCs w:val="22"/>
        </w:rPr>
        <w:t>ojected by Medium Term Program</w:t>
      </w:r>
      <w:r w:rsidR="00E8064F">
        <w:rPr>
          <w:bCs/>
          <w:sz w:val="22"/>
          <w:szCs w:val="22"/>
        </w:rPr>
        <w:t xml:space="preserve"> is simply out of reach</w:t>
      </w:r>
      <w:r w:rsidR="00CB7096">
        <w:rPr>
          <w:bCs/>
          <w:sz w:val="22"/>
          <w:szCs w:val="22"/>
        </w:rPr>
        <w:t xml:space="preserve"> in 2012</w:t>
      </w:r>
      <w:r w:rsidR="00E8064F">
        <w:rPr>
          <w:bCs/>
          <w:sz w:val="22"/>
          <w:szCs w:val="22"/>
        </w:rPr>
        <w:t xml:space="preserve">. </w:t>
      </w:r>
    </w:p>
    <w:p w:rsidR="00965AA7" w:rsidRDefault="00965AA7" w:rsidP="001F275D">
      <w:pPr>
        <w:spacing w:line="360" w:lineRule="auto"/>
        <w:ind w:left="-360" w:right="-48"/>
        <w:jc w:val="both"/>
        <w:rPr>
          <w:bCs/>
          <w:sz w:val="22"/>
          <w:szCs w:val="22"/>
        </w:rPr>
      </w:pPr>
    </w:p>
    <w:p w:rsidR="00DD6027" w:rsidRDefault="00965AA7" w:rsidP="001F275D">
      <w:pPr>
        <w:spacing w:line="360" w:lineRule="auto"/>
        <w:ind w:left="-360" w:right="-48"/>
        <w:jc w:val="both"/>
        <w:rPr>
          <w:bCs/>
          <w:sz w:val="22"/>
          <w:szCs w:val="22"/>
        </w:rPr>
      </w:pPr>
      <w:r>
        <w:rPr>
          <w:bCs/>
          <w:sz w:val="22"/>
          <w:szCs w:val="22"/>
        </w:rPr>
        <w:t xml:space="preserve">The slump </w:t>
      </w:r>
      <w:r w:rsidR="007B208E">
        <w:rPr>
          <w:bCs/>
          <w:sz w:val="22"/>
          <w:szCs w:val="22"/>
        </w:rPr>
        <w:t>in the</w:t>
      </w:r>
      <w:r>
        <w:rPr>
          <w:bCs/>
          <w:sz w:val="22"/>
          <w:szCs w:val="22"/>
        </w:rPr>
        <w:t xml:space="preserve"> IPI in October is mainly caused by calendar day effects. IPI </w:t>
      </w:r>
      <w:r w:rsidR="007B208E">
        <w:rPr>
          <w:bCs/>
          <w:sz w:val="22"/>
          <w:szCs w:val="22"/>
        </w:rPr>
        <w:t xml:space="preserve">has been </w:t>
      </w:r>
      <w:r>
        <w:rPr>
          <w:bCs/>
          <w:sz w:val="22"/>
          <w:szCs w:val="22"/>
        </w:rPr>
        <w:t>volatile since May</w:t>
      </w:r>
      <w:r w:rsidR="007B208E">
        <w:rPr>
          <w:bCs/>
          <w:sz w:val="22"/>
          <w:szCs w:val="22"/>
        </w:rPr>
        <w:t>, swinging up and down every month</w:t>
      </w:r>
      <w:r>
        <w:rPr>
          <w:bCs/>
          <w:sz w:val="22"/>
          <w:szCs w:val="22"/>
        </w:rPr>
        <w:t xml:space="preserve">. Therefore, we expect </w:t>
      </w:r>
      <w:r w:rsidR="00E63FD3">
        <w:rPr>
          <w:bCs/>
          <w:sz w:val="22"/>
          <w:szCs w:val="22"/>
        </w:rPr>
        <w:t xml:space="preserve">the </w:t>
      </w:r>
      <w:r>
        <w:rPr>
          <w:bCs/>
          <w:sz w:val="22"/>
          <w:szCs w:val="22"/>
        </w:rPr>
        <w:t xml:space="preserve">IPI </w:t>
      </w:r>
      <w:r w:rsidR="007B208E">
        <w:rPr>
          <w:bCs/>
          <w:sz w:val="22"/>
          <w:szCs w:val="22"/>
        </w:rPr>
        <w:t>to</w:t>
      </w:r>
      <w:r>
        <w:rPr>
          <w:bCs/>
          <w:sz w:val="22"/>
          <w:szCs w:val="22"/>
        </w:rPr>
        <w:t xml:space="preserve"> increase again in November.</w:t>
      </w:r>
      <w:r w:rsidR="002C0475">
        <w:rPr>
          <w:bCs/>
          <w:sz w:val="22"/>
          <w:szCs w:val="22"/>
        </w:rPr>
        <w:t xml:space="preserve"> </w:t>
      </w:r>
      <w:r w:rsidR="00E63FD3">
        <w:rPr>
          <w:bCs/>
          <w:sz w:val="22"/>
          <w:szCs w:val="22"/>
        </w:rPr>
        <w:t>Two</w:t>
      </w:r>
      <w:r w:rsidR="002C0475">
        <w:rPr>
          <w:bCs/>
          <w:sz w:val="22"/>
          <w:szCs w:val="22"/>
        </w:rPr>
        <w:t xml:space="preserve"> </w:t>
      </w:r>
      <w:r w:rsidR="00487146">
        <w:rPr>
          <w:bCs/>
          <w:sz w:val="22"/>
          <w:szCs w:val="22"/>
        </w:rPr>
        <w:t>indicators</w:t>
      </w:r>
      <w:r w:rsidR="00E63FD3">
        <w:rPr>
          <w:bCs/>
          <w:sz w:val="22"/>
          <w:szCs w:val="22"/>
        </w:rPr>
        <w:t xml:space="preserve"> that</w:t>
      </w:r>
      <w:r w:rsidR="002C0475">
        <w:rPr>
          <w:bCs/>
          <w:sz w:val="22"/>
          <w:szCs w:val="22"/>
        </w:rPr>
        <w:t xml:space="preserve"> </w:t>
      </w:r>
      <w:r w:rsidR="0031360B">
        <w:rPr>
          <w:bCs/>
          <w:sz w:val="22"/>
          <w:szCs w:val="22"/>
        </w:rPr>
        <w:t>imply</w:t>
      </w:r>
      <w:r w:rsidR="00487146">
        <w:rPr>
          <w:bCs/>
          <w:sz w:val="22"/>
          <w:szCs w:val="22"/>
        </w:rPr>
        <w:t xml:space="preserve"> a</w:t>
      </w:r>
      <w:r w:rsidR="00E63FD3">
        <w:rPr>
          <w:bCs/>
          <w:sz w:val="22"/>
          <w:szCs w:val="22"/>
        </w:rPr>
        <w:t xml:space="preserve"> strong</w:t>
      </w:r>
      <w:r w:rsidR="00487146">
        <w:rPr>
          <w:bCs/>
          <w:sz w:val="22"/>
          <w:szCs w:val="22"/>
        </w:rPr>
        <w:t xml:space="preserve"> revival in the fourth quarter are </w:t>
      </w:r>
      <w:r w:rsidR="00E63FD3">
        <w:rPr>
          <w:bCs/>
          <w:sz w:val="22"/>
          <w:szCs w:val="22"/>
        </w:rPr>
        <w:t xml:space="preserve">imports of </w:t>
      </w:r>
      <w:r w:rsidR="00487146">
        <w:rPr>
          <w:bCs/>
          <w:sz w:val="22"/>
          <w:szCs w:val="22"/>
        </w:rPr>
        <w:t>consumer goods and investment goods. The ongoing increase in</w:t>
      </w:r>
      <w:r w:rsidR="002C0475">
        <w:rPr>
          <w:bCs/>
          <w:sz w:val="22"/>
          <w:szCs w:val="22"/>
        </w:rPr>
        <w:t xml:space="preserve"> the</w:t>
      </w:r>
      <w:r w:rsidR="00487146">
        <w:rPr>
          <w:bCs/>
          <w:sz w:val="22"/>
          <w:szCs w:val="22"/>
        </w:rPr>
        <w:t xml:space="preserve"> real sector confidence index and the strong rally in </w:t>
      </w:r>
      <w:r w:rsidR="00E63FD3">
        <w:rPr>
          <w:bCs/>
          <w:sz w:val="22"/>
          <w:szCs w:val="22"/>
        </w:rPr>
        <w:t>the Istanbul Stock Exchange</w:t>
      </w:r>
      <w:r w:rsidR="00487146">
        <w:rPr>
          <w:bCs/>
          <w:sz w:val="22"/>
          <w:szCs w:val="22"/>
        </w:rPr>
        <w:t xml:space="preserve"> are also positive signs for both the last quarter of 2012 and the first quarter of 2013. Finally, the recovery in the automobile</w:t>
      </w:r>
      <w:r w:rsidR="002C0475">
        <w:rPr>
          <w:bCs/>
          <w:sz w:val="22"/>
          <w:szCs w:val="22"/>
        </w:rPr>
        <w:t xml:space="preserve"> production</w:t>
      </w:r>
      <w:r w:rsidR="00487146">
        <w:rPr>
          <w:bCs/>
          <w:sz w:val="22"/>
          <w:szCs w:val="22"/>
        </w:rPr>
        <w:t xml:space="preserve"> </w:t>
      </w:r>
      <w:r w:rsidR="00D959C2">
        <w:rPr>
          <w:bCs/>
          <w:sz w:val="22"/>
          <w:szCs w:val="22"/>
        </w:rPr>
        <w:t xml:space="preserve">is a </w:t>
      </w:r>
      <w:r w:rsidR="00E63FD3">
        <w:rPr>
          <w:bCs/>
          <w:sz w:val="22"/>
          <w:szCs w:val="22"/>
        </w:rPr>
        <w:t>positive</w:t>
      </w:r>
      <w:r w:rsidR="00D959C2">
        <w:rPr>
          <w:bCs/>
          <w:sz w:val="22"/>
          <w:szCs w:val="22"/>
        </w:rPr>
        <w:t xml:space="preserve"> sign for consumption</w:t>
      </w:r>
      <w:r w:rsidR="00DD6027">
        <w:rPr>
          <w:bCs/>
          <w:sz w:val="22"/>
          <w:szCs w:val="22"/>
        </w:rPr>
        <w:t>.</w:t>
      </w:r>
    </w:p>
    <w:p w:rsidR="00DD6027" w:rsidRDefault="00DD6027" w:rsidP="001F275D">
      <w:pPr>
        <w:spacing w:line="360" w:lineRule="auto"/>
        <w:ind w:left="-360" w:right="-48"/>
        <w:jc w:val="both"/>
        <w:rPr>
          <w:bCs/>
          <w:sz w:val="22"/>
          <w:szCs w:val="22"/>
        </w:rPr>
      </w:pPr>
    </w:p>
    <w:p w:rsidR="00542834" w:rsidRDefault="00DD6027" w:rsidP="001F275D">
      <w:pPr>
        <w:spacing w:line="360" w:lineRule="auto"/>
        <w:ind w:left="-360" w:right="-48"/>
        <w:jc w:val="both"/>
        <w:rPr>
          <w:bCs/>
          <w:sz w:val="22"/>
          <w:szCs w:val="22"/>
        </w:rPr>
      </w:pPr>
      <w:r>
        <w:rPr>
          <w:bCs/>
          <w:sz w:val="22"/>
          <w:szCs w:val="22"/>
        </w:rPr>
        <w:t xml:space="preserve">On the other hand, </w:t>
      </w:r>
      <w:r w:rsidR="00DB16F5">
        <w:rPr>
          <w:bCs/>
          <w:sz w:val="22"/>
          <w:szCs w:val="22"/>
        </w:rPr>
        <w:t>C</w:t>
      </w:r>
      <w:r>
        <w:rPr>
          <w:bCs/>
          <w:sz w:val="22"/>
          <w:szCs w:val="22"/>
        </w:rPr>
        <w:t xml:space="preserve">apacity </w:t>
      </w:r>
      <w:r w:rsidR="00DB16F5">
        <w:rPr>
          <w:bCs/>
          <w:sz w:val="22"/>
          <w:szCs w:val="22"/>
        </w:rPr>
        <w:t>Utilization R</w:t>
      </w:r>
      <w:r>
        <w:rPr>
          <w:bCs/>
          <w:sz w:val="22"/>
          <w:szCs w:val="22"/>
        </w:rPr>
        <w:t>ate is nearly constant since June. Consumer confidence index cont</w:t>
      </w:r>
      <w:r w:rsidR="00DB16F5">
        <w:rPr>
          <w:bCs/>
          <w:sz w:val="22"/>
          <w:szCs w:val="22"/>
        </w:rPr>
        <w:t>inues to decline and</w:t>
      </w:r>
      <w:r>
        <w:rPr>
          <w:bCs/>
          <w:sz w:val="22"/>
          <w:szCs w:val="22"/>
        </w:rPr>
        <w:t xml:space="preserve"> </w:t>
      </w:r>
      <w:r w:rsidR="00DB16F5">
        <w:rPr>
          <w:bCs/>
          <w:sz w:val="22"/>
          <w:szCs w:val="22"/>
        </w:rPr>
        <w:t>t</w:t>
      </w:r>
      <w:r>
        <w:rPr>
          <w:bCs/>
          <w:sz w:val="22"/>
          <w:szCs w:val="22"/>
        </w:rPr>
        <w:t xml:space="preserve">he </w:t>
      </w:r>
      <w:r w:rsidR="004B358D">
        <w:rPr>
          <w:bCs/>
          <w:sz w:val="22"/>
          <w:szCs w:val="22"/>
        </w:rPr>
        <w:t xml:space="preserve">limited </w:t>
      </w:r>
      <w:r>
        <w:rPr>
          <w:bCs/>
          <w:sz w:val="22"/>
          <w:szCs w:val="22"/>
        </w:rPr>
        <w:t xml:space="preserve">increase in </w:t>
      </w:r>
      <w:r w:rsidR="004B358D">
        <w:rPr>
          <w:bCs/>
          <w:sz w:val="22"/>
          <w:szCs w:val="22"/>
        </w:rPr>
        <w:t>ex</w:t>
      </w:r>
      <w:r>
        <w:rPr>
          <w:bCs/>
          <w:sz w:val="22"/>
          <w:szCs w:val="22"/>
        </w:rPr>
        <w:t>ports</w:t>
      </w:r>
      <w:r w:rsidR="004B358D">
        <w:rPr>
          <w:bCs/>
          <w:sz w:val="22"/>
          <w:szCs w:val="22"/>
        </w:rPr>
        <w:t xml:space="preserve"> (compared to imports)</w:t>
      </w:r>
      <w:r>
        <w:rPr>
          <w:bCs/>
          <w:sz w:val="22"/>
          <w:szCs w:val="22"/>
        </w:rPr>
        <w:t xml:space="preserve"> </w:t>
      </w:r>
      <w:r w:rsidR="00DB16F5">
        <w:rPr>
          <w:bCs/>
          <w:sz w:val="22"/>
          <w:szCs w:val="22"/>
        </w:rPr>
        <w:t>excluding</w:t>
      </w:r>
      <w:r>
        <w:rPr>
          <w:bCs/>
          <w:sz w:val="22"/>
          <w:szCs w:val="22"/>
        </w:rPr>
        <w:t xml:space="preserve"> gold curb the contribution of net exports. </w:t>
      </w:r>
    </w:p>
    <w:p w:rsidR="00E8064F" w:rsidRDefault="00E8064F" w:rsidP="001F275D">
      <w:pPr>
        <w:spacing w:line="360" w:lineRule="auto"/>
        <w:ind w:left="-360" w:right="-48"/>
        <w:jc w:val="both"/>
        <w:rPr>
          <w:bCs/>
          <w:sz w:val="22"/>
          <w:szCs w:val="22"/>
        </w:rPr>
      </w:pPr>
    </w:p>
    <w:p w:rsidR="00DD6027" w:rsidRPr="005743FF" w:rsidRDefault="00DD6027" w:rsidP="00DD6027">
      <w:pPr>
        <w:spacing w:line="360" w:lineRule="auto"/>
        <w:ind w:left="-360" w:right="40"/>
        <w:jc w:val="both"/>
        <w:rPr>
          <w:sz w:val="22"/>
          <w:szCs w:val="22"/>
        </w:rPr>
      </w:pPr>
      <w:r>
        <w:rPr>
          <w:bCs/>
          <w:sz w:val="22"/>
          <w:szCs w:val="22"/>
        </w:rPr>
        <w:t>Economic indicators show that the growth will be higher in the 4</w:t>
      </w:r>
      <w:r w:rsidRPr="00DD6027">
        <w:rPr>
          <w:bCs/>
          <w:sz w:val="22"/>
          <w:szCs w:val="22"/>
          <w:vertAlign w:val="superscript"/>
        </w:rPr>
        <w:t>th</w:t>
      </w:r>
      <w:r>
        <w:rPr>
          <w:bCs/>
          <w:sz w:val="22"/>
          <w:szCs w:val="22"/>
        </w:rPr>
        <w:t xml:space="preserve"> quarter than the 3</w:t>
      </w:r>
      <w:r w:rsidRPr="00DD6027">
        <w:rPr>
          <w:bCs/>
          <w:sz w:val="22"/>
          <w:szCs w:val="22"/>
          <w:vertAlign w:val="superscript"/>
        </w:rPr>
        <w:t>rd</w:t>
      </w:r>
      <w:r>
        <w:rPr>
          <w:bCs/>
          <w:sz w:val="22"/>
          <w:szCs w:val="22"/>
        </w:rPr>
        <w:t xml:space="preserve"> quarter. </w:t>
      </w:r>
      <w:r w:rsidRPr="005743FF">
        <w:rPr>
          <w:sz w:val="22"/>
          <w:szCs w:val="22"/>
        </w:rPr>
        <w:t>Betam’s</w:t>
      </w:r>
      <w:r>
        <w:rPr>
          <w:sz w:val="22"/>
          <w:szCs w:val="22"/>
        </w:rPr>
        <w:t xml:space="preserve"> first</w:t>
      </w:r>
      <w:r w:rsidRPr="005743FF">
        <w:rPr>
          <w:sz w:val="22"/>
          <w:szCs w:val="22"/>
        </w:rPr>
        <w:t xml:space="preserve"> quarter on quarter (Qo</w:t>
      </w:r>
      <w:r>
        <w:rPr>
          <w:sz w:val="22"/>
          <w:szCs w:val="22"/>
        </w:rPr>
        <w:t>Q) growth forecast for the fourth</w:t>
      </w:r>
      <w:r w:rsidRPr="005743FF">
        <w:rPr>
          <w:sz w:val="22"/>
          <w:szCs w:val="22"/>
        </w:rPr>
        <w:t xml:space="preserve"> quarter of 2012 is </w:t>
      </w:r>
      <w:r>
        <w:rPr>
          <w:sz w:val="22"/>
          <w:szCs w:val="22"/>
        </w:rPr>
        <w:t>1.2</w:t>
      </w:r>
      <w:r w:rsidRPr="005743FF">
        <w:rPr>
          <w:sz w:val="22"/>
          <w:szCs w:val="22"/>
        </w:rPr>
        <w:t xml:space="preserve"> percent. The corresponding year on year (YoY) growth rate is </w:t>
      </w:r>
      <w:r>
        <w:rPr>
          <w:sz w:val="22"/>
          <w:szCs w:val="22"/>
        </w:rPr>
        <w:t xml:space="preserve">3.0 percent and the </w:t>
      </w:r>
      <w:r w:rsidR="00770832">
        <w:rPr>
          <w:sz w:val="22"/>
          <w:szCs w:val="22"/>
        </w:rPr>
        <w:t xml:space="preserve">estimated </w:t>
      </w:r>
      <w:r>
        <w:rPr>
          <w:sz w:val="22"/>
          <w:szCs w:val="22"/>
        </w:rPr>
        <w:t>annual GDP growth rate for 2012 is 2.7 percent.</w:t>
      </w:r>
    </w:p>
    <w:p w:rsidR="00E8064F" w:rsidRDefault="00E8064F" w:rsidP="001F275D">
      <w:pPr>
        <w:spacing w:line="360" w:lineRule="auto"/>
        <w:ind w:left="-360" w:right="-48"/>
        <w:jc w:val="both"/>
        <w:rPr>
          <w:bCs/>
          <w:sz w:val="22"/>
          <w:szCs w:val="22"/>
        </w:rPr>
      </w:pPr>
    </w:p>
    <w:p w:rsidR="00A74D70" w:rsidRDefault="00A74D70" w:rsidP="00DD6027">
      <w:pPr>
        <w:spacing w:line="360" w:lineRule="auto"/>
        <w:ind w:left="-360" w:right="-48"/>
        <w:jc w:val="center"/>
        <w:rPr>
          <w:b/>
          <w:bCs/>
          <w:sz w:val="22"/>
          <w:szCs w:val="22"/>
        </w:rPr>
      </w:pPr>
    </w:p>
    <w:p w:rsidR="00542834" w:rsidRDefault="00DD6027" w:rsidP="00DD6027">
      <w:pPr>
        <w:spacing w:line="360" w:lineRule="auto"/>
        <w:ind w:left="-360" w:right="-48"/>
        <w:jc w:val="center"/>
        <w:rPr>
          <w:b/>
          <w:bCs/>
          <w:sz w:val="22"/>
          <w:szCs w:val="22"/>
        </w:rPr>
      </w:pPr>
      <w:r w:rsidRPr="00DD6027">
        <w:rPr>
          <w:b/>
          <w:bCs/>
          <w:sz w:val="22"/>
          <w:szCs w:val="22"/>
        </w:rPr>
        <w:lastRenderedPageBreak/>
        <w:t>The future of the</w:t>
      </w:r>
      <w:r w:rsidR="00A74D70">
        <w:rPr>
          <w:b/>
          <w:bCs/>
          <w:sz w:val="22"/>
          <w:szCs w:val="22"/>
        </w:rPr>
        <w:t xml:space="preserve"> economic</w:t>
      </w:r>
      <w:r w:rsidRPr="00DD6027">
        <w:rPr>
          <w:b/>
          <w:bCs/>
          <w:sz w:val="22"/>
          <w:szCs w:val="22"/>
        </w:rPr>
        <w:t xml:space="preserve"> growth</w:t>
      </w:r>
    </w:p>
    <w:p w:rsidR="001A0237" w:rsidRDefault="001A0237" w:rsidP="00DD6027">
      <w:pPr>
        <w:spacing w:line="360" w:lineRule="auto"/>
        <w:ind w:left="-360" w:right="-48"/>
        <w:jc w:val="center"/>
        <w:rPr>
          <w:b/>
          <w:bCs/>
          <w:sz w:val="22"/>
          <w:szCs w:val="22"/>
        </w:rPr>
      </w:pPr>
    </w:p>
    <w:p w:rsidR="00FE7F40" w:rsidRDefault="00DD6027" w:rsidP="00FE7F40">
      <w:pPr>
        <w:spacing w:line="360" w:lineRule="auto"/>
        <w:ind w:left="-360" w:right="-48"/>
        <w:jc w:val="both"/>
        <w:rPr>
          <w:bCs/>
          <w:sz w:val="22"/>
          <w:szCs w:val="22"/>
        </w:rPr>
      </w:pPr>
      <w:r>
        <w:rPr>
          <w:bCs/>
          <w:sz w:val="22"/>
          <w:szCs w:val="22"/>
        </w:rPr>
        <w:t xml:space="preserve">One of the most interesting aspects of the </w:t>
      </w:r>
      <w:r w:rsidR="00FE7F40">
        <w:rPr>
          <w:bCs/>
          <w:sz w:val="22"/>
          <w:szCs w:val="22"/>
        </w:rPr>
        <w:t>national accounts data is the high contrib</w:t>
      </w:r>
      <w:r w:rsidR="002C0475">
        <w:rPr>
          <w:bCs/>
          <w:sz w:val="22"/>
          <w:szCs w:val="22"/>
        </w:rPr>
        <w:t>ution of the government expenditure</w:t>
      </w:r>
      <w:r w:rsidR="00BB7CE9">
        <w:rPr>
          <w:bCs/>
          <w:sz w:val="22"/>
          <w:szCs w:val="22"/>
        </w:rPr>
        <w:t>s</w:t>
      </w:r>
      <w:r w:rsidR="00FE7F40">
        <w:rPr>
          <w:bCs/>
          <w:sz w:val="22"/>
          <w:szCs w:val="22"/>
        </w:rPr>
        <w:t>. YoY and QoQ contribu</w:t>
      </w:r>
      <w:r w:rsidR="002C0475">
        <w:rPr>
          <w:bCs/>
          <w:sz w:val="22"/>
          <w:szCs w:val="22"/>
        </w:rPr>
        <w:t>tions of the government expenditure</w:t>
      </w:r>
      <w:r w:rsidR="00FE7F40">
        <w:rPr>
          <w:bCs/>
          <w:sz w:val="22"/>
          <w:szCs w:val="22"/>
        </w:rPr>
        <w:t xml:space="preserve"> to the GDP </w:t>
      </w:r>
      <w:r w:rsidR="00BB7CE9">
        <w:rPr>
          <w:bCs/>
          <w:sz w:val="22"/>
          <w:szCs w:val="22"/>
        </w:rPr>
        <w:t>were</w:t>
      </w:r>
      <w:r w:rsidR="00FE7F40">
        <w:rPr>
          <w:bCs/>
          <w:sz w:val="22"/>
          <w:szCs w:val="22"/>
        </w:rPr>
        <w:t xml:space="preserve"> 0.8 and 0.7 percent</w:t>
      </w:r>
      <w:r w:rsidR="00BB7CE9">
        <w:rPr>
          <w:bCs/>
          <w:sz w:val="22"/>
          <w:szCs w:val="22"/>
        </w:rPr>
        <w:t>age points,</w:t>
      </w:r>
      <w:r w:rsidR="00FE7F40">
        <w:rPr>
          <w:bCs/>
          <w:sz w:val="22"/>
          <w:szCs w:val="22"/>
        </w:rPr>
        <w:t xml:space="preserve"> respectively</w:t>
      </w:r>
      <w:r w:rsidR="00BB7CE9">
        <w:rPr>
          <w:bCs/>
          <w:sz w:val="22"/>
          <w:szCs w:val="22"/>
        </w:rPr>
        <w:t xml:space="preserve"> which are higher than what we have seen over the last two years</w:t>
      </w:r>
      <w:r w:rsidR="00FE7F40">
        <w:rPr>
          <w:bCs/>
          <w:sz w:val="22"/>
          <w:szCs w:val="22"/>
        </w:rPr>
        <w:t>. In spite of fiscal constraints,</w:t>
      </w:r>
      <w:r w:rsidR="002C0475">
        <w:rPr>
          <w:bCs/>
          <w:sz w:val="22"/>
          <w:szCs w:val="22"/>
        </w:rPr>
        <w:t xml:space="preserve"> the</w:t>
      </w:r>
      <w:r w:rsidR="00BB7CE9">
        <w:rPr>
          <w:bCs/>
          <w:sz w:val="22"/>
          <w:szCs w:val="22"/>
        </w:rPr>
        <w:t xml:space="preserve"> government is trying to</w:t>
      </w:r>
      <w:r w:rsidR="00F2778C">
        <w:rPr>
          <w:bCs/>
          <w:sz w:val="22"/>
          <w:szCs w:val="22"/>
        </w:rPr>
        <w:t xml:space="preserve"> help</w:t>
      </w:r>
      <w:r w:rsidR="00FE7F40">
        <w:rPr>
          <w:bCs/>
          <w:sz w:val="22"/>
          <w:szCs w:val="22"/>
        </w:rPr>
        <w:t xml:space="preserve"> GDP </w:t>
      </w:r>
      <w:r w:rsidR="00F2778C">
        <w:rPr>
          <w:bCs/>
          <w:sz w:val="22"/>
          <w:szCs w:val="22"/>
        </w:rPr>
        <w:t>growth. We believe</w:t>
      </w:r>
      <w:r w:rsidR="00FE7F40">
        <w:rPr>
          <w:bCs/>
          <w:sz w:val="22"/>
          <w:szCs w:val="22"/>
        </w:rPr>
        <w:t xml:space="preserve"> that this policy </w:t>
      </w:r>
      <w:r w:rsidR="00F2778C">
        <w:rPr>
          <w:bCs/>
          <w:sz w:val="22"/>
          <w:szCs w:val="22"/>
        </w:rPr>
        <w:t>will continue</w:t>
      </w:r>
      <w:r w:rsidR="00FE7F40">
        <w:rPr>
          <w:bCs/>
          <w:sz w:val="22"/>
          <w:szCs w:val="22"/>
        </w:rPr>
        <w:t xml:space="preserve"> in the fourth quarter. </w:t>
      </w:r>
      <w:r w:rsidR="00F2778C">
        <w:rPr>
          <w:bCs/>
          <w:sz w:val="22"/>
          <w:szCs w:val="22"/>
        </w:rPr>
        <w:t>In fact, budget figures</w:t>
      </w:r>
      <w:r w:rsidR="00FE7F40">
        <w:rPr>
          <w:bCs/>
          <w:sz w:val="22"/>
          <w:szCs w:val="22"/>
        </w:rPr>
        <w:t xml:space="preserve"> show an increase</w:t>
      </w:r>
      <w:r w:rsidR="00D959C2">
        <w:rPr>
          <w:bCs/>
          <w:sz w:val="22"/>
          <w:szCs w:val="22"/>
        </w:rPr>
        <w:t xml:space="preserve"> in</w:t>
      </w:r>
      <w:r w:rsidR="00FE7F40">
        <w:rPr>
          <w:bCs/>
          <w:sz w:val="22"/>
          <w:szCs w:val="22"/>
        </w:rPr>
        <w:t xml:space="preserve"> expenditures. </w:t>
      </w:r>
    </w:p>
    <w:p w:rsidR="00F2778C" w:rsidRDefault="00F2778C" w:rsidP="00FE7F40">
      <w:pPr>
        <w:spacing w:line="360" w:lineRule="auto"/>
        <w:ind w:left="-360" w:right="-48"/>
        <w:jc w:val="both"/>
        <w:rPr>
          <w:bCs/>
          <w:sz w:val="22"/>
          <w:szCs w:val="22"/>
        </w:rPr>
      </w:pPr>
    </w:p>
    <w:p w:rsidR="00FE7F40" w:rsidRDefault="00817FBF" w:rsidP="00FE7F40">
      <w:pPr>
        <w:spacing w:line="360" w:lineRule="auto"/>
        <w:ind w:left="-360" w:right="-48"/>
        <w:jc w:val="both"/>
        <w:rPr>
          <w:bCs/>
          <w:sz w:val="22"/>
          <w:szCs w:val="22"/>
        </w:rPr>
      </w:pPr>
      <w:r>
        <w:rPr>
          <w:bCs/>
          <w:sz w:val="22"/>
          <w:szCs w:val="22"/>
        </w:rPr>
        <w:t xml:space="preserve">Meanwhile, </w:t>
      </w:r>
      <w:r w:rsidR="0072169E">
        <w:rPr>
          <w:bCs/>
          <w:sz w:val="22"/>
          <w:szCs w:val="22"/>
        </w:rPr>
        <w:t xml:space="preserve">Central Bank </w:t>
      </w:r>
      <w:r>
        <w:rPr>
          <w:bCs/>
          <w:sz w:val="22"/>
          <w:szCs w:val="22"/>
        </w:rPr>
        <w:t xml:space="preserve">of Turkey </w:t>
      </w:r>
      <w:r w:rsidR="0072169E">
        <w:rPr>
          <w:bCs/>
          <w:sz w:val="22"/>
          <w:szCs w:val="22"/>
        </w:rPr>
        <w:t>(CBRT) continue</w:t>
      </w:r>
      <w:r>
        <w:rPr>
          <w:bCs/>
          <w:sz w:val="22"/>
          <w:szCs w:val="22"/>
        </w:rPr>
        <w:t>s</w:t>
      </w:r>
      <w:r w:rsidR="00FE7F40">
        <w:rPr>
          <w:bCs/>
          <w:sz w:val="22"/>
          <w:szCs w:val="22"/>
        </w:rPr>
        <w:t xml:space="preserve"> to</w:t>
      </w:r>
      <w:r>
        <w:rPr>
          <w:bCs/>
          <w:sz w:val="22"/>
          <w:szCs w:val="22"/>
        </w:rPr>
        <w:t xml:space="preserve"> loosen </w:t>
      </w:r>
      <w:r w:rsidR="00FE7F40">
        <w:rPr>
          <w:bCs/>
          <w:sz w:val="22"/>
          <w:szCs w:val="22"/>
        </w:rPr>
        <w:t xml:space="preserve">monetary policy. Policy rate </w:t>
      </w:r>
      <w:r>
        <w:rPr>
          <w:bCs/>
          <w:sz w:val="22"/>
          <w:szCs w:val="22"/>
        </w:rPr>
        <w:t>wa</w:t>
      </w:r>
      <w:r w:rsidR="00FE7F40">
        <w:rPr>
          <w:bCs/>
          <w:sz w:val="22"/>
          <w:szCs w:val="22"/>
        </w:rPr>
        <w:t>s cut by 0.25 point</w:t>
      </w:r>
      <w:r>
        <w:rPr>
          <w:bCs/>
          <w:sz w:val="22"/>
          <w:szCs w:val="22"/>
        </w:rPr>
        <w:t>s</w:t>
      </w:r>
      <w:r w:rsidR="00FE7F40">
        <w:rPr>
          <w:bCs/>
          <w:sz w:val="22"/>
          <w:szCs w:val="22"/>
        </w:rPr>
        <w:t xml:space="preserve"> in December.</w:t>
      </w:r>
      <w:r w:rsidR="00D96D24">
        <w:rPr>
          <w:bCs/>
          <w:sz w:val="22"/>
          <w:szCs w:val="22"/>
        </w:rPr>
        <w:t xml:space="preserve"> </w:t>
      </w:r>
      <w:r>
        <w:rPr>
          <w:bCs/>
          <w:sz w:val="22"/>
          <w:szCs w:val="22"/>
        </w:rPr>
        <w:t>Unlike</w:t>
      </w:r>
      <w:r w:rsidR="00D96D24">
        <w:rPr>
          <w:bCs/>
          <w:sz w:val="22"/>
          <w:szCs w:val="22"/>
        </w:rPr>
        <w:t xml:space="preserve"> fiscal policy,</w:t>
      </w:r>
      <w:r w:rsidR="002C0475">
        <w:rPr>
          <w:bCs/>
          <w:sz w:val="22"/>
          <w:szCs w:val="22"/>
        </w:rPr>
        <w:t xml:space="preserve"> the </w:t>
      </w:r>
      <w:r w:rsidR="00D96D24">
        <w:rPr>
          <w:bCs/>
          <w:sz w:val="22"/>
          <w:szCs w:val="22"/>
        </w:rPr>
        <w:t>m</w:t>
      </w:r>
      <w:r w:rsidR="00FE7F40">
        <w:rPr>
          <w:bCs/>
          <w:sz w:val="22"/>
          <w:szCs w:val="22"/>
        </w:rPr>
        <w:t xml:space="preserve">onetary </w:t>
      </w:r>
      <w:r w:rsidR="002C0475">
        <w:rPr>
          <w:bCs/>
          <w:sz w:val="22"/>
          <w:szCs w:val="22"/>
        </w:rPr>
        <w:t>policy impacts</w:t>
      </w:r>
      <w:r w:rsidR="00FE7F40">
        <w:rPr>
          <w:bCs/>
          <w:sz w:val="22"/>
          <w:szCs w:val="22"/>
        </w:rPr>
        <w:t xml:space="preserve"> the real economy with a time lag.</w:t>
      </w:r>
      <w:r w:rsidR="00D96D24">
        <w:rPr>
          <w:bCs/>
          <w:sz w:val="22"/>
          <w:szCs w:val="22"/>
        </w:rPr>
        <w:t xml:space="preserve"> Even though</w:t>
      </w:r>
      <w:r w:rsidR="002C0475">
        <w:rPr>
          <w:bCs/>
          <w:sz w:val="22"/>
          <w:szCs w:val="22"/>
        </w:rPr>
        <w:t xml:space="preserve"> </w:t>
      </w:r>
      <w:r w:rsidR="00D96D24">
        <w:rPr>
          <w:bCs/>
          <w:sz w:val="22"/>
          <w:szCs w:val="22"/>
        </w:rPr>
        <w:t>the low growth rate in the 3</w:t>
      </w:r>
      <w:r w:rsidR="00D96D24" w:rsidRPr="00D96D24">
        <w:rPr>
          <w:bCs/>
          <w:sz w:val="22"/>
          <w:szCs w:val="22"/>
          <w:vertAlign w:val="superscript"/>
        </w:rPr>
        <w:t>rd</w:t>
      </w:r>
      <w:r w:rsidR="00D96D24">
        <w:rPr>
          <w:bCs/>
          <w:sz w:val="22"/>
          <w:szCs w:val="22"/>
        </w:rPr>
        <w:t xml:space="preserve"> quarter increases the pressure on CBRT to further loosen the monetary policy, CBRT </w:t>
      </w:r>
      <w:r>
        <w:rPr>
          <w:bCs/>
          <w:sz w:val="22"/>
          <w:szCs w:val="22"/>
        </w:rPr>
        <w:t xml:space="preserve">will probably </w:t>
      </w:r>
      <w:r w:rsidR="001648A8">
        <w:rPr>
          <w:bCs/>
          <w:sz w:val="22"/>
          <w:szCs w:val="22"/>
        </w:rPr>
        <w:t>wait and see</w:t>
      </w:r>
      <w:r w:rsidR="00D96D24">
        <w:rPr>
          <w:bCs/>
          <w:sz w:val="22"/>
          <w:szCs w:val="22"/>
        </w:rPr>
        <w:t xml:space="preserve"> the ef</w:t>
      </w:r>
      <w:r>
        <w:rPr>
          <w:bCs/>
          <w:sz w:val="22"/>
          <w:szCs w:val="22"/>
        </w:rPr>
        <w:t>fects of its policy mix</w:t>
      </w:r>
      <w:r w:rsidR="001648A8">
        <w:rPr>
          <w:bCs/>
          <w:sz w:val="22"/>
          <w:szCs w:val="22"/>
        </w:rPr>
        <w:t xml:space="preserve"> for a while</w:t>
      </w:r>
      <w:r>
        <w:rPr>
          <w:bCs/>
          <w:sz w:val="22"/>
          <w:szCs w:val="22"/>
        </w:rPr>
        <w:t xml:space="preserve"> and restrain from loosening too much</w:t>
      </w:r>
      <w:r w:rsidR="00D96D24">
        <w:rPr>
          <w:bCs/>
          <w:sz w:val="22"/>
          <w:szCs w:val="22"/>
        </w:rPr>
        <w:t xml:space="preserve">.    </w:t>
      </w:r>
    </w:p>
    <w:p w:rsidR="00A74D70" w:rsidRDefault="00A74D70" w:rsidP="00FE7F40">
      <w:pPr>
        <w:spacing w:line="360" w:lineRule="auto"/>
        <w:ind w:left="-360" w:right="-48"/>
        <w:jc w:val="both"/>
        <w:rPr>
          <w:bCs/>
          <w:sz w:val="22"/>
          <w:szCs w:val="22"/>
        </w:rPr>
      </w:pPr>
    </w:p>
    <w:p w:rsidR="00A74D70" w:rsidRPr="00A74D70" w:rsidRDefault="005C4CC3" w:rsidP="00A74D70">
      <w:pPr>
        <w:spacing w:line="360" w:lineRule="auto"/>
        <w:ind w:right="42"/>
        <w:jc w:val="center"/>
        <w:rPr>
          <w:b/>
          <w:bCs/>
          <w:sz w:val="22"/>
          <w:szCs w:val="22"/>
        </w:rPr>
      </w:pPr>
      <w:r>
        <w:rPr>
          <w:b/>
          <w:bCs/>
          <w:sz w:val="22"/>
          <w:szCs w:val="22"/>
        </w:rPr>
        <w:t>P</w:t>
      </w:r>
      <w:r w:rsidR="00A74D70">
        <w:rPr>
          <w:b/>
          <w:bCs/>
          <w:sz w:val="22"/>
          <w:szCs w:val="22"/>
        </w:rPr>
        <w:t>rivate consumption</w:t>
      </w:r>
      <w:r w:rsidR="005155AC">
        <w:rPr>
          <w:b/>
          <w:bCs/>
          <w:sz w:val="22"/>
          <w:szCs w:val="22"/>
        </w:rPr>
        <w:t xml:space="preserve"> uncertain</w:t>
      </w:r>
    </w:p>
    <w:p w:rsidR="00A74D70" w:rsidRDefault="00A74D70" w:rsidP="00FE7F40">
      <w:pPr>
        <w:spacing w:line="360" w:lineRule="auto"/>
        <w:ind w:left="-360" w:right="-48"/>
        <w:jc w:val="both"/>
        <w:rPr>
          <w:bCs/>
          <w:sz w:val="22"/>
          <w:szCs w:val="22"/>
        </w:rPr>
      </w:pPr>
    </w:p>
    <w:p w:rsidR="00A74D70" w:rsidRDefault="00A74D70" w:rsidP="00A74D70">
      <w:pPr>
        <w:spacing w:line="360" w:lineRule="auto"/>
        <w:ind w:left="-360" w:right="-48"/>
        <w:jc w:val="both"/>
        <w:rPr>
          <w:sz w:val="22"/>
          <w:szCs w:val="22"/>
        </w:rPr>
        <w:sectPr w:rsidR="00A74D70" w:rsidSect="00523C58">
          <w:type w:val="continuous"/>
          <w:pgSz w:w="11906" w:h="16838"/>
          <w:pgMar w:top="1417" w:right="1417" w:bottom="1417" w:left="1417" w:header="708" w:footer="708" w:gutter="0"/>
          <w:cols w:num="2" w:space="708" w:equalWidth="0">
            <w:col w:w="4182" w:space="708"/>
            <w:col w:w="4182"/>
          </w:cols>
          <w:docGrid w:linePitch="360"/>
        </w:sectPr>
      </w:pPr>
      <w:r>
        <w:rPr>
          <w:sz w:val="22"/>
          <w:szCs w:val="22"/>
        </w:rPr>
        <w:t>Con</w:t>
      </w:r>
      <w:r w:rsidR="005155AC">
        <w:rPr>
          <w:sz w:val="22"/>
          <w:szCs w:val="22"/>
        </w:rPr>
        <w:t>sumer confidence index continued</w:t>
      </w:r>
      <w:r>
        <w:rPr>
          <w:sz w:val="22"/>
          <w:szCs w:val="22"/>
        </w:rPr>
        <w:t xml:space="preserve"> to decline</w:t>
      </w:r>
      <w:r w:rsidR="005155AC">
        <w:rPr>
          <w:sz w:val="22"/>
          <w:szCs w:val="22"/>
        </w:rPr>
        <w:t xml:space="preserve"> as</w:t>
      </w:r>
      <w:r>
        <w:rPr>
          <w:sz w:val="22"/>
          <w:szCs w:val="22"/>
        </w:rPr>
        <w:t xml:space="preserve"> in the last three months. It decreased by 2.1 percent in October from the previous month. Special consumer tax (SCT) hikes became effective at the end of September, so SCT income increased 31.9 percent in October. Non-durable goods production increased by 2.4 percent, whereas durable goods production decreased by 4.4 percent. Consumer goods imports also increased in October. </w:t>
      </w:r>
      <w:r w:rsidR="005155AC">
        <w:rPr>
          <w:sz w:val="22"/>
          <w:szCs w:val="22"/>
        </w:rPr>
        <w:t>With</w:t>
      </w:r>
      <w:r>
        <w:rPr>
          <w:sz w:val="22"/>
          <w:szCs w:val="22"/>
        </w:rPr>
        <w:t xml:space="preserve">  </w:t>
      </w:r>
    </w:p>
    <w:p w:rsidR="001F275D" w:rsidRPr="00A74D70" w:rsidRDefault="00F20742" w:rsidP="00A74D70">
      <w:pPr>
        <w:spacing w:line="360" w:lineRule="auto"/>
        <w:ind w:left="-360" w:right="-48"/>
        <w:jc w:val="both"/>
        <w:rPr>
          <w:sz w:val="22"/>
          <w:szCs w:val="22"/>
        </w:rPr>
      </w:pPr>
      <w:r>
        <w:rPr>
          <w:sz w:val="22"/>
          <w:szCs w:val="22"/>
        </w:rPr>
        <w:lastRenderedPageBreak/>
        <w:t xml:space="preserve">such </w:t>
      </w:r>
      <w:r w:rsidR="00EC5A13">
        <w:rPr>
          <w:sz w:val="22"/>
          <w:szCs w:val="22"/>
        </w:rPr>
        <w:t>a mix of signals</w:t>
      </w:r>
      <w:r w:rsidR="00A74D70">
        <w:rPr>
          <w:sz w:val="22"/>
          <w:szCs w:val="22"/>
        </w:rPr>
        <w:t xml:space="preserve">, it’s hard to make a conclusion </w:t>
      </w:r>
      <w:r w:rsidR="005155AC">
        <w:rPr>
          <w:sz w:val="22"/>
          <w:szCs w:val="22"/>
        </w:rPr>
        <w:t>about the direction in</w:t>
      </w:r>
      <w:r w:rsidR="00A74D70">
        <w:rPr>
          <w:sz w:val="22"/>
          <w:szCs w:val="22"/>
        </w:rPr>
        <w:t xml:space="preserve"> private consumption expenditure</w:t>
      </w:r>
      <w:r w:rsidR="005155AC">
        <w:rPr>
          <w:sz w:val="22"/>
          <w:szCs w:val="22"/>
        </w:rPr>
        <w:t>s</w:t>
      </w:r>
      <w:r w:rsidR="00A74D70">
        <w:rPr>
          <w:sz w:val="22"/>
          <w:szCs w:val="22"/>
        </w:rPr>
        <w:t xml:space="preserve">. </w:t>
      </w:r>
      <w:r w:rsidR="005155AC">
        <w:rPr>
          <w:sz w:val="22"/>
          <w:szCs w:val="22"/>
        </w:rPr>
        <w:t>November figures will be important.</w:t>
      </w:r>
      <w:r w:rsidR="00A74D70">
        <w:rPr>
          <w:sz w:val="22"/>
          <w:szCs w:val="22"/>
        </w:rPr>
        <w:t xml:space="preserve">   </w:t>
      </w:r>
    </w:p>
    <w:p w:rsidR="008C38E5" w:rsidRPr="008B2149" w:rsidRDefault="008C38E5" w:rsidP="0093780A">
      <w:pPr>
        <w:spacing w:line="360" w:lineRule="auto"/>
        <w:ind w:right="42"/>
        <w:jc w:val="both"/>
        <w:rPr>
          <w:sz w:val="22"/>
          <w:szCs w:val="22"/>
        </w:rPr>
      </w:pPr>
    </w:p>
    <w:p w:rsidR="001F275D" w:rsidRPr="005743FF" w:rsidRDefault="008721A8" w:rsidP="001F275D">
      <w:pPr>
        <w:spacing w:line="360" w:lineRule="auto"/>
        <w:ind w:left="-360" w:right="42"/>
        <w:jc w:val="center"/>
        <w:rPr>
          <w:b/>
          <w:bCs/>
          <w:sz w:val="22"/>
          <w:szCs w:val="22"/>
        </w:rPr>
      </w:pPr>
      <w:r>
        <w:rPr>
          <w:b/>
          <w:bCs/>
          <w:sz w:val="22"/>
          <w:szCs w:val="22"/>
        </w:rPr>
        <w:t>I</w:t>
      </w:r>
      <w:r w:rsidR="00E95FDB">
        <w:rPr>
          <w:b/>
          <w:bCs/>
          <w:sz w:val="22"/>
          <w:szCs w:val="22"/>
        </w:rPr>
        <w:t>nvestment starts to take off</w:t>
      </w:r>
    </w:p>
    <w:p w:rsidR="001F275D" w:rsidRPr="005743FF" w:rsidRDefault="001F275D" w:rsidP="001F275D">
      <w:pPr>
        <w:spacing w:line="360" w:lineRule="auto"/>
        <w:ind w:left="-360" w:right="42"/>
        <w:jc w:val="center"/>
        <w:rPr>
          <w:b/>
          <w:bCs/>
          <w:sz w:val="22"/>
          <w:szCs w:val="22"/>
        </w:rPr>
      </w:pPr>
    </w:p>
    <w:p w:rsidR="003C5112" w:rsidRDefault="002C0475" w:rsidP="00E95FDB">
      <w:pPr>
        <w:spacing w:line="360" w:lineRule="auto"/>
        <w:ind w:left="-360" w:right="42"/>
        <w:jc w:val="both"/>
        <w:rPr>
          <w:sz w:val="22"/>
          <w:szCs w:val="22"/>
        </w:rPr>
      </w:pPr>
      <w:r>
        <w:rPr>
          <w:sz w:val="22"/>
          <w:szCs w:val="22"/>
        </w:rPr>
        <w:t>Real sector</w:t>
      </w:r>
      <w:r w:rsidR="008721A8">
        <w:rPr>
          <w:sz w:val="22"/>
          <w:szCs w:val="22"/>
        </w:rPr>
        <w:t xml:space="preserve"> confidence index continued</w:t>
      </w:r>
      <w:r w:rsidR="00E95FDB">
        <w:rPr>
          <w:sz w:val="22"/>
          <w:szCs w:val="22"/>
        </w:rPr>
        <w:t xml:space="preserve"> to increase in the last three months.</w:t>
      </w:r>
      <w:r>
        <w:rPr>
          <w:sz w:val="22"/>
          <w:szCs w:val="22"/>
        </w:rPr>
        <w:t xml:space="preserve"> </w:t>
      </w:r>
      <w:r w:rsidR="00E95FDB">
        <w:rPr>
          <w:sz w:val="22"/>
          <w:szCs w:val="22"/>
        </w:rPr>
        <w:t>It increased by 0.7 percent in November from the previous month.</w:t>
      </w:r>
      <w:r>
        <w:rPr>
          <w:sz w:val="22"/>
          <w:szCs w:val="22"/>
        </w:rPr>
        <w:t xml:space="preserve"> </w:t>
      </w:r>
      <w:r w:rsidR="00C15156">
        <w:rPr>
          <w:sz w:val="22"/>
          <w:szCs w:val="22"/>
        </w:rPr>
        <w:t xml:space="preserve">Investment goods imports </w:t>
      </w:r>
      <w:r w:rsidR="008721A8">
        <w:rPr>
          <w:sz w:val="22"/>
          <w:szCs w:val="22"/>
        </w:rPr>
        <w:t xml:space="preserve">have been </w:t>
      </w:r>
      <w:r w:rsidR="00C15156">
        <w:rPr>
          <w:sz w:val="22"/>
          <w:szCs w:val="22"/>
        </w:rPr>
        <w:t>increas</w:t>
      </w:r>
      <w:r w:rsidR="008721A8">
        <w:rPr>
          <w:sz w:val="22"/>
          <w:szCs w:val="22"/>
        </w:rPr>
        <w:t xml:space="preserve">ing for </w:t>
      </w:r>
      <w:r w:rsidR="00C15156">
        <w:rPr>
          <w:sz w:val="22"/>
          <w:szCs w:val="22"/>
        </w:rPr>
        <w:t>the last four months. Moreover, automobile production and investment goods production increased by 3.6 percent and 2.6 percent in October</w:t>
      </w:r>
      <w:r w:rsidR="008721A8">
        <w:rPr>
          <w:sz w:val="22"/>
          <w:szCs w:val="22"/>
        </w:rPr>
        <w:t>,</w:t>
      </w:r>
      <w:r w:rsidR="00C15156">
        <w:rPr>
          <w:sz w:val="22"/>
          <w:szCs w:val="22"/>
        </w:rPr>
        <w:t xml:space="preserve"> respectively.</w:t>
      </w:r>
      <w:r w:rsidR="00E95FDB">
        <w:rPr>
          <w:sz w:val="22"/>
          <w:szCs w:val="22"/>
        </w:rPr>
        <w:t xml:space="preserve"> Intermediate goods imports also seem to </w:t>
      </w:r>
      <w:r w:rsidR="008721A8">
        <w:rPr>
          <w:sz w:val="22"/>
          <w:szCs w:val="22"/>
        </w:rPr>
        <w:t xml:space="preserve">have </w:t>
      </w:r>
      <w:r w:rsidR="00E95FDB">
        <w:rPr>
          <w:sz w:val="22"/>
          <w:szCs w:val="22"/>
        </w:rPr>
        <w:t>increase</w:t>
      </w:r>
      <w:r w:rsidR="008721A8">
        <w:rPr>
          <w:sz w:val="22"/>
          <w:szCs w:val="22"/>
        </w:rPr>
        <w:t>d</w:t>
      </w:r>
      <w:r w:rsidR="00E95FDB">
        <w:rPr>
          <w:sz w:val="22"/>
          <w:szCs w:val="22"/>
        </w:rPr>
        <w:t xml:space="preserve"> in </w:t>
      </w:r>
      <w:r w:rsidR="00BE4CDD">
        <w:rPr>
          <w:sz w:val="22"/>
          <w:szCs w:val="22"/>
        </w:rPr>
        <w:t>October. Overall, we expect the</w:t>
      </w:r>
      <w:r w:rsidR="00E95FDB">
        <w:rPr>
          <w:sz w:val="22"/>
          <w:szCs w:val="22"/>
        </w:rPr>
        <w:t xml:space="preserve"> private investment expenditure</w:t>
      </w:r>
      <w:r w:rsidR="00BE4CDD">
        <w:rPr>
          <w:sz w:val="22"/>
          <w:szCs w:val="22"/>
        </w:rPr>
        <w:t>s</w:t>
      </w:r>
      <w:r w:rsidR="00E95FDB">
        <w:rPr>
          <w:sz w:val="22"/>
          <w:szCs w:val="22"/>
        </w:rPr>
        <w:t xml:space="preserve"> to contribute positively to the GDP growth in the fourth quarter.   </w:t>
      </w:r>
    </w:p>
    <w:p w:rsidR="00E95FDB" w:rsidRPr="00E95FDB" w:rsidRDefault="00E95FDB" w:rsidP="00E95FDB">
      <w:pPr>
        <w:spacing w:line="360" w:lineRule="auto"/>
        <w:ind w:left="-360" w:right="42"/>
        <w:jc w:val="both"/>
        <w:rPr>
          <w:sz w:val="22"/>
          <w:szCs w:val="22"/>
        </w:rPr>
      </w:pPr>
    </w:p>
    <w:p w:rsidR="00AE7542" w:rsidRPr="005743FF" w:rsidRDefault="00AE7542" w:rsidP="00AE7542">
      <w:pPr>
        <w:spacing w:line="360" w:lineRule="auto"/>
        <w:ind w:left="-360" w:right="42"/>
        <w:jc w:val="center"/>
        <w:rPr>
          <w:b/>
          <w:bCs/>
          <w:sz w:val="22"/>
          <w:szCs w:val="22"/>
        </w:rPr>
      </w:pPr>
      <w:r>
        <w:rPr>
          <w:b/>
          <w:bCs/>
          <w:sz w:val="22"/>
          <w:szCs w:val="22"/>
        </w:rPr>
        <w:t>Net exports</w:t>
      </w:r>
      <w:r w:rsidR="00FB193A">
        <w:rPr>
          <w:b/>
          <w:bCs/>
          <w:sz w:val="22"/>
          <w:szCs w:val="22"/>
        </w:rPr>
        <w:t xml:space="preserve"> continue to decline</w:t>
      </w:r>
    </w:p>
    <w:p w:rsidR="00AE7542" w:rsidRPr="005743FF" w:rsidRDefault="00AE7542" w:rsidP="00AE7542">
      <w:pPr>
        <w:spacing w:line="360" w:lineRule="auto"/>
        <w:ind w:left="-360" w:right="42"/>
        <w:jc w:val="center"/>
        <w:rPr>
          <w:b/>
          <w:bCs/>
          <w:sz w:val="22"/>
          <w:szCs w:val="22"/>
        </w:rPr>
      </w:pPr>
    </w:p>
    <w:p w:rsidR="00AE7542" w:rsidRDefault="00AE7542" w:rsidP="002151FC">
      <w:pPr>
        <w:spacing w:line="360" w:lineRule="auto"/>
        <w:ind w:left="-360" w:right="42"/>
        <w:jc w:val="both"/>
        <w:rPr>
          <w:b/>
          <w:bCs/>
          <w:sz w:val="22"/>
          <w:szCs w:val="22"/>
        </w:rPr>
      </w:pPr>
      <w:r>
        <w:rPr>
          <w:sz w:val="22"/>
          <w:szCs w:val="22"/>
        </w:rPr>
        <w:t xml:space="preserve">Figure 2 shows monthly changes of seasonally adjusted import and export volume indices. In </w:t>
      </w:r>
      <w:r w:rsidR="00FB193A">
        <w:rPr>
          <w:sz w:val="22"/>
          <w:szCs w:val="22"/>
        </w:rPr>
        <w:t>October</w:t>
      </w:r>
      <w:r>
        <w:rPr>
          <w:sz w:val="22"/>
          <w:szCs w:val="22"/>
        </w:rPr>
        <w:t xml:space="preserve">, export volume index </w:t>
      </w:r>
      <w:r w:rsidR="00FB193A">
        <w:rPr>
          <w:sz w:val="22"/>
          <w:szCs w:val="22"/>
        </w:rPr>
        <w:t>increased by 3.5</w:t>
      </w:r>
      <w:r>
        <w:rPr>
          <w:sz w:val="22"/>
          <w:szCs w:val="22"/>
        </w:rPr>
        <w:t xml:space="preserve"> percent whereas import volume index </w:t>
      </w:r>
      <w:r w:rsidR="00FB193A">
        <w:rPr>
          <w:sz w:val="22"/>
          <w:szCs w:val="22"/>
        </w:rPr>
        <w:t>decreased by 1.4</w:t>
      </w:r>
      <w:r>
        <w:rPr>
          <w:sz w:val="22"/>
          <w:szCs w:val="22"/>
        </w:rPr>
        <w:t xml:space="preserve"> percent. </w:t>
      </w:r>
      <w:r w:rsidR="00FB193A">
        <w:rPr>
          <w:sz w:val="22"/>
          <w:szCs w:val="22"/>
        </w:rPr>
        <w:t>When we adjust the trade data for gold trade (i.e., excluding gold imports and exports), we see that the real exports decreased by 0.6 percent and the real imports increased by 0.4 percent, respectively. Overall, the contribution of net exports to the GDP growth will continue to decline in the fourth quarter.</w:t>
      </w:r>
      <w:r w:rsidR="002151FC">
        <w:rPr>
          <w:sz w:val="22"/>
          <w:szCs w:val="22"/>
        </w:rPr>
        <w:br w:type="column"/>
      </w:r>
      <w:r>
        <w:rPr>
          <w:b/>
          <w:bCs/>
          <w:sz w:val="22"/>
          <w:szCs w:val="22"/>
        </w:rPr>
        <w:lastRenderedPageBreak/>
        <w:t xml:space="preserve">Current account deficit </w:t>
      </w:r>
      <w:r w:rsidR="00FB193A">
        <w:rPr>
          <w:b/>
          <w:bCs/>
          <w:sz w:val="22"/>
          <w:szCs w:val="22"/>
        </w:rPr>
        <w:t>falls below 7</w:t>
      </w:r>
      <w:r>
        <w:rPr>
          <w:b/>
          <w:bCs/>
          <w:sz w:val="22"/>
          <w:szCs w:val="22"/>
        </w:rPr>
        <w:t xml:space="preserve"> percent</w:t>
      </w:r>
    </w:p>
    <w:p w:rsidR="00AE7542" w:rsidRDefault="00AE7542" w:rsidP="00AE7542">
      <w:pPr>
        <w:spacing w:line="360" w:lineRule="auto"/>
        <w:ind w:right="42"/>
        <w:rPr>
          <w:b/>
          <w:bCs/>
          <w:sz w:val="22"/>
          <w:szCs w:val="22"/>
        </w:rPr>
      </w:pPr>
    </w:p>
    <w:p w:rsidR="00AE7542" w:rsidRDefault="00FB193A" w:rsidP="003B1C3A">
      <w:pPr>
        <w:spacing w:line="360" w:lineRule="auto"/>
        <w:ind w:left="-360" w:right="42"/>
        <w:jc w:val="both"/>
        <w:rPr>
          <w:sz w:val="22"/>
          <w:szCs w:val="22"/>
        </w:rPr>
      </w:pPr>
      <w:r>
        <w:rPr>
          <w:sz w:val="22"/>
          <w:szCs w:val="22"/>
        </w:rPr>
        <w:t>T</w:t>
      </w:r>
      <w:r w:rsidRPr="005743FF">
        <w:rPr>
          <w:sz w:val="22"/>
          <w:szCs w:val="22"/>
        </w:rPr>
        <w:t>he 12-</w:t>
      </w:r>
      <w:r>
        <w:rPr>
          <w:sz w:val="22"/>
          <w:szCs w:val="22"/>
        </w:rPr>
        <w:t>month CAD was $55 billion in September. October CAD reduced to $2 billion and t</w:t>
      </w:r>
      <w:r w:rsidRPr="005743FF">
        <w:rPr>
          <w:sz w:val="22"/>
          <w:szCs w:val="22"/>
        </w:rPr>
        <w:t>he 12-</w:t>
      </w:r>
      <w:r>
        <w:rPr>
          <w:sz w:val="22"/>
          <w:szCs w:val="22"/>
        </w:rPr>
        <w:t xml:space="preserve">month CAD </w:t>
      </w:r>
      <w:r w:rsidR="003B1C3A">
        <w:rPr>
          <w:sz w:val="22"/>
          <w:szCs w:val="22"/>
        </w:rPr>
        <w:t>fell to</w:t>
      </w:r>
      <w:r>
        <w:rPr>
          <w:sz w:val="22"/>
          <w:szCs w:val="22"/>
        </w:rPr>
        <w:t xml:space="preserve"> $53 billion at the end of October. We expect</w:t>
      </w:r>
      <w:r w:rsidR="003B1C3A">
        <w:rPr>
          <w:sz w:val="22"/>
          <w:szCs w:val="22"/>
        </w:rPr>
        <w:t xml:space="preserve"> that</w:t>
      </w:r>
      <w:r w:rsidR="002A5E74">
        <w:rPr>
          <w:sz w:val="22"/>
          <w:szCs w:val="22"/>
        </w:rPr>
        <w:t xml:space="preserve"> </w:t>
      </w:r>
      <w:r>
        <w:rPr>
          <w:sz w:val="22"/>
          <w:szCs w:val="22"/>
        </w:rPr>
        <w:t>t</w:t>
      </w:r>
      <w:r w:rsidRPr="005743FF">
        <w:rPr>
          <w:sz w:val="22"/>
          <w:szCs w:val="22"/>
        </w:rPr>
        <w:t>he 12-</w:t>
      </w:r>
      <w:r>
        <w:rPr>
          <w:sz w:val="22"/>
          <w:szCs w:val="22"/>
        </w:rPr>
        <w:t xml:space="preserve">month CAD will be </w:t>
      </w:r>
      <w:r w:rsidR="00A80C2F">
        <w:rPr>
          <w:sz w:val="22"/>
          <w:szCs w:val="22"/>
        </w:rPr>
        <w:t xml:space="preserve">around </w:t>
      </w:r>
      <w:r>
        <w:rPr>
          <w:sz w:val="22"/>
          <w:szCs w:val="22"/>
        </w:rPr>
        <w:t xml:space="preserve">$50 billion </w:t>
      </w:r>
      <w:r w:rsidR="003B1C3A">
        <w:rPr>
          <w:sz w:val="22"/>
          <w:szCs w:val="22"/>
        </w:rPr>
        <w:t>at the end of 2012</w:t>
      </w:r>
      <w:r w:rsidR="002A5E74">
        <w:rPr>
          <w:sz w:val="22"/>
          <w:szCs w:val="22"/>
        </w:rPr>
        <w:t xml:space="preserve"> </w:t>
      </w:r>
      <w:r w:rsidR="003B1C3A" w:rsidRPr="003B1C3A">
        <w:rPr>
          <w:sz w:val="22"/>
          <w:szCs w:val="22"/>
        </w:rPr>
        <w:t>as base effe</w:t>
      </w:r>
      <w:r w:rsidR="003B1C3A">
        <w:rPr>
          <w:sz w:val="22"/>
          <w:szCs w:val="22"/>
        </w:rPr>
        <w:t>ct from the previous year</w:t>
      </w:r>
      <w:r w:rsidR="003B1C3A" w:rsidRPr="003B1C3A">
        <w:rPr>
          <w:sz w:val="22"/>
          <w:szCs w:val="22"/>
        </w:rPr>
        <w:t xml:space="preserve"> disappears</w:t>
      </w:r>
      <w:r w:rsidR="003B1C3A">
        <w:rPr>
          <w:sz w:val="22"/>
          <w:szCs w:val="22"/>
        </w:rPr>
        <w:t xml:space="preserve"> in November and December, and the</w:t>
      </w:r>
      <w:r w:rsidR="00A80C2F">
        <w:rPr>
          <w:sz w:val="22"/>
          <w:szCs w:val="22"/>
        </w:rPr>
        <w:t xml:space="preserve"> economy continues to slow down</w:t>
      </w:r>
      <w:r w:rsidR="003B1C3A" w:rsidRPr="003B1C3A">
        <w:rPr>
          <w:sz w:val="22"/>
          <w:szCs w:val="22"/>
        </w:rPr>
        <w:t>.</w:t>
      </w:r>
      <w:r w:rsidR="002A5E74">
        <w:rPr>
          <w:sz w:val="22"/>
          <w:szCs w:val="22"/>
        </w:rPr>
        <w:t xml:space="preserve"> </w:t>
      </w:r>
      <w:r w:rsidR="003B1C3A">
        <w:rPr>
          <w:sz w:val="22"/>
          <w:szCs w:val="22"/>
        </w:rPr>
        <w:t xml:space="preserve">Therefore, we expect the 12-month current account deficit to the GDP ratio, which was 7.2 at the end of the third quarter, to </w:t>
      </w:r>
      <w:r w:rsidR="00A80C2F">
        <w:rPr>
          <w:sz w:val="22"/>
          <w:szCs w:val="22"/>
        </w:rPr>
        <w:t>fall down</w:t>
      </w:r>
      <w:r w:rsidR="003B1C3A">
        <w:rPr>
          <w:sz w:val="22"/>
          <w:szCs w:val="22"/>
        </w:rPr>
        <w:t xml:space="preserve"> to 6.3 percent at the end of the fourth quarter.</w:t>
      </w:r>
    </w:p>
    <w:p w:rsidR="002A5E74" w:rsidRDefault="002A5E74" w:rsidP="00AE7542">
      <w:pPr>
        <w:spacing w:line="360" w:lineRule="auto"/>
        <w:ind w:left="-360" w:right="42"/>
        <w:jc w:val="both"/>
        <w:rPr>
          <w:sz w:val="22"/>
          <w:szCs w:val="22"/>
        </w:rPr>
        <w:sectPr w:rsidR="002A5E74" w:rsidSect="00A74D70">
          <w:type w:val="continuous"/>
          <w:pgSz w:w="11906" w:h="16838"/>
          <w:pgMar w:top="1417" w:right="1417" w:bottom="1417" w:left="1417" w:header="708" w:footer="708" w:gutter="0"/>
          <w:cols w:num="2" w:space="708"/>
          <w:docGrid w:linePitch="360"/>
        </w:sectPr>
      </w:pPr>
    </w:p>
    <w:p w:rsidR="001D4B8B" w:rsidRDefault="001D4B8B" w:rsidP="00AE7542">
      <w:pPr>
        <w:spacing w:line="360" w:lineRule="auto"/>
        <w:ind w:left="-360" w:right="42"/>
        <w:jc w:val="both"/>
        <w:rPr>
          <w:sz w:val="22"/>
          <w:szCs w:val="22"/>
        </w:rPr>
      </w:pPr>
    </w:p>
    <w:p w:rsidR="001D4B8B" w:rsidRDefault="001D4B8B"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6E2D48" w:rsidRPr="000B669B" w:rsidRDefault="00AE7542" w:rsidP="00AE7542">
      <w:pPr>
        <w:spacing w:line="360" w:lineRule="auto"/>
        <w:ind w:left="-360" w:right="42"/>
        <w:jc w:val="both"/>
        <w:rPr>
          <w:sz w:val="16"/>
          <w:szCs w:val="16"/>
        </w:rPr>
        <w:sectPr w:rsidR="006E2D48" w:rsidRPr="000B669B" w:rsidSect="00523C58">
          <w:type w:val="continuous"/>
          <w:pgSz w:w="11906" w:h="16838"/>
          <w:pgMar w:top="1417" w:right="1417" w:bottom="1417" w:left="1417" w:header="708" w:footer="708" w:gutter="0"/>
          <w:cols w:num="2" w:space="708" w:equalWidth="0">
            <w:col w:w="4182" w:space="708"/>
            <w:col w:w="4182"/>
          </w:cols>
          <w:docGrid w:linePitch="360"/>
        </w:sectPr>
      </w:pPr>
      <w:r>
        <w:rPr>
          <w:sz w:val="22"/>
          <w:szCs w:val="22"/>
        </w:rPr>
        <w:br w:type="column"/>
      </w:r>
    </w:p>
    <w:p w:rsidR="008C6E50" w:rsidRPr="008B2149" w:rsidRDefault="00E823E8" w:rsidP="00801493">
      <w:pPr>
        <w:spacing w:line="360" w:lineRule="auto"/>
        <w:ind w:right="42"/>
        <w:jc w:val="both"/>
        <w:rPr>
          <w:rFonts w:ascii="Arial" w:hAnsi="Arial" w:cs="Arial"/>
          <w:sz w:val="20"/>
          <w:szCs w:val="20"/>
        </w:rPr>
      </w:pPr>
      <w:r w:rsidRPr="008B2149">
        <w:rPr>
          <w:rFonts w:ascii="Arial" w:hAnsi="Arial" w:cs="Arial"/>
          <w:b/>
          <w:sz w:val="20"/>
          <w:szCs w:val="20"/>
        </w:rPr>
        <w:lastRenderedPageBreak/>
        <w:t>Table</w:t>
      </w:r>
      <w:r w:rsidR="008C6E50" w:rsidRPr="008B2149">
        <w:rPr>
          <w:rFonts w:ascii="Arial" w:hAnsi="Arial" w:cs="Arial"/>
          <w:b/>
          <w:sz w:val="20"/>
          <w:szCs w:val="20"/>
        </w:rPr>
        <w:t xml:space="preserve"> 2.</w:t>
      </w:r>
      <w:r w:rsidR="00D62EB2">
        <w:rPr>
          <w:rFonts w:ascii="Arial" w:hAnsi="Arial" w:cs="Arial"/>
          <w:b/>
          <w:sz w:val="20"/>
          <w:szCs w:val="20"/>
        </w:rPr>
        <w:t xml:space="preserve"> </w:t>
      </w:r>
      <w:r w:rsidRPr="008B2149">
        <w:rPr>
          <w:rFonts w:ascii="Arial" w:hAnsi="Arial" w:cs="Arial"/>
          <w:b/>
          <w:sz w:val="20"/>
          <w:szCs w:val="20"/>
        </w:rPr>
        <w:t xml:space="preserve">Monthly and quarterly changes of Betam’s selected indicators (real </w:t>
      </w:r>
      <w:r w:rsidR="00455777" w:rsidRPr="008B21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w:b/>
          <w:sz w:val="20"/>
          <w:szCs w:val="20"/>
        </w:rPr>
        <w:t>sa</w:t>
      </w:r>
      <w:r w:rsidR="008C6E50" w:rsidRPr="008B2149">
        <w:rPr>
          <w:rFonts w:ascii="Arial" w:hAnsi="Arial" w:cs="Arial"/>
          <w:b/>
          <w:sz w:val="20"/>
          <w:szCs w:val="20"/>
        </w:rPr>
        <w:t>)</w:t>
      </w:r>
    </w:p>
    <w:p w:rsidR="008C6E50" w:rsidRPr="008B2149" w:rsidRDefault="008C6E50" w:rsidP="001E4BF5">
      <w:pPr>
        <w:spacing w:line="360" w:lineRule="auto"/>
        <w:ind w:left="-360" w:right="42"/>
        <w:jc w:val="both"/>
        <w:rPr>
          <w:rFonts w:ascii="Arial" w:hAnsi="Arial" w:cs="Arial"/>
          <w:sz w:val="20"/>
          <w:szCs w:val="20"/>
        </w:rPr>
        <w:sectPr w:rsidR="008C6E50" w:rsidRPr="008B2149" w:rsidSect="0075074A">
          <w:type w:val="continuous"/>
          <w:pgSz w:w="11906" w:h="16838"/>
          <w:pgMar w:top="1417" w:right="1417" w:bottom="1417" w:left="1417" w:header="708" w:footer="708" w:gutter="0"/>
          <w:cols w:space="708"/>
          <w:docGrid w:linePitch="360"/>
        </w:sectPr>
      </w:pPr>
    </w:p>
    <w:tbl>
      <w:tblPr>
        <w:tblW w:w="5550"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5"/>
        <w:gridCol w:w="1140"/>
        <w:gridCol w:w="1140"/>
        <w:gridCol w:w="1139"/>
        <w:gridCol w:w="1139"/>
        <w:gridCol w:w="1139"/>
        <w:gridCol w:w="1139"/>
      </w:tblGrid>
      <w:tr w:rsidR="00051CD0" w:rsidRPr="00067DF6" w:rsidTr="00230A81">
        <w:tc>
          <w:tcPr>
            <w:tcW w:w="1609" w:type="pct"/>
            <w:tcBorders>
              <w:bottom w:val="single" w:sz="4" w:space="0" w:color="auto"/>
            </w:tcBorders>
            <w:vAlign w:val="bottom"/>
          </w:tcPr>
          <w:p w:rsidR="00051CD0" w:rsidRPr="00067DF6" w:rsidRDefault="00051CD0" w:rsidP="00067DF6">
            <w:pPr>
              <w:spacing w:line="288" w:lineRule="auto"/>
              <w:ind w:right="77"/>
              <w:jc w:val="center"/>
              <w:rPr>
                <w:rFonts w:ascii="Arial" w:hAnsi="Arial" w:cs="Arial"/>
                <w:sz w:val="20"/>
                <w:szCs w:val="20"/>
              </w:rPr>
            </w:pPr>
            <w:r w:rsidRPr="00067DF6">
              <w:rPr>
                <w:rFonts w:ascii="Arial" w:hAnsi="Arial" w:cs="Arial"/>
                <w:b/>
                <w:sz w:val="20"/>
                <w:szCs w:val="20"/>
              </w:rPr>
              <w:lastRenderedPageBreak/>
              <w:t>Indicators</w:t>
            </w:r>
          </w:p>
        </w:tc>
        <w:tc>
          <w:tcPr>
            <w:tcW w:w="565" w:type="pct"/>
            <w:tcBorders>
              <w:bottom w:val="single" w:sz="4" w:space="0" w:color="auto"/>
            </w:tcBorders>
            <w:vAlign w:val="center"/>
          </w:tcPr>
          <w:p w:rsidR="00051CD0" w:rsidRPr="00067DF6" w:rsidRDefault="002A5E74" w:rsidP="00067DF6">
            <w:pPr>
              <w:spacing w:line="288" w:lineRule="auto"/>
              <w:ind w:right="77"/>
              <w:jc w:val="center"/>
              <w:rPr>
                <w:rFonts w:ascii="Arial" w:hAnsi="Arial" w:cs="Arial"/>
                <w:b/>
                <w:sz w:val="20"/>
                <w:szCs w:val="20"/>
              </w:rPr>
            </w:pPr>
            <w:r>
              <w:rPr>
                <w:rFonts w:ascii="Arial" w:hAnsi="Arial" w:cs="Arial"/>
                <w:b/>
                <w:sz w:val="20"/>
                <w:szCs w:val="20"/>
              </w:rPr>
              <w:t>August</w:t>
            </w:r>
          </w:p>
        </w:tc>
        <w:tc>
          <w:tcPr>
            <w:tcW w:w="565" w:type="pct"/>
            <w:tcBorders>
              <w:bottom w:val="single" w:sz="4" w:space="0" w:color="auto"/>
            </w:tcBorders>
            <w:vAlign w:val="center"/>
          </w:tcPr>
          <w:p w:rsidR="00051CD0" w:rsidRPr="00067DF6" w:rsidRDefault="002A5E74" w:rsidP="00067DF6">
            <w:pPr>
              <w:spacing w:line="288" w:lineRule="auto"/>
              <w:ind w:right="77"/>
              <w:jc w:val="center"/>
              <w:rPr>
                <w:rFonts w:ascii="Arial" w:hAnsi="Arial" w:cs="Arial"/>
                <w:b/>
                <w:sz w:val="20"/>
                <w:szCs w:val="20"/>
              </w:rPr>
            </w:pPr>
            <w:r>
              <w:rPr>
                <w:rFonts w:ascii="Arial" w:hAnsi="Arial" w:cs="Arial"/>
                <w:b/>
                <w:sz w:val="20"/>
                <w:szCs w:val="20"/>
              </w:rPr>
              <w:t>September</w:t>
            </w:r>
          </w:p>
        </w:tc>
        <w:tc>
          <w:tcPr>
            <w:tcW w:w="565" w:type="pct"/>
            <w:tcBorders>
              <w:bottom w:val="single" w:sz="4" w:space="0" w:color="auto"/>
            </w:tcBorders>
            <w:vAlign w:val="center"/>
          </w:tcPr>
          <w:p w:rsidR="00051CD0" w:rsidRPr="00067DF6" w:rsidRDefault="002A5E74" w:rsidP="00067DF6">
            <w:pPr>
              <w:spacing w:line="288" w:lineRule="auto"/>
              <w:ind w:right="77"/>
              <w:jc w:val="center"/>
              <w:rPr>
                <w:rFonts w:ascii="Arial" w:hAnsi="Arial" w:cs="Arial"/>
                <w:b/>
                <w:sz w:val="20"/>
                <w:szCs w:val="20"/>
              </w:rPr>
            </w:pPr>
            <w:r>
              <w:rPr>
                <w:rFonts w:ascii="Arial" w:hAnsi="Arial" w:cs="Arial"/>
                <w:b/>
                <w:sz w:val="20"/>
                <w:szCs w:val="20"/>
              </w:rPr>
              <w:t>October</w:t>
            </w:r>
          </w:p>
        </w:tc>
        <w:tc>
          <w:tcPr>
            <w:tcW w:w="565" w:type="pct"/>
            <w:tcBorders>
              <w:bottom w:val="single" w:sz="4" w:space="0" w:color="auto"/>
            </w:tcBorders>
            <w:vAlign w:val="center"/>
          </w:tcPr>
          <w:p w:rsidR="00051CD0" w:rsidRPr="00067DF6" w:rsidRDefault="002A5E74" w:rsidP="00067DF6">
            <w:pPr>
              <w:spacing w:line="288" w:lineRule="auto"/>
              <w:ind w:right="77"/>
              <w:jc w:val="center"/>
              <w:rPr>
                <w:rFonts w:ascii="Arial" w:hAnsi="Arial" w:cs="Arial"/>
                <w:b/>
                <w:sz w:val="20"/>
                <w:szCs w:val="20"/>
              </w:rPr>
            </w:pPr>
            <w:r>
              <w:rPr>
                <w:rFonts w:ascii="Arial" w:hAnsi="Arial" w:cs="Arial"/>
                <w:b/>
                <w:sz w:val="20"/>
                <w:szCs w:val="20"/>
              </w:rPr>
              <w:t>November</w:t>
            </w:r>
          </w:p>
        </w:tc>
        <w:tc>
          <w:tcPr>
            <w:tcW w:w="565" w:type="pct"/>
            <w:tcBorders>
              <w:left w:val="double" w:sz="4" w:space="0" w:color="auto"/>
              <w:bottom w:val="single" w:sz="4" w:space="0" w:color="auto"/>
            </w:tcBorders>
            <w:vAlign w:val="center"/>
          </w:tcPr>
          <w:p w:rsidR="00051CD0" w:rsidRPr="00067DF6" w:rsidRDefault="00230A81" w:rsidP="003D0BE4">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sidR="00AE7542">
              <w:rPr>
                <w:rFonts w:ascii="Arial" w:hAnsi="Arial" w:cs="Arial"/>
                <w:b/>
                <w:sz w:val="20"/>
                <w:szCs w:val="20"/>
              </w:rPr>
              <w:t xml:space="preserve"> 2</w:t>
            </w:r>
            <w:r w:rsidR="001116C3" w:rsidRPr="001116C3">
              <w:rPr>
                <w:rFonts w:ascii="Arial" w:hAnsi="Arial" w:cs="Arial"/>
                <w:b/>
                <w:sz w:val="20"/>
                <w:szCs w:val="20"/>
                <w:vertAlign w:val="superscript"/>
              </w:rPr>
              <w:t>nd</w:t>
            </w:r>
            <w:r w:rsidR="00051CD0" w:rsidRPr="00067DF6">
              <w:rPr>
                <w:rFonts w:ascii="Arial" w:hAnsi="Arial" w:cs="Arial"/>
                <w:b/>
                <w:sz w:val="20"/>
                <w:szCs w:val="20"/>
              </w:rPr>
              <w:t xml:space="preserve"> Quarter</w:t>
            </w:r>
          </w:p>
        </w:tc>
        <w:tc>
          <w:tcPr>
            <w:tcW w:w="565" w:type="pct"/>
            <w:tcBorders>
              <w:bottom w:val="single" w:sz="4" w:space="0" w:color="auto"/>
            </w:tcBorders>
            <w:vAlign w:val="center"/>
          </w:tcPr>
          <w:p w:rsidR="00051CD0" w:rsidRPr="00067DF6" w:rsidRDefault="00230A81" w:rsidP="003D0BE4">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sidR="00AE7542">
              <w:rPr>
                <w:rFonts w:ascii="Arial" w:hAnsi="Arial" w:cs="Arial"/>
                <w:b/>
                <w:sz w:val="20"/>
                <w:szCs w:val="20"/>
              </w:rPr>
              <w:t xml:space="preserve"> 3</w:t>
            </w:r>
            <w:r w:rsidR="001116C3" w:rsidRPr="001116C3">
              <w:rPr>
                <w:rFonts w:ascii="Arial" w:hAnsi="Arial" w:cs="Arial"/>
                <w:b/>
                <w:sz w:val="20"/>
                <w:szCs w:val="20"/>
                <w:vertAlign w:val="superscript"/>
              </w:rPr>
              <w:t>rd</w:t>
            </w:r>
            <w:r w:rsidR="00051CD0" w:rsidRPr="00067DF6">
              <w:rPr>
                <w:rFonts w:ascii="Arial" w:hAnsi="Arial" w:cs="Arial"/>
                <w:b/>
                <w:sz w:val="20"/>
                <w:szCs w:val="20"/>
              </w:rPr>
              <w:t xml:space="preserve"> Quarter</w:t>
            </w:r>
          </w:p>
        </w:tc>
      </w:tr>
      <w:tr w:rsidR="002A5E74" w:rsidRPr="00067DF6" w:rsidTr="002A5E74">
        <w:trPr>
          <w:trHeight w:val="20"/>
        </w:trPr>
        <w:tc>
          <w:tcPr>
            <w:tcW w:w="1609" w:type="pct"/>
            <w:tcBorders>
              <w:bottom w:val="nil"/>
              <w:right w:val="single" w:sz="4" w:space="0" w:color="auto"/>
            </w:tcBorders>
            <w:vAlign w:val="bottom"/>
          </w:tcPr>
          <w:p w:rsidR="002A5E74" w:rsidRPr="00067DF6" w:rsidRDefault="002A5E74" w:rsidP="00067DF6">
            <w:pPr>
              <w:spacing w:line="288" w:lineRule="auto"/>
              <w:ind w:right="77"/>
              <w:rPr>
                <w:rFonts w:ascii="Arial" w:hAnsi="Arial" w:cs="Arial"/>
                <w:b/>
                <w:sz w:val="20"/>
                <w:szCs w:val="20"/>
              </w:rPr>
            </w:pPr>
            <w:r w:rsidRPr="00067DF6">
              <w:rPr>
                <w:rFonts w:ascii="Arial" w:hAnsi="Arial" w:cs="Arial"/>
                <w:b/>
                <w:sz w:val="20"/>
                <w:szCs w:val="20"/>
              </w:rPr>
              <w:t>Exports</w:t>
            </w:r>
          </w:p>
        </w:tc>
        <w:tc>
          <w:tcPr>
            <w:tcW w:w="565" w:type="pct"/>
            <w:tcBorders>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102"/>
              <w:jc w:val="right"/>
              <w:rPr>
                <w:b/>
                <w:bCs/>
              </w:rPr>
            </w:pPr>
            <w:r>
              <w:rPr>
                <w:b/>
                <w:bCs/>
              </w:rPr>
              <w:t>8</w:t>
            </w:r>
            <w:r w:rsidR="002151FC">
              <w:rPr>
                <w:b/>
                <w:bCs/>
              </w:rPr>
              <w:t>.</w:t>
            </w:r>
            <w:r>
              <w:rPr>
                <w:b/>
                <w:bCs/>
              </w:rPr>
              <w:t>7</w:t>
            </w:r>
          </w:p>
        </w:tc>
        <w:tc>
          <w:tcPr>
            <w:tcW w:w="565" w:type="pct"/>
            <w:tcBorders>
              <w:left w:val="single" w:sz="4" w:space="0" w:color="auto"/>
              <w:bottom w:val="nil"/>
              <w:right w:val="single" w:sz="4" w:space="0" w:color="auto"/>
            </w:tcBorders>
            <w:vAlign w:val="center"/>
          </w:tcPr>
          <w:p w:rsidR="002A5E74" w:rsidRPr="006007C7" w:rsidRDefault="002A5E74" w:rsidP="002A5E74">
            <w:pPr>
              <w:spacing w:line="288" w:lineRule="auto"/>
              <w:ind w:right="-42"/>
              <w:jc w:val="center"/>
              <w:rPr>
                <w:b/>
                <w:bCs/>
              </w:rPr>
            </w:pPr>
            <w:r>
              <w:rPr>
                <w:b/>
                <w:bCs/>
              </w:rPr>
              <w:t xml:space="preserve">       -9</w:t>
            </w:r>
            <w:r w:rsidR="002151FC">
              <w:rPr>
                <w:b/>
                <w:bCs/>
              </w:rPr>
              <w:t>.</w:t>
            </w:r>
            <w:r>
              <w:rPr>
                <w:b/>
                <w:bCs/>
              </w:rPr>
              <w:t>7</w:t>
            </w:r>
          </w:p>
        </w:tc>
        <w:tc>
          <w:tcPr>
            <w:tcW w:w="565" w:type="pct"/>
            <w:tcBorders>
              <w:left w:val="single" w:sz="4" w:space="0" w:color="auto"/>
              <w:bottom w:val="nil"/>
              <w:right w:val="single" w:sz="4" w:space="0" w:color="auto"/>
            </w:tcBorders>
            <w:vAlign w:val="center"/>
          </w:tcPr>
          <w:p w:rsidR="002A5E74" w:rsidRPr="006007C7" w:rsidRDefault="002A5E74" w:rsidP="002A5E74">
            <w:pPr>
              <w:spacing w:line="288" w:lineRule="auto"/>
              <w:ind w:right="77"/>
              <w:jc w:val="right"/>
              <w:rPr>
                <w:b/>
                <w:bCs/>
              </w:rPr>
            </w:pPr>
            <w:r>
              <w:rPr>
                <w:b/>
                <w:bCs/>
              </w:rPr>
              <w:t>3</w:t>
            </w:r>
            <w:r w:rsidR="002151FC">
              <w:rPr>
                <w:b/>
                <w:bCs/>
              </w:rPr>
              <w:t>.</w:t>
            </w:r>
            <w:r>
              <w:rPr>
                <w:b/>
                <w:bCs/>
              </w:rPr>
              <w:t>5</w:t>
            </w:r>
          </w:p>
        </w:tc>
        <w:tc>
          <w:tcPr>
            <w:tcW w:w="565" w:type="pct"/>
            <w:tcBorders>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14"/>
              <w:jc w:val="right"/>
              <w:rPr>
                <w:b/>
                <w:bCs/>
              </w:rPr>
            </w:pPr>
            <w:r>
              <w:rPr>
                <w:b/>
                <w:bCs/>
              </w:rPr>
              <w:t>**</w:t>
            </w:r>
          </w:p>
        </w:tc>
        <w:tc>
          <w:tcPr>
            <w:tcW w:w="565" w:type="pct"/>
            <w:tcBorders>
              <w:left w:val="double" w:sz="4" w:space="0" w:color="auto"/>
              <w:bottom w:val="nil"/>
              <w:right w:val="single" w:sz="4" w:space="0" w:color="auto"/>
            </w:tcBorders>
            <w:vAlign w:val="center"/>
          </w:tcPr>
          <w:p w:rsidR="002A5E74" w:rsidRPr="006007C7" w:rsidRDefault="002A5E74" w:rsidP="002A5E74">
            <w:pPr>
              <w:spacing w:line="288" w:lineRule="auto"/>
              <w:ind w:right="-45"/>
              <w:jc w:val="center"/>
              <w:rPr>
                <w:b/>
                <w:bCs/>
              </w:rPr>
            </w:pPr>
            <w:r>
              <w:rPr>
                <w:b/>
                <w:bCs/>
              </w:rPr>
              <w:t xml:space="preserve">        3</w:t>
            </w:r>
            <w:r w:rsidR="002151FC">
              <w:rPr>
                <w:b/>
                <w:bCs/>
              </w:rPr>
              <w:t>.</w:t>
            </w:r>
            <w:r>
              <w:rPr>
                <w:b/>
                <w:bCs/>
              </w:rPr>
              <w:t>8</w:t>
            </w:r>
          </w:p>
        </w:tc>
        <w:tc>
          <w:tcPr>
            <w:tcW w:w="565" w:type="pct"/>
            <w:tcBorders>
              <w:left w:val="single" w:sz="4" w:space="0" w:color="auto"/>
              <w:bottom w:val="nil"/>
            </w:tcBorders>
            <w:vAlign w:val="center"/>
          </w:tcPr>
          <w:p w:rsidR="002A5E74" w:rsidRPr="006007C7" w:rsidRDefault="002A5E74" w:rsidP="002A5E74">
            <w:pPr>
              <w:spacing w:line="288" w:lineRule="auto"/>
              <w:ind w:right="77"/>
              <w:jc w:val="right"/>
              <w:rPr>
                <w:b/>
                <w:bCs/>
              </w:rPr>
            </w:pPr>
            <w:r>
              <w:rPr>
                <w:b/>
                <w:bCs/>
              </w:rPr>
              <w:t>-0</w:t>
            </w:r>
            <w:r w:rsidR="002151FC">
              <w:rPr>
                <w:b/>
                <w:bCs/>
              </w:rPr>
              <w:t>.</w:t>
            </w:r>
            <w:r>
              <w:rPr>
                <w:b/>
                <w:bCs/>
              </w:rPr>
              <w:t>7</w:t>
            </w:r>
          </w:p>
        </w:tc>
      </w:tr>
      <w:tr w:rsidR="002A5E74" w:rsidRPr="00067DF6" w:rsidTr="002A5E74">
        <w:trPr>
          <w:trHeight w:val="20"/>
        </w:trPr>
        <w:tc>
          <w:tcPr>
            <w:tcW w:w="1609" w:type="pct"/>
            <w:tcBorders>
              <w:bottom w:val="nil"/>
              <w:right w:val="single" w:sz="4" w:space="0" w:color="auto"/>
            </w:tcBorders>
            <w:vAlign w:val="bottom"/>
          </w:tcPr>
          <w:p w:rsidR="002A5E74" w:rsidRPr="00067DF6" w:rsidRDefault="002A5E74" w:rsidP="00067DF6">
            <w:pPr>
              <w:spacing w:line="288" w:lineRule="auto"/>
              <w:ind w:right="77"/>
              <w:rPr>
                <w:rFonts w:ascii="Arial" w:hAnsi="Arial" w:cs="Arial"/>
                <w:b/>
                <w:sz w:val="20"/>
                <w:szCs w:val="20"/>
              </w:rPr>
            </w:pPr>
            <w:r w:rsidRPr="00067DF6">
              <w:rPr>
                <w:rFonts w:ascii="Arial" w:hAnsi="Arial" w:cs="Arial"/>
                <w:b/>
                <w:sz w:val="20"/>
                <w:szCs w:val="20"/>
              </w:rPr>
              <w:t>Imports</w:t>
            </w:r>
          </w:p>
        </w:tc>
        <w:tc>
          <w:tcPr>
            <w:tcW w:w="565" w:type="pct"/>
            <w:tcBorders>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102"/>
              <w:jc w:val="right"/>
              <w:rPr>
                <w:b/>
                <w:bCs/>
              </w:rPr>
            </w:pPr>
            <w:r>
              <w:rPr>
                <w:b/>
                <w:bCs/>
              </w:rPr>
              <w:t>-2</w:t>
            </w:r>
            <w:r w:rsidR="002151FC">
              <w:rPr>
                <w:b/>
                <w:bCs/>
              </w:rPr>
              <w:t>.</w:t>
            </w:r>
            <w:r>
              <w:rPr>
                <w:b/>
                <w:bCs/>
              </w:rPr>
              <w:t>0</w:t>
            </w:r>
          </w:p>
        </w:tc>
        <w:tc>
          <w:tcPr>
            <w:tcW w:w="565" w:type="pct"/>
            <w:tcBorders>
              <w:left w:val="single" w:sz="4" w:space="0" w:color="auto"/>
              <w:bottom w:val="nil"/>
              <w:right w:val="single" w:sz="4" w:space="0" w:color="auto"/>
            </w:tcBorders>
            <w:vAlign w:val="center"/>
          </w:tcPr>
          <w:p w:rsidR="002A5E74" w:rsidRPr="006007C7" w:rsidRDefault="002A5E74" w:rsidP="002A5E74">
            <w:pPr>
              <w:spacing w:line="288" w:lineRule="auto"/>
              <w:ind w:right="-42"/>
              <w:jc w:val="center"/>
              <w:rPr>
                <w:b/>
                <w:bCs/>
              </w:rPr>
            </w:pPr>
            <w:r>
              <w:rPr>
                <w:b/>
                <w:bCs/>
              </w:rPr>
              <w:t xml:space="preserve">        0</w:t>
            </w:r>
            <w:r w:rsidR="002151FC">
              <w:rPr>
                <w:b/>
                <w:bCs/>
              </w:rPr>
              <w:t>.</w:t>
            </w:r>
            <w:r>
              <w:rPr>
                <w:b/>
                <w:bCs/>
              </w:rPr>
              <w:t>9</w:t>
            </w:r>
          </w:p>
        </w:tc>
        <w:tc>
          <w:tcPr>
            <w:tcW w:w="565" w:type="pct"/>
            <w:tcBorders>
              <w:left w:val="single" w:sz="4" w:space="0" w:color="auto"/>
              <w:bottom w:val="nil"/>
              <w:right w:val="single" w:sz="4" w:space="0" w:color="auto"/>
            </w:tcBorders>
            <w:vAlign w:val="center"/>
          </w:tcPr>
          <w:p w:rsidR="002A5E74" w:rsidRPr="006007C7" w:rsidRDefault="002A5E74" w:rsidP="002A5E74">
            <w:pPr>
              <w:spacing w:line="288" w:lineRule="auto"/>
              <w:ind w:right="77"/>
              <w:jc w:val="right"/>
              <w:rPr>
                <w:b/>
                <w:bCs/>
              </w:rPr>
            </w:pPr>
            <w:r>
              <w:rPr>
                <w:b/>
                <w:bCs/>
              </w:rPr>
              <w:t>-1</w:t>
            </w:r>
            <w:r w:rsidR="002151FC">
              <w:rPr>
                <w:b/>
                <w:bCs/>
              </w:rPr>
              <w:t>.</w:t>
            </w:r>
            <w:r>
              <w:rPr>
                <w:b/>
                <w:bCs/>
              </w:rPr>
              <w:t>4</w:t>
            </w:r>
          </w:p>
        </w:tc>
        <w:tc>
          <w:tcPr>
            <w:tcW w:w="565" w:type="pct"/>
            <w:tcBorders>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14"/>
              <w:jc w:val="right"/>
              <w:rPr>
                <w:b/>
                <w:bCs/>
              </w:rPr>
            </w:pPr>
            <w:r>
              <w:rPr>
                <w:b/>
                <w:bCs/>
              </w:rPr>
              <w:t>**</w:t>
            </w:r>
          </w:p>
        </w:tc>
        <w:tc>
          <w:tcPr>
            <w:tcW w:w="565" w:type="pct"/>
            <w:tcBorders>
              <w:left w:val="double" w:sz="4" w:space="0" w:color="auto"/>
              <w:bottom w:val="nil"/>
              <w:right w:val="single" w:sz="4" w:space="0" w:color="auto"/>
            </w:tcBorders>
            <w:vAlign w:val="center"/>
          </w:tcPr>
          <w:p w:rsidR="002A5E74" w:rsidRPr="006007C7" w:rsidRDefault="002A5E74" w:rsidP="002A5E74">
            <w:pPr>
              <w:spacing w:line="288" w:lineRule="auto"/>
              <w:ind w:right="-45"/>
              <w:jc w:val="center"/>
              <w:rPr>
                <w:b/>
                <w:bCs/>
              </w:rPr>
            </w:pPr>
            <w:r>
              <w:rPr>
                <w:b/>
                <w:bCs/>
              </w:rPr>
              <w:t xml:space="preserve">       -0</w:t>
            </w:r>
            <w:r w:rsidR="002151FC">
              <w:rPr>
                <w:b/>
                <w:bCs/>
              </w:rPr>
              <w:t>.</w:t>
            </w:r>
            <w:r>
              <w:rPr>
                <w:b/>
                <w:bCs/>
              </w:rPr>
              <w:t>4</w:t>
            </w:r>
          </w:p>
        </w:tc>
        <w:tc>
          <w:tcPr>
            <w:tcW w:w="565" w:type="pct"/>
            <w:tcBorders>
              <w:left w:val="single" w:sz="4" w:space="0" w:color="auto"/>
              <w:bottom w:val="nil"/>
            </w:tcBorders>
            <w:vAlign w:val="center"/>
          </w:tcPr>
          <w:p w:rsidR="002A5E74" w:rsidRPr="006007C7" w:rsidRDefault="002A5E74" w:rsidP="002A5E74">
            <w:pPr>
              <w:spacing w:line="288" w:lineRule="auto"/>
              <w:ind w:right="77"/>
              <w:jc w:val="right"/>
              <w:rPr>
                <w:b/>
                <w:bCs/>
              </w:rPr>
            </w:pPr>
            <w:r>
              <w:rPr>
                <w:b/>
                <w:bCs/>
              </w:rPr>
              <w:t>-1</w:t>
            </w:r>
            <w:r w:rsidR="002151FC">
              <w:rPr>
                <w:b/>
                <w:bCs/>
              </w:rPr>
              <w:t>.</w:t>
            </w:r>
            <w:r>
              <w:rPr>
                <w:b/>
                <w:bCs/>
              </w:rPr>
              <w:t>4</w:t>
            </w:r>
          </w:p>
        </w:tc>
      </w:tr>
      <w:tr w:rsidR="002A5E74" w:rsidRPr="00067DF6" w:rsidTr="002A5E74">
        <w:trPr>
          <w:trHeight w:val="20"/>
        </w:trPr>
        <w:tc>
          <w:tcPr>
            <w:tcW w:w="1609" w:type="pct"/>
            <w:tcBorders>
              <w:top w:val="nil"/>
              <w:bottom w:val="nil"/>
              <w:right w:val="single" w:sz="4" w:space="0" w:color="auto"/>
            </w:tcBorders>
            <w:vAlign w:val="bottom"/>
          </w:tcPr>
          <w:p w:rsidR="002A5E74" w:rsidRPr="00067DF6" w:rsidRDefault="002A5E74" w:rsidP="00067DF6">
            <w:pPr>
              <w:spacing w:line="288" w:lineRule="auto"/>
              <w:ind w:right="77"/>
              <w:rPr>
                <w:rFonts w:ascii="Arial" w:hAnsi="Arial" w:cs="Arial"/>
                <w:sz w:val="20"/>
                <w:szCs w:val="20"/>
              </w:rPr>
            </w:pPr>
            <w:r w:rsidRPr="00067DF6">
              <w:rPr>
                <w:rFonts w:ascii="Arial" w:hAnsi="Arial" w:cs="Arial"/>
                <w:sz w:val="20"/>
                <w:szCs w:val="20"/>
              </w:rPr>
              <w:t>Intermediate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2A5E74" w:rsidRPr="006007C7" w:rsidRDefault="002A5E74" w:rsidP="002A5E74">
            <w:pPr>
              <w:spacing w:line="288" w:lineRule="auto"/>
              <w:ind w:right="-102"/>
              <w:jc w:val="right"/>
            </w:pPr>
            <w:r>
              <w:t>-3</w:t>
            </w:r>
            <w:r w:rsidR="002151FC">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42"/>
              <w:jc w:val="right"/>
            </w:pPr>
            <w:r>
              <w:t>-2</w:t>
            </w:r>
            <w:r w:rsidR="002151FC">
              <w:t>.</w:t>
            </w:r>
            <w:r>
              <w:t>6</w:t>
            </w:r>
          </w:p>
        </w:tc>
        <w:tc>
          <w:tcPr>
            <w:tcW w:w="565" w:type="pct"/>
            <w:tcBorders>
              <w:top w:val="nil"/>
              <w:left w:val="single" w:sz="4" w:space="0" w:color="auto"/>
              <w:bottom w:val="nil"/>
              <w:right w:val="single" w:sz="4" w:space="0" w:color="auto"/>
            </w:tcBorders>
            <w:vAlign w:val="center"/>
          </w:tcPr>
          <w:p w:rsidR="002A5E74" w:rsidRPr="006007C7" w:rsidRDefault="002A5E74" w:rsidP="002A5E74">
            <w:pPr>
              <w:spacing w:line="288" w:lineRule="auto"/>
              <w:ind w:right="77"/>
              <w:jc w:val="right"/>
            </w:pPr>
            <w:r>
              <w:t>3</w:t>
            </w:r>
            <w:r w:rsidR="002151FC">
              <w:t>.</w:t>
            </w:r>
            <w:r>
              <w:t>7</w:t>
            </w:r>
          </w:p>
        </w:tc>
        <w:tc>
          <w:tcPr>
            <w:tcW w:w="565" w:type="pct"/>
            <w:tcBorders>
              <w:top w:val="nil"/>
              <w:left w:val="single" w:sz="4" w:space="0" w:color="auto"/>
              <w:bottom w:val="nil"/>
              <w:right w:val="single" w:sz="4" w:space="0" w:color="auto"/>
            </w:tcBorders>
            <w:tcMar>
              <w:right w:w="160" w:type="dxa"/>
            </w:tcMar>
            <w:vAlign w:val="center"/>
          </w:tcPr>
          <w:p w:rsidR="002A5E74" w:rsidRPr="006007C7" w:rsidRDefault="002A5E74"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2A5E74" w:rsidRPr="006007C7" w:rsidRDefault="002A5E74" w:rsidP="002A5E74">
            <w:pPr>
              <w:spacing w:line="288" w:lineRule="auto"/>
              <w:ind w:right="-45"/>
              <w:jc w:val="right"/>
            </w:pPr>
            <w:r>
              <w:t>-0</w:t>
            </w:r>
            <w:r w:rsidR="002151FC">
              <w:t>.</w:t>
            </w:r>
            <w:r>
              <w:t>1</w:t>
            </w:r>
          </w:p>
        </w:tc>
        <w:tc>
          <w:tcPr>
            <w:tcW w:w="565" w:type="pct"/>
            <w:tcBorders>
              <w:top w:val="nil"/>
              <w:left w:val="single" w:sz="4" w:space="0" w:color="auto"/>
              <w:bottom w:val="nil"/>
            </w:tcBorders>
            <w:vAlign w:val="center"/>
          </w:tcPr>
          <w:p w:rsidR="002A5E74" w:rsidRPr="006007C7" w:rsidRDefault="002A5E74" w:rsidP="002A5E74">
            <w:pPr>
              <w:spacing w:line="288" w:lineRule="auto"/>
              <w:ind w:right="77"/>
              <w:jc w:val="right"/>
            </w:pPr>
            <w:r>
              <w:t>0</w:t>
            </w:r>
            <w:r w:rsidR="002151FC">
              <w:t>.</w:t>
            </w:r>
            <w:r>
              <w:t>7</w:t>
            </w:r>
          </w:p>
        </w:tc>
      </w:tr>
      <w:tr w:rsidR="002A5E74" w:rsidRPr="00067DF6" w:rsidTr="002A5E74">
        <w:trPr>
          <w:trHeight w:val="20"/>
        </w:trPr>
        <w:tc>
          <w:tcPr>
            <w:tcW w:w="1609" w:type="pct"/>
            <w:tcBorders>
              <w:top w:val="nil"/>
              <w:bottom w:val="nil"/>
              <w:right w:val="single" w:sz="4" w:space="0" w:color="auto"/>
            </w:tcBorders>
            <w:vAlign w:val="bottom"/>
          </w:tcPr>
          <w:p w:rsidR="002A5E74" w:rsidRPr="00067DF6" w:rsidRDefault="002A5E74" w:rsidP="00067DF6">
            <w:pPr>
              <w:spacing w:line="288" w:lineRule="auto"/>
              <w:ind w:right="77"/>
              <w:rPr>
                <w:rFonts w:ascii="Arial" w:hAnsi="Arial" w:cs="Arial"/>
                <w:sz w:val="20"/>
                <w:szCs w:val="20"/>
              </w:rPr>
            </w:pPr>
            <w:r w:rsidRPr="00067DF6">
              <w:rPr>
                <w:rFonts w:ascii="Arial" w:hAnsi="Arial" w:cs="Arial"/>
                <w:sz w:val="20"/>
                <w:szCs w:val="20"/>
              </w:rPr>
              <w:t>Consumer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2A5E74" w:rsidRPr="006007C7" w:rsidRDefault="002A5E74" w:rsidP="002A5E74">
            <w:pPr>
              <w:spacing w:line="288" w:lineRule="auto"/>
              <w:ind w:right="-102"/>
              <w:jc w:val="right"/>
            </w:pPr>
            <w:r>
              <w:t>-7</w:t>
            </w:r>
            <w:r w:rsidR="002151FC">
              <w:t>.</w:t>
            </w:r>
            <w:r>
              <w:t>3</w:t>
            </w:r>
          </w:p>
        </w:tc>
        <w:tc>
          <w:tcPr>
            <w:tcW w:w="565" w:type="pct"/>
            <w:tcBorders>
              <w:top w:val="nil"/>
              <w:left w:val="single" w:sz="4" w:space="0" w:color="auto"/>
              <w:bottom w:val="nil"/>
              <w:right w:val="single" w:sz="4" w:space="0" w:color="auto"/>
            </w:tcBorders>
            <w:tcMar>
              <w:left w:w="0" w:type="dxa"/>
              <w:right w:w="160" w:type="dxa"/>
            </w:tcMar>
            <w:vAlign w:val="center"/>
          </w:tcPr>
          <w:p w:rsidR="002A5E74" w:rsidRPr="006007C7" w:rsidRDefault="002A5E74" w:rsidP="002A5E74">
            <w:pPr>
              <w:spacing w:line="288" w:lineRule="auto"/>
              <w:ind w:right="-42"/>
              <w:jc w:val="right"/>
            </w:pPr>
            <w:r>
              <w:t>0</w:t>
            </w:r>
            <w:r w:rsidR="002151FC">
              <w:t>.</w:t>
            </w:r>
            <w:r>
              <w:t>9</w:t>
            </w:r>
          </w:p>
        </w:tc>
        <w:tc>
          <w:tcPr>
            <w:tcW w:w="565" w:type="pct"/>
            <w:tcBorders>
              <w:top w:val="nil"/>
              <w:left w:val="single" w:sz="4" w:space="0" w:color="auto"/>
              <w:bottom w:val="nil"/>
              <w:right w:val="single" w:sz="4" w:space="0" w:color="auto"/>
            </w:tcBorders>
            <w:vAlign w:val="center"/>
          </w:tcPr>
          <w:p w:rsidR="002A5E74" w:rsidRPr="006007C7" w:rsidRDefault="002A5E74" w:rsidP="002A5E74">
            <w:pPr>
              <w:spacing w:line="288" w:lineRule="auto"/>
              <w:ind w:right="77"/>
              <w:jc w:val="right"/>
            </w:pPr>
            <w:r>
              <w:t>7</w:t>
            </w:r>
            <w:r w:rsidR="002151FC">
              <w:t>.</w:t>
            </w:r>
            <w:r>
              <w:t>7</w:t>
            </w:r>
          </w:p>
        </w:tc>
        <w:tc>
          <w:tcPr>
            <w:tcW w:w="565" w:type="pct"/>
            <w:tcBorders>
              <w:top w:val="nil"/>
              <w:left w:val="single" w:sz="4" w:space="0" w:color="auto"/>
              <w:bottom w:val="nil"/>
              <w:right w:val="single" w:sz="4" w:space="0" w:color="auto"/>
            </w:tcBorders>
            <w:tcMar>
              <w:right w:w="160" w:type="dxa"/>
            </w:tcMar>
            <w:vAlign w:val="center"/>
          </w:tcPr>
          <w:p w:rsidR="002A5E74" w:rsidRPr="006007C7" w:rsidRDefault="002A5E74"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2A5E74" w:rsidRPr="006007C7" w:rsidRDefault="002A5E74" w:rsidP="002A5E74">
            <w:pPr>
              <w:spacing w:line="288" w:lineRule="auto"/>
              <w:ind w:right="-45"/>
              <w:jc w:val="right"/>
            </w:pPr>
            <w:r>
              <w:t>-0</w:t>
            </w:r>
            <w:r w:rsidR="002151FC">
              <w:t>.</w:t>
            </w:r>
            <w:r>
              <w:t>3</w:t>
            </w:r>
          </w:p>
        </w:tc>
        <w:tc>
          <w:tcPr>
            <w:tcW w:w="565" w:type="pct"/>
            <w:tcBorders>
              <w:top w:val="nil"/>
              <w:left w:val="single" w:sz="4" w:space="0" w:color="auto"/>
              <w:bottom w:val="nil"/>
            </w:tcBorders>
            <w:vAlign w:val="center"/>
          </w:tcPr>
          <w:p w:rsidR="002A5E74" w:rsidRPr="006007C7" w:rsidRDefault="002A5E74" w:rsidP="002A5E74">
            <w:pPr>
              <w:spacing w:line="288" w:lineRule="auto"/>
              <w:ind w:right="77"/>
              <w:jc w:val="right"/>
            </w:pPr>
            <w:r>
              <w:t>5</w:t>
            </w:r>
            <w:r w:rsidR="002151FC">
              <w:t>.</w:t>
            </w:r>
            <w:r>
              <w:t>6</w:t>
            </w:r>
          </w:p>
        </w:tc>
      </w:tr>
      <w:tr w:rsidR="002A5E74" w:rsidRPr="00067DF6" w:rsidTr="002A5E74">
        <w:trPr>
          <w:trHeight w:val="20"/>
        </w:trPr>
        <w:tc>
          <w:tcPr>
            <w:tcW w:w="1609" w:type="pct"/>
            <w:tcBorders>
              <w:top w:val="nil"/>
              <w:bottom w:val="single" w:sz="4" w:space="0" w:color="auto"/>
              <w:right w:val="single" w:sz="4" w:space="0" w:color="auto"/>
            </w:tcBorders>
            <w:vAlign w:val="bottom"/>
          </w:tcPr>
          <w:p w:rsidR="002A5E74" w:rsidRPr="00067DF6" w:rsidRDefault="002A5E74" w:rsidP="00067DF6">
            <w:pPr>
              <w:spacing w:line="288" w:lineRule="auto"/>
              <w:ind w:right="77"/>
              <w:rPr>
                <w:rFonts w:ascii="Arial" w:hAnsi="Arial" w:cs="Arial"/>
                <w:sz w:val="20"/>
                <w:szCs w:val="20"/>
              </w:rPr>
            </w:pPr>
            <w:r w:rsidRPr="00067DF6">
              <w:rPr>
                <w:rFonts w:ascii="Arial" w:hAnsi="Arial" w:cs="Arial"/>
                <w:sz w:val="20"/>
                <w:szCs w:val="20"/>
              </w:rPr>
              <w:t>Investment goods import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2A5E74" w:rsidRPr="006007C7" w:rsidRDefault="002A5E74" w:rsidP="002A5E74">
            <w:pPr>
              <w:spacing w:line="288" w:lineRule="auto"/>
              <w:ind w:right="-102"/>
              <w:jc w:val="right"/>
            </w:pPr>
            <w:r>
              <w:t>0</w:t>
            </w:r>
            <w:r w:rsidR="002151FC">
              <w:t>.</w:t>
            </w:r>
            <w:r>
              <w:t>7</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2A5E74" w:rsidRPr="006007C7" w:rsidRDefault="002A5E74" w:rsidP="002A5E74">
            <w:pPr>
              <w:spacing w:line="288" w:lineRule="auto"/>
              <w:ind w:right="-42"/>
              <w:jc w:val="right"/>
            </w:pPr>
            <w:r>
              <w:t>2</w:t>
            </w:r>
            <w:r w:rsidR="002151FC">
              <w:t>.</w:t>
            </w:r>
            <w:r>
              <w:t>2</w:t>
            </w:r>
          </w:p>
        </w:tc>
        <w:tc>
          <w:tcPr>
            <w:tcW w:w="565" w:type="pct"/>
            <w:tcBorders>
              <w:top w:val="nil"/>
              <w:left w:val="single" w:sz="4" w:space="0" w:color="auto"/>
              <w:bottom w:val="single" w:sz="4" w:space="0" w:color="auto"/>
              <w:right w:val="single" w:sz="4" w:space="0" w:color="auto"/>
            </w:tcBorders>
            <w:vAlign w:val="center"/>
          </w:tcPr>
          <w:p w:rsidR="002A5E74" w:rsidRPr="006007C7" w:rsidRDefault="002A5E74" w:rsidP="002A5E74">
            <w:pPr>
              <w:spacing w:line="288" w:lineRule="auto"/>
              <w:ind w:right="77"/>
              <w:jc w:val="right"/>
            </w:pPr>
            <w:r>
              <w:t>8</w:t>
            </w:r>
            <w:r w:rsidR="002151FC">
              <w:t>.</w:t>
            </w:r>
            <w:r>
              <w:t>7</w:t>
            </w:r>
          </w:p>
        </w:tc>
        <w:tc>
          <w:tcPr>
            <w:tcW w:w="565" w:type="pct"/>
            <w:tcBorders>
              <w:top w:val="nil"/>
              <w:left w:val="single" w:sz="4" w:space="0" w:color="auto"/>
              <w:bottom w:val="single" w:sz="4" w:space="0" w:color="auto"/>
              <w:right w:val="single" w:sz="4" w:space="0" w:color="auto"/>
            </w:tcBorders>
            <w:tcMar>
              <w:right w:w="160" w:type="dxa"/>
            </w:tcMar>
            <w:vAlign w:val="center"/>
          </w:tcPr>
          <w:p w:rsidR="002A5E74" w:rsidRPr="006007C7" w:rsidRDefault="002A5E74" w:rsidP="002A5E74">
            <w:pPr>
              <w:spacing w:line="288" w:lineRule="auto"/>
              <w:ind w:right="-14"/>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2A5E74" w:rsidRPr="006007C7" w:rsidRDefault="002A5E74" w:rsidP="002A5E74">
            <w:pPr>
              <w:spacing w:line="288" w:lineRule="auto"/>
              <w:ind w:right="-45"/>
              <w:jc w:val="right"/>
            </w:pPr>
            <w:r>
              <w:t>-7</w:t>
            </w:r>
            <w:r w:rsidR="002151FC">
              <w:t>.</w:t>
            </w:r>
            <w:r>
              <w:t>4</w:t>
            </w:r>
          </w:p>
        </w:tc>
        <w:tc>
          <w:tcPr>
            <w:tcW w:w="565" w:type="pct"/>
            <w:tcBorders>
              <w:top w:val="nil"/>
              <w:left w:val="single" w:sz="4" w:space="0" w:color="auto"/>
              <w:bottom w:val="single" w:sz="4" w:space="0" w:color="auto"/>
            </w:tcBorders>
            <w:vAlign w:val="center"/>
          </w:tcPr>
          <w:p w:rsidR="002A5E74" w:rsidRPr="006007C7" w:rsidRDefault="002A5E74" w:rsidP="002A5E74">
            <w:pPr>
              <w:spacing w:line="288" w:lineRule="auto"/>
              <w:ind w:right="77"/>
              <w:jc w:val="right"/>
            </w:pPr>
            <w:r>
              <w:t>10</w:t>
            </w:r>
            <w:r w:rsidR="002151FC">
              <w:t>.</w:t>
            </w:r>
            <w:r>
              <w:t>5</w:t>
            </w:r>
          </w:p>
        </w:tc>
      </w:tr>
      <w:tr w:rsidR="00544439" w:rsidRPr="00067DF6" w:rsidTr="002A5E74">
        <w:trPr>
          <w:trHeight w:val="20"/>
        </w:trPr>
        <w:tc>
          <w:tcPr>
            <w:tcW w:w="1609" w:type="pct"/>
            <w:tcBorders>
              <w:bottom w:val="single" w:sz="4" w:space="0" w:color="auto"/>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Pr>
                <w:rFonts w:ascii="Arial" w:hAnsi="Arial" w:cs="Arial"/>
                <w:sz w:val="20"/>
                <w:szCs w:val="20"/>
              </w:rPr>
              <w:t>Exports without gold***</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102"/>
              <w:jc w:val="right"/>
              <w:rPr>
                <w:b/>
                <w:bCs/>
              </w:rPr>
            </w:pPr>
            <w:r>
              <w:rPr>
                <w:b/>
                <w:bCs/>
              </w:rPr>
              <w:t>4</w:t>
            </w:r>
            <w:r w:rsidR="002151FC">
              <w:rPr>
                <w:b/>
                <w:bCs/>
              </w:rPr>
              <w:t>.</w:t>
            </w:r>
            <w:r>
              <w:rPr>
                <w:b/>
                <w:bCs/>
              </w:rPr>
              <w:t>4</w:t>
            </w:r>
          </w:p>
        </w:tc>
        <w:tc>
          <w:tcPr>
            <w:tcW w:w="565" w:type="pct"/>
            <w:tcBorders>
              <w:left w:val="single" w:sz="4" w:space="0" w:color="auto"/>
              <w:bottom w:val="single" w:sz="4" w:space="0" w:color="auto"/>
              <w:right w:val="single" w:sz="4" w:space="0" w:color="auto"/>
            </w:tcBorders>
            <w:tcMar>
              <w:left w:w="0" w:type="dxa"/>
              <w:right w:w="160" w:type="dxa"/>
            </w:tcMar>
            <w:vAlign w:val="center"/>
          </w:tcPr>
          <w:p w:rsidR="00544439" w:rsidRPr="006007C7" w:rsidRDefault="00544439" w:rsidP="002A5E74">
            <w:pPr>
              <w:spacing w:line="288" w:lineRule="auto"/>
              <w:ind w:right="-42"/>
              <w:jc w:val="right"/>
              <w:rPr>
                <w:b/>
                <w:bCs/>
              </w:rPr>
            </w:pPr>
            <w:r>
              <w:rPr>
                <w:b/>
                <w:bCs/>
              </w:rPr>
              <w:t>-0</w:t>
            </w:r>
            <w:r w:rsidR="002151FC">
              <w:rPr>
                <w:b/>
                <w:bCs/>
              </w:rPr>
              <w:t>.</w:t>
            </w:r>
            <w:r>
              <w:rPr>
                <w:b/>
                <w:bCs/>
              </w:rPr>
              <w:t>5</w:t>
            </w:r>
          </w:p>
        </w:tc>
        <w:tc>
          <w:tcPr>
            <w:tcW w:w="565" w:type="pct"/>
            <w:tcBorders>
              <w:left w:val="single" w:sz="4" w:space="0" w:color="auto"/>
              <w:bottom w:val="single" w:sz="4" w:space="0" w:color="auto"/>
              <w:right w:val="single" w:sz="4" w:space="0" w:color="auto"/>
            </w:tcBorders>
            <w:vAlign w:val="center"/>
          </w:tcPr>
          <w:p w:rsidR="00544439" w:rsidRPr="006007C7" w:rsidRDefault="00544439" w:rsidP="002A5E74">
            <w:pPr>
              <w:spacing w:line="288" w:lineRule="auto"/>
              <w:ind w:right="77"/>
              <w:jc w:val="right"/>
              <w:rPr>
                <w:b/>
                <w:bCs/>
              </w:rPr>
            </w:pPr>
            <w:r>
              <w:rPr>
                <w:b/>
                <w:bCs/>
              </w:rPr>
              <w:t>2</w:t>
            </w:r>
            <w:r w:rsidR="002151FC">
              <w:rPr>
                <w:b/>
                <w:bCs/>
              </w:rPr>
              <w:t>.</w:t>
            </w:r>
            <w:r>
              <w:rPr>
                <w:b/>
                <w:bCs/>
              </w:rPr>
              <w:t>8</w:t>
            </w:r>
          </w:p>
        </w:tc>
        <w:tc>
          <w:tcPr>
            <w:tcW w:w="565" w:type="pct"/>
            <w:tcBorders>
              <w:left w:val="single" w:sz="4" w:space="0" w:color="auto"/>
              <w:bottom w:val="single" w:sz="4" w:space="0" w:color="auto"/>
              <w:right w:val="single" w:sz="4" w:space="0" w:color="auto"/>
            </w:tcBorders>
            <w:tcMar>
              <w:right w:w="160" w:type="dxa"/>
            </w:tcMar>
            <w:vAlign w:val="center"/>
          </w:tcPr>
          <w:p w:rsidR="00544439" w:rsidRPr="006007C7" w:rsidRDefault="00544439" w:rsidP="002A5E74">
            <w:pPr>
              <w:spacing w:line="288" w:lineRule="auto"/>
              <w:ind w:right="-14"/>
              <w:jc w:val="right"/>
              <w:rPr>
                <w:b/>
                <w:bCs/>
              </w:rPr>
            </w:pPr>
            <w:r>
              <w:rPr>
                <w:b/>
                <w:bCs/>
              </w:rPr>
              <w:t>**</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45"/>
              <w:jc w:val="right"/>
              <w:rPr>
                <w:b/>
                <w:bCs/>
              </w:rPr>
            </w:pPr>
            <w:r>
              <w:rPr>
                <w:b/>
                <w:bCs/>
              </w:rPr>
              <w:t>-0</w:t>
            </w:r>
            <w:r w:rsidR="002151FC">
              <w:rPr>
                <w:b/>
                <w:bCs/>
              </w:rPr>
              <w:t>.</w:t>
            </w:r>
            <w:r>
              <w:rPr>
                <w:b/>
                <w:bCs/>
              </w:rPr>
              <w:t>6</w:t>
            </w:r>
          </w:p>
        </w:tc>
        <w:tc>
          <w:tcPr>
            <w:tcW w:w="565" w:type="pct"/>
            <w:tcBorders>
              <w:left w:val="single" w:sz="4" w:space="0" w:color="auto"/>
              <w:bottom w:val="single" w:sz="4" w:space="0" w:color="auto"/>
            </w:tcBorders>
            <w:vAlign w:val="center"/>
          </w:tcPr>
          <w:p w:rsidR="00544439" w:rsidRPr="006007C7" w:rsidRDefault="00544439" w:rsidP="002A5E74">
            <w:pPr>
              <w:spacing w:line="288" w:lineRule="auto"/>
              <w:ind w:right="77"/>
              <w:jc w:val="right"/>
              <w:rPr>
                <w:b/>
                <w:bCs/>
              </w:rPr>
            </w:pPr>
            <w:r>
              <w:rPr>
                <w:b/>
                <w:bCs/>
              </w:rPr>
              <w:t>3</w:t>
            </w:r>
            <w:r w:rsidR="002151FC">
              <w:rPr>
                <w:b/>
                <w:bCs/>
              </w:rPr>
              <w:t>.</w:t>
            </w:r>
            <w:r>
              <w:rPr>
                <w:b/>
                <w:bCs/>
              </w:rPr>
              <w:t>9</w:t>
            </w:r>
          </w:p>
        </w:tc>
      </w:tr>
      <w:tr w:rsidR="00544439" w:rsidRPr="00067DF6" w:rsidTr="002A5E74">
        <w:trPr>
          <w:trHeight w:val="20"/>
        </w:trPr>
        <w:tc>
          <w:tcPr>
            <w:tcW w:w="1609" w:type="pct"/>
            <w:tcBorders>
              <w:top w:val="single" w:sz="4" w:space="0" w:color="auto"/>
              <w:bottom w:val="single" w:sz="4" w:space="0" w:color="auto"/>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Pr>
                <w:rFonts w:ascii="Arial" w:hAnsi="Arial" w:cs="Arial"/>
                <w:sz w:val="20"/>
                <w:szCs w:val="20"/>
              </w:rPr>
              <w:t>Imports without gold***</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102"/>
              <w:jc w:val="right"/>
              <w:rPr>
                <w:b/>
                <w:bCs/>
              </w:rPr>
            </w:pPr>
            <w:r>
              <w:rPr>
                <w:b/>
                <w:bCs/>
              </w:rPr>
              <w:t>1</w:t>
            </w:r>
            <w:r w:rsidR="002151FC">
              <w:rPr>
                <w:b/>
                <w:bCs/>
              </w:rPr>
              <w:t>.</w:t>
            </w:r>
            <w:r>
              <w:rPr>
                <w:b/>
                <w:bCs/>
              </w:rPr>
              <w:t>2</w:t>
            </w:r>
          </w:p>
        </w:tc>
        <w:tc>
          <w:tcPr>
            <w:tcW w:w="565" w:type="pct"/>
            <w:tcBorders>
              <w:top w:val="single" w:sz="4" w:space="0" w:color="auto"/>
              <w:left w:val="single" w:sz="4" w:space="0" w:color="auto"/>
              <w:bottom w:val="single" w:sz="4" w:space="0" w:color="auto"/>
              <w:right w:val="single" w:sz="4" w:space="0" w:color="auto"/>
            </w:tcBorders>
            <w:tcMar>
              <w:left w:w="0" w:type="dxa"/>
              <w:right w:w="160" w:type="dxa"/>
            </w:tcMar>
            <w:vAlign w:val="center"/>
          </w:tcPr>
          <w:p w:rsidR="00544439" w:rsidRPr="006007C7" w:rsidRDefault="00544439" w:rsidP="002A5E74">
            <w:pPr>
              <w:spacing w:line="288" w:lineRule="auto"/>
              <w:ind w:right="-42"/>
              <w:jc w:val="right"/>
              <w:rPr>
                <w:b/>
                <w:bCs/>
              </w:rPr>
            </w:pPr>
            <w:r>
              <w:rPr>
                <w:b/>
                <w:bCs/>
              </w:rPr>
              <w:t>1</w:t>
            </w:r>
            <w:r w:rsidR="002151FC">
              <w:rPr>
                <w:b/>
                <w:bCs/>
              </w:rPr>
              <w:t>.</w:t>
            </w:r>
            <w:r>
              <w:rPr>
                <w:b/>
                <w:bCs/>
              </w:rPr>
              <w:t>2</w:t>
            </w:r>
          </w:p>
        </w:tc>
        <w:tc>
          <w:tcPr>
            <w:tcW w:w="565" w:type="pct"/>
            <w:tcBorders>
              <w:top w:val="single" w:sz="4" w:space="0" w:color="auto"/>
              <w:left w:val="single" w:sz="4" w:space="0" w:color="auto"/>
              <w:bottom w:val="single" w:sz="4" w:space="0" w:color="auto"/>
              <w:right w:val="single" w:sz="4" w:space="0" w:color="auto"/>
            </w:tcBorders>
            <w:vAlign w:val="center"/>
          </w:tcPr>
          <w:p w:rsidR="00544439" w:rsidRPr="006007C7" w:rsidRDefault="00544439" w:rsidP="002A5E74">
            <w:pPr>
              <w:spacing w:line="288" w:lineRule="auto"/>
              <w:ind w:right="77"/>
              <w:jc w:val="right"/>
              <w:rPr>
                <w:b/>
                <w:bCs/>
              </w:rPr>
            </w:pPr>
            <w:r>
              <w:rPr>
                <w:b/>
                <w:bCs/>
              </w:rPr>
              <w:t>1</w:t>
            </w:r>
            <w:r w:rsidR="002151FC">
              <w:rPr>
                <w:b/>
                <w:bCs/>
              </w:rPr>
              <w:t>.</w:t>
            </w:r>
            <w:r>
              <w:rPr>
                <w:b/>
                <w:bCs/>
              </w:rPr>
              <w:t>8</w:t>
            </w:r>
          </w:p>
        </w:tc>
        <w:tc>
          <w:tcPr>
            <w:tcW w:w="565" w:type="pct"/>
            <w:tcBorders>
              <w:top w:val="single" w:sz="4" w:space="0" w:color="auto"/>
              <w:left w:val="single" w:sz="4" w:space="0" w:color="auto"/>
              <w:bottom w:val="single" w:sz="4" w:space="0" w:color="auto"/>
              <w:right w:val="single" w:sz="4" w:space="0" w:color="auto"/>
            </w:tcBorders>
            <w:tcMar>
              <w:right w:w="160" w:type="dxa"/>
            </w:tcMar>
            <w:vAlign w:val="center"/>
          </w:tcPr>
          <w:p w:rsidR="00544439" w:rsidRPr="006007C7" w:rsidRDefault="00544439" w:rsidP="002A5E74">
            <w:pPr>
              <w:spacing w:line="288" w:lineRule="auto"/>
              <w:ind w:right="-14"/>
              <w:jc w:val="right"/>
              <w:rPr>
                <w:b/>
                <w:bCs/>
              </w:rPr>
            </w:pPr>
            <w:r>
              <w:rPr>
                <w:b/>
                <w:bCs/>
              </w:rPr>
              <w:t>**</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45"/>
              <w:jc w:val="right"/>
              <w:rPr>
                <w:b/>
                <w:bCs/>
              </w:rPr>
            </w:pPr>
            <w:r>
              <w:rPr>
                <w:b/>
                <w:bCs/>
              </w:rPr>
              <w:t>0</w:t>
            </w:r>
            <w:r w:rsidR="002151FC">
              <w:rPr>
                <w:b/>
                <w:bCs/>
              </w:rPr>
              <w:t>.</w:t>
            </w:r>
            <w:r>
              <w:rPr>
                <w:b/>
                <w:bCs/>
              </w:rPr>
              <w:t>4</w:t>
            </w:r>
          </w:p>
        </w:tc>
        <w:tc>
          <w:tcPr>
            <w:tcW w:w="565" w:type="pct"/>
            <w:tcBorders>
              <w:top w:val="single" w:sz="4" w:space="0" w:color="auto"/>
              <w:left w:val="single" w:sz="4" w:space="0" w:color="auto"/>
              <w:bottom w:val="single" w:sz="4" w:space="0" w:color="auto"/>
            </w:tcBorders>
            <w:vAlign w:val="center"/>
          </w:tcPr>
          <w:p w:rsidR="00544439" w:rsidRPr="006007C7" w:rsidRDefault="00544439" w:rsidP="002A5E74">
            <w:pPr>
              <w:spacing w:line="288" w:lineRule="auto"/>
              <w:ind w:right="77"/>
              <w:jc w:val="right"/>
              <w:rPr>
                <w:b/>
                <w:bCs/>
              </w:rPr>
            </w:pPr>
            <w:r>
              <w:rPr>
                <w:b/>
                <w:bCs/>
              </w:rPr>
              <w:t>3</w:t>
            </w:r>
            <w:r w:rsidR="002151FC">
              <w:rPr>
                <w:b/>
                <w:bCs/>
              </w:rPr>
              <w:t>.</w:t>
            </w:r>
            <w:r>
              <w:rPr>
                <w:b/>
                <w:bCs/>
              </w:rPr>
              <w:t>0</w:t>
            </w:r>
          </w:p>
        </w:tc>
      </w:tr>
      <w:tr w:rsidR="00544439" w:rsidRPr="00067DF6" w:rsidTr="002A5E74">
        <w:trPr>
          <w:trHeight w:val="20"/>
        </w:trPr>
        <w:tc>
          <w:tcPr>
            <w:tcW w:w="1609" w:type="pct"/>
            <w:tcBorders>
              <w:top w:val="single" w:sz="4" w:space="0" w:color="auto"/>
              <w:bottom w:val="nil"/>
              <w:right w:val="single" w:sz="4" w:space="0" w:color="auto"/>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 xml:space="preserve">Industrial Production Index (IPI) </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rPr>
                <w:b/>
                <w:bCs/>
              </w:rPr>
            </w:pPr>
            <w:r>
              <w:rPr>
                <w:b/>
                <w:bCs/>
              </w:rPr>
              <w:t>-3</w:t>
            </w:r>
            <w:r w:rsidR="002151FC">
              <w:rPr>
                <w:b/>
                <w:bCs/>
              </w:rPr>
              <w:t>.</w:t>
            </w:r>
            <w:r>
              <w:rPr>
                <w:b/>
                <w:bCs/>
              </w:rPr>
              <w:t>1</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rPr>
                <w:b/>
                <w:bCs/>
              </w:rPr>
            </w:pPr>
            <w:r>
              <w:rPr>
                <w:b/>
                <w:bCs/>
              </w:rPr>
              <w:t>4</w:t>
            </w:r>
            <w:r w:rsidR="002151FC">
              <w:rPr>
                <w:b/>
                <w:bCs/>
              </w:rPr>
              <w:t>.</w:t>
            </w:r>
            <w:r>
              <w:rPr>
                <w:b/>
                <w:bCs/>
              </w:rPr>
              <w:t>8</w:t>
            </w:r>
          </w:p>
        </w:tc>
        <w:tc>
          <w:tcPr>
            <w:tcW w:w="565" w:type="pct"/>
            <w:tcBorders>
              <w:top w:val="single" w:sz="4" w:space="0" w:color="auto"/>
              <w:left w:val="single" w:sz="4" w:space="0" w:color="auto"/>
              <w:bottom w:val="nil"/>
              <w:right w:val="single" w:sz="4" w:space="0" w:color="auto"/>
            </w:tcBorders>
            <w:vAlign w:val="center"/>
          </w:tcPr>
          <w:p w:rsidR="00544439" w:rsidRPr="006007C7" w:rsidRDefault="00544439" w:rsidP="002A5E74">
            <w:pPr>
              <w:spacing w:line="288" w:lineRule="auto"/>
              <w:ind w:right="77"/>
              <w:jc w:val="right"/>
              <w:rPr>
                <w:b/>
                <w:bCs/>
              </w:rPr>
            </w:pPr>
            <w:r>
              <w:rPr>
                <w:b/>
                <w:bCs/>
              </w:rPr>
              <w:t>-2</w:t>
            </w:r>
            <w:r w:rsidR="002151FC">
              <w:rPr>
                <w:b/>
                <w:bCs/>
              </w:rPr>
              <w:t>.</w:t>
            </w:r>
            <w:r>
              <w:rPr>
                <w:b/>
                <w:bCs/>
              </w:rPr>
              <w:t>6</w:t>
            </w:r>
          </w:p>
        </w:tc>
        <w:tc>
          <w:tcPr>
            <w:tcW w:w="565" w:type="pct"/>
            <w:tcBorders>
              <w:top w:val="single" w:sz="4" w:space="0" w:color="auto"/>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rPr>
                <w:b/>
                <w:bCs/>
              </w:rPr>
            </w:pPr>
            <w:r>
              <w:rPr>
                <w:b/>
                <w:bCs/>
              </w:rPr>
              <w:t>0</w:t>
            </w:r>
            <w:r w:rsidR="002151FC">
              <w:rPr>
                <w:b/>
                <w:bCs/>
              </w:rPr>
              <w:t>.</w:t>
            </w:r>
            <w:r>
              <w:rPr>
                <w:b/>
                <w:bCs/>
              </w:rPr>
              <w:t>2</w:t>
            </w:r>
          </w:p>
        </w:tc>
        <w:tc>
          <w:tcPr>
            <w:tcW w:w="565" w:type="pct"/>
            <w:tcBorders>
              <w:top w:val="single" w:sz="4" w:space="0" w:color="auto"/>
              <w:left w:val="single" w:sz="4" w:space="0" w:color="auto"/>
              <w:bottom w:val="nil"/>
            </w:tcBorders>
            <w:vAlign w:val="center"/>
          </w:tcPr>
          <w:p w:rsidR="00544439" w:rsidRPr="006007C7" w:rsidRDefault="00544439" w:rsidP="002A5E74">
            <w:pPr>
              <w:spacing w:line="288" w:lineRule="auto"/>
              <w:ind w:right="77"/>
              <w:jc w:val="right"/>
              <w:rPr>
                <w:b/>
                <w:bCs/>
              </w:rPr>
            </w:pPr>
            <w:r>
              <w:rPr>
                <w:b/>
                <w:bCs/>
              </w:rPr>
              <w:t>-0</w:t>
            </w:r>
            <w:r w:rsidR="002151FC">
              <w:rPr>
                <w:b/>
                <w:bCs/>
              </w:rPr>
              <w:t>.</w:t>
            </w:r>
            <w:r>
              <w:rPr>
                <w:b/>
                <w:bCs/>
              </w:rPr>
              <w:t>5</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-2</w:t>
            </w:r>
            <w:r w:rsidR="002151FC">
              <w:t>.</w:t>
            </w:r>
            <w:r>
              <w:t>5</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2</w:t>
            </w:r>
            <w:r w:rsidR="002151FC">
              <w:t>.</w:t>
            </w:r>
            <w:r>
              <w:t>3</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2</w:t>
            </w:r>
            <w:r w:rsidR="002151FC">
              <w:t>.</w:t>
            </w:r>
            <w:r>
              <w:t>4</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1</w:t>
            </w:r>
            <w:r w:rsidR="002151FC">
              <w:t>.</w:t>
            </w:r>
            <w:r>
              <w:t>5</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3</w:t>
            </w:r>
            <w:r w:rsidR="002151FC">
              <w:t>.</w:t>
            </w:r>
            <w:r>
              <w:t>1</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-1</w:t>
            </w:r>
            <w:r w:rsidR="002151FC">
              <w:t>.</w:t>
            </w:r>
            <w:r>
              <w:t>3</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9</w:t>
            </w:r>
            <w:r w:rsidR="002151FC">
              <w:t>.</w:t>
            </w:r>
            <w:r>
              <w:t>9</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-4</w:t>
            </w:r>
            <w:r w:rsidR="002151FC">
              <w:t>.</w:t>
            </w:r>
            <w:r>
              <w:t>4</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2</w:t>
            </w:r>
            <w:r w:rsidR="002151FC">
              <w:t>.</w:t>
            </w:r>
            <w:r>
              <w:t>8</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1</w:t>
            </w:r>
            <w:r w:rsidR="002151FC">
              <w:t>.</w:t>
            </w:r>
            <w:r>
              <w:t>2</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-1</w:t>
            </w:r>
            <w:r w:rsidR="002151FC">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1</w:t>
            </w:r>
            <w:r w:rsidR="002151FC">
              <w:t>.</w:t>
            </w:r>
            <w:r>
              <w:t>9</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-0</w:t>
            </w:r>
            <w:r w:rsidR="002151FC">
              <w:t>.</w:t>
            </w:r>
            <w:r>
              <w:t>2</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0</w:t>
            </w:r>
            <w:r w:rsidR="002151FC">
              <w:t>.</w:t>
            </w:r>
            <w:r>
              <w:t>3</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0</w:t>
            </w:r>
            <w:r w:rsidR="002151FC">
              <w:t>.</w:t>
            </w:r>
            <w:r>
              <w:t>5</w:t>
            </w:r>
          </w:p>
        </w:tc>
      </w:tr>
      <w:tr w:rsidR="00544439" w:rsidRPr="00067DF6" w:rsidTr="00544439">
        <w:trPr>
          <w:trHeight w:val="20"/>
        </w:trPr>
        <w:tc>
          <w:tcPr>
            <w:tcW w:w="1609" w:type="pct"/>
            <w:tcBorders>
              <w:top w:val="nil"/>
              <w:bottom w:val="single" w:sz="4" w:space="0" w:color="auto"/>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-7</w:t>
            </w:r>
            <w:r w:rsidR="002151FC">
              <w:t>.</w:t>
            </w:r>
            <w:r>
              <w:t>4</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6</w:t>
            </w:r>
            <w:r w:rsidR="002151FC">
              <w:t>.</w:t>
            </w:r>
            <w:r>
              <w:t>2</w:t>
            </w:r>
          </w:p>
        </w:tc>
        <w:tc>
          <w:tcPr>
            <w:tcW w:w="565" w:type="pct"/>
            <w:tcBorders>
              <w:top w:val="nil"/>
              <w:left w:val="single" w:sz="4" w:space="0" w:color="auto"/>
              <w:bottom w:val="single" w:sz="4" w:space="0" w:color="auto"/>
              <w:right w:val="single" w:sz="4" w:space="0" w:color="auto"/>
            </w:tcBorders>
            <w:vAlign w:val="center"/>
          </w:tcPr>
          <w:p w:rsidR="00544439" w:rsidRPr="006007C7" w:rsidRDefault="00544439" w:rsidP="002A5E74">
            <w:pPr>
              <w:spacing w:line="288" w:lineRule="auto"/>
              <w:ind w:right="77"/>
              <w:jc w:val="right"/>
            </w:pPr>
            <w:r>
              <w:t>2</w:t>
            </w:r>
            <w:r w:rsidR="002151FC">
              <w:t>.</w:t>
            </w:r>
            <w:r>
              <w:t>6</w:t>
            </w:r>
          </w:p>
        </w:tc>
        <w:tc>
          <w:tcPr>
            <w:tcW w:w="565" w:type="pct"/>
            <w:tcBorders>
              <w:top w:val="nil"/>
              <w:left w:val="single" w:sz="4" w:space="0" w:color="auto"/>
              <w:bottom w:val="single" w:sz="4" w:space="0" w:color="auto"/>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-2</w:t>
            </w:r>
            <w:r w:rsidR="002151FC">
              <w:t>.</w:t>
            </w:r>
            <w:r>
              <w:t>7</w:t>
            </w:r>
          </w:p>
        </w:tc>
        <w:tc>
          <w:tcPr>
            <w:tcW w:w="565" w:type="pct"/>
            <w:tcBorders>
              <w:top w:val="nil"/>
              <w:left w:val="single" w:sz="4" w:space="0" w:color="auto"/>
              <w:bottom w:val="single" w:sz="4" w:space="0" w:color="auto"/>
            </w:tcBorders>
            <w:vAlign w:val="center"/>
          </w:tcPr>
          <w:p w:rsidR="00544439" w:rsidRPr="006007C7" w:rsidRDefault="00544439" w:rsidP="002A5E74">
            <w:pPr>
              <w:spacing w:line="288" w:lineRule="auto"/>
              <w:ind w:right="77"/>
              <w:jc w:val="right"/>
            </w:pPr>
            <w:r>
              <w:t>4</w:t>
            </w:r>
            <w:r w:rsidR="002151FC">
              <w:t>.</w:t>
            </w:r>
            <w:r>
              <w:t>0</w:t>
            </w:r>
          </w:p>
        </w:tc>
      </w:tr>
      <w:tr w:rsidR="00544439" w:rsidRPr="00067DF6" w:rsidTr="00544439">
        <w:trPr>
          <w:trHeight w:val="20"/>
        </w:trPr>
        <w:tc>
          <w:tcPr>
            <w:tcW w:w="1609" w:type="pct"/>
            <w:tcBorders>
              <w:top w:val="single" w:sz="4" w:space="0" w:color="auto"/>
              <w:bottom w:val="nil"/>
              <w:right w:val="single" w:sz="4" w:space="0" w:color="auto"/>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Capacity Utilization Rate (CUR)</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rPr>
                <w:b/>
                <w:bCs/>
              </w:rPr>
            </w:pPr>
            <w:r>
              <w:rPr>
                <w:b/>
                <w:bCs/>
              </w:rPr>
              <w:t>-0</w:t>
            </w:r>
            <w:r w:rsidR="002151FC">
              <w:rPr>
                <w:b/>
                <w:bCs/>
              </w:rPr>
              <w:t>.</w:t>
            </w:r>
            <w:r>
              <w:rPr>
                <w:b/>
                <w:bCs/>
              </w:rPr>
              <w:t>2</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rPr>
                <w:b/>
                <w:bCs/>
              </w:rPr>
            </w:pPr>
            <w:r>
              <w:rPr>
                <w:b/>
                <w:bCs/>
              </w:rPr>
              <w:t>-0</w:t>
            </w:r>
            <w:r w:rsidR="002151FC">
              <w:rPr>
                <w:b/>
                <w:bCs/>
              </w:rPr>
              <w:t>.</w:t>
            </w:r>
            <w:r>
              <w:rPr>
                <w:b/>
                <w:bCs/>
              </w:rPr>
              <w:t>1</w:t>
            </w:r>
          </w:p>
        </w:tc>
        <w:tc>
          <w:tcPr>
            <w:tcW w:w="565" w:type="pct"/>
            <w:tcBorders>
              <w:top w:val="single" w:sz="4" w:space="0" w:color="auto"/>
              <w:left w:val="single" w:sz="4" w:space="0" w:color="auto"/>
              <w:bottom w:val="nil"/>
              <w:right w:val="single" w:sz="4" w:space="0" w:color="auto"/>
            </w:tcBorders>
            <w:vAlign w:val="center"/>
          </w:tcPr>
          <w:p w:rsidR="00544439" w:rsidRPr="006007C7" w:rsidRDefault="00544439" w:rsidP="002A5E74">
            <w:pPr>
              <w:spacing w:line="288" w:lineRule="auto"/>
              <w:ind w:right="77"/>
              <w:jc w:val="right"/>
              <w:rPr>
                <w:b/>
                <w:bCs/>
              </w:rPr>
            </w:pPr>
            <w:r>
              <w:rPr>
                <w:b/>
                <w:bCs/>
              </w:rPr>
              <w:t>0</w:t>
            </w:r>
            <w:r w:rsidR="002151FC">
              <w:rPr>
                <w:b/>
                <w:bCs/>
              </w:rPr>
              <w:t>.</w:t>
            </w:r>
            <w:r>
              <w:rPr>
                <w:b/>
                <w:bCs/>
              </w:rPr>
              <w:t>3</w:t>
            </w:r>
          </w:p>
        </w:tc>
        <w:tc>
          <w:tcPr>
            <w:tcW w:w="565" w:type="pct"/>
            <w:tcBorders>
              <w:top w:val="single" w:sz="4" w:space="0" w:color="auto"/>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rPr>
                <w:b/>
                <w:bCs/>
              </w:rPr>
            </w:pPr>
            <w:r>
              <w:rPr>
                <w:b/>
                <w:bCs/>
              </w:rPr>
              <w:t>-0</w:t>
            </w:r>
            <w:r w:rsidR="002151FC">
              <w:rPr>
                <w:b/>
                <w:bCs/>
              </w:rPr>
              <w:t>.</w:t>
            </w:r>
            <w:r>
              <w:rPr>
                <w:b/>
                <w:bCs/>
              </w:rPr>
              <w:t>4</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rPr>
                <w:b/>
                <w:bCs/>
              </w:rPr>
            </w:pPr>
            <w:r>
              <w:rPr>
                <w:b/>
                <w:bCs/>
              </w:rPr>
              <w:t>-1</w:t>
            </w:r>
            <w:r w:rsidR="002151FC">
              <w:rPr>
                <w:b/>
                <w:bCs/>
              </w:rPr>
              <w:t>.</w:t>
            </w:r>
            <w:r>
              <w:rPr>
                <w:b/>
                <w:bCs/>
              </w:rPr>
              <w:t>8</w:t>
            </w:r>
          </w:p>
        </w:tc>
        <w:tc>
          <w:tcPr>
            <w:tcW w:w="565" w:type="pct"/>
            <w:tcBorders>
              <w:top w:val="single" w:sz="4" w:space="0" w:color="auto"/>
              <w:left w:val="single" w:sz="4" w:space="0" w:color="auto"/>
              <w:bottom w:val="nil"/>
            </w:tcBorders>
            <w:vAlign w:val="center"/>
          </w:tcPr>
          <w:p w:rsidR="00544439" w:rsidRPr="006007C7" w:rsidRDefault="00544439" w:rsidP="002A5E74">
            <w:pPr>
              <w:spacing w:line="288" w:lineRule="auto"/>
              <w:ind w:right="77"/>
              <w:jc w:val="right"/>
              <w:rPr>
                <w:b/>
                <w:bCs/>
              </w:rPr>
            </w:pPr>
            <w:r>
              <w:rPr>
                <w:b/>
                <w:bCs/>
              </w:rPr>
              <w:t>0</w:t>
            </w:r>
            <w:r w:rsidR="002151FC">
              <w:rPr>
                <w:b/>
                <w:bCs/>
              </w:rPr>
              <w:t>.</w:t>
            </w:r>
            <w:r>
              <w:rPr>
                <w:b/>
                <w:bCs/>
              </w:rPr>
              <w:t>0</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-0</w:t>
            </w:r>
            <w:r w:rsidR="002151FC">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0</w:t>
            </w:r>
            <w:r w:rsidR="002151FC">
              <w:t>.</w:t>
            </w:r>
            <w:r>
              <w:t>1</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0</w:t>
            </w:r>
            <w:r w:rsidR="002151FC">
              <w:t>.</w:t>
            </w:r>
            <w:r>
              <w:t>1</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0</w:t>
            </w:r>
            <w:r w:rsidR="002151FC">
              <w:t>.</w:t>
            </w:r>
            <w:r>
              <w:t>0</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-0</w:t>
            </w:r>
            <w:r w:rsidR="002151FC">
              <w:t>.</w:t>
            </w:r>
            <w:r>
              <w:t>5</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0</w:t>
            </w:r>
            <w:r w:rsidR="002151FC">
              <w:t>.</w:t>
            </w:r>
            <w:r>
              <w:t>1</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-0</w:t>
            </w:r>
            <w:r w:rsidR="002151FC">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0</w:t>
            </w:r>
            <w:r w:rsidR="002151FC">
              <w:t>.</w:t>
            </w:r>
            <w:r>
              <w:t>6</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-0</w:t>
            </w:r>
            <w:r w:rsidR="002151FC">
              <w:t>.</w:t>
            </w:r>
            <w:r>
              <w:t>8</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-1</w:t>
            </w:r>
            <w:r w:rsidR="002151FC">
              <w:t>.</w:t>
            </w:r>
            <w:r>
              <w:t>4</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-1</w:t>
            </w:r>
            <w:r w:rsidR="002151FC">
              <w:t>.</w:t>
            </w:r>
            <w:r>
              <w:t>8</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-1</w:t>
            </w:r>
            <w:r w:rsidR="002151FC">
              <w:t>.</w:t>
            </w:r>
            <w:r>
              <w:t>8</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-0</w:t>
            </w:r>
            <w:r w:rsidR="002151FC">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-0</w:t>
            </w:r>
            <w:r w:rsidR="002151FC">
              <w:t>.</w:t>
            </w:r>
            <w:r>
              <w:t>4</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0</w:t>
            </w:r>
            <w:r w:rsidR="002151FC">
              <w:t>.</w:t>
            </w:r>
            <w:r>
              <w:t>4</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-0</w:t>
            </w:r>
            <w:r w:rsidR="002151FC">
              <w:t>.</w:t>
            </w:r>
            <w:r>
              <w:t>5</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-1</w:t>
            </w:r>
            <w:r w:rsidR="002151FC">
              <w:t>.</w:t>
            </w:r>
            <w:r>
              <w:t>0</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-0</w:t>
            </w:r>
            <w:r w:rsidR="002151FC">
              <w:t>.</w:t>
            </w:r>
            <w:r>
              <w:t>4</w:t>
            </w:r>
          </w:p>
        </w:tc>
      </w:tr>
      <w:tr w:rsidR="00544439" w:rsidRPr="00067DF6" w:rsidTr="00544439">
        <w:trPr>
          <w:trHeight w:val="20"/>
        </w:trPr>
        <w:tc>
          <w:tcPr>
            <w:tcW w:w="1609" w:type="pct"/>
            <w:tcBorders>
              <w:top w:val="nil"/>
              <w:bottom w:val="single" w:sz="4" w:space="0" w:color="auto"/>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0</w:t>
            </w:r>
            <w:r w:rsidR="002151FC">
              <w:t>.</w:t>
            </w:r>
            <w:r>
              <w:t>6</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-1</w:t>
            </w:r>
            <w:r w:rsidR="002151FC">
              <w:t>.</w:t>
            </w:r>
            <w:r>
              <w:t>2</w:t>
            </w:r>
          </w:p>
        </w:tc>
        <w:tc>
          <w:tcPr>
            <w:tcW w:w="565" w:type="pct"/>
            <w:tcBorders>
              <w:top w:val="nil"/>
              <w:left w:val="single" w:sz="4" w:space="0" w:color="auto"/>
              <w:bottom w:val="single" w:sz="4" w:space="0" w:color="auto"/>
              <w:right w:val="single" w:sz="4" w:space="0" w:color="auto"/>
            </w:tcBorders>
            <w:vAlign w:val="center"/>
          </w:tcPr>
          <w:p w:rsidR="00544439" w:rsidRPr="006007C7" w:rsidRDefault="00544439" w:rsidP="002A5E74">
            <w:pPr>
              <w:spacing w:line="288" w:lineRule="auto"/>
              <w:ind w:right="77"/>
              <w:jc w:val="right"/>
            </w:pPr>
            <w:r>
              <w:t>0</w:t>
            </w:r>
            <w:r w:rsidR="002151FC">
              <w:t>.</w:t>
            </w:r>
            <w:r>
              <w:t>3</w:t>
            </w:r>
          </w:p>
        </w:tc>
        <w:tc>
          <w:tcPr>
            <w:tcW w:w="565" w:type="pct"/>
            <w:tcBorders>
              <w:top w:val="nil"/>
              <w:left w:val="single" w:sz="4" w:space="0" w:color="auto"/>
              <w:bottom w:val="single" w:sz="4" w:space="0" w:color="auto"/>
              <w:right w:val="single" w:sz="4" w:space="0" w:color="auto"/>
            </w:tcBorders>
            <w:tcMar>
              <w:right w:w="160" w:type="dxa"/>
            </w:tcMar>
            <w:vAlign w:val="center"/>
          </w:tcPr>
          <w:p w:rsidR="00544439" w:rsidRPr="006007C7" w:rsidRDefault="00544439" w:rsidP="002A5E74">
            <w:pPr>
              <w:spacing w:line="288" w:lineRule="auto"/>
              <w:ind w:right="-14"/>
              <w:jc w:val="right"/>
            </w:pPr>
            <w:r>
              <w:t>-0</w:t>
            </w:r>
            <w:r w:rsidR="002151FC">
              <w:t>.</w:t>
            </w:r>
            <w:r>
              <w:t>3</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-2</w:t>
            </w:r>
            <w:r w:rsidR="002151FC">
              <w:t>.</w:t>
            </w:r>
            <w:r>
              <w:t>4</w:t>
            </w:r>
          </w:p>
        </w:tc>
        <w:tc>
          <w:tcPr>
            <w:tcW w:w="565" w:type="pct"/>
            <w:tcBorders>
              <w:top w:val="nil"/>
              <w:left w:val="single" w:sz="4" w:space="0" w:color="auto"/>
              <w:bottom w:val="single" w:sz="4" w:space="0" w:color="auto"/>
            </w:tcBorders>
            <w:vAlign w:val="center"/>
          </w:tcPr>
          <w:p w:rsidR="00544439" w:rsidRPr="006007C7" w:rsidRDefault="00544439" w:rsidP="002A5E74">
            <w:pPr>
              <w:spacing w:line="288" w:lineRule="auto"/>
              <w:ind w:right="77"/>
              <w:jc w:val="right"/>
            </w:pPr>
            <w:r>
              <w:t>-0</w:t>
            </w:r>
            <w:r w:rsidR="002151FC">
              <w:t>.</w:t>
            </w:r>
            <w:r>
              <w:t>7</w:t>
            </w:r>
          </w:p>
        </w:tc>
      </w:tr>
      <w:tr w:rsidR="00544439" w:rsidRPr="00067DF6" w:rsidTr="00544439">
        <w:trPr>
          <w:trHeight w:val="20"/>
        </w:trPr>
        <w:tc>
          <w:tcPr>
            <w:tcW w:w="1609" w:type="pct"/>
            <w:tcBorders>
              <w:top w:val="single" w:sz="4" w:space="0" w:color="auto"/>
              <w:bottom w:val="nil"/>
              <w:right w:val="single" w:sz="4" w:space="0" w:color="auto"/>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Manufacturing Order</w:t>
            </w:r>
            <w:r>
              <w:rPr>
                <w:rFonts w:ascii="Arial" w:hAnsi="Arial" w:cs="Arial"/>
                <w:b/>
                <w:sz w:val="20"/>
                <w:szCs w:val="20"/>
              </w:rPr>
              <w:t>s</w:t>
            </w:r>
            <w:r w:rsidRPr="00067DF6">
              <w:rPr>
                <w:rFonts w:ascii="Arial" w:hAnsi="Arial" w:cs="Arial"/>
                <w:b/>
                <w:sz w:val="20"/>
                <w:szCs w:val="20"/>
              </w:rPr>
              <w:t xml:space="preserve"> Index</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rPr>
                <w:b/>
                <w:bCs/>
              </w:rPr>
            </w:pPr>
            <w:r>
              <w:rPr>
                <w:b/>
                <w:bCs/>
              </w:rPr>
              <w:t>0</w:t>
            </w:r>
            <w:r w:rsidR="002151FC">
              <w:rPr>
                <w:b/>
                <w:bCs/>
              </w:rPr>
              <w:t>.</w:t>
            </w:r>
            <w:r>
              <w:rPr>
                <w:b/>
                <w:bCs/>
              </w:rPr>
              <w:t>5</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rPr>
                <w:b/>
                <w:bCs/>
              </w:rPr>
            </w:pPr>
            <w:r>
              <w:rPr>
                <w:b/>
                <w:bCs/>
              </w:rPr>
              <w:t>-0</w:t>
            </w:r>
            <w:r w:rsidR="002151FC">
              <w:rPr>
                <w:b/>
                <w:bCs/>
              </w:rPr>
              <w:t>.</w:t>
            </w:r>
            <w:r>
              <w:rPr>
                <w:b/>
                <w:bCs/>
              </w:rPr>
              <w:t>5</w:t>
            </w:r>
          </w:p>
        </w:tc>
        <w:tc>
          <w:tcPr>
            <w:tcW w:w="565" w:type="pct"/>
            <w:tcBorders>
              <w:top w:val="single" w:sz="4" w:space="0" w:color="auto"/>
              <w:left w:val="single" w:sz="4" w:space="0" w:color="auto"/>
              <w:bottom w:val="nil"/>
              <w:right w:val="single" w:sz="4" w:space="0" w:color="auto"/>
            </w:tcBorders>
            <w:vAlign w:val="center"/>
          </w:tcPr>
          <w:p w:rsidR="00544439" w:rsidRPr="006007C7" w:rsidRDefault="00544439" w:rsidP="002A5E74">
            <w:pPr>
              <w:spacing w:line="288" w:lineRule="auto"/>
              <w:ind w:right="77"/>
              <w:jc w:val="right"/>
              <w:rPr>
                <w:b/>
                <w:bCs/>
              </w:rPr>
            </w:pPr>
            <w:r>
              <w:rPr>
                <w:b/>
                <w:bCs/>
              </w:rPr>
              <w:t>**</w:t>
            </w:r>
          </w:p>
        </w:tc>
        <w:tc>
          <w:tcPr>
            <w:tcW w:w="565" w:type="pct"/>
            <w:tcBorders>
              <w:top w:val="single" w:sz="4" w:space="0" w:color="auto"/>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rPr>
                <w:b/>
                <w:bCs/>
              </w:rPr>
            </w:pPr>
            <w:r>
              <w:rPr>
                <w:b/>
                <w:bCs/>
              </w:rPr>
              <w:t>-4</w:t>
            </w:r>
            <w:r w:rsidR="002151FC">
              <w:rPr>
                <w:b/>
                <w:bCs/>
              </w:rPr>
              <w:t>.</w:t>
            </w:r>
            <w:r>
              <w:rPr>
                <w:b/>
                <w:bCs/>
              </w:rPr>
              <w:t>5</w:t>
            </w:r>
          </w:p>
        </w:tc>
        <w:tc>
          <w:tcPr>
            <w:tcW w:w="565" w:type="pct"/>
            <w:tcBorders>
              <w:top w:val="single" w:sz="4" w:space="0" w:color="auto"/>
              <w:left w:val="single" w:sz="4" w:space="0" w:color="auto"/>
              <w:bottom w:val="nil"/>
            </w:tcBorders>
            <w:vAlign w:val="center"/>
          </w:tcPr>
          <w:p w:rsidR="00544439" w:rsidRPr="006007C7" w:rsidRDefault="00544439" w:rsidP="002A5E74">
            <w:pPr>
              <w:spacing w:line="288" w:lineRule="auto"/>
              <w:ind w:right="77"/>
              <w:jc w:val="right"/>
              <w:rPr>
                <w:b/>
                <w:bCs/>
              </w:rPr>
            </w:pPr>
            <w:r>
              <w:rPr>
                <w:b/>
                <w:bCs/>
              </w:rPr>
              <w:t>**</w:t>
            </w:r>
          </w:p>
        </w:tc>
      </w:tr>
      <w:tr w:rsidR="00544439" w:rsidRPr="00067DF6" w:rsidTr="00544439">
        <w:trPr>
          <w:trHeight w:val="20"/>
        </w:trPr>
        <w:tc>
          <w:tcPr>
            <w:tcW w:w="1609" w:type="pct"/>
            <w:tcBorders>
              <w:top w:val="nil"/>
              <w:bottom w:val="nil"/>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Domestic Orders</w:t>
            </w:r>
          </w:p>
        </w:tc>
        <w:tc>
          <w:tcPr>
            <w:tcW w:w="565" w:type="pct"/>
            <w:tcBorders>
              <w:top w:val="nil"/>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-2</w:t>
            </w:r>
            <w:r w:rsidR="002151FC">
              <w:t>.</w:t>
            </w:r>
            <w:r>
              <w:t>0</w:t>
            </w:r>
          </w:p>
        </w:tc>
        <w:tc>
          <w:tcPr>
            <w:tcW w:w="565" w:type="pct"/>
            <w:tcBorders>
              <w:top w:val="nil"/>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-0</w:t>
            </w:r>
            <w:r w:rsidR="002151FC">
              <w:t>.</w:t>
            </w:r>
            <w:r>
              <w:t>7</w:t>
            </w:r>
          </w:p>
        </w:tc>
        <w:tc>
          <w:tcPr>
            <w:tcW w:w="565" w:type="pct"/>
            <w:tcBorders>
              <w:top w:val="nil"/>
              <w:left w:val="single" w:sz="4" w:space="0" w:color="auto"/>
              <w:bottom w:val="nil"/>
              <w:right w:val="single" w:sz="4" w:space="0" w:color="auto"/>
            </w:tcBorders>
            <w:vAlign w:val="center"/>
          </w:tcPr>
          <w:p w:rsidR="00544439" w:rsidRPr="006007C7" w:rsidRDefault="00544439" w:rsidP="002A5E74">
            <w:pPr>
              <w:spacing w:line="288" w:lineRule="auto"/>
              <w:ind w:right="77"/>
              <w:jc w:val="right"/>
            </w:pPr>
            <w:r>
              <w:t>**</w:t>
            </w:r>
          </w:p>
        </w:tc>
        <w:tc>
          <w:tcPr>
            <w:tcW w:w="565" w:type="pct"/>
            <w:tcBorders>
              <w:top w:val="nil"/>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-3</w:t>
            </w:r>
            <w:r w:rsidR="002151FC">
              <w:t>.</w:t>
            </w:r>
            <w:r>
              <w:t>7</w:t>
            </w:r>
          </w:p>
        </w:tc>
        <w:tc>
          <w:tcPr>
            <w:tcW w:w="565" w:type="pct"/>
            <w:tcBorders>
              <w:top w:val="nil"/>
              <w:left w:val="single" w:sz="4" w:space="0" w:color="auto"/>
              <w:bottom w:val="nil"/>
            </w:tcBorders>
            <w:vAlign w:val="center"/>
          </w:tcPr>
          <w:p w:rsidR="00544439" w:rsidRPr="006007C7" w:rsidRDefault="00544439" w:rsidP="002A5E74">
            <w:pPr>
              <w:spacing w:line="288" w:lineRule="auto"/>
              <w:ind w:right="77"/>
              <w:jc w:val="right"/>
            </w:pPr>
            <w:r>
              <w:t>**</w:t>
            </w:r>
          </w:p>
        </w:tc>
      </w:tr>
      <w:tr w:rsidR="00544439" w:rsidRPr="00067DF6" w:rsidTr="00544439">
        <w:trPr>
          <w:trHeight w:val="20"/>
        </w:trPr>
        <w:tc>
          <w:tcPr>
            <w:tcW w:w="1609" w:type="pct"/>
            <w:tcBorders>
              <w:top w:val="nil"/>
              <w:bottom w:val="single" w:sz="4" w:space="0" w:color="auto"/>
              <w:right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Foreign Orderrs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102"/>
              <w:jc w:val="right"/>
            </w:pPr>
            <w:r>
              <w:t>5</w:t>
            </w:r>
            <w:r w:rsidR="002151FC">
              <w:t>.</w:t>
            </w:r>
            <w:r>
              <w:t>0</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544439" w:rsidRPr="006007C7" w:rsidRDefault="00544439" w:rsidP="002A5E74">
            <w:pPr>
              <w:spacing w:line="288" w:lineRule="auto"/>
              <w:ind w:right="-42"/>
              <w:jc w:val="right"/>
            </w:pPr>
            <w:r>
              <w:t>-1</w:t>
            </w:r>
            <w:r w:rsidR="002151FC">
              <w:t>.</w:t>
            </w:r>
            <w:r>
              <w:t>3</w:t>
            </w:r>
          </w:p>
        </w:tc>
        <w:tc>
          <w:tcPr>
            <w:tcW w:w="565" w:type="pct"/>
            <w:tcBorders>
              <w:top w:val="nil"/>
              <w:left w:val="single" w:sz="4" w:space="0" w:color="auto"/>
              <w:bottom w:val="single" w:sz="4" w:space="0" w:color="auto"/>
              <w:right w:val="single" w:sz="4" w:space="0" w:color="auto"/>
            </w:tcBorders>
            <w:vAlign w:val="center"/>
          </w:tcPr>
          <w:p w:rsidR="00544439" w:rsidRPr="006007C7" w:rsidRDefault="00544439" w:rsidP="002A5E74">
            <w:pPr>
              <w:spacing w:line="288" w:lineRule="auto"/>
              <w:ind w:right="77"/>
              <w:jc w:val="right"/>
            </w:pPr>
            <w:r>
              <w:t>**</w:t>
            </w:r>
          </w:p>
        </w:tc>
        <w:tc>
          <w:tcPr>
            <w:tcW w:w="565" w:type="pct"/>
            <w:tcBorders>
              <w:top w:val="nil"/>
              <w:left w:val="single" w:sz="4" w:space="0" w:color="auto"/>
              <w:bottom w:val="single" w:sz="4" w:space="0" w:color="auto"/>
              <w:right w:val="single" w:sz="4" w:space="0" w:color="auto"/>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544439" w:rsidRPr="006007C7" w:rsidRDefault="00544439" w:rsidP="002A5E74">
            <w:pPr>
              <w:spacing w:line="288" w:lineRule="auto"/>
              <w:ind w:right="-45"/>
              <w:jc w:val="right"/>
            </w:pPr>
            <w:r>
              <w:t>-5</w:t>
            </w:r>
            <w:r w:rsidR="002151FC">
              <w:t>.</w:t>
            </w:r>
            <w:r>
              <w:t>6</w:t>
            </w:r>
          </w:p>
        </w:tc>
        <w:tc>
          <w:tcPr>
            <w:tcW w:w="565" w:type="pct"/>
            <w:tcBorders>
              <w:top w:val="nil"/>
              <w:left w:val="single" w:sz="4" w:space="0" w:color="auto"/>
              <w:bottom w:val="single" w:sz="4" w:space="0" w:color="auto"/>
            </w:tcBorders>
            <w:vAlign w:val="center"/>
          </w:tcPr>
          <w:p w:rsidR="00544439" w:rsidRPr="006007C7" w:rsidRDefault="00544439" w:rsidP="002A5E74">
            <w:pPr>
              <w:spacing w:line="288" w:lineRule="auto"/>
              <w:ind w:right="77"/>
              <w:jc w:val="right"/>
            </w:pPr>
            <w:r>
              <w:t>**</w:t>
            </w:r>
          </w:p>
        </w:tc>
      </w:tr>
      <w:tr w:rsidR="00544439" w:rsidRPr="00067DF6" w:rsidTr="00544439">
        <w:trPr>
          <w:trHeight w:val="20"/>
        </w:trPr>
        <w:tc>
          <w:tcPr>
            <w:tcW w:w="1609" w:type="pct"/>
            <w:tcBorders>
              <w:top w:val="single" w:sz="4" w:space="0" w:color="auto"/>
              <w:bottom w:val="nil"/>
              <w:right w:val="single" w:sz="4" w:space="0" w:color="auto"/>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Soft Data</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102"/>
              <w:jc w:val="right"/>
            </w:pP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544439" w:rsidRPr="006007C7" w:rsidRDefault="00544439" w:rsidP="002A5E74">
            <w:pPr>
              <w:spacing w:line="288" w:lineRule="auto"/>
              <w:ind w:right="-42"/>
              <w:jc w:val="right"/>
            </w:pPr>
          </w:p>
        </w:tc>
        <w:tc>
          <w:tcPr>
            <w:tcW w:w="565" w:type="pct"/>
            <w:tcBorders>
              <w:top w:val="single" w:sz="4" w:space="0" w:color="auto"/>
              <w:left w:val="single" w:sz="4" w:space="0" w:color="auto"/>
              <w:bottom w:val="nil"/>
              <w:right w:val="single" w:sz="4" w:space="0" w:color="auto"/>
            </w:tcBorders>
            <w:vAlign w:val="center"/>
          </w:tcPr>
          <w:p w:rsidR="00544439" w:rsidRPr="006007C7" w:rsidRDefault="00544439" w:rsidP="002A5E74">
            <w:pPr>
              <w:spacing w:line="288" w:lineRule="auto"/>
              <w:ind w:right="77"/>
              <w:jc w:val="right"/>
            </w:pPr>
          </w:p>
        </w:tc>
        <w:tc>
          <w:tcPr>
            <w:tcW w:w="565" w:type="pct"/>
            <w:tcBorders>
              <w:top w:val="single" w:sz="4" w:space="0" w:color="auto"/>
              <w:left w:val="single" w:sz="4" w:space="0" w:color="auto"/>
              <w:bottom w:val="nil"/>
              <w:right w:val="single" w:sz="4" w:space="0" w:color="auto"/>
            </w:tcBorders>
            <w:tcMar>
              <w:right w:w="160" w:type="dxa"/>
            </w:tcMar>
            <w:vAlign w:val="center"/>
          </w:tcPr>
          <w:p w:rsidR="00544439" w:rsidRPr="006007C7" w:rsidRDefault="00544439" w:rsidP="002A5E74">
            <w:pPr>
              <w:spacing w:line="288" w:lineRule="auto"/>
              <w:ind w:right="-14"/>
              <w:jc w:val="right"/>
            </w:pP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544439" w:rsidRPr="006007C7" w:rsidRDefault="00544439" w:rsidP="002A5E74">
            <w:pPr>
              <w:spacing w:line="288" w:lineRule="auto"/>
              <w:ind w:right="-45"/>
              <w:jc w:val="right"/>
            </w:pPr>
          </w:p>
        </w:tc>
        <w:tc>
          <w:tcPr>
            <w:tcW w:w="565" w:type="pct"/>
            <w:tcBorders>
              <w:top w:val="single" w:sz="4" w:space="0" w:color="auto"/>
              <w:left w:val="single" w:sz="4" w:space="0" w:color="auto"/>
              <w:bottom w:val="nil"/>
            </w:tcBorders>
            <w:vAlign w:val="center"/>
          </w:tcPr>
          <w:p w:rsidR="00544439" w:rsidRPr="006007C7" w:rsidRDefault="00544439" w:rsidP="002A5E74">
            <w:pPr>
              <w:spacing w:line="288" w:lineRule="auto"/>
              <w:ind w:right="77"/>
              <w:jc w:val="right"/>
            </w:pPr>
          </w:p>
        </w:tc>
      </w:tr>
      <w:tr w:rsidR="00544439" w:rsidRPr="00067DF6" w:rsidTr="00544439">
        <w:trPr>
          <w:trHeight w:val="20"/>
        </w:trPr>
        <w:tc>
          <w:tcPr>
            <w:tcW w:w="1609" w:type="pct"/>
            <w:tcBorders>
              <w:top w:val="nil"/>
              <w:bottom w:val="nil"/>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Consumer confidence index (Turkstat)</w:t>
            </w:r>
          </w:p>
        </w:tc>
        <w:tc>
          <w:tcPr>
            <w:tcW w:w="565" w:type="pct"/>
            <w:tcBorders>
              <w:top w:val="nil"/>
              <w:bottom w:val="nil"/>
            </w:tcBorders>
            <w:tcMar>
              <w:left w:w="57" w:type="dxa"/>
              <w:right w:w="160" w:type="dxa"/>
            </w:tcMar>
            <w:vAlign w:val="center"/>
          </w:tcPr>
          <w:p w:rsidR="00544439" w:rsidRPr="006007C7" w:rsidRDefault="00544439" w:rsidP="002A5E74">
            <w:pPr>
              <w:spacing w:line="288" w:lineRule="auto"/>
              <w:ind w:right="-102"/>
              <w:jc w:val="right"/>
            </w:pPr>
            <w:r>
              <w:t>-1</w:t>
            </w:r>
            <w:r w:rsidR="002151FC">
              <w:t>.</w:t>
            </w:r>
            <w:r>
              <w:t>4</w:t>
            </w:r>
          </w:p>
        </w:tc>
        <w:tc>
          <w:tcPr>
            <w:tcW w:w="565" w:type="pct"/>
            <w:tcBorders>
              <w:top w:val="nil"/>
              <w:bottom w:val="nil"/>
            </w:tcBorders>
            <w:tcMar>
              <w:left w:w="0" w:type="dxa"/>
              <w:right w:w="160" w:type="dxa"/>
            </w:tcMar>
            <w:vAlign w:val="center"/>
          </w:tcPr>
          <w:p w:rsidR="00544439" w:rsidRPr="006007C7" w:rsidRDefault="00544439" w:rsidP="002A5E74">
            <w:pPr>
              <w:spacing w:line="288" w:lineRule="auto"/>
              <w:ind w:right="-42"/>
              <w:jc w:val="right"/>
            </w:pPr>
            <w:r>
              <w:t>-2</w:t>
            </w:r>
            <w:r w:rsidR="002151FC">
              <w:t>.</w:t>
            </w:r>
            <w:r>
              <w:t>5</w:t>
            </w:r>
          </w:p>
        </w:tc>
        <w:tc>
          <w:tcPr>
            <w:tcW w:w="565" w:type="pct"/>
            <w:tcBorders>
              <w:top w:val="nil"/>
              <w:bottom w:val="nil"/>
            </w:tcBorders>
            <w:vAlign w:val="center"/>
          </w:tcPr>
          <w:p w:rsidR="00544439" w:rsidRPr="006007C7" w:rsidRDefault="00544439" w:rsidP="002A5E74">
            <w:pPr>
              <w:spacing w:line="288" w:lineRule="auto"/>
              <w:ind w:right="77"/>
              <w:jc w:val="right"/>
            </w:pPr>
            <w:r>
              <w:t>-2</w:t>
            </w:r>
            <w:r w:rsidR="002151FC">
              <w:t>.</w:t>
            </w:r>
            <w:r>
              <w:t>1</w:t>
            </w:r>
          </w:p>
        </w:tc>
        <w:tc>
          <w:tcPr>
            <w:tcW w:w="565" w:type="pct"/>
            <w:tcBorders>
              <w:top w:val="nil"/>
              <w:bottom w:val="nil"/>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tcBorders>
            <w:tcMar>
              <w:left w:w="57" w:type="dxa"/>
              <w:right w:w="160" w:type="dxa"/>
            </w:tcMar>
            <w:vAlign w:val="center"/>
          </w:tcPr>
          <w:p w:rsidR="00544439" w:rsidRPr="006007C7" w:rsidRDefault="00544439" w:rsidP="002A5E74">
            <w:pPr>
              <w:spacing w:line="288" w:lineRule="auto"/>
              <w:ind w:right="-45"/>
              <w:jc w:val="right"/>
            </w:pPr>
            <w:r>
              <w:t>-0</w:t>
            </w:r>
            <w:r w:rsidR="002151FC">
              <w:t>.</w:t>
            </w:r>
            <w:r>
              <w:t>7</w:t>
            </w:r>
          </w:p>
        </w:tc>
        <w:tc>
          <w:tcPr>
            <w:tcW w:w="565" w:type="pct"/>
            <w:tcBorders>
              <w:top w:val="nil"/>
              <w:bottom w:val="nil"/>
            </w:tcBorders>
            <w:vAlign w:val="center"/>
          </w:tcPr>
          <w:p w:rsidR="00544439" w:rsidRPr="006007C7" w:rsidRDefault="00544439" w:rsidP="002A5E74">
            <w:pPr>
              <w:spacing w:line="288" w:lineRule="auto"/>
              <w:ind w:right="77"/>
              <w:jc w:val="right"/>
            </w:pPr>
            <w:r>
              <w:t>-4</w:t>
            </w:r>
            <w:r w:rsidR="002151FC">
              <w:t>.</w:t>
            </w:r>
            <w:r>
              <w:t>2</w:t>
            </w:r>
          </w:p>
        </w:tc>
      </w:tr>
      <w:tr w:rsidR="00544439" w:rsidRPr="00067DF6" w:rsidTr="002A5E74">
        <w:trPr>
          <w:trHeight w:val="20"/>
        </w:trPr>
        <w:tc>
          <w:tcPr>
            <w:tcW w:w="1609" w:type="pct"/>
            <w:tcBorders>
              <w:top w:val="nil"/>
              <w:bottom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Reel sector confidence index</w:t>
            </w:r>
          </w:p>
        </w:tc>
        <w:tc>
          <w:tcPr>
            <w:tcW w:w="565" w:type="pct"/>
            <w:tcBorders>
              <w:top w:val="nil"/>
              <w:bottom w:val="single" w:sz="4" w:space="0" w:color="auto"/>
            </w:tcBorders>
            <w:tcMar>
              <w:left w:w="57" w:type="dxa"/>
              <w:right w:w="160" w:type="dxa"/>
            </w:tcMar>
            <w:vAlign w:val="center"/>
          </w:tcPr>
          <w:p w:rsidR="00544439" w:rsidRPr="006007C7" w:rsidRDefault="00544439" w:rsidP="002A5E74">
            <w:pPr>
              <w:spacing w:line="288" w:lineRule="auto"/>
              <w:ind w:right="-102"/>
              <w:jc w:val="right"/>
            </w:pPr>
            <w:r>
              <w:t>-1</w:t>
            </w:r>
            <w:r w:rsidR="002151FC">
              <w:t>.</w:t>
            </w:r>
            <w:r>
              <w:t>0</w:t>
            </w:r>
          </w:p>
        </w:tc>
        <w:tc>
          <w:tcPr>
            <w:tcW w:w="565" w:type="pct"/>
            <w:tcBorders>
              <w:top w:val="nil"/>
              <w:bottom w:val="single" w:sz="4" w:space="0" w:color="auto"/>
            </w:tcBorders>
            <w:tcMar>
              <w:left w:w="0" w:type="dxa"/>
              <w:right w:w="160" w:type="dxa"/>
            </w:tcMar>
            <w:vAlign w:val="center"/>
          </w:tcPr>
          <w:p w:rsidR="00544439" w:rsidRPr="006007C7" w:rsidRDefault="00544439" w:rsidP="002A5E74">
            <w:pPr>
              <w:spacing w:line="288" w:lineRule="auto"/>
              <w:ind w:right="-42"/>
              <w:jc w:val="right"/>
            </w:pPr>
            <w:r>
              <w:t>0</w:t>
            </w:r>
            <w:r w:rsidR="002151FC">
              <w:t>.</w:t>
            </w:r>
            <w:r>
              <w:t>8</w:t>
            </w:r>
          </w:p>
        </w:tc>
        <w:tc>
          <w:tcPr>
            <w:tcW w:w="565" w:type="pct"/>
            <w:tcBorders>
              <w:top w:val="nil"/>
              <w:bottom w:val="single" w:sz="4" w:space="0" w:color="auto"/>
            </w:tcBorders>
            <w:vAlign w:val="center"/>
          </w:tcPr>
          <w:p w:rsidR="00544439" w:rsidRPr="006007C7" w:rsidRDefault="00544439" w:rsidP="002A5E74">
            <w:pPr>
              <w:spacing w:line="288" w:lineRule="auto"/>
              <w:ind w:right="77"/>
              <w:jc w:val="right"/>
            </w:pPr>
            <w:r>
              <w:t>4</w:t>
            </w:r>
            <w:r w:rsidR="002151FC">
              <w:t>.</w:t>
            </w:r>
            <w:r>
              <w:t>6</w:t>
            </w:r>
          </w:p>
        </w:tc>
        <w:tc>
          <w:tcPr>
            <w:tcW w:w="565" w:type="pct"/>
            <w:tcBorders>
              <w:top w:val="nil"/>
              <w:bottom w:val="single" w:sz="4" w:space="0" w:color="auto"/>
            </w:tcBorders>
            <w:tcMar>
              <w:right w:w="160" w:type="dxa"/>
            </w:tcMar>
            <w:vAlign w:val="center"/>
          </w:tcPr>
          <w:p w:rsidR="00544439" w:rsidRPr="006007C7" w:rsidRDefault="00544439" w:rsidP="002A5E74">
            <w:pPr>
              <w:spacing w:line="288" w:lineRule="auto"/>
              <w:ind w:right="-14"/>
              <w:jc w:val="right"/>
            </w:pPr>
            <w:r>
              <w:t>0</w:t>
            </w:r>
            <w:r w:rsidR="002151FC">
              <w:t>.</w:t>
            </w:r>
            <w:r>
              <w:t>7</w:t>
            </w:r>
          </w:p>
        </w:tc>
        <w:tc>
          <w:tcPr>
            <w:tcW w:w="565" w:type="pct"/>
            <w:tcBorders>
              <w:top w:val="nil"/>
              <w:left w:val="double" w:sz="4" w:space="0" w:color="auto"/>
              <w:bottom w:val="single" w:sz="4" w:space="0" w:color="auto"/>
            </w:tcBorders>
            <w:tcMar>
              <w:left w:w="57" w:type="dxa"/>
              <w:right w:w="160" w:type="dxa"/>
            </w:tcMar>
            <w:vAlign w:val="center"/>
          </w:tcPr>
          <w:p w:rsidR="00544439" w:rsidRPr="006007C7" w:rsidRDefault="00544439" w:rsidP="002A5E74">
            <w:pPr>
              <w:spacing w:line="288" w:lineRule="auto"/>
              <w:ind w:right="-45"/>
              <w:jc w:val="right"/>
            </w:pPr>
            <w:r>
              <w:t>-3</w:t>
            </w:r>
            <w:r w:rsidR="002151FC">
              <w:t>.</w:t>
            </w:r>
            <w:r>
              <w:t>2</w:t>
            </w:r>
          </w:p>
        </w:tc>
        <w:tc>
          <w:tcPr>
            <w:tcW w:w="565" w:type="pct"/>
            <w:tcBorders>
              <w:top w:val="nil"/>
              <w:bottom w:val="single" w:sz="4" w:space="0" w:color="auto"/>
            </w:tcBorders>
            <w:vAlign w:val="center"/>
          </w:tcPr>
          <w:p w:rsidR="00544439" w:rsidRPr="006007C7" w:rsidRDefault="00544439" w:rsidP="002A5E74">
            <w:pPr>
              <w:spacing w:line="288" w:lineRule="auto"/>
              <w:ind w:right="77"/>
              <w:jc w:val="right"/>
            </w:pPr>
            <w:r>
              <w:t>5</w:t>
            </w:r>
            <w:r w:rsidR="002151FC">
              <w:t>.</w:t>
            </w:r>
            <w:r>
              <w:t>2</w:t>
            </w:r>
          </w:p>
        </w:tc>
      </w:tr>
      <w:tr w:rsidR="00544439" w:rsidRPr="00067DF6" w:rsidTr="002A5E74">
        <w:trPr>
          <w:trHeight w:val="20"/>
        </w:trPr>
        <w:tc>
          <w:tcPr>
            <w:tcW w:w="1609" w:type="pct"/>
            <w:tcBorders>
              <w:bottom w:val="nil"/>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Financial Data</w:t>
            </w:r>
          </w:p>
        </w:tc>
        <w:tc>
          <w:tcPr>
            <w:tcW w:w="565" w:type="pct"/>
            <w:tcBorders>
              <w:bottom w:val="nil"/>
            </w:tcBorders>
            <w:tcMar>
              <w:left w:w="57" w:type="dxa"/>
              <w:right w:w="160" w:type="dxa"/>
            </w:tcMar>
            <w:vAlign w:val="center"/>
          </w:tcPr>
          <w:p w:rsidR="00544439" w:rsidRPr="006007C7" w:rsidRDefault="00544439" w:rsidP="002A5E74">
            <w:pPr>
              <w:spacing w:line="288" w:lineRule="auto"/>
              <w:ind w:right="-102"/>
              <w:jc w:val="right"/>
            </w:pPr>
          </w:p>
        </w:tc>
        <w:tc>
          <w:tcPr>
            <w:tcW w:w="565" w:type="pct"/>
            <w:tcBorders>
              <w:bottom w:val="nil"/>
            </w:tcBorders>
            <w:tcMar>
              <w:left w:w="0" w:type="dxa"/>
              <w:right w:w="160" w:type="dxa"/>
            </w:tcMar>
            <w:vAlign w:val="center"/>
          </w:tcPr>
          <w:p w:rsidR="00544439" w:rsidRPr="006007C7" w:rsidRDefault="00544439" w:rsidP="002A5E74">
            <w:pPr>
              <w:spacing w:line="288" w:lineRule="auto"/>
              <w:ind w:right="-42"/>
              <w:jc w:val="right"/>
            </w:pPr>
          </w:p>
        </w:tc>
        <w:tc>
          <w:tcPr>
            <w:tcW w:w="565" w:type="pct"/>
            <w:tcBorders>
              <w:bottom w:val="nil"/>
            </w:tcBorders>
            <w:vAlign w:val="center"/>
          </w:tcPr>
          <w:p w:rsidR="00544439" w:rsidRPr="006007C7" w:rsidRDefault="00544439" w:rsidP="002A5E74">
            <w:pPr>
              <w:spacing w:line="288" w:lineRule="auto"/>
              <w:ind w:right="77"/>
              <w:jc w:val="right"/>
            </w:pPr>
          </w:p>
        </w:tc>
        <w:tc>
          <w:tcPr>
            <w:tcW w:w="565" w:type="pct"/>
            <w:tcBorders>
              <w:bottom w:val="nil"/>
            </w:tcBorders>
            <w:tcMar>
              <w:right w:w="160" w:type="dxa"/>
            </w:tcMar>
            <w:vAlign w:val="center"/>
          </w:tcPr>
          <w:p w:rsidR="00544439" w:rsidRPr="006007C7" w:rsidRDefault="00544439" w:rsidP="002A5E74">
            <w:pPr>
              <w:spacing w:line="288" w:lineRule="auto"/>
              <w:ind w:right="-14"/>
              <w:jc w:val="right"/>
            </w:pPr>
          </w:p>
        </w:tc>
        <w:tc>
          <w:tcPr>
            <w:tcW w:w="565" w:type="pct"/>
            <w:tcBorders>
              <w:left w:val="double" w:sz="4" w:space="0" w:color="auto"/>
              <w:bottom w:val="nil"/>
            </w:tcBorders>
            <w:tcMar>
              <w:left w:w="57" w:type="dxa"/>
              <w:right w:w="160" w:type="dxa"/>
            </w:tcMar>
            <w:vAlign w:val="center"/>
          </w:tcPr>
          <w:p w:rsidR="00544439" w:rsidRPr="006007C7" w:rsidRDefault="00544439" w:rsidP="002A5E74">
            <w:pPr>
              <w:spacing w:line="288" w:lineRule="auto"/>
              <w:ind w:right="-45"/>
              <w:jc w:val="right"/>
            </w:pPr>
          </w:p>
        </w:tc>
        <w:tc>
          <w:tcPr>
            <w:tcW w:w="565" w:type="pct"/>
            <w:tcBorders>
              <w:bottom w:val="nil"/>
            </w:tcBorders>
            <w:vAlign w:val="center"/>
          </w:tcPr>
          <w:p w:rsidR="00544439" w:rsidRPr="006007C7" w:rsidRDefault="00544439" w:rsidP="002A5E74">
            <w:pPr>
              <w:spacing w:line="288" w:lineRule="auto"/>
              <w:ind w:right="77"/>
              <w:jc w:val="right"/>
            </w:pPr>
          </w:p>
        </w:tc>
      </w:tr>
      <w:tr w:rsidR="00544439" w:rsidRPr="00067DF6" w:rsidTr="00544439">
        <w:trPr>
          <w:trHeight w:val="20"/>
        </w:trPr>
        <w:tc>
          <w:tcPr>
            <w:tcW w:w="1609" w:type="pct"/>
            <w:tcBorders>
              <w:top w:val="nil"/>
              <w:bottom w:val="single" w:sz="4" w:space="0" w:color="auto"/>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IMKB 100 (Stock Exchange)</w:t>
            </w:r>
          </w:p>
        </w:tc>
        <w:tc>
          <w:tcPr>
            <w:tcW w:w="565" w:type="pct"/>
            <w:tcBorders>
              <w:top w:val="nil"/>
              <w:bottom w:val="single" w:sz="4" w:space="0" w:color="auto"/>
            </w:tcBorders>
            <w:tcMar>
              <w:left w:w="57" w:type="dxa"/>
              <w:right w:w="160" w:type="dxa"/>
            </w:tcMar>
            <w:vAlign w:val="center"/>
          </w:tcPr>
          <w:p w:rsidR="00544439" w:rsidRPr="006007C7" w:rsidRDefault="00544439" w:rsidP="002A5E74">
            <w:pPr>
              <w:spacing w:line="288" w:lineRule="auto"/>
              <w:ind w:right="-102"/>
              <w:jc w:val="right"/>
            </w:pPr>
            <w:r>
              <w:t>3</w:t>
            </w:r>
            <w:r w:rsidR="002151FC">
              <w:t>.</w:t>
            </w:r>
            <w:r>
              <w:t>6</w:t>
            </w:r>
          </w:p>
        </w:tc>
        <w:tc>
          <w:tcPr>
            <w:tcW w:w="565" w:type="pct"/>
            <w:tcBorders>
              <w:top w:val="nil"/>
              <w:bottom w:val="single" w:sz="4" w:space="0" w:color="auto"/>
            </w:tcBorders>
            <w:tcMar>
              <w:left w:w="0" w:type="dxa"/>
              <w:right w:w="160" w:type="dxa"/>
            </w:tcMar>
            <w:vAlign w:val="center"/>
          </w:tcPr>
          <w:p w:rsidR="00544439" w:rsidRPr="006007C7" w:rsidRDefault="00544439" w:rsidP="002A5E74">
            <w:pPr>
              <w:spacing w:line="288" w:lineRule="auto"/>
              <w:ind w:right="-42"/>
              <w:jc w:val="right"/>
            </w:pPr>
            <w:r>
              <w:t>1</w:t>
            </w:r>
            <w:r w:rsidR="002151FC">
              <w:t>.</w:t>
            </w:r>
            <w:r>
              <w:t>4</w:t>
            </w:r>
          </w:p>
        </w:tc>
        <w:tc>
          <w:tcPr>
            <w:tcW w:w="565" w:type="pct"/>
            <w:tcBorders>
              <w:top w:val="nil"/>
              <w:bottom w:val="single" w:sz="4" w:space="0" w:color="auto"/>
            </w:tcBorders>
            <w:vAlign w:val="center"/>
          </w:tcPr>
          <w:p w:rsidR="00544439" w:rsidRPr="006007C7" w:rsidRDefault="00544439" w:rsidP="002A5E74">
            <w:pPr>
              <w:spacing w:line="288" w:lineRule="auto"/>
              <w:ind w:right="77"/>
              <w:jc w:val="right"/>
            </w:pPr>
            <w:r>
              <w:t>0</w:t>
            </w:r>
            <w:r w:rsidR="002151FC">
              <w:t>.</w:t>
            </w:r>
            <w:r>
              <w:t>5</w:t>
            </w:r>
          </w:p>
        </w:tc>
        <w:tc>
          <w:tcPr>
            <w:tcW w:w="565" w:type="pct"/>
            <w:tcBorders>
              <w:top w:val="nil"/>
              <w:bottom w:val="single" w:sz="4" w:space="0" w:color="auto"/>
            </w:tcBorders>
            <w:tcMar>
              <w:right w:w="160" w:type="dxa"/>
            </w:tcMar>
            <w:vAlign w:val="center"/>
          </w:tcPr>
          <w:p w:rsidR="00544439" w:rsidRPr="006007C7" w:rsidRDefault="00544439" w:rsidP="002A5E74">
            <w:pPr>
              <w:spacing w:line="288" w:lineRule="auto"/>
              <w:ind w:right="-14"/>
              <w:jc w:val="right"/>
            </w:pPr>
            <w:r>
              <w:t>5</w:t>
            </w:r>
            <w:r w:rsidR="002151FC">
              <w:t>.</w:t>
            </w:r>
            <w:r>
              <w:t>5</w:t>
            </w:r>
          </w:p>
        </w:tc>
        <w:tc>
          <w:tcPr>
            <w:tcW w:w="565" w:type="pct"/>
            <w:tcBorders>
              <w:top w:val="nil"/>
              <w:left w:val="double" w:sz="4" w:space="0" w:color="auto"/>
              <w:bottom w:val="single" w:sz="4" w:space="0" w:color="auto"/>
            </w:tcBorders>
            <w:tcMar>
              <w:left w:w="57" w:type="dxa"/>
              <w:right w:w="160" w:type="dxa"/>
            </w:tcMar>
            <w:vAlign w:val="center"/>
          </w:tcPr>
          <w:p w:rsidR="00544439" w:rsidRPr="006007C7" w:rsidRDefault="00544439" w:rsidP="002A5E74">
            <w:pPr>
              <w:spacing w:line="288" w:lineRule="auto"/>
              <w:ind w:right="-45"/>
              <w:jc w:val="right"/>
            </w:pPr>
            <w:r>
              <w:t>9</w:t>
            </w:r>
            <w:r w:rsidR="002151FC">
              <w:t>.</w:t>
            </w:r>
            <w:r>
              <w:t>1</w:t>
            </w:r>
          </w:p>
        </w:tc>
        <w:tc>
          <w:tcPr>
            <w:tcW w:w="565" w:type="pct"/>
            <w:tcBorders>
              <w:top w:val="nil"/>
              <w:bottom w:val="single" w:sz="4" w:space="0" w:color="auto"/>
            </w:tcBorders>
            <w:vAlign w:val="center"/>
          </w:tcPr>
          <w:p w:rsidR="00544439" w:rsidRPr="006007C7" w:rsidRDefault="00544439" w:rsidP="002A5E74">
            <w:pPr>
              <w:spacing w:line="288" w:lineRule="auto"/>
              <w:ind w:right="77"/>
              <w:jc w:val="right"/>
            </w:pPr>
            <w:r>
              <w:t>5</w:t>
            </w:r>
            <w:r w:rsidR="002151FC">
              <w:t>.</w:t>
            </w:r>
            <w:r>
              <w:t>5</w:t>
            </w:r>
          </w:p>
        </w:tc>
      </w:tr>
      <w:tr w:rsidR="00544439" w:rsidRPr="00067DF6" w:rsidTr="00544439">
        <w:trPr>
          <w:trHeight w:val="20"/>
        </w:trPr>
        <w:tc>
          <w:tcPr>
            <w:tcW w:w="1609" w:type="pct"/>
            <w:tcBorders>
              <w:top w:val="single" w:sz="4" w:space="0" w:color="auto"/>
              <w:bottom w:val="nil"/>
            </w:tcBorders>
            <w:vAlign w:val="bottom"/>
          </w:tcPr>
          <w:p w:rsidR="00544439" w:rsidRPr="00067DF6" w:rsidRDefault="00544439" w:rsidP="00124E71">
            <w:pPr>
              <w:spacing w:line="288" w:lineRule="auto"/>
              <w:ind w:right="77"/>
              <w:rPr>
                <w:rFonts w:ascii="Arial" w:hAnsi="Arial" w:cs="Arial"/>
                <w:b/>
                <w:sz w:val="20"/>
                <w:szCs w:val="20"/>
              </w:rPr>
            </w:pPr>
            <w:r w:rsidRPr="00067DF6">
              <w:rPr>
                <w:rFonts w:ascii="Arial" w:hAnsi="Arial" w:cs="Arial"/>
                <w:b/>
                <w:sz w:val="20"/>
                <w:szCs w:val="20"/>
              </w:rPr>
              <w:t>Other</w:t>
            </w:r>
          </w:p>
        </w:tc>
        <w:tc>
          <w:tcPr>
            <w:tcW w:w="565" w:type="pct"/>
            <w:tcBorders>
              <w:top w:val="single" w:sz="4" w:space="0" w:color="auto"/>
              <w:bottom w:val="nil"/>
            </w:tcBorders>
            <w:tcMar>
              <w:left w:w="57" w:type="dxa"/>
              <w:right w:w="160" w:type="dxa"/>
            </w:tcMar>
            <w:vAlign w:val="center"/>
          </w:tcPr>
          <w:p w:rsidR="00544439" w:rsidRPr="006007C7" w:rsidRDefault="00544439" w:rsidP="002A5E74">
            <w:pPr>
              <w:spacing w:line="288" w:lineRule="auto"/>
              <w:ind w:right="-102"/>
              <w:jc w:val="right"/>
            </w:pPr>
          </w:p>
        </w:tc>
        <w:tc>
          <w:tcPr>
            <w:tcW w:w="565" w:type="pct"/>
            <w:tcBorders>
              <w:top w:val="single" w:sz="4" w:space="0" w:color="auto"/>
              <w:bottom w:val="nil"/>
            </w:tcBorders>
            <w:tcMar>
              <w:left w:w="0" w:type="dxa"/>
              <w:right w:w="160" w:type="dxa"/>
            </w:tcMar>
            <w:vAlign w:val="center"/>
          </w:tcPr>
          <w:p w:rsidR="00544439" w:rsidRPr="006007C7" w:rsidRDefault="00544439" w:rsidP="002A5E74">
            <w:pPr>
              <w:spacing w:line="288" w:lineRule="auto"/>
              <w:ind w:right="-42"/>
              <w:jc w:val="right"/>
            </w:pPr>
          </w:p>
        </w:tc>
        <w:tc>
          <w:tcPr>
            <w:tcW w:w="565" w:type="pct"/>
            <w:tcBorders>
              <w:top w:val="single" w:sz="4" w:space="0" w:color="auto"/>
              <w:bottom w:val="nil"/>
            </w:tcBorders>
            <w:vAlign w:val="center"/>
          </w:tcPr>
          <w:p w:rsidR="00544439" w:rsidRPr="006007C7" w:rsidRDefault="00544439" w:rsidP="002A5E74">
            <w:pPr>
              <w:spacing w:line="288" w:lineRule="auto"/>
              <w:ind w:right="77"/>
              <w:jc w:val="right"/>
            </w:pPr>
          </w:p>
        </w:tc>
        <w:tc>
          <w:tcPr>
            <w:tcW w:w="565" w:type="pct"/>
            <w:tcBorders>
              <w:top w:val="single" w:sz="4" w:space="0" w:color="auto"/>
              <w:bottom w:val="nil"/>
            </w:tcBorders>
            <w:tcMar>
              <w:right w:w="160" w:type="dxa"/>
            </w:tcMar>
            <w:vAlign w:val="center"/>
          </w:tcPr>
          <w:p w:rsidR="00544439" w:rsidRPr="006007C7" w:rsidRDefault="00544439" w:rsidP="002A5E74">
            <w:pPr>
              <w:spacing w:line="288" w:lineRule="auto"/>
              <w:ind w:right="-14"/>
              <w:jc w:val="right"/>
            </w:pPr>
          </w:p>
        </w:tc>
        <w:tc>
          <w:tcPr>
            <w:tcW w:w="565" w:type="pct"/>
            <w:tcBorders>
              <w:top w:val="single" w:sz="4" w:space="0" w:color="auto"/>
              <w:left w:val="double" w:sz="4" w:space="0" w:color="auto"/>
              <w:bottom w:val="nil"/>
            </w:tcBorders>
            <w:tcMar>
              <w:left w:w="57" w:type="dxa"/>
              <w:right w:w="160" w:type="dxa"/>
            </w:tcMar>
            <w:vAlign w:val="center"/>
          </w:tcPr>
          <w:p w:rsidR="00544439" w:rsidRPr="006007C7" w:rsidRDefault="00544439" w:rsidP="002A5E74">
            <w:pPr>
              <w:spacing w:line="288" w:lineRule="auto"/>
              <w:ind w:right="-45"/>
              <w:jc w:val="right"/>
            </w:pPr>
          </w:p>
        </w:tc>
        <w:tc>
          <w:tcPr>
            <w:tcW w:w="565" w:type="pct"/>
            <w:tcBorders>
              <w:top w:val="single" w:sz="4" w:space="0" w:color="auto"/>
              <w:bottom w:val="nil"/>
            </w:tcBorders>
            <w:vAlign w:val="center"/>
          </w:tcPr>
          <w:p w:rsidR="00544439" w:rsidRPr="006007C7" w:rsidRDefault="00544439" w:rsidP="002A5E74">
            <w:pPr>
              <w:spacing w:line="288" w:lineRule="auto"/>
              <w:ind w:right="77"/>
              <w:jc w:val="right"/>
            </w:pPr>
          </w:p>
        </w:tc>
      </w:tr>
      <w:tr w:rsidR="00544439" w:rsidRPr="00067DF6" w:rsidTr="00544439">
        <w:trPr>
          <w:trHeight w:val="20"/>
        </w:trPr>
        <w:tc>
          <w:tcPr>
            <w:tcW w:w="1609" w:type="pct"/>
            <w:tcBorders>
              <w:top w:val="nil"/>
              <w:bottom w:val="nil"/>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Special consumer tax* (SCT)</w:t>
            </w:r>
          </w:p>
        </w:tc>
        <w:tc>
          <w:tcPr>
            <w:tcW w:w="565" w:type="pct"/>
            <w:tcBorders>
              <w:top w:val="nil"/>
              <w:bottom w:val="nil"/>
            </w:tcBorders>
            <w:tcMar>
              <w:left w:w="57" w:type="dxa"/>
              <w:right w:w="160" w:type="dxa"/>
            </w:tcMar>
            <w:vAlign w:val="center"/>
          </w:tcPr>
          <w:p w:rsidR="00544439" w:rsidRPr="006007C7" w:rsidRDefault="00544439" w:rsidP="002A5E74">
            <w:pPr>
              <w:spacing w:line="288" w:lineRule="auto"/>
              <w:ind w:right="-102"/>
              <w:jc w:val="right"/>
            </w:pPr>
            <w:r>
              <w:t>2</w:t>
            </w:r>
            <w:r w:rsidR="002151FC">
              <w:t>.</w:t>
            </w:r>
            <w:r>
              <w:t>0</w:t>
            </w:r>
          </w:p>
        </w:tc>
        <w:tc>
          <w:tcPr>
            <w:tcW w:w="565" w:type="pct"/>
            <w:tcBorders>
              <w:top w:val="nil"/>
              <w:bottom w:val="nil"/>
            </w:tcBorders>
            <w:tcMar>
              <w:left w:w="0" w:type="dxa"/>
              <w:right w:w="160" w:type="dxa"/>
            </w:tcMar>
            <w:vAlign w:val="center"/>
          </w:tcPr>
          <w:p w:rsidR="00544439" w:rsidRPr="006007C7" w:rsidRDefault="00544439" w:rsidP="002A5E74">
            <w:pPr>
              <w:spacing w:line="288" w:lineRule="auto"/>
              <w:ind w:right="-42"/>
              <w:jc w:val="right"/>
            </w:pPr>
            <w:r>
              <w:t>-0</w:t>
            </w:r>
            <w:r w:rsidR="002151FC">
              <w:t>.</w:t>
            </w:r>
            <w:r>
              <w:t>8</w:t>
            </w:r>
          </w:p>
        </w:tc>
        <w:tc>
          <w:tcPr>
            <w:tcW w:w="565" w:type="pct"/>
            <w:tcBorders>
              <w:top w:val="nil"/>
              <w:bottom w:val="nil"/>
            </w:tcBorders>
            <w:vAlign w:val="center"/>
          </w:tcPr>
          <w:p w:rsidR="00544439" w:rsidRPr="006007C7" w:rsidRDefault="00544439" w:rsidP="002A5E74">
            <w:pPr>
              <w:spacing w:line="288" w:lineRule="auto"/>
              <w:ind w:right="77"/>
              <w:jc w:val="right"/>
            </w:pPr>
            <w:r>
              <w:t>31</w:t>
            </w:r>
            <w:r w:rsidR="002151FC">
              <w:t>.</w:t>
            </w:r>
            <w:r>
              <w:t>9</w:t>
            </w:r>
          </w:p>
        </w:tc>
        <w:tc>
          <w:tcPr>
            <w:tcW w:w="565" w:type="pct"/>
            <w:tcBorders>
              <w:top w:val="nil"/>
              <w:bottom w:val="nil"/>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bottom w:val="nil"/>
            </w:tcBorders>
            <w:tcMar>
              <w:left w:w="57" w:type="dxa"/>
              <w:right w:w="160" w:type="dxa"/>
            </w:tcMar>
            <w:vAlign w:val="center"/>
          </w:tcPr>
          <w:p w:rsidR="00544439" w:rsidRPr="006007C7" w:rsidRDefault="00544439" w:rsidP="002A5E74">
            <w:pPr>
              <w:spacing w:line="288" w:lineRule="auto"/>
              <w:ind w:right="-45"/>
              <w:jc w:val="right"/>
            </w:pPr>
            <w:r>
              <w:t>1</w:t>
            </w:r>
            <w:r w:rsidR="002151FC">
              <w:t>.</w:t>
            </w:r>
            <w:r>
              <w:t>5</w:t>
            </w:r>
          </w:p>
        </w:tc>
        <w:tc>
          <w:tcPr>
            <w:tcW w:w="565" w:type="pct"/>
            <w:tcBorders>
              <w:top w:val="nil"/>
              <w:bottom w:val="nil"/>
            </w:tcBorders>
            <w:vAlign w:val="center"/>
          </w:tcPr>
          <w:p w:rsidR="00544439" w:rsidRPr="006007C7" w:rsidRDefault="00544439" w:rsidP="002A5E74">
            <w:pPr>
              <w:spacing w:line="288" w:lineRule="auto"/>
              <w:ind w:right="77"/>
              <w:jc w:val="right"/>
            </w:pPr>
            <w:r>
              <w:t>32</w:t>
            </w:r>
            <w:r w:rsidR="002151FC">
              <w:t>.</w:t>
            </w:r>
            <w:r>
              <w:t>1</w:t>
            </w:r>
          </w:p>
        </w:tc>
      </w:tr>
      <w:tr w:rsidR="00544439" w:rsidRPr="00067DF6" w:rsidTr="00544439">
        <w:trPr>
          <w:trHeight w:val="20"/>
        </w:trPr>
        <w:tc>
          <w:tcPr>
            <w:tcW w:w="1609" w:type="pct"/>
            <w:tcBorders>
              <w:top w:val="nil"/>
            </w:tcBorders>
            <w:vAlign w:val="bottom"/>
          </w:tcPr>
          <w:p w:rsidR="00544439" w:rsidRPr="00067DF6" w:rsidRDefault="00544439" w:rsidP="00124E71">
            <w:pPr>
              <w:spacing w:line="288" w:lineRule="auto"/>
              <w:ind w:right="77"/>
              <w:rPr>
                <w:rFonts w:ascii="Arial" w:hAnsi="Arial" w:cs="Arial"/>
                <w:sz w:val="20"/>
                <w:szCs w:val="20"/>
              </w:rPr>
            </w:pPr>
            <w:r w:rsidRPr="00067DF6">
              <w:rPr>
                <w:rFonts w:ascii="Arial" w:hAnsi="Arial" w:cs="Arial"/>
                <w:sz w:val="20"/>
                <w:szCs w:val="20"/>
              </w:rPr>
              <w:t>Automobile production</w:t>
            </w:r>
          </w:p>
        </w:tc>
        <w:tc>
          <w:tcPr>
            <w:tcW w:w="565" w:type="pct"/>
            <w:tcBorders>
              <w:top w:val="nil"/>
            </w:tcBorders>
            <w:tcMar>
              <w:left w:w="57" w:type="dxa"/>
              <w:right w:w="160" w:type="dxa"/>
            </w:tcMar>
            <w:vAlign w:val="center"/>
          </w:tcPr>
          <w:p w:rsidR="00544439" w:rsidRPr="006007C7" w:rsidRDefault="00544439" w:rsidP="002A5E74">
            <w:pPr>
              <w:spacing w:line="288" w:lineRule="auto"/>
              <w:ind w:right="-102"/>
              <w:jc w:val="right"/>
            </w:pPr>
            <w:r>
              <w:t>7</w:t>
            </w:r>
            <w:r w:rsidR="002151FC">
              <w:t>.</w:t>
            </w:r>
            <w:r>
              <w:t>9</w:t>
            </w:r>
          </w:p>
        </w:tc>
        <w:tc>
          <w:tcPr>
            <w:tcW w:w="565" w:type="pct"/>
            <w:tcBorders>
              <w:top w:val="nil"/>
            </w:tcBorders>
            <w:tcMar>
              <w:left w:w="0" w:type="dxa"/>
              <w:right w:w="160" w:type="dxa"/>
            </w:tcMar>
            <w:vAlign w:val="center"/>
          </w:tcPr>
          <w:p w:rsidR="00544439" w:rsidRPr="006007C7" w:rsidRDefault="00544439" w:rsidP="002A5E74">
            <w:pPr>
              <w:spacing w:line="288" w:lineRule="auto"/>
              <w:ind w:right="-42"/>
              <w:jc w:val="right"/>
            </w:pPr>
            <w:r>
              <w:t>0</w:t>
            </w:r>
            <w:r w:rsidR="002151FC">
              <w:t>.</w:t>
            </w:r>
            <w:r>
              <w:t>1</w:t>
            </w:r>
          </w:p>
        </w:tc>
        <w:tc>
          <w:tcPr>
            <w:tcW w:w="565" w:type="pct"/>
            <w:tcBorders>
              <w:top w:val="nil"/>
            </w:tcBorders>
            <w:vAlign w:val="center"/>
          </w:tcPr>
          <w:p w:rsidR="00544439" w:rsidRPr="006007C7" w:rsidRDefault="00544439" w:rsidP="002A5E74">
            <w:pPr>
              <w:spacing w:line="288" w:lineRule="auto"/>
              <w:ind w:right="77"/>
              <w:jc w:val="right"/>
            </w:pPr>
            <w:r>
              <w:t>3</w:t>
            </w:r>
            <w:r w:rsidR="002151FC">
              <w:t>.</w:t>
            </w:r>
            <w:r>
              <w:t>6</w:t>
            </w:r>
          </w:p>
        </w:tc>
        <w:tc>
          <w:tcPr>
            <w:tcW w:w="565" w:type="pct"/>
            <w:tcBorders>
              <w:top w:val="nil"/>
            </w:tcBorders>
            <w:tcMar>
              <w:right w:w="160" w:type="dxa"/>
            </w:tcMar>
            <w:vAlign w:val="center"/>
          </w:tcPr>
          <w:p w:rsidR="00544439" w:rsidRPr="006007C7" w:rsidRDefault="00544439" w:rsidP="002A5E74">
            <w:pPr>
              <w:spacing w:line="288" w:lineRule="auto"/>
              <w:ind w:right="-14"/>
              <w:jc w:val="right"/>
            </w:pPr>
            <w:r>
              <w:t>**</w:t>
            </w:r>
          </w:p>
        </w:tc>
        <w:tc>
          <w:tcPr>
            <w:tcW w:w="565" w:type="pct"/>
            <w:tcBorders>
              <w:top w:val="nil"/>
              <w:left w:val="double" w:sz="4" w:space="0" w:color="auto"/>
            </w:tcBorders>
            <w:tcMar>
              <w:left w:w="57" w:type="dxa"/>
              <w:right w:w="160" w:type="dxa"/>
            </w:tcMar>
            <w:vAlign w:val="center"/>
          </w:tcPr>
          <w:p w:rsidR="00544439" w:rsidRPr="006007C7" w:rsidRDefault="00544439" w:rsidP="002A5E74">
            <w:pPr>
              <w:spacing w:line="288" w:lineRule="auto"/>
              <w:ind w:right="-45"/>
              <w:jc w:val="right"/>
            </w:pPr>
            <w:r>
              <w:t>-3</w:t>
            </w:r>
            <w:r w:rsidR="002151FC">
              <w:t>.</w:t>
            </w:r>
            <w:r>
              <w:t>1</w:t>
            </w:r>
          </w:p>
        </w:tc>
        <w:tc>
          <w:tcPr>
            <w:tcW w:w="565" w:type="pct"/>
            <w:tcBorders>
              <w:top w:val="nil"/>
            </w:tcBorders>
            <w:vAlign w:val="center"/>
          </w:tcPr>
          <w:p w:rsidR="00544439" w:rsidRPr="006007C7" w:rsidRDefault="00544439" w:rsidP="002A5E74">
            <w:pPr>
              <w:spacing w:line="288" w:lineRule="auto"/>
              <w:ind w:right="77"/>
              <w:jc w:val="right"/>
            </w:pPr>
            <w:r>
              <w:t>6</w:t>
            </w:r>
            <w:r w:rsidR="002151FC">
              <w:t>.</w:t>
            </w:r>
            <w:r>
              <w:t>3</w:t>
            </w:r>
          </w:p>
        </w:tc>
      </w:tr>
    </w:tbl>
    <w:p w:rsidR="008C6E50"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Source: TurkStat</w:t>
      </w:r>
      <w:r w:rsidR="0071337D" w:rsidRPr="008B2149">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TCMB</w:t>
      </w:r>
      <w:r w:rsidR="0071337D" w:rsidRPr="008B2149">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Treasury</w:t>
      </w:r>
      <w:r w:rsidR="0071337D" w:rsidRPr="008B2149">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IMKB</w:t>
      </w:r>
      <w:r w:rsidR="0071337D" w:rsidRPr="008B2149">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Betam. All series are real (or inflation adjusted) wherever necessary and seasonally adjusted.</w:t>
      </w:r>
    </w:p>
    <w:p w:rsidR="00E823E8"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*This tax is collected on sales of goods such as gas</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fuel oils</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alcohol</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tobacco products and automobiles.</w:t>
      </w:r>
    </w:p>
    <w:p w:rsidR="00E823E8"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**Data not yet released</w:t>
      </w:r>
      <w:r w:rsidR="00544439">
        <w:rPr>
          <w:rFonts w:ascii="Arial" w:hAnsi="Arial" w:cs="Arial"/>
          <w:sz w:val="16"/>
          <w:szCs w:val="16"/>
        </w:rPr>
        <w:t>.</w:t>
      </w:r>
    </w:p>
    <w:p w:rsidR="00544439" w:rsidRPr="008B2149" w:rsidRDefault="00544439" w:rsidP="00544439">
      <w:pPr>
        <w:spacing w:line="360" w:lineRule="auto"/>
        <w:ind w:left="-540" w:right="42"/>
        <w:jc w:val="both"/>
        <w:rPr>
          <w:rFonts w:ascii="Arial" w:hAnsi="Arial" w:cs="Arial"/>
          <w:sz w:val="16"/>
          <w:szCs w:val="16"/>
        </w:rPr>
      </w:pPr>
      <w:r>
        <w:rPr>
          <w:rFonts w:ascii="Arial" w:hAnsi="Arial" w:cs="Arial"/>
          <w:sz w:val="16"/>
          <w:szCs w:val="16"/>
        </w:rPr>
        <w:t>***</w:t>
      </w:r>
      <w:r w:rsidRPr="00E2683B">
        <w:rPr>
          <w:sz w:val="18"/>
          <w:szCs w:val="18"/>
        </w:rPr>
        <w:t xml:space="preserve"> </w:t>
      </w:r>
      <w:r>
        <w:rPr>
          <w:rFonts w:ascii="Arial" w:hAnsi="Arial" w:cs="Arial"/>
          <w:sz w:val="16"/>
          <w:szCs w:val="16"/>
        </w:rPr>
        <w:t>Betam’s calculations: N</w:t>
      </w:r>
      <w:r w:rsidRPr="00035DDC">
        <w:rPr>
          <w:rFonts w:ascii="Arial" w:hAnsi="Arial" w:cs="Arial"/>
          <w:sz w:val="16"/>
          <w:szCs w:val="16"/>
        </w:rPr>
        <w:t>omi</w:t>
      </w:r>
      <w:r>
        <w:rPr>
          <w:rFonts w:ascii="Arial" w:hAnsi="Arial" w:cs="Arial"/>
          <w:sz w:val="16"/>
          <w:szCs w:val="16"/>
        </w:rPr>
        <w:t>nal exports (imports) minus non-</w:t>
      </w:r>
      <w:r w:rsidRPr="00035DDC">
        <w:rPr>
          <w:rFonts w:ascii="Arial" w:hAnsi="Arial" w:cs="Arial"/>
          <w:sz w:val="16"/>
          <w:szCs w:val="16"/>
        </w:rPr>
        <w:t>monetary gold</w:t>
      </w:r>
      <w:r w:rsidR="002151FC">
        <w:rPr>
          <w:rFonts w:ascii="Arial" w:hAnsi="Arial" w:cs="Arial"/>
          <w:sz w:val="16"/>
          <w:szCs w:val="16"/>
        </w:rPr>
        <w:t>.</w:t>
      </w:r>
      <w:r w:rsidRPr="00035DDC">
        <w:rPr>
          <w:rFonts w:ascii="Arial" w:hAnsi="Arial" w:cs="Arial"/>
          <w:sz w:val="16"/>
          <w:szCs w:val="16"/>
        </w:rPr>
        <w:t xml:space="preserve"> deflated by </w:t>
      </w:r>
      <w:r>
        <w:rPr>
          <w:rFonts w:ascii="Arial" w:hAnsi="Arial" w:cs="Arial"/>
          <w:sz w:val="16"/>
          <w:szCs w:val="16"/>
        </w:rPr>
        <w:t xml:space="preserve">the </w:t>
      </w:r>
      <w:r w:rsidRPr="00035DDC">
        <w:rPr>
          <w:rFonts w:ascii="Arial" w:hAnsi="Arial" w:cs="Arial"/>
          <w:sz w:val="16"/>
          <w:szCs w:val="16"/>
        </w:rPr>
        <w:t>export (import) unit value index.</w:t>
      </w:r>
    </w:p>
    <w:p w:rsidR="00544439" w:rsidRPr="008B2149" w:rsidRDefault="00544439" w:rsidP="006B60DC">
      <w:pPr>
        <w:spacing w:line="360" w:lineRule="auto"/>
        <w:ind w:left="-540" w:right="42"/>
        <w:jc w:val="both"/>
        <w:rPr>
          <w:rFonts w:ascii="Arial" w:hAnsi="Arial" w:cs="Arial"/>
          <w:sz w:val="16"/>
          <w:szCs w:val="16"/>
        </w:rPr>
      </w:pPr>
    </w:p>
    <w:p w:rsidR="00BD7514" w:rsidRPr="008B2149" w:rsidRDefault="00BD7514" w:rsidP="00150B84">
      <w:pPr>
        <w:ind w:right="42"/>
        <w:jc w:val="both"/>
        <w:rPr>
          <w:rFonts w:ascii="Arial" w:hAnsi="Arial" w:cs="Arial"/>
          <w:b/>
          <w:sz w:val="20"/>
          <w:szCs w:val="20"/>
        </w:rPr>
        <w:sectPr w:rsidR="00BD7514" w:rsidRPr="008B2149" w:rsidSect="001E7720">
          <w:type w:val="continuous"/>
          <w:pgSz w:w="11906" w:h="16838"/>
          <w:pgMar w:top="1417" w:right="1417" w:bottom="1417" w:left="1417" w:header="708" w:footer="708" w:gutter="0"/>
          <w:cols w:space="708"/>
          <w:docGrid w:linePitch="360"/>
        </w:sectPr>
      </w:pPr>
    </w:p>
    <w:p w:rsidR="001E192B" w:rsidRDefault="001E192B" w:rsidP="00C22DC8">
      <w:pPr>
        <w:ind w:right="42"/>
        <w:jc w:val="both"/>
        <w:rPr>
          <w:rFonts w:ascii="Arial" w:hAnsi="Arial" w:cs="Arial"/>
          <w:b/>
          <w:sz w:val="20"/>
          <w:szCs w:val="20"/>
        </w:rPr>
      </w:pPr>
    </w:p>
    <w:p w:rsidR="003A3575" w:rsidRPr="008B2149" w:rsidRDefault="00AC630B" w:rsidP="006B60DC">
      <w:pPr>
        <w:ind w:left="-360" w:right="42"/>
        <w:jc w:val="both"/>
        <w:rPr>
          <w:rFonts w:ascii="Arial" w:hAnsi="Arial" w:cs="Arial"/>
          <w:b/>
          <w:sz w:val="20"/>
          <w:szCs w:val="20"/>
        </w:rPr>
      </w:pPr>
      <w:r w:rsidRPr="008B2149">
        <w:rPr>
          <w:rFonts w:ascii="Arial" w:hAnsi="Arial" w:cs="Arial"/>
          <w:b/>
          <w:sz w:val="20"/>
          <w:szCs w:val="20"/>
        </w:rPr>
        <w:lastRenderedPageBreak/>
        <w:t>Figure</w:t>
      </w:r>
      <w:r w:rsidR="003A3575" w:rsidRPr="008B2149">
        <w:rPr>
          <w:rFonts w:ascii="Arial" w:hAnsi="Arial" w:cs="Arial"/>
          <w:b/>
          <w:sz w:val="20"/>
          <w:szCs w:val="20"/>
        </w:rPr>
        <w:t xml:space="preserve"> 1: </w:t>
      </w:r>
      <w:r w:rsidRPr="008B2149">
        <w:rPr>
          <w:rFonts w:ascii="Arial" w:hAnsi="Arial" w:cs="Arial"/>
          <w:b/>
          <w:sz w:val="20"/>
          <w:szCs w:val="20"/>
        </w:rPr>
        <w:t>Capacity utilization rate and industrial production index</w:t>
      </w:r>
      <w:r w:rsidR="003A3575" w:rsidRPr="008B2149">
        <w:rPr>
          <w:rFonts w:ascii="Arial" w:hAnsi="Arial" w:cs="Arial"/>
          <w:b/>
          <w:sz w:val="20"/>
          <w:szCs w:val="20"/>
        </w:rPr>
        <w:t xml:space="preserve"> (</w:t>
      </w:r>
      <w:r w:rsidRPr="008B2149">
        <w:rPr>
          <w:rFonts w:ascii="Arial" w:hAnsi="Arial" w:cs="Arial"/>
          <w:b/>
          <w:sz w:val="20"/>
          <w:szCs w:val="20"/>
        </w:rPr>
        <w:t>s</w:t>
      </w:r>
      <w:r w:rsidR="00F65107" w:rsidRPr="008B2149">
        <w:rPr>
          <w:rFonts w:ascii="Arial" w:hAnsi="Arial" w:cs="Arial"/>
          <w:b/>
          <w:sz w:val="20"/>
          <w:szCs w:val="20"/>
        </w:rPr>
        <w:t>a</w:t>
      </w:r>
      <w:r w:rsidR="0071337D" w:rsidRPr="008B2149">
        <w:rPr>
          <w:rFonts w:ascii="Arial" w:hAnsi="Arial" w:cs="Arial"/>
          <w:b/>
          <w:sz w:val="20"/>
          <w:szCs w:val="20"/>
        </w:rPr>
        <w:t>.</w:t>
      </w:r>
      <w:r w:rsidRPr="008B2149">
        <w:rPr>
          <w:rFonts w:ascii="Arial" w:hAnsi="Arial" w:cs="Arial"/>
          <w:b/>
          <w:sz w:val="20"/>
          <w:szCs w:val="20"/>
        </w:rPr>
        <w:t xml:space="preserve"> left axis for CUR and right axis for IPI</w:t>
      </w:r>
      <w:r w:rsidR="003A3575" w:rsidRPr="008B2149">
        <w:rPr>
          <w:rFonts w:ascii="Arial" w:hAnsi="Arial" w:cs="Arial"/>
          <w:b/>
          <w:sz w:val="20"/>
          <w:szCs w:val="20"/>
        </w:rPr>
        <w:t>)</w:t>
      </w:r>
    </w:p>
    <w:p w:rsidR="003A3575" w:rsidRPr="008F5ED9" w:rsidRDefault="00AB717C" w:rsidP="003A3575">
      <w:pPr>
        <w:spacing w:line="360" w:lineRule="auto"/>
        <w:ind w:left="-360" w:right="42"/>
        <w:jc w:val="both"/>
        <w:rPr>
          <w:szCs w:val="20"/>
        </w:rPr>
      </w:pPr>
      <w:r>
        <w:rPr>
          <w:noProof/>
          <w:szCs w:val="20"/>
          <w:lang w:val="tr-TR"/>
        </w:rPr>
        <w:drawing>
          <wp:inline distT="0" distB="0" distL="0" distR="0">
            <wp:extent cx="2689645" cy="2251495"/>
            <wp:effectExtent l="1905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692184" cy="2253620"/>
                    </a:xfrm>
                    <a:prstGeom prst="rect">
                      <a:avLst/>
                    </a:prstGeom>
                    <a:noFill/>
                    <a:ln w="9525">
                      <a:noFill/>
                      <a:miter lim="800000"/>
                      <a:headEnd/>
                      <a:tailEnd/>
                    </a:ln>
                  </pic:spPr>
                </pic:pic>
              </a:graphicData>
            </a:graphic>
          </wp:inline>
        </w:drawing>
      </w:r>
    </w:p>
    <w:p w:rsidR="00B677BF" w:rsidRPr="008B2149" w:rsidRDefault="00AC630B" w:rsidP="00B677BF">
      <w:pPr>
        <w:ind w:left="-360" w:right="42"/>
        <w:jc w:val="both"/>
        <w:rPr>
          <w:rFonts w:ascii="Arial" w:hAnsi="Arial" w:cs="Arial"/>
          <w:sz w:val="16"/>
          <w:szCs w:val="16"/>
        </w:rPr>
      </w:pPr>
      <w:r w:rsidRPr="008B2149">
        <w:rPr>
          <w:rFonts w:ascii="Arial" w:hAnsi="Arial" w:cs="Arial"/>
          <w:sz w:val="16"/>
          <w:szCs w:val="16"/>
        </w:rPr>
        <w:t>Source</w:t>
      </w:r>
      <w:r w:rsidR="003A3575" w:rsidRPr="008B2149">
        <w:rPr>
          <w:rFonts w:ascii="Arial" w:hAnsi="Arial" w:cs="Arial"/>
          <w:sz w:val="16"/>
          <w:szCs w:val="16"/>
        </w:rPr>
        <w:t>:</w:t>
      </w:r>
      <w:r w:rsidR="00544439">
        <w:rPr>
          <w:rFonts w:ascii="Arial" w:hAnsi="Arial" w:cs="Arial"/>
          <w:sz w:val="16"/>
          <w:szCs w:val="16"/>
        </w:rPr>
        <w:t xml:space="preserve"> </w:t>
      </w:r>
      <w:r w:rsidRPr="008B2149">
        <w:rPr>
          <w:rFonts w:ascii="Arial" w:hAnsi="Arial" w:cs="Arial"/>
          <w:sz w:val="16"/>
          <w:szCs w:val="16"/>
        </w:rPr>
        <w:t>TurkStat</w:t>
      </w:r>
      <w:r w:rsidR="002151FC">
        <w:rPr>
          <w:rFonts w:ascii="Arial" w:hAnsi="Arial" w:cs="Arial"/>
          <w:sz w:val="16"/>
          <w:szCs w:val="16"/>
        </w:rPr>
        <w:t>.</w:t>
      </w:r>
      <w:r w:rsidR="00544439">
        <w:rPr>
          <w:rFonts w:ascii="Arial" w:hAnsi="Arial" w:cs="Arial"/>
          <w:sz w:val="16"/>
          <w:szCs w:val="16"/>
        </w:rPr>
        <w:t xml:space="preserve"> </w:t>
      </w:r>
      <w:r w:rsidR="003A3575" w:rsidRPr="008B2149">
        <w:rPr>
          <w:rFonts w:ascii="Arial" w:hAnsi="Arial" w:cs="Arial"/>
          <w:sz w:val="16"/>
          <w:szCs w:val="16"/>
        </w:rPr>
        <w:t>Betam</w:t>
      </w:r>
      <w:r w:rsidR="00544439">
        <w:rPr>
          <w:rFonts w:ascii="Arial" w:hAnsi="Arial" w:cs="Arial"/>
          <w:sz w:val="16"/>
          <w:szCs w:val="16"/>
        </w:rPr>
        <w:t>.</w:t>
      </w:r>
    </w:p>
    <w:p w:rsidR="00C3029B" w:rsidRDefault="00AC630B" w:rsidP="00C3029B">
      <w:pPr>
        <w:ind w:left="-360" w:right="42"/>
        <w:jc w:val="both"/>
        <w:rPr>
          <w:rFonts w:ascii="Arial" w:hAnsi="Arial" w:cs="Arial"/>
          <w:b/>
          <w:sz w:val="20"/>
          <w:szCs w:val="20"/>
        </w:rPr>
      </w:pPr>
      <w:r w:rsidRPr="008B2149">
        <w:rPr>
          <w:rFonts w:ascii="Arial" w:hAnsi="Arial" w:cs="Arial"/>
          <w:b/>
          <w:sz w:val="20"/>
          <w:szCs w:val="20"/>
        </w:rPr>
        <w:lastRenderedPageBreak/>
        <w:t>Figure</w:t>
      </w:r>
      <w:r w:rsidR="007067F4" w:rsidRPr="008B2149">
        <w:rPr>
          <w:rFonts w:ascii="Arial" w:hAnsi="Arial" w:cs="Arial"/>
          <w:b/>
          <w:sz w:val="20"/>
          <w:szCs w:val="20"/>
        </w:rPr>
        <w:t xml:space="preserve"> 2: </w:t>
      </w:r>
      <w:r w:rsidRPr="008B2149">
        <w:rPr>
          <w:rFonts w:ascii="Arial" w:hAnsi="Arial" w:cs="Arial"/>
          <w:b/>
          <w:sz w:val="20"/>
          <w:szCs w:val="20"/>
        </w:rPr>
        <w:t>Volume indices of exports and imports</w:t>
      </w:r>
      <w:r w:rsidR="007067F4" w:rsidRPr="008B2149">
        <w:rPr>
          <w:rFonts w:ascii="Arial" w:hAnsi="Arial" w:cs="Arial"/>
          <w:b/>
          <w:sz w:val="20"/>
          <w:szCs w:val="20"/>
        </w:rPr>
        <w:t xml:space="preserve"> (</w:t>
      </w:r>
      <w:r w:rsidRPr="008B2149">
        <w:rPr>
          <w:rFonts w:ascii="Arial" w:hAnsi="Arial" w:cs="Arial"/>
          <w:b/>
          <w:sz w:val="20"/>
          <w:szCs w:val="20"/>
        </w:rPr>
        <w:t>sa</w:t>
      </w:r>
      <w:r w:rsidR="007067F4" w:rsidRPr="008B2149">
        <w:rPr>
          <w:rFonts w:ascii="Arial" w:hAnsi="Arial" w:cs="Arial"/>
          <w:b/>
          <w:sz w:val="20"/>
          <w:szCs w:val="20"/>
        </w:rPr>
        <w:t>)</w:t>
      </w:r>
    </w:p>
    <w:p w:rsidR="00C3029B" w:rsidRPr="008B2149" w:rsidRDefault="00C3029B" w:rsidP="00C3029B">
      <w:pPr>
        <w:ind w:left="-360" w:right="42"/>
        <w:jc w:val="both"/>
        <w:rPr>
          <w:rFonts w:ascii="Arial" w:hAnsi="Arial" w:cs="Arial"/>
          <w:b/>
          <w:sz w:val="20"/>
          <w:szCs w:val="20"/>
        </w:rPr>
      </w:pPr>
    </w:p>
    <w:p w:rsidR="003A3575" w:rsidRPr="008F5ED9" w:rsidRDefault="00A74D70" w:rsidP="003A3575">
      <w:pPr>
        <w:spacing w:line="360" w:lineRule="auto"/>
        <w:ind w:left="-360" w:right="42"/>
        <w:jc w:val="both"/>
        <w:rPr>
          <w:szCs w:val="20"/>
        </w:rPr>
      </w:pPr>
      <w:r w:rsidRPr="00A74D70">
        <w:rPr>
          <w:noProof/>
          <w:szCs w:val="20"/>
          <w:lang w:val="tr-TR"/>
        </w:rPr>
        <w:drawing>
          <wp:inline distT="0" distB="0" distL="0" distR="0">
            <wp:extent cx="2715523" cy="2251494"/>
            <wp:effectExtent l="19050" t="0" r="8627"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715524" cy="2251495"/>
                    </a:xfrm>
                    <a:prstGeom prst="rect">
                      <a:avLst/>
                    </a:prstGeom>
                    <a:noFill/>
                    <a:ln w="9525">
                      <a:noFill/>
                      <a:miter lim="800000"/>
                      <a:headEnd/>
                      <a:tailEnd/>
                    </a:ln>
                  </pic:spPr>
                </pic:pic>
              </a:graphicData>
            </a:graphic>
          </wp:inline>
        </w:drawing>
      </w:r>
    </w:p>
    <w:p w:rsidR="003A3575" w:rsidRPr="008B2149" w:rsidRDefault="00544439" w:rsidP="003A3575">
      <w:pPr>
        <w:spacing w:line="360" w:lineRule="auto"/>
        <w:ind w:left="-360" w:right="42"/>
        <w:jc w:val="both"/>
        <w:rPr>
          <w:rFonts w:ascii="Arial" w:hAnsi="Arial" w:cs="Arial"/>
          <w:sz w:val="16"/>
          <w:szCs w:val="16"/>
        </w:rPr>
      </w:pPr>
      <w:r>
        <w:rPr>
          <w:rFonts w:ascii="Arial" w:hAnsi="Arial" w:cs="Arial"/>
          <w:sz w:val="16"/>
          <w:szCs w:val="16"/>
        </w:rPr>
        <w:t>Source</w:t>
      </w:r>
      <w:r w:rsidR="00AC630B" w:rsidRPr="008B2149">
        <w:rPr>
          <w:rFonts w:ascii="Arial" w:hAnsi="Arial" w:cs="Arial"/>
          <w:sz w:val="16"/>
          <w:szCs w:val="16"/>
        </w:rPr>
        <w:t>:</w:t>
      </w:r>
      <w:r>
        <w:rPr>
          <w:rFonts w:ascii="Arial" w:hAnsi="Arial" w:cs="Arial"/>
          <w:sz w:val="16"/>
          <w:szCs w:val="16"/>
        </w:rPr>
        <w:t xml:space="preserve"> </w:t>
      </w:r>
      <w:r w:rsidR="00AC630B" w:rsidRPr="008B2149">
        <w:rPr>
          <w:rFonts w:ascii="Arial" w:hAnsi="Arial" w:cs="Arial"/>
          <w:sz w:val="16"/>
          <w:szCs w:val="16"/>
        </w:rPr>
        <w:t>TurkStat</w:t>
      </w:r>
      <w:r w:rsidR="002151FC">
        <w:rPr>
          <w:rFonts w:ascii="Arial" w:hAnsi="Arial" w:cs="Arial"/>
          <w:sz w:val="16"/>
          <w:szCs w:val="16"/>
        </w:rPr>
        <w:t>.</w:t>
      </w:r>
      <w:r>
        <w:rPr>
          <w:rFonts w:ascii="Arial" w:hAnsi="Arial" w:cs="Arial"/>
          <w:sz w:val="16"/>
          <w:szCs w:val="16"/>
        </w:rPr>
        <w:t xml:space="preserve"> </w:t>
      </w:r>
      <w:r w:rsidR="003A3575" w:rsidRPr="008B2149">
        <w:rPr>
          <w:rFonts w:ascii="Arial" w:hAnsi="Arial" w:cs="Arial"/>
          <w:sz w:val="16"/>
          <w:szCs w:val="16"/>
        </w:rPr>
        <w:t>Betam</w:t>
      </w:r>
      <w:r>
        <w:rPr>
          <w:rFonts w:ascii="Arial" w:hAnsi="Arial" w:cs="Arial"/>
          <w:sz w:val="16"/>
          <w:szCs w:val="16"/>
        </w:rPr>
        <w:t>.</w:t>
      </w:r>
    </w:p>
    <w:p w:rsidR="007067F4" w:rsidRPr="008B2149" w:rsidRDefault="007067F4" w:rsidP="00010DD1">
      <w:pPr>
        <w:spacing w:line="360" w:lineRule="auto"/>
        <w:ind w:right="42"/>
        <w:jc w:val="both"/>
        <w:rPr>
          <w:rFonts w:ascii="Arial" w:hAnsi="Arial" w:cs="Arial"/>
          <w:sz w:val="20"/>
          <w:szCs w:val="20"/>
        </w:rPr>
        <w:sectPr w:rsidR="007067F4" w:rsidRPr="008B2149" w:rsidSect="007067F4">
          <w:type w:val="continuous"/>
          <w:pgSz w:w="11906" w:h="16838"/>
          <w:pgMar w:top="1417" w:right="1417" w:bottom="1417" w:left="1417" w:header="708" w:footer="708" w:gutter="0"/>
          <w:cols w:num="2" w:space="708" w:equalWidth="0">
            <w:col w:w="4182" w:space="708"/>
            <w:col w:w="4182"/>
          </w:cols>
          <w:docGrid w:linePitch="360"/>
        </w:sectPr>
      </w:pPr>
    </w:p>
    <w:p w:rsidR="00A74D70" w:rsidRDefault="00A74D70" w:rsidP="00C3029B">
      <w:pPr>
        <w:spacing w:line="360" w:lineRule="auto"/>
        <w:ind w:left="-360" w:right="42"/>
        <w:jc w:val="both"/>
        <w:rPr>
          <w:rFonts w:ascii="Arial" w:hAnsi="Arial" w:cs="Arial"/>
          <w:b/>
          <w:sz w:val="20"/>
          <w:szCs w:val="20"/>
        </w:rPr>
      </w:pPr>
    </w:p>
    <w:p w:rsidR="00EF6AB5" w:rsidRPr="008B2149" w:rsidRDefault="00AC630B" w:rsidP="00C3029B">
      <w:pPr>
        <w:spacing w:line="360" w:lineRule="auto"/>
        <w:ind w:left="-360" w:right="42"/>
        <w:jc w:val="both"/>
        <w:rPr>
          <w:rFonts w:ascii="Arial" w:hAnsi="Arial" w:cs="Arial"/>
          <w:b/>
          <w:sz w:val="20"/>
          <w:szCs w:val="20"/>
        </w:rPr>
      </w:pPr>
      <w:r w:rsidRPr="008B2149">
        <w:rPr>
          <w:rFonts w:ascii="Arial" w:hAnsi="Arial" w:cs="Arial"/>
          <w:b/>
          <w:sz w:val="20"/>
          <w:szCs w:val="20"/>
        </w:rPr>
        <w:t>Figure</w:t>
      </w:r>
      <w:r w:rsidR="00150B84" w:rsidRPr="008B2149">
        <w:rPr>
          <w:rFonts w:ascii="Arial" w:hAnsi="Arial" w:cs="Arial"/>
          <w:b/>
          <w:sz w:val="20"/>
          <w:szCs w:val="20"/>
        </w:rPr>
        <w:t xml:space="preserve"> 3:</w:t>
      </w:r>
      <w:r w:rsidR="00EF2A9C">
        <w:rPr>
          <w:rFonts w:ascii="Arial" w:hAnsi="Arial" w:cs="Arial"/>
          <w:b/>
          <w:sz w:val="20"/>
          <w:szCs w:val="20"/>
        </w:rPr>
        <w:t xml:space="preserve"> </w:t>
      </w:r>
      <w:r w:rsidRPr="008B2149">
        <w:rPr>
          <w:rFonts w:ascii="Arial" w:hAnsi="Arial" w:cs="Arial"/>
          <w:b/>
          <w:sz w:val="20"/>
          <w:szCs w:val="20"/>
        </w:rPr>
        <w:t>Ratio of current account deficit to</w:t>
      </w:r>
      <w:r w:rsidR="00EF2A9C">
        <w:rPr>
          <w:rFonts w:ascii="Arial" w:hAnsi="Arial" w:cs="Arial"/>
          <w:b/>
          <w:sz w:val="20"/>
          <w:szCs w:val="20"/>
        </w:rPr>
        <w:t xml:space="preserve"> </w:t>
      </w:r>
      <w:r w:rsidRPr="008B2149">
        <w:rPr>
          <w:rFonts w:ascii="Arial" w:hAnsi="Arial" w:cs="Arial"/>
          <w:b/>
          <w:sz w:val="20"/>
          <w:szCs w:val="20"/>
        </w:rPr>
        <w:t>GDP</w:t>
      </w:r>
      <w:r w:rsidR="00455777" w:rsidRPr="008B2149">
        <w:rPr>
          <w:rFonts w:ascii="Arial" w:hAnsi="Arial" w:cs="Arial"/>
          <w:b/>
          <w:sz w:val="20"/>
          <w:szCs w:val="20"/>
        </w:rPr>
        <w:t xml:space="preserve"> (yearly)</w:t>
      </w:r>
    </w:p>
    <w:p w:rsidR="001E7720" w:rsidRPr="00451FEA" w:rsidRDefault="00EF2A9C" w:rsidP="008865B7">
      <w:pPr>
        <w:spacing w:line="360" w:lineRule="auto"/>
        <w:ind w:left="-360" w:right="42"/>
        <w:rPr>
          <w:szCs w:val="20"/>
        </w:rPr>
      </w:pPr>
      <w:r w:rsidRPr="00EF2A9C">
        <w:rPr>
          <w:noProof/>
          <w:szCs w:val="20"/>
          <w:lang w:val="tr-TR"/>
        </w:rPr>
        <w:drawing>
          <wp:inline distT="0" distB="0" distL="0" distR="0">
            <wp:extent cx="4833812" cy="2147696"/>
            <wp:effectExtent l="19050" t="0" r="48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39335" cy="2150150"/>
                    </a:xfrm>
                    <a:prstGeom prst="rect">
                      <a:avLst/>
                    </a:prstGeom>
                    <a:noFill/>
                    <a:ln w="9525">
                      <a:noFill/>
                      <a:miter lim="800000"/>
                      <a:headEnd/>
                      <a:tailEnd/>
                    </a:ln>
                  </pic:spPr>
                </pic:pic>
              </a:graphicData>
            </a:graphic>
          </wp:inline>
        </w:drawing>
      </w:r>
    </w:p>
    <w:p w:rsidR="001E7720" w:rsidRPr="008B2149" w:rsidRDefault="00AC630B" w:rsidP="001E4BF5">
      <w:pPr>
        <w:spacing w:line="360" w:lineRule="auto"/>
        <w:ind w:left="-360" w:right="42"/>
        <w:jc w:val="both"/>
        <w:rPr>
          <w:rFonts w:ascii="Arial" w:hAnsi="Arial" w:cs="Arial"/>
          <w:sz w:val="16"/>
          <w:szCs w:val="16"/>
        </w:rPr>
      </w:pPr>
      <w:r w:rsidRPr="008B2149">
        <w:rPr>
          <w:rFonts w:ascii="Arial" w:hAnsi="Arial" w:cs="Arial"/>
          <w:sz w:val="16"/>
          <w:szCs w:val="16"/>
        </w:rPr>
        <w:t>Source: TCMB</w:t>
      </w:r>
      <w:r w:rsidR="002151FC">
        <w:rPr>
          <w:rFonts w:ascii="Arial" w:hAnsi="Arial" w:cs="Arial"/>
          <w:sz w:val="16"/>
          <w:szCs w:val="16"/>
        </w:rPr>
        <w:t>.</w:t>
      </w:r>
      <w:r w:rsidR="00EF2A9C">
        <w:rPr>
          <w:rFonts w:ascii="Arial" w:hAnsi="Arial" w:cs="Arial"/>
          <w:sz w:val="16"/>
          <w:szCs w:val="16"/>
        </w:rPr>
        <w:t xml:space="preserve"> </w:t>
      </w:r>
      <w:r w:rsidRPr="008B2149">
        <w:rPr>
          <w:rFonts w:ascii="Arial" w:hAnsi="Arial" w:cs="Arial"/>
          <w:sz w:val="16"/>
          <w:szCs w:val="16"/>
        </w:rPr>
        <w:t>TurkStat</w:t>
      </w:r>
      <w:r w:rsidR="002151FC">
        <w:rPr>
          <w:rFonts w:ascii="Arial" w:hAnsi="Arial" w:cs="Arial"/>
          <w:sz w:val="16"/>
          <w:szCs w:val="16"/>
        </w:rPr>
        <w:t>.</w:t>
      </w:r>
      <w:r w:rsidR="00EF2A9C">
        <w:rPr>
          <w:rFonts w:ascii="Arial" w:hAnsi="Arial" w:cs="Arial"/>
          <w:sz w:val="16"/>
          <w:szCs w:val="16"/>
        </w:rPr>
        <w:t xml:space="preserve"> </w:t>
      </w:r>
      <w:r w:rsidRPr="008B2149">
        <w:rPr>
          <w:rFonts w:ascii="Arial" w:hAnsi="Arial" w:cs="Arial"/>
          <w:sz w:val="16"/>
          <w:szCs w:val="16"/>
        </w:rPr>
        <w:t>Betam</w:t>
      </w:r>
      <w:r w:rsidR="00EF2A9C">
        <w:rPr>
          <w:rFonts w:ascii="Arial" w:hAnsi="Arial" w:cs="Arial"/>
          <w:sz w:val="16"/>
          <w:szCs w:val="16"/>
        </w:rPr>
        <w:t>.</w:t>
      </w:r>
    </w:p>
    <w:p w:rsidR="001E7720" w:rsidRDefault="001E7720" w:rsidP="00C30DC1">
      <w:pPr>
        <w:spacing w:line="360" w:lineRule="auto"/>
        <w:ind w:right="42"/>
        <w:jc w:val="both"/>
        <w:rPr>
          <w:rFonts w:ascii="Arial" w:hAnsi="Arial" w:cs="Arial"/>
          <w:sz w:val="20"/>
          <w:szCs w:val="20"/>
        </w:rPr>
      </w:pPr>
    </w:p>
    <w:p w:rsidR="00C30DC1" w:rsidRDefault="00C30DC1" w:rsidP="001E4BF5">
      <w:pPr>
        <w:spacing w:line="360" w:lineRule="auto"/>
        <w:ind w:left="-360" w:right="42"/>
        <w:jc w:val="both"/>
        <w:rPr>
          <w:rFonts w:ascii="Arial" w:hAnsi="Arial" w:cs="Arial"/>
          <w:b/>
          <w:sz w:val="20"/>
          <w:szCs w:val="20"/>
        </w:rPr>
      </w:pPr>
      <w:r w:rsidRPr="00C30DC1">
        <w:rPr>
          <w:rFonts w:ascii="Arial" w:hAnsi="Arial" w:cs="Arial"/>
          <w:b/>
          <w:sz w:val="20"/>
          <w:szCs w:val="20"/>
        </w:rPr>
        <w:t>Figure 4:</w:t>
      </w:r>
      <w:r w:rsidR="00D62EB2">
        <w:rPr>
          <w:rFonts w:ascii="Arial" w:hAnsi="Arial" w:cs="Arial"/>
          <w:b/>
          <w:sz w:val="20"/>
          <w:szCs w:val="20"/>
        </w:rPr>
        <w:t xml:space="preserve"> </w:t>
      </w:r>
      <w:r w:rsidRPr="00C30DC1">
        <w:rPr>
          <w:rFonts w:ascii="Arial" w:hAnsi="Arial" w:cs="Arial"/>
          <w:b/>
          <w:sz w:val="20"/>
          <w:szCs w:val="20"/>
        </w:rPr>
        <w:t>Weighted Average Interest Rates For Turkish Lira Banks' Loans</w:t>
      </w:r>
      <w:r>
        <w:rPr>
          <w:rFonts w:ascii="Arial" w:hAnsi="Arial" w:cs="Arial"/>
          <w:b/>
          <w:sz w:val="20"/>
          <w:szCs w:val="20"/>
        </w:rPr>
        <w:t xml:space="preserve"> (%)</w:t>
      </w:r>
    </w:p>
    <w:p w:rsidR="00C30DC1" w:rsidRPr="00C30DC1" w:rsidRDefault="00A74D70" w:rsidP="001E4BF5">
      <w:pPr>
        <w:spacing w:line="360" w:lineRule="auto"/>
        <w:ind w:left="-360" w:right="42"/>
        <w:jc w:val="both"/>
        <w:rPr>
          <w:rFonts w:ascii="Arial" w:hAnsi="Arial" w:cs="Arial"/>
          <w:b/>
          <w:sz w:val="20"/>
          <w:szCs w:val="20"/>
        </w:rPr>
      </w:pPr>
      <w:r w:rsidRPr="00A74D70">
        <w:rPr>
          <w:noProof/>
          <w:szCs w:val="20"/>
          <w:lang w:val="tr-TR"/>
        </w:rPr>
        <w:drawing>
          <wp:inline distT="0" distB="0" distL="0" distR="0">
            <wp:extent cx="4833177" cy="2126961"/>
            <wp:effectExtent l="19050" t="0" r="5523"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833237" cy="2126988"/>
                    </a:xfrm>
                    <a:prstGeom prst="rect">
                      <a:avLst/>
                    </a:prstGeom>
                    <a:noFill/>
                    <a:ln w="9525">
                      <a:noFill/>
                      <a:miter lim="800000"/>
                      <a:headEnd/>
                      <a:tailEnd/>
                    </a:ln>
                  </pic:spPr>
                </pic:pic>
              </a:graphicData>
            </a:graphic>
          </wp:inline>
        </w:drawing>
      </w:r>
    </w:p>
    <w:p w:rsidR="005E0781" w:rsidRPr="00C30DC1" w:rsidRDefault="00C30DC1" w:rsidP="00C30DC1">
      <w:pPr>
        <w:spacing w:line="360" w:lineRule="auto"/>
        <w:ind w:left="-360" w:right="42"/>
        <w:jc w:val="both"/>
        <w:rPr>
          <w:rFonts w:ascii="Arial" w:hAnsi="Arial" w:cs="Arial"/>
          <w:sz w:val="20"/>
          <w:szCs w:val="20"/>
        </w:rPr>
      </w:pPr>
      <w:r w:rsidRPr="008B2149">
        <w:rPr>
          <w:rFonts w:ascii="Arial" w:hAnsi="Arial" w:cs="Arial"/>
          <w:sz w:val="16"/>
          <w:szCs w:val="16"/>
        </w:rPr>
        <w:t>Source: TCMB</w:t>
      </w:r>
      <w:r w:rsidR="00EF2A9C">
        <w:rPr>
          <w:rFonts w:ascii="Arial" w:hAnsi="Arial" w:cs="Arial"/>
          <w:sz w:val="16"/>
          <w:szCs w:val="16"/>
        </w:rPr>
        <w:t>.</w:t>
      </w:r>
    </w:p>
    <w:p w:rsidR="00A74D70" w:rsidRDefault="00A74D70" w:rsidP="00D0799D">
      <w:pPr>
        <w:spacing w:line="360" w:lineRule="auto"/>
        <w:ind w:right="42"/>
        <w:jc w:val="both"/>
        <w:rPr>
          <w:rFonts w:ascii="Arial" w:hAnsi="Arial" w:cs="Arial"/>
          <w:b/>
          <w:sz w:val="20"/>
          <w:szCs w:val="20"/>
        </w:rPr>
      </w:pPr>
    </w:p>
    <w:p w:rsidR="001E7720" w:rsidRPr="008B2149" w:rsidRDefault="00344070" w:rsidP="00D0799D">
      <w:pPr>
        <w:spacing w:line="360" w:lineRule="auto"/>
        <w:ind w:right="42"/>
        <w:jc w:val="both"/>
        <w:rPr>
          <w:rFonts w:ascii="Arial" w:hAnsi="Arial" w:cs="Arial"/>
          <w:b/>
          <w:sz w:val="20"/>
          <w:szCs w:val="20"/>
        </w:rPr>
      </w:pPr>
      <w:r w:rsidRPr="008B2149">
        <w:rPr>
          <w:rFonts w:ascii="Arial" w:hAnsi="Arial" w:cs="Arial"/>
          <w:b/>
          <w:sz w:val="20"/>
          <w:szCs w:val="20"/>
        </w:rPr>
        <w:lastRenderedPageBreak/>
        <w:t>Figure</w:t>
      </w:r>
      <w:r w:rsidR="00C30DC1">
        <w:rPr>
          <w:rFonts w:ascii="Arial" w:hAnsi="Arial" w:cs="Arial"/>
          <w:b/>
          <w:sz w:val="20"/>
          <w:szCs w:val="20"/>
        </w:rPr>
        <w:t xml:space="preserve"> 5</w:t>
      </w:r>
      <w:r w:rsidR="008C6E50" w:rsidRPr="008B2149">
        <w:rPr>
          <w:rFonts w:ascii="Arial" w:hAnsi="Arial" w:cs="Arial"/>
          <w:b/>
          <w:sz w:val="20"/>
          <w:szCs w:val="20"/>
        </w:rPr>
        <w:t>:</w:t>
      </w:r>
      <w:r w:rsidR="00EF2A9C">
        <w:rPr>
          <w:rFonts w:ascii="Arial" w:hAnsi="Arial" w:cs="Arial"/>
          <w:b/>
          <w:sz w:val="20"/>
          <w:szCs w:val="20"/>
        </w:rPr>
        <w:t xml:space="preserve"> </w:t>
      </w:r>
      <w:r w:rsidR="00AC630B" w:rsidRPr="008B2149">
        <w:rPr>
          <w:rFonts w:ascii="Arial" w:hAnsi="Arial" w:cs="Arial"/>
          <w:b/>
          <w:sz w:val="20"/>
          <w:szCs w:val="20"/>
        </w:rPr>
        <w:t>Monthly changes of manufacturing industry exports</w:t>
      </w:r>
      <w:r w:rsidR="008C6E50" w:rsidRPr="008B2149">
        <w:rPr>
          <w:rFonts w:ascii="Arial" w:hAnsi="Arial" w:cs="Arial"/>
          <w:b/>
          <w:sz w:val="20"/>
          <w:szCs w:val="20"/>
        </w:rPr>
        <w:t xml:space="preserve"> (</w:t>
      </w:r>
      <w:r w:rsidRPr="008B2149">
        <w:rPr>
          <w:rFonts w:ascii="Arial" w:hAnsi="Arial" w:cs="Arial"/>
          <w:b/>
          <w:sz w:val="20"/>
          <w:szCs w:val="20"/>
        </w:rPr>
        <w:t>sa</w:t>
      </w:r>
      <w:r w:rsidR="008C6E50" w:rsidRPr="008B2149">
        <w:rPr>
          <w:rFonts w:ascii="Arial" w:hAnsi="Arial" w:cs="Arial"/>
          <w:b/>
          <w:sz w:val="20"/>
          <w:szCs w:val="20"/>
        </w:rPr>
        <w:t>)</w:t>
      </w:r>
    </w:p>
    <w:p w:rsidR="001F707E" w:rsidRPr="008B2149" w:rsidRDefault="00EF2A9C" w:rsidP="00D0799D">
      <w:pPr>
        <w:spacing w:line="360" w:lineRule="auto"/>
        <w:ind w:right="42"/>
        <w:jc w:val="both"/>
        <w:rPr>
          <w:rFonts w:ascii="Arial" w:hAnsi="Arial" w:cs="Arial"/>
          <w:sz w:val="20"/>
          <w:szCs w:val="20"/>
        </w:rPr>
      </w:pPr>
      <w:r w:rsidRPr="00EF2A9C">
        <w:rPr>
          <w:noProof/>
          <w:szCs w:val="20"/>
          <w:lang w:val="tr-TR"/>
        </w:rPr>
        <w:drawing>
          <wp:inline distT="0" distB="0" distL="0" distR="0">
            <wp:extent cx="5760720" cy="6282558"/>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60720" cy="6282558"/>
                    </a:xfrm>
                    <a:prstGeom prst="rect">
                      <a:avLst/>
                    </a:prstGeom>
                    <a:noFill/>
                    <a:ln w="9525">
                      <a:noFill/>
                      <a:miter lim="800000"/>
                      <a:headEnd/>
                      <a:tailEnd/>
                    </a:ln>
                  </pic:spPr>
                </pic:pic>
              </a:graphicData>
            </a:graphic>
          </wp:inline>
        </w:drawing>
      </w:r>
    </w:p>
    <w:p w:rsidR="008C6E50" w:rsidRPr="008B2149" w:rsidRDefault="00AC630B" w:rsidP="00D0799D">
      <w:pPr>
        <w:spacing w:line="360" w:lineRule="auto"/>
        <w:ind w:right="42"/>
        <w:jc w:val="both"/>
        <w:rPr>
          <w:rFonts w:ascii="Arial" w:hAnsi="Arial" w:cs="Arial"/>
          <w:sz w:val="16"/>
          <w:szCs w:val="16"/>
        </w:rPr>
      </w:pPr>
      <w:r w:rsidRPr="008B2149">
        <w:rPr>
          <w:rFonts w:ascii="Arial" w:hAnsi="Arial" w:cs="Arial"/>
          <w:sz w:val="16"/>
          <w:szCs w:val="16"/>
        </w:rPr>
        <w:t>Source: TurkStat</w:t>
      </w:r>
      <w:r w:rsidR="002151FC">
        <w:rPr>
          <w:rFonts w:ascii="Arial" w:hAnsi="Arial" w:cs="Arial"/>
          <w:sz w:val="16"/>
          <w:szCs w:val="16"/>
        </w:rPr>
        <w:t>.</w:t>
      </w:r>
      <w:r w:rsidR="00EF2A9C">
        <w:rPr>
          <w:rFonts w:ascii="Arial" w:hAnsi="Arial" w:cs="Arial"/>
          <w:sz w:val="16"/>
          <w:szCs w:val="16"/>
        </w:rPr>
        <w:t xml:space="preserve"> </w:t>
      </w:r>
      <w:r w:rsidR="008C6E50" w:rsidRPr="008B2149">
        <w:rPr>
          <w:rFonts w:ascii="Arial" w:hAnsi="Arial" w:cs="Arial"/>
          <w:sz w:val="16"/>
          <w:szCs w:val="16"/>
        </w:rPr>
        <w:t>Betam</w:t>
      </w:r>
      <w:r w:rsidR="00EF2A9C">
        <w:rPr>
          <w:rFonts w:ascii="Arial" w:hAnsi="Arial" w:cs="Arial"/>
          <w:sz w:val="16"/>
          <w:szCs w:val="16"/>
        </w:rPr>
        <w:t>.</w:t>
      </w:r>
    </w:p>
    <w:p w:rsidR="009B43D6" w:rsidRDefault="009B43D6"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9B43D6" w:rsidRPr="008B2149" w:rsidRDefault="009B43D6" w:rsidP="00D63012">
      <w:pPr>
        <w:spacing w:line="360" w:lineRule="auto"/>
        <w:ind w:right="42"/>
        <w:jc w:val="both"/>
        <w:rPr>
          <w:sz w:val="22"/>
          <w:szCs w:val="22"/>
        </w:rPr>
      </w:pPr>
    </w:p>
    <w:p w:rsidR="00B677BF" w:rsidRPr="008B2149" w:rsidRDefault="00B677BF" w:rsidP="001F707E">
      <w:pPr>
        <w:spacing w:line="360" w:lineRule="auto"/>
        <w:ind w:right="42"/>
        <w:jc w:val="both"/>
        <w:rPr>
          <w:sz w:val="22"/>
          <w:szCs w:val="22"/>
        </w:rPr>
      </w:pPr>
    </w:p>
    <w:sectPr w:rsidR="00B677BF" w:rsidRPr="008B2149"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9F" w:rsidRDefault="000F219F">
      <w:r>
        <w:separator/>
      </w:r>
    </w:p>
  </w:endnote>
  <w:endnote w:type="continuationSeparator" w:id="1">
    <w:p w:rsidR="000F219F" w:rsidRDefault="000F2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9F" w:rsidRDefault="000F219F">
      <w:r>
        <w:separator/>
      </w:r>
    </w:p>
  </w:footnote>
  <w:footnote w:type="continuationSeparator" w:id="1">
    <w:p w:rsidR="000F219F" w:rsidRDefault="000F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57ECC"/>
    <w:rsid w:val="000003F0"/>
    <w:rsid w:val="00001050"/>
    <w:rsid w:val="00003567"/>
    <w:rsid w:val="0000434B"/>
    <w:rsid w:val="00004745"/>
    <w:rsid w:val="00010DD1"/>
    <w:rsid w:val="00013406"/>
    <w:rsid w:val="00017F2E"/>
    <w:rsid w:val="00024559"/>
    <w:rsid w:val="00024B55"/>
    <w:rsid w:val="00034421"/>
    <w:rsid w:val="00037CE9"/>
    <w:rsid w:val="00047B99"/>
    <w:rsid w:val="00050DCF"/>
    <w:rsid w:val="00051CD0"/>
    <w:rsid w:val="00055814"/>
    <w:rsid w:val="00055A3E"/>
    <w:rsid w:val="000625E8"/>
    <w:rsid w:val="00063758"/>
    <w:rsid w:val="00065B3C"/>
    <w:rsid w:val="00067DF6"/>
    <w:rsid w:val="000715CA"/>
    <w:rsid w:val="000717B5"/>
    <w:rsid w:val="000743ED"/>
    <w:rsid w:val="000820D2"/>
    <w:rsid w:val="0008367E"/>
    <w:rsid w:val="00084ED0"/>
    <w:rsid w:val="00091D4B"/>
    <w:rsid w:val="00097481"/>
    <w:rsid w:val="000A1E16"/>
    <w:rsid w:val="000A383B"/>
    <w:rsid w:val="000A3D92"/>
    <w:rsid w:val="000A6429"/>
    <w:rsid w:val="000A701D"/>
    <w:rsid w:val="000B0553"/>
    <w:rsid w:val="000B669B"/>
    <w:rsid w:val="000C3022"/>
    <w:rsid w:val="000C5B7E"/>
    <w:rsid w:val="000D029B"/>
    <w:rsid w:val="000D0DA7"/>
    <w:rsid w:val="000D6420"/>
    <w:rsid w:val="000D7F65"/>
    <w:rsid w:val="000E10A3"/>
    <w:rsid w:val="000E4231"/>
    <w:rsid w:val="000E4C57"/>
    <w:rsid w:val="000F219F"/>
    <w:rsid w:val="000F3017"/>
    <w:rsid w:val="000F396D"/>
    <w:rsid w:val="000F4941"/>
    <w:rsid w:val="00100750"/>
    <w:rsid w:val="00102FC6"/>
    <w:rsid w:val="001105B2"/>
    <w:rsid w:val="001116C3"/>
    <w:rsid w:val="00114BC7"/>
    <w:rsid w:val="00124929"/>
    <w:rsid w:val="00131702"/>
    <w:rsid w:val="00133054"/>
    <w:rsid w:val="001357C1"/>
    <w:rsid w:val="00135FEE"/>
    <w:rsid w:val="00137054"/>
    <w:rsid w:val="00137F02"/>
    <w:rsid w:val="00141B93"/>
    <w:rsid w:val="00143828"/>
    <w:rsid w:val="0015045A"/>
    <w:rsid w:val="00150B84"/>
    <w:rsid w:val="00157DC2"/>
    <w:rsid w:val="00163E33"/>
    <w:rsid w:val="001648A8"/>
    <w:rsid w:val="001661B0"/>
    <w:rsid w:val="00166FE5"/>
    <w:rsid w:val="00167408"/>
    <w:rsid w:val="00167D69"/>
    <w:rsid w:val="00170085"/>
    <w:rsid w:val="00170DE7"/>
    <w:rsid w:val="00177F4E"/>
    <w:rsid w:val="00177FE3"/>
    <w:rsid w:val="0019538C"/>
    <w:rsid w:val="00195EC6"/>
    <w:rsid w:val="00197ACB"/>
    <w:rsid w:val="001A0237"/>
    <w:rsid w:val="001A2051"/>
    <w:rsid w:val="001A787F"/>
    <w:rsid w:val="001B0683"/>
    <w:rsid w:val="001B0861"/>
    <w:rsid w:val="001B1CFE"/>
    <w:rsid w:val="001B34B5"/>
    <w:rsid w:val="001B6256"/>
    <w:rsid w:val="001B6836"/>
    <w:rsid w:val="001B6AFA"/>
    <w:rsid w:val="001C457D"/>
    <w:rsid w:val="001D09B1"/>
    <w:rsid w:val="001D11F7"/>
    <w:rsid w:val="001D1F1B"/>
    <w:rsid w:val="001D3C27"/>
    <w:rsid w:val="001D4B8B"/>
    <w:rsid w:val="001E0274"/>
    <w:rsid w:val="001E192B"/>
    <w:rsid w:val="001E4122"/>
    <w:rsid w:val="001E4BF5"/>
    <w:rsid w:val="001E7720"/>
    <w:rsid w:val="001E7DE1"/>
    <w:rsid w:val="001F1052"/>
    <w:rsid w:val="001F1361"/>
    <w:rsid w:val="001F275D"/>
    <w:rsid w:val="001F4CFB"/>
    <w:rsid w:val="001F6E7D"/>
    <w:rsid w:val="001F707E"/>
    <w:rsid w:val="001F7216"/>
    <w:rsid w:val="0020115E"/>
    <w:rsid w:val="00203CD9"/>
    <w:rsid w:val="00204364"/>
    <w:rsid w:val="00207185"/>
    <w:rsid w:val="002151FC"/>
    <w:rsid w:val="002166A1"/>
    <w:rsid w:val="002176C5"/>
    <w:rsid w:val="002220B5"/>
    <w:rsid w:val="00225215"/>
    <w:rsid w:val="00230A81"/>
    <w:rsid w:val="00236A19"/>
    <w:rsid w:val="00236F07"/>
    <w:rsid w:val="00245E19"/>
    <w:rsid w:val="00260693"/>
    <w:rsid w:val="002639C0"/>
    <w:rsid w:val="00264000"/>
    <w:rsid w:val="002663F7"/>
    <w:rsid w:val="00271168"/>
    <w:rsid w:val="00272C27"/>
    <w:rsid w:val="002751F5"/>
    <w:rsid w:val="00283EE6"/>
    <w:rsid w:val="00287ACE"/>
    <w:rsid w:val="002902DE"/>
    <w:rsid w:val="00293BAB"/>
    <w:rsid w:val="002A27C0"/>
    <w:rsid w:val="002A5E74"/>
    <w:rsid w:val="002A66ED"/>
    <w:rsid w:val="002B015D"/>
    <w:rsid w:val="002B1FC3"/>
    <w:rsid w:val="002B3644"/>
    <w:rsid w:val="002B460F"/>
    <w:rsid w:val="002C0475"/>
    <w:rsid w:val="002C0C55"/>
    <w:rsid w:val="002C28A4"/>
    <w:rsid w:val="002C391B"/>
    <w:rsid w:val="002C3E54"/>
    <w:rsid w:val="002C6F7E"/>
    <w:rsid w:val="002D7743"/>
    <w:rsid w:val="002E1EA4"/>
    <w:rsid w:val="002E5892"/>
    <w:rsid w:val="002E6BB4"/>
    <w:rsid w:val="002E6BD6"/>
    <w:rsid w:val="002F0BDE"/>
    <w:rsid w:val="002F1C42"/>
    <w:rsid w:val="002F2CD1"/>
    <w:rsid w:val="002F30F9"/>
    <w:rsid w:val="002F5134"/>
    <w:rsid w:val="00306FA7"/>
    <w:rsid w:val="0031043B"/>
    <w:rsid w:val="0031201B"/>
    <w:rsid w:val="0031360B"/>
    <w:rsid w:val="003142BA"/>
    <w:rsid w:val="00316CE9"/>
    <w:rsid w:val="00316DB4"/>
    <w:rsid w:val="00322134"/>
    <w:rsid w:val="003223B0"/>
    <w:rsid w:val="00322EBE"/>
    <w:rsid w:val="003269F7"/>
    <w:rsid w:val="0033349F"/>
    <w:rsid w:val="00333B98"/>
    <w:rsid w:val="003345C8"/>
    <w:rsid w:val="00337824"/>
    <w:rsid w:val="00337AE5"/>
    <w:rsid w:val="003410B9"/>
    <w:rsid w:val="00341195"/>
    <w:rsid w:val="00344070"/>
    <w:rsid w:val="0034543C"/>
    <w:rsid w:val="00345CDD"/>
    <w:rsid w:val="00347145"/>
    <w:rsid w:val="003474D9"/>
    <w:rsid w:val="00353B31"/>
    <w:rsid w:val="003552A4"/>
    <w:rsid w:val="00356765"/>
    <w:rsid w:val="00357ECC"/>
    <w:rsid w:val="00360133"/>
    <w:rsid w:val="00361D56"/>
    <w:rsid w:val="00362436"/>
    <w:rsid w:val="00363520"/>
    <w:rsid w:val="003729BF"/>
    <w:rsid w:val="00376AC1"/>
    <w:rsid w:val="00381853"/>
    <w:rsid w:val="00383A6E"/>
    <w:rsid w:val="00384212"/>
    <w:rsid w:val="0038488E"/>
    <w:rsid w:val="003866F7"/>
    <w:rsid w:val="00394358"/>
    <w:rsid w:val="00395C47"/>
    <w:rsid w:val="00396E44"/>
    <w:rsid w:val="00397518"/>
    <w:rsid w:val="003A048F"/>
    <w:rsid w:val="003A219A"/>
    <w:rsid w:val="003A2B60"/>
    <w:rsid w:val="003A31B2"/>
    <w:rsid w:val="003A3575"/>
    <w:rsid w:val="003A5AD9"/>
    <w:rsid w:val="003B0F7E"/>
    <w:rsid w:val="003B109E"/>
    <w:rsid w:val="003B199A"/>
    <w:rsid w:val="003B1C3A"/>
    <w:rsid w:val="003B2720"/>
    <w:rsid w:val="003B472B"/>
    <w:rsid w:val="003B5209"/>
    <w:rsid w:val="003B797F"/>
    <w:rsid w:val="003C5112"/>
    <w:rsid w:val="003C640D"/>
    <w:rsid w:val="003D0BE4"/>
    <w:rsid w:val="003D142F"/>
    <w:rsid w:val="003D7E7F"/>
    <w:rsid w:val="003E5C49"/>
    <w:rsid w:val="003F347E"/>
    <w:rsid w:val="00402158"/>
    <w:rsid w:val="00405F8D"/>
    <w:rsid w:val="00406615"/>
    <w:rsid w:val="00422832"/>
    <w:rsid w:val="00437C99"/>
    <w:rsid w:val="00451FEA"/>
    <w:rsid w:val="00452B69"/>
    <w:rsid w:val="00455777"/>
    <w:rsid w:val="00463BBF"/>
    <w:rsid w:val="004716A6"/>
    <w:rsid w:val="004814F0"/>
    <w:rsid w:val="00485884"/>
    <w:rsid w:val="00487146"/>
    <w:rsid w:val="0049613B"/>
    <w:rsid w:val="004A4DD6"/>
    <w:rsid w:val="004A7343"/>
    <w:rsid w:val="004A7FE6"/>
    <w:rsid w:val="004B358D"/>
    <w:rsid w:val="004C6A82"/>
    <w:rsid w:val="004D0590"/>
    <w:rsid w:val="004D60DE"/>
    <w:rsid w:val="004D67C5"/>
    <w:rsid w:val="004D7A57"/>
    <w:rsid w:val="004E2D21"/>
    <w:rsid w:val="004E40D1"/>
    <w:rsid w:val="004E4C5E"/>
    <w:rsid w:val="004F08D3"/>
    <w:rsid w:val="004F1286"/>
    <w:rsid w:val="004F1E07"/>
    <w:rsid w:val="0050049B"/>
    <w:rsid w:val="00500C2E"/>
    <w:rsid w:val="00502793"/>
    <w:rsid w:val="00506264"/>
    <w:rsid w:val="005155AC"/>
    <w:rsid w:val="0051750C"/>
    <w:rsid w:val="00522ED0"/>
    <w:rsid w:val="00523C58"/>
    <w:rsid w:val="00536C48"/>
    <w:rsid w:val="00542728"/>
    <w:rsid w:val="00542834"/>
    <w:rsid w:val="00543E56"/>
    <w:rsid w:val="00544439"/>
    <w:rsid w:val="00546373"/>
    <w:rsid w:val="00551E19"/>
    <w:rsid w:val="00552D5D"/>
    <w:rsid w:val="00556328"/>
    <w:rsid w:val="00556F7E"/>
    <w:rsid w:val="00567E14"/>
    <w:rsid w:val="00573338"/>
    <w:rsid w:val="005758D1"/>
    <w:rsid w:val="00585800"/>
    <w:rsid w:val="005871D8"/>
    <w:rsid w:val="0058799A"/>
    <w:rsid w:val="00592676"/>
    <w:rsid w:val="00593B80"/>
    <w:rsid w:val="005A03EE"/>
    <w:rsid w:val="005A06D3"/>
    <w:rsid w:val="005A0AF8"/>
    <w:rsid w:val="005A2B2E"/>
    <w:rsid w:val="005A3159"/>
    <w:rsid w:val="005A5144"/>
    <w:rsid w:val="005B5D93"/>
    <w:rsid w:val="005C42DE"/>
    <w:rsid w:val="005C4CC3"/>
    <w:rsid w:val="005C571D"/>
    <w:rsid w:val="005C59F0"/>
    <w:rsid w:val="005C7783"/>
    <w:rsid w:val="005D7E62"/>
    <w:rsid w:val="005E0781"/>
    <w:rsid w:val="005E0E66"/>
    <w:rsid w:val="005E2983"/>
    <w:rsid w:val="005E45BB"/>
    <w:rsid w:val="005F1C44"/>
    <w:rsid w:val="005F2A5B"/>
    <w:rsid w:val="005F2ECA"/>
    <w:rsid w:val="005F31BE"/>
    <w:rsid w:val="005F62CB"/>
    <w:rsid w:val="005F79D9"/>
    <w:rsid w:val="00600A02"/>
    <w:rsid w:val="00602EB0"/>
    <w:rsid w:val="00610482"/>
    <w:rsid w:val="00613B72"/>
    <w:rsid w:val="006221AA"/>
    <w:rsid w:val="00623B31"/>
    <w:rsid w:val="006274E1"/>
    <w:rsid w:val="0062776E"/>
    <w:rsid w:val="00631163"/>
    <w:rsid w:val="00631270"/>
    <w:rsid w:val="00632044"/>
    <w:rsid w:val="006360F2"/>
    <w:rsid w:val="006419AA"/>
    <w:rsid w:val="00644C74"/>
    <w:rsid w:val="006454DC"/>
    <w:rsid w:val="00662C10"/>
    <w:rsid w:val="00664C1C"/>
    <w:rsid w:val="0066576D"/>
    <w:rsid w:val="00667305"/>
    <w:rsid w:val="006713C0"/>
    <w:rsid w:val="00672830"/>
    <w:rsid w:val="00672CA0"/>
    <w:rsid w:val="00682DF3"/>
    <w:rsid w:val="006836A7"/>
    <w:rsid w:val="006837F6"/>
    <w:rsid w:val="00683A24"/>
    <w:rsid w:val="00691D96"/>
    <w:rsid w:val="0069686F"/>
    <w:rsid w:val="006A3F76"/>
    <w:rsid w:val="006A507F"/>
    <w:rsid w:val="006B08B4"/>
    <w:rsid w:val="006B1779"/>
    <w:rsid w:val="006B3B9F"/>
    <w:rsid w:val="006B54D7"/>
    <w:rsid w:val="006B60DC"/>
    <w:rsid w:val="006B7B76"/>
    <w:rsid w:val="006C162B"/>
    <w:rsid w:val="006C6C6F"/>
    <w:rsid w:val="006D13C9"/>
    <w:rsid w:val="006E2D48"/>
    <w:rsid w:val="006F0116"/>
    <w:rsid w:val="006F1A82"/>
    <w:rsid w:val="006F2049"/>
    <w:rsid w:val="006F309B"/>
    <w:rsid w:val="007008D1"/>
    <w:rsid w:val="00704765"/>
    <w:rsid w:val="007067F4"/>
    <w:rsid w:val="0071337D"/>
    <w:rsid w:val="00714FBF"/>
    <w:rsid w:val="0071687F"/>
    <w:rsid w:val="00720303"/>
    <w:rsid w:val="0072169E"/>
    <w:rsid w:val="00726C38"/>
    <w:rsid w:val="007320A1"/>
    <w:rsid w:val="007361F6"/>
    <w:rsid w:val="00736C84"/>
    <w:rsid w:val="007415EE"/>
    <w:rsid w:val="0075074A"/>
    <w:rsid w:val="007533D7"/>
    <w:rsid w:val="0075696F"/>
    <w:rsid w:val="007633AD"/>
    <w:rsid w:val="00765414"/>
    <w:rsid w:val="007670E1"/>
    <w:rsid w:val="00770832"/>
    <w:rsid w:val="00770BBA"/>
    <w:rsid w:val="00774EA6"/>
    <w:rsid w:val="0078192F"/>
    <w:rsid w:val="00782D82"/>
    <w:rsid w:val="007834AF"/>
    <w:rsid w:val="0079752F"/>
    <w:rsid w:val="007975F4"/>
    <w:rsid w:val="007A0897"/>
    <w:rsid w:val="007A35F3"/>
    <w:rsid w:val="007A64EE"/>
    <w:rsid w:val="007A6702"/>
    <w:rsid w:val="007B208E"/>
    <w:rsid w:val="007C21C4"/>
    <w:rsid w:val="007C4EAE"/>
    <w:rsid w:val="007C543A"/>
    <w:rsid w:val="007C56C1"/>
    <w:rsid w:val="007D04CC"/>
    <w:rsid w:val="007D08AB"/>
    <w:rsid w:val="007D3176"/>
    <w:rsid w:val="007D4F28"/>
    <w:rsid w:val="007E16B9"/>
    <w:rsid w:val="007E182F"/>
    <w:rsid w:val="007E3D0F"/>
    <w:rsid w:val="007E5E9A"/>
    <w:rsid w:val="007F1E8F"/>
    <w:rsid w:val="007F50E5"/>
    <w:rsid w:val="00801493"/>
    <w:rsid w:val="0080748E"/>
    <w:rsid w:val="008129C1"/>
    <w:rsid w:val="00814665"/>
    <w:rsid w:val="00814DF4"/>
    <w:rsid w:val="00817438"/>
    <w:rsid w:val="00817FBF"/>
    <w:rsid w:val="008226C9"/>
    <w:rsid w:val="00831E42"/>
    <w:rsid w:val="00831E59"/>
    <w:rsid w:val="008332DD"/>
    <w:rsid w:val="00841898"/>
    <w:rsid w:val="00842EA5"/>
    <w:rsid w:val="00845505"/>
    <w:rsid w:val="00846685"/>
    <w:rsid w:val="00847ADC"/>
    <w:rsid w:val="00852D1A"/>
    <w:rsid w:val="008572C9"/>
    <w:rsid w:val="00861348"/>
    <w:rsid w:val="00861740"/>
    <w:rsid w:val="00862B92"/>
    <w:rsid w:val="0086333C"/>
    <w:rsid w:val="008672F6"/>
    <w:rsid w:val="00871E2A"/>
    <w:rsid w:val="008721A8"/>
    <w:rsid w:val="008729A3"/>
    <w:rsid w:val="00872BE1"/>
    <w:rsid w:val="00875229"/>
    <w:rsid w:val="008865B7"/>
    <w:rsid w:val="00887060"/>
    <w:rsid w:val="00892423"/>
    <w:rsid w:val="00895E6C"/>
    <w:rsid w:val="008A38AB"/>
    <w:rsid w:val="008A6C67"/>
    <w:rsid w:val="008B2149"/>
    <w:rsid w:val="008B74EE"/>
    <w:rsid w:val="008C0F43"/>
    <w:rsid w:val="008C14F4"/>
    <w:rsid w:val="008C17F4"/>
    <w:rsid w:val="008C2826"/>
    <w:rsid w:val="008C38E5"/>
    <w:rsid w:val="008C6E50"/>
    <w:rsid w:val="008D3976"/>
    <w:rsid w:val="008D5D64"/>
    <w:rsid w:val="008E32CB"/>
    <w:rsid w:val="008E63CB"/>
    <w:rsid w:val="008F391E"/>
    <w:rsid w:val="008F5ED9"/>
    <w:rsid w:val="0090421E"/>
    <w:rsid w:val="0090604F"/>
    <w:rsid w:val="009125B5"/>
    <w:rsid w:val="009128F9"/>
    <w:rsid w:val="0091403E"/>
    <w:rsid w:val="00915CF1"/>
    <w:rsid w:val="00916E57"/>
    <w:rsid w:val="009174AD"/>
    <w:rsid w:val="009178BB"/>
    <w:rsid w:val="00923AE7"/>
    <w:rsid w:val="00924E54"/>
    <w:rsid w:val="009260AC"/>
    <w:rsid w:val="00931B8C"/>
    <w:rsid w:val="00934BE6"/>
    <w:rsid w:val="0093780A"/>
    <w:rsid w:val="00942492"/>
    <w:rsid w:val="009441DB"/>
    <w:rsid w:val="00953C28"/>
    <w:rsid w:val="009652E9"/>
    <w:rsid w:val="00965AA7"/>
    <w:rsid w:val="00971D26"/>
    <w:rsid w:val="00973503"/>
    <w:rsid w:val="00973AE1"/>
    <w:rsid w:val="00974030"/>
    <w:rsid w:val="009743FB"/>
    <w:rsid w:val="0098063D"/>
    <w:rsid w:val="009848D3"/>
    <w:rsid w:val="00984D79"/>
    <w:rsid w:val="0098721A"/>
    <w:rsid w:val="00990226"/>
    <w:rsid w:val="00992B27"/>
    <w:rsid w:val="00993679"/>
    <w:rsid w:val="00995E1B"/>
    <w:rsid w:val="00995F40"/>
    <w:rsid w:val="009A6149"/>
    <w:rsid w:val="009B2569"/>
    <w:rsid w:val="009B39A4"/>
    <w:rsid w:val="009B43D6"/>
    <w:rsid w:val="009B5407"/>
    <w:rsid w:val="009C2397"/>
    <w:rsid w:val="009C53F9"/>
    <w:rsid w:val="009C59AC"/>
    <w:rsid w:val="009D1323"/>
    <w:rsid w:val="009D3B55"/>
    <w:rsid w:val="009D4079"/>
    <w:rsid w:val="009D77CC"/>
    <w:rsid w:val="009E0464"/>
    <w:rsid w:val="009E2A57"/>
    <w:rsid w:val="009E73C4"/>
    <w:rsid w:val="009F0111"/>
    <w:rsid w:val="009F1B4D"/>
    <w:rsid w:val="009F2088"/>
    <w:rsid w:val="009F29F3"/>
    <w:rsid w:val="009F6583"/>
    <w:rsid w:val="00A0243A"/>
    <w:rsid w:val="00A05DEF"/>
    <w:rsid w:val="00A0725A"/>
    <w:rsid w:val="00A0768E"/>
    <w:rsid w:val="00A11CB3"/>
    <w:rsid w:val="00A1561F"/>
    <w:rsid w:val="00A158E0"/>
    <w:rsid w:val="00A208D0"/>
    <w:rsid w:val="00A217FD"/>
    <w:rsid w:val="00A22AF3"/>
    <w:rsid w:val="00A24957"/>
    <w:rsid w:val="00A265E2"/>
    <w:rsid w:val="00A2686F"/>
    <w:rsid w:val="00A32CC6"/>
    <w:rsid w:val="00A35FDD"/>
    <w:rsid w:val="00A64100"/>
    <w:rsid w:val="00A6642E"/>
    <w:rsid w:val="00A67A86"/>
    <w:rsid w:val="00A71B18"/>
    <w:rsid w:val="00A726B4"/>
    <w:rsid w:val="00A74D70"/>
    <w:rsid w:val="00A75A46"/>
    <w:rsid w:val="00A80C2F"/>
    <w:rsid w:val="00A82A89"/>
    <w:rsid w:val="00A83CAB"/>
    <w:rsid w:val="00A86049"/>
    <w:rsid w:val="00A878F4"/>
    <w:rsid w:val="00A917AD"/>
    <w:rsid w:val="00A9385F"/>
    <w:rsid w:val="00A93A56"/>
    <w:rsid w:val="00A94086"/>
    <w:rsid w:val="00A9596F"/>
    <w:rsid w:val="00A96EF6"/>
    <w:rsid w:val="00AA179B"/>
    <w:rsid w:val="00AA2704"/>
    <w:rsid w:val="00AA3845"/>
    <w:rsid w:val="00AA50EA"/>
    <w:rsid w:val="00AB717C"/>
    <w:rsid w:val="00AB7E39"/>
    <w:rsid w:val="00AC1A14"/>
    <w:rsid w:val="00AC1C97"/>
    <w:rsid w:val="00AC630B"/>
    <w:rsid w:val="00AD4568"/>
    <w:rsid w:val="00AD5A12"/>
    <w:rsid w:val="00AD6D9C"/>
    <w:rsid w:val="00AD6E7B"/>
    <w:rsid w:val="00AE7542"/>
    <w:rsid w:val="00AF0503"/>
    <w:rsid w:val="00AF2D7A"/>
    <w:rsid w:val="00AF34E9"/>
    <w:rsid w:val="00AF501D"/>
    <w:rsid w:val="00AF6051"/>
    <w:rsid w:val="00AF6500"/>
    <w:rsid w:val="00B01B40"/>
    <w:rsid w:val="00B062A2"/>
    <w:rsid w:val="00B10F74"/>
    <w:rsid w:val="00B115D5"/>
    <w:rsid w:val="00B1244F"/>
    <w:rsid w:val="00B12FD3"/>
    <w:rsid w:val="00B14F53"/>
    <w:rsid w:val="00B1612F"/>
    <w:rsid w:val="00B169C6"/>
    <w:rsid w:val="00B25C21"/>
    <w:rsid w:val="00B34C83"/>
    <w:rsid w:val="00B377EE"/>
    <w:rsid w:val="00B42B18"/>
    <w:rsid w:val="00B47161"/>
    <w:rsid w:val="00B510B9"/>
    <w:rsid w:val="00B51DCC"/>
    <w:rsid w:val="00B677BF"/>
    <w:rsid w:val="00B71BC1"/>
    <w:rsid w:val="00B7481B"/>
    <w:rsid w:val="00B7575B"/>
    <w:rsid w:val="00B800C0"/>
    <w:rsid w:val="00B8531E"/>
    <w:rsid w:val="00B9215F"/>
    <w:rsid w:val="00B95352"/>
    <w:rsid w:val="00B97F6C"/>
    <w:rsid w:val="00BA47FF"/>
    <w:rsid w:val="00BB0877"/>
    <w:rsid w:val="00BB08BD"/>
    <w:rsid w:val="00BB4CA7"/>
    <w:rsid w:val="00BB7CE9"/>
    <w:rsid w:val="00BD4ADF"/>
    <w:rsid w:val="00BD7514"/>
    <w:rsid w:val="00BE4CDD"/>
    <w:rsid w:val="00BE505A"/>
    <w:rsid w:val="00BE56E0"/>
    <w:rsid w:val="00BE61FB"/>
    <w:rsid w:val="00BF14F1"/>
    <w:rsid w:val="00BF17E5"/>
    <w:rsid w:val="00BF22C5"/>
    <w:rsid w:val="00BF37B8"/>
    <w:rsid w:val="00BF409F"/>
    <w:rsid w:val="00BF5712"/>
    <w:rsid w:val="00BF60D3"/>
    <w:rsid w:val="00BF79CD"/>
    <w:rsid w:val="00C02556"/>
    <w:rsid w:val="00C11348"/>
    <w:rsid w:val="00C15156"/>
    <w:rsid w:val="00C15A9A"/>
    <w:rsid w:val="00C16CFB"/>
    <w:rsid w:val="00C171D9"/>
    <w:rsid w:val="00C22DC8"/>
    <w:rsid w:val="00C2420F"/>
    <w:rsid w:val="00C25007"/>
    <w:rsid w:val="00C25959"/>
    <w:rsid w:val="00C3029B"/>
    <w:rsid w:val="00C30485"/>
    <w:rsid w:val="00C30DC1"/>
    <w:rsid w:val="00C369DA"/>
    <w:rsid w:val="00C37220"/>
    <w:rsid w:val="00C37AB3"/>
    <w:rsid w:val="00C4382B"/>
    <w:rsid w:val="00C45FC0"/>
    <w:rsid w:val="00C54FB9"/>
    <w:rsid w:val="00C56CA3"/>
    <w:rsid w:val="00C60595"/>
    <w:rsid w:val="00C61305"/>
    <w:rsid w:val="00C61472"/>
    <w:rsid w:val="00C62404"/>
    <w:rsid w:val="00C6427A"/>
    <w:rsid w:val="00C6542A"/>
    <w:rsid w:val="00C6608D"/>
    <w:rsid w:val="00C67EFE"/>
    <w:rsid w:val="00C74078"/>
    <w:rsid w:val="00C76273"/>
    <w:rsid w:val="00C80F88"/>
    <w:rsid w:val="00C875DE"/>
    <w:rsid w:val="00C91E59"/>
    <w:rsid w:val="00C944BB"/>
    <w:rsid w:val="00C9569C"/>
    <w:rsid w:val="00CA17D7"/>
    <w:rsid w:val="00CA3FDA"/>
    <w:rsid w:val="00CA6DDE"/>
    <w:rsid w:val="00CB4CC5"/>
    <w:rsid w:val="00CB7096"/>
    <w:rsid w:val="00CC23AA"/>
    <w:rsid w:val="00CC26C6"/>
    <w:rsid w:val="00CC41EB"/>
    <w:rsid w:val="00CD3014"/>
    <w:rsid w:val="00CD3056"/>
    <w:rsid w:val="00CD6716"/>
    <w:rsid w:val="00CE15C2"/>
    <w:rsid w:val="00CE3983"/>
    <w:rsid w:val="00CE6C1E"/>
    <w:rsid w:val="00CF1326"/>
    <w:rsid w:val="00CF4040"/>
    <w:rsid w:val="00CF51B2"/>
    <w:rsid w:val="00D002D6"/>
    <w:rsid w:val="00D039D1"/>
    <w:rsid w:val="00D067E1"/>
    <w:rsid w:val="00D0799D"/>
    <w:rsid w:val="00D126AA"/>
    <w:rsid w:val="00D15819"/>
    <w:rsid w:val="00D271E9"/>
    <w:rsid w:val="00D43E2F"/>
    <w:rsid w:val="00D446CF"/>
    <w:rsid w:val="00D509B0"/>
    <w:rsid w:val="00D50D78"/>
    <w:rsid w:val="00D535DB"/>
    <w:rsid w:val="00D55327"/>
    <w:rsid w:val="00D62A48"/>
    <w:rsid w:val="00D62EB2"/>
    <w:rsid w:val="00D63012"/>
    <w:rsid w:val="00D64E8A"/>
    <w:rsid w:val="00D674E0"/>
    <w:rsid w:val="00D71B1A"/>
    <w:rsid w:val="00D72039"/>
    <w:rsid w:val="00D74A5F"/>
    <w:rsid w:val="00D7539A"/>
    <w:rsid w:val="00D77152"/>
    <w:rsid w:val="00D7792C"/>
    <w:rsid w:val="00D83206"/>
    <w:rsid w:val="00D959C2"/>
    <w:rsid w:val="00D96D24"/>
    <w:rsid w:val="00DA6778"/>
    <w:rsid w:val="00DB16F5"/>
    <w:rsid w:val="00DB2CA8"/>
    <w:rsid w:val="00DC0405"/>
    <w:rsid w:val="00DC0504"/>
    <w:rsid w:val="00DC064C"/>
    <w:rsid w:val="00DC1D93"/>
    <w:rsid w:val="00DC3ABC"/>
    <w:rsid w:val="00DC6F7B"/>
    <w:rsid w:val="00DD0F50"/>
    <w:rsid w:val="00DD3C93"/>
    <w:rsid w:val="00DD6027"/>
    <w:rsid w:val="00DE22D8"/>
    <w:rsid w:val="00DE24A1"/>
    <w:rsid w:val="00DF0CD9"/>
    <w:rsid w:val="00DF379E"/>
    <w:rsid w:val="00DF5067"/>
    <w:rsid w:val="00E030DE"/>
    <w:rsid w:val="00E0426E"/>
    <w:rsid w:val="00E06ADA"/>
    <w:rsid w:val="00E1729A"/>
    <w:rsid w:val="00E21A09"/>
    <w:rsid w:val="00E24F8C"/>
    <w:rsid w:val="00E4542C"/>
    <w:rsid w:val="00E50C36"/>
    <w:rsid w:val="00E60FC8"/>
    <w:rsid w:val="00E6151B"/>
    <w:rsid w:val="00E63C04"/>
    <w:rsid w:val="00E63FD3"/>
    <w:rsid w:val="00E64197"/>
    <w:rsid w:val="00E64338"/>
    <w:rsid w:val="00E646F1"/>
    <w:rsid w:val="00E651A3"/>
    <w:rsid w:val="00E71111"/>
    <w:rsid w:val="00E74B0A"/>
    <w:rsid w:val="00E8064F"/>
    <w:rsid w:val="00E80B9E"/>
    <w:rsid w:val="00E81CDD"/>
    <w:rsid w:val="00E823E8"/>
    <w:rsid w:val="00E84728"/>
    <w:rsid w:val="00E91947"/>
    <w:rsid w:val="00E94945"/>
    <w:rsid w:val="00E95FDB"/>
    <w:rsid w:val="00E96583"/>
    <w:rsid w:val="00EA009A"/>
    <w:rsid w:val="00EA194C"/>
    <w:rsid w:val="00EA6E74"/>
    <w:rsid w:val="00EB30E8"/>
    <w:rsid w:val="00EB5E9B"/>
    <w:rsid w:val="00EB65F5"/>
    <w:rsid w:val="00EB6BA3"/>
    <w:rsid w:val="00EB7CE3"/>
    <w:rsid w:val="00EC1A1C"/>
    <w:rsid w:val="00EC3360"/>
    <w:rsid w:val="00EC4C96"/>
    <w:rsid w:val="00EC5A13"/>
    <w:rsid w:val="00ED0629"/>
    <w:rsid w:val="00ED3E42"/>
    <w:rsid w:val="00ED55B0"/>
    <w:rsid w:val="00ED7A5F"/>
    <w:rsid w:val="00EE040C"/>
    <w:rsid w:val="00EE075B"/>
    <w:rsid w:val="00EE1EA9"/>
    <w:rsid w:val="00EE636D"/>
    <w:rsid w:val="00EF0790"/>
    <w:rsid w:val="00EF1B11"/>
    <w:rsid w:val="00EF2A9C"/>
    <w:rsid w:val="00EF6AB5"/>
    <w:rsid w:val="00F06742"/>
    <w:rsid w:val="00F12CB3"/>
    <w:rsid w:val="00F12FF6"/>
    <w:rsid w:val="00F157DD"/>
    <w:rsid w:val="00F17A65"/>
    <w:rsid w:val="00F201AE"/>
    <w:rsid w:val="00F20742"/>
    <w:rsid w:val="00F2622C"/>
    <w:rsid w:val="00F2732E"/>
    <w:rsid w:val="00F2778C"/>
    <w:rsid w:val="00F30EEA"/>
    <w:rsid w:val="00F3115B"/>
    <w:rsid w:val="00F446CE"/>
    <w:rsid w:val="00F46A4B"/>
    <w:rsid w:val="00F55F47"/>
    <w:rsid w:val="00F56DAB"/>
    <w:rsid w:val="00F5758D"/>
    <w:rsid w:val="00F642A3"/>
    <w:rsid w:val="00F65107"/>
    <w:rsid w:val="00F6527A"/>
    <w:rsid w:val="00F6592D"/>
    <w:rsid w:val="00F71E13"/>
    <w:rsid w:val="00F86020"/>
    <w:rsid w:val="00F948F3"/>
    <w:rsid w:val="00F97D27"/>
    <w:rsid w:val="00F97DA6"/>
    <w:rsid w:val="00FA01C6"/>
    <w:rsid w:val="00FA2446"/>
    <w:rsid w:val="00FA48DD"/>
    <w:rsid w:val="00FA61C6"/>
    <w:rsid w:val="00FA6289"/>
    <w:rsid w:val="00FB193A"/>
    <w:rsid w:val="00FB3515"/>
    <w:rsid w:val="00FB495B"/>
    <w:rsid w:val="00FC2F6E"/>
    <w:rsid w:val="00FC36DC"/>
    <w:rsid w:val="00FC75A8"/>
    <w:rsid w:val="00FD0678"/>
    <w:rsid w:val="00FD213A"/>
    <w:rsid w:val="00FD37B4"/>
    <w:rsid w:val="00FD531E"/>
    <w:rsid w:val="00FE0BEA"/>
    <w:rsid w:val="00FE2D6C"/>
    <w:rsid w:val="00FE2FFA"/>
    <w:rsid w:val="00FE7F40"/>
    <w:rsid w:val="00FF5CBB"/>
    <w:rsid w:val="00FF6389"/>
    <w:rsid w:val="00FF7022"/>
    <w:rsid w:val="00FF759F"/>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Balk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Balk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styleId="DipnotBavurusu">
    <w:name w:val="footnote reference"/>
    <w:basedOn w:val="VarsaylanParagrafYazTipi"/>
    <w:uiPriority w:val="99"/>
    <w:semiHidden/>
    <w:rsid w:val="00D0799D"/>
    <w:rPr>
      <w:vertAlign w:val="superscript"/>
    </w:rPr>
  </w:style>
  <w:style w:type="paragraph" w:styleId="BalonMetni">
    <w:name w:val="Balloon Text"/>
    <w:basedOn w:val="Normal"/>
    <w:semiHidden/>
    <w:rsid w:val="00BF17E5"/>
    <w:rPr>
      <w:rFonts w:ascii="Tahoma" w:hAnsi="Tahoma" w:cs="Tahoma"/>
      <w:sz w:val="16"/>
      <w:szCs w:val="16"/>
    </w:rPr>
  </w:style>
  <w:style w:type="character" w:styleId="Kpr">
    <w:name w:val="Hyperlink"/>
    <w:basedOn w:val="VarsaylanParagrafYazTipi"/>
    <w:rsid w:val="00E81CDD"/>
    <w:rPr>
      <w:color w:val="0000FF"/>
      <w:u w:val="single"/>
    </w:rPr>
  </w:style>
  <w:style w:type="character" w:customStyle="1" w:styleId="DipnotMetniChar">
    <w:name w:val="Dipnot Metni Char"/>
    <w:basedOn w:val="VarsaylanParagrafYazTipi"/>
    <w:link w:val="DipnotMetni"/>
    <w:uiPriority w:val="99"/>
    <w:semiHidden/>
    <w:locked/>
    <w:rsid w:val="001F275D"/>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6D90-2E47-41BC-9989-F740B49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3</cp:revision>
  <cp:lastPrinted>2012-09-17T12:23:00Z</cp:lastPrinted>
  <dcterms:created xsi:type="dcterms:W3CDTF">2013-01-16T09:14:00Z</dcterms:created>
  <dcterms:modified xsi:type="dcterms:W3CDTF">2013-01-17T13:10:00Z</dcterms:modified>
</cp:coreProperties>
</file>