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CC" w:rsidRPr="008B2149" w:rsidRDefault="00741281" w:rsidP="001E4BF5">
      <w:pPr>
        <w:spacing w:line="360" w:lineRule="auto"/>
        <w:ind w:right="-319"/>
        <w:jc w:val="center"/>
        <w:outlineLvl w:val="0"/>
        <w:rPr>
          <w:rFonts w:ascii="Arial" w:hAnsi="Arial" w:cs="Arial"/>
          <w:b/>
          <w:sz w:val="32"/>
          <w:szCs w:val="32"/>
        </w:rPr>
      </w:pPr>
      <w:r>
        <w:rPr>
          <w:rFonts w:ascii="Arial" w:hAnsi="Arial" w:cs="Arial"/>
          <w:b/>
          <w:noProof/>
          <w:sz w:val="32"/>
          <w:szCs w:val="32"/>
          <w:lang w:val="tr-TR"/>
        </w:rPr>
        <w:drawing>
          <wp:anchor distT="0" distB="0" distL="114300" distR="114300" simplePos="0" relativeHeight="251658240" behindDoc="1" locked="0" layoutInCell="1" allowOverlap="1">
            <wp:simplePos x="0" y="0"/>
            <wp:positionH relativeFrom="column">
              <wp:posOffset>-800100</wp:posOffset>
            </wp:positionH>
            <wp:positionV relativeFrom="paragraph">
              <wp:posOffset>-800100</wp:posOffset>
            </wp:positionV>
            <wp:extent cx="7315200" cy="1330325"/>
            <wp:effectExtent l="19050" t="0" r="0" b="0"/>
            <wp:wrapNone/>
            <wp:docPr id="6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r w:rsidR="0085146F" w:rsidRPr="0085146F">
        <w:rPr>
          <w:rFonts w:ascii="Arial" w:hAnsi="Arial" w:cs="Arial"/>
          <w:b/>
          <w:sz w:val="32"/>
          <w:szCs w:val="32"/>
        </w:rPr>
        <w:pict>
          <v:shapetype id="_x0000_t202" coordsize="21600,21600" o:spt="202" path="m,l,21600r21600,l21600,xe">
            <v:stroke joinstyle="miter"/>
            <v:path gradientshapeok="t" o:connecttype="rect"/>
          </v:shapetype>
          <v:shape id="_x0000_s1050" type="#_x0000_t202" style="position:absolute;left:0;text-align:left;margin-left:117pt;margin-top:-45pt;width:312.1pt;height:44.8pt;z-index:251656192;mso-wrap-distance-left:9.05pt;mso-wrap-distance-right:9.05pt;mso-position-horizontal-relative:text;mso-position-vertical-relative:text" stroked="f">
            <v:fill opacity="0" color2="black"/>
            <v:textbox style="mso-next-textbox:#_x0000_s1050" inset="0,0,0,0">
              <w:txbxContent>
                <w:p w:rsidR="008F5ED9" w:rsidRPr="00342E6B" w:rsidRDefault="008F5ED9" w:rsidP="00024559">
                  <w:pPr>
                    <w:pStyle w:val="Balk1"/>
                    <w:rPr>
                      <w:rFonts w:ascii="Times New Roman" w:hAnsi="Times New Roman"/>
                      <w:sz w:val="40"/>
                      <w:szCs w:val="40"/>
                    </w:rPr>
                  </w:pPr>
                  <w:r>
                    <w:rPr>
                      <w:rFonts w:ascii="Times New Roman" w:hAnsi="Times New Roman"/>
                      <w:sz w:val="40"/>
                      <w:szCs w:val="40"/>
                    </w:rPr>
                    <w:t>Econ</w:t>
                  </w:r>
                  <w:r w:rsidR="00230A81">
                    <w:rPr>
                      <w:rFonts w:ascii="Times New Roman" w:hAnsi="Times New Roman"/>
                      <w:sz w:val="40"/>
                      <w:szCs w:val="40"/>
                    </w:rPr>
                    <w:t xml:space="preserve">omic Outlook and Forecasts: </w:t>
                  </w:r>
                  <w:r w:rsidR="00E01C50">
                    <w:rPr>
                      <w:rFonts w:ascii="Times New Roman" w:hAnsi="Times New Roman"/>
                      <w:sz w:val="40"/>
                      <w:szCs w:val="40"/>
                    </w:rPr>
                    <w:t>November</w:t>
                  </w:r>
                  <w:r w:rsidR="00F01960">
                    <w:rPr>
                      <w:rFonts w:ascii="Times New Roman" w:hAnsi="Times New Roman"/>
                      <w:sz w:val="40"/>
                      <w:szCs w:val="40"/>
                    </w:rPr>
                    <w:t xml:space="preserve"> 2012</w:t>
                  </w:r>
                </w:p>
                <w:p w:rsidR="008F5ED9" w:rsidRPr="00A75A46" w:rsidRDefault="008F5ED9" w:rsidP="00024559">
                  <w:pPr>
                    <w:pStyle w:val="Balk2"/>
                    <w:rPr>
                      <w:b w:val="0"/>
                      <w:i w:val="0"/>
                      <w:lang w:val="nl-NL"/>
                    </w:rPr>
                  </w:pPr>
                </w:p>
              </w:txbxContent>
            </v:textbox>
          </v:shape>
        </w:pict>
      </w:r>
    </w:p>
    <w:p w:rsidR="00357ECC" w:rsidRPr="008B2149" w:rsidRDefault="0085146F" w:rsidP="001E4BF5">
      <w:pPr>
        <w:spacing w:line="360" w:lineRule="auto"/>
        <w:ind w:right="-319"/>
        <w:jc w:val="center"/>
        <w:outlineLvl w:val="0"/>
        <w:rPr>
          <w:rFonts w:ascii="Arial" w:hAnsi="Arial" w:cs="Arial"/>
          <w:b/>
          <w:sz w:val="32"/>
          <w:szCs w:val="32"/>
        </w:rPr>
      </w:pPr>
      <w:r w:rsidRPr="0085146F">
        <w:rPr>
          <w:rFonts w:ascii="Arial" w:hAnsi="Arial" w:cs="Arial"/>
          <w:b/>
        </w:rPr>
        <w:lastRenderedPageBreak/>
        <w:pict>
          <v:shape id="_x0000_s1051" type="#_x0000_t202" style="position:absolute;left:0;text-align:left;margin-left:136.8pt;margin-top:9pt;width:137.3pt;height:27.45pt;z-index:251657216;mso-wrap-distance-left:9.05pt;mso-wrap-distance-right:9.05pt" stroked="f">
            <v:fill opacity="0" color2="black"/>
            <v:textbox style="mso-next-textbox:#_x0000_s1051" inset="0,0,0,0">
              <w:txbxContent>
                <w:p w:rsidR="008F5ED9" w:rsidRPr="0015586B" w:rsidRDefault="008F5ED9" w:rsidP="00FA48DD">
                  <w:pPr>
                    <w:pStyle w:val="Balk3"/>
                    <w:tabs>
                      <w:tab w:val="clear" w:pos="720"/>
                    </w:tabs>
                    <w:ind w:left="0" w:firstLine="0"/>
                    <w:rPr>
                      <w:color w:val="FFFFFF"/>
                      <w:sz w:val="22"/>
                      <w:szCs w:val="22"/>
                      <w:lang w:val="tr-TR"/>
                    </w:rPr>
                  </w:pPr>
                  <w:r>
                    <w:rPr>
                      <w:color w:val="FFFFFF"/>
                      <w:sz w:val="22"/>
                      <w:szCs w:val="22"/>
                      <w:lang w:val="tr-TR"/>
                    </w:rPr>
                    <w:t xml:space="preserve">          </w:t>
                  </w:r>
                  <w:r w:rsidR="002622B9">
                    <w:rPr>
                      <w:color w:val="FFFFFF"/>
                      <w:sz w:val="22"/>
                      <w:szCs w:val="22"/>
                      <w:lang w:val="tr-TR"/>
                    </w:rPr>
                    <w:t>12</w:t>
                  </w:r>
                  <w:r w:rsidRPr="0015586B">
                    <w:rPr>
                      <w:color w:val="FFFFFF"/>
                      <w:sz w:val="22"/>
                      <w:szCs w:val="22"/>
                      <w:lang w:val="tr-TR"/>
                    </w:rPr>
                    <w:t xml:space="preserve"> </w:t>
                  </w:r>
                  <w:r w:rsidR="00E01C50">
                    <w:rPr>
                      <w:color w:val="FFFFFF"/>
                      <w:sz w:val="22"/>
                      <w:szCs w:val="22"/>
                      <w:lang w:val="tr-TR"/>
                    </w:rPr>
                    <w:t xml:space="preserve">November </w:t>
                  </w:r>
                  <w:r w:rsidR="00F01960">
                    <w:rPr>
                      <w:color w:val="FFFFFF"/>
                      <w:sz w:val="22"/>
                      <w:szCs w:val="22"/>
                      <w:lang w:val="tr-TR"/>
                    </w:rPr>
                    <w:t>2012</w:t>
                  </w:r>
                </w:p>
                <w:p w:rsidR="008F5ED9" w:rsidRDefault="008F5ED9" w:rsidP="00024559"/>
              </w:txbxContent>
            </v:textbox>
          </v:shape>
        </w:pict>
      </w:r>
    </w:p>
    <w:p w:rsidR="00357ECC" w:rsidRPr="008B2149" w:rsidRDefault="00357ECC" w:rsidP="001E4BF5">
      <w:pPr>
        <w:spacing w:line="360" w:lineRule="auto"/>
        <w:ind w:right="-319"/>
        <w:jc w:val="center"/>
        <w:outlineLvl w:val="0"/>
        <w:rPr>
          <w:rFonts w:ascii="Arial" w:hAnsi="Arial" w:cs="Arial"/>
          <w:b/>
          <w:sz w:val="32"/>
          <w:szCs w:val="32"/>
        </w:rPr>
        <w:sectPr w:rsidR="00357ECC" w:rsidRPr="008B2149" w:rsidSect="00357ECC">
          <w:pgSz w:w="11906" w:h="16838"/>
          <w:pgMar w:top="1417" w:right="1417" w:bottom="1417" w:left="1417" w:header="708" w:footer="708" w:gutter="0"/>
          <w:cols w:num="2" w:space="708" w:equalWidth="0">
            <w:col w:w="4182" w:space="708"/>
            <w:col w:w="4182"/>
          </w:cols>
          <w:docGrid w:linePitch="360"/>
        </w:sectPr>
      </w:pPr>
    </w:p>
    <w:p w:rsidR="00357ECC" w:rsidRPr="008B2149" w:rsidRDefault="00357ECC" w:rsidP="001E4BF5">
      <w:pPr>
        <w:spacing w:line="360" w:lineRule="auto"/>
        <w:ind w:right="-319"/>
        <w:outlineLvl w:val="0"/>
        <w:rPr>
          <w:rFonts w:ascii="Arial" w:hAnsi="Arial" w:cs="Arial"/>
          <w:b/>
          <w:sz w:val="32"/>
          <w:szCs w:val="32"/>
        </w:rPr>
      </w:pPr>
    </w:p>
    <w:p w:rsidR="00D271E9" w:rsidRPr="008B2149" w:rsidRDefault="004F0C8B" w:rsidP="00D271E9">
      <w:pPr>
        <w:spacing w:line="360" w:lineRule="auto"/>
        <w:ind w:right="-319"/>
        <w:jc w:val="center"/>
        <w:outlineLvl w:val="0"/>
        <w:rPr>
          <w:rFonts w:ascii="Arial" w:hAnsi="Arial" w:cs="Arial"/>
          <w:b/>
          <w:caps/>
          <w:sz w:val="32"/>
          <w:szCs w:val="32"/>
        </w:rPr>
      </w:pPr>
      <w:r>
        <w:rPr>
          <w:rFonts w:ascii="Arial" w:hAnsi="Arial" w:cs="Arial"/>
          <w:b/>
          <w:caps/>
          <w:sz w:val="32"/>
          <w:szCs w:val="32"/>
        </w:rPr>
        <w:t>slowdown contınued ın the thırd quarter</w:t>
      </w:r>
      <w:r w:rsidR="002241E2">
        <w:rPr>
          <w:rFonts w:ascii="Arial" w:hAnsi="Arial" w:cs="Arial"/>
          <w:b/>
          <w:caps/>
          <w:sz w:val="32"/>
          <w:szCs w:val="32"/>
        </w:rPr>
        <w:t xml:space="preserve"> </w:t>
      </w:r>
    </w:p>
    <w:p w:rsidR="001E4BF5" w:rsidRPr="008B2149" w:rsidRDefault="001E4BF5" w:rsidP="001E4BF5">
      <w:pPr>
        <w:spacing w:line="360" w:lineRule="auto"/>
        <w:ind w:right="-319"/>
        <w:jc w:val="center"/>
        <w:outlineLvl w:val="0"/>
        <w:rPr>
          <w:rFonts w:ascii="Arial" w:hAnsi="Arial" w:cs="Arial"/>
          <w:b/>
          <w:sz w:val="20"/>
          <w:szCs w:val="20"/>
        </w:rPr>
      </w:pPr>
    </w:p>
    <w:p w:rsidR="00357ECC" w:rsidRPr="008B2149" w:rsidRDefault="00357ECC" w:rsidP="003B5209">
      <w:pPr>
        <w:spacing w:line="360" w:lineRule="auto"/>
        <w:ind w:right="-319"/>
        <w:jc w:val="center"/>
        <w:outlineLvl w:val="0"/>
        <w:rPr>
          <w:rFonts w:ascii="Arial" w:hAnsi="Arial" w:cs="Arial"/>
          <w:b/>
          <w:vertAlign w:val="superscript"/>
        </w:rPr>
      </w:pPr>
      <w:r w:rsidRPr="008B2149">
        <w:rPr>
          <w:rFonts w:ascii="Arial" w:hAnsi="Arial" w:cs="Arial"/>
          <w:b/>
        </w:rPr>
        <w:t xml:space="preserve">Zümrüt İmamoğlu* </w:t>
      </w:r>
      <w:r w:rsidR="00630490">
        <w:rPr>
          <w:rFonts w:ascii="Arial" w:hAnsi="Arial" w:cs="Arial"/>
          <w:b/>
        </w:rPr>
        <w:t>and</w:t>
      </w:r>
      <w:r w:rsidRPr="008B2149">
        <w:rPr>
          <w:rFonts w:ascii="Arial" w:hAnsi="Arial" w:cs="Arial"/>
          <w:b/>
        </w:rPr>
        <w:t xml:space="preserve"> Barış Soybilgen</w:t>
      </w:r>
      <w:r w:rsidRPr="008B2149">
        <w:rPr>
          <w:rFonts w:ascii="Arial" w:hAnsi="Arial" w:cs="Arial"/>
          <w:b/>
          <w:vertAlign w:val="superscript"/>
        </w:rPr>
        <w:t>†</w:t>
      </w:r>
    </w:p>
    <w:p w:rsidR="00FC36DC" w:rsidRPr="008B2149" w:rsidRDefault="00FC36DC" w:rsidP="003B5209">
      <w:pPr>
        <w:spacing w:line="360" w:lineRule="auto"/>
        <w:ind w:right="-319"/>
        <w:jc w:val="center"/>
        <w:outlineLvl w:val="0"/>
        <w:rPr>
          <w:rFonts w:ascii="Arial" w:hAnsi="Arial" w:cs="Arial"/>
          <w:sz w:val="20"/>
          <w:szCs w:val="20"/>
          <w:vertAlign w:val="superscript"/>
        </w:rPr>
      </w:pPr>
    </w:p>
    <w:p w:rsidR="001A2051" w:rsidRPr="008B2149" w:rsidRDefault="001A2051" w:rsidP="003B5209">
      <w:pPr>
        <w:spacing w:line="360" w:lineRule="auto"/>
        <w:ind w:right="-319"/>
        <w:jc w:val="center"/>
        <w:outlineLvl w:val="0"/>
        <w:rPr>
          <w:rFonts w:ascii="Arial" w:hAnsi="Arial" w:cs="Arial"/>
          <w:sz w:val="20"/>
          <w:szCs w:val="20"/>
          <w:vertAlign w:val="superscript"/>
        </w:rPr>
        <w:sectPr w:rsidR="001A2051" w:rsidRPr="008B2149" w:rsidSect="00357ECC">
          <w:type w:val="continuous"/>
          <w:pgSz w:w="11906" w:h="16838"/>
          <w:pgMar w:top="1417" w:right="1417" w:bottom="1417" w:left="1417" w:header="708" w:footer="708" w:gutter="0"/>
          <w:cols w:space="708"/>
          <w:docGrid w:linePitch="360"/>
        </w:sectPr>
      </w:pPr>
    </w:p>
    <w:p w:rsidR="008C38E5" w:rsidRPr="008B2149" w:rsidRDefault="008C38E5" w:rsidP="008C38E5">
      <w:pPr>
        <w:spacing w:line="360" w:lineRule="auto"/>
        <w:ind w:left="-360" w:right="42" w:firstLine="360"/>
        <w:jc w:val="center"/>
        <w:rPr>
          <w:b/>
          <w:sz w:val="22"/>
          <w:szCs w:val="22"/>
        </w:rPr>
      </w:pPr>
      <w:r w:rsidRPr="008B2149">
        <w:rPr>
          <w:b/>
          <w:sz w:val="22"/>
          <w:szCs w:val="22"/>
        </w:rPr>
        <w:lastRenderedPageBreak/>
        <w:t>Executive Summary</w:t>
      </w:r>
    </w:p>
    <w:p w:rsidR="0086047D" w:rsidRPr="006007C7" w:rsidRDefault="0086047D" w:rsidP="0086047D">
      <w:pPr>
        <w:spacing w:line="360" w:lineRule="auto"/>
        <w:ind w:right="42"/>
        <w:rPr>
          <w:b/>
          <w:bCs/>
          <w:sz w:val="22"/>
          <w:szCs w:val="22"/>
        </w:rPr>
      </w:pPr>
    </w:p>
    <w:p w:rsidR="0086047D" w:rsidRDefault="0086047D" w:rsidP="0086047D">
      <w:pPr>
        <w:spacing w:line="360" w:lineRule="auto"/>
        <w:ind w:left="-360" w:right="40"/>
        <w:jc w:val="both"/>
        <w:rPr>
          <w:sz w:val="22"/>
          <w:szCs w:val="22"/>
        </w:rPr>
      </w:pPr>
      <w:r w:rsidRPr="006007C7">
        <w:rPr>
          <w:sz w:val="22"/>
          <w:szCs w:val="22"/>
        </w:rPr>
        <w:t>Following this month’s data releases, Betam’s economic indicators for the third quarter are now complete. In September, the industrial</w:t>
      </w:r>
      <w:r>
        <w:rPr>
          <w:sz w:val="22"/>
          <w:szCs w:val="22"/>
        </w:rPr>
        <w:t xml:space="preserve"> production i</w:t>
      </w:r>
      <w:r w:rsidRPr="006007C7">
        <w:rPr>
          <w:sz w:val="22"/>
          <w:szCs w:val="22"/>
        </w:rPr>
        <w:t>ndex (IPI) increased by 3.9 percent</w:t>
      </w:r>
      <w:r w:rsidR="002241E2">
        <w:rPr>
          <w:sz w:val="22"/>
          <w:szCs w:val="22"/>
        </w:rPr>
        <w:t>,</w:t>
      </w:r>
      <w:r w:rsidRPr="006007C7">
        <w:rPr>
          <w:sz w:val="22"/>
          <w:szCs w:val="22"/>
        </w:rPr>
        <w:t xml:space="preserve"> more than expected. Export volume index </w:t>
      </w:r>
      <w:r>
        <w:rPr>
          <w:sz w:val="22"/>
          <w:szCs w:val="22"/>
        </w:rPr>
        <w:t>decreased</w:t>
      </w:r>
      <w:r w:rsidRPr="006007C7">
        <w:rPr>
          <w:sz w:val="22"/>
          <w:szCs w:val="22"/>
        </w:rPr>
        <w:t xml:space="preserve"> by 9.7 percent due to the fall in gold exports and import volume index increased by 1.0 percent. The contribution of net exports to the quarterly GDP growth decreased significantly compared to the previous quarters. The </w:t>
      </w:r>
      <w:r>
        <w:rPr>
          <w:sz w:val="22"/>
          <w:szCs w:val="22"/>
        </w:rPr>
        <w:t>Quarter on Quarter (</w:t>
      </w:r>
      <w:r w:rsidRPr="006007C7">
        <w:rPr>
          <w:sz w:val="22"/>
          <w:szCs w:val="22"/>
        </w:rPr>
        <w:t>QoQ</w:t>
      </w:r>
      <w:r>
        <w:rPr>
          <w:sz w:val="22"/>
          <w:szCs w:val="22"/>
        </w:rPr>
        <w:t>)</w:t>
      </w:r>
      <w:r w:rsidRPr="006007C7">
        <w:rPr>
          <w:sz w:val="22"/>
          <w:szCs w:val="22"/>
        </w:rPr>
        <w:t xml:space="preserve"> increase</w:t>
      </w:r>
      <w:r w:rsidR="002241E2">
        <w:rPr>
          <w:sz w:val="22"/>
          <w:szCs w:val="22"/>
        </w:rPr>
        <w:t xml:space="preserve"> in the IPI</w:t>
      </w:r>
      <w:r>
        <w:rPr>
          <w:sz w:val="22"/>
          <w:szCs w:val="22"/>
        </w:rPr>
        <w:t xml:space="preserve"> reduced by half</w:t>
      </w:r>
      <w:r w:rsidRPr="006007C7">
        <w:rPr>
          <w:sz w:val="22"/>
          <w:szCs w:val="22"/>
        </w:rPr>
        <w:t xml:space="preserve"> </w:t>
      </w:r>
      <w:r>
        <w:rPr>
          <w:sz w:val="22"/>
          <w:szCs w:val="22"/>
        </w:rPr>
        <w:t>and</w:t>
      </w:r>
      <w:r w:rsidRPr="006007C7">
        <w:rPr>
          <w:sz w:val="22"/>
          <w:szCs w:val="22"/>
        </w:rPr>
        <w:t xml:space="preserve"> </w:t>
      </w:r>
      <w:r>
        <w:rPr>
          <w:sz w:val="22"/>
          <w:szCs w:val="22"/>
        </w:rPr>
        <w:t>fell</w:t>
      </w:r>
      <w:r w:rsidRPr="006007C7">
        <w:rPr>
          <w:sz w:val="22"/>
          <w:szCs w:val="22"/>
        </w:rPr>
        <w:t xml:space="preserve"> to 0.9 percent</w:t>
      </w:r>
      <w:r>
        <w:rPr>
          <w:sz w:val="22"/>
          <w:szCs w:val="22"/>
        </w:rPr>
        <w:t xml:space="preserve"> in the third quarter </w:t>
      </w:r>
      <w:r w:rsidR="002241E2">
        <w:rPr>
          <w:sz w:val="22"/>
          <w:szCs w:val="22"/>
        </w:rPr>
        <w:t>from</w:t>
      </w:r>
      <w:r>
        <w:rPr>
          <w:sz w:val="22"/>
          <w:szCs w:val="22"/>
        </w:rPr>
        <w:t xml:space="preserve"> 1.9 percent in the second quarter.</w:t>
      </w:r>
      <w:r w:rsidRPr="006007C7">
        <w:rPr>
          <w:sz w:val="22"/>
          <w:szCs w:val="22"/>
        </w:rPr>
        <w:t xml:space="preserve"> </w:t>
      </w:r>
      <w:r w:rsidR="002241E2">
        <w:rPr>
          <w:sz w:val="22"/>
          <w:szCs w:val="22"/>
        </w:rPr>
        <w:t>Our</w:t>
      </w:r>
      <w:r w:rsidRPr="006007C7">
        <w:rPr>
          <w:sz w:val="22"/>
          <w:szCs w:val="22"/>
        </w:rPr>
        <w:t xml:space="preserve"> indicators </w:t>
      </w:r>
      <w:r w:rsidR="002241E2">
        <w:rPr>
          <w:sz w:val="22"/>
          <w:szCs w:val="22"/>
        </w:rPr>
        <w:t>imply</w:t>
      </w:r>
      <w:r w:rsidRPr="006007C7">
        <w:rPr>
          <w:sz w:val="22"/>
          <w:szCs w:val="22"/>
        </w:rPr>
        <w:t xml:space="preserve"> that</w:t>
      </w:r>
      <w:r w:rsidR="002241E2">
        <w:rPr>
          <w:sz w:val="22"/>
          <w:szCs w:val="22"/>
        </w:rPr>
        <w:t xml:space="preserve"> the</w:t>
      </w:r>
      <w:r w:rsidRPr="006007C7">
        <w:rPr>
          <w:sz w:val="22"/>
          <w:szCs w:val="22"/>
        </w:rPr>
        <w:t xml:space="preserve"> QoQ GDP growth in the third quarter decreased compared to 1.8 percent growth in the second quarter. In this respect, Betam’s QoQ growth forecast for the third quarter of 2012 is 0.7 percent. We estimate the corresponding year on year (YoY) growth rate to be 2.8 percent.  </w:t>
      </w:r>
    </w:p>
    <w:p w:rsidR="0086047D" w:rsidRDefault="0086047D" w:rsidP="0086047D">
      <w:pPr>
        <w:spacing w:line="360" w:lineRule="auto"/>
        <w:ind w:left="-360" w:right="40"/>
        <w:jc w:val="both"/>
        <w:rPr>
          <w:sz w:val="22"/>
          <w:szCs w:val="22"/>
        </w:rPr>
      </w:pPr>
    </w:p>
    <w:p w:rsidR="00AF6500" w:rsidRDefault="0086047D" w:rsidP="0086047D">
      <w:pPr>
        <w:spacing w:line="360" w:lineRule="auto"/>
        <w:ind w:left="-360" w:right="40"/>
        <w:jc w:val="both"/>
        <w:rPr>
          <w:sz w:val="22"/>
          <w:szCs w:val="22"/>
        </w:rPr>
      </w:pPr>
      <w:r w:rsidRPr="006007C7">
        <w:rPr>
          <w:sz w:val="22"/>
          <w:szCs w:val="22"/>
        </w:rPr>
        <w:t xml:space="preserve">In September, the trade deficit decreased by </w:t>
      </w:r>
      <w:r w:rsidR="002241E2">
        <w:rPr>
          <w:sz w:val="22"/>
          <w:szCs w:val="22"/>
        </w:rPr>
        <w:t>$</w:t>
      </w:r>
      <w:r w:rsidRPr="006007C7">
        <w:rPr>
          <w:sz w:val="22"/>
          <w:szCs w:val="22"/>
        </w:rPr>
        <w:t>3.6 billion compared to the same month of the last year. The decline in the trade deficit continue</w:t>
      </w:r>
      <w:r>
        <w:rPr>
          <w:sz w:val="22"/>
          <w:szCs w:val="22"/>
        </w:rPr>
        <w:t xml:space="preserve">s </w:t>
      </w:r>
      <w:r w:rsidRPr="006007C7">
        <w:rPr>
          <w:sz w:val="22"/>
          <w:szCs w:val="22"/>
        </w:rPr>
        <w:t>to reduce the current account deficit. We estimate</w:t>
      </w:r>
    </w:p>
    <w:p w:rsidR="00A2686F" w:rsidRPr="008B2149" w:rsidRDefault="0085146F" w:rsidP="00A2686F">
      <w:pPr>
        <w:spacing w:line="288" w:lineRule="auto"/>
        <w:ind w:left="-360" w:right="-318"/>
        <w:jc w:val="both"/>
        <w:rPr>
          <w:rFonts w:ascii="Arial" w:hAnsi="Arial" w:cs="Arial"/>
          <w:sz w:val="20"/>
          <w:szCs w:val="20"/>
        </w:rPr>
      </w:pPr>
      <w:r w:rsidRPr="0085146F">
        <w:rPr>
          <w:rFonts w:ascii="Arial" w:hAnsi="Arial" w:cs="Arial"/>
          <w:sz w:val="20"/>
          <w:szCs w:val="20"/>
        </w:rPr>
      </w:r>
      <w:r>
        <w:rPr>
          <w:rFonts w:ascii="Arial" w:hAnsi="Arial" w:cs="Arial"/>
          <w:sz w:val="20"/>
          <w:szCs w:val="20"/>
        </w:rPr>
        <w:pict>
          <v:group id="_x0000_s1086" editas="canvas" style="width:198pt;height:3.6pt;mso-position-horizontal-relative:char;mso-position-vertical-relative:line" coordorigin="939,332" coordsize="6887,1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939;top:332;width:6887;height:133" o:preferrelative="f">
              <v:fill o:detectmouseclick="t"/>
              <v:path o:extrusionok="t" o:connecttype="none"/>
              <o:lock v:ext="edit" text="t"/>
            </v:shape>
            <v:line id="_x0000_s1088" style="position:absolute" from="939,332" to="7826,333"/>
            <w10:wrap type="none"/>
            <w10:anchorlock/>
          </v:group>
        </w:pict>
      </w:r>
    </w:p>
    <w:p w:rsidR="00A2686F" w:rsidRPr="008B2149" w:rsidRDefault="00A2686F" w:rsidP="00A2686F">
      <w:pPr>
        <w:spacing w:line="288" w:lineRule="auto"/>
        <w:ind w:left="-360" w:right="-318"/>
        <w:jc w:val="both"/>
        <w:rPr>
          <w:rFonts w:ascii="Arial" w:hAnsi="Arial" w:cs="Arial"/>
          <w:sz w:val="16"/>
          <w:szCs w:val="16"/>
        </w:rPr>
      </w:pPr>
      <w:r w:rsidRPr="008B2149">
        <w:rPr>
          <w:rFonts w:ascii="Arial" w:hAnsi="Arial" w:cs="Arial"/>
          <w:sz w:val="16"/>
          <w:szCs w:val="16"/>
        </w:rPr>
        <w:t>* Dr. Zümrüt İmamoğlu, Betam, Research Associate.</w:t>
      </w:r>
    </w:p>
    <w:p w:rsidR="00A2686F" w:rsidRPr="008B2149" w:rsidRDefault="00A2686F" w:rsidP="00A2686F">
      <w:pPr>
        <w:spacing w:line="288" w:lineRule="auto"/>
        <w:ind w:left="-360" w:right="-318"/>
        <w:jc w:val="both"/>
        <w:rPr>
          <w:rFonts w:ascii="Arial" w:hAnsi="Arial" w:cs="Arial"/>
          <w:sz w:val="16"/>
          <w:szCs w:val="16"/>
        </w:rPr>
      </w:pPr>
      <w:r w:rsidRPr="008B2149">
        <w:rPr>
          <w:rFonts w:ascii="Arial" w:hAnsi="Arial" w:cs="Arial"/>
          <w:sz w:val="16"/>
          <w:szCs w:val="16"/>
        </w:rPr>
        <w:t xml:space="preserve">  zumrut.imamoglu@bahcesehir.edu.tr</w:t>
      </w:r>
    </w:p>
    <w:p w:rsidR="00A2686F" w:rsidRPr="008B2149" w:rsidRDefault="00A2686F" w:rsidP="00A2686F">
      <w:pPr>
        <w:spacing w:line="288" w:lineRule="auto"/>
        <w:ind w:left="-360" w:right="-318"/>
        <w:jc w:val="both"/>
        <w:rPr>
          <w:rFonts w:ascii="Arial" w:hAnsi="Arial" w:cs="Arial"/>
          <w:sz w:val="16"/>
          <w:szCs w:val="16"/>
        </w:rPr>
      </w:pPr>
      <w:r w:rsidRPr="008B2149">
        <w:rPr>
          <w:rFonts w:ascii="Arial" w:hAnsi="Arial" w:cs="Arial"/>
          <w:sz w:val="16"/>
          <w:szCs w:val="16"/>
          <w:vertAlign w:val="superscript"/>
        </w:rPr>
        <w:t xml:space="preserve">† </w:t>
      </w:r>
      <w:r w:rsidRPr="008B2149">
        <w:rPr>
          <w:rFonts w:ascii="Arial" w:hAnsi="Arial" w:cs="Arial"/>
          <w:sz w:val="16"/>
          <w:szCs w:val="16"/>
        </w:rPr>
        <w:t>Barış Soybilgen, Betam, Research Assistant,</w:t>
      </w:r>
    </w:p>
    <w:p w:rsidR="006454DC" w:rsidRPr="008B2149" w:rsidRDefault="00A2686F" w:rsidP="00736C84">
      <w:pPr>
        <w:ind w:left="-360"/>
        <w:rPr>
          <w:rFonts w:ascii="Arial" w:hAnsi="Arial" w:cs="Arial"/>
          <w:sz w:val="16"/>
          <w:szCs w:val="16"/>
        </w:rPr>
      </w:pPr>
      <w:r w:rsidRPr="008B2149">
        <w:rPr>
          <w:rFonts w:ascii="Arial" w:hAnsi="Arial" w:cs="Arial"/>
          <w:sz w:val="16"/>
          <w:szCs w:val="16"/>
        </w:rPr>
        <w:t xml:space="preserve">  </w:t>
      </w:r>
      <w:r w:rsidR="00E81CDD" w:rsidRPr="008B2149">
        <w:rPr>
          <w:rFonts w:ascii="Arial" w:hAnsi="Arial" w:cs="Arial"/>
          <w:sz w:val="16"/>
          <w:szCs w:val="16"/>
        </w:rPr>
        <w:t>baris.soybilgen@bahcesehir.edu.tr</w:t>
      </w:r>
    </w:p>
    <w:p w:rsidR="007D4F28" w:rsidRDefault="007D4F28" w:rsidP="008C38E5">
      <w:pPr>
        <w:ind w:left="-360" w:right="42"/>
        <w:jc w:val="both"/>
        <w:rPr>
          <w:b/>
          <w:sz w:val="22"/>
          <w:szCs w:val="22"/>
        </w:rPr>
      </w:pPr>
    </w:p>
    <w:p w:rsidR="007D4F28" w:rsidRDefault="007D4F28" w:rsidP="008C38E5">
      <w:pPr>
        <w:ind w:left="-360" w:right="42"/>
        <w:jc w:val="both"/>
        <w:rPr>
          <w:b/>
          <w:sz w:val="22"/>
          <w:szCs w:val="22"/>
        </w:rPr>
      </w:pPr>
    </w:p>
    <w:p w:rsidR="007D4F28" w:rsidRDefault="007D4F28" w:rsidP="008C38E5">
      <w:pPr>
        <w:ind w:left="-360" w:right="42"/>
        <w:jc w:val="both"/>
        <w:rPr>
          <w:b/>
          <w:sz w:val="22"/>
          <w:szCs w:val="22"/>
        </w:rPr>
      </w:pPr>
    </w:p>
    <w:p w:rsidR="00BE56E0" w:rsidRDefault="00BE56E0" w:rsidP="00E01C50">
      <w:pPr>
        <w:ind w:right="42"/>
        <w:jc w:val="both"/>
        <w:rPr>
          <w:b/>
          <w:sz w:val="22"/>
          <w:szCs w:val="22"/>
        </w:rPr>
      </w:pPr>
    </w:p>
    <w:p w:rsidR="008E32CB" w:rsidRPr="008B2149" w:rsidRDefault="008C38E5" w:rsidP="008C38E5">
      <w:pPr>
        <w:ind w:left="-360" w:right="42"/>
        <w:jc w:val="both"/>
        <w:rPr>
          <w:b/>
          <w:sz w:val="22"/>
          <w:szCs w:val="22"/>
        </w:rPr>
      </w:pPr>
      <w:r w:rsidRPr="008B2149">
        <w:rPr>
          <w:b/>
          <w:sz w:val="22"/>
          <w:szCs w:val="22"/>
        </w:rPr>
        <w:t>Table 1. Betam’s quarterly and annual growth rate forecasts</w:t>
      </w:r>
    </w:p>
    <w:tbl>
      <w:tblPr>
        <w:tblpPr w:leftFromText="141" w:rightFromText="141" w:vertAnchor="text" w:horzAnchor="margin" w:tblpXSpec="right" w:tblpY="129"/>
        <w:tblW w:w="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2"/>
        <w:gridCol w:w="1186"/>
      </w:tblGrid>
      <w:tr w:rsidR="00BE56E0" w:rsidRPr="008B2149" w:rsidTr="00BE56E0">
        <w:trPr>
          <w:trHeight w:val="986"/>
        </w:trPr>
        <w:tc>
          <w:tcPr>
            <w:tcW w:w="3302" w:type="dxa"/>
            <w:tcBorders>
              <w:right w:val="single" w:sz="4" w:space="0" w:color="auto"/>
            </w:tcBorders>
            <w:tcMar>
              <w:left w:w="28" w:type="dxa"/>
              <w:right w:w="28" w:type="dxa"/>
            </w:tcMar>
            <w:vAlign w:val="center"/>
          </w:tcPr>
          <w:p w:rsidR="00BE56E0" w:rsidRPr="008B2149" w:rsidRDefault="00BE56E0" w:rsidP="00A878F4">
            <w:pPr>
              <w:ind w:right="42"/>
              <w:jc w:val="center"/>
              <w:rPr>
                <w:sz w:val="20"/>
                <w:szCs w:val="20"/>
              </w:rPr>
            </w:pPr>
          </w:p>
        </w:tc>
        <w:tc>
          <w:tcPr>
            <w:tcW w:w="1186" w:type="dxa"/>
            <w:tcBorders>
              <w:left w:val="single" w:sz="4" w:space="0" w:color="auto"/>
            </w:tcBorders>
            <w:tcMar>
              <w:left w:w="0" w:type="dxa"/>
              <w:right w:w="0" w:type="dxa"/>
            </w:tcMar>
            <w:vAlign w:val="center"/>
          </w:tcPr>
          <w:p w:rsidR="00BE56E0" w:rsidRPr="008B2149" w:rsidRDefault="00BE56E0" w:rsidP="00A878F4">
            <w:pPr>
              <w:ind w:right="40"/>
              <w:jc w:val="center"/>
              <w:rPr>
                <w:b/>
                <w:sz w:val="20"/>
                <w:szCs w:val="20"/>
              </w:rPr>
            </w:pPr>
            <w:r w:rsidRPr="008B2149">
              <w:rPr>
                <w:b/>
                <w:sz w:val="20"/>
                <w:szCs w:val="20"/>
              </w:rPr>
              <w:t>2012</w:t>
            </w:r>
          </w:p>
          <w:p w:rsidR="00BE56E0" w:rsidRPr="008B2149" w:rsidRDefault="00E01C50" w:rsidP="00A878F4">
            <w:pPr>
              <w:ind w:right="40"/>
              <w:jc w:val="center"/>
              <w:rPr>
                <w:b/>
                <w:sz w:val="20"/>
                <w:szCs w:val="20"/>
              </w:rPr>
            </w:pPr>
            <w:r>
              <w:rPr>
                <w:b/>
                <w:sz w:val="20"/>
                <w:szCs w:val="20"/>
              </w:rPr>
              <w:t>3</w:t>
            </w:r>
            <w:r w:rsidRPr="00E01C50">
              <w:rPr>
                <w:b/>
                <w:sz w:val="20"/>
                <w:szCs w:val="20"/>
                <w:vertAlign w:val="superscript"/>
              </w:rPr>
              <w:t>rd</w:t>
            </w:r>
            <w:r>
              <w:rPr>
                <w:b/>
                <w:sz w:val="20"/>
                <w:szCs w:val="20"/>
              </w:rPr>
              <w:t xml:space="preserve"> </w:t>
            </w:r>
            <w:r w:rsidR="00BE56E0" w:rsidRPr="008B2149">
              <w:rPr>
                <w:b/>
                <w:sz w:val="20"/>
                <w:szCs w:val="20"/>
              </w:rPr>
              <w:t>Quarter Forecast</w:t>
            </w:r>
          </w:p>
        </w:tc>
      </w:tr>
      <w:tr w:rsidR="0086047D" w:rsidRPr="008B2149" w:rsidTr="00BE56E0">
        <w:trPr>
          <w:trHeight w:val="771"/>
        </w:trPr>
        <w:tc>
          <w:tcPr>
            <w:tcW w:w="3302" w:type="dxa"/>
            <w:tcBorders>
              <w:right w:val="single" w:sz="4" w:space="0" w:color="auto"/>
            </w:tcBorders>
            <w:tcMar>
              <w:left w:w="28" w:type="dxa"/>
              <w:right w:w="28" w:type="dxa"/>
            </w:tcMar>
            <w:vAlign w:val="center"/>
          </w:tcPr>
          <w:p w:rsidR="0086047D" w:rsidRPr="008B2149" w:rsidRDefault="0086047D" w:rsidP="0086047D">
            <w:pPr>
              <w:spacing w:line="360" w:lineRule="auto"/>
              <w:ind w:right="42"/>
              <w:rPr>
                <w:b/>
                <w:sz w:val="20"/>
                <w:szCs w:val="20"/>
              </w:rPr>
            </w:pPr>
            <w:r w:rsidRPr="008B2149">
              <w:rPr>
                <w:b/>
                <w:sz w:val="20"/>
                <w:szCs w:val="20"/>
              </w:rPr>
              <w:t xml:space="preserve">Real GDP growth, % </w:t>
            </w:r>
          </w:p>
          <w:p w:rsidR="0086047D" w:rsidRPr="008B2149" w:rsidRDefault="0086047D" w:rsidP="0086047D">
            <w:pPr>
              <w:ind w:right="42"/>
              <w:rPr>
                <w:sz w:val="20"/>
                <w:szCs w:val="20"/>
              </w:rPr>
            </w:pPr>
            <w:r w:rsidRPr="008B2149">
              <w:rPr>
                <w:sz w:val="20"/>
                <w:szCs w:val="20"/>
              </w:rPr>
              <w:t>(quarter on quarter, sa*)</w:t>
            </w:r>
          </w:p>
        </w:tc>
        <w:tc>
          <w:tcPr>
            <w:tcW w:w="1186" w:type="dxa"/>
            <w:tcBorders>
              <w:left w:val="single" w:sz="4" w:space="0" w:color="auto"/>
            </w:tcBorders>
            <w:vAlign w:val="center"/>
          </w:tcPr>
          <w:p w:rsidR="0086047D" w:rsidRPr="006007C7" w:rsidRDefault="0086047D" w:rsidP="0086047D">
            <w:pPr>
              <w:ind w:right="42"/>
              <w:jc w:val="center"/>
              <w:rPr>
                <w:sz w:val="20"/>
                <w:szCs w:val="20"/>
              </w:rPr>
            </w:pPr>
            <w:r>
              <w:rPr>
                <w:sz w:val="20"/>
                <w:szCs w:val="20"/>
              </w:rPr>
              <w:t>0.</w:t>
            </w:r>
            <w:r w:rsidRPr="006007C7">
              <w:rPr>
                <w:sz w:val="20"/>
                <w:szCs w:val="20"/>
              </w:rPr>
              <w:t>7</w:t>
            </w:r>
          </w:p>
        </w:tc>
      </w:tr>
      <w:tr w:rsidR="0086047D" w:rsidRPr="008B2149" w:rsidTr="00BE56E0">
        <w:trPr>
          <w:trHeight w:val="756"/>
        </w:trPr>
        <w:tc>
          <w:tcPr>
            <w:tcW w:w="3302" w:type="dxa"/>
            <w:tcBorders>
              <w:right w:val="single" w:sz="4" w:space="0" w:color="auto"/>
            </w:tcBorders>
            <w:tcMar>
              <w:left w:w="28" w:type="dxa"/>
              <w:right w:w="28" w:type="dxa"/>
            </w:tcMar>
            <w:vAlign w:val="center"/>
          </w:tcPr>
          <w:p w:rsidR="0086047D" w:rsidRPr="008B2149" w:rsidRDefault="0086047D" w:rsidP="0086047D">
            <w:pPr>
              <w:spacing w:line="360" w:lineRule="auto"/>
              <w:ind w:right="42"/>
              <w:rPr>
                <w:sz w:val="20"/>
                <w:szCs w:val="20"/>
              </w:rPr>
            </w:pPr>
            <w:r w:rsidRPr="008B2149">
              <w:rPr>
                <w:b/>
                <w:sz w:val="20"/>
                <w:szCs w:val="20"/>
              </w:rPr>
              <w:t>Real GDP growth, %</w:t>
            </w:r>
            <w:r w:rsidRPr="008B2149">
              <w:rPr>
                <w:sz w:val="20"/>
                <w:szCs w:val="20"/>
              </w:rPr>
              <w:t xml:space="preserve"> </w:t>
            </w:r>
          </w:p>
          <w:p w:rsidR="0086047D" w:rsidRPr="008B2149" w:rsidRDefault="0086047D" w:rsidP="0086047D">
            <w:pPr>
              <w:ind w:right="42"/>
              <w:rPr>
                <w:sz w:val="20"/>
                <w:szCs w:val="20"/>
              </w:rPr>
            </w:pPr>
            <w:r w:rsidRPr="008B2149">
              <w:rPr>
                <w:sz w:val="20"/>
                <w:szCs w:val="20"/>
              </w:rPr>
              <w:t>(year on year, ca**)</w:t>
            </w:r>
          </w:p>
        </w:tc>
        <w:tc>
          <w:tcPr>
            <w:tcW w:w="1186" w:type="dxa"/>
            <w:tcBorders>
              <w:left w:val="single" w:sz="4" w:space="0" w:color="auto"/>
            </w:tcBorders>
            <w:vAlign w:val="center"/>
          </w:tcPr>
          <w:p w:rsidR="0086047D" w:rsidRPr="006007C7" w:rsidRDefault="0086047D" w:rsidP="0086047D">
            <w:pPr>
              <w:ind w:right="42"/>
              <w:jc w:val="center"/>
              <w:rPr>
                <w:sz w:val="20"/>
                <w:szCs w:val="20"/>
              </w:rPr>
            </w:pPr>
            <w:r>
              <w:rPr>
                <w:sz w:val="20"/>
                <w:szCs w:val="20"/>
              </w:rPr>
              <w:t>2.</w:t>
            </w:r>
            <w:r w:rsidRPr="006007C7">
              <w:rPr>
                <w:sz w:val="20"/>
                <w:szCs w:val="20"/>
              </w:rPr>
              <w:t>8</w:t>
            </w:r>
          </w:p>
        </w:tc>
      </w:tr>
      <w:tr w:rsidR="0086047D" w:rsidRPr="008B2149" w:rsidTr="00BE56E0">
        <w:trPr>
          <w:trHeight w:val="583"/>
        </w:trPr>
        <w:tc>
          <w:tcPr>
            <w:tcW w:w="3302" w:type="dxa"/>
            <w:tcBorders>
              <w:right w:val="single" w:sz="4" w:space="0" w:color="auto"/>
            </w:tcBorders>
            <w:tcMar>
              <w:left w:w="28" w:type="dxa"/>
              <w:right w:w="28" w:type="dxa"/>
            </w:tcMar>
            <w:vAlign w:val="center"/>
          </w:tcPr>
          <w:p w:rsidR="0086047D" w:rsidRPr="008B2149" w:rsidRDefault="0086047D" w:rsidP="0086047D">
            <w:pPr>
              <w:spacing w:line="360" w:lineRule="auto"/>
              <w:ind w:right="42"/>
              <w:rPr>
                <w:sz w:val="20"/>
                <w:szCs w:val="20"/>
              </w:rPr>
            </w:pPr>
            <w:r w:rsidRPr="008B2149">
              <w:rPr>
                <w:b/>
                <w:sz w:val="20"/>
                <w:szCs w:val="20"/>
              </w:rPr>
              <w:t>Current account deficit</w:t>
            </w:r>
            <w:r w:rsidRPr="008B2149">
              <w:rPr>
                <w:sz w:val="20"/>
                <w:szCs w:val="20"/>
              </w:rPr>
              <w:t xml:space="preserve"> </w:t>
            </w:r>
          </w:p>
          <w:p w:rsidR="0086047D" w:rsidRPr="008B2149" w:rsidRDefault="0086047D" w:rsidP="0086047D">
            <w:pPr>
              <w:ind w:right="40"/>
              <w:rPr>
                <w:sz w:val="20"/>
                <w:szCs w:val="20"/>
              </w:rPr>
            </w:pPr>
            <w:r w:rsidRPr="008B2149">
              <w:rPr>
                <w:sz w:val="20"/>
                <w:szCs w:val="20"/>
              </w:rPr>
              <w:t>(% of GDP, annual)</w:t>
            </w:r>
          </w:p>
        </w:tc>
        <w:tc>
          <w:tcPr>
            <w:tcW w:w="1186" w:type="dxa"/>
            <w:tcBorders>
              <w:left w:val="single" w:sz="4" w:space="0" w:color="auto"/>
            </w:tcBorders>
            <w:vAlign w:val="center"/>
          </w:tcPr>
          <w:p w:rsidR="0086047D" w:rsidRPr="006007C7" w:rsidRDefault="0086047D" w:rsidP="0086047D">
            <w:pPr>
              <w:ind w:right="40"/>
              <w:jc w:val="center"/>
              <w:rPr>
                <w:sz w:val="20"/>
                <w:szCs w:val="20"/>
              </w:rPr>
            </w:pPr>
            <w:r>
              <w:rPr>
                <w:sz w:val="20"/>
                <w:szCs w:val="20"/>
              </w:rPr>
              <w:t>7.</w:t>
            </w:r>
            <w:r w:rsidRPr="006007C7">
              <w:rPr>
                <w:sz w:val="20"/>
                <w:szCs w:val="20"/>
              </w:rPr>
              <w:t>2</w:t>
            </w:r>
          </w:p>
        </w:tc>
      </w:tr>
    </w:tbl>
    <w:p w:rsidR="008C38E5" w:rsidRPr="008B2149" w:rsidRDefault="008C38E5" w:rsidP="00BE56E0">
      <w:pPr>
        <w:ind w:right="40"/>
        <w:rPr>
          <w:sz w:val="4"/>
          <w:szCs w:val="4"/>
        </w:rPr>
      </w:pPr>
    </w:p>
    <w:p w:rsidR="008C38E5" w:rsidRPr="008B2149" w:rsidRDefault="008C38E5" w:rsidP="008C38E5">
      <w:pPr>
        <w:ind w:left="-360" w:right="40"/>
        <w:jc w:val="both"/>
        <w:rPr>
          <w:rFonts w:ascii="Arial" w:hAnsi="Arial" w:cs="Arial"/>
          <w:sz w:val="16"/>
          <w:szCs w:val="16"/>
        </w:rPr>
      </w:pPr>
      <w:r w:rsidRPr="008B2149">
        <w:rPr>
          <w:rFonts w:ascii="Arial" w:hAnsi="Arial" w:cs="Arial"/>
          <w:sz w:val="16"/>
          <w:szCs w:val="16"/>
        </w:rPr>
        <w:t>Source: Betam</w:t>
      </w:r>
    </w:p>
    <w:p w:rsidR="008C38E5" w:rsidRPr="008B2149" w:rsidRDefault="008C38E5" w:rsidP="008C38E5">
      <w:pPr>
        <w:ind w:left="-360" w:right="40"/>
        <w:jc w:val="both"/>
        <w:rPr>
          <w:rFonts w:ascii="Arial" w:hAnsi="Arial" w:cs="Arial"/>
          <w:sz w:val="16"/>
          <w:szCs w:val="16"/>
        </w:rPr>
      </w:pPr>
      <w:r w:rsidRPr="008B2149">
        <w:rPr>
          <w:rFonts w:ascii="Arial" w:hAnsi="Arial" w:cs="Arial"/>
          <w:sz w:val="16"/>
          <w:szCs w:val="16"/>
        </w:rPr>
        <w:t xml:space="preserve"> *sa: seasonally and calendar day adjusted </w:t>
      </w:r>
    </w:p>
    <w:p w:rsidR="00383A6E" w:rsidRPr="008B2149" w:rsidRDefault="008C38E5" w:rsidP="008C38E5">
      <w:pPr>
        <w:spacing w:line="360" w:lineRule="auto"/>
        <w:ind w:left="-360" w:right="42"/>
        <w:jc w:val="both"/>
        <w:rPr>
          <w:rFonts w:ascii="Arial" w:hAnsi="Arial" w:cs="Arial"/>
          <w:sz w:val="20"/>
          <w:szCs w:val="20"/>
        </w:rPr>
      </w:pPr>
      <w:r w:rsidRPr="008B2149">
        <w:rPr>
          <w:rFonts w:ascii="Arial" w:hAnsi="Arial" w:cs="Arial"/>
          <w:sz w:val="16"/>
          <w:szCs w:val="16"/>
        </w:rPr>
        <w:t xml:space="preserve"> **ca: calendar day adjusted</w:t>
      </w:r>
    </w:p>
    <w:p w:rsidR="008B74EE" w:rsidRDefault="008B74EE" w:rsidP="008B74EE">
      <w:pPr>
        <w:rPr>
          <w:b/>
          <w:sz w:val="22"/>
          <w:szCs w:val="22"/>
        </w:rPr>
      </w:pPr>
    </w:p>
    <w:p w:rsidR="0086047D" w:rsidRPr="006007C7" w:rsidRDefault="0086047D" w:rsidP="0086047D">
      <w:pPr>
        <w:spacing w:line="360" w:lineRule="auto"/>
        <w:ind w:left="-360" w:right="40"/>
        <w:jc w:val="both"/>
        <w:rPr>
          <w:sz w:val="22"/>
          <w:szCs w:val="22"/>
        </w:rPr>
      </w:pPr>
      <w:r w:rsidRPr="006007C7">
        <w:rPr>
          <w:sz w:val="22"/>
          <w:szCs w:val="22"/>
        </w:rPr>
        <w:t xml:space="preserve">that the ratio of current account deficit to GDP has fallen down to </w:t>
      </w:r>
      <w:r w:rsidR="002241E2">
        <w:rPr>
          <w:sz w:val="22"/>
          <w:szCs w:val="22"/>
        </w:rPr>
        <w:t>7.2</w:t>
      </w:r>
      <w:r w:rsidRPr="006007C7">
        <w:rPr>
          <w:sz w:val="22"/>
          <w:szCs w:val="22"/>
        </w:rPr>
        <w:t xml:space="preserve"> percent </w:t>
      </w:r>
      <w:r w:rsidR="002241E2">
        <w:rPr>
          <w:sz w:val="22"/>
          <w:szCs w:val="22"/>
        </w:rPr>
        <w:t>at</w:t>
      </w:r>
      <w:r w:rsidRPr="006007C7">
        <w:rPr>
          <w:sz w:val="22"/>
          <w:szCs w:val="22"/>
        </w:rPr>
        <w:t xml:space="preserve"> the</w:t>
      </w:r>
      <w:r w:rsidR="002241E2">
        <w:rPr>
          <w:sz w:val="22"/>
          <w:szCs w:val="22"/>
        </w:rPr>
        <w:t xml:space="preserve"> end of the third quarter from 8.3</w:t>
      </w:r>
      <w:r w:rsidRPr="006007C7">
        <w:rPr>
          <w:sz w:val="22"/>
          <w:szCs w:val="22"/>
        </w:rPr>
        <w:t xml:space="preserve"> percent in the second quarter of 2012.</w:t>
      </w:r>
    </w:p>
    <w:p w:rsidR="008B74EE" w:rsidRDefault="008B74EE" w:rsidP="008B74EE">
      <w:pPr>
        <w:ind w:left="-360"/>
        <w:rPr>
          <w:b/>
          <w:sz w:val="22"/>
          <w:szCs w:val="22"/>
        </w:rPr>
      </w:pPr>
    </w:p>
    <w:p w:rsidR="0086047D" w:rsidRPr="006007C7" w:rsidRDefault="00E01C50" w:rsidP="0086047D">
      <w:pPr>
        <w:ind w:left="-360"/>
        <w:jc w:val="center"/>
        <w:rPr>
          <w:b/>
          <w:bCs/>
          <w:sz w:val="22"/>
          <w:szCs w:val="22"/>
        </w:rPr>
      </w:pPr>
      <w:r>
        <w:rPr>
          <w:b/>
          <w:bCs/>
          <w:sz w:val="22"/>
          <w:szCs w:val="22"/>
        </w:rPr>
        <w:t>G</w:t>
      </w:r>
      <w:r w:rsidR="0086047D">
        <w:rPr>
          <w:b/>
          <w:bCs/>
          <w:sz w:val="22"/>
          <w:szCs w:val="22"/>
        </w:rPr>
        <w:t>rowth is lower than the second quarter</w:t>
      </w:r>
    </w:p>
    <w:p w:rsidR="0086047D" w:rsidRPr="006007C7" w:rsidRDefault="0086047D" w:rsidP="0086047D">
      <w:pPr>
        <w:spacing w:line="360" w:lineRule="auto"/>
        <w:ind w:left="-360" w:right="42"/>
        <w:jc w:val="both"/>
        <w:rPr>
          <w:sz w:val="22"/>
          <w:szCs w:val="22"/>
        </w:rPr>
      </w:pPr>
    </w:p>
    <w:p w:rsidR="0086047D" w:rsidRPr="006007C7" w:rsidRDefault="0086047D" w:rsidP="0086047D">
      <w:pPr>
        <w:spacing w:line="360" w:lineRule="auto"/>
        <w:ind w:left="-360" w:right="42"/>
        <w:jc w:val="both"/>
        <w:rPr>
          <w:sz w:val="22"/>
          <w:szCs w:val="22"/>
        </w:rPr>
      </w:pPr>
      <w:r w:rsidRPr="006007C7">
        <w:rPr>
          <w:sz w:val="22"/>
          <w:szCs w:val="22"/>
        </w:rPr>
        <w:t>In September, IPI increased by 3.9 percent from August and increased by 6.2 percent from the same month of the previous year.</w:t>
      </w:r>
      <w:r>
        <w:rPr>
          <w:sz w:val="22"/>
          <w:szCs w:val="22"/>
        </w:rPr>
        <w:t xml:space="preserve"> Due to </w:t>
      </w:r>
      <w:r w:rsidR="002241E2">
        <w:rPr>
          <w:sz w:val="22"/>
          <w:szCs w:val="22"/>
        </w:rPr>
        <w:t>this increase</w:t>
      </w:r>
      <w:r w:rsidR="005C6409">
        <w:rPr>
          <w:sz w:val="22"/>
          <w:szCs w:val="22"/>
        </w:rPr>
        <w:t>,</w:t>
      </w:r>
      <w:r w:rsidR="002241E2">
        <w:rPr>
          <w:sz w:val="22"/>
          <w:szCs w:val="22"/>
        </w:rPr>
        <w:t xml:space="preserve"> which is</w:t>
      </w:r>
      <w:r>
        <w:rPr>
          <w:sz w:val="22"/>
          <w:szCs w:val="22"/>
        </w:rPr>
        <w:t xml:space="preserve"> above expectations, the </w:t>
      </w:r>
      <w:r w:rsidR="005C6409">
        <w:rPr>
          <w:sz w:val="22"/>
          <w:szCs w:val="22"/>
        </w:rPr>
        <w:t xml:space="preserve">IPI </w:t>
      </w:r>
      <w:r>
        <w:rPr>
          <w:sz w:val="22"/>
          <w:szCs w:val="22"/>
        </w:rPr>
        <w:t>rose 0.9 percent</w:t>
      </w:r>
      <w:r w:rsidR="005C6409">
        <w:rPr>
          <w:sz w:val="22"/>
          <w:szCs w:val="22"/>
        </w:rPr>
        <w:t>, QoQ,</w:t>
      </w:r>
      <w:r>
        <w:rPr>
          <w:sz w:val="22"/>
          <w:szCs w:val="22"/>
        </w:rPr>
        <w:t xml:space="preserve"> in the third quarter. </w:t>
      </w:r>
      <w:r w:rsidRPr="006007C7">
        <w:rPr>
          <w:sz w:val="22"/>
          <w:szCs w:val="22"/>
        </w:rPr>
        <w:t xml:space="preserve">However, </w:t>
      </w:r>
      <w:r>
        <w:rPr>
          <w:sz w:val="22"/>
          <w:szCs w:val="22"/>
        </w:rPr>
        <w:t>it was</w:t>
      </w:r>
      <w:r w:rsidRPr="006007C7">
        <w:rPr>
          <w:sz w:val="22"/>
          <w:szCs w:val="22"/>
        </w:rPr>
        <w:t xml:space="preserve"> 1.9 percent in the second quarter. In this respect, QoQ IPI increase </w:t>
      </w:r>
      <w:r w:rsidR="005C6409">
        <w:rPr>
          <w:sz w:val="22"/>
          <w:szCs w:val="22"/>
        </w:rPr>
        <w:t>is reduced by half, implying further slowdown</w:t>
      </w:r>
      <w:r w:rsidRPr="006007C7">
        <w:rPr>
          <w:sz w:val="22"/>
          <w:szCs w:val="22"/>
        </w:rPr>
        <w:t xml:space="preserve">. </w:t>
      </w:r>
    </w:p>
    <w:p w:rsidR="0086047D" w:rsidRPr="006007C7" w:rsidRDefault="0086047D" w:rsidP="0086047D">
      <w:pPr>
        <w:spacing w:line="360" w:lineRule="auto"/>
        <w:ind w:left="-360" w:right="42"/>
        <w:jc w:val="both"/>
        <w:rPr>
          <w:sz w:val="22"/>
          <w:szCs w:val="22"/>
        </w:rPr>
      </w:pPr>
    </w:p>
    <w:p w:rsidR="00164770" w:rsidRDefault="005C6409" w:rsidP="0086047D">
      <w:pPr>
        <w:spacing w:line="360" w:lineRule="auto"/>
        <w:ind w:left="-360" w:right="42"/>
        <w:jc w:val="both"/>
        <w:rPr>
          <w:sz w:val="22"/>
          <w:szCs w:val="22"/>
        </w:rPr>
      </w:pPr>
      <w:r>
        <w:rPr>
          <w:sz w:val="22"/>
          <w:szCs w:val="22"/>
        </w:rPr>
        <w:lastRenderedPageBreak/>
        <w:t>In the third quarter, w</w:t>
      </w:r>
      <w:r w:rsidR="0086047D" w:rsidRPr="006007C7">
        <w:rPr>
          <w:sz w:val="22"/>
          <w:szCs w:val="22"/>
        </w:rPr>
        <w:t xml:space="preserve">e observe a decline in net exports which </w:t>
      </w:r>
      <w:r w:rsidR="0086047D">
        <w:rPr>
          <w:sz w:val="22"/>
          <w:szCs w:val="22"/>
        </w:rPr>
        <w:t>had contributed significantly</w:t>
      </w:r>
      <w:r w:rsidR="0086047D" w:rsidRPr="006007C7">
        <w:rPr>
          <w:sz w:val="22"/>
          <w:szCs w:val="22"/>
        </w:rPr>
        <w:t xml:space="preserve"> to the GDP growth since the last quarter of 2011. In the second quarter, export volume index </w:t>
      </w:r>
      <w:r w:rsidR="0086047D">
        <w:rPr>
          <w:sz w:val="22"/>
          <w:szCs w:val="22"/>
        </w:rPr>
        <w:t xml:space="preserve">had </w:t>
      </w:r>
      <w:r w:rsidR="0086047D" w:rsidRPr="006007C7">
        <w:rPr>
          <w:sz w:val="22"/>
          <w:szCs w:val="22"/>
        </w:rPr>
        <w:t xml:space="preserve">increased by 11.5 percent but the increase in exports dropped to 3.8 percent in the third quarter. Moreover, 2.8 increase in imports in the second quarter turned into a 0.3 percent decline in the third quarter. </w:t>
      </w:r>
      <w:r w:rsidR="00DD5F7A">
        <w:rPr>
          <w:sz w:val="22"/>
          <w:szCs w:val="22"/>
        </w:rPr>
        <w:t xml:space="preserve">The figures excluding gold imports and exports also show a similar trend. </w:t>
      </w:r>
      <w:r w:rsidR="0086047D" w:rsidRPr="006007C7">
        <w:rPr>
          <w:sz w:val="22"/>
          <w:szCs w:val="22"/>
        </w:rPr>
        <w:t xml:space="preserve">According to Betam’s calculations, 1.8 percent increase in real exports </w:t>
      </w:r>
      <w:r>
        <w:rPr>
          <w:sz w:val="22"/>
          <w:szCs w:val="22"/>
        </w:rPr>
        <w:t>excluding</w:t>
      </w:r>
      <w:r w:rsidR="0086047D" w:rsidRPr="006007C7">
        <w:rPr>
          <w:sz w:val="22"/>
          <w:szCs w:val="22"/>
        </w:rPr>
        <w:t xml:space="preserve"> gold in the second quarter turned into 0.6</w:t>
      </w:r>
      <w:r w:rsidR="0086047D">
        <w:rPr>
          <w:sz w:val="22"/>
          <w:szCs w:val="22"/>
        </w:rPr>
        <w:t xml:space="preserve"> percent</w:t>
      </w:r>
      <w:r w:rsidR="0086047D" w:rsidRPr="006007C7">
        <w:rPr>
          <w:sz w:val="22"/>
          <w:szCs w:val="22"/>
        </w:rPr>
        <w:t xml:space="preserve"> decline in the third quarter and 1.3 percent decline in real imports </w:t>
      </w:r>
      <w:r>
        <w:rPr>
          <w:sz w:val="22"/>
          <w:szCs w:val="22"/>
        </w:rPr>
        <w:t>excluding</w:t>
      </w:r>
      <w:r w:rsidR="0086047D" w:rsidRPr="006007C7">
        <w:rPr>
          <w:sz w:val="22"/>
          <w:szCs w:val="22"/>
        </w:rPr>
        <w:t xml:space="preserve"> gold in the second quarter dropped to 0.8 percent decline in the third quarter (Table 2). </w:t>
      </w:r>
      <w:r w:rsidR="00DD5F7A">
        <w:rPr>
          <w:sz w:val="22"/>
          <w:szCs w:val="22"/>
        </w:rPr>
        <w:t>Both o</w:t>
      </w:r>
      <w:r w:rsidR="0086047D" w:rsidRPr="006007C7">
        <w:rPr>
          <w:sz w:val="22"/>
          <w:szCs w:val="22"/>
        </w:rPr>
        <w:t xml:space="preserve">ur calculations and Turkstat data </w:t>
      </w:r>
      <w:r w:rsidR="00F3225A">
        <w:rPr>
          <w:sz w:val="22"/>
          <w:szCs w:val="22"/>
        </w:rPr>
        <w:t>imply</w:t>
      </w:r>
      <w:r w:rsidR="0086047D" w:rsidRPr="006007C7">
        <w:rPr>
          <w:sz w:val="22"/>
          <w:szCs w:val="22"/>
        </w:rPr>
        <w:t xml:space="preserve"> that the contribution of net exports to the GDP growth </w:t>
      </w:r>
      <w:r w:rsidR="00F3225A">
        <w:rPr>
          <w:sz w:val="22"/>
          <w:szCs w:val="22"/>
        </w:rPr>
        <w:t>was</w:t>
      </w:r>
      <w:r w:rsidR="0086047D" w:rsidRPr="006007C7">
        <w:rPr>
          <w:sz w:val="22"/>
          <w:szCs w:val="22"/>
        </w:rPr>
        <w:t xml:space="preserve"> lower in the third quarter than the second quarter. </w:t>
      </w:r>
    </w:p>
    <w:p w:rsidR="00164770" w:rsidRDefault="00164770" w:rsidP="0086047D">
      <w:pPr>
        <w:spacing w:line="360" w:lineRule="auto"/>
        <w:ind w:left="-360" w:right="42"/>
        <w:jc w:val="both"/>
        <w:rPr>
          <w:sz w:val="22"/>
          <w:szCs w:val="22"/>
        </w:rPr>
      </w:pPr>
    </w:p>
    <w:p w:rsidR="0086047D" w:rsidRPr="006007C7" w:rsidRDefault="00164770" w:rsidP="0086047D">
      <w:pPr>
        <w:spacing w:line="360" w:lineRule="auto"/>
        <w:ind w:left="-360" w:right="42"/>
        <w:jc w:val="both"/>
        <w:rPr>
          <w:sz w:val="22"/>
          <w:szCs w:val="22"/>
        </w:rPr>
      </w:pPr>
      <w:r>
        <w:rPr>
          <w:sz w:val="22"/>
          <w:szCs w:val="22"/>
        </w:rPr>
        <w:t>Besides the slowdown in IPI and the decrease in contribution of net exports, c</w:t>
      </w:r>
      <w:r w:rsidR="0086047D" w:rsidRPr="006007C7">
        <w:rPr>
          <w:sz w:val="22"/>
          <w:szCs w:val="22"/>
        </w:rPr>
        <w:t>onsumer and real sector confidence index continue</w:t>
      </w:r>
      <w:r>
        <w:rPr>
          <w:sz w:val="22"/>
          <w:szCs w:val="22"/>
        </w:rPr>
        <w:t>d</w:t>
      </w:r>
      <w:r w:rsidR="0086047D" w:rsidRPr="006007C7">
        <w:rPr>
          <w:sz w:val="22"/>
          <w:szCs w:val="22"/>
        </w:rPr>
        <w:t xml:space="preserve"> to deteriorate</w:t>
      </w:r>
      <w:r>
        <w:rPr>
          <w:sz w:val="22"/>
          <w:szCs w:val="22"/>
        </w:rPr>
        <w:t xml:space="preserve"> in the third quarter</w:t>
      </w:r>
      <w:r w:rsidR="0086047D" w:rsidRPr="006007C7">
        <w:rPr>
          <w:sz w:val="22"/>
          <w:szCs w:val="22"/>
        </w:rPr>
        <w:t>.</w:t>
      </w:r>
      <w:r>
        <w:rPr>
          <w:sz w:val="22"/>
          <w:szCs w:val="22"/>
        </w:rPr>
        <w:t xml:space="preserve"> Following these indicators</w:t>
      </w:r>
      <w:r w:rsidR="0086047D">
        <w:rPr>
          <w:sz w:val="22"/>
          <w:szCs w:val="22"/>
        </w:rPr>
        <w:t xml:space="preserve"> </w:t>
      </w:r>
      <w:r>
        <w:rPr>
          <w:sz w:val="22"/>
          <w:szCs w:val="22"/>
        </w:rPr>
        <w:t>we believe that</w:t>
      </w:r>
      <w:r w:rsidR="0086047D" w:rsidRPr="006007C7">
        <w:rPr>
          <w:sz w:val="22"/>
          <w:szCs w:val="22"/>
        </w:rPr>
        <w:t xml:space="preserve"> the GDP growth in the third quarter will be lower than </w:t>
      </w:r>
      <w:r>
        <w:rPr>
          <w:sz w:val="22"/>
          <w:szCs w:val="22"/>
        </w:rPr>
        <w:t xml:space="preserve">the </w:t>
      </w:r>
      <w:r w:rsidR="0086047D" w:rsidRPr="006007C7">
        <w:rPr>
          <w:sz w:val="22"/>
          <w:szCs w:val="22"/>
        </w:rPr>
        <w:t>1.8 percent growth in the second quarter. Betam</w:t>
      </w:r>
      <w:r>
        <w:rPr>
          <w:sz w:val="22"/>
          <w:szCs w:val="22"/>
        </w:rPr>
        <w:t>’s</w:t>
      </w:r>
      <w:r w:rsidR="0086047D" w:rsidRPr="006007C7">
        <w:rPr>
          <w:sz w:val="22"/>
          <w:szCs w:val="22"/>
        </w:rPr>
        <w:t xml:space="preserve"> forecast </w:t>
      </w:r>
      <w:r>
        <w:rPr>
          <w:sz w:val="22"/>
          <w:szCs w:val="22"/>
        </w:rPr>
        <w:t>for the</w:t>
      </w:r>
      <w:r w:rsidR="0086047D" w:rsidRPr="006007C7">
        <w:rPr>
          <w:sz w:val="22"/>
          <w:szCs w:val="22"/>
        </w:rPr>
        <w:t xml:space="preserve"> QoQ GDP growth </w:t>
      </w:r>
      <w:r>
        <w:rPr>
          <w:sz w:val="22"/>
          <w:szCs w:val="22"/>
        </w:rPr>
        <w:t>in</w:t>
      </w:r>
      <w:r w:rsidR="0086047D" w:rsidRPr="006007C7">
        <w:rPr>
          <w:sz w:val="22"/>
          <w:szCs w:val="22"/>
        </w:rPr>
        <w:t xml:space="preserve"> the third quarter </w:t>
      </w:r>
      <w:r>
        <w:rPr>
          <w:sz w:val="22"/>
          <w:szCs w:val="22"/>
        </w:rPr>
        <w:t>is</w:t>
      </w:r>
      <w:r w:rsidR="0086047D" w:rsidRPr="006007C7">
        <w:rPr>
          <w:sz w:val="22"/>
          <w:szCs w:val="22"/>
        </w:rPr>
        <w:t xml:space="preserve"> 0.7 percent. We estimate the corresponding year on year (YoY) growth rate to be 2.8 percent. Due to the base effect, </w:t>
      </w:r>
      <w:r>
        <w:rPr>
          <w:sz w:val="22"/>
          <w:szCs w:val="22"/>
        </w:rPr>
        <w:t xml:space="preserve">our </w:t>
      </w:r>
      <w:r w:rsidR="0086047D" w:rsidRPr="006007C7">
        <w:rPr>
          <w:sz w:val="22"/>
          <w:szCs w:val="22"/>
        </w:rPr>
        <w:t>YoY growth rate</w:t>
      </w:r>
      <w:r>
        <w:rPr>
          <w:sz w:val="22"/>
          <w:szCs w:val="22"/>
        </w:rPr>
        <w:t xml:space="preserve"> estimate</w:t>
      </w:r>
      <w:r w:rsidR="0086047D" w:rsidRPr="006007C7">
        <w:rPr>
          <w:sz w:val="22"/>
          <w:szCs w:val="22"/>
        </w:rPr>
        <w:t xml:space="preserve"> for the third quarter is very close to 2.9 percent</w:t>
      </w:r>
      <w:r w:rsidR="0086047D">
        <w:rPr>
          <w:sz w:val="22"/>
          <w:szCs w:val="22"/>
        </w:rPr>
        <w:t xml:space="preserve"> GDP</w:t>
      </w:r>
      <w:r w:rsidR="0086047D" w:rsidRPr="006007C7">
        <w:rPr>
          <w:sz w:val="22"/>
          <w:szCs w:val="22"/>
        </w:rPr>
        <w:t xml:space="preserve"> growth in the second quarter, but slowdown is apparent in the </w:t>
      </w:r>
      <w:r>
        <w:rPr>
          <w:sz w:val="22"/>
          <w:szCs w:val="22"/>
        </w:rPr>
        <w:t>quarterly figures</w:t>
      </w:r>
      <w:r w:rsidR="0086047D" w:rsidRPr="006007C7">
        <w:rPr>
          <w:sz w:val="22"/>
          <w:szCs w:val="22"/>
        </w:rPr>
        <w:t xml:space="preserve">.     </w:t>
      </w:r>
    </w:p>
    <w:p w:rsidR="0086047D" w:rsidRPr="006007C7" w:rsidRDefault="0086047D" w:rsidP="0086047D">
      <w:pPr>
        <w:spacing w:line="360" w:lineRule="auto"/>
        <w:ind w:left="-360" w:right="42"/>
        <w:jc w:val="both"/>
        <w:rPr>
          <w:sz w:val="22"/>
          <w:szCs w:val="22"/>
        </w:rPr>
      </w:pPr>
    </w:p>
    <w:p w:rsidR="00E01C50" w:rsidRDefault="00E01C50" w:rsidP="0086047D">
      <w:pPr>
        <w:spacing w:line="360" w:lineRule="auto"/>
        <w:ind w:left="-360" w:right="42"/>
        <w:jc w:val="center"/>
        <w:rPr>
          <w:b/>
          <w:bCs/>
          <w:sz w:val="22"/>
          <w:szCs w:val="22"/>
        </w:rPr>
      </w:pPr>
    </w:p>
    <w:p w:rsidR="00E01C50" w:rsidRDefault="00E01C50" w:rsidP="0086047D">
      <w:pPr>
        <w:spacing w:line="360" w:lineRule="auto"/>
        <w:ind w:left="-360" w:right="42"/>
        <w:jc w:val="center"/>
        <w:rPr>
          <w:b/>
          <w:bCs/>
          <w:sz w:val="22"/>
          <w:szCs w:val="22"/>
        </w:rPr>
      </w:pPr>
    </w:p>
    <w:p w:rsidR="0086047D" w:rsidRPr="006007C7" w:rsidRDefault="0086047D" w:rsidP="0086047D">
      <w:pPr>
        <w:spacing w:line="360" w:lineRule="auto"/>
        <w:ind w:left="-360" w:right="42"/>
        <w:jc w:val="center"/>
        <w:rPr>
          <w:b/>
          <w:bCs/>
          <w:sz w:val="22"/>
          <w:szCs w:val="22"/>
        </w:rPr>
      </w:pPr>
      <w:r w:rsidRPr="006007C7">
        <w:rPr>
          <w:b/>
          <w:bCs/>
          <w:sz w:val="22"/>
          <w:szCs w:val="22"/>
        </w:rPr>
        <w:lastRenderedPageBreak/>
        <w:t xml:space="preserve">The future of </w:t>
      </w:r>
      <w:r w:rsidR="007629CE">
        <w:rPr>
          <w:b/>
          <w:bCs/>
          <w:sz w:val="22"/>
          <w:szCs w:val="22"/>
        </w:rPr>
        <w:t xml:space="preserve">economic </w:t>
      </w:r>
      <w:r w:rsidRPr="006007C7">
        <w:rPr>
          <w:b/>
          <w:bCs/>
          <w:sz w:val="22"/>
          <w:szCs w:val="22"/>
        </w:rPr>
        <w:t>growth</w:t>
      </w:r>
    </w:p>
    <w:p w:rsidR="0086047D" w:rsidRPr="006007C7" w:rsidRDefault="0086047D" w:rsidP="0086047D">
      <w:pPr>
        <w:spacing w:line="360" w:lineRule="auto"/>
        <w:ind w:left="-360" w:right="42"/>
        <w:jc w:val="center"/>
        <w:rPr>
          <w:b/>
          <w:bCs/>
          <w:sz w:val="22"/>
          <w:szCs w:val="22"/>
        </w:rPr>
      </w:pPr>
    </w:p>
    <w:p w:rsidR="0086047D" w:rsidRPr="006007C7" w:rsidRDefault="0086047D" w:rsidP="0086047D">
      <w:pPr>
        <w:spacing w:line="360" w:lineRule="auto"/>
        <w:ind w:left="-360" w:right="42"/>
        <w:jc w:val="both"/>
        <w:rPr>
          <w:sz w:val="22"/>
          <w:szCs w:val="22"/>
        </w:rPr>
      </w:pPr>
      <w:r w:rsidRPr="006007C7">
        <w:rPr>
          <w:sz w:val="22"/>
          <w:szCs w:val="22"/>
        </w:rPr>
        <w:t xml:space="preserve">To reach </w:t>
      </w:r>
      <w:r w:rsidR="007629CE">
        <w:rPr>
          <w:sz w:val="22"/>
          <w:szCs w:val="22"/>
        </w:rPr>
        <w:t xml:space="preserve">the </w:t>
      </w:r>
      <w:r w:rsidRPr="006007C7">
        <w:rPr>
          <w:sz w:val="22"/>
          <w:szCs w:val="22"/>
        </w:rPr>
        <w:t xml:space="preserve">3.2 percent annual growth that is projected in the medium term programme, </w:t>
      </w:r>
      <w:r w:rsidR="007629CE">
        <w:rPr>
          <w:sz w:val="22"/>
          <w:szCs w:val="22"/>
        </w:rPr>
        <w:t xml:space="preserve">the </w:t>
      </w:r>
      <w:r w:rsidRPr="006007C7">
        <w:rPr>
          <w:sz w:val="22"/>
          <w:szCs w:val="22"/>
        </w:rPr>
        <w:t>QoQ real GDP growth should be</w:t>
      </w:r>
      <w:r w:rsidR="007629CE">
        <w:rPr>
          <w:sz w:val="22"/>
          <w:szCs w:val="22"/>
        </w:rPr>
        <w:t xml:space="preserve"> more than</w:t>
      </w:r>
      <w:r w:rsidRPr="006007C7">
        <w:rPr>
          <w:sz w:val="22"/>
          <w:szCs w:val="22"/>
        </w:rPr>
        <w:t xml:space="preserve"> 1 percent and YoY growth should be </w:t>
      </w:r>
      <w:r w:rsidR="007629CE">
        <w:rPr>
          <w:sz w:val="22"/>
          <w:szCs w:val="22"/>
        </w:rPr>
        <w:t xml:space="preserve">more than </w:t>
      </w:r>
      <w:r w:rsidRPr="006007C7">
        <w:rPr>
          <w:sz w:val="22"/>
          <w:szCs w:val="22"/>
        </w:rPr>
        <w:t xml:space="preserve">4 percent in the fourth quarter according to our calculations. In present conditions, it’s not hard to reach medium term programme </w:t>
      </w:r>
      <w:r w:rsidR="00E01C50" w:rsidRPr="006007C7">
        <w:rPr>
          <w:sz w:val="22"/>
          <w:szCs w:val="22"/>
        </w:rPr>
        <w:t>projections</w:t>
      </w:r>
      <w:r w:rsidRPr="006007C7">
        <w:rPr>
          <w:sz w:val="22"/>
          <w:szCs w:val="22"/>
        </w:rPr>
        <w:t>. Lately</w:t>
      </w:r>
      <w:r w:rsidR="007629CE">
        <w:rPr>
          <w:sz w:val="22"/>
          <w:szCs w:val="22"/>
        </w:rPr>
        <w:t>,</w:t>
      </w:r>
      <w:r w:rsidRPr="006007C7">
        <w:rPr>
          <w:sz w:val="22"/>
          <w:szCs w:val="22"/>
        </w:rPr>
        <w:t xml:space="preserve"> </w:t>
      </w:r>
      <w:r w:rsidR="00E304E9">
        <w:rPr>
          <w:sz w:val="22"/>
          <w:szCs w:val="22"/>
        </w:rPr>
        <w:t xml:space="preserve">the </w:t>
      </w:r>
      <w:r w:rsidRPr="006007C7">
        <w:rPr>
          <w:sz w:val="22"/>
          <w:szCs w:val="22"/>
        </w:rPr>
        <w:t xml:space="preserve">CBRT </w:t>
      </w:r>
      <w:r w:rsidR="00E304E9">
        <w:rPr>
          <w:sz w:val="22"/>
          <w:szCs w:val="22"/>
        </w:rPr>
        <w:t>narrowed the interest rate corridor from above and</w:t>
      </w:r>
      <w:r w:rsidRPr="006007C7">
        <w:rPr>
          <w:sz w:val="22"/>
          <w:szCs w:val="22"/>
        </w:rPr>
        <w:t xml:space="preserve"> reduce</w:t>
      </w:r>
      <w:r w:rsidR="00E304E9">
        <w:rPr>
          <w:sz w:val="22"/>
          <w:szCs w:val="22"/>
        </w:rPr>
        <w:t>d</w:t>
      </w:r>
      <w:r w:rsidRPr="006007C7">
        <w:rPr>
          <w:sz w:val="22"/>
          <w:szCs w:val="22"/>
        </w:rPr>
        <w:t xml:space="preserve"> the weighted average cost of the</w:t>
      </w:r>
      <w:r>
        <w:rPr>
          <w:sz w:val="22"/>
          <w:szCs w:val="22"/>
        </w:rPr>
        <w:t xml:space="preserve"> </w:t>
      </w:r>
      <w:r w:rsidRPr="006007C7">
        <w:rPr>
          <w:sz w:val="22"/>
          <w:szCs w:val="22"/>
        </w:rPr>
        <w:t xml:space="preserve">funding below 6 percent.  </w:t>
      </w:r>
      <w:r w:rsidR="00C80F50">
        <w:rPr>
          <w:sz w:val="22"/>
          <w:szCs w:val="22"/>
        </w:rPr>
        <w:t>Consequently t</w:t>
      </w:r>
      <w:r w:rsidRPr="006007C7">
        <w:rPr>
          <w:sz w:val="22"/>
          <w:szCs w:val="22"/>
        </w:rPr>
        <w:t>he interest rates</w:t>
      </w:r>
      <w:r w:rsidR="00C80F50">
        <w:rPr>
          <w:sz w:val="22"/>
          <w:szCs w:val="22"/>
        </w:rPr>
        <w:t xml:space="preserve"> on bank</w:t>
      </w:r>
      <w:r w:rsidRPr="006007C7">
        <w:rPr>
          <w:sz w:val="22"/>
          <w:szCs w:val="22"/>
        </w:rPr>
        <w:t xml:space="preserve"> deposits and loans </w:t>
      </w:r>
      <w:r w:rsidR="00DE7FCB">
        <w:rPr>
          <w:sz w:val="22"/>
          <w:szCs w:val="22"/>
        </w:rPr>
        <w:t>have</w:t>
      </w:r>
      <w:r w:rsidR="00C80F50">
        <w:rPr>
          <w:sz w:val="22"/>
          <w:szCs w:val="22"/>
        </w:rPr>
        <w:t xml:space="preserve"> been falling</w:t>
      </w:r>
      <w:r w:rsidRPr="006007C7">
        <w:rPr>
          <w:sz w:val="22"/>
          <w:szCs w:val="22"/>
        </w:rPr>
        <w:t xml:space="preserve"> (Figure 4).  The rating upgrade of Turkey to investment grade by Fitch is expected to </w:t>
      </w:r>
      <w:r w:rsidR="00DE7FCB">
        <w:rPr>
          <w:sz w:val="22"/>
          <w:szCs w:val="22"/>
        </w:rPr>
        <w:t xml:space="preserve">further reduce </w:t>
      </w:r>
      <w:r w:rsidRPr="006007C7">
        <w:rPr>
          <w:sz w:val="22"/>
          <w:szCs w:val="22"/>
        </w:rPr>
        <w:t>interest</w:t>
      </w:r>
      <w:r w:rsidR="00DE7FCB">
        <w:rPr>
          <w:sz w:val="22"/>
          <w:szCs w:val="22"/>
        </w:rPr>
        <w:t xml:space="preserve"> rates</w:t>
      </w:r>
      <w:r w:rsidRPr="006007C7">
        <w:rPr>
          <w:sz w:val="22"/>
          <w:szCs w:val="22"/>
        </w:rPr>
        <w:t>. A</w:t>
      </w:r>
      <w:r w:rsidR="00DE7FCB">
        <w:rPr>
          <w:sz w:val="22"/>
          <w:szCs w:val="22"/>
        </w:rPr>
        <w:t xml:space="preserve"> </w:t>
      </w:r>
      <w:r w:rsidRPr="006007C7">
        <w:rPr>
          <w:sz w:val="22"/>
          <w:szCs w:val="22"/>
        </w:rPr>
        <w:t xml:space="preserve">similar rating upgrade </w:t>
      </w:r>
      <w:r w:rsidR="00DE7FCB">
        <w:rPr>
          <w:sz w:val="22"/>
          <w:szCs w:val="22"/>
        </w:rPr>
        <w:t xml:space="preserve">from other rating agencies </w:t>
      </w:r>
      <w:r w:rsidRPr="006007C7">
        <w:rPr>
          <w:sz w:val="22"/>
          <w:szCs w:val="22"/>
        </w:rPr>
        <w:t>may foster capital inflows. I</w:t>
      </w:r>
      <w:r w:rsidR="00DE7FCB">
        <w:rPr>
          <w:sz w:val="22"/>
          <w:szCs w:val="22"/>
        </w:rPr>
        <w:t>n this case, we believe that the CRBT will take</w:t>
      </w:r>
      <w:r w:rsidRPr="006007C7">
        <w:rPr>
          <w:sz w:val="22"/>
          <w:szCs w:val="22"/>
        </w:rPr>
        <w:t xml:space="preserve"> </w:t>
      </w:r>
      <w:r w:rsidR="00DE7FCB">
        <w:rPr>
          <w:sz w:val="22"/>
          <w:szCs w:val="22"/>
        </w:rPr>
        <w:t>steps to slow down the flow in order to maintain financial stability</w:t>
      </w:r>
      <w:r>
        <w:rPr>
          <w:sz w:val="22"/>
          <w:szCs w:val="22"/>
        </w:rPr>
        <w:t>. We expect that</w:t>
      </w:r>
      <w:r w:rsidR="00DE7FCB">
        <w:rPr>
          <w:sz w:val="22"/>
          <w:szCs w:val="22"/>
        </w:rPr>
        <w:t xml:space="preserve"> these developments will have a</w:t>
      </w:r>
      <w:r>
        <w:rPr>
          <w:sz w:val="22"/>
          <w:szCs w:val="22"/>
        </w:rPr>
        <w:t xml:space="preserve"> positive impact on </w:t>
      </w:r>
      <w:r w:rsidR="00DE7FCB">
        <w:rPr>
          <w:sz w:val="22"/>
          <w:szCs w:val="22"/>
        </w:rPr>
        <w:t xml:space="preserve">growth both in the </w:t>
      </w:r>
      <w:r>
        <w:rPr>
          <w:sz w:val="22"/>
          <w:szCs w:val="22"/>
        </w:rPr>
        <w:t>fourth quarter and</w:t>
      </w:r>
      <w:r w:rsidR="00DE7FCB">
        <w:rPr>
          <w:sz w:val="22"/>
          <w:szCs w:val="22"/>
        </w:rPr>
        <w:t xml:space="preserve"> throughout</w:t>
      </w:r>
      <w:r>
        <w:rPr>
          <w:sz w:val="22"/>
          <w:szCs w:val="22"/>
        </w:rPr>
        <w:t xml:space="preserve"> 2013. On the other hand, the slowdown in industrial production in Europe and especially in Germany and </w:t>
      </w:r>
      <w:r w:rsidRPr="00341DD4">
        <w:rPr>
          <w:sz w:val="22"/>
          <w:szCs w:val="22"/>
        </w:rPr>
        <w:t>no immediate solution</w:t>
      </w:r>
      <w:r>
        <w:rPr>
          <w:sz w:val="22"/>
          <w:szCs w:val="22"/>
        </w:rPr>
        <w:t xml:space="preserve"> for the ongoing conflict in Syria increases concern</w:t>
      </w:r>
      <w:r w:rsidR="00C37AC3">
        <w:rPr>
          <w:sz w:val="22"/>
          <w:szCs w:val="22"/>
        </w:rPr>
        <w:t>s</w:t>
      </w:r>
      <w:r>
        <w:rPr>
          <w:sz w:val="22"/>
          <w:szCs w:val="22"/>
        </w:rPr>
        <w:t xml:space="preserve"> for </w:t>
      </w:r>
      <w:r w:rsidR="00DE7FCB">
        <w:rPr>
          <w:sz w:val="22"/>
          <w:szCs w:val="22"/>
        </w:rPr>
        <w:t xml:space="preserve">the </w:t>
      </w:r>
      <w:r>
        <w:rPr>
          <w:sz w:val="22"/>
          <w:szCs w:val="22"/>
        </w:rPr>
        <w:t xml:space="preserve">Turkish economy. </w:t>
      </w:r>
    </w:p>
    <w:p w:rsidR="0086047D" w:rsidRPr="006007C7" w:rsidRDefault="0086047D" w:rsidP="0086047D">
      <w:pPr>
        <w:spacing w:line="360" w:lineRule="auto"/>
        <w:ind w:right="42"/>
        <w:rPr>
          <w:b/>
          <w:bCs/>
          <w:sz w:val="22"/>
          <w:szCs w:val="22"/>
        </w:rPr>
      </w:pPr>
    </w:p>
    <w:p w:rsidR="0086047D" w:rsidRDefault="0086047D" w:rsidP="0086047D">
      <w:pPr>
        <w:spacing w:line="360" w:lineRule="auto"/>
        <w:ind w:left="-360" w:right="42"/>
        <w:jc w:val="center"/>
        <w:rPr>
          <w:b/>
          <w:bCs/>
          <w:sz w:val="22"/>
          <w:szCs w:val="22"/>
        </w:rPr>
      </w:pPr>
      <w:r>
        <w:rPr>
          <w:b/>
          <w:bCs/>
          <w:sz w:val="22"/>
          <w:szCs w:val="22"/>
        </w:rPr>
        <w:t>Consumption expenditure increases in the 3</w:t>
      </w:r>
      <w:r w:rsidRPr="0078582D">
        <w:rPr>
          <w:b/>
          <w:bCs/>
          <w:sz w:val="22"/>
          <w:szCs w:val="22"/>
          <w:vertAlign w:val="superscript"/>
        </w:rPr>
        <w:t>rd</w:t>
      </w:r>
      <w:r>
        <w:rPr>
          <w:b/>
          <w:bCs/>
          <w:sz w:val="22"/>
          <w:szCs w:val="22"/>
        </w:rPr>
        <w:t xml:space="preserve"> quarter</w:t>
      </w:r>
    </w:p>
    <w:p w:rsidR="0086047D" w:rsidRDefault="0086047D" w:rsidP="0086047D">
      <w:pPr>
        <w:spacing w:line="360" w:lineRule="auto"/>
        <w:ind w:left="-360" w:right="42"/>
        <w:jc w:val="center"/>
        <w:rPr>
          <w:b/>
          <w:bCs/>
          <w:sz w:val="22"/>
          <w:szCs w:val="22"/>
        </w:rPr>
      </w:pPr>
    </w:p>
    <w:p w:rsidR="0086047D" w:rsidRDefault="0086047D" w:rsidP="0086047D">
      <w:pPr>
        <w:spacing w:line="360" w:lineRule="auto"/>
        <w:ind w:left="-360" w:right="42"/>
        <w:jc w:val="both"/>
        <w:rPr>
          <w:bCs/>
          <w:sz w:val="22"/>
          <w:szCs w:val="22"/>
        </w:rPr>
      </w:pPr>
      <w:r>
        <w:rPr>
          <w:bCs/>
          <w:sz w:val="22"/>
          <w:szCs w:val="22"/>
        </w:rPr>
        <w:t xml:space="preserve">The economic indicators </w:t>
      </w:r>
      <w:r>
        <w:rPr>
          <w:sz w:val="22"/>
          <w:szCs w:val="22"/>
        </w:rPr>
        <w:t>we use</w:t>
      </w:r>
      <w:r w:rsidRPr="003A30B6">
        <w:rPr>
          <w:sz w:val="22"/>
          <w:szCs w:val="22"/>
        </w:rPr>
        <w:t xml:space="preserve"> </w:t>
      </w:r>
      <w:r>
        <w:rPr>
          <w:sz w:val="22"/>
          <w:szCs w:val="22"/>
        </w:rPr>
        <w:t>in</w:t>
      </w:r>
      <w:r w:rsidRPr="003A30B6">
        <w:rPr>
          <w:sz w:val="22"/>
          <w:szCs w:val="22"/>
        </w:rPr>
        <w:t xml:space="preserve"> forecast</w:t>
      </w:r>
      <w:r>
        <w:rPr>
          <w:sz w:val="22"/>
          <w:szCs w:val="22"/>
        </w:rPr>
        <w:t>ing</w:t>
      </w:r>
      <w:r w:rsidRPr="003A30B6">
        <w:rPr>
          <w:sz w:val="22"/>
          <w:szCs w:val="22"/>
        </w:rPr>
        <w:t xml:space="preserve"> private</w:t>
      </w:r>
      <w:r>
        <w:rPr>
          <w:sz w:val="22"/>
          <w:szCs w:val="22"/>
        </w:rPr>
        <w:t xml:space="preserve"> consumption expenditures indicate that</w:t>
      </w:r>
      <w:r>
        <w:rPr>
          <w:bCs/>
          <w:sz w:val="22"/>
          <w:szCs w:val="22"/>
        </w:rPr>
        <w:t xml:space="preserve"> the private consumption expenditure increased in the third quarter from the second quarter. In the third quarter, d</w:t>
      </w:r>
      <w:r w:rsidRPr="003A30B6">
        <w:rPr>
          <w:sz w:val="22"/>
          <w:szCs w:val="22"/>
        </w:rPr>
        <w:t xml:space="preserve">urable and </w:t>
      </w:r>
      <w:r>
        <w:rPr>
          <w:sz w:val="22"/>
          <w:szCs w:val="22"/>
        </w:rPr>
        <w:t>non-</w:t>
      </w:r>
      <w:r w:rsidRPr="003A30B6">
        <w:rPr>
          <w:sz w:val="22"/>
          <w:szCs w:val="22"/>
        </w:rPr>
        <w:t>dura</w:t>
      </w:r>
      <w:r>
        <w:rPr>
          <w:sz w:val="22"/>
          <w:szCs w:val="22"/>
        </w:rPr>
        <w:t>ble consumer goods</w:t>
      </w:r>
      <w:r w:rsidRPr="003A30B6">
        <w:rPr>
          <w:sz w:val="22"/>
          <w:szCs w:val="22"/>
        </w:rPr>
        <w:t xml:space="preserve"> production</w:t>
      </w:r>
      <w:r>
        <w:rPr>
          <w:sz w:val="22"/>
          <w:szCs w:val="22"/>
        </w:rPr>
        <w:t>s</w:t>
      </w:r>
      <w:r w:rsidRPr="003A30B6">
        <w:rPr>
          <w:sz w:val="22"/>
          <w:szCs w:val="22"/>
        </w:rPr>
        <w:t xml:space="preserve"> increas</w:t>
      </w:r>
      <w:r>
        <w:rPr>
          <w:sz w:val="22"/>
          <w:szCs w:val="22"/>
        </w:rPr>
        <w:t xml:space="preserve">ed by 1.9 percent and 2.8 </w:t>
      </w:r>
      <w:r>
        <w:rPr>
          <w:sz w:val="22"/>
          <w:szCs w:val="22"/>
        </w:rPr>
        <w:lastRenderedPageBreak/>
        <w:t>percent</w:t>
      </w:r>
      <w:r w:rsidR="009D07BE">
        <w:rPr>
          <w:sz w:val="22"/>
          <w:szCs w:val="22"/>
        </w:rPr>
        <w:t>,</w:t>
      </w:r>
      <w:r w:rsidRPr="003A30B6">
        <w:rPr>
          <w:sz w:val="22"/>
          <w:szCs w:val="22"/>
        </w:rPr>
        <w:t xml:space="preserve"> respectively</w:t>
      </w:r>
      <w:r w:rsidR="009D07BE">
        <w:rPr>
          <w:sz w:val="22"/>
          <w:szCs w:val="22"/>
        </w:rPr>
        <w:t>,</w:t>
      </w:r>
      <w:r>
        <w:rPr>
          <w:sz w:val="22"/>
          <w:szCs w:val="22"/>
        </w:rPr>
        <w:t xml:space="preserve"> from the last quarter</w:t>
      </w:r>
      <w:r w:rsidRPr="003A30B6">
        <w:rPr>
          <w:sz w:val="22"/>
          <w:szCs w:val="22"/>
        </w:rPr>
        <w:t>.</w:t>
      </w:r>
      <w:r>
        <w:rPr>
          <w:sz w:val="22"/>
          <w:szCs w:val="22"/>
        </w:rPr>
        <w:t xml:space="preserve"> Also in the same period, special consumption tax revenue increased by 1.5 percent, mostly because of new tax hikes by the government. However, imports of consumption goods and consumer confidence index decreased by 0.6 percent and 0.5 percent in the third quarter.</w:t>
      </w:r>
      <w:r w:rsidR="009D07BE">
        <w:rPr>
          <w:rStyle w:val="DipnotBavurusu"/>
          <w:sz w:val="22"/>
          <w:szCs w:val="22"/>
        </w:rPr>
        <w:footnoteReference w:id="2"/>
      </w:r>
      <w:r>
        <w:rPr>
          <w:sz w:val="22"/>
          <w:szCs w:val="22"/>
        </w:rPr>
        <w:t xml:space="preserve">  </w:t>
      </w:r>
    </w:p>
    <w:p w:rsidR="0086047D" w:rsidRPr="00AC753E" w:rsidRDefault="0086047D" w:rsidP="0086047D">
      <w:pPr>
        <w:spacing w:line="360" w:lineRule="auto"/>
        <w:ind w:left="-360" w:right="42"/>
        <w:jc w:val="both"/>
        <w:rPr>
          <w:bCs/>
          <w:sz w:val="22"/>
          <w:szCs w:val="22"/>
        </w:rPr>
      </w:pPr>
      <w:r w:rsidRPr="006007C7">
        <w:rPr>
          <w:sz w:val="22"/>
          <w:szCs w:val="22"/>
        </w:rPr>
        <w:t xml:space="preserve">     </w:t>
      </w:r>
    </w:p>
    <w:p w:rsidR="0086047D" w:rsidRPr="006007C7" w:rsidRDefault="0086047D" w:rsidP="0086047D">
      <w:pPr>
        <w:spacing w:line="360" w:lineRule="auto"/>
        <w:ind w:left="-360" w:right="42"/>
        <w:jc w:val="center"/>
        <w:rPr>
          <w:b/>
          <w:bCs/>
          <w:sz w:val="22"/>
          <w:szCs w:val="22"/>
        </w:rPr>
      </w:pPr>
      <w:r>
        <w:rPr>
          <w:b/>
          <w:bCs/>
          <w:sz w:val="22"/>
          <w:szCs w:val="22"/>
        </w:rPr>
        <w:t>Investment expenditure continues to fall</w:t>
      </w:r>
    </w:p>
    <w:p w:rsidR="0086047D" w:rsidRPr="006007C7" w:rsidRDefault="0086047D" w:rsidP="0086047D">
      <w:pPr>
        <w:spacing w:line="360" w:lineRule="auto"/>
        <w:ind w:left="-360" w:right="42"/>
        <w:jc w:val="center"/>
        <w:rPr>
          <w:b/>
          <w:bCs/>
          <w:sz w:val="22"/>
          <w:szCs w:val="22"/>
        </w:rPr>
      </w:pPr>
    </w:p>
    <w:p w:rsidR="0086047D" w:rsidRDefault="0086047D" w:rsidP="0086047D">
      <w:pPr>
        <w:spacing w:line="360" w:lineRule="auto"/>
        <w:ind w:left="-360" w:right="42"/>
        <w:jc w:val="both"/>
        <w:rPr>
          <w:sz w:val="22"/>
          <w:szCs w:val="22"/>
        </w:rPr>
      </w:pPr>
      <w:r>
        <w:rPr>
          <w:bCs/>
          <w:sz w:val="22"/>
          <w:szCs w:val="22"/>
        </w:rPr>
        <w:t xml:space="preserve">The economic indicators </w:t>
      </w:r>
      <w:r>
        <w:rPr>
          <w:sz w:val="22"/>
          <w:szCs w:val="22"/>
        </w:rPr>
        <w:t>we use</w:t>
      </w:r>
      <w:r w:rsidRPr="003A30B6">
        <w:rPr>
          <w:sz w:val="22"/>
          <w:szCs w:val="22"/>
        </w:rPr>
        <w:t xml:space="preserve"> </w:t>
      </w:r>
      <w:r>
        <w:rPr>
          <w:sz w:val="22"/>
          <w:szCs w:val="22"/>
        </w:rPr>
        <w:t>in</w:t>
      </w:r>
      <w:r w:rsidRPr="003A30B6">
        <w:rPr>
          <w:sz w:val="22"/>
          <w:szCs w:val="22"/>
        </w:rPr>
        <w:t xml:space="preserve"> forecast</w:t>
      </w:r>
      <w:r>
        <w:rPr>
          <w:sz w:val="22"/>
          <w:szCs w:val="22"/>
        </w:rPr>
        <w:t>ing</w:t>
      </w:r>
      <w:r w:rsidRPr="003A30B6">
        <w:rPr>
          <w:sz w:val="22"/>
          <w:szCs w:val="22"/>
        </w:rPr>
        <w:t xml:space="preserve"> private</w:t>
      </w:r>
      <w:r>
        <w:rPr>
          <w:sz w:val="22"/>
          <w:szCs w:val="22"/>
        </w:rPr>
        <w:t xml:space="preserve"> investment expenditures were mainly positive in July, August and September, but overall they didn’t increase enough to offset the slump in the second quarter. Therefore, the level of the economic indicators in the third quarter is </w:t>
      </w:r>
      <w:r w:rsidR="00510349">
        <w:rPr>
          <w:sz w:val="22"/>
          <w:szCs w:val="22"/>
        </w:rPr>
        <w:t xml:space="preserve">mostly </w:t>
      </w:r>
      <w:r>
        <w:rPr>
          <w:sz w:val="22"/>
          <w:szCs w:val="22"/>
        </w:rPr>
        <w:t>lower than the previous quarter. Real sector confidence index, investment goods index and automobile production decreased by 3.7 percent, 7.8 percent and 1.1 percent</w:t>
      </w:r>
      <w:r w:rsidR="00510349">
        <w:rPr>
          <w:sz w:val="22"/>
          <w:szCs w:val="22"/>
        </w:rPr>
        <w:t>,</w:t>
      </w:r>
      <w:r>
        <w:rPr>
          <w:sz w:val="22"/>
          <w:szCs w:val="22"/>
        </w:rPr>
        <w:t xml:space="preserve"> respectively</w:t>
      </w:r>
      <w:r w:rsidR="00510349">
        <w:rPr>
          <w:sz w:val="22"/>
          <w:szCs w:val="22"/>
        </w:rPr>
        <w:t>,</w:t>
      </w:r>
      <w:r>
        <w:rPr>
          <w:sz w:val="22"/>
          <w:szCs w:val="22"/>
        </w:rPr>
        <w:t xml:space="preserve"> in the third quarter compared to the previous quarter. Also in the same period, capacity utilization rate fell by 1.8 percent</w:t>
      </w:r>
      <w:r w:rsidR="00510349">
        <w:rPr>
          <w:sz w:val="22"/>
          <w:szCs w:val="22"/>
        </w:rPr>
        <w:t>age</w:t>
      </w:r>
      <w:r>
        <w:rPr>
          <w:sz w:val="22"/>
          <w:szCs w:val="22"/>
        </w:rPr>
        <w:t xml:space="preserve"> point</w:t>
      </w:r>
      <w:r w:rsidR="00510349">
        <w:rPr>
          <w:sz w:val="22"/>
          <w:szCs w:val="22"/>
        </w:rPr>
        <w:t>s</w:t>
      </w:r>
      <w:r>
        <w:rPr>
          <w:sz w:val="22"/>
          <w:szCs w:val="22"/>
        </w:rPr>
        <w:t xml:space="preserve">. </w:t>
      </w:r>
      <w:r w:rsidR="00510349">
        <w:rPr>
          <w:sz w:val="22"/>
          <w:szCs w:val="22"/>
        </w:rPr>
        <w:t>The o</w:t>
      </w:r>
      <w:r>
        <w:rPr>
          <w:sz w:val="22"/>
          <w:szCs w:val="22"/>
        </w:rPr>
        <w:t xml:space="preserve">nly indicator </w:t>
      </w:r>
      <w:r w:rsidR="00510349">
        <w:rPr>
          <w:sz w:val="22"/>
          <w:szCs w:val="22"/>
        </w:rPr>
        <w:t xml:space="preserve">for investment </w:t>
      </w:r>
      <w:r>
        <w:rPr>
          <w:sz w:val="22"/>
          <w:szCs w:val="22"/>
        </w:rPr>
        <w:t xml:space="preserve">that increased in the third quarter is </w:t>
      </w:r>
      <w:r w:rsidR="00510349">
        <w:rPr>
          <w:sz w:val="22"/>
          <w:szCs w:val="22"/>
        </w:rPr>
        <w:t xml:space="preserve">the </w:t>
      </w:r>
      <w:r>
        <w:rPr>
          <w:sz w:val="22"/>
          <w:szCs w:val="22"/>
        </w:rPr>
        <w:t>IPI</w:t>
      </w:r>
      <w:r w:rsidR="00510349">
        <w:rPr>
          <w:sz w:val="22"/>
          <w:szCs w:val="22"/>
        </w:rPr>
        <w:t>, but the increase was at a slower pace than that in the second quarter. In conclusion, we expect the</w:t>
      </w:r>
      <w:r>
        <w:rPr>
          <w:sz w:val="22"/>
          <w:szCs w:val="22"/>
        </w:rPr>
        <w:t xml:space="preserve"> private consumption expenditure </w:t>
      </w:r>
      <w:r w:rsidR="00510349">
        <w:rPr>
          <w:sz w:val="22"/>
          <w:szCs w:val="22"/>
        </w:rPr>
        <w:t>to</w:t>
      </w:r>
      <w:r>
        <w:rPr>
          <w:sz w:val="22"/>
          <w:szCs w:val="22"/>
        </w:rPr>
        <w:t xml:space="preserve"> decrease in the third quarter compared to the previous quarter.   </w:t>
      </w:r>
    </w:p>
    <w:p w:rsidR="00510349" w:rsidRDefault="00510349" w:rsidP="0086047D">
      <w:pPr>
        <w:spacing w:line="360" w:lineRule="auto"/>
        <w:ind w:right="42"/>
        <w:jc w:val="both"/>
        <w:rPr>
          <w:sz w:val="22"/>
          <w:szCs w:val="22"/>
        </w:rPr>
      </w:pPr>
    </w:p>
    <w:p w:rsidR="00510349" w:rsidRDefault="00510349" w:rsidP="0086047D">
      <w:pPr>
        <w:spacing w:line="360" w:lineRule="auto"/>
        <w:ind w:right="42"/>
        <w:jc w:val="both"/>
        <w:rPr>
          <w:sz w:val="22"/>
          <w:szCs w:val="22"/>
        </w:rPr>
      </w:pPr>
    </w:p>
    <w:p w:rsidR="00510349" w:rsidRDefault="00510349" w:rsidP="0086047D">
      <w:pPr>
        <w:spacing w:line="360" w:lineRule="auto"/>
        <w:ind w:right="42"/>
        <w:jc w:val="both"/>
        <w:rPr>
          <w:sz w:val="22"/>
          <w:szCs w:val="22"/>
        </w:rPr>
      </w:pPr>
    </w:p>
    <w:p w:rsidR="00510349" w:rsidRPr="006007C7" w:rsidRDefault="00510349" w:rsidP="0086047D">
      <w:pPr>
        <w:spacing w:line="360" w:lineRule="auto"/>
        <w:ind w:right="42"/>
        <w:jc w:val="both"/>
        <w:rPr>
          <w:sz w:val="22"/>
          <w:szCs w:val="22"/>
        </w:rPr>
      </w:pPr>
    </w:p>
    <w:p w:rsidR="0086047D" w:rsidRPr="006007C7" w:rsidRDefault="00510349" w:rsidP="0086047D">
      <w:pPr>
        <w:spacing w:line="360" w:lineRule="auto"/>
        <w:ind w:left="-360" w:right="42"/>
        <w:jc w:val="center"/>
        <w:rPr>
          <w:b/>
          <w:bCs/>
          <w:sz w:val="22"/>
          <w:szCs w:val="22"/>
        </w:rPr>
      </w:pPr>
      <w:r>
        <w:rPr>
          <w:b/>
          <w:bCs/>
          <w:sz w:val="22"/>
          <w:szCs w:val="22"/>
        </w:rPr>
        <w:lastRenderedPageBreak/>
        <w:t>Contribution of n</w:t>
      </w:r>
      <w:r w:rsidR="0086047D">
        <w:rPr>
          <w:b/>
          <w:bCs/>
          <w:sz w:val="22"/>
          <w:szCs w:val="22"/>
        </w:rPr>
        <w:t xml:space="preserve">et exports </w:t>
      </w:r>
      <w:r>
        <w:rPr>
          <w:b/>
          <w:bCs/>
          <w:sz w:val="22"/>
          <w:szCs w:val="22"/>
        </w:rPr>
        <w:t>is smaller</w:t>
      </w:r>
    </w:p>
    <w:p w:rsidR="0086047D" w:rsidRPr="006007C7" w:rsidRDefault="0086047D" w:rsidP="0086047D">
      <w:pPr>
        <w:spacing w:line="360" w:lineRule="auto"/>
        <w:ind w:left="-360" w:right="42"/>
        <w:jc w:val="center"/>
        <w:rPr>
          <w:b/>
          <w:bCs/>
          <w:sz w:val="22"/>
          <w:szCs w:val="22"/>
        </w:rPr>
      </w:pPr>
    </w:p>
    <w:p w:rsidR="00460CBF" w:rsidRDefault="0086047D" w:rsidP="00460CBF">
      <w:pPr>
        <w:spacing w:line="360" w:lineRule="auto"/>
        <w:ind w:left="-360" w:right="42"/>
        <w:jc w:val="both"/>
        <w:rPr>
          <w:sz w:val="22"/>
          <w:szCs w:val="22"/>
        </w:rPr>
      </w:pPr>
      <w:r w:rsidRPr="008B2149">
        <w:rPr>
          <w:sz w:val="22"/>
          <w:szCs w:val="22"/>
        </w:rPr>
        <w:t xml:space="preserve">Figure 2 shows monthly changes of seasonally adjusted import and export volume indices. In </w:t>
      </w:r>
      <w:r>
        <w:rPr>
          <w:sz w:val="22"/>
          <w:szCs w:val="22"/>
        </w:rPr>
        <w:t>the third quarter,</w:t>
      </w:r>
      <w:r w:rsidRPr="008B2149">
        <w:rPr>
          <w:sz w:val="22"/>
          <w:szCs w:val="22"/>
        </w:rPr>
        <w:t xml:space="preserve"> expo</w:t>
      </w:r>
      <w:r>
        <w:rPr>
          <w:sz w:val="22"/>
          <w:szCs w:val="22"/>
        </w:rPr>
        <w:t>rt volume index increased by 3.8</w:t>
      </w:r>
      <w:r w:rsidRPr="008B2149">
        <w:rPr>
          <w:sz w:val="22"/>
          <w:szCs w:val="22"/>
        </w:rPr>
        <w:t xml:space="preserve"> percent </w:t>
      </w:r>
      <w:r>
        <w:rPr>
          <w:sz w:val="22"/>
          <w:szCs w:val="22"/>
        </w:rPr>
        <w:t>whereas</w:t>
      </w:r>
      <w:r w:rsidRPr="008B2149">
        <w:rPr>
          <w:sz w:val="22"/>
          <w:szCs w:val="22"/>
        </w:rPr>
        <w:t xml:space="preserve"> import volume index</w:t>
      </w:r>
      <w:r>
        <w:rPr>
          <w:sz w:val="22"/>
          <w:szCs w:val="22"/>
        </w:rPr>
        <w:t xml:space="preserve"> decreased by 0.3</w:t>
      </w:r>
      <w:r w:rsidRPr="008B2149">
        <w:rPr>
          <w:sz w:val="22"/>
          <w:szCs w:val="22"/>
        </w:rPr>
        <w:t xml:space="preserve"> percent</w:t>
      </w:r>
      <w:r w:rsidR="00510349">
        <w:rPr>
          <w:sz w:val="22"/>
          <w:szCs w:val="22"/>
        </w:rPr>
        <w:t xml:space="preserve"> from the second quarter</w:t>
      </w:r>
      <w:r w:rsidRPr="008B2149">
        <w:rPr>
          <w:sz w:val="22"/>
          <w:szCs w:val="22"/>
        </w:rPr>
        <w:t>.</w:t>
      </w:r>
      <w:r w:rsidR="00510349">
        <w:rPr>
          <w:sz w:val="22"/>
          <w:szCs w:val="22"/>
        </w:rPr>
        <w:t xml:space="preserve"> When we adjust</w:t>
      </w:r>
      <w:r>
        <w:rPr>
          <w:sz w:val="22"/>
          <w:szCs w:val="22"/>
        </w:rPr>
        <w:t xml:space="preserve"> the trade data for gold trade</w:t>
      </w:r>
      <w:r w:rsidR="00510349">
        <w:rPr>
          <w:sz w:val="22"/>
          <w:szCs w:val="22"/>
        </w:rPr>
        <w:t xml:space="preserve"> (i.e., excluding gold imports and exports)</w:t>
      </w:r>
      <w:r>
        <w:rPr>
          <w:sz w:val="22"/>
          <w:szCs w:val="22"/>
        </w:rPr>
        <w:t>, we see that the export</w:t>
      </w:r>
      <w:r w:rsidR="00510349">
        <w:rPr>
          <w:sz w:val="22"/>
          <w:szCs w:val="22"/>
        </w:rPr>
        <w:t>s</w:t>
      </w:r>
      <w:r>
        <w:rPr>
          <w:sz w:val="22"/>
          <w:szCs w:val="22"/>
        </w:rPr>
        <w:t xml:space="preserve"> and import</w:t>
      </w:r>
      <w:r w:rsidR="00510349">
        <w:rPr>
          <w:sz w:val="22"/>
          <w:szCs w:val="22"/>
        </w:rPr>
        <w:t>s</w:t>
      </w:r>
      <w:r>
        <w:rPr>
          <w:sz w:val="22"/>
          <w:szCs w:val="22"/>
        </w:rPr>
        <w:t xml:space="preserve"> </w:t>
      </w:r>
      <w:r w:rsidR="00510349">
        <w:rPr>
          <w:sz w:val="22"/>
          <w:szCs w:val="22"/>
        </w:rPr>
        <w:t>in real terms</w:t>
      </w:r>
      <w:r>
        <w:rPr>
          <w:sz w:val="22"/>
          <w:szCs w:val="22"/>
        </w:rPr>
        <w:t xml:space="preserve"> decreased by 0.6 and 0.8 percent</w:t>
      </w:r>
      <w:r w:rsidR="00510349">
        <w:rPr>
          <w:sz w:val="22"/>
          <w:szCs w:val="22"/>
        </w:rPr>
        <w:t>,</w:t>
      </w:r>
      <w:r>
        <w:rPr>
          <w:sz w:val="22"/>
          <w:szCs w:val="22"/>
        </w:rPr>
        <w:t xml:space="preserve"> respectively. </w:t>
      </w:r>
      <w:r w:rsidR="00510349">
        <w:rPr>
          <w:sz w:val="22"/>
          <w:szCs w:val="22"/>
        </w:rPr>
        <w:t>We believe that</w:t>
      </w:r>
      <w:r>
        <w:rPr>
          <w:sz w:val="22"/>
          <w:szCs w:val="22"/>
        </w:rPr>
        <w:t xml:space="preserve"> the contribution of net exports to real GDP growth w</w:t>
      </w:r>
      <w:r w:rsidR="00510349">
        <w:rPr>
          <w:sz w:val="22"/>
          <w:szCs w:val="22"/>
        </w:rPr>
        <w:t xml:space="preserve">ill continue being </w:t>
      </w:r>
      <w:r>
        <w:rPr>
          <w:sz w:val="22"/>
          <w:szCs w:val="22"/>
        </w:rPr>
        <w:t xml:space="preserve">positive in the third quarter, </w:t>
      </w:r>
      <w:r w:rsidR="00510349">
        <w:rPr>
          <w:sz w:val="22"/>
          <w:szCs w:val="22"/>
        </w:rPr>
        <w:t>however,</w:t>
      </w:r>
      <w:r>
        <w:rPr>
          <w:sz w:val="22"/>
          <w:szCs w:val="22"/>
        </w:rPr>
        <w:t xml:space="preserve"> when gold </w:t>
      </w:r>
      <w:r w:rsidR="00510349">
        <w:rPr>
          <w:sz w:val="22"/>
          <w:szCs w:val="22"/>
        </w:rPr>
        <w:t>trade is excluded</w:t>
      </w:r>
      <w:r>
        <w:rPr>
          <w:sz w:val="22"/>
          <w:szCs w:val="22"/>
        </w:rPr>
        <w:t xml:space="preserve">, </w:t>
      </w:r>
      <w:r w:rsidR="00510349">
        <w:rPr>
          <w:sz w:val="22"/>
          <w:szCs w:val="22"/>
        </w:rPr>
        <w:t>the net contribution c</w:t>
      </w:r>
      <w:r>
        <w:rPr>
          <w:sz w:val="22"/>
          <w:szCs w:val="22"/>
        </w:rPr>
        <w:t xml:space="preserve">ould be very close to zero.      </w:t>
      </w:r>
    </w:p>
    <w:p w:rsidR="00460CBF" w:rsidRDefault="00460CBF" w:rsidP="00460CBF">
      <w:pPr>
        <w:spacing w:line="360" w:lineRule="auto"/>
        <w:ind w:left="-360" w:right="42"/>
        <w:jc w:val="both"/>
        <w:rPr>
          <w:sz w:val="22"/>
          <w:szCs w:val="22"/>
        </w:rPr>
      </w:pPr>
    </w:p>
    <w:p w:rsidR="0086047D" w:rsidRPr="00460CBF" w:rsidRDefault="0086047D" w:rsidP="00460CBF">
      <w:pPr>
        <w:spacing w:line="360" w:lineRule="auto"/>
        <w:ind w:left="-360" w:right="42"/>
        <w:jc w:val="center"/>
        <w:rPr>
          <w:sz w:val="22"/>
          <w:szCs w:val="22"/>
        </w:rPr>
      </w:pPr>
      <w:r>
        <w:rPr>
          <w:b/>
          <w:bCs/>
          <w:color w:val="000000"/>
          <w:sz w:val="22"/>
          <w:szCs w:val="22"/>
        </w:rPr>
        <w:t>Current account deficit is close to 7 percent</w:t>
      </w:r>
    </w:p>
    <w:p w:rsidR="0086047D" w:rsidRDefault="0086047D" w:rsidP="0086047D">
      <w:pPr>
        <w:spacing w:line="360" w:lineRule="auto"/>
        <w:ind w:right="42"/>
        <w:jc w:val="center"/>
        <w:rPr>
          <w:b/>
          <w:bCs/>
          <w:sz w:val="22"/>
          <w:szCs w:val="22"/>
        </w:rPr>
      </w:pPr>
    </w:p>
    <w:p w:rsidR="0086047D" w:rsidRPr="009210ED" w:rsidRDefault="0086047D" w:rsidP="0086047D">
      <w:pPr>
        <w:spacing w:line="360" w:lineRule="auto"/>
        <w:ind w:left="-360" w:right="42"/>
        <w:jc w:val="both"/>
        <w:rPr>
          <w:bCs/>
          <w:sz w:val="22"/>
          <w:szCs w:val="22"/>
        </w:rPr>
      </w:pPr>
      <w:r w:rsidRPr="009210ED">
        <w:rPr>
          <w:bCs/>
          <w:sz w:val="22"/>
          <w:szCs w:val="22"/>
        </w:rPr>
        <w:t xml:space="preserve">The 12-month current account deficit </w:t>
      </w:r>
      <w:r w:rsidR="0076770A">
        <w:rPr>
          <w:bCs/>
          <w:sz w:val="22"/>
          <w:szCs w:val="22"/>
        </w:rPr>
        <w:t>had fallen to</w:t>
      </w:r>
      <w:r w:rsidRPr="009210ED">
        <w:rPr>
          <w:bCs/>
          <w:sz w:val="22"/>
          <w:szCs w:val="22"/>
        </w:rPr>
        <w:t xml:space="preserve"> $59 billion at the end of August</w:t>
      </w:r>
      <w:r>
        <w:rPr>
          <w:bCs/>
          <w:sz w:val="22"/>
          <w:szCs w:val="22"/>
        </w:rPr>
        <w:t xml:space="preserve">. </w:t>
      </w:r>
      <w:r w:rsidRPr="006007C7">
        <w:rPr>
          <w:sz w:val="22"/>
          <w:szCs w:val="22"/>
        </w:rPr>
        <w:t xml:space="preserve">In September, the trade deficit decreased </w:t>
      </w:r>
      <w:r w:rsidR="0076770A">
        <w:rPr>
          <w:sz w:val="22"/>
          <w:szCs w:val="22"/>
        </w:rPr>
        <w:t xml:space="preserve">further </w:t>
      </w:r>
      <w:r w:rsidRPr="006007C7">
        <w:rPr>
          <w:sz w:val="22"/>
          <w:szCs w:val="22"/>
        </w:rPr>
        <w:t xml:space="preserve">by </w:t>
      </w:r>
      <w:r w:rsidR="0076770A">
        <w:rPr>
          <w:sz w:val="22"/>
          <w:szCs w:val="22"/>
        </w:rPr>
        <w:t>$</w:t>
      </w:r>
      <w:r w:rsidRPr="006007C7">
        <w:rPr>
          <w:sz w:val="22"/>
          <w:szCs w:val="22"/>
        </w:rPr>
        <w:t>3.6 billion compared to the same month of the last year.</w:t>
      </w:r>
      <w:r>
        <w:rPr>
          <w:sz w:val="22"/>
          <w:szCs w:val="22"/>
        </w:rPr>
        <w:t xml:space="preserve"> </w:t>
      </w:r>
      <w:r w:rsidRPr="006007C7">
        <w:rPr>
          <w:sz w:val="22"/>
          <w:szCs w:val="22"/>
        </w:rPr>
        <w:t>The declin</w:t>
      </w:r>
      <w:r w:rsidR="0076770A">
        <w:rPr>
          <w:sz w:val="22"/>
          <w:szCs w:val="22"/>
        </w:rPr>
        <w:t>e in the trade deficit continued</w:t>
      </w:r>
      <w:r w:rsidRPr="006007C7">
        <w:rPr>
          <w:sz w:val="22"/>
          <w:szCs w:val="22"/>
        </w:rPr>
        <w:t xml:space="preserve"> to red</w:t>
      </w:r>
      <w:r>
        <w:rPr>
          <w:sz w:val="22"/>
          <w:szCs w:val="22"/>
        </w:rPr>
        <w:t xml:space="preserve">uce the current account deficit and </w:t>
      </w:r>
      <w:r w:rsidR="0076770A">
        <w:rPr>
          <w:sz w:val="22"/>
          <w:szCs w:val="22"/>
        </w:rPr>
        <w:t xml:space="preserve">the </w:t>
      </w:r>
      <w:r>
        <w:rPr>
          <w:sz w:val="22"/>
          <w:szCs w:val="22"/>
        </w:rPr>
        <w:t xml:space="preserve">12-month current account deficit </w:t>
      </w:r>
      <w:r w:rsidR="0076770A">
        <w:rPr>
          <w:sz w:val="22"/>
          <w:szCs w:val="22"/>
        </w:rPr>
        <w:t>ended up at</w:t>
      </w:r>
      <w:r>
        <w:rPr>
          <w:sz w:val="22"/>
          <w:szCs w:val="22"/>
        </w:rPr>
        <w:t xml:space="preserve"> </w:t>
      </w:r>
      <w:r w:rsidR="0076770A">
        <w:rPr>
          <w:sz w:val="22"/>
          <w:szCs w:val="22"/>
        </w:rPr>
        <w:t>$56</w:t>
      </w:r>
      <w:r>
        <w:rPr>
          <w:sz w:val="22"/>
          <w:szCs w:val="22"/>
        </w:rPr>
        <w:t xml:space="preserve"> billion at the end of the third quarter. Therefore, we expect the 12-month current account deficit to the GDP ratio, which was 8.3 at the end of the second quarter, to decline to 7.2 percent at the end of the third quarter. We expect the decline in the current account deficit to slowdown in the fourth quarter as base effect from the previous year slowly disappears. </w:t>
      </w:r>
    </w:p>
    <w:p w:rsidR="003E5C49" w:rsidRDefault="003E5C49" w:rsidP="008C38E5">
      <w:pPr>
        <w:spacing w:line="360" w:lineRule="auto"/>
        <w:ind w:left="-360" w:right="42"/>
        <w:jc w:val="both"/>
        <w:rPr>
          <w:sz w:val="22"/>
          <w:szCs w:val="22"/>
        </w:rPr>
      </w:pPr>
      <w:r>
        <w:rPr>
          <w:sz w:val="22"/>
          <w:szCs w:val="22"/>
        </w:rPr>
        <w:t xml:space="preserve">  </w:t>
      </w:r>
    </w:p>
    <w:p w:rsidR="00DF379E" w:rsidRDefault="00DF379E" w:rsidP="008C38E5">
      <w:pPr>
        <w:spacing w:line="360" w:lineRule="auto"/>
        <w:ind w:left="-360" w:right="42"/>
        <w:jc w:val="both"/>
        <w:rPr>
          <w:sz w:val="22"/>
          <w:szCs w:val="22"/>
        </w:rPr>
      </w:pPr>
    </w:p>
    <w:p w:rsidR="008C38E5" w:rsidRPr="008B2149" w:rsidRDefault="008C38E5" w:rsidP="00551E19">
      <w:pPr>
        <w:spacing w:line="360" w:lineRule="auto"/>
        <w:ind w:right="42"/>
        <w:jc w:val="both"/>
        <w:rPr>
          <w:sz w:val="22"/>
          <w:szCs w:val="22"/>
        </w:rPr>
      </w:pPr>
    </w:p>
    <w:p w:rsidR="008C38E5" w:rsidRPr="008B2149" w:rsidRDefault="008C38E5" w:rsidP="008C38E5">
      <w:pPr>
        <w:spacing w:line="360" w:lineRule="auto"/>
        <w:ind w:right="42"/>
        <w:jc w:val="both"/>
        <w:rPr>
          <w:sz w:val="22"/>
          <w:szCs w:val="22"/>
        </w:rPr>
      </w:pPr>
    </w:p>
    <w:p w:rsidR="006E2D48" w:rsidRPr="008B2149" w:rsidRDefault="006E2D48" w:rsidP="00523C58">
      <w:pPr>
        <w:spacing w:line="360" w:lineRule="auto"/>
        <w:ind w:left="-360" w:right="42"/>
        <w:jc w:val="both"/>
        <w:rPr>
          <w:rFonts w:ascii="Arial" w:hAnsi="Arial" w:cs="Arial"/>
          <w:sz w:val="20"/>
          <w:szCs w:val="20"/>
        </w:rPr>
        <w:sectPr w:rsidR="006E2D48" w:rsidRPr="008B2149" w:rsidSect="00523C58">
          <w:type w:val="continuous"/>
          <w:pgSz w:w="11906" w:h="16838"/>
          <w:pgMar w:top="1417" w:right="1417" w:bottom="1417" w:left="1417" w:header="708" w:footer="708" w:gutter="0"/>
          <w:cols w:num="2" w:space="708" w:equalWidth="0">
            <w:col w:w="4182" w:space="708"/>
            <w:col w:w="4182"/>
          </w:cols>
          <w:docGrid w:linePitch="360"/>
        </w:sectPr>
      </w:pPr>
    </w:p>
    <w:p w:rsidR="008C6E50" w:rsidRPr="008B2149" w:rsidRDefault="00E823E8" w:rsidP="00E01C50">
      <w:pPr>
        <w:spacing w:line="360" w:lineRule="auto"/>
        <w:ind w:right="42"/>
        <w:rPr>
          <w:rFonts w:ascii="Arial" w:hAnsi="Arial" w:cs="Arial"/>
          <w:sz w:val="20"/>
          <w:szCs w:val="20"/>
        </w:rPr>
      </w:pPr>
      <w:r w:rsidRPr="008B2149">
        <w:rPr>
          <w:rFonts w:ascii="Arial" w:hAnsi="Arial" w:cs="Arial"/>
          <w:b/>
          <w:sz w:val="20"/>
          <w:szCs w:val="20"/>
        </w:rPr>
        <w:lastRenderedPageBreak/>
        <w:t>Table</w:t>
      </w:r>
      <w:r w:rsidR="008C6E50" w:rsidRPr="008B2149">
        <w:rPr>
          <w:rFonts w:ascii="Arial" w:hAnsi="Arial" w:cs="Arial"/>
          <w:b/>
          <w:sz w:val="20"/>
          <w:szCs w:val="20"/>
        </w:rPr>
        <w:t xml:space="preserve"> 2. </w:t>
      </w:r>
      <w:r w:rsidRPr="008B2149">
        <w:rPr>
          <w:rFonts w:ascii="Arial" w:hAnsi="Arial" w:cs="Arial"/>
          <w:b/>
          <w:sz w:val="20"/>
          <w:szCs w:val="20"/>
        </w:rPr>
        <w:t xml:space="preserve">Monthly and quarterly changes of Betam’s selected indicators (real </w:t>
      </w:r>
      <w:r w:rsidR="00455777" w:rsidRPr="008B2149">
        <w:rPr>
          <w:rFonts w:ascii="Arial" w:hAnsi="Arial" w:cs="Arial"/>
          <w:b/>
          <w:sz w:val="20"/>
          <w:szCs w:val="20"/>
        </w:rPr>
        <w:t>and</w:t>
      </w:r>
      <w:r w:rsidRPr="008B2149">
        <w:rPr>
          <w:rFonts w:ascii="Arial" w:hAnsi="Arial" w:cs="Arial"/>
          <w:b/>
          <w:sz w:val="20"/>
          <w:szCs w:val="20"/>
        </w:rPr>
        <w:t xml:space="preserve"> sa</w:t>
      </w:r>
      <w:r w:rsidR="008C6E50" w:rsidRPr="008B2149">
        <w:rPr>
          <w:rFonts w:ascii="Arial" w:hAnsi="Arial" w:cs="Arial"/>
          <w:b/>
          <w:sz w:val="20"/>
          <w:szCs w:val="20"/>
        </w:rPr>
        <w:t>)</w:t>
      </w:r>
    </w:p>
    <w:p w:rsidR="008C6E50" w:rsidRPr="008B2149" w:rsidRDefault="008C6E50" w:rsidP="001E4BF5">
      <w:pPr>
        <w:spacing w:line="360" w:lineRule="auto"/>
        <w:ind w:left="-360" w:right="42"/>
        <w:jc w:val="both"/>
        <w:rPr>
          <w:rFonts w:ascii="Arial" w:hAnsi="Arial" w:cs="Arial"/>
          <w:sz w:val="20"/>
          <w:szCs w:val="20"/>
        </w:rPr>
        <w:sectPr w:rsidR="008C6E50" w:rsidRPr="008B2149" w:rsidSect="0075074A">
          <w:type w:val="continuous"/>
          <w:pgSz w:w="11906" w:h="16838"/>
          <w:pgMar w:top="1417" w:right="1417" w:bottom="1417" w:left="1417" w:header="708" w:footer="708" w:gutter="0"/>
          <w:cols w:space="708"/>
          <w:docGrid w:linePitch="360"/>
        </w:sectPr>
      </w:pPr>
    </w:p>
    <w:tbl>
      <w:tblPr>
        <w:tblW w:w="5550" w:type="pct"/>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245"/>
        <w:gridCol w:w="1140"/>
        <w:gridCol w:w="1140"/>
        <w:gridCol w:w="1139"/>
        <w:gridCol w:w="1139"/>
        <w:gridCol w:w="1139"/>
        <w:gridCol w:w="1139"/>
      </w:tblGrid>
      <w:tr w:rsidR="00051CD0" w:rsidRPr="00067DF6" w:rsidTr="00230A81">
        <w:tc>
          <w:tcPr>
            <w:tcW w:w="1609" w:type="pct"/>
            <w:tcBorders>
              <w:bottom w:val="single" w:sz="4" w:space="0" w:color="auto"/>
            </w:tcBorders>
            <w:vAlign w:val="bottom"/>
          </w:tcPr>
          <w:p w:rsidR="00051CD0" w:rsidRPr="00067DF6" w:rsidRDefault="00051CD0" w:rsidP="00067DF6">
            <w:pPr>
              <w:spacing w:line="288" w:lineRule="auto"/>
              <w:ind w:right="77"/>
              <w:jc w:val="center"/>
              <w:rPr>
                <w:rFonts w:ascii="Arial" w:hAnsi="Arial" w:cs="Arial"/>
                <w:sz w:val="20"/>
                <w:szCs w:val="20"/>
              </w:rPr>
            </w:pPr>
            <w:r w:rsidRPr="00067DF6">
              <w:rPr>
                <w:rFonts w:ascii="Arial" w:hAnsi="Arial" w:cs="Arial"/>
                <w:b/>
                <w:sz w:val="20"/>
                <w:szCs w:val="20"/>
              </w:rPr>
              <w:lastRenderedPageBreak/>
              <w:t>Indicators</w:t>
            </w:r>
          </w:p>
        </w:tc>
        <w:tc>
          <w:tcPr>
            <w:tcW w:w="565" w:type="pct"/>
            <w:tcBorders>
              <w:bottom w:val="single" w:sz="4" w:space="0" w:color="auto"/>
            </w:tcBorders>
            <w:vAlign w:val="center"/>
          </w:tcPr>
          <w:p w:rsidR="00051CD0" w:rsidRPr="00067DF6" w:rsidRDefault="0086047D" w:rsidP="00067DF6">
            <w:pPr>
              <w:spacing w:line="288" w:lineRule="auto"/>
              <w:ind w:right="77"/>
              <w:jc w:val="center"/>
              <w:rPr>
                <w:rFonts w:ascii="Arial" w:hAnsi="Arial" w:cs="Arial"/>
                <w:b/>
                <w:sz w:val="20"/>
                <w:szCs w:val="20"/>
              </w:rPr>
            </w:pPr>
            <w:r>
              <w:rPr>
                <w:rFonts w:ascii="Arial" w:hAnsi="Arial" w:cs="Arial"/>
                <w:b/>
                <w:sz w:val="20"/>
                <w:szCs w:val="20"/>
              </w:rPr>
              <w:t>July</w:t>
            </w:r>
          </w:p>
        </w:tc>
        <w:tc>
          <w:tcPr>
            <w:tcW w:w="565" w:type="pct"/>
            <w:tcBorders>
              <w:bottom w:val="single" w:sz="4" w:space="0" w:color="auto"/>
            </w:tcBorders>
            <w:vAlign w:val="center"/>
          </w:tcPr>
          <w:p w:rsidR="00051CD0" w:rsidRPr="00067DF6" w:rsidRDefault="0086047D" w:rsidP="00067DF6">
            <w:pPr>
              <w:spacing w:line="288" w:lineRule="auto"/>
              <w:ind w:right="77"/>
              <w:jc w:val="center"/>
              <w:rPr>
                <w:rFonts w:ascii="Arial" w:hAnsi="Arial" w:cs="Arial"/>
                <w:b/>
                <w:sz w:val="20"/>
                <w:szCs w:val="20"/>
              </w:rPr>
            </w:pPr>
            <w:r>
              <w:rPr>
                <w:rFonts w:ascii="Arial" w:hAnsi="Arial" w:cs="Arial"/>
                <w:b/>
                <w:sz w:val="20"/>
                <w:szCs w:val="20"/>
              </w:rPr>
              <w:t>August</w:t>
            </w:r>
          </w:p>
        </w:tc>
        <w:tc>
          <w:tcPr>
            <w:tcW w:w="565" w:type="pct"/>
            <w:tcBorders>
              <w:bottom w:val="single" w:sz="4" w:space="0" w:color="auto"/>
            </w:tcBorders>
            <w:vAlign w:val="center"/>
          </w:tcPr>
          <w:p w:rsidR="00051CD0" w:rsidRPr="00067DF6" w:rsidRDefault="0086047D" w:rsidP="00067DF6">
            <w:pPr>
              <w:spacing w:line="288" w:lineRule="auto"/>
              <w:ind w:right="77"/>
              <w:jc w:val="center"/>
              <w:rPr>
                <w:rFonts w:ascii="Arial" w:hAnsi="Arial" w:cs="Arial"/>
                <w:b/>
                <w:sz w:val="20"/>
                <w:szCs w:val="20"/>
              </w:rPr>
            </w:pPr>
            <w:r>
              <w:rPr>
                <w:rFonts w:ascii="Arial" w:hAnsi="Arial" w:cs="Arial"/>
                <w:b/>
                <w:sz w:val="20"/>
                <w:szCs w:val="20"/>
              </w:rPr>
              <w:t>September</w:t>
            </w:r>
          </w:p>
        </w:tc>
        <w:tc>
          <w:tcPr>
            <w:tcW w:w="565" w:type="pct"/>
            <w:tcBorders>
              <w:bottom w:val="single" w:sz="4" w:space="0" w:color="auto"/>
            </w:tcBorders>
            <w:vAlign w:val="center"/>
          </w:tcPr>
          <w:p w:rsidR="00051CD0" w:rsidRPr="00067DF6" w:rsidRDefault="0086047D" w:rsidP="00067DF6">
            <w:pPr>
              <w:spacing w:line="288" w:lineRule="auto"/>
              <w:ind w:right="77"/>
              <w:jc w:val="center"/>
              <w:rPr>
                <w:rFonts w:ascii="Arial" w:hAnsi="Arial" w:cs="Arial"/>
                <w:b/>
                <w:sz w:val="20"/>
                <w:szCs w:val="20"/>
              </w:rPr>
            </w:pPr>
            <w:r>
              <w:rPr>
                <w:rFonts w:ascii="Arial" w:hAnsi="Arial" w:cs="Arial"/>
                <w:b/>
                <w:sz w:val="20"/>
                <w:szCs w:val="20"/>
              </w:rPr>
              <w:t>October</w:t>
            </w:r>
          </w:p>
        </w:tc>
        <w:tc>
          <w:tcPr>
            <w:tcW w:w="565" w:type="pct"/>
            <w:tcBorders>
              <w:left w:val="double" w:sz="4" w:space="0" w:color="auto"/>
              <w:bottom w:val="single" w:sz="4" w:space="0" w:color="auto"/>
            </w:tcBorders>
            <w:vAlign w:val="center"/>
          </w:tcPr>
          <w:p w:rsidR="00051CD0" w:rsidRPr="00067DF6" w:rsidRDefault="00230A81" w:rsidP="0086047D">
            <w:pPr>
              <w:spacing w:line="288" w:lineRule="auto"/>
              <w:ind w:right="77"/>
              <w:jc w:val="center"/>
              <w:rPr>
                <w:rFonts w:ascii="Arial" w:hAnsi="Arial" w:cs="Arial"/>
                <w:b/>
                <w:sz w:val="20"/>
                <w:szCs w:val="20"/>
              </w:rPr>
            </w:pPr>
            <w:r>
              <w:rPr>
                <w:rFonts w:ascii="Arial" w:hAnsi="Arial" w:cs="Arial"/>
                <w:b/>
                <w:sz w:val="20"/>
                <w:szCs w:val="20"/>
              </w:rPr>
              <w:t>201</w:t>
            </w:r>
            <w:r w:rsidR="003D0BE4">
              <w:rPr>
                <w:rFonts w:ascii="Arial" w:hAnsi="Arial" w:cs="Arial"/>
                <w:b/>
                <w:sz w:val="20"/>
                <w:szCs w:val="20"/>
              </w:rPr>
              <w:t>2</w:t>
            </w:r>
            <w:r>
              <w:rPr>
                <w:rFonts w:ascii="Arial" w:hAnsi="Arial" w:cs="Arial"/>
                <w:b/>
                <w:sz w:val="20"/>
                <w:szCs w:val="20"/>
              </w:rPr>
              <w:t xml:space="preserve"> </w:t>
            </w:r>
            <w:r w:rsidR="0086047D">
              <w:rPr>
                <w:rFonts w:ascii="Arial" w:hAnsi="Arial" w:cs="Arial"/>
                <w:b/>
                <w:sz w:val="20"/>
                <w:szCs w:val="20"/>
              </w:rPr>
              <w:t>2</w:t>
            </w:r>
            <w:r w:rsidR="0086047D" w:rsidRPr="0086047D">
              <w:rPr>
                <w:rFonts w:ascii="Arial" w:hAnsi="Arial" w:cs="Arial"/>
                <w:b/>
                <w:sz w:val="20"/>
                <w:szCs w:val="20"/>
                <w:vertAlign w:val="superscript"/>
              </w:rPr>
              <w:t>nd</w:t>
            </w:r>
            <w:r w:rsidR="0086047D">
              <w:rPr>
                <w:rFonts w:ascii="Arial" w:hAnsi="Arial" w:cs="Arial"/>
                <w:b/>
                <w:sz w:val="20"/>
                <w:szCs w:val="20"/>
              </w:rPr>
              <w:t xml:space="preserve"> </w:t>
            </w:r>
            <w:r w:rsidR="00051CD0" w:rsidRPr="00067DF6">
              <w:rPr>
                <w:rFonts w:ascii="Arial" w:hAnsi="Arial" w:cs="Arial"/>
                <w:b/>
                <w:sz w:val="20"/>
                <w:szCs w:val="20"/>
              </w:rPr>
              <w:t xml:space="preserve"> Quarter</w:t>
            </w:r>
          </w:p>
        </w:tc>
        <w:tc>
          <w:tcPr>
            <w:tcW w:w="565" w:type="pct"/>
            <w:tcBorders>
              <w:bottom w:val="single" w:sz="4" w:space="0" w:color="auto"/>
            </w:tcBorders>
            <w:vAlign w:val="center"/>
          </w:tcPr>
          <w:p w:rsidR="00051CD0" w:rsidRPr="00067DF6" w:rsidRDefault="00230A81" w:rsidP="0086047D">
            <w:pPr>
              <w:spacing w:line="288" w:lineRule="auto"/>
              <w:ind w:right="77"/>
              <w:jc w:val="center"/>
              <w:rPr>
                <w:rFonts w:ascii="Arial" w:hAnsi="Arial" w:cs="Arial"/>
                <w:b/>
                <w:sz w:val="20"/>
                <w:szCs w:val="20"/>
              </w:rPr>
            </w:pPr>
            <w:r>
              <w:rPr>
                <w:rFonts w:ascii="Arial" w:hAnsi="Arial" w:cs="Arial"/>
                <w:b/>
                <w:sz w:val="20"/>
                <w:szCs w:val="20"/>
              </w:rPr>
              <w:t>201</w:t>
            </w:r>
            <w:r w:rsidR="003D0BE4">
              <w:rPr>
                <w:rFonts w:ascii="Arial" w:hAnsi="Arial" w:cs="Arial"/>
                <w:b/>
                <w:sz w:val="20"/>
                <w:szCs w:val="20"/>
              </w:rPr>
              <w:t>2</w:t>
            </w:r>
            <w:r>
              <w:rPr>
                <w:rFonts w:ascii="Arial" w:hAnsi="Arial" w:cs="Arial"/>
                <w:b/>
                <w:sz w:val="20"/>
                <w:szCs w:val="20"/>
              </w:rPr>
              <w:t xml:space="preserve"> </w:t>
            </w:r>
            <w:r w:rsidR="0086047D">
              <w:rPr>
                <w:rFonts w:ascii="Arial" w:hAnsi="Arial" w:cs="Arial"/>
                <w:b/>
                <w:sz w:val="20"/>
                <w:szCs w:val="20"/>
              </w:rPr>
              <w:t>3</w:t>
            </w:r>
            <w:r w:rsidR="0086047D" w:rsidRPr="0086047D">
              <w:rPr>
                <w:rFonts w:ascii="Arial" w:hAnsi="Arial" w:cs="Arial"/>
                <w:b/>
                <w:sz w:val="20"/>
                <w:szCs w:val="20"/>
                <w:vertAlign w:val="superscript"/>
              </w:rPr>
              <w:t>rd</w:t>
            </w:r>
            <w:r w:rsidR="0086047D">
              <w:rPr>
                <w:rFonts w:ascii="Arial" w:hAnsi="Arial" w:cs="Arial"/>
                <w:b/>
                <w:sz w:val="20"/>
                <w:szCs w:val="20"/>
              </w:rPr>
              <w:t xml:space="preserve"> </w:t>
            </w:r>
            <w:r w:rsidR="00051CD0" w:rsidRPr="00067DF6">
              <w:rPr>
                <w:rFonts w:ascii="Arial" w:hAnsi="Arial" w:cs="Arial"/>
                <w:b/>
                <w:sz w:val="20"/>
                <w:szCs w:val="20"/>
              </w:rPr>
              <w:t>Quarter</w:t>
            </w:r>
          </w:p>
        </w:tc>
      </w:tr>
      <w:tr w:rsidR="0086047D" w:rsidRPr="00067DF6" w:rsidTr="00230A81">
        <w:trPr>
          <w:trHeight w:val="20"/>
        </w:trPr>
        <w:tc>
          <w:tcPr>
            <w:tcW w:w="1609" w:type="pct"/>
            <w:tcBorders>
              <w:bottom w:val="nil"/>
              <w:right w:val="single" w:sz="4" w:space="0" w:color="auto"/>
            </w:tcBorders>
            <w:vAlign w:val="bottom"/>
          </w:tcPr>
          <w:p w:rsidR="0086047D" w:rsidRPr="00067DF6" w:rsidRDefault="0086047D" w:rsidP="00067DF6">
            <w:pPr>
              <w:spacing w:line="288" w:lineRule="auto"/>
              <w:ind w:right="77"/>
              <w:rPr>
                <w:rFonts w:ascii="Arial" w:hAnsi="Arial" w:cs="Arial"/>
                <w:b/>
                <w:sz w:val="20"/>
                <w:szCs w:val="20"/>
              </w:rPr>
            </w:pPr>
            <w:r w:rsidRPr="00067DF6">
              <w:rPr>
                <w:rFonts w:ascii="Arial" w:hAnsi="Arial" w:cs="Arial"/>
                <w:b/>
                <w:sz w:val="20"/>
                <w:szCs w:val="20"/>
              </w:rPr>
              <w:t>Exports</w:t>
            </w:r>
          </w:p>
        </w:tc>
        <w:tc>
          <w:tcPr>
            <w:tcW w:w="565" w:type="pct"/>
            <w:tcBorders>
              <w:left w:val="single" w:sz="4" w:space="0" w:color="auto"/>
              <w:bottom w:val="nil"/>
              <w:right w:val="single" w:sz="4" w:space="0" w:color="auto"/>
            </w:tcBorders>
            <w:tcMar>
              <w:left w:w="0" w:type="dxa"/>
              <w:right w:w="160" w:type="dxa"/>
            </w:tcMar>
            <w:vAlign w:val="center"/>
          </w:tcPr>
          <w:p w:rsidR="0086047D" w:rsidRPr="006007C7" w:rsidRDefault="0086047D" w:rsidP="00E2683B">
            <w:pPr>
              <w:spacing w:line="288" w:lineRule="auto"/>
              <w:ind w:right="-12"/>
              <w:jc w:val="right"/>
              <w:rPr>
                <w:b/>
                <w:bCs/>
              </w:rPr>
            </w:pPr>
            <w:r w:rsidRPr="006007C7">
              <w:rPr>
                <w:b/>
                <w:bCs/>
              </w:rPr>
              <w:t>-1.3</w:t>
            </w:r>
          </w:p>
        </w:tc>
        <w:tc>
          <w:tcPr>
            <w:tcW w:w="565" w:type="pct"/>
            <w:tcBorders>
              <w:left w:val="single" w:sz="4" w:space="0" w:color="auto"/>
              <w:bottom w:val="nil"/>
              <w:right w:val="single" w:sz="4" w:space="0" w:color="auto"/>
            </w:tcBorders>
            <w:vAlign w:val="center"/>
          </w:tcPr>
          <w:p w:rsidR="0086047D" w:rsidRPr="006007C7" w:rsidRDefault="00E2683B" w:rsidP="00E2683B">
            <w:pPr>
              <w:spacing w:line="288" w:lineRule="auto"/>
              <w:ind w:right="-42"/>
              <w:jc w:val="center"/>
              <w:rPr>
                <w:b/>
                <w:bCs/>
              </w:rPr>
            </w:pPr>
            <w:r>
              <w:rPr>
                <w:b/>
                <w:bCs/>
              </w:rPr>
              <w:t xml:space="preserve">         </w:t>
            </w:r>
            <w:r w:rsidR="0086047D" w:rsidRPr="006007C7">
              <w:rPr>
                <w:b/>
                <w:bCs/>
              </w:rPr>
              <w:t>8.7</w:t>
            </w:r>
          </w:p>
        </w:tc>
        <w:tc>
          <w:tcPr>
            <w:tcW w:w="565" w:type="pct"/>
            <w:tcBorders>
              <w:left w:val="single" w:sz="4" w:space="0" w:color="auto"/>
              <w:bottom w:val="nil"/>
              <w:right w:val="single" w:sz="4" w:space="0" w:color="auto"/>
            </w:tcBorders>
            <w:vAlign w:val="center"/>
          </w:tcPr>
          <w:p w:rsidR="0086047D" w:rsidRPr="006007C7" w:rsidRDefault="0086047D" w:rsidP="0086047D">
            <w:pPr>
              <w:spacing w:line="288" w:lineRule="auto"/>
              <w:ind w:right="77"/>
              <w:jc w:val="right"/>
              <w:rPr>
                <w:b/>
                <w:bCs/>
              </w:rPr>
            </w:pPr>
            <w:r w:rsidRPr="006007C7">
              <w:rPr>
                <w:b/>
                <w:bCs/>
              </w:rPr>
              <w:t>-9.7</w:t>
            </w:r>
          </w:p>
        </w:tc>
        <w:tc>
          <w:tcPr>
            <w:tcW w:w="565" w:type="pct"/>
            <w:tcBorders>
              <w:left w:val="single" w:sz="4" w:space="0" w:color="auto"/>
              <w:bottom w:val="nil"/>
              <w:right w:val="single" w:sz="4" w:space="0" w:color="auto"/>
            </w:tcBorders>
            <w:tcMar>
              <w:left w:w="0" w:type="dxa"/>
              <w:right w:w="160" w:type="dxa"/>
            </w:tcMar>
            <w:vAlign w:val="center"/>
          </w:tcPr>
          <w:p w:rsidR="0086047D" w:rsidRPr="006007C7" w:rsidRDefault="0086047D" w:rsidP="00E2683B">
            <w:pPr>
              <w:spacing w:line="288" w:lineRule="auto"/>
              <w:jc w:val="right"/>
              <w:rPr>
                <w:b/>
                <w:bCs/>
              </w:rPr>
            </w:pPr>
            <w:r w:rsidRPr="006007C7">
              <w:rPr>
                <w:b/>
                <w:bCs/>
              </w:rPr>
              <w:t>**</w:t>
            </w:r>
          </w:p>
        </w:tc>
        <w:tc>
          <w:tcPr>
            <w:tcW w:w="565" w:type="pct"/>
            <w:tcBorders>
              <w:left w:val="double" w:sz="4" w:space="0" w:color="auto"/>
              <w:bottom w:val="nil"/>
              <w:right w:val="single" w:sz="4" w:space="0" w:color="auto"/>
            </w:tcBorders>
            <w:vAlign w:val="center"/>
          </w:tcPr>
          <w:p w:rsidR="0086047D" w:rsidRPr="006007C7" w:rsidRDefault="00E2683B" w:rsidP="00E2683B">
            <w:pPr>
              <w:spacing w:line="288" w:lineRule="auto"/>
              <w:ind w:right="-45"/>
              <w:jc w:val="center"/>
              <w:rPr>
                <w:b/>
                <w:bCs/>
              </w:rPr>
            </w:pPr>
            <w:r>
              <w:rPr>
                <w:b/>
                <w:bCs/>
              </w:rPr>
              <w:t xml:space="preserve">        </w:t>
            </w:r>
            <w:r w:rsidR="0086047D" w:rsidRPr="006007C7">
              <w:rPr>
                <w:b/>
                <w:bCs/>
              </w:rPr>
              <w:t>11.5</w:t>
            </w:r>
          </w:p>
        </w:tc>
        <w:tc>
          <w:tcPr>
            <w:tcW w:w="565" w:type="pct"/>
            <w:tcBorders>
              <w:left w:val="single" w:sz="4" w:space="0" w:color="auto"/>
              <w:bottom w:val="nil"/>
            </w:tcBorders>
            <w:vAlign w:val="center"/>
          </w:tcPr>
          <w:p w:rsidR="0086047D" w:rsidRPr="006007C7" w:rsidRDefault="0086047D" w:rsidP="0086047D">
            <w:pPr>
              <w:spacing w:line="288" w:lineRule="auto"/>
              <w:ind w:right="77"/>
              <w:jc w:val="right"/>
              <w:rPr>
                <w:b/>
                <w:bCs/>
              </w:rPr>
            </w:pPr>
            <w:r w:rsidRPr="006007C7">
              <w:rPr>
                <w:b/>
                <w:bCs/>
              </w:rPr>
              <w:t>3.8</w:t>
            </w:r>
          </w:p>
        </w:tc>
      </w:tr>
      <w:tr w:rsidR="0086047D" w:rsidRPr="00067DF6" w:rsidTr="00230A81">
        <w:trPr>
          <w:trHeight w:val="20"/>
        </w:trPr>
        <w:tc>
          <w:tcPr>
            <w:tcW w:w="1609" w:type="pct"/>
            <w:tcBorders>
              <w:bottom w:val="nil"/>
              <w:right w:val="single" w:sz="4" w:space="0" w:color="auto"/>
            </w:tcBorders>
            <w:vAlign w:val="bottom"/>
          </w:tcPr>
          <w:p w:rsidR="0086047D" w:rsidRPr="00067DF6" w:rsidRDefault="0086047D" w:rsidP="00067DF6">
            <w:pPr>
              <w:spacing w:line="288" w:lineRule="auto"/>
              <w:ind w:right="77"/>
              <w:rPr>
                <w:rFonts w:ascii="Arial" w:hAnsi="Arial" w:cs="Arial"/>
                <w:b/>
                <w:sz w:val="20"/>
                <w:szCs w:val="20"/>
              </w:rPr>
            </w:pPr>
            <w:r w:rsidRPr="00067DF6">
              <w:rPr>
                <w:rFonts w:ascii="Arial" w:hAnsi="Arial" w:cs="Arial"/>
                <w:b/>
                <w:sz w:val="20"/>
                <w:szCs w:val="20"/>
              </w:rPr>
              <w:t>Imports</w:t>
            </w:r>
          </w:p>
        </w:tc>
        <w:tc>
          <w:tcPr>
            <w:tcW w:w="565" w:type="pct"/>
            <w:tcBorders>
              <w:left w:val="single" w:sz="4" w:space="0" w:color="auto"/>
              <w:bottom w:val="nil"/>
              <w:right w:val="single" w:sz="4" w:space="0" w:color="auto"/>
            </w:tcBorders>
            <w:tcMar>
              <w:left w:w="0" w:type="dxa"/>
              <w:right w:w="160" w:type="dxa"/>
            </w:tcMar>
            <w:vAlign w:val="center"/>
          </w:tcPr>
          <w:p w:rsidR="0086047D" w:rsidRPr="006007C7" w:rsidRDefault="0086047D" w:rsidP="00E2683B">
            <w:pPr>
              <w:spacing w:line="288" w:lineRule="auto"/>
              <w:ind w:right="-12"/>
              <w:jc w:val="right"/>
              <w:rPr>
                <w:b/>
                <w:bCs/>
              </w:rPr>
            </w:pPr>
            <w:r w:rsidRPr="006007C7">
              <w:rPr>
                <w:b/>
                <w:bCs/>
              </w:rPr>
              <w:t>0.1</w:t>
            </w:r>
          </w:p>
        </w:tc>
        <w:tc>
          <w:tcPr>
            <w:tcW w:w="565" w:type="pct"/>
            <w:tcBorders>
              <w:left w:val="single" w:sz="4" w:space="0" w:color="auto"/>
              <w:bottom w:val="nil"/>
              <w:right w:val="single" w:sz="4" w:space="0" w:color="auto"/>
            </w:tcBorders>
            <w:vAlign w:val="center"/>
          </w:tcPr>
          <w:p w:rsidR="0086047D" w:rsidRPr="006007C7" w:rsidRDefault="00E2683B" w:rsidP="00E2683B">
            <w:pPr>
              <w:spacing w:line="288" w:lineRule="auto"/>
              <w:ind w:right="-42"/>
              <w:jc w:val="center"/>
              <w:rPr>
                <w:b/>
                <w:bCs/>
              </w:rPr>
            </w:pPr>
            <w:r>
              <w:rPr>
                <w:b/>
                <w:bCs/>
              </w:rPr>
              <w:t xml:space="preserve">        </w:t>
            </w:r>
            <w:r w:rsidR="0086047D" w:rsidRPr="006007C7">
              <w:rPr>
                <w:b/>
                <w:bCs/>
              </w:rPr>
              <w:t>-2.0</w:t>
            </w:r>
          </w:p>
        </w:tc>
        <w:tc>
          <w:tcPr>
            <w:tcW w:w="565" w:type="pct"/>
            <w:tcBorders>
              <w:left w:val="single" w:sz="4" w:space="0" w:color="auto"/>
              <w:bottom w:val="nil"/>
              <w:right w:val="single" w:sz="4" w:space="0" w:color="auto"/>
            </w:tcBorders>
            <w:vAlign w:val="center"/>
          </w:tcPr>
          <w:p w:rsidR="0086047D" w:rsidRPr="006007C7" w:rsidRDefault="0086047D" w:rsidP="0086047D">
            <w:pPr>
              <w:spacing w:line="288" w:lineRule="auto"/>
              <w:ind w:right="77"/>
              <w:jc w:val="right"/>
              <w:rPr>
                <w:b/>
                <w:bCs/>
              </w:rPr>
            </w:pPr>
            <w:r w:rsidRPr="006007C7">
              <w:rPr>
                <w:b/>
                <w:bCs/>
              </w:rPr>
              <w:t>1.0</w:t>
            </w:r>
          </w:p>
        </w:tc>
        <w:tc>
          <w:tcPr>
            <w:tcW w:w="565" w:type="pct"/>
            <w:tcBorders>
              <w:left w:val="single" w:sz="4" w:space="0" w:color="auto"/>
              <w:bottom w:val="nil"/>
              <w:right w:val="single" w:sz="4" w:space="0" w:color="auto"/>
            </w:tcBorders>
            <w:tcMar>
              <w:left w:w="0" w:type="dxa"/>
              <w:right w:w="160" w:type="dxa"/>
            </w:tcMar>
            <w:vAlign w:val="center"/>
          </w:tcPr>
          <w:p w:rsidR="0086047D" w:rsidRPr="006007C7" w:rsidRDefault="0086047D" w:rsidP="00E2683B">
            <w:pPr>
              <w:spacing w:line="288" w:lineRule="auto"/>
              <w:jc w:val="right"/>
              <w:rPr>
                <w:b/>
                <w:bCs/>
              </w:rPr>
            </w:pPr>
            <w:r w:rsidRPr="006007C7">
              <w:rPr>
                <w:b/>
                <w:bCs/>
              </w:rPr>
              <w:t>**</w:t>
            </w:r>
          </w:p>
        </w:tc>
        <w:tc>
          <w:tcPr>
            <w:tcW w:w="565" w:type="pct"/>
            <w:tcBorders>
              <w:left w:val="double" w:sz="4" w:space="0" w:color="auto"/>
              <w:bottom w:val="nil"/>
              <w:right w:val="single" w:sz="4" w:space="0" w:color="auto"/>
            </w:tcBorders>
            <w:vAlign w:val="center"/>
          </w:tcPr>
          <w:p w:rsidR="0086047D" w:rsidRPr="006007C7" w:rsidRDefault="00E2683B" w:rsidP="00E2683B">
            <w:pPr>
              <w:spacing w:line="288" w:lineRule="auto"/>
              <w:ind w:right="-45"/>
              <w:jc w:val="center"/>
              <w:rPr>
                <w:b/>
                <w:bCs/>
              </w:rPr>
            </w:pPr>
            <w:r>
              <w:rPr>
                <w:b/>
                <w:bCs/>
              </w:rPr>
              <w:t xml:space="preserve">        </w:t>
            </w:r>
            <w:r w:rsidR="0086047D" w:rsidRPr="006007C7">
              <w:rPr>
                <w:b/>
                <w:bCs/>
              </w:rPr>
              <w:t>2.8</w:t>
            </w:r>
          </w:p>
        </w:tc>
        <w:tc>
          <w:tcPr>
            <w:tcW w:w="565" w:type="pct"/>
            <w:tcBorders>
              <w:left w:val="single" w:sz="4" w:space="0" w:color="auto"/>
              <w:bottom w:val="nil"/>
            </w:tcBorders>
            <w:vAlign w:val="center"/>
          </w:tcPr>
          <w:p w:rsidR="0086047D" w:rsidRPr="006007C7" w:rsidRDefault="0086047D" w:rsidP="0086047D">
            <w:pPr>
              <w:spacing w:line="288" w:lineRule="auto"/>
              <w:ind w:right="77"/>
              <w:jc w:val="right"/>
              <w:rPr>
                <w:b/>
                <w:bCs/>
              </w:rPr>
            </w:pPr>
            <w:r w:rsidRPr="006007C7">
              <w:rPr>
                <w:b/>
                <w:bCs/>
              </w:rPr>
              <w:t>-0.3</w:t>
            </w:r>
          </w:p>
        </w:tc>
      </w:tr>
      <w:tr w:rsidR="0086047D" w:rsidRPr="00067DF6" w:rsidTr="00230A81">
        <w:trPr>
          <w:trHeight w:val="20"/>
        </w:trPr>
        <w:tc>
          <w:tcPr>
            <w:tcW w:w="1609" w:type="pct"/>
            <w:tcBorders>
              <w:top w:val="nil"/>
              <w:bottom w:val="nil"/>
              <w:right w:val="single" w:sz="4" w:space="0" w:color="auto"/>
            </w:tcBorders>
            <w:vAlign w:val="bottom"/>
          </w:tcPr>
          <w:p w:rsidR="0086047D" w:rsidRPr="00067DF6" w:rsidRDefault="0086047D" w:rsidP="00067DF6">
            <w:pPr>
              <w:spacing w:line="288" w:lineRule="auto"/>
              <w:ind w:right="77"/>
              <w:rPr>
                <w:rFonts w:ascii="Arial" w:hAnsi="Arial" w:cs="Arial"/>
                <w:sz w:val="20"/>
                <w:szCs w:val="20"/>
              </w:rPr>
            </w:pPr>
            <w:r w:rsidRPr="00067DF6">
              <w:rPr>
                <w:rFonts w:ascii="Arial" w:hAnsi="Arial" w:cs="Arial"/>
                <w:sz w:val="20"/>
                <w:szCs w:val="20"/>
              </w:rPr>
              <w:t>Intermediate goods import</w:t>
            </w:r>
          </w:p>
        </w:tc>
        <w:tc>
          <w:tcPr>
            <w:tcW w:w="565" w:type="pct"/>
            <w:tcBorders>
              <w:top w:val="nil"/>
              <w:left w:val="sing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12"/>
              <w:jc w:val="right"/>
            </w:pPr>
            <w:r w:rsidRPr="006007C7">
              <w:t>0.9</w:t>
            </w:r>
          </w:p>
        </w:tc>
        <w:tc>
          <w:tcPr>
            <w:tcW w:w="565" w:type="pct"/>
            <w:tcBorders>
              <w:top w:val="nil"/>
              <w:left w:val="single" w:sz="4" w:space="0" w:color="auto"/>
              <w:bottom w:val="nil"/>
              <w:right w:val="single" w:sz="4" w:space="0" w:color="auto"/>
            </w:tcBorders>
            <w:tcMar>
              <w:left w:w="0" w:type="dxa"/>
              <w:right w:w="160" w:type="dxa"/>
            </w:tcMar>
            <w:vAlign w:val="center"/>
          </w:tcPr>
          <w:p w:rsidR="0086047D" w:rsidRPr="006007C7" w:rsidRDefault="0086047D" w:rsidP="00E2683B">
            <w:pPr>
              <w:spacing w:line="288" w:lineRule="auto"/>
              <w:ind w:right="-42"/>
              <w:jc w:val="right"/>
            </w:pPr>
            <w:r w:rsidRPr="006007C7">
              <w:t>-3.6</w:t>
            </w:r>
          </w:p>
        </w:tc>
        <w:tc>
          <w:tcPr>
            <w:tcW w:w="565" w:type="pct"/>
            <w:tcBorders>
              <w:top w:val="nil"/>
              <w:left w:val="single" w:sz="4" w:space="0" w:color="auto"/>
              <w:bottom w:val="nil"/>
              <w:right w:val="single" w:sz="4" w:space="0" w:color="auto"/>
            </w:tcBorders>
            <w:vAlign w:val="center"/>
          </w:tcPr>
          <w:p w:rsidR="0086047D" w:rsidRPr="006007C7" w:rsidRDefault="0086047D" w:rsidP="0086047D">
            <w:pPr>
              <w:spacing w:line="288" w:lineRule="auto"/>
              <w:ind w:right="77"/>
              <w:jc w:val="right"/>
            </w:pPr>
            <w:r w:rsidRPr="006007C7">
              <w:t>-2.7</w:t>
            </w:r>
          </w:p>
        </w:tc>
        <w:tc>
          <w:tcPr>
            <w:tcW w:w="565" w:type="pct"/>
            <w:tcBorders>
              <w:top w:val="nil"/>
              <w:left w:val="single" w:sz="4" w:space="0" w:color="auto"/>
              <w:bottom w:val="nil"/>
              <w:right w:val="single" w:sz="4" w:space="0" w:color="auto"/>
            </w:tcBorders>
            <w:tcMar>
              <w:right w:w="160" w:type="dxa"/>
            </w:tcMar>
            <w:vAlign w:val="center"/>
          </w:tcPr>
          <w:p w:rsidR="0086047D" w:rsidRPr="006007C7" w:rsidRDefault="0086047D" w:rsidP="00E2683B">
            <w:pPr>
              <w:spacing w:line="288" w:lineRule="auto"/>
              <w:jc w:val="right"/>
            </w:pPr>
            <w:r w:rsidRPr="006007C7">
              <w:t>**</w:t>
            </w:r>
          </w:p>
        </w:tc>
        <w:tc>
          <w:tcPr>
            <w:tcW w:w="565" w:type="pct"/>
            <w:tcBorders>
              <w:top w:val="nil"/>
              <w:left w:val="doub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45"/>
              <w:jc w:val="right"/>
            </w:pPr>
            <w:r w:rsidRPr="006007C7">
              <w:t>5.2</w:t>
            </w:r>
          </w:p>
        </w:tc>
        <w:tc>
          <w:tcPr>
            <w:tcW w:w="565" w:type="pct"/>
            <w:tcBorders>
              <w:top w:val="nil"/>
              <w:left w:val="single" w:sz="4" w:space="0" w:color="auto"/>
              <w:bottom w:val="nil"/>
            </w:tcBorders>
            <w:vAlign w:val="center"/>
          </w:tcPr>
          <w:p w:rsidR="0086047D" w:rsidRPr="006007C7" w:rsidRDefault="0086047D" w:rsidP="0086047D">
            <w:pPr>
              <w:spacing w:line="288" w:lineRule="auto"/>
              <w:ind w:right="77"/>
              <w:jc w:val="right"/>
            </w:pPr>
            <w:r w:rsidRPr="006007C7">
              <w:t>-0.6</w:t>
            </w:r>
          </w:p>
        </w:tc>
      </w:tr>
      <w:tr w:rsidR="0086047D" w:rsidRPr="00067DF6" w:rsidTr="00230A81">
        <w:trPr>
          <w:trHeight w:val="20"/>
        </w:trPr>
        <w:tc>
          <w:tcPr>
            <w:tcW w:w="1609" w:type="pct"/>
            <w:tcBorders>
              <w:top w:val="nil"/>
              <w:bottom w:val="nil"/>
              <w:right w:val="single" w:sz="4" w:space="0" w:color="auto"/>
            </w:tcBorders>
            <w:vAlign w:val="bottom"/>
          </w:tcPr>
          <w:p w:rsidR="0086047D" w:rsidRPr="00067DF6" w:rsidRDefault="0086047D" w:rsidP="00067DF6">
            <w:pPr>
              <w:spacing w:line="288" w:lineRule="auto"/>
              <w:ind w:right="77"/>
              <w:rPr>
                <w:rFonts w:ascii="Arial" w:hAnsi="Arial" w:cs="Arial"/>
                <w:sz w:val="20"/>
                <w:szCs w:val="20"/>
              </w:rPr>
            </w:pPr>
            <w:r w:rsidRPr="00067DF6">
              <w:rPr>
                <w:rFonts w:ascii="Arial" w:hAnsi="Arial" w:cs="Arial"/>
                <w:sz w:val="20"/>
                <w:szCs w:val="20"/>
              </w:rPr>
              <w:t>Consumer goods import</w:t>
            </w:r>
          </w:p>
        </w:tc>
        <w:tc>
          <w:tcPr>
            <w:tcW w:w="565" w:type="pct"/>
            <w:tcBorders>
              <w:top w:val="nil"/>
              <w:left w:val="sing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12"/>
              <w:jc w:val="right"/>
            </w:pPr>
            <w:r w:rsidRPr="006007C7">
              <w:t>6.1</w:t>
            </w:r>
          </w:p>
        </w:tc>
        <w:tc>
          <w:tcPr>
            <w:tcW w:w="565" w:type="pct"/>
            <w:tcBorders>
              <w:top w:val="nil"/>
              <w:left w:val="single" w:sz="4" w:space="0" w:color="auto"/>
              <w:bottom w:val="nil"/>
              <w:right w:val="single" w:sz="4" w:space="0" w:color="auto"/>
            </w:tcBorders>
            <w:tcMar>
              <w:left w:w="0" w:type="dxa"/>
              <w:right w:w="160" w:type="dxa"/>
            </w:tcMar>
            <w:vAlign w:val="center"/>
          </w:tcPr>
          <w:p w:rsidR="0086047D" w:rsidRPr="006007C7" w:rsidRDefault="0086047D" w:rsidP="00E2683B">
            <w:pPr>
              <w:spacing w:line="288" w:lineRule="auto"/>
              <w:ind w:right="-42"/>
              <w:jc w:val="right"/>
            </w:pPr>
            <w:r w:rsidRPr="006007C7">
              <w:t>-7.4</w:t>
            </w:r>
          </w:p>
        </w:tc>
        <w:tc>
          <w:tcPr>
            <w:tcW w:w="565" w:type="pct"/>
            <w:tcBorders>
              <w:top w:val="nil"/>
              <w:left w:val="single" w:sz="4" w:space="0" w:color="auto"/>
              <w:bottom w:val="nil"/>
              <w:right w:val="single" w:sz="4" w:space="0" w:color="auto"/>
            </w:tcBorders>
            <w:vAlign w:val="center"/>
          </w:tcPr>
          <w:p w:rsidR="0086047D" w:rsidRPr="006007C7" w:rsidRDefault="0086047D" w:rsidP="0086047D">
            <w:pPr>
              <w:spacing w:line="288" w:lineRule="auto"/>
              <w:ind w:right="77"/>
              <w:jc w:val="right"/>
            </w:pPr>
            <w:r w:rsidRPr="006007C7">
              <w:t>0.4</w:t>
            </w:r>
          </w:p>
        </w:tc>
        <w:tc>
          <w:tcPr>
            <w:tcW w:w="565" w:type="pct"/>
            <w:tcBorders>
              <w:top w:val="nil"/>
              <w:left w:val="single" w:sz="4" w:space="0" w:color="auto"/>
              <w:bottom w:val="nil"/>
              <w:right w:val="single" w:sz="4" w:space="0" w:color="auto"/>
            </w:tcBorders>
            <w:tcMar>
              <w:right w:w="160" w:type="dxa"/>
            </w:tcMar>
            <w:vAlign w:val="center"/>
          </w:tcPr>
          <w:p w:rsidR="0086047D" w:rsidRPr="006007C7" w:rsidRDefault="0086047D" w:rsidP="00E2683B">
            <w:pPr>
              <w:spacing w:line="288" w:lineRule="auto"/>
              <w:jc w:val="right"/>
            </w:pPr>
            <w:r w:rsidRPr="006007C7">
              <w:t>**</w:t>
            </w:r>
          </w:p>
        </w:tc>
        <w:tc>
          <w:tcPr>
            <w:tcW w:w="565" w:type="pct"/>
            <w:tcBorders>
              <w:top w:val="nil"/>
              <w:left w:val="doub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45"/>
              <w:jc w:val="right"/>
            </w:pPr>
            <w:r w:rsidRPr="006007C7">
              <w:t>1.8</w:t>
            </w:r>
          </w:p>
        </w:tc>
        <w:tc>
          <w:tcPr>
            <w:tcW w:w="565" w:type="pct"/>
            <w:tcBorders>
              <w:top w:val="nil"/>
              <w:left w:val="single" w:sz="4" w:space="0" w:color="auto"/>
              <w:bottom w:val="nil"/>
            </w:tcBorders>
            <w:vAlign w:val="center"/>
          </w:tcPr>
          <w:p w:rsidR="0086047D" w:rsidRPr="006007C7" w:rsidRDefault="0086047D" w:rsidP="0086047D">
            <w:pPr>
              <w:spacing w:line="288" w:lineRule="auto"/>
              <w:ind w:right="77"/>
              <w:jc w:val="right"/>
            </w:pPr>
            <w:r w:rsidRPr="006007C7">
              <w:t>-0.6</w:t>
            </w:r>
          </w:p>
        </w:tc>
      </w:tr>
      <w:tr w:rsidR="0086047D" w:rsidRPr="00067DF6" w:rsidTr="00230A81">
        <w:trPr>
          <w:trHeight w:val="20"/>
        </w:trPr>
        <w:tc>
          <w:tcPr>
            <w:tcW w:w="1609" w:type="pct"/>
            <w:tcBorders>
              <w:top w:val="nil"/>
              <w:bottom w:val="single" w:sz="4" w:space="0" w:color="auto"/>
              <w:right w:val="single" w:sz="4" w:space="0" w:color="auto"/>
            </w:tcBorders>
            <w:vAlign w:val="bottom"/>
          </w:tcPr>
          <w:p w:rsidR="0086047D" w:rsidRPr="00067DF6" w:rsidRDefault="0086047D" w:rsidP="00067DF6">
            <w:pPr>
              <w:spacing w:line="288" w:lineRule="auto"/>
              <w:ind w:right="77"/>
              <w:rPr>
                <w:rFonts w:ascii="Arial" w:hAnsi="Arial" w:cs="Arial"/>
                <w:sz w:val="20"/>
                <w:szCs w:val="20"/>
              </w:rPr>
            </w:pPr>
            <w:r w:rsidRPr="00067DF6">
              <w:rPr>
                <w:rFonts w:ascii="Arial" w:hAnsi="Arial" w:cs="Arial"/>
                <w:sz w:val="20"/>
                <w:szCs w:val="20"/>
              </w:rPr>
              <w:t>Investment goods import</w:t>
            </w:r>
          </w:p>
        </w:tc>
        <w:tc>
          <w:tcPr>
            <w:tcW w:w="565" w:type="pct"/>
            <w:tcBorders>
              <w:top w:val="nil"/>
              <w:left w:val="single" w:sz="4" w:space="0" w:color="auto"/>
              <w:bottom w:val="single" w:sz="4" w:space="0" w:color="auto"/>
              <w:right w:val="single" w:sz="4" w:space="0" w:color="auto"/>
            </w:tcBorders>
            <w:tcMar>
              <w:left w:w="57" w:type="dxa"/>
              <w:right w:w="160" w:type="dxa"/>
            </w:tcMar>
            <w:vAlign w:val="center"/>
          </w:tcPr>
          <w:p w:rsidR="0086047D" w:rsidRPr="006007C7" w:rsidRDefault="0086047D" w:rsidP="00E2683B">
            <w:pPr>
              <w:spacing w:line="288" w:lineRule="auto"/>
              <w:ind w:right="-12"/>
              <w:jc w:val="right"/>
            </w:pPr>
            <w:r w:rsidRPr="006007C7">
              <w:t>11.7</w:t>
            </w:r>
          </w:p>
        </w:tc>
        <w:tc>
          <w:tcPr>
            <w:tcW w:w="565" w:type="pct"/>
            <w:tcBorders>
              <w:top w:val="nil"/>
              <w:left w:val="single" w:sz="4" w:space="0" w:color="auto"/>
              <w:bottom w:val="single" w:sz="4" w:space="0" w:color="auto"/>
              <w:right w:val="single" w:sz="4" w:space="0" w:color="auto"/>
            </w:tcBorders>
            <w:tcMar>
              <w:left w:w="0" w:type="dxa"/>
              <w:right w:w="160" w:type="dxa"/>
            </w:tcMar>
            <w:vAlign w:val="center"/>
          </w:tcPr>
          <w:p w:rsidR="0086047D" w:rsidRPr="006007C7" w:rsidRDefault="0086047D" w:rsidP="00E2683B">
            <w:pPr>
              <w:spacing w:line="288" w:lineRule="auto"/>
              <w:ind w:right="-42"/>
              <w:jc w:val="right"/>
            </w:pPr>
            <w:r w:rsidRPr="006007C7">
              <w:t>0.4</w:t>
            </w:r>
          </w:p>
        </w:tc>
        <w:tc>
          <w:tcPr>
            <w:tcW w:w="565" w:type="pct"/>
            <w:tcBorders>
              <w:top w:val="nil"/>
              <w:left w:val="single" w:sz="4" w:space="0" w:color="auto"/>
              <w:bottom w:val="single" w:sz="4" w:space="0" w:color="auto"/>
              <w:right w:val="single" w:sz="4" w:space="0" w:color="auto"/>
            </w:tcBorders>
            <w:vAlign w:val="center"/>
          </w:tcPr>
          <w:p w:rsidR="0086047D" w:rsidRPr="006007C7" w:rsidRDefault="0086047D" w:rsidP="0086047D">
            <w:pPr>
              <w:spacing w:line="288" w:lineRule="auto"/>
              <w:ind w:right="77"/>
              <w:jc w:val="right"/>
            </w:pPr>
            <w:r w:rsidRPr="006007C7">
              <w:t>1.7</w:t>
            </w:r>
          </w:p>
        </w:tc>
        <w:tc>
          <w:tcPr>
            <w:tcW w:w="565" w:type="pct"/>
            <w:tcBorders>
              <w:top w:val="nil"/>
              <w:left w:val="single" w:sz="4" w:space="0" w:color="auto"/>
              <w:bottom w:val="single" w:sz="4" w:space="0" w:color="auto"/>
              <w:right w:val="single" w:sz="4" w:space="0" w:color="auto"/>
            </w:tcBorders>
            <w:tcMar>
              <w:right w:w="160" w:type="dxa"/>
            </w:tcMar>
            <w:vAlign w:val="center"/>
          </w:tcPr>
          <w:p w:rsidR="0086047D" w:rsidRPr="006007C7" w:rsidRDefault="0086047D" w:rsidP="00E2683B">
            <w:pPr>
              <w:spacing w:line="288" w:lineRule="auto"/>
              <w:jc w:val="right"/>
            </w:pPr>
            <w:r w:rsidRPr="006007C7">
              <w:t>**</w:t>
            </w:r>
          </w:p>
        </w:tc>
        <w:tc>
          <w:tcPr>
            <w:tcW w:w="565" w:type="pct"/>
            <w:tcBorders>
              <w:top w:val="nil"/>
              <w:left w:val="double" w:sz="4" w:space="0" w:color="auto"/>
              <w:bottom w:val="single" w:sz="4" w:space="0" w:color="auto"/>
              <w:right w:val="single" w:sz="4" w:space="0" w:color="auto"/>
            </w:tcBorders>
            <w:tcMar>
              <w:left w:w="57" w:type="dxa"/>
              <w:right w:w="160" w:type="dxa"/>
            </w:tcMar>
            <w:vAlign w:val="center"/>
          </w:tcPr>
          <w:p w:rsidR="0086047D" w:rsidRPr="006007C7" w:rsidRDefault="0086047D" w:rsidP="00E2683B">
            <w:pPr>
              <w:spacing w:line="288" w:lineRule="auto"/>
              <w:ind w:right="-45"/>
              <w:jc w:val="right"/>
            </w:pPr>
            <w:r w:rsidRPr="006007C7">
              <w:t>-8.4</w:t>
            </w:r>
          </w:p>
        </w:tc>
        <w:tc>
          <w:tcPr>
            <w:tcW w:w="565" w:type="pct"/>
            <w:tcBorders>
              <w:top w:val="nil"/>
              <w:left w:val="single" w:sz="4" w:space="0" w:color="auto"/>
              <w:bottom w:val="single" w:sz="4" w:space="0" w:color="auto"/>
            </w:tcBorders>
            <w:vAlign w:val="center"/>
          </w:tcPr>
          <w:p w:rsidR="0086047D" w:rsidRPr="006007C7" w:rsidRDefault="0086047D" w:rsidP="0086047D">
            <w:pPr>
              <w:spacing w:line="288" w:lineRule="auto"/>
              <w:ind w:right="77"/>
              <w:jc w:val="right"/>
            </w:pPr>
            <w:r w:rsidRPr="006007C7">
              <w:t>-7.8</w:t>
            </w:r>
          </w:p>
        </w:tc>
      </w:tr>
      <w:tr w:rsidR="0086047D" w:rsidRPr="00067DF6" w:rsidTr="00230A81">
        <w:trPr>
          <w:trHeight w:val="20"/>
        </w:trPr>
        <w:tc>
          <w:tcPr>
            <w:tcW w:w="1609" w:type="pct"/>
            <w:tcBorders>
              <w:top w:val="nil"/>
              <w:bottom w:val="single" w:sz="4" w:space="0" w:color="auto"/>
              <w:right w:val="single" w:sz="4" w:space="0" w:color="auto"/>
            </w:tcBorders>
            <w:vAlign w:val="bottom"/>
          </w:tcPr>
          <w:p w:rsidR="0086047D" w:rsidRPr="00067DF6" w:rsidRDefault="0086047D" w:rsidP="00067DF6">
            <w:pPr>
              <w:spacing w:line="288" w:lineRule="auto"/>
              <w:ind w:right="77"/>
              <w:rPr>
                <w:rFonts w:ascii="Arial" w:hAnsi="Arial" w:cs="Arial"/>
                <w:sz w:val="20"/>
                <w:szCs w:val="20"/>
              </w:rPr>
            </w:pPr>
            <w:r>
              <w:rPr>
                <w:rFonts w:ascii="Arial" w:hAnsi="Arial" w:cs="Arial"/>
                <w:sz w:val="20"/>
                <w:szCs w:val="20"/>
              </w:rPr>
              <w:t>Exports without gold*</w:t>
            </w:r>
            <w:r w:rsidR="00E2683B">
              <w:rPr>
                <w:rFonts w:ascii="Arial" w:hAnsi="Arial" w:cs="Arial"/>
                <w:sz w:val="20"/>
                <w:szCs w:val="20"/>
              </w:rPr>
              <w:t>**</w:t>
            </w:r>
          </w:p>
        </w:tc>
        <w:tc>
          <w:tcPr>
            <w:tcW w:w="565" w:type="pct"/>
            <w:tcBorders>
              <w:top w:val="nil"/>
              <w:left w:val="single" w:sz="4" w:space="0" w:color="auto"/>
              <w:bottom w:val="single" w:sz="4" w:space="0" w:color="auto"/>
              <w:right w:val="single" w:sz="4" w:space="0" w:color="auto"/>
            </w:tcBorders>
            <w:tcMar>
              <w:left w:w="57" w:type="dxa"/>
              <w:right w:w="160" w:type="dxa"/>
            </w:tcMar>
            <w:vAlign w:val="center"/>
          </w:tcPr>
          <w:p w:rsidR="0086047D" w:rsidRPr="006007C7" w:rsidRDefault="0086047D" w:rsidP="00E2683B">
            <w:pPr>
              <w:spacing w:line="288" w:lineRule="auto"/>
              <w:ind w:right="-12"/>
              <w:jc w:val="right"/>
              <w:rPr>
                <w:b/>
                <w:bCs/>
              </w:rPr>
            </w:pPr>
            <w:r w:rsidRPr="006007C7">
              <w:rPr>
                <w:b/>
                <w:bCs/>
              </w:rPr>
              <w:t>-4,2</w:t>
            </w:r>
          </w:p>
        </w:tc>
        <w:tc>
          <w:tcPr>
            <w:tcW w:w="565" w:type="pct"/>
            <w:tcBorders>
              <w:top w:val="nil"/>
              <w:left w:val="single" w:sz="4" w:space="0" w:color="auto"/>
              <w:bottom w:val="single" w:sz="4" w:space="0" w:color="auto"/>
              <w:right w:val="single" w:sz="4" w:space="0" w:color="auto"/>
            </w:tcBorders>
            <w:tcMar>
              <w:left w:w="0" w:type="dxa"/>
              <w:right w:w="160" w:type="dxa"/>
            </w:tcMar>
            <w:vAlign w:val="center"/>
          </w:tcPr>
          <w:p w:rsidR="0086047D" w:rsidRPr="006007C7" w:rsidRDefault="0086047D" w:rsidP="00E2683B">
            <w:pPr>
              <w:spacing w:line="288" w:lineRule="auto"/>
              <w:ind w:right="-42"/>
              <w:jc w:val="right"/>
              <w:rPr>
                <w:b/>
                <w:bCs/>
              </w:rPr>
            </w:pPr>
            <w:r w:rsidRPr="006007C7">
              <w:rPr>
                <w:b/>
                <w:bCs/>
              </w:rPr>
              <w:t>4,4</w:t>
            </w:r>
          </w:p>
        </w:tc>
        <w:tc>
          <w:tcPr>
            <w:tcW w:w="565" w:type="pct"/>
            <w:tcBorders>
              <w:top w:val="nil"/>
              <w:left w:val="single" w:sz="4" w:space="0" w:color="auto"/>
              <w:bottom w:val="single" w:sz="4" w:space="0" w:color="auto"/>
              <w:right w:val="single" w:sz="4" w:space="0" w:color="auto"/>
            </w:tcBorders>
            <w:vAlign w:val="center"/>
          </w:tcPr>
          <w:p w:rsidR="0086047D" w:rsidRPr="006007C7" w:rsidRDefault="0086047D" w:rsidP="0086047D">
            <w:pPr>
              <w:spacing w:line="288" w:lineRule="auto"/>
              <w:ind w:right="77"/>
              <w:jc w:val="right"/>
              <w:rPr>
                <w:b/>
                <w:bCs/>
              </w:rPr>
            </w:pPr>
            <w:r w:rsidRPr="006007C7">
              <w:rPr>
                <w:b/>
                <w:bCs/>
              </w:rPr>
              <w:t>-0,5</w:t>
            </w:r>
          </w:p>
        </w:tc>
        <w:tc>
          <w:tcPr>
            <w:tcW w:w="565" w:type="pct"/>
            <w:tcBorders>
              <w:top w:val="nil"/>
              <w:left w:val="single" w:sz="4" w:space="0" w:color="auto"/>
              <w:bottom w:val="single" w:sz="4" w:space="0" w:color="auto"/>
              <w:right w:val="single" w:sz="4" w:space="0" w:color="auto"/>
            </w:tcBorders>
            <w:tcMar>
              <w:right w:w="160" w:type="dxa"/>
            </w:tcMar>
            <w:vAlign w:val="center"/>
          </w:tcPr>
          <w:p w:rsidR="0086047D" w:rsidRPr="006007C7" w:rsidRDefault="0086047D" w:rsidP="00E2683B">
            <w:pPr>
              <w:spacing w:line="288" w:lineRule="auto"/>
              <w:jc w:val="right"/>
              <w:rPr>
                <w:b/>
                <w:bCs/>
              </w:rPr>
            </w:pPr>
            <w:r w:rsidRPr="006007C7">
              <w:rPr>
                <w:b/>
                <w:bCs/>
              </w:rPr>
              <w:t>**</w:t>
            </w:r>
          </w:p>
        </w:tc>
        <w:tc>
          <w:tcPr>
            <w:tcW w:w="565" w:type="pct"/>
            <w:tcBorders>
              <w:top w:val="nil"/>
              <w:left w:val="double" w:sz="4" w:space="0" w:color="auto"/>
              <w:bottom w:val="single" w:sz="4" w:space="0" w:color="auto"/>
              <w:right w:val="single" w:sz="4" w:space="0" w:color="auto"/>
            </w:tcBorders>
            <w:tcMar>
              <w:left w:w="57" w:type="dxa"/>
              <w:right w:w="160" w:type="dxa"/>
            </w:tcMar>
            <w:vAlign w:val="center"/>
          </w:tcPr>
          <w:p w:rsidR="0086047D" w:rsidRPr="006007C7" w:rsidRDefault="0086047D" w:rsidP="00E2683B">
            <w:pPr>
              <w:spacing w:line="288" w:lineRule="auto"/>
              <w:ind w:right="-45"/>
              <w:jc w:val="right"/>
              <w:rPr>
                <w:b/>
                <w:bCs/>
              </w:rPr>
            </w:pPr>
            <w:r w:rsidRPr="006007C7">
              <w:rPr>
                <w:b/>
                <w:bCs/>
              </w:rPr>
              <w:t>1,8</w:t>
            </w:r>
          </w:p>
        </w:tc>
        <w:tc>
          <w:tcPr>
            <w:tcW w:w="565" w:type="pct"/>
            <w:tcBorders>
              <w:top w:val="nil"/>
              <w:left w:val="single" w:sz="4" w:space="0" w:color="auto"/>
              <w:bottom w:val="single" w:sz="4" w:space="0" w:color="auto"/>
            </w:tcBorders>
            <w:vAlign w:val="center"/>
          </w:tcPr>
          <w:p w:rsidR="0086047D" w:rsidRPr="006007C7" w:rsidRDefault="0086047D" w:rsidP="0086047D">
            <w:pPr>
              <w:spacing w:line="288" w:lineRule="auto"/>
              <w:ind w:right="77"/>
              <w:jc w:val="right"/>
              <w:rPr>
                <w:b/>
                <w:bCs/>
              </w:rPr>
            </w:pPr>
            <w:r w:rsidRPr="006007C7">
              <w:rPr>
                <w:b/>
                <w:bCs/>
              </w:rPr>
              <w:t>-0,6</w:t>
            </w:r>
          </w:p>
        </w:tc>
      </w:tr>
      <w:tr w:rsidR="0086047D" w:rsidRPr="00067DF6" w:rsidTr="00230A81">
        <w:trPr>
          <w:trHeight w:val="20"/>
        </w:trPr>
        <w:tc>
          <w:tcPr>
            <w:tcW w:w="1609" w:type="pct"/>
            <w:tcBorders>
              <w:top w:val="nil"/>
              <w:bottom w:val="single" w:sz="4" w:space="0" w:color="auto"/>
              <w:right w:val="single" w:sz="4" w:space="0" w:color="auto"/>
            </w:tcBorders>
            <w:vAlign w:val="bottom"/>
          </w:tcPr>
          <w:p w:rsidR="0086047D" w:rsidRPr="00067DF6" w:rsidRDefault="0086047D" w:rsidP="00067DF6">
            <w:pPr>
              <w:spacing w:line="288" w:lineRule="auto"/>
              <w:ind w:right="77"/>
              <w:rPr>
                <w:rFonts w:ascii="Arial" w:hAnsi="Arial" w:cs="Arial"/>
                <w:sz w:val="20"/>
                <w:szCs w:val="20"/>
              </w:rPr>
            </w:pPr>
            <w:r>
              <w:rPr>
                <w:rFonts w:ascii="Arial" w:hAnsi="Arial" w:cs="Arial"/>
                <w:sz w:val="20"/>
                <w:szCs w:val="20"/>
              </w:rPr>
              <w:t>Imports without gold*</w:t>
            </w:r>
            <w:r w:rsidR="00E2683B">
              <w:rPr>
                <w:rFonts w:ascii="Arial" w:hAnsi="Arial" w:cs="Arial"/>
                <w:sz w:val="20"/>
                <w:szCs w:val="20"/>
              </w:rPr>
              <w:t>**</w:t>
            </w:r>
          </w:p>
        </w:tc>
        <w:tc>
          <w:tcPr>
            <w:tcW w:w="565" w:type="pct"/>
            <w:tcBorders>
              <w:top w:val="nil"/>
              <w:left w:val="single" w:sz="4" w:space="0" w:color="auto"/>
              <w:bottom w:val="single" w:sz="4" w:space="0" w:color="auto"/>
              <w:right w:val="single" w:sz="4" w:space="0" w:color="auto"/>
            </w:tcBorders>
            <w:tcMar>
              <w:left w:w="57" w:type="dxa"/>
              <w:right w:w="160" w:type="dxa"/>
            </w:tcMar>
            <w:vAlign w:val="center"/>
          </w:tcPr>
          <w:p w:rsidR="0086047D" w:rsidRPr="006007C7" w:rsidRDefault="0086047D" w:rsidP="00E2683B">
            <w:pPr>
              <w:spacing w:line="288" w:lineRule="auto"/>
              <w:ind w:right="-12"/>
              <w:jc w:val="right"/>
              <w:rPr>
                <w:b/>
                <w:bCs/>
              </w:rPr>
            </w:pPr>
            <w:r w:rsidRPr="006007C7">
              <w:rPr>
                <w:b/>
                <w:bCs/>
              </w:rPr>
              <w:t>-0,1</w:t>
            </w:r>
          </w:p>
        </w:tc>
        <w:tc>
          <w:tcPr>
            <w:tcW w:w="565" w:type="pct"/>
            <w:tcBorders>
              <w:top w:val="nil"/>
              <w:left w:val="single" w:sz="4" w:space="0" w:color="auto"/>
              <w:bottom w:val="single" w:sz="4" w:space="0" w:color="auto"/>
              <w:right w:val="single" w:sz="4" w:space="0" w:color="auto"/>
            </w:tcBorders>
            <w:tcMar>
              <w:left w:w="0" w:type="dxa"/>
              <w:right w:w="160" w:type="dxa"/>
            </w:tcMar>
            <w:vAlign w:val="center"/>
          </w:tcPr>
          <w:p w:rsidR="0086047D" w:rsidRPr="006007C7" w:rsidRDefault="0086047D" w:rsidP="00E2683B">
            <w:pPr>
              <w:spacing w:line="288" w:lineRule="auto"/>
              <w:ind w:right="-42"/>
              <w:jc w:val="right"/>
              <w:rPr>
                <w:b/>
                <w:bCs/>
              </w:rPr>
            </w:pPr>
            <w:r w:rsidRPr="006007C7">
              <w:rPr>
                <w:b/>
                <w:bCs/>
              </w:rPr>
              <w:t>0,2</w:t>
            </w:r>
          </w:p>
        </w:tc>
        <w:tc>
          <w:tcPr>
            <w:tcW w:w="565" w:type="pct"/>
            <w:tcBorders>
              <w:top w:val="nil"/>
              <w:left w:val="single" w:sz="4" w:space="0" w:color="auto"/>
              <w:bottom w:val="single" w:sz="4" w:space="0" w:color="auto"/>
              <w:right w:val="single" w:sz="4" w:space="0" w:color="auto"/>
            </w:tcBorders>
            <w:vAlign w:val="center"/>
          </w:tcPr>
          <w:p w:rsidR="0086047D" w:rsidRPr="006007C7" w:rsidRDefault="0086047D" w:rsidP="0086047D">
            <w:pPr>
              <w:spacing w:line="288" w:lineRule="auto"/>
              <w:ind w:right="77"/>
              <w:jc w:val="right"/>
              <w:rPr>
                <w:b/>
                <w:bCs/>
              </w:rPr>
            </w:pPr>
            <w:r w:rsidRPr="006007C7">
              <w:rPr>
                <w:b/>
                <w:bCs/>
              </w:rPr>
              <w:t>3,1</w:t>
            </w:r>
          </w:p>
        </w:tc>
        <w:tc>
          <w:tcPr>
            <w:tcW w:w="565" w:type="pct"/>
            <w:tcBorders>
              <w:top w:val="nil"/>
              <w:left w:val="single" w:sz="4" w:space="0" w:color="auto"/>
              <w:bottom w:val="single" w:sz="4" w:space="0" w:color="auto"/>
              <w:right w:val="single" w:sz="4" w:space="0" w:color="auto"/>
            </w:tcBorders>
            <w:tcMar>
              <w:right w:w="160" w:type="dxa"/>
            </w:tcMar>
            <w:vAlign w:val="center"/>
          </w:tcPr>
          <w:p w:rsidR="0086047D" w:rsidRPr="006007C7" w:rsidRDefault="0086047D" w:rsidP="00E2683B">
            <w:pPr>
              <w:spacing w:line="288" w:lineRule="auto"/>
              <w:jc w:val="right"/>
              <w:rPr>
                <w:b/>
                <w:bCs/>
              </w:rPr>
            </w:pPr>
            <w:r w:rsidRPr="006007C7">
              <w:rPr>
                <w:b/>
                <w:bCs/>
              </w:rPr>
              <w:t>**</w:t>
            </w:r>
          </w:p>
        </w:tc>
        <w:tc>
          <w:tcPr>
            <w:tcW w:w="565" w:type="pct"/>
            <w:tcBorders>
              <w:top w:val="nil"/>
              <w:left w:val="double" w:sz="4" w:space="0" w:color="auto"/>
              <w:bottom w:val="single" w:sz="4" w:space="0" w:color="auto"/>
              <w:right w:val="single" w:sz="4" w:space="0" w:color="auto"/>
            </w:tcBorders>
            <w:tcMar>
              <w:left w:w="57" w:type="dxa"/>
              <w:right w:w="160" w:type="dxa"/>
            </w:tcMar>
            <w:vAlign w:val="center"/>
          </w:tcPr>
          <w:p w:rsidR="0086047D" w:rsidRPr="006007C7" w:rsidRDefault="0086047D" w:rsidP="00E2683B">
            <w:pPr>
              <w:spacing w:line="288" w:lineRule="auto"/>
              <w:ind w:right="-45"/>
              <w:jc w:val="right"/>
              <w:rPr>
                <w:b/>
                <w:bCs/>
              </w:rPr>
            </w:pPr>
            <w:r w:rsidRPr="006007C7">
              <w:rPr>
                <w:b/>
                <w:bCs/>
              </w:rPr>
              <w:t>-1,3</w:t>
            </w:r>
          </w:p>
        </w:tc>
        <w:tc>
          <w:tcPr>
            <w:tcW w:w="565" w:type="pct"/>
            <w:tcBorders>
              <w:top w:val="nil"/>
              <w:left w:val="single" w:sz="4" w:space="0" w:color="auto"/>
              <w:bottom w:val="single" w:sz="4" w:space="0" w:color="auto"/>
            </w:tcBorders>
            <w:vAlign w:val="center"/>
          </w:tcPr>
          <w:p w:rsidR="0086047D" w:rsidRPr="006007C7" w:rsidRDefault="0086047D" w:rsidP="0086047D">
            <w:pPr>
              <w:spacing w:line="288" w:lineRule="auto"/>
              <w:ind w:right="77"/>
              <w:jc w:val="right"/>
              <w:rPr>
                <w:b/>
                <w:bCs/>
              </w:rPr>
            </w:pPr>
            <w:r w:rsidRPr="006007C7">
              <w:rPr>
                <w:b/>
                <w:bCs/>
              </w:rPr>
              <w:t>-0,8</w:t>
            </w:r>
          </w:p>
        </w:tc>
      </w:tr>
      <w:tr w:rsidR="0086047D" w:rsidRPr="00067DF6" w:rsidTr="00230A81">
        <w:trPr>
          <w:trHeight w:val="20"/>
        </w:trPr>
        <w:tc>
          <w:tcPr>
            <w:tcW w:w="1609" w:type="pct"/>
            <w:tcBorders>
              <w:bottom w:val="nil"/>
              <w:right w:val="single" w:sz="4" w:space="0" w:color="auto"/>
            </w:tcBorders>
            <w:vAlign w:val="bottom"/>
          </w:tcPr>
          <w:p w:rsidR="0086047D" w:rsidRPr="00067DF6" w:rsidRDefault="0086047D" w:rsidP="00067DF6">
            <w:pPr>
              <w:spacing w:line="288" w:lineRule="auto"/>
              <w:ind w:right="77"/>
              <w:rPr>
                <w:rFonts w:ascii="Arial" w:hAnsi="Arial" w:cs="Arial"/>
                <w:b/>
                <w:sz w:val="20"/>
                <w:szCs w:val="20"/>
              </w:rPr>
            </w:pPr>
            <w:r w:rsidRPr="00067DF6">
              <w:rPr>
                <w:rFonts w:ascii="Arial" w:hAnsi="Arial" w:cs="Arial"/>
                <w:b/>
                <w:sz w:val="20"/>
                <w:szCs w:val="20"/>
              </w:rPr>
              <w:t xml:space="preserve">Industrial Production Index (IPI) </w:t>
            </w:r>
          </w:p>
        </w:tc>
        <w:tc>
          <w:tcPr>
            <w:tcW w:w="565" w:type="pct"/>
            <w:tcBorders>
              <w:left w:val="sing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12"/>
              <w:jc w:val="right"/>
              <w:rPr>
                <w:b/>
                <w:bCs/>
              </w:rPr>
            </w:pPr>
            <w:r w:rsidRPr="006007C7">
              <w:rPr>
                <w:b/>
                <w:bCs/>
              </w:rPr>
              <w:t>1.4</w:t>
            </w:r>
          </w:p>
        </w:tc>
        <w:tc>
          <w:tcPr>
            <w:tcW w:w="565" w:type="pct"/>
            <w:tcBorders>
              <w:left w:val="single" w:sz="4" w:space="0" w:color="auto"/>
              <w:bottom w:val="nil"/>
              <w:right w:val="single" w:sz="4" w:space="0" w:color="auto"/>
            </w:tcBorders>
            <w:tcMar>
              <w:left w:w="0" w:type="dxa"/>
              <w:right w:w="160" w:type="dxa"/>
            </w:tcMar>
            <w:vAlign w:val="center"/>
          </w:tcPr>
          <w:p w:rsidR="0086047D" w:rsidRPr="006007C7" w:rsidRDefault="0086047D" w:rsidP="00E2683B">
            <w:pPr>
              <w:spacing w:line="288" w:lineRule="auto"/>
              <w:ind w:right="-42"/>
              <w:jc w:val="right"/>
              <w:rPr>
                <w:b/>
                <w:bCs/>
              </w:rPr>
            </w:pPr>
            <w:r w:rsidRPr="006007C7">
              <w:rPr>
                <w:b/>
                <w:bCs/>
              </w:rPr>
              <w:t>-2.0</w:t>
            </w:r>
          </w:p>
        </w:tc>
        <w:tc>
          <w:tcPr>
            <w:tcW w:w="565" w:type="pct"/>
            <w:tcBorders>
              <w:left w:val="single" w:sz="4" w:space="0" w:color="auto"/>
              <w:bottom w:val="nil"/>
              <w:right w:val="single" w:sz="4" w:space="0" w:color="auto"/>
            </w:tcBorders>
            <w:vAlign w:val="center"/>
          </w:tcPr>
          <w:p w:rsidR="0086047D" w:rsidRPr="006007C7" w:rsidRDefault="0086047D" w:rsidP="0086047D">
            <w:pPr>
              <w:spacing w:line="288" w:lineRule="auto"/>
              <w:ind w:right="77"/>
              <w:jc w:val="right"/>
              <w:rPr>
                <w:b/>
                <w:bCs/>
              </w:rPr>
            </w:pPr>
            <w:r w:rsidRPr="006007C7">
              <w:rPr>
                <w:b/>
                <w:bCs/>
              </w:rPr>
              <w:t>3.9</w:t>
            </w:r>
          </w:p>
        </w:tc>
        <w:tc>
          <w:tcPr>
            <w:tcW w:w="565" w:type="pct"/>
            <w:tcBorders>
              <w:left w:val="single" w:sz="4" w:space="0" w:color="auto"/>
              <w:bottom w:val="nil"/>
              <w:right w:val="single" w:sz="4" w:space="0" w:color="auto"/>
            </w:tcBorders>
            <w:tcMar>
              <w:right w:w="160" w:type="dxa"/>
            </w:tcMar>
            <w:vAlign w:val="center"/>
          </w:tcPr>
          <w:p w:rsidR="0086047D" w:rsidRPr="006007C7" w:rsidRDefault="0086047D" w:rsidP="00E2683B">
            <w:pPr>
              <w:spacing w:line="288" w:lineRule="auto"/>
              <w:jc w:val="right"/>
              <w:rPr>
                <w:b/>
                <w:bCs/>
              </w:rPr>
            </w:pPr>
            <w:r w:rsidRPr="006007C7">
              <w:rPr>
                <w:b/>
                <w:bCs/>
              </w:rPr>
              <w:t>**</w:t>
            </w:r>
          </w:p>
        </w:tc>
        <w:tc>
          <w:tcPr>
            <w:tcW w:w="565" w:type="pct"/>
            <w:tcBorders>
              <w:left w:val="doub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45"/>
              <w:jc w:val="right"/>
              <w:rPr>
                <w:b/>
                <w:bCs/>
              </w:rPr>
            </w:pPr>
            <w:r w:rsidRPr="006007C7">
              <w:rPr>
                <w:b/>
                <w:bCs/>
              </w:rPr>
              <w:t>1.9</w:t>
            </w:r>
          </w:p>
        </w:tc>
        <w:tc>
          <w:tcPr>
            <w:tcW w:w="565" w:type="pct"/>
            <w:tcBorders>
              <w:left w:val="single" w:sz="4" w:space="0" w:color="auto"/>
              <w:bottom w:val="nil"/>
            </w:tcBorders>
            <w:vAlign w:val="center"/>
          </w:tcPr>
          <w:p w:rsidR="0086047D" w:rsidRPr="006007C7" w:rsidRDefault="0086047D" w:rsidP="0086047D">
            <w:pPr>
              <w:spacing w:line="288" w:lineRule="auto"/>
              <w:ind w:right="77"/>
              <w:jc w:val="right"/>
              <w:rPr>
                <w:b/>
                <w:bCs/>
              </w:rPr>
            </w:pPr>
            <w:r w:rsidRPr="006007C7">
              <w:rPr>
                <w:b/>
                <w:bCs/>
              </w:rPr>
              <w:t>0.9</w:t>
            </w:r>
          </w:p>
        </w:tc>
      </w:tr>
      <w:tr w:rsidR="0086047D" w:rsidRPr="00067DF6" w:rsidTr="00230A81">
        <w:trPr>
          <w:trHeight w:val="20"/>
        </w:trPr>
        <w:tc>
          <w:tcPr>
            <w:tcW w:w="1609" w:type="pct"/>
            <w:tcBorders>
              <w:top w:val="nil"/>
              <w:bottom w:val="nil"/>
              <w:right w:val="single" w:sz="4" w:space="0" w:color="auto"/>
            </w:tcBorders>
            <w:vAlign w:val="bottom"/>
          </w:tcPr>
          <w:p w:rsidR="0086047D" w:rsidRPr="00067DF6" w:rsidRDefault="0086047D" w:rsidP="00067DF6">
            <w:pPr>
              <w:spacing w:line="288" w:lineRule="auto"/>
              <w:ind w:right="77"/>
              <w:rPr>
                <w:rFonts w:ascii="Arial" w:hAnsi="Arial" w:cs="Arial"/>
                <w:sz w:val="20"/>
                <w:szCs w:val="20"/>
              </w:rPr>
            </w:pPr>
            <w:r w:rsidRPr="00067DF6">
              <w:rPr>
                <w:rFonts w:ascii="Arial" w:hAnsi="Arial" w:cs="Arial"/>
                <w:sz w:val="20"/>
                <w:szCs w:val="20"/>
              </w:rPr>
              <w:t>Nondurable consumer goods</w:t>
            </w:r>
          </w:p>
        </w:tc>
        <w:tc>
          <w:tcPr>
            <w:tcW w:w="565" w:type="pct"/>
            <w:tcBorders>
              <w:top w:val="nil"/>
              <w:left w:val="sing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12"/>
              <w:jc w:val="right"/>
            </w:pPr>
            <w:r w:rsidRPr="006007C7">
              <w:t>5.6</w:t>
            </w:r>
          </w:p>
        </w:tc>
        <w:tc>
          <w:tcPr>
            <w:tcW w:w="565" w:type="pct"/>
            <w:tcBorders>
              <w:top w:val="nil"/>
              <w:left w:val="single" w:sz="4" w:space="0" w:color="auto"/>
              <w:bottom w:val="nil"/>
              <w:right w:val="single" w:sz="4" w:space="0" w:color="auto"/>
            </w:tcBorders>
            <w:tcMar>
              <w:left w:w="0" w:type="dxa"/>
              <w:right w:w="160" w:type="dxa"/>
            </w:tcMar>
            <w:vAlign w:val="center"/>
          </w:tcPr>
          <w:p w:rsidR="0086047D" w:rsidRPr="006007C7" w:rsidRDefault="0086047D" w:rsidP="00E2683B">
            <w:pPr>
              <w:spacing w:line="288" w:lineRule="auto"/>
              <w:ind w:right="-42"/>
              <w:jc w:val="right"/>
            </w:pPr>
            <w:r w:rsidRPr="006007C7">
              <w:t>-2.2</w:t>
            </w:r>
          </w:p>
        </w:tc>
        <w:tc>
          <w:tcPr>
            <w:tcW w:w="565" w:type="pct"/>
            <w:tcBorders>
              <w:top w:val="nil"/>
              <w:left w:val="single" w:sz="4" w:space="0" w:color="auto"/>
              <w:bottom w:val="nil"/>
              <w:right w:val="single" w:sz="4" w:space="0" w:color="auto"/>
            </w:tcBorders>
            <w:vAlign w:val="center"/>
          </w:tcPr>
          <w:p w:rsidR="0086047D" w:rsidRPr="006007C7" w:rsidRDefault="0086047D" w:rsidP="0086047D">
            <w:pPr>
              <w:spacing w:line="288" w:lineRule="auto"/>
              <w:ind w:right="77"/>
              <w:jc w:val="right"/>
            </w:pPr>
            <w:r w:rsidRPr="006007C7">
              <w:t>1.9</w:t>
            </w:r>
          </w:p>
        </w:tc>
        <w:tc>
          <w:tcPr>
            <w:tcW w:w="565" w:type="pct"/>
            <w:tcBorders>
              <w:top w:val="nil"/>
              <w:left w:val="single" w:sz="4" w:space="0" w:color="auto"/>
              <w:bottom w:val="nil"/>
              <w:right w:val="single" w:sz="4" w:space="0" w:color="auto"/>
            </w:tcBorders>
            <w:tcMar>
              <w:right w:w="160" w:type="dxa"/>
            </w:tcMar>
            <w:vAlign w:val="center"/>
          </w:tcPr>
          <w:p w:rsidR="0086047D" w:rsidRPr="006007C7" w:rsidRDefault="0086047D" w:rsidP="00E2683B">
            <w:pPr>
              <w:spacing w:line="288" w:lineRule="auto"/>
              <w:jc w:val="right"/>
            </w:pPr>
            <w:r w:rsidRPr="006007C7">
              <w:t>**</w:t>
            </w:r>
          </w:p>
        </w:tc>
        <w:tc>
          <w:tcPr>
            <w:tcW w:w="565" w:type="pct"/>
            <w:tcBorders>
              <w:top w:val="nil"/>
              <w:left w:val="doub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45"/>
              <w:jc w:val="right"/>
            </w:pPr>
            <w:r w:rsidRPr="006007C7">
              <w:t>1.8</w:t>
            </w:r>
          </w:p>
        </w:tc>
        <w:tc>
          <w:tcPr>
            <w:tcW w:w="565" w:type="pct"/>
            <w:tcBorders>
              <w:top w:val="nil"/>
              <w:left w:val="single" w:sz="4" w:space="0" w:color="auto"/>
              <w:bottom w:val="nil"/>
            </w:tcBorders>
            <w:vAlign w:val="center"/>
          </w:tcPr>
          <w:p w:rsidR="0086047D" w:rsidRPr="006007C7" w:rsidRDefault="0086047D" w:rsidP="0086047D">
            <w:pPr>
              <w:spacing w:line="288" w:lineRule="auto"/>
              <w:ind w:right="77"/>
              <w:jc w:val="right"/>
            </w:pPr>
            <w:r w:rsidRPr="006007C7">
              <w:t>1.9</w:t>
            </w:r>
          </w:p>
        </w:tc>
      </w:tr>
      <w:tr w:rsidR="0086047D" w:rsidRPr="00067DF6" w:rsidTr="00230A81">
        <w:trPr>
          <w:trHeight w:val="20"/>
        </w:trPr>
        <w:tc>
          <w:tcPr>
            <w:tcW w:w="1609" w:type="pct"/>
            <w:tcBorders>
              <w:top w:val="nil"/>
              <w:bottom w:val="nil"/>
              <w:right w:val="single" w:sz="4" w:space="0" w:color="auto"/>
            </w:tcBorders>
            <w:vAlign w:val="bottom"/>
          </w:tcPr>
          <w:p w:rsidR="0086047D" w:rsidRPr="00067DF6" w:rsidRDefault="0086047D" w:rsidP="00067DF6">
            <w:pPr>
              <w:spacing w:line="288" w:lineRule="auto"/>
              <w:ind w:right="77"/>
              <w:rPr>
                <w:rFonts w:ascii="Arial" w:hAnsi="Arial" w:cs="Arial"/>
                <w:sz w:val="20"/>
                <w:szCs w:val="20"/>
              </w:rPr>
            </w:pPr>
            <w:r w:rsidRPr="00067DF6">
              <w:rPr>
                <w:rFonts w:ascii="Arial" w:hAnsi="Arial" w:cs="Arial"/>
                <w:sz w:val="20"/>
                <w:szCs w:val="20"/>
              </w:rPr>
              <w:t>Durable consumer goods</w:t>
            </w:r>
          </w:p>
        </w:tc>
        <w:tc>
          <w:tcPr>
            <w:tcW w:w="565" w:type="pct"/>
            <w:tcBorders>
              <w:top w:val="nil"/>
              <w:left w:val="sing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12"/>
              <w:jc w:val="right"/>
            </w:pPr>
            <w:r w:rsidRPr="006007C7">
              <w:t>4.3</w:t>
            </w:r>
          </w:p>
        </w:tc>
        <w:tc>
          <w:tcPr>
            <w:tcW w:w="565" w:type="pct"/>
            <w:tcBorders>
              <w:top w:val="nil"/>
              <w:left w:val="single" w:sz="4" w:space="0" w:color="auto"/>
              <w:bottom w:val="nil"/>
              <w:right w:val="single" w:sz="4" w:space="0" w:color="auto"/>
            </w:tcBorders>
            <w:tcMar>
              <w:left w:w="0" w:type="dxa"/>
              <w:right w:w="160" w:type="dxa"/>
            </w:tcMar>
            <w:vAlign w:val="center"/>
          </w:tcPr>
          <w:p w:rsidR="0086047D" w:rsidRPr="006007C7" w:rsidRDefault="0086047D" w:rsidP="00E2683B">
            <w:pPr>
              <w:spacing w:line="288" w:lineRule="auto"/>
              <w:ind w:right="-42"/>
              <w:jc w:val="right"/>
            </w:pPr>
            <w:r w:rsidRPr="006007C7">
              <w:t>-1.3</w:t>
            </w:r>
          </w:p>
        </w:tc>
        <w:tc>
          <w:tcPr>
            <w:tcW w:w="565" w:type="pct"/>
            <w:tcBorders>
              <w:top w:val="nil"/>
              <w:left w:val="single" w:sz="4" w:space="0" w:color="auto"/>
              <w:bottom w:val="nil"/>
              <w:right w:val="single" w:sz="4" w:space="0" w:color="auto"/>
            </w:tcBorders>
            <w:vAlign w:val="center"/>
          </w:tcPr>
          <w:p w:rsidR="0086047D" w:rsidRPr="006007C7" w:rsidRDefault="0086047D" w:rsidP="0086047D">
            <w:pPr>
              <w:spacing w:line="288" w:lineRule="auto"/>
              <w:ind w:right="77"/>
              <w:jc w:val="right"/>
            </w:pPr>
            <w:r w:rsidRPr="006007C7">
              <w:t>9.9</w:t>
            </w:r>
          </w:p>
        </w:tc>
        <w:tc>
          <w:tcPr>
            <w:tcW w:w="565" w:type="pct"/>
            <w:tcBorders>
              <w:top w:val="nil"/>
              <w:left w:val="single" w:sz="4" w:space="0" w:color="auto"/>
              <w:bottom w:val="nil"/>
              <w:right w:val="single" w:sz="4" w:space="0" w:color="auto"/>
            </w:tcBorders>
            <w:tcMar>
              <w:right w:w="160" w:type="dxa"/>
            </w:tcMar>
            <w:vAlign w:val="center"/>
          </w:tcPr>
          <w:p w:rsidR="0086047D" w:rsidRPr="006007C7" w:rsidRDefault="0086047D" w:rsidP="00E2683B">
            <w:pPr>
              <w:spacing w:line="288" w:lineRule="auto"/>
              <w:jc w:val="right"/>
            </w:pPr>
            <w:r w:rsidRPr="006007C7">
              <w:t>**</w:t>
            </w:r>
          </w:p>
        </w:tc>
        <w:tc>
          <w:tcPr>
            <w:tcW w:w="565" w:type="pct"/>
            <w:tcBorders>
              <w:top w:val="nil"/>
              <w:left w:val="doub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45"/>
              <w:jc w:val="right"/>
            </w:pPr>
            <w:r w:rsidRPr="006007C7">
              <w:t>1.4</w:t>
            </w:r>
          </w:p>
        </w:tc>
        <w:tc>
          <w:tcPr>
            <w:tcW w:w="565" w:type="pct"/>
            <w:tcBorders>
              <w:top w:val="nil"/>
              <w:left w:val="single" w:sz="4" w:space="0" w:color="auto"/>
              <w:bottom w:val="nil"/>
            </w:tcBorders>
            <w:vAlign w:val="center"/>
          </w:tcPr>
          <w:p w:rsidR="0086047D" w:rsidRPr="006007C7" w:rsidRDefault="0086047D" w:rsidP="0086047D">
            <w:pPr>
              <w:spacing w:line="288" w:lineRule="auto"/>
              <w:ind w:right="77"/>
              <w:jc w:val="right"/>
            </w:pPr>
            <w:r w:rsidRPr="006007C7">
              <w:t>2.8</w:t>
            </w:r>
          </w:p>
        </w:tc>
      </w:tr>
      <w:tr w:rsidR="0086047D" w:rsidRPr="00067DF6" w:rsidTr="00230A81">
        <w:trPr>
          <w:trHeight w:val="20"/>
        </w:trPr>
        <w:tc>
          <w:tcPr>
            <w:tcW w:w="1609" w:type="pct"/>
            <w:tcBorders>
              <w:top w:val="nil"/>
              <w:bottom w:val="nil"/>
              <w:right w:val="single" w:sz="4" w:space="0" w:color="auto"/>
            </w:tcBorders>
            <w:vAlign w:val="bottom"/>
          </w:tcPr>
          <w:p w:rsidR="0086047D" w:rsidRPr="00067DF6" w:rsidRDefault="0086047D" w:rsidP="00067DF6">
            <w:pPr>
              <w:spacing w:line="288" w:lineRule="auto"/>
              <w:ind w:right="77"/>
              <w:rPr>
                <w:rFonts w:ascii="Arial" w:hAnsi="Arial" w:cs="Arial"/>
                <w:sz w:val="20"/>
                <w:szCs w:val="20"/>
              </w:rPr>
            </w:pPr>
            <w:r w:rsidRPr="00067DF6">
              <w:rPr>
                <w:rFonts w:ascii="Arial" w:hAnsi="Arial" w:cs="Arial"/>
                <w:sz w:val="20"/>
                <w:szCs w:val="20"/>
              </w:rPr>
              <w:t>Intermediate goods</w:t>
            </w:r>
          </w:p>
        </w:tc>
        <w:tc>
          <w:tcPr>
            <w:tcW w:w="565" w:type="pct"/>
            <w:tcBorders>
              <w:top w:val="nil"/>
              <w:left w:val="sing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12"/>
              <w:jc w:val="right"/>
            </w:pPr>
            <w:r w:rsidRPr="006007C7">
              <w:t>1.0</w:t>
            </w:r>
          </w:p>
        </w:tc>
        <w:tc>
          <w:tcPr>
            <w:tcW w:w="565" w:type="pct"/>
            <w:tcBorders>
              <w:top w:val="nil"/>
              <w:left w:val="single" w:sz="4" w:space="0" w:color="auto"/>
              <w:bottom w:val="nil"/>
              <w:right w:val="single" w:sz="4" w:space="0" w:color="auto"/>
            </w:tcBorders>
            <w:tcMar>
              <w:left w:w="0" w:type="dxa"/>
              <w:right w:w="160" w:type="dxa"/>
            </w:tcMar>
            <w:vAlign w:val="center"/>
          </w:tcPr>
          <w:p w:rsidR="0086047D" w:rsidRPr="006007C7" w:rsidRDefault="0086047D" w:rsidP="00E2683B">
            <w:pPr>
              <w:spacing w:line="288" w:lineRule="auto"/>
              <w:ind w:right="-42"/>
              <w:jc w:val="right"/>
            </w:pPr>
            <w:r w:rsidRPr="006007C7">
              <w:t>-1.6</w:t>
            </w:r>
          </w:p>
        </w:tc>
        <w:tc>
          <w:tcPr>
            <w:tcW w:w="565" w:type="pct"/>
            <w:tcBorders>
              <w:top w:val="nil"/>
              <w:left w:val="single" w:sz="4" w:space="0" w:color="auto"/>
              <w:bottom w:val="nil"/>
              <w:right w:val="single" w:sz="4" w:space="0" w:color="auto"/>
            </w:tcBorders>
            <w:vAlign w:val="center"/>
          </w:tcPr>
          <w:p w:rsidR="0086047D" w:rsidRPr="006007C7" w:rsidRDefault="0086047D" w:rsidP="0086047D">
            <w:pPr>
              <w:spacing w:line="288" w:lineRule="auto"/>
              <w:ind w:right="77"/>
              <w:jc w:val="right"/>
            </w:pPr>
            <w:r w:rsidRPr="006007C7">
              <w:t>1.9</w:t>
            </w:r>
          </w:p>
        </w:tc>
        <w:tc>
          <w:tcPr>
            <w:tcW w:w="565" w:type="pct"/>
            <w:tcBorders>
              <w:top w:val="nil"/>
              <w:left w:val="single" w:sz="4" w:space="0" w:color="auto"/>
              <w:bottom w:val="nil"/>
              <w:right w:val="single" w:sz="4" w:space="0" w:color="auto"/>
            </w:tcBorders>
            <w:tcMar>
              <w:right w:w="160" w:type="dxa"/>
            </w:tcMar>
            <w:vAlign w:val="center"/>
          </w:tcPr>
          <w:p w:rsidR="0086047D" w:rsidRPr="006007C7" w:rsidRDefault="0086047D" w:rsidP="00E2683B">
            <w:pPr>
              <w:spacing w:line="288" w:lineRule="auto"/>
              <w:jc w:val="right"/>
            </w:pPr>
            <w:r w:rsidRPr="006007C7">
              <w:t>**</w:t>
            </w:r>
          </w:p>
        </w:tc>
        <w:tc>
          <w:tcPr>
            <w:tcW w:w="565" w:type="pct"/>
            <w:tcBorders>
              <w:top w:val="nil"/>
              <w:left w:val="doub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45"/>
              <w:jc w:val="right"/>
            </w:pPr>
            <w:r w:rsidRPr="006007C7">
              <w:t>2.0</w:t>
            </w:r>
          </w:p>
        </w:tc>
        <w:tc>
          <w:tcPr>
            <w:tcW w:w="565" w:type="pct"/>
            <w:tcBorders>
              <w:top w:val="nil"/>
              <w:left w:val="single" w:sz="4" w:space="0" w:color="auto"/>
              <w:bottom w:val="nil"/>
            </w:tcBorders>
            <w:vAlign w:val="center"/>
          </w:tcPr>
          <w:p w:rsidR="0086047D" w:rsidRPr="006007C7" w:rsidRDefault="0086047D" w:rsidP="0086047D">
            <w:pPr>
              <w:spacing w:line="288" w:lineRule="auto"/>
              <w:ind w:right="77"/>
              <w:jc w:val="right"/>
            </w:pPr>
            <w:r w:rsidRPr="006007C7">
              <w:t>0.3</w:t>
            </w:r>
          </w:p>
        </w:tc>
      </w:tr>
      <w:tr w:rsidR="0086047D" w:rsidRPr="00067DF6" w:rsidTr="00230A81">
        <w:trPr>
          <w:trHeight w:val="20"/>
        </w:trPr>
        <w:tc>
          <w:tcPr>
            <w:tcW w:w="1609" w:type="pct"/>
            <w:tcBorders>
              <w:top w:val="nil"/>
              <w:bottom w:val="single" w:sz="4" w:space="0" w:color="auto"/>
              <w:right w:val="single" w:sz="4" w:space="0" w:color="auto"/>
            </w:tcBorders>
            <w:vAlign w:val="bottom"/>
          </w:tcPr>
          <w:p w:rsidR="0086047D" w:rsidRPr="00067DF6" w:rsidRDefault="0086047D" w:rsidP="00067DF6">
            <w:pPr>
              <w:spacing w:line="288" w:lineRule="auto"/>
              <w:ind w:right="77"/>
              <w:rPr>
                <w:rFonts w:ascii="Arial" w:hAnsi="Arial" w:cs="Arial"/>
                <w:sz w:val="20"/>
                <w:szCs w:val="20"/>
              </w:rPr>
            </w:pPr>
            <w:r w:rsidRPr="00067DF6">
              <w:rPr>
                <w:rFonts w:ascii="Arial" w:hAnsi="Arial" w:cs="Arial"/>
                <w:sz w:val="20"/>
                <w:szCs w:val="20"/>
              </w:rPr>
              <w:t>Investment goods</w:t>
            </w:r>
          </w:p>
        </w:tc>
        <w:tc>
          <w:tcPr>
            <w:tcW w:w="565" w:type="pct"/>
            <w:tcBorders>
              <w:top w:val="nil"/>
              <w:left w:val="single" w:sz="4" w:space="0" w:color="auto"/>
              <w:bottom w:val="single" w:sz="4" w:space="0" w:color="auto"/>
              <w:right w:val="single" w:sz="4" w:space="0" w:color="auto"/>
            </w:tcBorders>
            <w:tcMar>
              <w:left w:w="57" w:type="dxa"/>
              <w:right w:w="160" w:type="dxa"/>
            </w:tcMar>
            <w:vAlign w:val="center"/>
          </w:tcPr>
          <w:p w:rsidR="0086047D" w:rsidRPr="006007C7" w:rsidRDefault="0086047D" w:rsidP="00E2683B">
            <w:pPr>
              <w:spacing w:line="288" w:lineRule="auto"/>
              <w:ind w:right="-12"/>
              <w:jc w:val="right"/>
            </w:pPr>
            <w:r w:rsidRPr="006007C7">
              <w:t>4.5</w:t>
            </w:r>
          </w:p>
        </w:tc>
        <w:tc>
          <w:tcPr>
            <w:tcW w:w="565" w:type="pct"/>
            <w:tcBorders>
              <w:top w:val="nil"/>
              <w:left w:val="single" w:sz="4" w:space="0" w:color="auto"/>
              <w:bottom w:val="single" w:sz="4" w:space="0" w:color="auto"/>
              <w:right w:val="single" w:sz="4" w:space="0" w:color="auto"/>
            </w:tcBorders>
            <w:tcMar>
              <w:left w:w="0" w:type="dxa"/>
              <w:right w:w="160" w:type="dxa"/>
            </w:tcMar>
            <w:vAlign w:val="center"/>
          </w:tcPr>
          <w:p w:rsidR="0086047D" w:rsidRPr="006007C7" w:rsidRDefault="0086047D" w:rsidP="00E2683B">
            <w:pPr>
              <w:spacing w:line="288" w:lineRule="auto"/>
              <w:ind w:right="-42"/>
              <w:jc w:val="right"/>
            </w:pPr>
            <w:r w:rsidRPr="006007C7">
              <w:t>-7.6</w:t>
            </w:r>
          </w:p>
        </w:tc>
        <w:tc>
          <w:tcPr>
            <w:tcW w:w="565" w:type="pct"/>
            <w:tcBorders>
              <w:top w:val="nil"/>
              <w:left w:val="single" w:sz="4" w:space="0" w:color="auto"/>
              <w:bottom w:val="single" w:sz="4" w:space="0" w:color="auto"/>
              <w:right w:val="single" w:sz="4" w:space="0" w:color="auto"/>
            </w:tcBorders>
            <w:vAlign w:val="center"/>
          </w:tcPr>
          <w:p w:rsidR="0086047D" w:rsidRPr="006007C7" w:rsidRDefault="0086047D" w:rsidP="0086047D">
            <w:pPr>
              <w:spacing w:line="288" w:lineRule="auto"/>
              <w:ind w:right="77"/>
              <w:jc w:val="right"/>
            </w:pPr>
            <w:r w:rsidRPr="006007C7">
              <w:t>6.0</w:t>
            </w:r>
          </w:p>
        </w:tc>
        <w:tc>
          <w:tcPr>
            <w:tcW w:w="565" w:type="pct"/>
            <w:tcBorders>
              <w:top w:val="nil"/>
              <w:left w:val="single" w:sz="4" w:space="0" w:color="auto"/>
              <w:bottom w:val="single" w:sz="4" w:space="0" w:color="auto"/>
              <w:right w:val="single" w:sz="4" w:space="0" w:color="auto"/>
            </w:tcBorders>
            <w:tcMar>
              <w:right w:w="160" w:type="dxa"/>
            </w:tcMar>
            <w:vAlign w:val="center"/>
          </w:tcPr>
          <w:p w:rsidR="0086047D" w:rsidRPr="006007C7" w:rsidRDefault="0086047D" w:rsidP="00E2683B">
            <w:pPr>
              <w:spacing w:line="288" w:lineRule="auto"/>
              <w:jc w:val="right"/>
            </w:pPr>
            <w:r w:rsidRPr="006007C7">
              <w:t>**</w:t>
            </w:r>
          </w:p>
        </w:tc>
        <w:tc>
          <w:tcPr>
            <w:tcW w:w="565" w:type="pct"/>
            <w:tcBorders>
              <w:top w:val="nil"/>
              <w:left w:val="double" w:sz="4" w:space="0" w:color="auto"/>
              <w:bottom w:val="single" w:sz="4" w:space="0" w:color="auto"/>
              <w:right w:val="single" w:sz="4" w:space="0" w:color="auto"/>
            </w:tcBorders>
            <w:tcMar>
              <w:left w:w="57" w:type="dxa"/>
              <w:right w:w="160" w:type="dxa"/>
            </w:tcMar>
            <w:vAlign w:val="center"/>
          </w:tcPr>
          <w:p w:rsidR="0086047D" w:rsidRPr="006007C7" w:rsidRDefault="0086047D" w:rsidP="00E2683B">
            <w:pPr>
              <w:spacing w:line="288" w:lineRule="auto"/>
              <w:ind w:right="-45"/>
              <w:jc w:val="right"/>
            </w:pPr>
            <w:r w:rsidRPr="006007C7">
              <w:t>1.6</w:t>
            </w:r>
          </w:p>
        </w:tc>
        <w:tc>
          <w:tcPr>
            <w:tcW w:w="565" w:type="pct"/>
            <w:tcBorders>
              <w:top w:val="nil"/>
              <w:left w:val="single" w:sz="4" w:space="0" w:color="auto"/>
              <w:bottom w:val="single" w:sz="4" w:space="0" w:color="auto"/>
            </w:tcBorders>
            <w:vAlign w:val="center"/>
          </w:tcPr>
          <w:p w:rsidR="0086047D" w:rsidRPr="006007C7" w:rsidRDefault="0086047D" w:rsidP="0086047D">
            <w:pPr>
              <w:spacing w:line="288" w:lineRule="auto"/>
              <w:ind w:right="77"/>
              <w:jc w:val="right"/>
            </w:pPr>
            <w:r w:rsidRPr="006007C7">
              <w:t>-2.9</w:t>
            </w:r>
          </w:p>
        </w:tc>
      </w:tr>
      <w:tr w:rsidR="0086047D" w:rsidRPr="00067DF6" w:rsidTr="00230A81">
        <w:trPr>
          <w:trHeight w:val="20"/>
        </w:trPr>
        <w:tc>
          <w:tcPr>
            <w:tcW w:w="1609" w:type="pct"/>
            <w:tcBorders>
              <w:bottom w:val="nil"/>
              <w:right w:val="single" w:sz="4" w:space="0" w:color="auto"/>
            </w:tcBorders>
            <w:vAlign w:val="bottom"/>
          </w:tcPr>
          <w:p w:rsidR="0086047D" w:rsidRPr="00067DF6" w:rsidRDefault="0086047D" w:rsidP="00067DF6">
            <w:pPr>
              <w:spacing w:line="288" w:lineRule="auto"/>
              <w:ind w:right="77"/>
              <w:rPr>
                <w:rFonts w:ascii="Arial" w:hAnsi="Arial" w:cs="Arial"/>
                <w:b/>
                <w:sz w:val="20"/>
                <w:szCs w:val="20"/>
              </w:rPr>
            </w:pPr>
            <w:r w:rsidRPr="00067DF6">
              <w:rPr>
                <w:rFonts w:ascii="Arial" w:hAnsi="Arial" w:cs="Arial"/>
                <w:b/>
                <w:sz w:val="20"/>
                <w:szCs w:val="20"/>
              </w:rPr>
              <w:t>Capacity Utilization Rate (CUR)</w:t>
            </w:r>
          </w:p>
        </w:tc>
        <w:tc>
          <w:tcPr>
            <w:tcW w:w="565" w:type="pct"/>
            <w:tcBorders>
              <w:left w:val="sing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12"/>
              <w:jc w:val="right"/>
              <w:rPr>
                <w:b/>
                <w:bCs/>
              </w:rPr>
            </w:pPr>
            <w:r w:rsidRPr="006007C7">
              <w:rPr>
                <w:b/>
                <w:bCs/>
              </w:rPr>
              <w:t>0.1</w:t>
            </w:r>
          </w:p>
        </w:tc>
        <w:tc>
          <w:tcPr>
            <w:tcW w:w="565" w:type="pct"/>
            <w:tcBorders>
              <w:left w:val="single" w:sz="4" w:space="0" w:color="auto"/>
              <w:bottom w:val="nil"/>
              <w:right w:val="single" w:sz="4" w:space="0" w:color="auto"/>
            </w:tcBorders>
            <w:tcMar>
              <w:left w:w="0" w:type="dxa"/>
              <w:right w:w="160" w:type="dxa"/>
            </w:tcMar>
            <w:vAlign w:val="center"/>
          </w:tcPr>
          <w:p w:rsidR="0086047D" w:rsidRPr="006007C7" w:rsidRDefault="0086047D" w:rsidP="00E2683B">
            <w:pPr>
              <w:spacing w:line="288" w:lineRule="auto"/>
              <w:ind w:right="-42"/>
              <w:jc w:val="right"/>
              <w:rPr>
                <w:b/>
                <w:bCs/>
              </w:rPr>
            </w:pPr>
            <w:r w:rsidRPr="006007C7">
              <w:rPr>
                <w:b/>
                <w:bCs/>
              </w:rPr>
              <w:t>-0.2</w:t>
            </w:r>
          </w:p>
        </w:tc>
        <w:tc>
          <w:tcPr>
            <w:tcW w:w="565" w:type="pct"/>
            <w:tcBorders>
              <w:left w:val="single" w:sz="4" w:space="0" w:color="auto"/>
              <w:bottom w:val="nil"/>
              <w:right w:val="single" w:sz="4" w:space="0" w:color="auto"/>
            </w:tcBorders>
            <w:vAlign w:val="center"/>
          </w:tcPr>
          <w:p w:rsidR="0086047D" w:rsidRPr="006007C7" w:rsidRDefault="0086047D" w:rsidP="0086047D">
            <w:pPr>
              <w:spacing w:line="288" w:lineRule="auto"/>
              <w:ind w:right="77"/>
              <w:jc w:val="right"/>
              <w:rPr>
                <w:b/>
                <w:bCs/>
              </w:rPr>
            </w:pPr>
            <w:r w:rsidRPr="006007C7">
              <w:rPr>
                <w:b/>
                <w:bCs/>
              </w:rPr>
              <w:t>0.0</w:t>
            </w:r>
          </w:p>
        </w:tc>
        <w:tc>
          <w:tcPr>
            <w:tcW w:w="565" w:type="pct"/>
            <w:tcBorders>
              <w:left w:val="single" w:sz="4" w:space="0" w:color="auto"/>
              <w:bottom w:val="nil"/>
              <w:right w:val="single" w:sz="4" w:space="0" w:color="auto"/>
            </w:tcBorders>
            <w:tcMar>
              <w:right w:w="160" w:type="dxa"/>
            </w:tcMar>
            <w:vAlign w:val="center"/>
          </w:tcPr>
          <w:p w:rsidR="0086047D" w:rsidRPr="006007C7" w:rsidRDefault="0086047D" w:rsidP="00E2683B">
            <w:pPr>
              <w:spacing w:line="288" w:lineRule="auto"/>
              <w:jc w:val="right"/>
              <w:rPr>
                <w:b/>
                <w:bCs/>
              </w:rPr>
            </w:pPr>
            <w:r w:rsidRPr="006007C7">
              <w:rPr>
                <w:b/>
                <w:bCs/>
              </w:rPr>
              <w:t>0.3</w:t>
            </w:r>
          </w:p>
        </w:tc>
        <w:tc>
          <w:tcPr>
            <w:tcW w:w="565" w:type="pct"/>
            <w:tcBorders>
              <w:left w:val="doub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45"/>
              <w:jc w:val="right"/>
              <w:rPr>
                <w:b/>
                <w:bCs/>
              </w:rPr>
            </w:pPr>
            <w:r w:rsidRPr="006007C7">
              <w:rPr>
                <w:b/>
                <w:bCs/>
              </w:rPr>
              <w:t>-2.4</w:t>
            </w:r>
          </w:p>
        </w:tc>
        <w:tc>
          <w:tcPr>
            <w:tcW w:w="565" w:type="pct"/>
            <w:tcBorders>
              <w:left w:val="single" w:sz="4" w:space="0" w:color="auto"/>
              <w:bottom w:val="nil"/>
            </w:tcBorders>
            <w:vAlign w:val="center"/>
          </w:tcPr>
          <w:p w:rsidR="0086047D" w:rsidRPr="006007C7" w:rsidRDefault="0086047D" w:rsidP="0086047D">
            <w:pPr>
              <w:spacing w:line="288" w:lineRule="auto"/>
              <w:ind w:right="77"/>
              <w:jc w:val="right"/>
              <w:rPr>
                <w:b/>
                <w:bCs/>
              </w:rPr>
            </w:pPr>
            <w:r w:rsidRPr="006007C7">
              <w:rPr>
                <w:b/>
                <w:bCs/>
              </w:rPr>
              <w:t>-1.8</w:t>
            </w:r>
          </w:p>
        </w:tc>
      </w:tr>
      <w:tr w:rsidR="0086047D" w:rsidRPr="00067DF6" w:rsidTr="00230A81">
        <w:trPr>
          <w:trHeight w:val="20"/>
        </w:trPr>
        <w:tc>
          <w:tcPr>
            <w:tcW w:w="1609" w:type="pct"/>
            <w:tcBorders>
              <w:top w:val="nil"/>
              <w:bottom w:val="nil"/>
              <w:right w:val="single" w:sz="4" w:space="0" w:color="auto"/>
            </w:tcBorders>
            <w:vAlign w:val="bottom"/>
          </w:tcPr>
          <w:p w:rsidR="0086047D" w:rsidRPr="00067DF6" w:rsidRDefault="0086047D" w:rsidP="00067DF6">
            <w:pPr>
              <w:spacing w:line="288" w:lineRule="auto"/>
              <w:ind w:right="77"/>
              <w:rPr>
                <w:rFonts w:ascii="Arial" w:hAnsi="Arial" w:cs="Arial"/>
                <w:sz w:val="20"/>
                <w:szCs w:val="20"/>
              </w:rPr>
            </w:pPr>
            <w:r w:rsidRPr="00067DF6">
              <w:rPr>
                <w:rFonts w:ascii="Arial" w:hAnsi="Arial" w:cs="Arial"/>
                <w:sz w:val="20"/>
                <w:szCs w:val="20"/>
              </w:rPr>
              <w:t>Nondurable consumer goods</w:t>
            </w:r>
          </w:p>
        </w:tc>
        <w:tc>
          <w:tcPr>
            <w:tcW w:w="565" w:type="pct"/>
            <w:tcBorders>
              <w:top w:val="nil"/>
              <w:left w:val="sing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12"/>
              <w:jc w:val="right"/>
            </w:pPr>
            <w:r w:rsidRPr="006007C7">
              <w:t>0.1</w:t>
            </w:r>
          </w:p>
        </w:tc>
        <w:tc>
          <w:tcPr>
            <w:tcW w:w="565" w:type="pct"/>
            <w:tcBorders>
              <w:top w:val="nil"/>
              <w:left w:val="single" w:sz="4" w:space="0" w:color="auto"/>
              <w:bottom w:val="nil"/>
              <w:right w:val="single" w:sz="4" w:space="0" w:color="auto"/>
            </w:tcBorders>
            <w:tcMar>
              <w:left w:w="0" w:type="dxa"/>
              <w:right w:w="160" w:type="dxa"/>
            </w:tcMar>
            <w:vAlign w:val="center"/>
          </w:tcPr>
          <w:p w:rsidR="0086047D" w:rsidRPr="006007C7" w:rsidRDefault="0086047D" w:rsidP="00E2683B">
            <w:pPr>
              <w:spacing w:line="288" w:lineRule="auto"/>
              <w:ind w:right="-42"/>
              <w:jc w:val="right"/>
            </w:pPr>
            <w:r w:rsidRPr="006007C7">
              <w:t>-0.6</w:t>
            </w:r>
          </w:p>
        </w:tc>
        <w:tc>
          <w:tcPr>
            <w:tcW w:w="565" w:type="pct"/>
            <w:tcBorders>
              <w:top w:val="nil"/>
              <w:left w:val="single" w:sz="4" w:space="0" w:color="auto"/>
              <w:bottom w:val="nil"/>
              <w:right w:val="single" w:sz="4" w:space="0" w:color="auto"/>
            </w:tcBorders>
            <w:vAlign w:val="center"/>
          </w:tcPr>
          <w:p w:rsidR="0086047D" w:rsidRPr="006007C7" w:rsidRDefault="0086047D" w:rsidP="0086047D">
            <w:pPr>
              <w:spacing w:line="288" w:lineRule="auto"/>
              <w:ind w:right="77"/>
              <w:jc w:val="right"/>
            </w:pPr>
            <w:r w:rsidRPr="006007C7">
              <w:t>0.1</w:t>
            </w:r>
          </w:p>
        </w:tc>
        <w:tc>
          <w:tcPr>
            <w:tcW w:w="565" w:type="pct"/>
            <w:tcBorders>
              <w:top w:val="nil"/>
              <w:left w:val="single" w:sz="4" w:space="0" w:color="auto"/>
              <w:bottom w:val="nil"/>
              <w:right w:val="single" w:sz="4" w:space="0" w:color="auto"/>
            </w:tcBorders>
            <w:tcMar>
              <w:right w:w="160" w:type="dxa"/>
            </w:tcMar>
            <w:vAlign w:val="center"/>
          </w:tcPr>
          <w:p w:rsidR="0086047D" w:rsidRPr="006007C7" w:rsidRDefault="0086047D" w:rsidP="00E2683B">
            <w:pPr>
              <w:spacing w:line="288" w:lineRule="auto"/>
              <w:jc w:val="right"/>
            </w:pPr>
            <w:r w:rsidRPr="006007C7">
              <w:t>0.1</w:t>
            </w:r>
          </w:p>
        </w:tc>
        <w:tc>
          <w:tcPr>
            <w:tcW w:w="565" w:type="pct"/>
            <w:tcBorders>
              <w:top w:val="nil"/>
              <w:left w:val="doub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45"/>
              <w:jc w:val="right"/>
            </w:pPr>
            <w:r w:rsidRPr="006007C7">
              <w:t>-0.2</w:t>
            </w:r>
          </w:p>
        </w:tc>
        <w:tc>
          <w:tcPr>
            <w:tcW w:w="565" w:type="pct"/>
            <w:tcBorders>
              <w:top w:val="nil"/>
              <w:left w:val="single" w:sz="4" w:space="0" w:color="auto"/>
              <w:bottom w:val="nil"/>
            </w:tcBorders>
            <w:vAlign w:val="center"/>
          </w:tcPr>
          <w:p w:rsidR="0086047D" w:rsidRPr="006007C7" w:rsidRDefault="0086047D" w:rsidP="0086047D">
            <w:pPr>
              <w:spacing w:line="288" w:lineRule="auto"/>
              <w:ind w:right="77"/>
              <w:jc w:val="right"/>
            </w:pPr>
            <w:r w:rsidRPr="006007C7">
              <w:t>-0.5</w:t>
            </w:r>
          </w:p>
        </w:tc>
      </w:tr>
      <w:tr w:rsidR="0086047D" w:rsidRPr="00067DF6" w:rsidTr="00230A81">
        <w:trPr>
          <w:trHeight w:val="20"/>
        </w:trPr>
        <w:tc>
          <w:tcPr>
            <w:tcW w:w="1609" w:type="pct"/>
            <w:tcBorders>
              <w:top w:val="nil"/>
              <w:bottom w:val="nil"/>
              <w:right w:val="single" w:sz="4" w:space="0" w:color="auto"/>
            </w:tcBorders>
            <w:vAlign w:val="bottom"/>
          </w:tcPr>
          <w:p w:rsidR="0086047D" w:rsidRPr="00067DF6" w:rsidRDefault="0086047D" w:rsidP="00067DF6">
            <w:pPr>
              <w:spacing w:line="288" w:lineRule="auto"/>
              <w:ind w:right="77"/>
              <w:rPr>
                <w:rFonts w:ascii="Arial" w:hAnsi="Arial" w:cs="Arial"/>
                <w:sz w:val="20"/>
                <w:szCs w:val="20"/>
              </w:rPr>
            </w:pPr>
            <w:r w:rsidRPr="00067DF6">
              <w:rPr>
                <w:rFonts w:ascii="Arial" w:hAnsi="Arial" w:cs="Arial"/>
                <w:sz w:val="20"/>
                <w:szCs w:val="20"/>
              </w:rPr>
              <w:t>Durable consumer goods</w:t>
            </w:r>
          </w:p>
        </w:tc>
        <w:tc>
          <w:tcPr>
            <w:tcW w:w="565" w:type="pct"/>
            <w:tcBorders>
              <w:top w:val="nil"/>
              <w:left w:val="sing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12"/>
              <w:jc w:val="right"/>
            </w:pPr>
            <w:r w:rsidRPr="006007C7">
              <w:t>0.2</w:t>
            </w:r>
          </w:p>
        </w:tc>
        <w:tc>
          <w:tcPr>
            <w:tcW w:w="565" w:type="pct"/>
            <w:tcBorders>
              <w:top w:val="nil"/>
              <w:left w:val="single" w:sz="4" w:space="0" w:color="auto"/>
              <w:bottom w:val="nil"/>
              <w:right w:val="single" w:sz="4" w:space="0" w:color="auto"/>
            </w:tcBorders>
            <w:tcMar>
              <w:left w:w="0" w:type="dxa"/>
              <w:right w:w="160" w:type="dxa"/>
            </w:tcMar>
            <w:vAlign w:val="center"/>
          </w:tcPr>
          <w:p w:rsidR="0086047D" w:rsidRPr="006007C7" w:rsidRDefault="0086047D" w:rsidP="00E2683B">
            <w:pPr>
              <w:spacing w:line="288" w:lineRule="auto"/>
              <w:ind w:right="-42"/>
              <w:jc w:val="right"/>
            </w:pPr>
            <w:r w:rsidRPr="006007C7">
              <w:t>-0.4</w:t>
            </w:r>
          </w:p>
        </w:tc>
        <w:tc>
          <w:tcPr>
            <w:tcW w:w="565" w:type="pct"/>
            <w:tcBorders>
              <w:top w:val="nil"/>
              <w:left w:val="single" w:sz="4" w:space="0" w:color="auto"/>
              <w:bottom w:val="nil"/>
              <w:right w:val="single" w:sz="4" w:space="0" w:color="auto"/>
            </w:tcBorders>
            <w:vAlign w:val="center"/>
          </w:tcPr>
          <w:p w:rsidR="0086047D" w:rsidRPr="006007C7" w:rsidRDefault="0086047D" w:rsidP="0086047D">
            <w:pPr>
              <w:spacing w:line="288" w:lineRule="auto"/>
              <w:ind w:right="77"/>
              <w:jc w:val="right"/>
            </w:pPr>
            <w:r w:rsidRPr="006007C7">
              <w:t>0.4</w:t>
            </w:r>
          </w:p>
        </w:tc>
        <w:tc>
          <w:tcPr>
            <w:tcW w:w="565" w:type="pct"/>
            <w:tcBorders>
              <w:top w:val="nil"/>
              <w:left w:val="single" w:sz="4" w:space="0" w:color="auto"/>
              <w:bottom w:val="nil"/>
              <w:right w:val="single" w:sz="4" w:space="0" w:color="auto"/>
            </w:tcBorders>
            <w:tcMar>
              <w:right w:w="160" w:type="dxa"/>
            </w:tcMar>
            <w:vAlign w:val="center"/>
          </w:tcPr>
          <w:p w:rsidR="0086047D" w:rsidRPr="006007C7" w:rsidRDefault="0086047D" w:rsidP="00E2683B">
            <w:pPr>
              <w:spacing w:line="288" w:lineRule="auto"/>
              <w:jc w:val="right"/>
            </w:pPr>
            <w:r w:rsidRPr="006007C7">
              <w:t>-0.4</w:t>
            </w:r>
          </w:p>
        </w:tc>
        <w:tc>
          <w:tcPr>
            <w:tcW w:w="565" w:type="pct"/>
            <w:tcBorders>
              <w:top w:val="nil"/>
              <w:left w:val="doub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45"/>
              <w:jc w:val="right"/>
            </w:pPr>
            <w:r w:rsidRPr="006007C7">
              <w:t>-0.6</w:t>
            </w:r>
          </w:p>
        </w:tc>
        <w:tc>
          <w:tcPr>
            <w:tcW w:w="565" w:type="pct"/>
            <w:tcBorders>
              <w:top w:val="nil"/>
              <w:left w:val="single" w:sz="4" w:space="0" w:color="auto"/>
              <w:bottom w:val="nil"/>
            </w:tcBorders>
            <w:vAlign w:val="center"/>
          </w:tcPr>
          <w:p w:rsidR="0086047D" w:rsidRPr="006007C7" w:rsidRDefault="0086047D" w:rsidP="0086047D">
            <w:pPr>
              <w:spacing w:line="288" w:lineRule="auto"/>
              <w:ind w:right="77"/>
              <w:jc w:val="right"/>
            </w:pPr>
            <w:r w:rsidRPr="006007C7">
              <w:t>-1.4</w:t>
            </w:r>
          </w:p>
        </w:tc>
      </w:tr>
      <w:tr w:rsidR="0086047D" w:rsidRPr="00067DF6" w:rsidTr="00230A81">
        <w:trPr>
          <w:trHeight w:val="20"/>
        </w:trPr>
        <w:tc>
          <w:tcPr>
            <w:tcW w:w="1609" w:type="pct"/>
            <w:tcBorders>
              <w:top w:val="nil"/>
              <w:bottom w:val="nil"/>
              <w:right w:val="single" w:sz="4" w:space="0" w:color="auto"/>
            </w:tcBorders>
            <w:vAlign w:val="bottom"/>
          </w:tcPr>
          <w:p w:rsidR="0086047D" w:rsidRPr="00067DF6" w:rsidRDefault="0086047D" w:rsidP="00067DF6">
            <w:pPr>
              <w:spacing w:line="288" w:lineRule="auto"/>
              <w:ind w:right="77"/>
              <w:rPr>
                <w:rFonts w:ascii="Arial" w:hAnsi="Arial" w:cs="Arial"/>
                <w:sz w:val="20"/>
                <w:szCs w:val="20"/>
              </w:rPr>
            </w:pPr>
            <w:r w:rsidRPr="00067DF6">
              <w:rPr>
                <w:rFonts w:ascii="Arial" w:hAnsi="Arial" w:cs="Arial"/>
                <w:sz w:val="20"/>
                <w:szCs w:val="20"/>
              </w:rPr>
              <w:t>Intermediate goods</w:t>
            </w:r>
          </w:p>
        </w:tc>
        <w:tc>
          <w:tcPr>
            <w:tcW w:w="565" w:type="pct"/>
            <w:tcBorders>
              <w:top w:val="nil"/>
              <w:left w:val="sing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12"/>
              <w:jc w:val="right"/>
            </w:pPr>
            <w:r w:rsidRPr="006007C7">
              <w:t>0.3</w:t>
            </w:r>
          </w:p>
        </w:tc>
        <w:tc>
          <w:tcPr>
            <w:tcW w:w="565" w:type="pct"/>
            <w:tcBorders>
              <w:top w:val="nil"/>
              <w:left w:val="single" w:sz="4" w:space="0" w:color="auto"/>
              <w:bottom w:val="nil"/>
              <w:right w:val="single" w:sz="4" w:space="0" w:color="auto"/>
            </w:tcBorders>
            <w:tcMar>
              <w:left w:w="0" w:type="dxa"/>
              <w:right w:w="160" w:type="dxa"/>
            </w:tcMar>
            <w:vAlign w:val="center"/>
          </w:tcPr>
          <w:p w:rsidR="0086047D" w:rsidRPr="006007C7" w:rsidRDefault="0086047D" w:rsidP="00E2683B">
            <w:pPr>
              <w:spacing w:line="288" w:lineRule="auto"/>
              <w:ind w:right="-42"/>
              <w:jc w:val="right"/>
            </w:pPr>
            <w:r w:rsidRPr="006007C7">
              <w:t>-0.6</w:t>
            </w:r>
          </w:p>
        </w:tc>
        <w:tc>
          <w:tcPr>
            <w:tcW w:w="565" w:type="pct"/>
            <w:tcBorders>
              <w:top w:val="nil"/>
              <w:left w:val="single" w:sz="4" w:space="0" w:color="auto"/>
              <w:bottom w:val="nil"/>
              <w:right w:val="single" w:sz="4" w:space="0" w:color="auto"/>
            </w:tcBorders>
            <w:vAlign w:val="center"/>
          </w:tcPr>
          <w:p w:rsidR="0086047D" w:rsidRPr="006007C7" w:rsidRDefault="0086047D" w:rsidP="0086047D">
            <w:pPr>
              <w:spacing w:line="288" w:lineRule="auto"/>
              <w:ind w:right="77"/>
              <w:jc w:val="right"/>
            </w:pPr>
            <w:r w:rsidRPr="006007C7">
              <w:t>-0.4</w:t>
            </w:r>
          </w:p>
        </w:tc>
        <w:tc>
          <w:tcPr>
            <w:tcW w:w="565" w:type="pct"/>
            <w:tcBorders>
              <w:top w:val="nil"/>
              <w:left w:val="single" w:sz="4" w:space="0" w:color="auto"/>
              <w:bottom w:val="nil"/>
              <w:right w:val="single" w:sz="4" w:space="0" w:color="auto"/>
            </w:tcBorders>
            <w:tcMar>
              <w:right w:w="160" w:type="dxa"/>
            </w:tcMar>
            <w:vAlign w:val="center"/>
          </w:tcPr>
          <w:p w:rsidR="0086047D" w:rsidRPr="006007C7" w:rsidRDefault="0086047D" w:rsidP="00E2683B">
            <w:pPr>
              <w:spacing w:line="288" w:lineRule="auto"/>
              <w:jc w:val="right"/>
            </w:pPr>
            <w:r w:rsidRPr="006007C7">
              <w:t>0.5</w:t>
            </w:r>
          </w:p>
        </w:tc>
        <w:tc>
          <w:tcPr>
            <w:tcW w:w="565" w:type="pct"/>
            <w:tcBorders>
              <w:top w:val="nil"/>
              <w:left w:val="doub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45"/>
              <w:jc w:val="right"/>
            </w:pPr>
            <w:r w:rsidRPr="006007C7">
              <w:t>-2.0</w:t>
            </w:r>
          </w:p>
        </w:tc>
        <w:tc>
          <w:tcPr>
            <w:tcW w:w="565" w:type="pct"/>
            <w:tcBorders>
              <w:top w:val="nil"/>
              <w:left w:val="single" w:sz="4" w:space="0" w:color="auto"/>
              <w:bottom w:val="nil"/>
            </w:tcBorders>
            <w:vAlign w:val="center"/>
          </w:tcPr>
          <w:p w:rsidR="0086047D" w:rsidRPr="006007C7" w:rsidRDefault="0086047D" w:rsidP="0086047D">
            <w:pPr>
              <w:spacing w:line="288" w:lineRule="auto"/>
              <w:ind w:right="77"/>
              <w:jc w:val="right"/>
            </w:pPr>
            <w:r w:rsidRPr="006007C7">
              <w:t>-0.9</w:t>
            </w:r>
          </w:p>
        </w:tc>
      </w:tr>
      <w:tr w:rsidR="0086047D" w:rsidRPr="00067DF6" w:rsidTr="00230A81">
        <w:trPr>
          <w:trHeight w:val="20"/>
        </w:trPr>
        <w:tc>
          <w:tcPr>
            <w:tcW w:w="1609" w:type="pct"/>
            <w:tcBorders>
              <w:top w:val="nil"/>
              <w:bottom w:val="single" w:sz="4" w:space="0" w:color="auto"/>
              <w:right w:val="single" w:sz="4" w:space="0" w:color="auto"/>
            </w:tcBorders>
            <w:vAlign w:val="bottom"/>
          </w:tcPr>
          <w:p w:rsidR="0086047D" w:rsidRPr="00067DF6" w:rsidRDefault="0086047D" w:rsidP="00067DF6">
            <w:pPr>
              <w:spacing w:line="288" w:lineRule="auto"/>
              <w:ind w:right="77"/>
              <w:rPr>
                <w:rFonts w:ascii="Arial" w:hAnsi="Arial" w:cs="Arial"/>
                <w:sz w:val="20"/>
                <w:szCs w:val="20"/>
              </w:rPr>
            </w:pPr>
            <w:r w:rsidRPr="00067DF6">
              <w:rPr>
                <w:rFonts w:ascii="Arial" w:hAnsi="Arial" w:cs="Arial"/>
                <w:sz w:val="20"/>
                <w:szCs w:val="20"/>
              </w:rPr>
              <w:t>Investment goods</w:t>
            </w:r>
          </w:p>
        </w:tc>
        <w:tc>
          <w:tcPr>
            <w:tcW w:w="565" w:type="pct"/>
            <w:tcBorders>
              <w:top w:val="nil"/>
              <w:left w:val="single" w:sz="4" w:space="0" w:color="auto"/>
              <w:bottom w:val="single" w:sz="4" w:space="0" w:color="auto"/>
              <w:right w:val="single" w:sz="4" w:space="0" w:color="auto"/>
            </w:tcBorders>
            <w:tcMar>
              <w:left w:w="57" w:type="dxa"/>
              <w:right w:w="160" w:type="dxa"/>
            </w:tcMar>
            <w:vAlign w:val="center"/>
          </w:tcPr>
          <w:p w:rsidR="0086047D" w:rsidRPr="006007C7" w:rsidRDefault="0086047D" w:rsidP="00E2683B">
            <w:pPr>
              <w:spacing w:line="288" w:lineRule="auto"/>
              <w:ind w:right="-12"/>
              <w:jc w:val="right"/>
            </w:pPr>
            <w:r w:rsidRPr="006007C7">
              <w:t>-0.6</w:t>
            </w:r>
          </w:p>
        </w:tc>
        <w:tc>
          <w:tcPr>
            <w:tcW w:w="565" w:type="pct"/>
            <w:tcBorders>
              <w:top w:val="nil"/>
              <w:left w:val="single" w:sz="4" w:space="0" w:color="auto"/>
              <w:bottom w:val="single" w:sz="4" w:space="0" w:color="auto"/>
              <w:right w:val="single" w:sz="4" w:space="0" w:color="auto"/>
            </w:tcBorders>
            <w:tcMar>
              <w:left w:w="0" w:type="dxa"/>
              <w:right w:w="160" w:type="dxa"/>
            </w:tcMar>
            <w:vAlign w:val="center"/>
          </w:tcPr>
          <w:p w:rsidR="0086047D" w:rsidRPr="006007C7" w:rsidRDefault="0086047D" w:rsidP="00E2683B">
            <w:pPr>
              <w:spacing w:line="288" w:lineRule="auto"/>
              <w:ind w:right="-42"/>
              <w:jc w:val="right"/>
            </w:pPr>
            <w:r w:rsidRPr="006007C7">
              <w:t>0.6</w:t>
            </w:r>
          </w:p>
        </w:tc>
        <w:tc>
          <w:tcPr>
            <w:tcW w:w="565" w:type="pct"/>
            <w:tcBorders>
              <w:top w:val="nil"/>
              <w:left w:val="single" w:sz="4" w:space="0" w:color="auto"/>
              <w:bottom w:val="single" w:sz="4" w:space="0" w:color="auto"/>
              <w:right w:val="single" w:sz="4" w:space="0" w:color="auto"/>
            </w:tcBorders>
            <w:vAlign w:val="center"/>
          </w:tcPr>
          <w:p w:rsidR="0086047D" w:rsidRPr="006007C7" w:rsidRDefault="0086047D" w:rsidP="0086047D">
            <w:pPr>
              <w:spacing w:line="288" w:lineRule="auto"/>
              <w:ind w:right="77"/>
              <w:jc w:val="right"/>
            </w:pPr>
            <w:r w:rsidRPr="006007C7">
              <w:t>-1.2</w:t>
            </w:r>
          </w:p>
        </w:tc>
        <w:tc>
          <w:tcPr>
            <w:tcW w:w="565" w:type="pct"/>
            <w:tcBorders>
              <w:top w:val="nil"/>
              <w:left w:val="single" w:sz="4" w:space="0" w:color="auto"/>
              <w:bottom w:val="single" w:sz="4" w:space="0" w:color="auto"/>
              <w:right w:val="single" w:sz="4" w:space="0" w:color="auto"/>
            </w:tcBorders>
            <w:tcMar>
              <w:right w:w="160" w:type="dxa"/>
            </w:tcMar>
            <w:vAlign w:val="center"/>
          </w:tcPr>
          <w:p w:rsidR="0086047D" w:rsidRPr="006007C7" w:rsidRDefault="0086047D" w:rsidP="00E2683B">
            <w:pPr>
              <w:spacing w:line="288" w:lineRule="auto"/>
              <w:jc w:val="right"/>
            </w:pPr>
            <w:r w:rsidRPr="006007C7">
              <w:t>0.3</w:t>
            </w:r>
          </w:p>
        </w:tc>
        <w:tc>
          <w:tcPr>
            <w:tcW w:w="565" w:type="pct"/>
            <w:tcBorders>
              <w:top w:val="nil"/>
              <w:left w:val="double" w:sz="4" w:space="0" w:color="auto"/>
              <w:bottom w:val="single" w:sz="4" w:space="0" w:color="auto"/>
              <w:right w:val="single" w:sz="4" w:space="0" w:color="auto"/>
            </w:tcBorders>
            <w:tcMar>
              <w:left w:w="57" w:type="dxa"/>
              <w:right w:w="160" w:type="dxa"/>
            </w:tcMar>
            <w:vAlign w:val="center"/>
          </w:tcPr>
          <w:p w:rsidR="0086047D" w:rsidRPr="006007C7" w:rsidRDefault="0086047D" w:rsidP="00E2683B">
            <w:pPr>
              <w:spacing w:line="288" w:lineRule="auto"/>
              <w:ind w:right="-45"/>
              <w:jc w:val="right"/>
            </w:pPr>
            <w:r w:rsidRPr="006007C7">
              <w:t>-1.5</w:t>
            </w:r>
          </w:p>
        </w:tc>
        <w:tc>
          <w:tcPr>
            <w:tcW w:w="565" w:type="pct"/>
            <w:tcBorders>
              <w:top w:val="nil"/>
              <w:left w:val="single" w:sz="4" w:space="0" w:color="auto"/>
              <w:bottom w:val="single" w:sz="4" w:space="0" w:color="auto"/>
            </w:tcBorders>
            <w:vAlign w:val="center"/>
          </w:tcPr>
          <w:p w:rsidR="0086047D" w:rsidRPr="006007C7" w:rsidRDefault="0086047D" w:rsidP="0086047D">
            <w:pPr>
              <w:spacing w:line="288" w:lineRule="auto"/>
              <w:ind w:right="77"/>
              <w:jc w:val="right"/>
            </w:pPr>
            <w:r w:rsidRPr="006007C7">
              <w:t>-2.4</w:t>
            </w:r>
          </w:p>
        </w:tc>
      </w:tr>
      <w:tr w:rsidR="0086047D" w:rsidRPr="00067DF6" w:rsidTr="00230A81">
        <w:trPr>
          <w:trHeight w:val="20"/>
        </w:trPr>
        <w:tc>
          <w:tcPr>
            <w:tcW w:w="1609" w:type="pct"/>
            <w:tcBorders>
              <w:bottom w:val="nil"/>
              <w:right w:val="single" w:sz="4" w:space="0" w:color="auto"/>
            </w:tcBorders>
            <w:vAlign w:val="bottom"/>
          </w:tcPr>
          <w:p w:rsidR="0086047D" w:rsidRPr="00067DF6" w:rsidRDefault="0086047D" w:rsidP="00067DF6">
            <w:pPr>
              <w:spacing w:line="288" w:lineRule="auto"/>
              <w:ind w:right="77"/>
              <w:rPr>
                <w:rFonts w:ascii="Arial" w:hAnsi="Arial" w:cs="Arial"/>
                <w:b/>
                <w:sz w:val="20"/>
                <w:szCs w:val="20"/>
              </w:rPr>
            </w:pPr>
            <w:r w:rsidRPr="00067DF6">
              <w:rPr>
                <w:rFonts w:ascii="Arial" w:hAnsi="Arial" w:cs="Arial"/>
                <w:b/>
                <w:sz w:val="20"/>
                <w:szCs w:val="20"/>
              </w:rPr>
              <w:t>Manufacturing Order Index</w:t>
            </w:r>
          </w:p>
        </w:tc>
        <w:tc>
          <w:tcPr>
            <w:tcW w:w="565" w:type="pct"/>
            <w:tcBorders>
              <w:left w:val="sing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12"/>
              <w:jc w:val="right"/>
              <w:rPr>
                <w:b/>
                <w:bCs/>
              </w:rPr>
            </w:pPr>
            <w:r w:rsidRPr="006007C7">
              <w:rPr>
                <w:b/>
                <w:bCs/>
              </w:rPr>
              <w:t>-8.2</w:t>
            </w:r>
          </w:p>
        </w:tc>
        <w:tc>
          <w:tcPr>
            <w:tcW w:w="565" w:type="pct"/>
            <w:tcBorders>
              <w:left w:val="single" w:sz="4" w:space="0" w:color="auto"/>
              <w:bottom w:val="nil"/>
              <w:right w:val="single" w:sz="4" w:space="0" w:color="auto"/>
            </w:tcBorders>
            <w:tcMar>
              <w:left w:w="0" w:type="dxa"/>
              <w:right w:w="160" w:type="dxa"/>
            </w:tcMar>
            <w:vAlign w:val="center"/>
          </w:tcPr>
          <w:p w:rsidR="0086047D" w:rsidRPr="006007C7" w:rsidRDefault="0086047D" w:rsidP="00E2683B">
            <w:pPr>
              <w:spacing w:line="288" w:lineRule="auto"/>
              <w:ind w:right="-42"/>
              <w:jc w:val="right"/>
              <w:rPr>
                <w:b/>
                <w:bCs/>
              </w:rPr>
            </w:pPr>
            <w:r w:rsidRPr="006007C7">
              <w:rPr>
                <w:b/>
                <w:bCs/>
              </w:rPr>
              <w:t>4.9</w:t>
            </w:r>
          </w:p>
        </w:tc>
        <w:tc>
          <w:tcPr>
            <w:tcW w:w="565" w:type="pct"/>
            <w:tcBorders>
              <w:left w:val="single" w:sz="4" w:space="0" w:color="auto"/>
              <w:bottom w:val="nil"/>
              <w:right w:val="single" w:sz="4" w:space="0" w:color="auto"/>
            </w:tcBorders>
            <w:vAlign w:val="center"/>
          </w:tcPr>
          <w:p w:rsidR="0086047D" w:rsidRPr="006007C7" w:rsidRDefault="0086047D" w:rsidP="0086047D">
            <w:pPr>
              <w:spacing w:line="288" w:lineRule="auto"/>
              <w:ind w:right="77"/>
              <w:jc w:val="right"/>
              <w:rPr>
                <w:b/>
                <w:bCs/>
              </w:rPr>
            </w:pPr>
            <w:r w:rsidRPr="006007C7">
              <w:rPr>
                <w:b/>
                <w:bCs/>
              </w:rPr>
              <w:t>**</w:t>
            </w:r>
          </w:p>
        </w:tc>
        <w:tc>
          <w:tcPr>
            <w:tcW w:w="565" w:type="pct"/>
            <w:tcBorders>
              <w:left w:val="single" w:sz="4" w:space="0" w:color="auto"/>
              <w:bottom w:val="nil"/>
              <w:right w:val="single" w:sz="4" w:space="0" w:color="auto"/>
            </w:tcBorders>
            <w:tcMar>
              <w:right w:w="160" w:type="dxa"/>
            </w:tcMar>
            <w:vAlign w:val="center"/>
          </w:tcPr>
          <w:p w:rsidR="0086047D" w:rsidRPr="006007C7" w:rsidRDefault="0086047D" w:rsidP="00E2683B">
            <w:pPr>
              <w:spacing w:line="288" w:lineRule="auto"/>
              <w:jc w:val="right"/>
              <w:rPr>
                <w:b/>
                <w:bCs/>
              </w:rPr>
            </w:pPr>
            <w:r w:rsidRPr="006007C7">
              <w:rPr>
                <w:b/>
                <w:bCs/>
              </w:rPr>
              <w:t>**</w:t>
            </w:r>
          </w:p>
        </w:tc>
        <w:tc>
          <w:tcPr>
            <w:tcW w:w="565" w:type="pct"/>
            <w:tcBorders>
              <w:left w:val="doub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45"/>
              <w:jc w:val="right"/>
              <w:rPr>
                <w:b/>
                <w:bCs/>
              </w:rPr>
            </w:pPr>
            <w:r w:rsidRPr="006007C7">
              <w:rPr>
                <w:b/>
                <w:bCs/>
              </w:rPr>
              <w:t>3.2</w:t>
            </w:r>
          </w:p>
        </w:tc>
        <w:tc>
          <w:tcPr>
            <w:tcW w:w="565" w:type="pct"/>
            <w:tcBorders>
              <w:left w:val="single" w:sz="4" w:space="0" w:color="auto"/>
              <w:bottom w:val="nil"/>
            </w:tcBorders>
            <w:vAlign w:val="center"/>
          </w:tcPr>
          <w:p w:rsidR="0086047D" w:rsidRPr="006007C7" w:rsidRDefault="0086047D" w:rsidP="0086047D">
            <w:pPr>
              <w:spacing w:line="288" w:lineRule="auto"/>
              <w:ind w:right="77"/>
              <w:jc w:val="right"/>
              <w:rPr>
                <w:b/>
                <w:bCs/>
              </w:rPr>
            </w:pPr>
            <w:r w:rsidRPr="006007C7">
              <w:rPr>
                <w:b/>
                <w:bCs/>
              </w:rPr>
              <w:t>-3.8</w:t>
            </w:r>
          </w:p>
        </w:tc>
      </w:tr>
      <w:tr w:rsidR="0086047D" w:rsidRPr="00067DF6" w:rsidTr="00230A81">
        <w:trPr>
          <w:trHeight w:val="20"/>
        </w:trPr>
        <w:tc>
          <w:tcPr>
            <w:tcW w:w="1609" w:type="pct"/>
            <w:tcBorders>
              <w:top w:val="nil"/>
              <w:bottom w:val="nil"/>
              <w:right w:val="single" w:sz="4" w:space="0" w:color="auto"/>
            </w:tcBorders>
            <w:vAlign w:val="bottom"/>
          </w:tcPr>
          <w:p w:rsidR="0086047D" w:rsidRPr="00067DF6" w:rsidRDefault="0086047D" w:rsidP="00067DF6">
            <w:pPr>
              <w:spacing w:line="288" w:lineRule="auto"/>
              <w:ind w:right="77"/>
              <w:rPr>
                <w:rFonts w:ascii="Arial" w:hAnsi="Arial" w:cs="Arial"/>
                <w:sz w:val="20"/>
                <w:szCs w:val="20"/>
              </w:rPr>
            </w:pPr>
            <w:r w:rsidRPr="00067DF6">
              <w:rPr>
                <w:rFonts w:ascii="Arial" w:hAnsi="Arial" w:cs="Arial"/>
                <w:sz w:val="20"/>
                <w:szCs w:val="20"/>
              </w:rPr>
              <w:t>Domestic Orders</w:t>
            </w:r>
          </w:p>
        </w:tc>
        <w:tc>
          <w:tcPr>
            <w:tcW w:w="565" w:type="pct"/>
            <w:tcBorders>
              <w:top w:val="nil"/>
              <w:left w:val="sing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12"/>
              <w:jc w:val="right"/>
            </w:pPr>
            <w:r w:rsidRPr="006007C7">
              <w:t>0.9</w:t>
            </w:r>
          </w:p>
        </w:tc>
        <w:tc>
          <w:tcPr>
            <w:tcW w:w="565" w:type="pct"/>
            <w:tcBorders>
              <w:top w:val="nil"/>
              <w:left w:val="single" w:sz="4" w:space="0" w:color="auto"/>
              <w:bottom w:val="nil"/>
              <w:right w:val="single" w:sz="4" w:space="0" w:color="auto"/>
            </w:tcBorders>
            <w:tcMar>
              <w:left w:w="0" w:type="dxa"/>
              <w:right w:w="160" w:type="dxa"/>
            </w:tcMar>
            <w:vAlign w:val="center"/>
          </w:tcPr>
          <w:p w:rsidR="0086047D" w:rsidRPr="006007C7" w:rsidRDefault="0086047D" w:rsidP="00E2683B">
            <w:pPr>
              <w:spacing w:line="288" w:lineRule="auto"/>
              <w:ind w:right="-42"/>
              <w:jc w:val="right"/>
            </w:pPr>
            <w:r w:rsidRPr="006007C7">
              <w:t>-2.0</w:t>
            </w:r>
          </w:p>
        </w:tc>
        <w:tc>
          <w:tcPr>
            <w:tcW w:w="565" w:type="pct"/>
            <w:tcBorders>
              <w:top w:val="nil"/>
              <w:left w:val="single" w:sz="4" w:space="0" w:color="auto"/>
              <w:bottom w:val="nil"/>
              <w:right w:val="single" w:sz="4" w:space="0" w:color="auto"/>
            </w:tcBorders>
            <w:vAlign w:val="center"/>
          </w:tcPr>
          <w:p w:rsidR="0086047D" w:rsidRPr="006007C7" w:rsidRDefault="0086047D" w:rsidP="0086047D">
            <w:pPr>
              <w:spacing w:line="288" w:lineRule="auto"/>
              <w:ind w:right="77"/>
              <w:jc w:val="right"/>
            </w:pPr>
            <w:r w:rsidRPr="006007C7">
              <w:t>**</w:t>
            </w:r>
          </w:p>
        </w:tc>
        <w:tc>
          <w:tcPr>
            <w:tcW w:w="565" w:type="pct"/>
            <w:tcBorders>
              <w:top w:val="nil"/>
              <w:left w:val="single" w:sz="4" w:space="0" w:color="auto"/>
              <w:bottom w:val="nil"/>
              <w:right w:val="single" w:sz="4" w:space="0" w:color="auto"/>
            </w:tcBorders>
            <w:tcMar>
              <w:right w:w="160" w:type="dxa"/>
            </w:tcMar>
            <w:vAlign w:val="center"/>
          </w:tcPr>
          <w:p w:rsidR="0086047D" w:rsidRPr="006007C7" w:rsidRDefault="0086047D" w:rsidP="00E2683B">
            <w:pPr>
              <w:spacing w:line="288" w:lineRule="auto"/>
              <w:jc w:val="right"/>
            </w:pPr>
            <w:r w:rsidRPr="006007C7">
              <w:t>**</w:t>
            </w:r>
          </w:p>
        </w:tc>
        <w:tc>
          <w:tcPr>
            <w:tcW w:w="565" w:type="pct"/>
            <w:tcBorders>
              <w:top w:val="nil"/>
              <w:left w:val="doub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45"/>
              <w:jc w:val="right"/>
            </w:pPr>
            <w:r w:rsidRPr="006007C7">
              <w:t>1.6</w:t>
            </w:r>
          </w:p>
        </w:tc>
        <w:tc>
          <w:tcPr>
            <w:tcW w:w="565" w:type="pct"/>
            <w:tcBorders>
              <w:top w:val="nil"/>
              <w:left w:val="single" w:sz="4" w:space="0" w:color="auto"/>
              <w:bottom w:val="nil"/>
            </w:tcBorders>
            <w:vAlign w:val="center"/>
          </w:tcPr>
          <w:p w:rsidR="0086047D" w:rsidRPr="006007C7" w:rsidRDefault="0086047D" w:rsidP="0086047D">
            <w:pPr>
              <w:spacing w:line="288" w:lineRule="auto"/>
              <w:ind w:right="77"/>
              <w:jc w:val="right"/>
            </w:pPr>
            <w:r w:rsidRPr="006007C7">
              <w:t>-3.0</w:t>
            </w:r>
          </w:p>
        </w:tc>
      </w:tr>
      <w:tr w:rsidR="0086047D" w:rsidRPr="00067DF6" w:rsidTr="00230A81">
        <w:trPr>
          <w:trHeight w:val="20"/>
        </w:trPr>
        <w:tc>
          <w:tcPr>
            <w:tcW w:w="1609" w:type="pct"/>
            <w:tcBorders>
              <w:top w:val="nil"/>
              <w:bottom w:val="single" w:sz="4" w:space="0" w:color="auto"/>
              <w:right w:val="single" w:sz="4" w:space="0" w:color="auto"/>
            </w:tcBorders>
            <w:vAlign w:val="bottom"/>
          </w:tcPr>
          <w:p w:rsidR="0086047D" w:rsidRPr="00067DF6" w:rsidRDefault="0086047D" w:rsidP="00067DF6">
            <w:pPr>
              <w:spacing w:line="288" w:lineRule="auto"/>
              <w:ind w:right="77"/>
              <w:rPr>
                <w:rFonts w:ascii="Arial" w:hAnsi="Arial" w:cs="Arial"/>
                <w:sz w:val="20"/>
                <w:szCs w:val="20"/>
              </w:rPr>
            </w:pPr>
            <w:r w:rsidRPr="00067DF6">
              <w:rPr>
                <w:rFonts w:ascii="Arial" w:hAnsi="Arial" w:cs="Arial"/>
                <w:sz w:val="20"/>
                <w:szCs w:val="20"/>
              </w:rPr>
              <w:t>Foreign Orderrs</w:t>
            </w:r>
          </w:p>
        </w:tc>
        <w:tc>
          <w:tcPr>
            <w:tcW w:w="565" w:type="pct"/>
            <w:tcBorders>
              <w:top w:val="nil"/>
              <w:left w:val="single" w:sz="4" w:space="0" w:color="auto"/>
              <w:bottom w:val="single" w:sz="4" w:space="0" w:color="auto"/>
              <w:right w:val="single" w:sz="4" w:space="0" w:color="auto"/>
            </w:tcBorders>
            <w:tcMar>
              <w:left w:w="57" w:type="dxa"/>
              <w:right w:w="160" w:type="dxa"/>
            </w:tcMar>
            <w:vAlign w:val="center"/>
          </w:tcPr>
          <w:p w:rsidR="0086047D" w:rsidRPr="006007C7" w:rsidRDefault="0086047D" w:rsidP="00E2683B">
            <w:pPr>
              <w:spacing w:line="288" w:lineRule="auto"/>
              <w:ind w:right="-12"/>
              <w:jc w:val="right"/>
            </w:pPr>
            <w:r w:rsidRPr="006007C7">
              <w:t>-2.8</w:t>
            </w:r>
          </w:p>
        </w:tc>
        <w:tc>
          <w:tcPr>
            <w:tcW w:w="565" w:type="pct"/>
            <w:tcBorders>
              <w:top w:val="nil"/>
              <w:left w:val="single" w:sz="4" w:space="0" w:color="auto"/>
              <w:bottom w:val="single" w:sz="4" w:space="0" w:color="auto"/>
              <w:right w:val="single" w:sz="4" w:space="0" w:color="auto"/>
            </w:tcBorders>
            <w:tcMar>
              <w:left w:w="0" w:type="dxa"/>
              <w:right w:w="160" w:type="dxa"/>
            </w:tcMar>
            <w:vAlign w:val="center"/>
          </w:tcPr>
          <w:p w:rsidR="0086047D" w:rsidRPr="006007C7" w:rsidRDefault="0086047D" w:rsidP="00E2683B">
            <w:pPr>
              <w:spacing w:line="288" w:lineRule="auto"/>
              <w:ind w:right="-42"/>
              <w:jc w:val="right"/>
            </w:pPr>
            <w:r w:rsidRPr="006007C7">
              <w:t>0.7</w:t>
            </w:r>
          </w:p>
        </w:tc>
        <w:tc>
          <w:tcPr>
            <w:tcW w:w="565" w:type="pct"/>
            <w:tcBorders>
              <w:top w:val="nil"/>
              <w:left w:val="single" w:sz="4" w:space="0" w:color="auto"/>
              <w:bottom w:val="single" w:sz="4" w:space="0" w:color="auto"/>
              <w:right w:val="single" w:sz="4" w:space="0" w:color="auto"/>
            </w:tcBorders>
            <w:vAlign w:val="center"/>
          </w:tcPr>
          <w:p w:rsidR="0086047D" w:rsidRPr="006007C7" w:rsidRDefault="0086047D" w:rsidP="0086047D">
            <w:pPr>
              <w:spacing w:line="288" w:lineRule="auto"/>
              <w:ind w:right="77"/>
              <w:jc w:val="right"/>
            </w:pPr>
            <w:r w:rsidRPr="006007C7">
              <w:t>**</w:t>
            </w:r>
          </w:p>
        </w:tc>
        <w:tc>
          <w:tcPr>
            <w:tcW w:w="565" w:type="pct"/>
            <w:tcBorders>
              <w:top w:val="nil"/>
              <w:left w:val="single" w:sz="4" w:space="0" w:color="auto"/>
              <w:bottom w:val="single" w:sz="4" w:space="0" w:color="auto"/>
              <w:right w:val="single" w:sz="4" w:space="0" w:color="auto"/>
            </w:tcBorders>
            <w:tcMar>
              <w:right w:w="160" w:type="dxa"/>
            </w:tcMar>
            <w:vAlign w:val="center"/>
          </w:tcPr>
          <w:p w:rsidR="0086047D" w:rsidRPr="006007C7" w:rsidRDefault="0086047D" w:rsidP="00E2683B">
            <w:pPr>
              <w:spacing w:line="288" w:lineRule="auto"/>
              <w:jc w:val="right"/>
            </w:pPr>
            <w:r w:rsidRPr="006007C7">
              <w:t>**</w:t>
            </w:r>
          </w:p>
        </w:tc>
        <w:tc>
          <w:tcPr>
            <w:tcW w:w="565" w:type="pct"/>
            <w:tcBorders>
              <w:top w:val="nil"/>
              <w:left w:val="double" w:sz="4" w:space="0" w:color="auto"/>
              <w:bottom w:val="single" w:sz="4" w:space="0" w:color="auto"/>
              <w:right w:val="single" w:sz="4" w:space="0" w:color="auto"/>
            </w:tcBorders>
            <w:tcMar>
              <w:left w:w="57" w:type="dxa"/>
              <w:right w:w="160" w:type="dxa"/>
            </w:tcMar>
            <w:vAlign w:val="center"/>
          </w:tcPr>
          <w:p w:rsidR="0086047D" w:rsidRPr="006007C7" w:rsidRDefault="0086047D" w:rsidP="00E2683B">
            <w:pPr>
              <w:spacing w:line="288" w:lineRule="auto"/>
              <w:ind w:right="-45"/>
              <w:jc w:val="right"/>
            </w:pPr>
            <w:r w:rsidRPr="006007C7">
              <w:t>4.9</w:t>
            </w:r>
          </w:p>
        </w:tc>
        <w:tc>
          <w:tcPr>
            <w:tcW w:w="565" w:type="pct"/>
            <w:tcBorders>
              <w:top w:val="nil"/>
              <w:left w:val="single" w:sz="4" w:space="0" w:color="auto"/>
              <w:bottom w:val="single" w:sz="4" w:space="0" w:color="auto"/>
            </w:tcBorders>
            <w:vAlign w:val="center"/>
          </w:tcPr>
          <w:p w:rsidR="0086047D" w:rsidRPr="006007C7" w:rsidRDefault="0086047D" w:rsidP="0086047D">
            <w:pPr>
              <w:spacing w:line="288" w:lineRule="auto"/>
              <w:ind w:right="77"/>
              <w:jc w:val="right"/>
            </w:pPr>
            <w:r w:rsidRPr="006007C7">
              <w:t>-5.4</w:t>
            </w:r>
          </w:p>
        </w:tc>
      </w:tr>
      <w:tr w:rsidR="0086047D" w:rsidRPr="00067DF6" w:rsidTr="00230A81">
        <w:trPr>
          <w:trHeight w:val="20"/>
        </w:trPr>
        <w:tc>
          <w:tcPr>
            <w:tcW w:w="1609" w:type="pct"/>
            <w:tcBorders>
              <w:top w:val="single" w:sz="4" w:space="0" w:color="auto"/>
              <w:bottom w:val="nil"/>
              <w:right w:val="single" w:sz="4" w:space="0" w:color="auto"/>
            </w:tcBorders>
            <w:vAlign w:val="bottom"/>
          </w:tcPr>
          <w:p w:rsidR="0086047D" w:rsidRPr="00067DF6" w:rsidRDefault="0086047D" w:rsidP="00067DF6">
            <w:pPr>
              <w:spacing w:line="288" w:lineRule="auto"/>
              <w:ind w:right="77"/>
              <w:rPr>
                <w:rFonts w:ascii="Arial" w:hAnsi="Arial" w:cs="Arial"/>
                <w:b/>
                <w:sz w:val="20"/>
                <w:szCs w:val="20"/>
              </w:rPr>
            </w:pPr>
            <w:r w:rsidRPr="00067DF6">
              <w:rPr>
                <w:rFonts w:ascii="Arial" w:hAnsi="Arial" w:cs="Arial"/>
                <w:b/>
                <w:sz w:val="20"/>
                <w:szCs w:val="20"/>
              </w:rPr>
              <w:t>Soft Data</w:t>
            </w:r>
          </w:p>
        </w:tc>
        <w:tc>
          <w:tcPr>
            <w:tcW w:w="565" w:type="pct"/>
            <w:tcBorders>
              <w:top w:val="single" w:sz="4" w:space="0" w:color="auto"/>
              <w:left w:val="sing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12"/>
              <w:jc w:val="right"/>
            </w:pPr>
          </w:p>
        </w:tc>
        <w:tc>
          <w:tcPr>
            <w:tcW w:w="565" w:type="pct"/>
            <w:tcBorders>
              <w:top w:val="single" w:sz="4" w:space="0" w:color="auto"/>
              <w:left w:val="single" w:sz="4" w:space="0" w:color="auto"/>
              <w:bottom w:val="nil"/>
              <w:right w:val="single" w:sz="4" w:space="0" w:color="auto"/>
            </w:tcBorders>
            <w:tcMar>
              <w:left w:w="0" w:type="dxa"/>
              <w:right w:w="160" w:type="dxa"/>
            </w:tcMar>
            <w:vAlign w:val="center"/>
          </w:tcPr>
          <w:p w:rsidR="0086047D" w:rsidRPr="006007C7" w:rsidRDefault="0086047D" w:rsidP="00E2683B">
            <w:pPr>
              <w:spacing w:line="288" w:lineRule="auto"/>
              <w:ind w:right="-42"/>
              <w:jc w:val="right"/>
            </w:pPr>
          </w:p>
        </w:tc>
        <w:tc>
          <w:tcPr>
            <w:tcW w:w="565" w:type="pct"/>
            <w:tcBorders>
              <w:top w:val="single" w:sz="4" w:space="0" w:color="auto"/>
              <w:left w:val="single" w:sz="4" w:space="0" w:color="auto"/>
              <w:bottom w:val="nil"/>
              <w:right w:val="single" w:sz="4" w:space="0" w:color="auto"/>
            </w:tcBorders>
            <w:vAlign w:val="center"/>
          </w:tcPr>
          <w:p w:rsidR="0086047D" w:rsidRPr="006007C7" w:rsidRDefault="0086047D" w:rsidP="0086047D">
            <w:pPr>
              <w:spacing w:line="288" w:lineRule="auto"/>
              <w:ind w:right="77"/>
              <w:jc w:val="right"/>
            </w:pPr>
          </w:p>
        </w:tc>
        <w:tc>
          <w:tcPr>
            <w:tcW w:w="565" w:type="pct"/>
            <w:tcBorders>
              <w:top w:val="single" w:sz="4" w:space="0" w:color="auto"/>
              <w:left w:val="single" w:sz="4" w:space="0" w:color="auto"/>
              <w:bottom w:val="nil"/>
              <w:right w:val="single" w:sz="4" w:space="0" w:color="auto"/>
            </w:tcBorders>
            <w:tcMar>
              <w:right w:w="160" w:type="dxa"/>
            </w:tcMar>
            <w:vAlign w:val="center"/>
          </w:tcPr>
          <w:p w:rsidR="0086047D" w:rsidRPr="006007C7" w:rsidRDefault="0086047D" w:rsidP="00E2683B">
            <w:pPr>
              <w:spacing w:line="288" w:lineRule="auto"/>
              <w:jc w:val="right"/>
            </w:pPr>
          </w:p>
        </w:tc>
        <w:tc>
          <w:tcPr>
            <w:tcW w:w="565" w:type="pct"/>
            <w:tcBorders>
              <w:top w:val="single" w:sz="4" w:space="0" w:color="auto"/>
              <w:left w:val="doub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45"/>
              <w:jc w:val="right"/>
            </w:pPr>
          </w:p>
        </w:tc>
        <w:tc>
          <w:tcPr>
            <w:tcW w:w="565" w:type="pct"/>
            <w:tcBorders>
              <w:top w:val="single" w:sz="4" w:space="0" w:color="auto"/>
              <w:left w:val="single" w:sz="4" w:space="0" w:color="auto"/>
              <w:bottom w:val="nil"/>
            </w:tcBorders>
            <w:vAlign w:val="center"/>
          </w:tcPr>
          <w:p w:rsidR="0086047D" w:rsidRPr="006007C7" w:rsidRDefault="0086047D" w:rsidP="0086047D">
            <w:pPr>
              <w:spacing w:line="288" w:lineRule="auto"/>
              <w:ind w:right="77"/>
              <w:jc w:val="right"/>
            </w:pPr>
          </w:p>
        </w:tc>
      </w:tr>
      <w:tr w:rsidR="0086047D" w:rsidRPr="00067DF6" w:rsidTr="00230A81">
        <w:trPr>
          <w:trHeight w:val="20"/>
        </w:trPr>
        <w:tc>
          <w:tcPr>
            <w:tcW w:w="1609" w:type="pct"/>
            <w:tcBorders>
              <w:top w:val="nil"/>
              <w:bottom w:val="nil"/>
              <w:right w:val="single" w:sz="4" w:space="0" w:color="auto"/>
            </w:tcBorders>
            <w:vAlign w:val="bottom"/>
          </w:tcPr>
          <w:p w:rsidR="0086047D" w:rsidRPr="00067DF6" w:rsidRDefault="0086047D" w:rsidP="00067DF6">
            <w:pPr>
              <w:spacing w:line="288" w:lineRule="auto"/>
              <w:ind w:right="77"/>
              <w:rPr>
                <w:rFonts w:ascii="Arial" w:hAnsi="Arial" w:cs="Arial"/>
                <w:sz w:val="20"/>
                <w:szCs w:val="20"/>
              </w:rPr>
            </w:pPr>
            <w:r w:rsidRPr="00067DF6">
              <w:rPr>
                <w:rFonts w:ascii="Arial" w:hAnsi="Arial" w:cs="Arial"/>
                <w:sz w:val="20"/>
                <w:szCs w:val="20"/>
              </w:rPr>
              <w:t>Consumer confidence index (Turkstat)</w:t>
            </w:r>
          </w:p>
        </w:tc>
        <w:tc>
          <w:tcPr>
            <w:tcW w:w="565" w:type="pct"/>
            <w:tcBorders>
              <w:top w:val="nil"/>
              <w:left w:val="sing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12"/>
              <w:jc w:val="right"/>
            </w:pPr>
            <w:r w:rsidRPr="006007C7">
              <w:t>1.2</w:t>
            </w:r>
          </w:p>
        </w:tc>
        <w:tc>
          <w:tcPr>
            <w:tcW w:w="565" w:type="pct"/>
            <w:tcBorders>
              <w:top w:val="nil"/>
              <w:left w:val="single" w:sz="4" w:space="0" w:color="auto"/>
              <w:bottom w:val="nil"/>
              <w:right w:val="single" w:sz="4" w:space="0" w:color="auto"/>
            </w:tcBorders>
            <w:tcMar>
              <w:left w:w="0" w:type="dxa"/>
              <w:right w:w="160" w:type="dxa"/>
            </w:tcMar>
            <w:vAlign w:val="center"/>
          </w:tcPr>
          <w:p w:rsidR="0086047D" w:rsidRPr="006007C7" w:rsidRDefault="0086047D" w:rsidP="00E2683B">
            <w:pPr>
              <w:spacing w:line="288" w:lineRule="auto"/>
              <w:ind w:right="-42"/>
              <w:jc w:val="right"/>
            </w:pPr>
            <w:r w:rsidRPr="006007C7">
              <w:t>-1.6</w:t>
            </w:r>
          </w:p>
        </w:tc>
        <w:tc>
          <w:tcPr>
            <w:tcW w:w="565" w:type="pct"/>
            <w:tcBorders>
              <w:top w:val="nil"/>
              <w:left w:val="single" w:sz="4" w:space="0" w:color="auto"/>
              <w:bottom w:val="nil"/>
              <w:right w:val="single" w:sz="4" w:space="0" w:color="auto"/>
            </w:tcBorders>
            <w:vAlign w:val="center"/>
          </w:tcPr>
          <w:p w:rsidR="0086047D" w:rsidRPr="006007C7" w:rsidRDefault="0086047D" w:rsidP="0086047D">
            <w:pPr>
              <w:spacing w:line="288" w:lineRule="auto"/>
              <w:ind w:right="77"/>
              <w:jc w:val="right"/>
            </w:pPr>
            <w:r w:rsidRPr="006007C7">
              <w:t>-2.4</w:t>
            </w:r>
          </w:p>
        </w:tc>
        <w:tc>
          <w:tcPr>
            <w:tcW w:w="565" w:type="pct"/>
            <w:tcBorders>
              <w:top w:val="nil"/>
              <w:left w:val="single" w:sz="4" w:space="0" w:color="auto"/>
              <w:bottom w:val="nil"/>
              <w:right w:val="single" w:sz="4" w:space="0" w:color="auto"/>
            </w:tcBorders>
            <w:tcMar>
              <w:right w:w="160" w:type="dxa"/>
            </w:tcMar>
            <w:vAlign w:val="center"/>
          </w:tcPr>
          <w:p w:rsidR="0086047D" w:rsidRPr="006007C7" w:rsidRDefault="0086047D" w:rsidP="00E2683B">
            <w:pPr>
              <w:spacing w:line="288" w:lineRule="auto"/>
              <w:jc w:val="right"/>
            </w:pPr>
            <w:r w:rsidRPr="006007C7">
              <w:t>**</w:t>
            </w:r>
          </w:p>
        </w:tc>
        <w:tc>
          <w:tcPr>
            <w:tcW w:w="565" w:type="pct"/>
            <w:tcBorders>
              <w:top w:val="nil"/>
              <w:left w:val="double" w:sz="4" w:space="0" w:color="auto"/>
              <w:bottom w:val="nil"/>
              <w:right w:val="single" w:sz="4" w:space="0" w:color="auto"/>
            </w:tcBorders>
            <w:tcMar>
              <w:left w:w="57" w:type="dxa"/>
              <w:right w:w="160" w:type="dxa"/>
            </w:tcMar>
            <w:vAlign w:val="center"/>
          </w:tcPr>
          <w:p w:rsidR="0086047D" w:rsidRPr="006007C7" w:rsidRDefault="0086047D" w:rsidP="00E2683B">
            <w:pPr>
              <w:spacing w:line="288" w:lineRule="auto"/>
              <w:ind w:right="-45"/>
              <w:jc w:val="right"/>
            </w:pPr>
            <w:r w:rsidRPr="006007C7">
              <w:t>-2.2</w:t>
            </w:r>
          </w:p>
        </w:tc>
        <w:tc>
          <w:tcPr>
            <w:tcW w:w="565" w:type="pct"/>
            <w:tcBorders>
              <w:top w:val="nil"/>
              <w:left w:val="single" w:sz="4" w:space="0" w:color="auto"/>
              <w:bottom w:val="nil"/>
            </w:tcBorders>
            <w:vAlign w:val="center"/>
          </w:tcPr>
          <w:p w:rsidR="0086047D" w:rsidRPr="006007C7" w:rsidRDefault="0086047D" w:rsidP="0086047D">
            <w:pPr>
              <w:spacing w:line="288" w:lineRule="auto"/>
              <w:ind w:right="77"/>
              <w:jc w:val="right"/>
            </w:pPr>
            <w:r w:rsidRPr="006007C7">
              <w:t>-0.5</w:t>
            </w:r>
          </w:p>
        </w:tc>
      </w:tr>
      <w:tr w:rsidR="0086047D" w:rsidRPr="00067DF6" w:rsidTr="00230A81">
        <w:trPr>
          <w:trHeight w:val="20"/>
        </w:trPr>
        <w:tc>
          <w:tcPr>
            <w:tcW w:w="1609" w:type="pct"/>
            <w:tcBorders>
              <w:top w:val="nil"/>
              <w:bottom w:val="single" w:sz="4" w:space="0" w:color="auto"/>
              <w:right w:val="single" w:sz="4" w:space="0" w:color="auto"/>
            </w:tcBorders>
            <w:vAlign w:val="bottom"/>
          </w:tcPr>
          <w:p w:rsidR="0086047D" w:rsidRPr="00067DF6" w:rsidRDefault="0086047D" w:rsidP="00067DF6">
            <w:pPr>
              <w:spacing w:line="288" w:lineRule="auto"/>
              <w:ind w:right="77"/>
              <w:rPr>
                <w:rFonts w:ascii="Arial" w:hAnsi="Arial" w:cs="Arial"/>
                <w:sz w:val="20"/>
                <w:szCs w:val="20"/>
              </w:rPr>
            </w:pPr>
            <w:r w:rsidRPr="00067DF6">
              <w:rPr>
                <w:rFonts w:ascii="Arial" w:hAnsi="Arial" w:cs="Arial"/>
                <w:sz w:val="20"/>
                <w:szCs w:val="20"/>
              </w:rPr>
              <w:t>Reel sector confidence index</w:t>
            </w:r>
          </w:p>
        </w:tc>
        <w:tc>
          <w:tcPr>
            <w:tcW w:w="565" w:type="pct"/>
            <w:tcBorders>
              <w:top w:val="nil"/>
              <w:left w:val="single" w:sz="4" w:space="0" w:color="auto"/>
              <w:bottom w:val="single" w:sz="4" w:space="0" w:color="auto"/>
              <w:right w:val="single" w:sz="4" w:space="0" w:color="auto"/>
            </w:tcBorders>
            <w:tcMar>
              <w:left w:w="57" w:type="dxa"/>
              <w:right w:w="160" w:type="dxa"/>
            </w:tcMar>
            <w:vAlign w:val="center"/>
          </w:tcPr>
          <w:p w:rsidR="0086047D" w:rsidRPr="006007C7" w:rsidRDefault="0086047D" w:rsidP="00E2683B">
            <w:pPr>
              <w:spacing w:line="288" w:lineRule="auto"/>
              <w:ind w:right="-12"/>
              <w:jc w:val="right"/>
            </w:pPr>
            <w:r w:rsidRPr="006007C7">
              <w:t>-0.4</w:t>
            </w:r>
          </w:p>
        </w:tc>
        <w:tc>
          <w:tcPr>
            <w:tcW w:w="565" w:type="pct"/>
            <w:tcBorders>
              <w:top w:val="nil"/>
              <w:left w:val="single" w:sz="4" w:space="0" w:color="auto"/>
              <w:bottom w:val="single" w:sz="4" w:space="0" w:color="auto"/>
              <w:right w:val="single" w:sz="4" w:space="0" w:color="auto"/>
            </w:tcBorders>
            <w:tcMar>
              <w:left w:w="0" w:type="dxa"/>
              <w:right w:w="160" w:type="dxa"/>
            </w:tcMar>
            <w:vAlign w:val="center"/>
          </w:tcPr>
          <w:p w:rsidR="0086047D" w:rsidRPr="006007C7" w:rsidRDefault="0086047D" w:rsidP="00E2683B">
            <w:pPr>
              <w:spacing w:line="288" w:lineRule="auto"/>
              <w:ind w:right="-42"/>
              <w:jc w:val="right"/>
            </w:pPr>
            <w:r w:rsidRPr="006007C7">
              <w:t>-1.2</w:t>
            </w:r>
          </w:p>
        </w:tc>
        <w:tc>
          <w:tcPr>
            <w:tcW w:w="565" w:type="pct"/>
            <w:tcBorders>
              <w:top w:val="nil"/>
              <w:left w:val="single" w:sz="4" w:space="0" w:color="auto"/>
              <w:bottom w:val="single" w:sz="4" w:space="0" w:color="auto"/>
              <w:right w:val="single" w:sz="4" w:space="0" w:color="auto"/>
            </w:tcBorders>
            <w:vAlign w:val="center"/>
          </w:tcPr>
          <w:p w:rsidR="0086047D" w:rsidRPr="006007C7" w:rsidRDefault="0086047D" w:rsidP="0086047D">
            <w:pPr>
              <w:spacing w:line="288" w:lineRule="auto"/>
              <w:ind w:right="77"/>
              <w:jc w:val="right"/>
            </w:pPr>
            <w:r w:rsidRPr="006007C7">
              <w:t>0.8</w:t>
            </w:r>
          </w:p>
        </w:tc>
        <w:tc>
          <w:tcPr>
            <w:tcW w:w="565" w:type="pct"/>
            <w:tcBorders>
              <w:top w:val="nil"/>
              <w:left w:val="single" w:sz="4" w:space="0" w:color="auto"/>
              <w:bottom w:val="single" w:sz="4" w:space="0" w:color="auto"/>
              <w:right w:val="single" w:sz="4" w:space="0" w:color="auto"/>
            </w:tcBorders>
            <w:tcMar>
              <w:right w:w="160" w:type="dxa"/>
            </w:tcMar>
            <w:vAlign w:val="center"/>
          </w:tcPr>
          <w:p w:rsidR="0086047D" w:rsidRPr="006007C7" w:rsidRDefault="0086047D" w:rsidP="00E2683B">
            <w:pPr>
              <w:spacing w:line="288" w:lineRule="auto"/>
              <w:jc w:val="right"/>
            </w:pPr>
            <w:r w:rsidRPr="006007C7">
              <w:t>3.9</w:t>
            </w:r>
          </w:p>
        </w:tc>
        <w:tc>
          <w:tcPr>
            <w:tcW w:w="565" w:type="pct"/>
            <w:tcBorders>
              <w:top w:val="nil"/>
              <w:left w:val="double" w:sz="4" w:space="0" w:color="auto"/>
              <w:bottom w:val="single" w:sz="4" w:space="0" w:color="auto"/>
              <w:right w:val="single" w:sz="4" w:space="0" w:color="auto"/>
            </w:tcBorders>
            <w:tcMar>
              <w:left w:w="57" w:type="dxa"/>
              <w:right w:w="160" w:type="dxa"/>
            </w:tcMar>
            <w:vAlign w:val="center"/>
          </w:tcPr>
          <w:p w:rsidR="0086047D" w:rsidRPr="006007C7" w:rsidRDefault="0086047D" w:rsidP="00E2683B">
            <w:pPr>
              <w:spacing w:line="288" w:lineRule="auto"/>
              <w:ind w:right="-45"/>
              <w:jc w:val="right"/>
            </w:pPr>
            <w:r w:rsidRPr="006007C7">
              <w:t>-0.3</w:t>
            </w:r>
          </w:p>
        </w:tc>
        <w:tc>
          <w:tcPr>
            <w:tcW w:w="565" w:type="pct"/>
            <w:tcBorders>
              <w:top w:val="nil"/>
              <w:left w:val="single" w:sz="4" w:space="0" w:color="auto"/>
              <w:bottom w:val="single" w:sz="4" w:space="0" w:color="auto"/>
            </w:tcBorders>
            <w:vAlign w:val="center"/>
          </w:tcPr>
          <w:p w:rsidR="0086047D" w:rsidRPr="006007C7" w:rsidRDefault="0086047D" w:rsidP="0086047D">
            <w:pPr>
              <w:spacing w:line="288" w:lineRule="auto"/>
              <w:ind w:right="77"/>
              <w:jc w:val="right"/>
            </w:pPr>
            <w:r w:rsidRPr="006007C7">
              <w:t>-3.7</w:t>
            </w:r>
          </w:p>
        </w:tc>
      </w:tr>
      <w:tr w:rsidR="0086047D" w:rsidRPr="00067DF6" w:rsidTr="00230A81">
        <w:trPr>
          <w:trHeight w:val="20"/>
        </w:trPr>
        <w:tc>
          <w:tcPr>
            <w:tcW w:w="1609" w:type="pct"/>
            <w:tcBorders>
              <w:bottom w:val="nil"/>
            </w:tcBorders>
            <w:vAlign w:val="bottom"/>
          </w:tcPr>
          <w:p w:rsidR="0086047D" w:rsidRPr="00067DF6" w:rsidRDefault="0086047D" w:rsidP="00067DF6">
            <w:pPr>
              <w:spacing w:line="288" w:lineRule="auto"/>
              <w:ind w:right="77"/>
              <w:rPr>
                <w:rFonts w:ascii="Arial" w:hAnsi="Arial" w:cs="Arial"/>
                <w:b/>
                <w:sz w:val="20"/>
                <w:szCs w:val="20"/>
              </w:rPr>
            </w:pPr>
            <w:r w:rsidRPr="00067DF6">
              <w:rPr>
                <w:rFonts w:ascii="Arial" w:hAnsi="Arial" w:cs="Arial"/>
                <w:b/>
                <w:sz w:val="20"/>
                <w:szCs w:val="20"/>
              </w:rPr>
              <w:t>Financial Data</w:t>
            </w:r>
          </w:p>
        </w:tc>
        <w:tc>
          <w:tcPr>
            <w:tcW w:w="565" w:type="pct"/>
            <w:tcBorders>
              <w:bottom w:val="nil"/>
            </w:tcBorders>
            <w:tcMar>
              <w:left w:w="57" w:type="dxa"/>
              <w:right w:w="160" w:type="dxa"/>
            </w:tcMar>
            <w:vAlign w:val="center"/>
          </w:tcPr>
          <w:p w:rsidR="0086047D" w:rsidRPr="006007C7" w:rsidRDefault="0086047D" w:rsidP="00E2683B">
            <w:pPr>
              <w:spacing w:line="288" w:lineRule="auto"/>
              <w:ind w:right="-12"/>
              <w:jc w:val="right"/>
            </w:pPr>
          </w:p>
        </w:tc>
        <w:tc>
          <w:tcPr>
            <w:tcW w:w="565" w:type="pct"/>
            <w:tcBorders>
              <w:bottom w:val="nil"/>
            </w:tcBorders>
            <w:tcMar>
              <w:left w:w="0" w:type="dxa"/>
              <w:right w:w="160" w:type="dxa"/>
            </w:tcMar>
            <w:vAlign w:val="center"/>
          </w:tcPr>
          <w:p w:rsidR="0086047D" w:rsidRPr="006007C7" w:rsidRDefault="0086047D" w:rsidP="00E2683B">
            <w:pPr>
              <w:spacing w:line="288" w:lineRule="auto"/>
              <w:ind w:right="-42"/>
              <w:jc w:val="right"/>
            </w:pPr>
          </w:p>
        </w:tc>
        <w:tc>
          <w:tcPr>
            <w:tcW w:w="565" w:type="pct"/>
            <w:tcBorders>
              <w:bottom w:val="nil"/>
            </w:tcBorders>
            <w:vAlign w:val="center"/>
          </w:tcPr>
          <w:p w:rsidR="0086047D" w:rsidRPr="006007C7" w:rsidRDefault="0086047D" w:rsidP="0086047D">
            <w:pPr>
              <w:spacing w:line="288" w:lineRule="auto"/>
              <w:ind w:right="77"/>
              <w:jc w:val="right"/>
            </w:pPr>
          </w:p>
        </w:tc>
        <w:tc>
          <w:tcPr>
            <w:tcW w:w="565" w:type="pct"/>
            <w:tcBorders>
              <w:bottom w:val="nil"/>
            </w:tcBorders>
            <w:tcMar>
              <w:right w:w="160" w:type="dxa"/>
            </w:tcMar>
            <w:vAlign w:val="center"/>
          </w:tcPr>
          <w:p w:rsidR="0086047D" w:rsidRPr="006007C7" w:rsidRDefault="0086047D" w:rsidP="00E2683B">
            <w:pPr>
              <w:spacing w:line="288" w:lineRule="auto"/>
              <w:jc w:val="right"/>
            </w:pPr>
          </w:p>
        </w:tc>
        <w:tc>
          <w:tcPr>
            <w:tcW w:w="565" w:type="pct"/>
            <w:tcBorders>
              <w:left w:val="double" w:sz="4" w:space="0" w:color="auto"/>
              <w:bottom w:val="nil"/>
            </w:tcBorders>
            <w:tcMar>
              <w:left w:w="57" w:type="dxa"/>
              <w:right w:w="160" w:type="dxa"/>
            </w:tcMar>
            <w:vAlign w:val="center"/>
          </w:tcPr>
          <w:p w:rsidR="0086047D" w:rsidRPr="006007C7" w:rsidRDefault="0086047D" w:rsidP="00E2683B">
            <w:pPr>
              <w:spacing w:line="288" w:lineRule="auto"/>
              <w:ind w:right="-45"/>
              <w:jc w:val="right"/>
            </w:pPr>
          </w:p>
        </w:tc>
        <w:tc>
          <w:tcPr>
            <w:tcW w:w="565" w:type="pct"/>
            <w:tcBorders>
              <w:bottom w:val="nil"/>
            </w:tcBorders>
            <w:vAlign w:val="center"/>
          </w:tcPr>
          <w:p w:rsidR="0086047D" w:rsidRPr="006007C7" w:rsidRDefault="0086047D" w:rsidP="0086047D">
            <w:pPr>
              <w:spacing w:line="288" w:lineRule="auto"/>
              <w:ind w:right="77"/>
              <w:jc w:val="right"/>
            </w:pPr>
          </w:p>
        </w:tc>
      </w:tr>
      <w:tr w:rsidR="0086047D" w:rsidRPr="00067DF6" w:rsidTr="00230A81">
        <w:trPr>
          <w:trHeight w:val="20"/>
        </w:trPr>
        <w:tc>
          <w:tcPr>
            <w:tcW w:w="1609" w:type="pct"/>
            <w:tcBorders>
              <w:top w:val="nil"/>
              <w:bottom w:val="single" w:sz="4" w:space="0" w:color="auto"/>
            </w:tcBorders>
            <w:vAlign w:val="bottom"/>
          </w:tcPr>
          <w:p w:rsidR="0086047D" w:rsidRPr="00067DF6" w:rsidRDefault="0086047D" w:rsidP="00067DF6">
            <w:pPr>
              <w:spacing w:line="288" w:lineRule="auto"/>
              <w:ind w:right="77"/>
              <w:rPr>
                <w:rFonts w:ascii="Arial" w:hAnsi="Arial" w:cs="Arial"/>
                <w:sz w:val="20"/>
                <w:szCs w:val="20"/>
              </w:rPr>
            </w:pPr>
            <w:r w:rsidRPr="00067DF6">
              <w:rPr>
                <w:rFonts w:ascii="Arial" w:hAnsi="Arial" w:cs="Arial"/>
                <w:sz w:val="20"/>
                <w:szCs w:val="20"/>
              </w:rPr>
              <w:t>IMKB 100 (Stock Exchange)</w:t>
            </w:r>
          </w:p>
        </w:tc>
        <w:tc>
          <w:tcPr>
            <w:tcW w:w="565" w:type="pct"/>
            <w:tcBorders>
              <w:top w:val="nil"/>
              <w:bottom w:val="single" w:sz="4" w:space="0" w:color="auto"/>
            </w:tcBorders>
            <w:tcMar>
              <w:left w:w="57" w:type="dxa"/>
              <w:right w:w="160" w:type="dxa"/>
            </w:tcMar>
            <w:vAlign w:val="center"/>
          </w:tcPr>
          <w:p w:rsidR="0086047D" w:rsidRPr="006007C7" w:rsidRDefault="0086047D" w:rsidP="00E2683B">
            <w:pPr>
              <w:spacing w:line="288" w:lineRule="auto"/>
              <w:ind w:right="-12"/>
              <w:jc w:val="right"/>
            </w:pPr>
            <w:r w:rsidRPr="006007C7">
              <w:t>3.2</w:t>
            </w:r>
          </w:p>
        </w:tc>
        <w:tc>
          <w:tcPr>
            <w:tcW w:w="565" w:type="pct"/>
            <w:tcBorders>
              <w:top w:val="nil"/>
              <w:bottom w:val="single" w:sz="4" w:space="0" w:color="auto"/>
            </w:tcBorders>
            <w:tcMar>
              <w:left w:w="0" w:type="dxa"/>
              <w:right w:w="160" w:type="dxa"/>
            </w:tcMar>
            <w:vAlign w:val="center"/>
          </w:tcPr>
          <w:p w:rsidR="0086047D" w:rsidRPr="006007C7" w:rsidRDefault="0086047D" w:rsidP="00E2683B">
            <w:pPr>
              <w:spacing w:line="288" w:lineRule="auto"/>
              <w:ind w:right="-42"/>
              <w:jc w:val="right"/>
            </w:pPr>
            <w:r w:rsidRPr="006007C7">
              <w:t>3.5</w:t>
            </w:r>
          </w:p>
        </w:tc>
        <w:tc>
          <w:tcPr>
            <w:tcW w:w="565" w:type="pct"/>
            <w:tcBorders>
              <w:top w:val="nil"/>
              <w:bottom w:val="single" w:sz="4" w:space="0" w:color="auto"/>
            </w:tcBorders>
            <w:vAlign w:val="center"/>
          </w:tcPr>
          <w:p w:rsidR="0086047D" w:rsidRPr="006007C7" w:rsidRDefault="0086047D" w:rsidP="0086047D">
            <w:pPr>
              <w:spacing w:line="288" w:lineRule="auto"/>
              <w:ind w:right="77"/>
              <w:jc w:val="right"/>
            </w:pPr>
            <w:r w:rsidRPr="006007C7">
              <w:t>1.3</w:t>
            </w:r>
          </w:p>
        </w:tc>
        <w:tc>
          <w:tcPr>
            <w:tcW w:w="565" w:type="pct"/>
            <w:tcBorders>
              <w:top w:val="nil"/>
              <w:bottom w:val="single" w:sz="4" w:space="0" w:color="auto"/>
            </w:tcBorders>
            <w:tcMar>
              <w:right w:w="160" w:type="dxa"/>
            </w:tcMar>
            <w:vAlign w:val="center"/>
          </w:tcPr>
          <w:p w:rsidR="0086047D" w:rsidRPr="006007C7" w:rsidRDefault="0086047D" w:rsidP="00E2683B">
            <w:pPr>
              <w:spacing w:line="288" w:lineRule="auto"/>
              <w:jc w:val="right"/>
            </w:pPr>
            <w:r w:rsidRPr="006007C7">
              <w:t>0.2</w:t>
            </w:r>
          </w:p>
        </w:tc>
        <w:tc>
          <w:tcPr>
            <w:tcW w:w="565" w:type="pct"/>
            <w:tcBorders>
              <w:top w:val="nil"/>
              <w:left w:val="double" w:sz="4" w:space="0" w:color="auto"/>
              <w:bottom w:val="single" w:sz="4" w:space="0" w:color="auto"/>
            </w:tcBorders>
            <w:tcMar>
              <w:left w:w="57" w:type="dxa"/>
              <w:right w:w="160" w:type="dxa"/>
            </w:tcMar>
            <w:vAlign w:val="center"/>
          </w:tcPr>
          <w:p w:rsidR="0086047D" w:rsidRPr="006007C7" w:rsidRDefault="0086047D" w:rsidP="00E2683B">
            <w:pPr>
              <w:spacing w:line="288" w:lineRule="auto"/>
              <w:ind w:right="-45"/>
              <w:jc w:val="right"/>
            </w:pPr>
            <w:r w:rsidRPr="006007C7">
              <w:t>-1.5</w:t>
            </w:r>
          </w:p>
        </w:tc>
        <w:tc>
          <w:tcPr>
            <w:tcW w:w="565" w:type="pct"/>
            <w:tcBorders>
              <w:top w:val="nil"/>
              <w:bottom w:val="single" w:sz="4" w:space="0" w:color="auto"/>
            </w:tcBorders>
            <w:vAlign w:val="center"/>
          </w:tcPr>
          <w:p w:rsidR="0086047D" w:rsidRPr="006007C7" w:rsidRDefault="0086047D" w:rsidP="0086047D">
            <w:pPr>
              <w:spacing w:line="288" w:lineRule="auto"/>
              <w:ind w:right="77"/>
              <w:jc w:val="right"/>
            </w:pPr>
            <w:r w:rsidRPr="006007C7">
              <w:t>8.6</w:t>
            </w:r>
          </w:p>
        </w:tc>
      </w:tr>
      <w:tr w:rsidR="0086047D" w:rsidRPr="00067DF6" w:rsidTr="00230A81">
        <w:trPr>
          <w:trHeight w:val="20"/>
        </w:trPr>
        <w:tc>
          <w:tcPr>
            <w:tcW w:w="1609" w:type="pct"/>
            <w:tcBorders>
              <w:bottom w:val="nil"/>
            </w:tcBorders>
            <w:vAlign w:val="bottom"/>
          </w:tcPr>
          <w:p w:rsidR="0086047D" w:rsidRPr="00067DF6" w:rsidRDefault="0086047D" w:rsidP="00067DF6">
            <w:pPr>
              <w:spacing w:line="288" w:lineRule="auto"/>
              <w:ind w:right="77"/>
              <w:rPr>
                <w:rFonts w:ascii="Arial" w:hAnsi="Arial" w:cs="Arial"/>
                <w:b/>
                <w:sz w:val="20"/>
                <w:szCs w:val="20"/>
              </w:rPr>
            </w:pPr>
            <w:r w:rsidRPr="00067DF6">
              <w:rPr>
                <w:rFonts w:ascii="Arial" w:hAnsi="Arial" w:cs="Arial"/>
                <w:b/>
                <w:sz w:val="20"/>
                <w:szCs w:val="20"/>
              </w:rPr>
              <w:t>Other</w:t>
            </w:r>
          </w:p>
        </w:tc>
        <w:tc>
          <w:tcPr>
            <w:tcW w:w="565" w:type="pct"/>
            <w:tcBorders>
              <w:bottom w:val="nil"/>
            </w:tcBorders>
            <w:tcMar>
              <w:left w:w="57" w:type="dxa"/>
              <w:right w:w="160" w:type="dxa"/>
            </w:tcMar>
            <w:vAlign w:val="center"/>
          </w:tcPr>
          <w:p w:rsidR="0086047D" w:rsidRPr="006007C7" w:rsidRDefault="0086047D" w:rsidP="00E2683B">
            <w:pPr>
              <w:spacing w:line="288" w:lineRule="auto"/>
              <w:ind w:right="-12"/>
              <w:jc w:val="right"/>
            </w:pPr>
          </w:p>
        </w:tc>
        <w:tc>
          <w:tcPr>
            <w:tcW w:w="565" w:type="pct"/>
            <w:tcBorders>
              <w:bottom w:val="nil"/>
            </w:tcBorders>
            <w:tcMar>
              <w:left w:w="0" w:type="dxa"/>
              <w:right w:w="160" w:type="dxa"/>
            </w:tcMar>
            <w:vAlign w:val="center"/>
          </w:tcPr>
          <w:p w:rsidR="0086047D" w:rsidRPr="006007C7" w:rsidRDefault="0086047D" w:rsidP="00E2683B">
            <w:pPr>
              <w:spacing w:line="288" w:lineRule="auto"/>
              <w:ind w:right="-42"/>
              <w:jc w:val="right"/>
            </w:pPr>
          </w:p>
        </w:tc>
        <w:tc>
          <w:tcPr>
            <w:tcW w:w="565" w:type="pct"/>
            <w:tcBorders>
              <w:bottom w:val="nil"/>
            </w:tcBorders>
            <w:vAlign w:val="center"/>
          </w:tcPr>
          <w:p w:rsidR="0086047D" w:rsidRPr="006007C7" w:rsidRDefault="0086047D" w:rsidP="0086047D">
            <w:pPr>
              <w:spacing w:line="288" w:lineRule="auto"/>
              <w:ind w:right="77"/>
              <w:jc w:val="right"/>
            </w:pPr>
          </w:p>
        </w:tc>
        <w:tc>
          <w:tcPr>
            <w:tcW w:w="565" w:type="pct"/>
            <w:tcBorders>
              <w:bottom w:val="nil"/>
            </w:tcBorders>
            <w:tcMar>
              <w:right w:w="160" w:type="dxa"/>
            </w:tcMar>
            <w:vAlign w:val="center"/>
          </w:tcPr>
          <w:p w:rsidR="0086047D" w:rsidRPr="006007C7" w:rsidRDefault="0086047D" w:rsidP="00E2683B">
            <w:pPr>
              <w:spacing w:line="288" w:lineRule="auto"/>
              <w:jc w:val="right"/>
            </w:pPr>
          </w:p>
        </w:tc>
        <w:tc>
          <w:tcPr>
            <w:tcW w:w="565" w:type="pct"/>
            <w:tcBorders>
              <w:left w:val="double" w:sz="4" w:space="0" w:color="auto"/>
              <w:bottom w:val="nil"/>
            </w:tcBorders>
            <w:tcMar>
              <w:left w:w="57" w:type="dxa"/>
              <w:right w:w="160" w:type="dxa"/>
            </w:tcMar>
            <w:vAlign w:val="center"/>
          </w:tcPr>
          <w:p w:rsidR="0086047D" w:rsidRPr="006007C7" w:rsidRDefault="0086047D" w:rsidP="00E2683B">
            <w:pPr>
              <w:spacing w:line="288" w:lineRule="auto"/>
              <w:ind w:right="-45"/>
              <w:jc w:val="right"/>
            </w:pPr>
          </w:p>
        </w:tc>
        <w:tc>
          <w:tcPr>
            <w:tcW w:w="565" w:type="pct"/>
            <w:tcBorders>
              <w:bottom w:val="nil"/>
            </w:tcBorders>
            <w:vAlign w:val="center"/>
          </w:tcPr>
          <w:p w:rsidR="0086047D" w:rsidRPr="006007C7" w:rsidRDefault="0086047D" w:rsidP="0086047D">
            <w:pPr>
              <w:spacing w:line="288" w:lineRule="auto"/>
              <w:ind w:right="77"/>
              <w:jc w:val="right"/>
            </w:pPr>
          </w:p>
        </w:tc>
      </w:tr>
      <w:tr w:rsidR="0086047D" w:rsidRPr="00067DF6" w:rsidTr="00230A81">
        <w:trPr>
          <w:trHeight w:val="20"/>
        </w:trPr>
        <w:tc>
          <w:tcPr>
            <w:tcW w:w="1609" w:type="pct"/>
            <w:tcBorders>
              <w:top w:val="nil"/>
              <w:bottom w:val="nil"/>
            </w:tcBorders>
            <w:vAlign w:val="bottom"/>
          </w:tcPr>
          <w:p w:rsidR="0086047D" w:rsidRPr="00067DF6" w:rsidRDefault="0086047D" w:rsidP="00067DF6">
            <w:pPr>
              <w:spacing w:line="288" w:lineRule="auto"/>
              <w:ind w:right="77"/>
              <w:rPr>
                <w:rFonts w:ascii="Arial" w:hAnsi="Arial" w:cs="Arial"/>
                <w:sz w:val="20"/>
                <w:szCs w:val="20"/>
              </w:rPr>
            </w:pPr>
            <w:r w:rsidRPr="00067DF6">
              <w:rPr>
                <w:rFonts w:ascii="Arial" w:hAnsi="Arial" w:cs="Arial"/>
                <w:sz w:val="20"/>
                <w:szCs w:val="20"/>
              </w:rPr>
              <w:t>Special consumer tax* (SCT)</w:t>
            </w:r>
          </w:p>
        </w:tc>
        <w:tc>
          <w:tcPr>
            <w:tcW w:w="565" w:type="pct"/>
            <w:tcBorders>
              <w:top w:val="nil"/>
              <w:bottom w:val="nil"/>
            </w:tcBorders>
            <w:tcMar>
              <w:left w:w="57" w:type="dxa"/>
              <w:right w:w="160" w:type="dxa"/>
            </w:tcMar>
            <w:vAlign w:val="center"/>
          </w:tcPr>
          <w:p w:rsidR="0086047D" w:rsidRPr="006007C7" w:rsidRDefault="0086047D" w:rsidP="00E2683B">
            <w:pPr>
              <w:spacing w:line="288" w:lineRule="auto"/>
              <w:ind w:right="-12"/>
              <w:jc w:val="right"/>
            </w:pPr>
            <w:r w:rsidRPr="006007C7">
              <w:t>0.0</w:t>
            </w:r>
          </w:p>
        </w:tc>
        <w:tc>
          <w:tcPr>
            <w:tcW w:w="565" w:type="pct"/>
            <w:tcBorders>
              <w:top w:val="nil"/>
              <w:bottom w:val="nil"/>
            </w:tcBorders>
            <w:tcMar>
              <w:left w:w="0" w:type="dxa"/>
              <w:right w:w="160" w:type="dxa"/>
            </w:tcMar>
            <w:vAlign w:val="center"/>
          </w:tcPr>
          <w:p w:rsidR="0086047D" w:rsidRPr="006007C7" w:rsidRDefault="0086047D" w:rsidP="00E2683B">
            <w:pPr>
              <w:spacing w:line="288" w:lineRule="auto"/>
              <w:ind w:right="-42"/>
              <w:jc w:val="right"/>
            </w:pPr>
            <w:r w:rsidRPr="006007C7">
              <w:t>2.1</w:t>
            </w:r>
          </w:p>
        </w:tc>
        <w:tc>
          <w:tcPr>
            <w:tcW w:w="565" w:type="pct"/>
            <w:tcBorders>
              <w:top w:val="nil"/>
              <w:bottom w:val="nil"/>
            </w:tcBorders>
            <w:vAlign w:val="center"/>
          </w:tcPr>
          <w:p w:rsidR="0086047D" w:rsidRPr="006007C7" w:rsidRDefault="0086047D" w:rsidP="0086047D">
            <w:pPr>
              <w:spacing w:line="288" w:lineRule="auto"/>
              <w:ind w:right="77"/>
              <w:jc w:val="right"/>
            </w:pPr>
            <w:r w:rsidRPr="006007C7">
              <w:t>-0.7</w:t>
            </w:r>
          </w:p>
        </w:tc>
        <w:tc>
          <w:tcPr>
            <w:tcW w:w="565" w:type="pct"/>
            <w:tcBorders>
              <w:top w:val="nil"/>
              <w:bottom w:val="nil"/>
            </w:tcBorders>
            <w:tcMar>
              <w:right w:w="160" w:type="dxa"/>
            </w:tcMar>
            <w:vAlign w:val="center"/>
          </w:tcPr>
          <w:p w:rsidR="0086047D" w:rsidRPr="006007C7" w:rsidRDefault="0086047D" w:rsidP="00E2683B">
            <w:pPr>
              <w:spacing w:line="288" w:lineRule="auto"/>
              <w:jc w:val="right"/>
            </w:pPr>
            <w:r w:rsidRPr="006007C7">
              <w:t>**</w:t>
            </w:r>
          </w:p>
        </w:tc>
        <w:tc>
          <w:tcPr>
            <w:tcW w:w="565" w:type="pct"/>
            <w:tcBorders>
              <w:top w:val="nil"/>
              <w:left w:val="double" w:sz="4" w:space="0" w:color="auto"/>
              <w:bottom w:val="nil"/>
            </w:tcBorders>
            <w:tcMar>
              <w:left w:w="57" w:type="dxa"/>
              <w:right w:w="160" w:type="dxa"/>
            </w:tcMar>
            <w:vAlign w:val="center"/>
          </w:tcPr>
          <w:p w:rsidR="0086047D" w:rsidRPr="006007C7" w:rsidRDefault="0086047D" w:rsidP="00E2683B">
            <w:pPr>
              <w:spacing w:line="288" w:lineRule="auto"/>
              <w:ind w:right="-45"/>
              <w:jc w:val="right"/>
            </w:pPr>
            <w:r w:rsidRPr="006007C7">
              <w:t>4.7</w:t>
            </w:r>
          </w:p>
        </w:tc>
        <w:tc>
          <w:tcPr>
            <w:tcW w:w="565" w:type="pct"/>
            <w:tcBorders>
              <w:top w:val="nil"/>
              <w:bottom w:val="nil"/>
            </w:tcBorders>
            <w:vAlign w:val="center"/>
          </w:tcPr>
          <w:p w:rsidR="0086047D" w:rsidRPr="006007C7" w:rsidRDefault="0086047D" w:rsidP="0086047D">
            <w:pPr>
              <w:spacing w:line="288" w:lineRule="auto"/>
              <w:ind w:right="77"/>
              <w:jc w:val="right"/>
            </w:pPr>
            <w:r w:rsidRPr="006007C7">
              <w:t>1.5</w:t>
            </w:r>
          </w:p>
        </w:tc>
      </w:tr>
      <w:tr w:rsidR="0086047D" w:rsidRPr="00067DF6" w:rsidTr="00230A81">
        <w:trPr>
          <w:trHeight w:val="20"/>
        </w:trPr>
        <w:tc>
          <w:tcPr>
            <w:tcW w:w="1609" w:type="pct"/>
            <w:tcBorders>
              <w:top w:val="nil"/>
            </w:tcBorders>
            <w:vAlign w:val="bottom"/>
          </w:tcPr>
          <w:p w:rsidR="0086047D" w:rsidRPr="00067DF6" w:rsidRDefault="0086047D" w:rsidP="00067DF6">
            <w:pPr>
              <w:spacing w:line="288" w:lineRule="auto"/>
              <w:ind w:right="77"/>
              <w:rPr>
                <w:rFonts w:ascii="Arial" w:hAnsi="Arial" w:cs="Arial"/>
                <w:sz w:val="20"/>
                <w:szCs w:val="20"/>
              </w:rPr>
            </w:pPr>
            <w:r w:rsidRPr="00067DF6">
              <w:rPr>
                <w:rFonts w:ascii="Arial" w:hAnsi="Arial" w:cs="Arial"/>
                <w:sz w:val="20"/>
                <w:szCs w:val="20"/>
              </w:rPr>
              <w:t>Automobile production</w:t>
            </w:r>
          </w:p>
        </w:tc>
        <w:tc>
          <w:tcPr>
            <w:tcW w:w="565" w:type="pct"/>
            <w:tcBorders>
              <w:top w:val="nil"/>
            </w:tcBorders>
            <w:tcMar>
              <w:left w:w="57" w:type="dxa"/>
              <w:right w:w="160" w:type="dxa"/>
            </w:tcMar>
            <w:vAlign w:val="center"/>
          </w:tcPr>
          <w:p w:rsidR="0086047D" w:rsidRPr="006007C7" w:rsidRDefault="0086047D" w:rsidP="00E2683B">
            <w:pPr>
              <w:spacing w:line="288" w:lineRule="auto"/>
              <w:ind w:right="-12"/>
              <w:jc w:val="right"/>
            </w:pPr>
            <w:r w:rsidRPr="006007C7">
              <w:t>-2.7</w:t>
            </w:r>
          </w:p>
        </w:tc>
        <w:tc>
          <w:tcPr>
            <w:tcW w:w="565" w:type="pct"/>
            <w:tcBorders>
              <w:top w:val="nil"/>
            </w:tcBorders>
            <w:tcMar>
              <w:left w:w="0" w:type="dxa"/>
              <w:right w:w="160" w:type="dxa"/>
            </w:tcMar>
            <w:vAlign w:val="center"/>
          </w:tcPr>
          <w:p w:rsidR="0086047D" w:rsidRPr="006007C7" w:rsidRDefault="0086047D" w:rsidP="00E2683B">
            <w:pPr>
              <w:spacing w:line="288" w:lineRule="auto"/>
              <w:ind w:right="-42"/>
              <w:jc w:val="right"/>
            </w:pPr>
            <w:r w:rsidRPr="006007C7">
              <w:t>7.9</w:t>
            </w:r>
          </w:p>
        </w:tc>
        <w:tc>
          <w:tcPr>
            <w:tcW w:w="565" w:type="pct"/>
            <w:tcBorders>
              <w:top w:val="nil"/>
            </w:tcBorders>
            <w:vAlign w:val="center"/>
          </w:tcPr>
          <w:p w:rsidR="0086047D" w:rsidRPr="006007C7" w:rsidRDefault="0086047D" w:rsidP="0086047D">
            <w:pPr>
              <w:spacing w:line="288" w:lineRule="auto"/>
              <w:ind w:right="77"/>
              <w:jc w:val="right"/>
            </w:pPr>
            <w:r w:rsidRPr="006007C7">
              <w:t>0.1</w:t>
            </w:r>
          </w:p>
        </w:tc>
        <w:tc>
          <w:tcPr>
            <w:tcW w:w="565" w:type="pct"/>
            <w:tcBorders>
              <w:top w:val="nil"/>
            </w:tcBorders>
            <w:tcMar>
              <w:right w:w="160" w:type="dxa"/>
            </w:tcMar>
            <w:vAlign w:val="center"/>
          </w:tcPr>
          <w:p w:rsidR="0086047D" w:rsidRPr="006007C7" w:rsidRDefault="0086047D" w:rsidP="00E2683B">
            <w:pPr>
              <w:spacing w:line="288" w:lineRule="auto"/>
              <w:jc w:val="right"/>
            </w:pPr>
            <w:r w:rsidRPr="006007C7">
              <w:t>3.6</w:t>
            </w:r>
          </w:p>
        </w:tc>
        <w:tc>
          <w:tcPr>
            <w:tcW w:w="565" w:type="pct"/>
            <w:tcBorders>
              <w:top w:val="nil"/>
              <w:left w:val="double" w:sz="4" w:space="0" w:color="auto"/>
            </w:tcBorders>
            <w:tcMar>
              <w:left w:w="57" w:type="dxa"/>
              <w:right w:w="160" w:type="dxa"/>
            </w:tcMar>
            <w:vAlign w:val="center"/>
          </w:tcPr>
          <w:p w:rsidR="0086047D" w:rsidRPr="006007C7" w:rsidRDefault="0086047D" w:rsidP="00E2683B">
            <w:pPr>
              <w:spacing w:line="288" w:lineRule="auto"/>
              <w:ind w:right="-45"/>
              <w:jc w:val="right"/>
            </w:pPr>
            <w:r w:rsidRPr="006007C7">
              <w:t>-2.9</w:t>
            </w:r>
          </w:p>
        </w:tc>
        <w:tc>
          <w:tcPr>
            <w:tcW w:w="565" w:type="pct"/>
            <w:tcBorders>
              <w:top w:val="nil"/>
            </w:tcBorders>
            <w:vAlign w:val="center"/>
          </w:tcPr>
          <w:p w:rsidR="0086047D" w:rsidRPr="006007C7" w:rsidRDefault="0086047D" w:rsidP="0086047D">
            <w:pPr>
              <w:spacing w:line="288" w:lineRule="auto"/>
              <w:ind w:right="77"/>
              <w:jc w:val="right"/>
            </w:pPr>
            <w:r w:rsidRPr="006007C7">
              <w:t>-3.1</w:t>
            </w:r>
          </w:p>
        </w:tc>
      </w:tr>
    </w:tbl>
    <w:p w:rsidR="008C6E50" w:rsidRPr="008B2149" w:rsidRDefault="00E823E8" w:rsidP="006B60DC">
      <w:pPr>
        <w:spacing w:line="360" w:lineRule="auto"/>
        <w:ind w:left="-540" w:right="42"/>
        <w:jc w:val="both"/>
        <w:rPr>
          <w:rFonts w:ascii="Arial" w:hAnsi="Arial" w:cs="Arial"/>
          <w:sz w:val="16"/>
          <w:szCs w:val="16"/>
        </w:rPr>
      </w:pPr>
      <w:r w:rsidRPr="008B2149">
        <w:rPr>
          <w:rFonts w:ascii="Arial" w:hAnsi="Arial" w:cs="Arial"/>
          <w:sz w:val="16"/>
          <w:szCs w:val="16"/>
        </w:rPr>
        <w:t>Source: TurkStat</w:t>
      </w:r>
      <w:r w:rsidR="0071337D" w:rsidRPr="008B2149">
        <w:rPr>
          <w:rFonts w:ascii="Arial" w:hAnsi="Arial" w:cs="Arial"/>
          <w:sz w:val="16"/>
          <w:szCs w:val="16"/>
        </w:rPr>
        <w:t>.</w:t>
      </w:r>
      <w:r w:rsidRPr="008B2149">
        <w:rPr>
          <w:rFonts w:ascii="Arial" w:hAnsi="Arial" w:cs="Arial"/>
          <w:sz w:val="16"/>
          <w:szCs w:val="16"/>
        </w:rPr>
        <w:t xml:space="preserve"> TCMB</w:t>
      </w:r>
      <w:r w:rsidR="0071337D" w:rsidRPr="008B2149">
        <w:rPr>
          <w:rFonts w:ascii="Arial" w:hAnsi="Arial" w:cs="Arial"/>
          <w:sz w:val="16"/>
          <w:szCs w:val="16"/>
        </w:rPr>
        <w:t>.</w:t>
      </w:r>
      <w:r w:rsidRPr="008B2149">
        <w:rPr>
          <w:rFonts w:ascii="Arial" w:hAnsi="Arial" w:cs="Arial"/>
          <w:sz w:val="16"/>
          <w:szCs w:val="16"/>
        </w:rPr>
        <w:t xml:space="preserve"> Treasury</w:t>
      </w:r>
      <w:r w:rsidR="0071337D" w:rsidRPr="008B2149">
        <w:rPr>
          <w:rFonts w:ascii="Arial" w:hAnsi="Arial" w:cs="Arial"/>
          <w:sz w:val="16"/>
          <w:szCs w:val="16"/>
        </w:rPr>
        <w:t>.</w:t>
      </w:r>
      <w:r w:rsidRPr="008B2149">
        <w:rPr>
          <w:rFonts w:ascii="Arial" w:hAnsi="Arial" w:cs="Arial"/>
          <w:sz w:val="16"/>
          <w:szCs w:val="16"/>
        </w:rPr>
        <w:t xml:space="preserve"> IMKB</w:t>
      </w:r>
      <w:r w:rsidR="0071337D" w:rsidRPr="008B2149">
        <w:rPr>
          <w:rFonts w:ascii="Arial" w:hAnsi="Arial" w:cs="Arial"/>
          <w:sz w:val="16"/>
          <w:szCs w:val="16"/>
        </w:rPr>
        <w:t>.</w:t>
      </w:r>
      <w:r w:rsidRPr="008B2149">
        <w:rPr>
          <w:rFonts w:ascii="Arial" w:hAnsi="Arial" w:cs="Arial"/>
          <w:sz w:val="16"/>
          <w:szCs w:val="16"/>
        </w:rPr>
        <w:t xml:space="preserve"> Betam. All series are real (or inflation adjusted) wherever necessary and seasonally adjusted.</w:t>
      </w:r>
    </w:p>
    <w:p w:rsidR="00E823E8" w:rsidRPr="008B2149" w:rsidRDefault="00E823E8" w:rsidP="006B60DC">
      <w:pPr>
        <w:spacing w:line="360" w:lineRule="auto"/>
        <w:ind w:left="-540" w:right="42"/>
        <w:jc w:val="both"/>
        <w:rPr>
          <w:rFonts w:ascii="Arial" w:hAnsi="Arial" w:cs="Arial"/>
          <w:sz w:val="16"/>
          <w:szCs w:val="16"/>
        </w:rPr>
      </w:pPr>
      <w:r w:rsidRPr="008B2149">
        <w:rPr>
          <w:rFonts w:ascii="Arial" w:hAnsi="Arial" w:cs="Arial"/>
          <w:sz w:val="16"/>
          <w:szCs w:val="16"/>
        </w:rPr>
        <w:t>*This tax is collected on sales of goods such as gas</w:t>
      </w:r>
      <w:r w:rsidR="0071337D" w:rsidRPr="008B2149">
        <w:rPr>
          <w:rFonts w:ascii="Arial" w:hAnsi="Arial" w:cs="Arial"/>
          <w:sz w:val="16"/>
          <w:szCs w:val="16"/>
        </w:rPr>
        <w:t>.</w:t>
      </w:r>
      <w:r w:rsidRPr="008B2149">
        <w:rPr>
          <w:rFonts w:ascii="Arial" w:hAnsi="Arial" w:cs="Arial"/>
          <w:sz w:val="16"/>
          <w:szCs w:val="16"/>
        </w:rPr>
        <w:t xml:space="preserve"> fuel oils</w:t>
      </w:r>
      <w:r w:rsidR="0071337D" w:rsidRPr="008B2149">
        <w:rPr>
          <w:rFonts w:ascii="Arial" w:hAnsi="Arial" w:cs="Arial"/>
          <w:sz w:val="16"/>
          <w:szCs w:val="16"/>
        </w:rPr>
        <w:t>.</w:t>
      </w:r>
      <w:r w:rsidRPr="008B2149">
        <w:rPr>
          <w:rFonts w:ascii="Arial" w:hAnsi="Arial" w:cs="Arial"/>
          <w:sz w:val="16"/>
          <w:szCs w:val="16"/>
        </w:rPr>
        <w:t xml:space="preserve"> alcohol</w:t>
      </w:r>
      <w:r w:rsidR="0071337D" w:rsidRPr="008B2149">
        <w:rPr>
          <w:rFonts w:ascii="Arial" w:hAnsi="Arial" w:cs="Arial"/>
          <w:sz w:val="16"/>
          <w:szCs w:val="16"/>
        </w:rPr>
        <w:t>.</w:t>
      </w:r>
      <w:r w:rsidRPr="008B2149">
        <w:rPr>
          <w:rFonts w:ascii="Arial" w:hAnsi="Arial" w:cs="Arial"/>
          <w:sz w:val="16"/>
          <w:szCs w:val="16"/>
        </w:rPr>
        <w:t xml:space="preserve"> tobacco products and automobiles.</w:t>
      </w:r>
    </w:p>
    <w:p w:rsidR="00E823E8" w:rsidRDefault="00E823E8" w:rsidP="006B60DC">
      <w:pPr>
        <w:spacing w:line="360" w:lineRule="auto"/>
        <w:ind w:left="-540" w:right="42"/>
        <w:jc w:val="both"/>
        <w:rPr>
          <w:rFonts w:ascii="Arial" w:hAnsi="Arial" w:cs="Arial"/>
          <w:sz w:val="16"/>
          <w:szCs w:val="16"/>
        </w:rPr>
      </w:pPr>
      <w:r w:rsidRPr="008B2149">
        <w:rPr>
          <w:rFonts w:ascii="Arial" w:hAnsi="Arial" w:cs="Arial"/>
          <w:sz w:val="16"/>
          <w:szCs w:val="16"/>
        </w:rPr>
        <w:t>**Data not yet released</w:t>
      </w:r>
    </w:p>
    <w:p w:rsidR="00E2683B" w:rsidRPr="008B2149" w:rsidRDefault="00E2683B" w:rsidP="006B60DC">
      <w:pPr>
        <w:spacing w:line="360" w:lineRule="auto"/>
        <w:ind w:left="-540" w:right="42"/>
        <w:jc w:val="both"/>
        <w:rPr>
          <w:rFonts w:ascii="Arial" w:hAnsi="Arial" w:cs="Arial"/>
          <w:sz w:val="16"/>
          <w:szCs w:val="16"/>
        </w:rPr>
      </w:pPr>
      <w:r>
        <w:rPr>
          <w:rFonts w:ascii="Arial" w:hAnsi="Arial" w:cs="Arial"/>
          <w:sz w:val="16"/>
          <w:szCs w:val="16"/>
        </w:rPr>
        <w:t>***</w:t>
      </w:r>
      <w:r w:rsidRPr="00E2683B">
        <w:rPr>
          <w:sz w:val="18"/>
          <w:szCs w:val="18"/>
        </w:rPr>
        <w:t xml:space="preserve"> </w:t>
      </w:r>
      <w:r w:rsidR="00035DDC">
        <w:rPr>
          <w:rFonts w:ascii="Arial" w:hAnsi="Arial" w:cs="Arial"/>
          <w:sz w:val="16"/>
          <w:szCs w:val="16"/>
        </w:rPr>
        <w:t>Betam’s calculations: N</w:t>
      </w:r>
      <w:r w:rsidRPr="00035DDC">
        <w:rPr>
          <w:rFonts w:ascii="Arial" w:hAnsi="Arial" w:cs="Arial"/>
          <w:sz w:val="16"/>
          <w:szCs w:val="16"/>
        </w:rPr>
        <w:t>omi</w:t>
      </w:r>
      <w:r w:rsidR="00035DDC">
        <w:rPr>
          <w:rFonts w:ascii="Arial" w:hAnsi="Arial" w:cs="Arial"/>
          <w:sz w:val="16"/>
          <w:szCs w:val="16"/>
        </w:rPr>
        <w:t>nal exports (imports) minus non-</w:t>
      </w:r>
      <w:r w:rsidRPr="00035DDC">
        <w:rPr>
          <w:rFonts w:ascii="Arial" w:hAnsi="Arial" w:cs="Arial"/>
          <w:sz w:val="16"/>
          <w:szCs w:val="16"/>
        </w:rPr>
        <w:t>monetary gold</w:t>
      </w:r>
      <w:r w:rsidR="00035DDC">
        <w:rPr>
          <w:rFonts w:ascii="Arial" w:hAnsi="Arial" w:cs="Arial"/>
          <w:sz w:val="16"/>
          <w:szCs w:val="16"/>
        </w:rPr>
        <w:t>,</w:t>
      </w:r>
      <w:r w:rsidR="00E01C50" w:rsidRPr="00035DDC">
        <w:rPr>
          <w:rFonts w:ascii="Arial" w:hAnsi="Arial" w:cs="Arial"/>
          <w:sz w:val="16"/>
          <w:szCs w:val="16"/>
        </w:rPr>
        <w:t xml:space="preserve"> deflated by </w:t>
      </w:r>
      <w:r w:rsidR="00035DDC">
        <w:rPr>
          <w:rFonts w:ascii="Arial" w:hAnsi="Arial" w:cs="Arial"/>
          <w:sz w:val="16"/>
          <w:szCs w:val="16"/>
        </w:rPr>
        <w:t xml:space="preserve">the </w:t>
      </w:r>
      <w:r w:rsidR="00E01C50" w:rsidRPr="00035DDC">
        <w:rPr>
          <w:rFonts w:ascii="Arial" w:hAnsi="Arial" w:cs="Arial"/>
          <w:sz w:val="16"/>
          <w:szCs w:val="16"/>
        </w:rPr>
        <w:t>export (import) unit value index.</w:t>
      </w:r>
    </w:p>
    <w:p w:rsidR="001E7720" w:rsidRPr="008B2149" w:rsidRDefault="001E7720" w:rsidP="001E4BF5">
      <w:pPr>
        <w:spacing w:line="360" w:lineRule="auto"/>
        <w:ind w:left="-360" w:right="42"/>
        <w:jc w:val="both"/>
        <w:rPr>
          <w:rFonts w:ascii="Arial" w:hAnsi="Arial" w:cs="Arial"/>
          <w:sz w:val="20"/>
          <w:szCs w:val="20"/>
        </w:rPr>
      </w:pPr>
    </w:p>
    <w:p w:rsidR="00F06742" w:rsidRPr="008B2149" w:rsidRDefault="00F06742" w:rsidP="00150B84">
      <w:pPr>
        <w:ind w:right="42"/>
        <w:jc w:val="both"/>
        <w:rPr>
          <w:rFonts w:ascii="Arial" w:hAnsi="Arial" w:cs="Arial"/>
          <w:b/>
          <w:sz w:val="20"/>
          <w:szCs w:val="20"/>
        </w:rPr>
      </w:pPr>
    </w:p>
    <w:p w:rsidR="00BD7514" w:rsidRPr="008B2149" w:rsidRDefault="00BD7514" w:rsidP="00150B84">
      <w:pPr>
        <w:ind w:right="42"/>
        <w:jc w:val="both"/>
        <w:rPr>
          <w:rFonts w:ascii="Arial" w:hAnsi="Arial" w:cs="Arial"/>
          <w:b/>
          <w:sz w:val="20"/>
          <w:szCs w:val="20"/>
        </w:rPr>
      </w:pPr>
    </w:p>
    <w:p w:rsidR="00BD7514" w:rsidRPr="008B2149" w:rsidRDefault="00BD7514" w:rsidP="00150B84">
      <w:pPr>
        <w:ind w:right="42"/>
        <w:jc w:val="both"/>
        <w:rPr>
          <w:rFonts w:ascii="Arial" w:hAnsi="Arial" w:cs="Arial"/>
          <w:b/>
          <w:sz w:val="20"/>
          <w:szCs w:val="20"/>
        </w:rPr>
      </w:pPr>
    </w:p>
    <w:p w:rsidR="00BD7514" w:rsidRPr="008B2149" w:rsidRDefault="00BD7514" w:rsidP="00150B84">
      <w:pPr>
        <w:ind w:right="42"/>
        <w:jc w:val="both"/>
        <w:rPr>
          <w:rFonts w:ascii="Arial" w:hAnsi="Arial" w:cs="Arial"/>
          <w:b/>
          <w:sz w:val="20"/>
          <w:szCs w:val="20"/>
        </w:rPr>
      </w:pPr>
    </w:p>
    <w:p w:rsidR="00BD7514" w:rsidRPr="008B2149" w:rsidRDefault="00BD7514" w:rsidP="00150B84">
      <w:pPr>
        <w:ind w:right="42"/>
        <w:jc w:val="both"/>
        <w:rPr>
          <w:rFonts w:ascii="Arial" w:hAnsi="Arial" w:cs="Arial"/>
          <w:b/>
          <w:sz w:val="20"/>
          <w:szCs w:val="20"/>
        </w:rPr>
      </w:pPr>
    </w:p>
    <w:p w:rsidR="00BD7514" w:rsidRPr="008B2149" w:rsidRDefault="00BD7514" w:rsidP="00150B84">
      <w:pPr>
        <w:ind w:right="42"/>
        <w:jc w:val="both"/>
        <w:rPr>
          <w:rFonts w:ascii="Arial" w:hAnsi="Arial" w:cs="Arial"/>
          <w:b/>
          <w:sz w:val="20"/>
          <w:szCs w:val="20"/>
        </w:rPr>
        <w:sectPr w:rsidR="00BD7514" w:rsidRPr="008B2149" w:rsidSect="001E7720">
          <w:type w:val="continuous"/>
          <w:pgSz w:w="11906" w:h="16838"/>
          <w:pgMar w:top="1417" w:right="1417" w:bottom="1417" w:left="1417" w:header="708" w:footer="708" w:gutter="0"/>
          <w:cols w:space="708"/>
          <w:docGrid w:linePitch="360"/>
        </w:sectPr>
      </w:pPr>
    </w:p>
    <w:p w:rsidR="00BD7514" w:rsidRPr="008B2149" w:rsidRDefault="00BD7514" w:rsidP="00396E44">
      <w:pPr>
        <w:ind w:right="42"/>
        <w:jc w:val="both"/>
        <w:rPr>
          <w:rFonts w:ascii="Arial" w:hAnsi="Arial" w:cs="Arial"/>
          <w:b/>
          <w:sz w:val="20"/>
          <w:szCs w:val="20"/>
        </w:rPr>
      </w:pPr>
    </w:p>
    <w:p w:rsidR="00E01C50" w:rsidRPr="008B2149" w:rsidRDefault="00E01C50" w:rsidP="00E01C50">
      <w:pPr>
        <w:ind w:left="-360" w:right="42"/>
        <w:jc w:val="both"/>
        <w:rPr>
          <w:rFonts w:ascii="Arial" w:hAnsi="Arial" w:cs="Arial"/>
          <w:b/>
          <w:sz w:val="20"/>
          <w:szCs w:val="20"/>
        </w:rPr>
      </w:pPr>
      <w:r w:rsidRPr="008B2149">
        <w:rPr>
          <w:rFonts w:ascii="Arial" w:hAnsi="Arial" w:cs="Arial"/>
          <w:b/>
          <w:sz w:val="20"/>
          <w:szCs w:val="20"/>
        </w:rPr>
        <w:lastRenderedPageBreak/>
        <w:t>Figure 1: Capacity utilization rate and industrial production index (sa. left axis for CUR and right axis for IPI)</w:t>
      </w:r>
    </w:p>
    <w:p w:rsidR="00E01C50" w:rsidRPr="006007C7" w:rsidRDefault="00E01C50" w:rsidP="00E01C50">
      <w:pPr>
        <w:ind w:left="-360" w:right="42"/>
        <w:jc w:val="both"/>
        <w:rPr>
          <w:b/>
          <w:bCs/>
          <w:sz w:val="8"/>
          <w:szCs w:val="8"/>
        </w:rPr>
      </w:pPr>
    </w:p>
    <w:p w:rsidR="00E01C50" w:rsidRPr="006007C7" w:rsidRDefault="00E01C50" w:rsidP="00E01C50">
      <w:pPr>
        <w:ind w:left="-360" w:right="42"/>
        <w:jc w:val="both"/>
      </w:pPr>
      <w:r w:rsidRPr="00E01C50">
        <w:rPr>
          <w:noProof/>
          <w:lang w:val="tr-TR"/>
        </w:rPr>
        <w:drawing>
          <wp:inline distT="0" distB="0" distL="0" distR="0">
            <wp:extent cx="2710855" cy="22764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712312" cy="2277699"/>
                    </a:xfrm>
                    <a:prstGeom prst="rect">
                      <a:avLst/>
                    </a:prstGeom>
                    <a:noFill/>
                    <a:ln w="9525">
                      <a:noFill/>
                      <a:miter lim="800000"/>
                      <a:headEnd/>
                      <a:tailEnd/>
                    </a:ln>
                  </pic:spPr>
                </pic:pic>
              </a:graphicData>
            </a:graphic>
          </wp:inline>
        </w:drawing>
      </w:r>
    </w:p>
    <w:p w:rsidR="00E01C50" w:rsidRPr="008B2149" w:rsidRDefault="00E01C50" w:rsidP="00E01C50">
      <w:pPr>
        <w:ind w:left="-360" w:right="42"/>
        <w:jc w:val="both"/>
        <w:rPr>
          <w:rFonts w:ascii="Arial" w:hAnsi="Arial" w:cs="Arial"/>
          <w:sz w:val="16"/>
          <w:szCs w:val="16"/>
        </w:rPr>
      </w:pPr>
      <w:r w:rsidRPr="008B2149">
        <w:rPr>
          <w:rFonts w:ascii="Arial" w:hAnsi="Arial" w:cs="Arial"/>
          <w:sz w:val="16"/>
          <w:szCs w:val="16"/>
        </w:rPr>
        <w:t xml:space="preserve">Source : TurkStat. Betam </w:t>
      </w:r>
    </w:p>
    <w:p w:rsidR="00E01C50" w:rsidRPr="006007C7" w:rsidRDefault="00E01C50" w:rsidP="00E01C50">
      <w:pPr>
        <w:ind w:left="-360" w:right="42"/>
        <w:jc w:val="both"/>
        <w:rPr>
          <w:b/>
          <w:bCs/>
          <w:sz w:val="22"/>
          <w:szCs w:val="22"/>
        </w:rPr>
      </w:pPr>
    </w:p>
    <w:p w:rsidR="00E01C50" w:rsidRPr="006007C7" w:rsidRDefault="00E01C50" w:rsidP="00E01C50">
      <w:pPr>
        <w:ind w:right="42"/>
        <w:jc w:val="both"/>
        <w:rPr>
          <w:b/>
          <w:bCs/>
          <w:sz w:val="22"/>
          <w:szCs w:val="22"/>
        </w:rPr>
      </w:pPr>
    </w:p>
    <w:p w:rsidR="00E01C50" w:rsidRPr="008B2149" w:rsidRDefault="00E01C50" w:rsidP="00E01C50">
      <w:pPr>
        <w:ind w:left="-360" w:right="42"/>
        <w:jc w:val="both"/>
        <w:rPr>
          <w:rFonts w:ascii="Arial" w:hAnsi="Arial" w:cs="Arial"/>
          <w:b/>
          <w:sz w:val="20"/>
          <w:szCs w:val="20"/>
        </w:rPr>
      </w:pPr>
      <w:r w:rsidRPr="008B2149">
        <w:rPr>
          <w:rFonts w:ascii="Arial" w:hAnsi="Arial" w:cs="Arial"/>
          <w:b/>
          <w:sz w:val="20"/>
          <w:szCs w:val="20"/>
        </w:rPr>
        <w:lastRenderedPageBreak/>
        <w:t>Figure 2: Volume indices of exports and imports</w:t>
      </w:r>
      <w:r w:rsidRPr="00E01C50">
        <w:rPr>
          <w:rFonts w:ascii="Arial" w:hAnsi="Arial" w:cs="Arial"/>
          <w:b/>
          <w:color w:val="FFFFFF" w:themeColor="background1"/>
          <w:sz w:val="20"/>
          <w:szCs w:val="20"/>
        </w:rPr>
        <w:t>_</w:t>
      </w:r>
      <w:r w:rsidRPr="008B2149">
        <w:rPr>
          <w:rFonts w:ascii="Arial" w:hAnsi="Arial" w:cs="Arial"/>
          <w:b/>
          <w:sz w:val="20"/>
          <w:szCs w:val="20"/>
        </w:rPr>
        <w:t>(sa</w:t>
      </w:r>
      <w:r>
        <w:rPr>
          <w:rFonts w:ascii="Arial" w:hAnsi="Arial" w:cs="Arial"/>
          <w:b/>
          <w:sz w:val="20"/>
          <w:szCs w:val="20"/>
        </w:rPr>
        <w:t>.</w:t>
      </w:r>
      <w:r w:rsidRPr="008B2149">
        <w:rPr>
          <w:rFonts w:ascii="Arial" w:hAnsi="Arial" w:cs="Arial"/>
          <w:b/>
          <w:sz w:val="20"/>
          <w:szCs w:val="20"/>
        </w:rPr>
        <w:t xml:space="preserve">)     </w:t>
      </w:r>
      <w:r>
        <w:rPr>
          <w:rFonts w:ascii="Arial" w:hAnsi="Arial" w:cs="Arial"/>
          <w:b/>
          <w:sz w:val="20"/>
          <w:szCs w:val="20"/>
        </w:rPr>
        <w:br/>
      </w:r>
      <w:r w:rsidRPr="008B2149">
        <w:rPr>
          <w:rFonts w:ascii="Arial" w:hAnsi="Arial" w:cs="Arial"/>
          <w:b/>
          <w:sz w:val="20"/>
          <w:szCs w:val="20"/>
        </w:rPr>
        <w:t xml:space="preserve">       </w:t>
      </w:r>
    </w:p>
    <w:p w:rsidR="00E01C50" w:rsidRPr="006007C7" w:rsidRDefault="00E01C50" w:rsidP="00E01C50">
      <w:pPr>
        <w:spacing w:line="360" w:lineRule="auto"/>
        <w:ind w:left="-360" w:right="42"/>
        <w:jc w:val="both"/>
        <w:rPr>
          <w:sz w:val="4"/>
          <w:szCs w:val="4"/>
        </w:rPr>
      </w:pPr>
    </w:p>
    <w:p w:rsidR="00E01C50" w:rsidRPr="006007C7" w:rsidRDefault="00E01C50" w:rsidP="00E01C50">
      <w:pPr>
        <w:ind w:left="-360" w:right="42"/>
        <w:jc w:val="both"/>
      </w:pPr>
      <w:r w:rsidRPr="00E01C50">
        <w:rPr>
          <w:noProof/>
          <w:lang w:val="tr-TR"/>
        </w:rPr>
        <w:drawing>
          <wp:inline distT="0" distB="0" distL="0" distR="0">
            <wp:extent cx="2724150" cy="2291686"/>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742483" cy="2307108"/>
                    </a:xfrm>
                    <a:prstGeom prst="rect">
                      <a:avLst/>
                    </a:prstGeom>
                    <a:noFill/>
                    <a:ln w="9525">
                      <a:noFill/>
                      <a:miter lim="800000"/>
                      <a:headEnd/>
                      <a:tailEnd/>
                    </a:ln>
                  </pic:spPr>
                </pic:pic>
              </a:graphicData>
            </a:graphic>
          </wp:inline>
        </w:drawing>
      </w:r>
    </w:p>
    <w:p w:rsidR="00E01C50" w:rsidRPr="008B2149" w:rsidRDefault="00E01C50" w:rsidP="00E01C50">
      <w:pPr>
        <w:ind w:left="-360" w:right="42"/>
        <w:jc w:val="both"/>
        <w:rPr>
          <w:rFonts w:ascii="Arial" w:hAnsi="Arial" w:cs="Arial"/>
          <w:sz w:val="16"/>
          <w:szCs w:val="16"/>
        </w:rPr>
      </w:pPr>
      <w:r w:rsidRPr="008B2149">
        <w:rPr>
          <w:rFonts w:ascii="Arial" w:hAnsi="Arial" w:cs="Arial"/>
          <w:sz w:val="16"/>
          <w:szCs w:val="16"/>
        </w:rPr>
        <w:t xml:space="preserve">Source : TurkStat. Betam </w:t>
      </w:r>
    </w:p>
    <w:p w:rsidR="00E01C50" w:rsidRPr="006007C7" w:rsidRDefault="00E01C50" w:rsidP="00E01C50">
      <w:pPr>
        <w:spacing w:line="360" w:lineRule="auto"/>
        <w:ind w:right="42"/>
        <w:jc w:val="both"/>
        <w:rPr>
          <w:sz w:val="22"/>
          <w:szCs w:val="22"/>
        </w:rPr>
        <w:sectPr w:rsidR="00E01C50" w:rsidRPr="006007C7" w:rsidSect="007067F4">
          <w:type w:val="continuous"/>
          <w:pgSz w:w="11906" w:h="16838"/>
          <w:pgMar w:top="1417" w:right="1417" w:bottom="1417" w:left="1417" w:header="708" w:footer="708" w:gutter="0"/>
          <w:cols w:num="2" w:space="708" w:equalWidth="0">
            <w:col w:w="4182" w:space="708"/>
            <w:col w:w="4182"/>
          </w:cols>
          <w:docGrid w:linePitch="360"/>
        </w:sectPr>
      </w:pPr>
    </w:p>
    <w:p w:rsidR="00E01C50" w:rsidRPr="008B2149" w:rsidRDefault="00E01C50" w:rsidP="00E01C50">
      <w:pPr>
        <w:spacing w:line="360" w:lineRule="auto"/>
        <w:ind w:right="42" w:hanging="360"/>
        <w:jc w:val="both"/>
        <w:rPr>
          <w:rFonts w:ascii="Arial" w:hAnsi="Arial" w:cs="Arial"/>
          <w:b/>
          <w:sz w:val="20"/>
          <w:szCs w:val="20"/>
        </w:rPr>
      </w:pPr>
      <w:r w:rsidRPr="008B2149">
        <w:rPr>
          <w:rFonts w:ascii="Arial" w:hAnsi="Arial" w:cs="Arial"/>
          <w:b/>
          <w:sz w:val="20"/>
          <w:szCs w:val="20"/>
        </w:rPr>
        <w:lastRenderedPageBreak/>
        <w:t>Figure 3: Ratio of current account deficit to GDP (</w:t>
      </w:r>
      <w:r w:rsidR="003579B9">
        <w:rPr>
          <w:rFonts w:ascii="Arial" w:hAnsi="Arial" w:cs="Arial"/>
          <w:b/>
          <w:sz w:val="20"/>
          <w:szCs w:val="20"/>
        </w:rPr>
        <w:t>12-month</w:t>
      </w:r>
      <w:r w:rsidRPr="008B2149">
        <w:rPr>
          <w:rFonts w:ascii="Arial" w:hAnsi="Arial" w:cs="Arial"/>
          <w:b/>
          <w:sz w:val="20"/>
          <w:szCs w:val="20"/>
        </w:rPr>
        <w:t xml:space="preserve">)                                                                    </w:t>
      </w:r>
    </w:p>
    <w:p w:rsidR="00E01C50" w:rsidRPr="006007C7" w:rsidRDefault="00E54D93" w:rsidP="00E01C50">
      <w:pPr>
        <w:ind w:left="-360" w:right="42"/>
      </w:pPr>
      <w:r w:rsidRPr="00E54D93">
        <w:rPr>
          <w:noProof/>
          <w:lang w:val="tr-TR"/>
        </w:rPr>
        <w:drawing>
          <wp:inline distT="0" distB="0" distL="0" distR="0">
            <wp:extent cx="5762625" cy="2409825"/>
            <wp:effectExtent l="19050" t="0" r="9525"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762625" cy="2409825"/>
                    </a:xfrm>
                    <a:prstGeom prst="rect">
                      <a:avLst/>
                    </a:prstGeom>
                    <a:noFill/>
                    <a:ln w="9525">
                      <a:noFill/>
                      <a:miter lim="800000"/>
                      <a:headEnd/>
                      <a:tailEnd/>
                    </a:ln>
                  </pic:spPr>
                </pic:pic>
              </a:graphicData>
            </a:graphic>
          </wp:inline>
        </w:drawing>
      </w:r>
    </w:p>
    <w:p w:rsidR="00E01C50" w:rsidRPr="00E01C50" w:rsidRDefault="00E01C50" w:rsidP="00E01C50">
      <w:pPr>
        <w:spacing w:line="360" w:lineRule="auto"/>
        <w:ind w:left="-360" w:right="42"/>
        <w:jc w:val="both"/>
        <w:rPr>
          <w:rFonts w:ascii="Arial" w:hAnsi="Arial" w:cs="Arial"/>
          <w:sz w:val="16"/>
          <w:szCs w:val="16"/>
        </w:rPr>
      </w:pPr>
      <w:r w:rsidRPr="008B2149">
        <w:rPr>
          <w:rFonts w:ascii="Arial" w:hAnsi="Arial" w:cs="Arial"/>
          <w:sz w:val="16"/>
          <w:szCs w:val="16"/>
        </w:rPr>
        <w:t>Source: TCMB. TurkStat. Betam</w:t>
      </w:r>
      <w:r w:rsidRPr="006007C7">
        <w:rPr>
          <w:sz w:val="18"/>
          <w:szCs w:val="18"/>
        </w:rPr>
        <w:tab/>
      </w:r>
      <w:r w:rsidRPr="006007C7">
        <w:rPr>
          <w:sz w:val="18"/>
          <w:szCs w:val="18"/>
        </w:rPr>
        <w:tab/>
      </w:r>
      <w:r w:rsidRPr="006007C7">
        <w:rPr>
          <w:sz w:val="18"/>
          <w:szCs w:val="18"/>
        </w:rPr>
        <w:tab/>
      </w:r>
      <w:r w:rsidRPr="006007C7">
        <w:rPr>
          <w:sz w:val="18"/>
          <w:szCs w:val="18"/>
        </w:rPr>
        <w:tab/>
      </w:r>
    </w:p>
    <w:p w:rsidR="00E01C50" w:rsidRPr="006007C7" w:rsidRDefault="00E01C50" w:rsidP="00E01C50">
      <w:pPr>
        <w:ind w:left="-360" w:right="42"/>
      </w:pPr>
    </w:p>
    <w:p w:rsidR="00E01C50" w:rsidRDefault="00E01C50" w:rsidP="00E01C50">
      <w:pPr>
        <w:spacing w:line="360" w:lineRule="auto"/>
        <w:ind w:left="-360" w:right="42"/>
        <w:jc w:val="both"/>
        <w:rPr>
          <w:rFonts w:ascii="Arial" w:hAnsi="Arial" w:cs="Arial"/>
          <w:b/>
          <w:sz w:val="20"/>
          <w:szCs w:val="20"/>
        </w:rPr>
      </w:pPr>
      <w:r w:rsidRPr="00C30DC1">
        <w:rPr>
          <w:rFonts w:ascii="Arial" w:hAnsi="Arial" w:cs="Arial"/>
          <w:b/>
          <w:sz w:val="20"/>
          <w:szCs w:val="20"/>
        </w:rPr>
        <w:t>Figure 4:</w:t>
      </w:r>
      <w:r>
        <w:rPr>
          <w:rFonts w:ascii="Arial" w:hAnsi="Arial" w:cs="Arial"/>
          <w:b/>
          <w:sz w:val="20"/>
          <w:szCs w:val="20"/>
        </w:rPr>
        <w:t xml:space="preserve"> </w:t>
      </w:r>
      <w:r w:rsidRPr="00C30DC1">
        <w:rPr>
          <w:rFonts w:ascii="Arial" w:hAnsi="Arial" w:cs="Arial"/>
          <w:b/>
          <w:sz w:val="20"/>
          <w:szCs w:val="20"/>
        </w:rPr>
        <w:t>Weighted Average Interest Rates For Turkish Lira Banks' Loans</w:t>
      </w:r>
      <w:r>
        <w:rPr>
          <w:rFonts w:ascii="Arial" w:hAnsi="Arial" w:cs="Arial"/>
          <w:b/>
          <w:sz w:val="20"/>
          <w:szCs w:val="20"/>
        </w:rPr>
        <w:t xml:space="preserve"> (%)</w:t>
      </w:r>
    </w:p>
    <w:p w:rsidR="00E01C50" w:rsidRPr="006007C7" w:rsidRDefault="00E54D93" w:rsidP="00E01C50">
      <w:pPr>
        <w:ind w:left="-360" w:right="42"/>
      </w:pPr>
      <w:r w:rsidRPr="00E54D93">
        <w:rPr>
          <w:noProof/>
          <w:lang w:val="tr-TR"/>
        </w:rPr>
        <w:drawing>
          <wp:inline distT="0" distB="0" distL="0" distR="0">
            <wp:extent cx="5760720" cy="2169271"/>
            <wp:effectExtent l="1905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5760720" cy="2169271"/>
                    </a:xfrm>
                    <a:prstGeom prst="rect">
                      <a:avLst/>
                    </a:prstGeom>
                    <a:noFill/>
                    <a:ln w="9525">
                      <a:noFill/>
                      <a:miter lim="800000"/>
                      <a:headEnd/>
                      <a:tailEnd/>
                    </a:ln>
                  </pic:spPr>
                </pic:pic>
              </a:graphicData>
            </a:graphic>
          </wp:inline>
        </w:drawing>
      </w:r>
    </w:p>
    <w:p w:rsidR="003579B9" w:rsidRDefault="003579B9" w:rsidP="00E01C50">
      <w:pPr>
        <w:spacing w:line="360" w:lineRule="auto"/>
        <w:ind w:left="-360" w:right="42"/>
        <w:jc w:val="both"/>
        <w:rPr>
          <w:rFonts w:ascii="Arial" w:hAnsi="Arial" w:cs="Arial"/>
          <w:sz w:val="16"/>
          <w:szCs w:val="16"/>
        </w:rPr>
      </w:pPr>
    </w:p>
    <w:p w:rsidR="00E01C50" w:rsidRPr="00C30DC1" w:rsidRDefault="00E01C50" w:rsidP="00E01C50">
      <w:pPr>
        <w:spacing w:line="360" w:lineRule="auto"/>
        <w:ind w:left="-360" w:right="42"/>
        <w:jc w:val="both"/>
        <w:rPr>
          <w:rFonts w:ascii="Arial" w:hAnsi="Arial" w:cs="Arial"/>
          <w:sz w:val="20"/>
          <w:szCs w:val="20"/>
        </w:rPr>
      </w:pPr>
      <w:r w:rsidRPr="008B2149">
        <w:rPr>
          <w:rFonts w:ascii="Arial" w:hAnsi="Arial" w:cs="Arial"/>
          <w:sz w:val="16"/>
          <w:szCs w:val="16"/>
        </w:rPr>
        <w:t>Source: TCMB</w:t>
      </w:r>
    </w:p>
    <w:p w:rsidR="00E01C50" w:rsidRDefault="00E01C50" w:rsidP="00E01C50">
      <w:pPr>
        <w:spacing w:line="360" w:lineRule="auto"/>
        <w:ind w:right="42"/>
        <w:jc w:val="both"/>
        <w:rPr>
          <w:rFonts w:ascii="Arial" w:hAnsi="Arial" w:cs="Arial"/>
          <w:b/>
          <w:sz w:val="20"/>
          <w:szCs w:val="20"/>
        </w:rPr>
      </w:pPr>
    </w:p>
    <w:p w:rsidR="001F707E" w:rsidRPr="00E01C50" w:rsidRDefault="00E01C50" w:rsidP="00D0799D">
      <w:pPr>
        <w:spacing w:line="360" w:lineRule="auto"/>
        <w:ind w:right="42"/>
        <w:jc w:val="both"/>
        <w:rPr>
          <w:rFonts w:ascii="Arial" w:hAnsi="Arial" w:cs="Arial"/>
          <w:b/>
          <w:sz w:val="20"/>
          <w:szCs w:val="20"/>
        </w:rPr>
      </w:pPr>
      <w:r w:rsidRPr="008B2149">
        <w:rPr>
          <w:rFonts w:ascii="Arial" w:hAnsi="Arial" w:cs="Arial"/>
          <w:b/>
          <w:sz w:val="20"/>
          <w:szCs w:val="20"/>
        </w:rPr>
        <w:t>Figure</w:t>
      </w:r>
      <w:r>
        <w:rPr>
          <w:rFonts w:ascii="Arial" w:hAnsi="Arial" w:cs="Arial"/>
          <w:b/>
          <w:sz w:val="20"/>
          <w:szCs w:val="20"/>
        </w:rPr>
        <w:t xml:space="preserve"> 5</w:t>
      </w:r>
      <w:r w:rsidRPr="008B2149">
        <w:rPr>
          <w:rFonts w:ascii="Arial" w:hAnsi="Arial" w:cs="Arial"/>
          <w:b/>
          <w:sz w:val="20"/>
          <w:szCs w:val="20"/>
        </w:rPr>
        <w:t>:</w:t>
      </w:r>
      <w:r w:rsidRPr="008B2149">
        <w:rPr>
          <w:rFonts w:ascii="Arial" w:hAnsi="Arial" w:cs="Arial"/>
          <w:sz w:val="20"/>
          <w:szCs w:val="20"/>
        </w:rPr>
        <w:t xml:space="preserve"> </w:t>
      </w:r>
      <w:r w:rsidRPr="008B2149">
        <w:rPr>
          <w:rFonts w:ascii="Arial" w:hAnsi="Arial" w:cs="Arial"/>
          <w:b/>
          <w:sz w:val="20"/>
          <w:szCs w:val="20"/>
        </w:rPr>
        <w:t>Monthly changes of manufacturing industry exports (sa)</w:t>
      </w:r>
    </w:p>
    <w:p w:rsidR="00E01C50" w:rsidRPr="008B2149" w:rsidRDefault="00E01C50" w:rsidP="00D0799D">
      <w:pPr>
        <w:spacing w:line="360" w:lineRule="auto"/>
        <w:ind w:right="42"/>
        <w:jc w:val="both"/>
        <w:rPr>
          <w:rFonts w:ascii="Arial" w:hAnsi="Arial" w:cs="Arial"/>
          <w:sz w:val="20"/>
          <w:szCs w:val="20"/>
        </w:rPr>
      </w:pPr>
      <w:r w:rsidRPr="00E01C50">
        <w:rPr>
          <w:noProof/>
          <w:szCs w:val="20"/>
          <w:lang w:val="tr-TR"/>
        </w:rPr>
        <w:drawing>
          <wp:inline distT="0" distB="0" distL="0" distR="0">
            <wp:extent cx="5760720" cy="6286169"/>
            <wp:effectExtent l="1905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5760720" cy="6286169"/>
                    </a:xfrm>
                    <a:prstGeom prst="rect">
                      <a:avLst/>
                    </a:prstGeom>
                    <a:noFill/>
                    <a:ln w="9525">
                      <a:noFill/>
                      <a:miter lim="800000"/>
                      <a:headEnd/>
                      <a:tailEnd/>
                    </a:ln>
                  </pic:spPr>
                </pic:pic>
              </a:graphicData>
            </a:graphic>
          </wp:inline>
        </w:drawing>
      </w:r>
    </w:p>
    <w:p w:rsidR="008C6E50" w:rsidRPr="008B2149" w:rsidRDefault="00AC630B" w:rsidP="00D0799D">
      <w:pPr>
        <w:spacing w:line="360" w:lineRule="auto"/>
        <w:ind w:right="42"/>
        <w:jc w:val="both"/>
        <w:rPr>
          <w:rFonts w:ascii="Arial" w:hAnsi="Arial" w:cs="Arial"/>
          <w:sz w:val="16"/>
          <w:szCs w:val="16"/>
        </w:rPr>
      </w:pPr>
      <w:r w:rsidRPr="008B2149">
        <w:rPr>
          <w:rFonts w:ascii="Arial" w:hAnsi="Arial" w:cs="Arial"/>
          <w:sz w:val="16"/>
          <w:szCs w:val="16"/>
        </w:rPr>
        <w:t>Source: TurkStat</w:t>
      </w:r>
      <w:r w:rsidR="0071337D" w:rsidRPr="008B2149">
        <w:rPr>
          <w:rFonts w:ascii="Arial" w:hAnsi="Arial" w:cs="Arial"/>
          <w:sz w:val="16"/>
          <w:szCs w:val="16"/>
        </w:rPr>
        <w:t>.</w:t>
      </w:r>
      <w:r w:rsidR="008C6E50" w:rsidRPr="008B2149">
        <w:rPr>
          <w:rFonts w:ascii="Arial" w:hAnsi="Arial" w:cs="Arial"/>
          <w:sz w:val="16"/>
          <w:szCs w:val="16"/>
        </w:rPr>
        <w:t xml:space="preserve"> Betam</w:t>
      </w:r>
    </w:p>
    <w:p w:rsidR="009B43D6" w:rsidRDefault="009B43D6" w:rsidP="001E4BF5">
      <w:pPr>
        <w:spacing w:line="360" w:lineRule="auto"/>
        <w:ind w:left="-360" w:right="42"/>
        <w:jc w:val="both"/>
        <w:rPr>
          <w:sz w:val="22"/>
          <w:szCs w:val="22"/>
        </w:rPr>
      </w:pPr>
    </w:p>
    <w:p w:rsidR="00451FEA" w:rsidRDefault="00451FEA" w:rsidP="001E4BF5">
      <w:pPr>
        <w:spacing w:line="360" w:lineRule="auto"/>
        <w:ind w:left="-360" w:right="42"/>
        <w:jc w:val="both"/>
        <w:rPr>
          <w:sz w:val="22"/>
          <w:szCs w:val="22"/>
        </w:rPr>
      </w:pPr>
    </w:p>
    <w:p w:rsidR="00451FEA" w:rsidRDefault="00451FEA" w:rsidP="001E4BF5">
      <w:pPr>
        <w:spacing w:line="360" w:lineRule="auto"/>
        <w:ind w:left="-360" w:right="42"/>
        <w:jc w:val="both"/>
        <w:rPr>
          <w:sz w:val="22"/>
          <w:szCs w:val="22"/>
        </w:rPr>
      </w:pPr>
    </w:p>
    <w:p w:rsidR="00451FEA" w:rsidRDefault="00451FEA" w:rsidP="001E4BF5">
      <w:pPr>
        <w:spacing w:line="360" w:lineRule="auto"/>
        <w:ind w:left="-360" w:right="42"/>
        <w:jc w:val="both"/>
        <w:rPr>
          <w:sz w:val="22"/>
          <w:szCs w:val="22"/>
        </w:rPr>
      </w:pPr>
    </w:p>
    <w:p w:rsidR="00451FEA" w:rsidRDefault="00451FEA" w:rsidP="001E4BF5">
      <w:pPr>
        <w:spacing w:line="360" w:lineRule="auto"/>
        <w:ind w:left="-360" w:right="42"/>
        <w:jc w:val="both"/>
        <w:rPr>
          <w:sz w:val="22"/>
          <w:szCs w:val="22"/>
        </w:rPr>
      </w:pPr>
    </w:p>
    <w:p w:rsidR="00451FEA" w:rsidRDefault="00451FEA" w:rsidP="001E4BF5">
      <w:pPr>
        <w:spacing w:line="360" w:lineRule="auto"/>
        <w:ind w:left="-360" w:right="42"/>
        <w:jc w:val="both"/>
        <w:rPr>
          <w:sz w:val="22"/>
          <w:szCs w:val="22"/>
        </w:rPr>
      </w:pPr>
    </w:p>
    <w:p w:rsidR="00451FEA" w:rsidRDefault="00451FEA" w:rsidP="001E4BF5">
      <w:pPr>
        <w:spacing w:line="360" w:lineRule="auto"/>
        <w:ind w:left="-360" w:right="42"/>
        <w:jc w:val="both"/>
        <w:rPr>
          <w:sz w:val="22"/>
          <w:szCs w:val="22"/>
        </w:rPr>
      </w:pPr>
    </w:p>
    <w:p w:rsidR="00B677BF" w:rsidRPr="008B2149" w:rsidRDefault="00B677BF" w:rsidP="001F707E">
      <w:pPr>
        <w:spacing w:line="360" w:lineRule="auto"/>
        <w:ind w:right="42"/>
        <w:jc w:val="both"/>
        <w:rPr>
          <w:sz w:val="22"/>
          <w:szCs w:val="22"/>
        </w:rPr>
      </w:pPr>
    </w:p>
    <w:sectPr w:rsidR="00B677BF" w:rsidRPr="008B2149" w:rsidSect="001E7720">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017" w:rsidRDefault="00511017">
      <w:r>
        <w:separator/>
      </w:r>
    </w:p>
  </w:endnote>
  <w:endnote w:type="continuationSeparator" w:id="1">
    <w:p w:rsidR="00511017" w:rsidRDefault="00511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017" w:rsidRDefault="00511017">
      <w:r>
        <w:separator/>
      </w:r>
    </w:p>
  </w:footnote>
  <w:footnote w:type="continuationSeparator" w:id="1">
    <w:p w:rsidR="00511017" w:rsidRDefault="00511017">
      <w:r>
        <w:continuationSeparator/>
      </w:r>
    </w:p>
  </w:footnote>
  <w:footnote w:id="2">
    <w:p w:rsidR="009D07BE" w:rsidRPr="009D07BE" w:rsidRDefault="009D07BE" w:rsidP="00F67E7C">
      <w:pPr>
        <w:pStyle w:val="DipnotMetni"/>
        <w:ind w:left="-288"/>
        <w:jc w:val="both"/>
        <w:rPr>
          <w:lang w:val="tr-TR"/>
        </w:rPr>
      </w:pPr>
      <w:r>
        <w:rPr>
          <w:rStyle w:val="DipnotBavurusu"/>
        </w:rPr>
        <w:footnoteRef/>
      </w:r>
      <w:r>
        <w:t xml:space="preserve"> </w:t>
      </w:r>
      <w:r w:rsidRPr="009D07BE">
        <w:t>We’d like to note that Betam forecasts consumption mostly using data on production and imports. An increase in our indicators might reflect an increase in stocks of consumption goods, instead of consumption itself.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357ECC"/>
    <w:rsid w:val="000003F0"/>
    <w:rsid w:val="00001050"/>
    <w:rsid w:val="0000434B"/>
    <w:rsid w:val="00004745"/>
    <w:rsid w:val="00013406"/>
    <w:rsid w:val="00017F2E"/>
    <w:rsid w:val="00024559"/>
    <w:rsid w:val="00024B55"/>
    <w:rsid w:val="00034421"/>
    <w:rsid w:val="00035DDC"/>
    <w:rsid w:val="00037CE9"/>
    <w:rsid w:val="00047B99"/>
    <w:rsid w:val="00050DCF"/>
    <w:rsid w:val="00051CD0"/>
    <w:rsid w:val="00055814"/>
    <w:rsid w:val="00055A3E"/>
    <w:rsid w:val="000625E8"/>
    <w:rsid w:val="00063758"/>
    <w:rsid w:val="00065B3C"/>
    <w:rsid w:val="00067DF6"/>
    <w:rsid w:val="000715CA"/>
    <w:rsid w:val="000717B5"/>
    <w:rsid w:val="000743ED"/>
    <w:rsid w:val="000820D2"/>
    <w:rsid w:val="0008367E"/>
    <w:rsid w:val="00084ED0"/>
    <w:rsid w:val="00091D4B"/>
    <w:rsid w:val="00097481"/>
    <w:rsid w:val="000A1E16"/>
    <w:rsid w:val="000A6429"/>
    <w:rsid w:val="000A701D"/>
    <w:rsid w:val="000B0553"/>
    <w:rsid w:val="000C3022"/>
    <w:rsid w:val="000C5B7E"/>
    <w:rsid w:val="000D029B"/>
    <w:rsid w:val="000D0DA7"/>
    <w:rsid w:val="000D7F65"/>
    <w:rsid w:val="000E10A3"/>
    <w:rsid w:val="000E4231"/>
    <w:rsid w:val="000E4C57"/>
    <w:rsid w:val="000F3017"/>
    <w:rsid w:val="000F396D"/>
    <w:rsid w:val="000F4941"/>
    <w:rsid w:val="00100750"/>
    <w:rsid w:val="001105B2"/>
    <w:rsid w:val="00114BC7"/>
    <w:rsid w:val="00131702"/>
    <w:rsid w:val="00133054"/>
    <w:rsid w:val="001357C1"/>
    <w:rsid w:val="00135FEE"/>
    <w:rsid w:val="00137054"/>
    <w:rsid w:val="00137F02"/>
    <w:rsid w:val="00141B93"/>
    <w:rsid w:val="00143828"/>
    <w:rsid w:val="0015045A"/>
    <w:rsid w:val="00150B84"/>
    <w:rsid w:val="00157DC2"/>
    <w:rsid w:val="00163E33"/>
    <w:rsid w:val="00164770"/>
    <w:rsid w:val="001661B0"/>
    <w:rsid w:val="00166FE5"/>
    <w:rsid w:val="00167408"/>
    <w:rsid w:val="00167D69"/>
    <w:rsid w:val="00170085"/>
    <w:rsid w:val="00170DE7"/>
    <w:rsid w:val="00177F4E"/>
    <w:rsid w:val="00177FE3"/>
    <w:rsid w:val="0019538C"/>
    <w:rsid w:val="00195EC6"/>
    <w:rsid w:val="00197ACB"/>
    <w:rsid w:val="001A2051"/>
    <w:rsid w:val="001A787F"/>
    <w:rsid w:val="001B0683"/>
    <w:rsid w:val="001B0861"/>
    <w:rsid w:val="001B1CFE"/>
    <w:rsid w:val="001B34B5"/>
    <w:rsid w:val="001B6256"/>
    <w:rsid w:val="001B6836"/>
    <w:rsid w:val="001B6AFA"/>
    <w:rsid w:val="001C457D"/>
    <w:rsid w:val="001D09B1"/>
    <w:rsid w:val="001D11F7"/>
    <w:rsid w:val="001D1F1B"/>
    <w:rsid w:val="001D3C27"/>
    <w:rsid w:val="001E0274"/>
    <w:rsid w:val="001E4122"/>
    <w:rsid w:val="001E4BF5"/>
    <w:rsid w:val="001E7720"/>
    <w:rsid w:val="001E7DE1"/>
    <w:rsid w:val="001F1052"/>
    <w:rsid w:val="001F1361"/>
    <w:rsid w:val="001F4CFB"/>
    <w:rsid w:val="001F707E"/>
    <w:rsid w:val="001F7216"/>
    <w:rsid w:val="0020115E"/>
    <w:rsid w:val="00203CD9"/>
    <w:rsid w:val="00204364"/>
    <w:rsid w:val="00207185"/>
    <w:rsid w:val="002166A1"/>
    <w:rsid w:val="002176C5"/>
    <w:rsid w:val="002220B5"/>
    <w:rsid w:val="002241E2"/>
    <w:rsid w:val="00225215"/>
    <w:rsid w:val="00230A81"/>
    <w:rsid w:val="00236F07"/>
    <w:rsid w:val="00245E19"/>
    <w:rsid w:val="00260693"/>
    <w:rsid w:val="002622B9"/>
    <w:rsid w:val="002639C0"/>
    <w:rsid w:val="00264000"/>
    <w:rsid w:val="002663F7"/>
    <w:rsid w:val="00271168"/>
    <w:rsid w:val="00272C27"/>
    <w:rsid w:val="002751F5"/>
    <w:rsid w:val="00283EE6"/>
    <w:rsid w:val="002902DE"/>
    <w:rsid w:val="00293BAB"/>
    <w:rsid w:val="002A27C0"/>
    <w:rsid w:val="002A66ED"/>
    <w:rsid w:val="002B015D"/>
    <w:rsid w:val="002B1FC3"/>
    <w:rsid w:val="002B3644"/>
    <w:rsid w:val="002B460F"/>
    <w:rsid w:val="002C0C55"/>
    <w:rsid w:val="002C28A4"/>
    <w:rsid w:val="002C391B"/>
    <w:rsid w:val="002C3E54"/>
    <w:rsid w:val="002D7743"/>
    <w:rsid w:val="002E1EA4"/>
    <w:rsid w:val="002E5892"/>
    <w:rsid w:val="002E6BB4"/>
    <w:rsid w:val="002E6BD6"/>
    <w:rsid w:val="002E75EF"/>
    <w:rsid w:val="002F0BDE"/>
    <w:rsid w:val="002F1C42"/>
    <w:rsid w:val="002F2CD1"/>
    <w:rsid w:val="002F30F9"/>
    <w:rsid w:val="002F5134"/>
    <w:rsid w:val="00306FA7"/>
    <w:rsid w:val="0031043B"/>
    <w:rsid w:val="003142BA"/>
    <w:rsid w:val="00316CE9"/>
    <w:rsid w:val="00316DB4"/>
    <w:rsid w:val="00322134"/>
    <w:rsid w:val="003223B0"/>
    <w:rsid w:val="00322EBE"/>
    <w:rsid w:val="003269F7"/>
    <w:rsid w:val="0033349F"/>
    <w:rsid w:val="00333B98"/>
    <w:rsid w:val="003345C8"/>
    <w:rsid w:val="00337824"/>
    <w:rsid w:val="00337AE5"/>
    <w:rsid w:val="003410B9"/>
    <w:rsid w:val="00341195"/>
    <w:rsid w:val="00344070"/>
    <w:rsid w:val="0034543C"/>
    <w:rsid w:val="00347145"/>
    <w:rsid w:val="003474D9"/>
    <w:rsid w:val="00353B31"/>
    <w:rsid w:val="003552A4"/>
    <w:rsid w:val="00356765"/>
    <w:rsid w:val="003579B9"/>
    <w:rsid w:val="00357ECC"/>
    <w:rsid w:val="00360133"/>
    <w:rsid w:val="00361D56"/>
    <w:rsid w:val="00362436"/>
    <w:rsid w:val="00363520"/>
    <w:rsid w:val="00376AC1"/>
    <w:rsid w:val="00381853"/>
    <w:rsid w:val="00383A6E"/>
    <w:rsid w:val="00384212"/>
    <w:rsid w:val="0038488E"/>
    <w:rsid w:val="003866F7"/>
    <w:rsid w:val="00394358"/>
    <w:rsid w:val="00396E44"/>
    <w:rsid w:val="00397518"/>
    <w:rsid w:val="003A048F"/>
    <w:rsid w:val="003A219A"/>
    <w:rsid w:val="003A2B60"/>
    <w:rsid w:val="003A31B2"/>
    <w:rsid w:val="003A3575"/>
    <w:rsid w:val="003A5AD9"/>
    <w:rsid w:val="003B0F7E"/>
    <w:rsid w:val="003B109E"/>
    <w:rsid w:val="003B199A"/>
    <w:rsid w:val="003B2720"/>
    <w:rsid w:val="003B472B"/>
    <w:rsid w:val="003B5209"/>
    <w:rsid w:val="003B797F"/>
    <w:rsid w:val="003C5112"/>
    <w:rsid w:val="003C640D"/>
    <w:rsid w:val="003D0BE4"/>
    <w:rsid w:val="003D142F"/>
    <w:rsid w:val="003D7E7F"/>
    <w:rsid w:val="003E5C49"/>
    <w:rsid w:val="003F347E"/>
    <w:rsid w:val="00402158"/>
    <w:rsid w:val="00405F8D"/>
    <w:rsid w:val="00406615"/>
    <w:rsid w:val="00410655"/>
    <w:rsid w:val="00422832"/>
    <w:rsid w:val="00451FEA"/>
    <w:rsid w:val="00452B69"/>
    <w:rsid w:val="00455777"/>
    <w:rsid w:val="00460CBF"/>
    <w:rsid w:val="00463BBF"/>
    <w:rsid w:val="004716A6"/>
    <w:rsid w:val="004814F0"/>
    <w:rsid w:val="00485884"/>
    <w:rsid w:val="0049613B"/>
    <w:rsid w:val="004A4DD6"/>
    <w:rsid w:val="004A7343"/>
    <w:rsid w:val="004A7FE6"/>
    <w:rsid w:val="004B2EA7"/>
    <w:rsid w:val="004C6A82"/>
    <w:rsid w:val="004D67C5"/>
    <w:rsid w:val="004D7A57"/>
    <w:rsid w:val="004E2D21"/>
    <w:rsid w:val="004E40D1"/>
    <w:rsid w:val="004E4C5E"/>
    <w:rsid w:val="004F0C8B"/>
    <w:rsid w:val="004F1286"/>
    <w:rsid w:val="004F1E07"/>
    <w:rsid w:val="0050049B"/>
    <w:rsid w:val="00502793"/>
    <w:rsid w:val="00506264"/>
    <w:rsid w:val="00510349"/>
    <w:rsid w:val="00511017"/>
    <w:rsid w:val="0051750C"/>
    <w:rsid w:val="00522ED0"/>
    <w:rsid w:val="00523C58"/>
    <w:rsid w:val="00536C48"/>
    <w:rsid w:val="00542728"/>
    <w:rsid w:val="00543E56"/>
    <w:rsid w:val="00546373"/>
    <w:rsid w:val="00551E19"/>
    <w:rsid w:val="00552D5D"/>
    <w:rsid w:val="00556328"/>
    <w:rsid w:val="00556F7E"/>
    <w:rsid w:val="00567E14"/>
    <w:rsid w:val="005758D1"/>
    <w:rsid w:val="005871D8"/>
    <w:rsid w:val="0058799A"/>
    <w:rsid w:val="00593B80"/>
    <w:rsid w:val="005A03EE"/>
    <w:rsid w:val="005A06D3"/>
    <w:rsid w:val="005A0AF8"/>
    <w:rsid w:val="005A2B2E"/>
    <w:rsid w:val="005A5144"/>
    <w:rsid w:val="005B5D93"/>
    <w:rsid w:val="005B666D"/>
    <w:rsid w:val="005C42DE"/>
    <w:rsid w:val="005C571D"/>
    <w:rsid w:val="005C59F0"/>
    <w:rsid w:val="005C6409"/>
    <w:rsid w:val="005C7783"/>
    <w:rsid w:val="005D7E62"/>
    <w:rsid w:val="005E0781"/>
    <w:rsid w:val="005E0E66"/>
    <w:rsid w:val="005E2983"/>
    <w:rsid w:val="005F1C44"/>
    <w:rsid w:val="005F2A5B"/>
    <w:rsid w:val="005F2ECA"/>
    <w:rsid w:val="005F31BE"/>
    <w:rsid w:val="005F79D9"/>
    <w:rsid w:val="00600A02"/>
    <w:rsid w:val="00602EB0"/>
    <w:rsid w:val="00613B72"/>
    <w:rsid w:val="006221AA"/>
    <w:rsid w:val="00623B31"/>
    <w:rsid w:val="006274E1"/>
    <w:rsid w:val="00630490"/>
    <w:rsid w:val="00631163"/>
    <w:rsid w:val="00631270"/>
    <w:rsid w:val="00632044"/>
    <w:rsid w:val="006360F2"/>
    <w:rsid w:val="006419AA"/>
    <w:rsid w:val="00644C74"/>
    <w:rsid w:val="006454DC"/>
    <w:rsid w:val="00662C10"/>
    <w:rsid w:val="00667305"/>
    <w:rsid w:val="006713C0"/>
    <w:rsid w:val="00672CA0"/>
    <w:rsid w:val="006836A7"/>
    <w:rsid w:val="00683A24"/>
    <w:rsid w:val="00691D96"/>
    <w:rsid w:val="006A1D53"/>
    <w:rsid w:val="006A3F76"/>
    <w:rsid w:val="006A507F"/>
    <w:rsid w:val="006B08B4"/>
    <w:rsid w:val="006B1779"/>
    <w:rsid w:val="006B3B9F"/>
    <w:rsid w:val="006B54D7"/>
    <w:rsid w:val="006B60DC"/>
    <w:rsid w:val="006B7B76"/>
    <w:rsid w:val="006C6C6F"/>
    <w:rsid w:val="006D13C9"/>
    <w:rsid w:val="006E2D48"/>
    <w:rsid w:val="006F0116"/>
    <w:rsid w:val="006F1A82"/>
    <w:rsid w:val="006F2049"/>
    <w:rsid w:val="006F309B"/>
    <w:rsid w:val="007008D1"/>
    <w:rsid w:val="00704765"/>
    <w:rsid w:val="007067F4"/>
    <w:rsid w:val="0071337D"/>
    <w:rsid w:val="00714FBF"/>
    <w:rsid w:val="0071687F"/>
    <w:rsid w:val="00720303"/>
    <w:rsid w:val="007320A1"/>
    <w:rsid w:val="007361F6"/>
    <w:rsid w:val="00736C84"/>
    <w:rsid w:val="00741281"/>
    <w:rsid w:val="007415EE"/>
    <w:rsid w:val="0075074A"/>
    <w:rsid w:val="007533D7"/>
    <w:rsid w:val="0075696F"/>
    <w:rsid w:val="007629CE"/>
    <w:rsid w:val="007633AD"/>
    <w:rsid w:val="00765414"/>
    <w:rsid w:val="007670E1"/>
    <w:rsid w:val="0076770A"/>
    <w:rsid w:val="00774EA6"/>
    <w:rsid w:val="0078192F"/>
    <w:rsid w:val="00782D82"/>
    <w:rsid w:val="007834AF"/>
    <w:rsid w:val="0079752F"/>
    <w:rsid w:val="007975F4"/>
    <w:rsid w:val="007A0897"/>
    <w:rsid w:val="007A35F3"/>
    <w:rsid w:val="007A64EE"/>
    <w:rsid w:val="007A6702"/>
    <w:rsid w:val="007C21C4"/>
    <w:rsid w:val="007C4EAE"/>
    <w:rsid w:val="007C543A"/>
    <w:rsid w:val="007C56C1"/>
    <w:rsid w:val="007D04CC"/>
    <w:rsid w:val="007D08AB"/>
    <w:rsid w:val="007D3176"/>
    <w:rsid w:val="007D4F28"/>
    <w:rsid w:val="007E16B9"/>
    <w:rsid w:val="007E182F"/>
    <w:rsid w:val="007E3D0F"/>
    <w:rsid w:val="007E5E9A"/>
    <w:rsid w:val="007F1E8F"/>
    <w:rsid w:val="007F50E5"/>
    <w:rsid w:val="00801493"/>
    <w:rsid w:val="0080748E"/>
    <w:rsid w:val="008129C1"/>
    <w:rsid w:val="00814665"/>
    <w:rsid w:val="00814DF4"/>
    <w:rsid w:val="00817438"/>
    <w:rsid w:val="008226C9"/>
    <w:rsid w:val="00831E42"/>
    <w:rsid w:val="00831E59"/>
    <w:rsid w:val="008332DD"/>
    <w:rsid w:val="00841898"/>
    <w:rsid w:val="00842EA5"/>
    <w:rsid w:val="00845505"/>
    <w:rsid w:val="00846685"/>
    <w:rsid w:val="00847ADC"/>
    <w:rsid w:val="0085146F"/>
    <w:rsid w:val="00852D1A"/>
    <w:rsid w:val="008572C9"/>
    <w:rsid w:val="0086047D"/>
    <w:rsid w:val="00861348"/>
    <w:rsid w:val="00861740"/>
    <w:rsid w:val="00862B92"/>
    <w:rsid w:val="0086333C"/>
    <w:rsid w:val="008672F6"/>
    <w:rsid w:val="008729A3"/>
    <w:rsid w:val="00872BE1"/>
    <w:rsid w:val="00875229"/>
    <w:rsid w:val="008865B7"/>
    <w:rsid w:val="00887060"/>
    <w:rsid w:val="00892423"/>
    <w:rsid w:val="00895E6C"/>
    <w:rsid w:val="008A38AB"/>
    <w:rsid w:val="008A6C67"/>
    <w:rsid w:val="008B2149"/>
    <w:rsid w:val="008B74EE"/>
    <w:rsid w:val="008C0F43"/>
    <w:rsid w:val="008C14F4"/>
    <w:rsid w:val="008C17F4"/>
    <w:rsid w:val="008C2826"/>
    <w:rsid w:val="008C38E5"/>
    <w:rsid w:val="008C6E50"/>
    <w:rsid w:val="008D3976"/>
    <w:rsid w:val="008E32CB"/>
    <w:rsid w:val="008E63CB"/>
    <w:rsid w:val="008F5ED9"/>
    <w:rsid w:val="00903F49"/>
    <w:rsid w:val="0090604F"/>
    <w:rsid w:val="009125B5"/>
    <w:rsid w:val="0091403E"/>
    <w:rsid w:val="00915CF1"/>
    <w:rsid w:val="00916E57"/>
    <w:rsid w:val="009174AD"/>
    <w:rsid w:val="00923AE7"/>
    <w:rsid w:val="00924E54"/>
    <w:rsid w:val="00931B8C"/>
    <w:rsid w:val="00934BE6"/>
    <w:rsid w:val="0093780A"/>
    <w:rsid w:val="00942492"/>
    <w:rsid w:val="009441DB"/>
    <w:rsid w:val="00953C28"/>
    <w:rsid w:val="009652E9"/>
    <w:rsid w:val="00971D26"/>
    <w:rsid w:val="00973503"/>
    <w:rsid w:val="00974030"/>
    <w:rsid w:val="0098063D"/>
    <w:rsid w:val="009848D3"/>
    <w:rsid w:val="00984D79"/>
    <w:rsid w:val="0098721A"/>
    <w:rsid w:val="00990226"/>
    <w:rsid w:val="00992B27"/>
    <w:rsid w:val="00993679"/>
    <w:rsid w:val="00995E1B"/>
    <w:rsid w:val="00995F40"/>
    <w:rsid w:val="009A6149"/>
    <w:rsid w:val="009B2569"/>
    <w:rsid w:val="009B39A4"/>
    <w:rsid w:val="009B43D6"/>
    <w:rsid w:val="009B5407"/>
    <w:rsid w:val="009C2397"/>
    <w:rsid w:val="009C53F9"/>
    <w:rsid w:val="009C59AC"/>
    <w:rsid w:val="009D07BE"/>
    <w:rsid w:val="009D1323"/>
    <w:rsid w:val="009D3B55"/>
    <w:rsid w:val="009D4079"/>
    <w:rsid w:val="009D77CC"/>
    <w:rsid w:val="009E0464"/>
    <w:rsid w:val="009E2A57"/>
    <w:rsid w:val="009E73C4"/>
    <w:rsid w:val="009F0111"/>
    <w:rsid w:val="009F0955"/>
    <w:rsid w:val="009F1B4D"/>
    <w:rsid w:val="009F2088"/>
    <w:rsid w:val="00A0243A"/>
    <w:rsid w:val="00A05DEF"/>
    <w:rsid w:val="00A0725A"/>
    <w:rsid w:val="00A0768E"/>
    <w:rsid w:val="00A11CB3"/>
    <w:rsid w:val="00A1561F"/>
    <w:rsid w:val="00A158E0"/>
    <w:rsid w:val="00A175F2"/>
    <w:rsid w:val="00A208D0"/>
    <w:rsid w:val="00A217FD"/>
    <w:rsid w:val="00A22AF3"/>
    <w:rsid w:val="00A24957"/>
    <w:rsid w:val="00A265E2"/>
    <w:rsid w:val="00A2686F"/>
    <w:rsid w:val="00A35FDD"/>
    <w:rsid w:val="00A6642E"/>
    <w:rsid w:val="00A67A86"/>
    <w:rsid w:val="00A71B18"/>
    <w:rsid w:val="00A75A46"/>
    <w:rsid w:val="00A82A89"/>
    <w:rsid w:val="00A83CAB"/>
    <w:rsid w:val="00A86049"/>
    <w:rsid w:val="00A878F4"/>
    <w:rsid w:val="00A9385F"/>
    <w:rsid w:val="00A93A56"/>
    <w:rsid w:val="00A94086"/>
    <w:rsid w:val="00A9596F"/>
    <w:rsid w:val="00AA179B"/>
    <w:rsid w:val="00AA2704"/>
    <w:rsid w:val="00AA3845"/>
    <w:rsid w:val="00AB7E39"/>
    <w:rsid w:val="00AC1A14"/>
    <w:rsid w:val="00AC1C97"/>
    <w:rsid w:val="00AC630B"/>
    <w:rsid w:val="00AD4568"/>
    <w:rsid w:val="00AD5A12"/>
    <w:rsid w:val="00AD6D9C"/>
    <w:rsid w:val="00AD6E7B"/>
    <w:rsid w:val="00AF0503"/>
    <w:rsid w:val="00AF2D7A"/>
    <w:rsid w:val="00AF34E9"/>
    <w:rsid w:val="00AF501D"/>
    <w:rsid w:val="00AF6500"/>
    <w:rsid w:val="00B115D5"/>
    <w:rsid w:val="00B1244F"/>
    <w:rsid w:val="00B14F53"/>
    <w:rsid w:val="00B1612F"/>
    <w:rsid w:val="00B169C6"/>
    <w:rsid w:val="00B25C21"/>
    <w:rsid w:val="00B34C83"/>
    <w:rsid w:val="00B377EE"/>
    <w:rsid w:val="00B42B18"/>
    <w:rsid w:val="00B47671"/>
    <w:rsid w:val="00B510B9"/>
    <w:rsid w:val="00B51DCC"/>
    <w:rsid w:val="00B677BF"/>
    <w:rsid w:val="00B71BC1"/>
    <w:rsid w:val="00B7481B"/>
    <w:rsid w:val="00B7575B"/>
    <w:rsid w:val="00B800C0"/>
    <w:rsid w:val="00B8531E"/>
    <w:rsid w:val="00B9215F"/>
    <w:rsid w:val="00B95352"/>
    <w:rsid w:val="00B97F6C"/>
    <w:rsid w:val="00BA47FF"/>
    <w:rsid w:val="00BB0877"/>
    <w:rsid w:val="00BB4CA7"/>
    <w:rsid w:val="00BD4ADF"/>
    <w:rsid w:val="00BD7514"/>
    <w:rsid w:val="00BE505A"/>
    <w:rsid w:val="00BE56E0"/>
    <w:rsid w:val="00BE61FB"/>
    <w:rsid w:val="00BF14F1"/>
    <w:rsid w:val="00BF17E5"/>
    <w:rsid w:val="00BF22C5"/>
    <w:rsid w:val="00BF409F"/>
    <w:rsid w:val="00BF5712"/>
    <w:rsid w:val="00BF60D3"/>
    <w:rsid w:val="00BF79CD"/>
    <w:rsid w:val="00C02556"/>
    <w:rsid w:val="00C15A9A"/>
    <w:rsid w:val="00C16CFB"/>
    <w:rsid w:val="00C2420F"/>
    <w:rsid w:val="00C25007"/>
    <w:rsid w:val="00C25959"/>
    <w:rsid w:val="00C30485"/>
    <w:rsid w:val="00C369DA"/>
    <w:rsid w:val="00C37220"/>
    <w:rsid w:val="00C37AB3"/>
    <w:rsid w:val="00C37AC3"/>
    <w:rsid w:val="00C4382B"/>
    <w:rsid w:val="00C45FC0"/>
    <w:rsid w:val="00C54FB9"/>
    <w:rsid w:val="00C56CA3"/>
    <w:rsid w:val="00C60595"/>
    <w:rsid w:val="00C61305"/>
    <w:rsid w:val="00C61472"/>
    <w:rsid w:val="00C62404"/>
    <w:rsid w:val="00C6427A"/>
    <w:rsid w:val="00C6608D"/>
    <w:rsid w:val="00C67EFE"/>
    <w:rsid w:val="00C74078"/>
    <w:rsid w:val="00C76273"/>
    <w:rsid w:val="00C80F50"/>
    <w:rsid w:val="00C80F88"/>
    <w:rsid w:val="00C8149D"/>
    <w:rsid w:val="00C875DE"/>
    <w:rsid w:val="00C91E59"/>
    <w:rsid w:val="00C944BB"/>
    <w:rsid w:val="00C9569C"/>
    <w:rsid w:val="00CA02F5"/>
    <w:rsid w:val="00CA17D7"/>
    <w:rsid w:val="00CA3FDA"/>
    <w:rsid w:val="00CA6DDE"/>
    <w:rsid w:val="00CB4CC5"/>
    <w:rsid w:val="00CC26C6"/>
    <w:rsid w:val="00CC41EB"/>
    <w:rsid w:val="00CD3014"/>
    <w:rsid w:val="00CD3056"/>
    <w:rsid w:val="00CD6716"/>
    <w:rsid w:val="00CE15C2"/>
    <w:rsid w:val="00CE6C1E"/>
    <w:rsid w:val="00CF1326"/>
    <w:rsid w:val="00CF51B2"/>
    <w:rsid w:val="00D002D6"/>
    <w:rsid w:val="00D067E1"/>
    <w:rsid w:val="00D0799D"/>
    <w:rsid w:val="00D126AA"/>
    <w:rsid w:val="00D15819"/>
    <w:rsid w:val="00D271E9"/>
    <w:rsid w:val="00D43E2F"/>
    <w:rsid w:val="00D446CF"/>
    <w:rsid w:val="00D509B0"/>
    <w:rsid w:val="00D50D78"/>
    <w:rsid w:val="00D535DB"/>
    <w:rsid w:val="00D55327"/>
    <w:rsid w:val="00D62A48"/>
    <w:rsid w:val="00D63012"/>
    <w:rsid w:val="00D64E8A"/>
    <w:rsid w:val="00D674E0"/>
    <w:rsid w:val="00D71B1A"/>
    <w:rsid w:val="00D72039"/>
    <w:rsid w:val="00D74A5F"/>
    <w:rsid w:val="00D7539A"/>
    <w:rsid w:val="00D77152"/>
    <w:rsid w:val="00D7792C"/>
    <w:rsid w:val="00D83206"/>
    <w:rsid w:val="00DA6778"/>
    <w:rsid w:val="00DB2CA8"/>
    <w:rsid w:val="00DC0405"/>
    <w:rsid w:val="00DC0504"/>
    <w:rsid w:val="00DC064C"/>
    <w:rsid w:val="00DC1D93"/>
    <w:rsid w:val="00DC3ABC"/>
    <w:rsid w:val="00DC6F7B"/>
    <w:rsid w:val="00DD0F50"/>
    <w:rsid w:val="00DD3C93"/>
    <w:rsid w:val="00DD5F7A"/>
    <w:rsid w:val="00DE24A1"/>
    <w:rsid w:val="00DE7FCB"/>
    <w:rsid w:val="00DF0CD9"/>
    <w:rsid w:val="00DF379E"/>
    <w:rsid w:val="00DF5067"/>
    <w:rsid w:val="00E01C50"/>
    <w:rsid w:val="00E030DE"/>
    <w:rsid w:val="00E0426E"/>
    <w:rsid w:val="00E06ADA"/>
    <w:rsid w:val="00E21A09"/>
    <w:rsid w:val="00E24F8C"/>
    <w:rsid w:val="00E2683B"/>
    <w:rsid w:val="00E304E9"/>
    <w:rsid w:val="00E4542C"/>
    <w:rsid w:val="00E50C36"/>
    <w:rsid w:val="00E54D93"/>
    <w:rsid w:val="00E60FC8"/>
    <w:rsid w:val="00E6151B"/>
    <w:rsid w:val="00E63C04"/>
    <w:rsid w:val="00E64197"/>
    <w:rsid w:val="00E64338"/>
    <w:rsid w:val="00E651A3"/>
    <w:rsid w:val="00E71111"/>
    <w:rsid w:val="00E74B0A"/>
    <w:rsid w:val="00E80B9E"/>
    <w:rsid w:val="00E81CDD"/>
    <w:rsid w:val="00E823E8"/>
    <w:rsid w:val="00E84728"/>
    <w:rsid w:val="00E94945"/>
    <w:rsid w:val="00E96583"/>
    <w:rsid w:val="00EA009A"/>
    <w:rsid w:val="00EA194C"/>
    <w:rsid w:val="00EA6E74"/>
    <w:rsid w:val="00EB30E8"/>
    <w:rsid w:val="00EB5E9B"/>
    <w:rsid w:val="00EB65F5"/>
    <w:rsid w:val="00EB6BA3"/>
    <w:rsid w:val="00EB7CE3"/>
    <w:rsid w:val="00EC1A1C"/>
    <w:rsid w:val="00EC4C96"/>
    <w:rsid w:val="00ED0629"/>
    <w:rsid w:val="00ED3E42"/>
    <w:rsid w:val="00ED55B0"/>
    <w:rsid w:val="00ED7A5F"/>
    <w:rsid w:val="00EE075B"/>
    <w:rsid w:val="00EE1EA9"/>
    <w:rsid w:val="00EE636D"/>
    <w:rsid w:val="00EF0790"/>
    <w:rsid w:val="00EF1B11"/>
    <w:rsid w:val="00EF6AB5"/>
    <w:rsid w:val="00F01960"/>
    <w:rsid w:val="00F06742"/>
    <w:rsid w:val="00F119A0"/>
    <w:rsid w:val="00F12CB3"/>
    <w:rsid w:val="00F12FF6"/>
    <w:rsid w:val="00F157DD"/>
    <w:rsid w:val="00F17A65"/>
    <w:rsid w:val="00F201AE"/>
    <w:rsid w:val="00F2732E"/>
    <w:rsid w:val="00F30EEA"/>
    <w:rsid w:val="00F3115B"/>
    <w:rsid w:val="00F3225A"/>
    <w:rsid w:val="00F46A4B"/>
    <w:rsid w:val="00F55F47"/>
    <w:rsid w:val="00F56DAB"/>
    <w:rsid w:val="00F5758D"/>
    <w:rsid w:val="00F642A3"/>
    <w:rsid w:val="00F65107"/>
    <w:rsid w:val="00F6527A"/>
    <w:rsid w:val="00F6592D"/>
    <w:rsid w:val="00F67E7C"/>
    <w:rsid w:val="00F71E13"/>
    <w:rsid w:val="00F86020"/>
    <w:rsid w:val="00F948F3"/>
    <w:rsid w:val="00F97D27"/>
    <w:rsid w:val="00F97DA6"/>
    <w:rsid w:val="00FA01C6"/>
    <w:rsid w:val="00FA2446"/>
    <w:rsid w:val="00FA48DD"/>
    <w:rsid w:val="00FA61C6"/>
    <w:rsid w:val="00FA6289"/>
    <w:rsid w:val="00FB3515"/>
    <w:rsid w:val="00FB495B"/>
    <w:rsid w:val="00FC2F6E"/>
    <w:rsid w:val="00FC36DC"/>
    <w:rsid w:val="00FC75A8"/>
    <w:rsid w:val="00FD0678"/>
    <w:rsid w:val="00FD213A"/>
    <w:rsid w:val="00FD37B4"/>
    <w:rsid w:val="00FD531E"/>
    <w:rsid w:val="00FE0BEA"/>
    <w:rsid w:val="00FE2D6C"/>
    <w:rsid w:val="00FE2FFA"/>
    <w:rsid w:val="00FF5CBB"/>
    <w:rsid w:val="00FF6389"/>
    <w:rsid w:val="00FF7022"/>
    <w:rsid w:val="00FF759F"/>
    <w:rsid w:val="00FF79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ECC"/>
    <w:rPr>
      <w:sz w:val="24"/>
      <w:szCs w:val="24"/>
      <w:lang w:eastAsia="tr-TR"/>
    </w:rPr>
  </w:style>
  <w:style w:type="paragraph" w:styleId="Balk1">
    <w:name w:val="heading 1"/>
    <w:basedOn w:val="Normal"/>
    <w:next w:val="Normal"/>
    <w:qFormat/>
    <w:rsid w:val="00024559"/>
    <w:pPr>
      <w:keepNext/>
      <w:tabs>
        <w:tab w:val="num" w:pos="432"/>
      </w:tabs>
      <w:suppressAutoHyphens/>
      <w:ind w:left="432" w:hanging="432"/>
      <w:jc w:val="center"/>
      <w:outlineLvl w:val="0"/>
    </w:pPr>
    <w:rPr>
      <w:rFonts w:ascii="Arial" w:hAnsi="Arial"/>
      <w:b/>
      <w:iCs/>
      <w:sz w:val="18"/>
      <w:szCs w:val="18"/>
      <w:lang w:eastAsia="ar-SA"/>
    </w:rPr>
  </w:style>
  <w:style w:type="paragraph" w:styleId="Balk2">
    <w:name w:val="heading 2"/>
    <w:basedOn w:val="Normal"/>
    <w:next w:val="Normal"/>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Balk3">
    <w:name w:val="heading 3"/>
    <w:basedOn w:val="Normal"/>
    <w:next w:val="Normal"/>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semiHidden/>
    <w:rsid w:val="00D0799D"/>
    <w:rPr>
      <w:sz w:val="20"/>
      <w:szCs w:val="20"/>
    </w:rPr>
  </w:style>
  <w:style w:type="character" w:styleId="DipnotBavurusu">
    <w:name w:val="footnote reference"/>
    <w:basedOn w:val="VarsaylanParagrafYazTipi"/>
    <w:semiHidden/>
    <w:rsid w:val="00D0799D"/>
    <w:rPr>
      <w:vertAlign w:val="superscript"/>
    </w:rPr>
  </w:style>
  <w:style w:type="paragraph" w:styleId="BalonMetni">
    <w:name w:val="Balloon Text"/>
    <w:basedOn w:val="Normal"/>
    <w:semiHidden/>
    <w:rsid w:val="00BF17E5"/>
    <w:rPr>
      <w:rFonts w:ascii="Tahoma" w:hAnsi="Tahoma" w:cs="Tahoma"/>
      <w:sz w:val="16"/>
      <w:szCs w:val="16"/>
    </w:rPr>
  </w:style>
  <w:style w:type="character" w:styleId="Kpr">
    <w:name w:val="Hyperlink"/>
    <w:basedOn w:val="VarsaylanParagrafYazTipi"/>
    <w:rsid w:val="00E81CDD"/>
    <w:rPr>
      <w:color w:val="0000FF"/>
      <w:u w:val="single"/>
    </w:rPr>
  </w:style>
</w:styles>
</file>

<file path=word/webSettings.xml><?xml version="1.0" encoding="utf-8"?>
<w:webSettings xmlns:r="http://schemas.openxmlformats.org/officeDocument/2006/relationships" xmlns:w="http://schemas.openxmlformats.org/wordprocessingml/2006/main">
  <w:divs>
    <w:div w:id="1038817145">
      <w:bodyDiv w:val="1"/>
      <w:marLeft w:val="0"/>
      <w:marRight w:val="0"/>
      <w:marTop w:val="375"/>
      <w:marBottom w:val="0"/>
      <w:divBdr>
        <w:top w:val="none" w:sz="0" w:space="0" w:color="auto"/>
        <w:left w:val="none" w:sz="0" w:space="0" w:color="auto"/>
        <w:bottom w:val="none" w:sz="0" w:space="0" w:color="auto"/>
        <w:right w:val="none" w:sz="0" w:space="0" w:color="auto"/>
      </w:divBdr>
    </w:div>
    <w:div w:id="12294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D5817-4AE9-42A5-9F93-9D67C304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1585</Words>
  <Characters>9038</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baris.soybilgen</dc:creator>
  <cp:keywords/>
  <cp:lastModifiedBy>merve.akgul</cp:lastModifiedBy>
  <cp:revision>18</cp:revision>
  <cp:lastPrinted>2012-11-15T14:15:00Z</cp:lastPrinted>
  <dcterms:created xsi:type="dcterms:W3CDTF">2012-11-29T09:33:00Z</dcterms:created>
  <dcterms:modified xsi:type="dcterms:W3CDTF">2012-11-29T12:32:00Z</dcterms:modified>
</cp:coreProperties>
</file>