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8B2149" w:rsidRDefault="00AB717C" w:rsidP="001E4BF5">
      <w:pPr>
        <w:spacing w:line="360" w:lineRule="auto"/>
        <w:ind w:right="-319"/>
        <w:jc w:val="center"/>
        <w:outlineLvl w:val="0"/>
        <w:rPr>
          <w:rFonts w:ascii="Arial" w:hAnsi="Arial" w:cs="Arial"/>
          <w:b/>
          <w:sz w:val="32"/>
          <w:szCs w:val="32"/>
        </w:rPr>
      </w:pPr>
      <w:r>
        <w:rPr>
          <w:rFonts w:ascii="Arial" w:hAnsi="Arial" w:cs="Arial"/>
          <w:b/>
          <w:noProof/>
          <w:sz w:val="32"/>
          <w:szCs w:val="32"/>
          <w:lang w:val="tr-TR"/>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610482" w:rsidRPr="00610482">
        <w:rPr>
          <w:rFonts w:ascii="Arial" w:hAnsi="Arial" w:cs="Arial"/>
          <w:b/>
          <w:sz w:val="32"/>
          <w:szCs w:val="32"/>
        </w:rPr>
        <w:pict>
          <v:shapetype id="_x0000_t202" coordsize="21600,21600" o:spt="202" path="m,l,21600r21600,l21600,xe">
            <v:stroke joinstyle="miter"/>
            <v:path gradientshapeok="t" o:connecttype="rect"/>
          </v:shapetype>
          <v:shape id="_x0000_s1050" type="#_x0000_t202" style="position:absolute;left:0;text-align:left;margin-left:117pt;margin-top:-45pt;width:312.1pt;height:44.8pt;z-index:251656192;mso-wrap-distance-left:9.05pt;mso-wrap-distance-right:9.05pt;mso-position-horizontal-relative:text;mso-position-vertical-relative:text" stroked="f">
            <v:fill opacity="0" color2="black"/>
            <v:textbox style="mso-next-textbox:#_x0000_s1050" inset="0,0,0,0">
              <w:txbxContent>
                <w:p w:rsidR="008F5ED9" w:rsidRPr="00342E6B" w:rsidRDefault="008F5ED9" w:rsidP="00024559">
                  <w:pPr>
                    <w:pStyle w:val="Balk1"/>
                    <w:rPr>
                      <w:rFonts w:ascii="Times New Roman" w:hAnsi="Times New Roman"/>
                      <w:sz w:val="40"/>
                      <w:szCs w:val="40"/>
                    </w:rPr>
                  </w:pPr>
                  <w:r>
                    <w:rPr>
                      <w:rFonts w:ascii="Times New Roman" w:hAnsi="Times New Roman"/>
                      <w:sz w:val="40"/>
                      <w:szCs w:val="40"/>
                    </w:rPr>
                    <w:t>Econ</w:t>
                  </w:r>
                  <w:r w:rsidR="00230A81">
                    <w:rPr>
                      <w:rFonts w:ascii="Times New Roman" w:hAnsi="Times New Roman"/>
                      <w:sz w:val="40"/>
                      <w:szCs w:val="40"/>
                    </w:rPr>
                    <w:t xml:space="preserve">omic Outlook and Forecasts: </w:t>
                  </w:r>
                  <w:r w:rsidR="00C22DC8">
                    <w:rPr>
                      <w:rFonts w:ascii="Times New Roman" w:hAnsi="Times New Roman"/>
                      <w:sz w:val="40"/>
                      <w:szCs w:val="40"/>
                    </w:rPr>
                    <w:t>September</w:t>
                  </w:r>
                  <w:r w:rsidR="00C6542A">
                    <w:rPr>
                      <w:rFonts w:ascii="Times New Roman" w:hAnsi="Times New Roman"/>
                      <w:sz w:val="40"/>
                      <w:szCs w:val="40"/>
                    </w:rPr>
                    <w:t xml:space="preserve"> 2012</w:t>
                  </w:r>
                </w:p>
                <w:p w:rsidR="008F5ED9" w:rsidRPr="00A75A46" w:rsidRDefault="008F5ED9" w:rsidP="00024559">
                  <w:pPr>
                    <w:pStyle w:val="Balk2"/>
                    <w:rPr>
                      <w:b w:val="0"/>
                      <w:i w:val="0"/>
                      <w:lang w:val="nl-NL"/>
                    </w:rPr>
                  </w:pPr>
                </w:p>
              </w:txbxContent>
            </v:textbox>
          </v:shape>
        </w:pict>
      </w:r>
    </w:p>
    <w:p w:rsidR="00357ECC" w:rsidRPr="008B2149" w:rsidRDefault="00610482" w:rsidP="001E4BF5">
      <w:pPr>
        <w:spacing w:line="360" w:lineRule="auto"/>
        <w:ind w:right="-319"/>
        <w:jc w:val="center"/>
        <w:outlineLvl w:val="0"/>
        <w:rPr>
          <w:rFonts w:ascii="Arial" w:hAnsi="Arial" w:cs="Arial"/>
          <w:b/>
          <w:sz w:val="32"/>
          <w:szCs w:val="32"/>
        </w:rPr>
      </w:pPr>
      <w:r w:rsidRPr="00610482">
        <w:rPr>
          <w:rFonts w:ascii="Arial" w:hAnsi="Arial" w:cs="Arial"/>
          <w:b/>
        </w:rPr>
        <w:lastRenderedPageBreak/>
        <w:pict>
          <v:shape id="_x0000_s1051" type="#_x0000_t202" style="position:absolute;left:0;text-align:left;margin-left:149.25pt;margin-top:9pt;width:137.3pt;height:27.45pt;z-index:251657216;mso-wrap-distance-left:9.05pt;mso-wrap-distance-right:9.05pt" stroked="f">
            <v:fill opacity="0" color2="black"/>
            <v:textbox style="mso-next-textbox:#_x0000_s1051" inset="0,0,0,0">
              <w:txbxContent>
                <w:p w:rsidR="008F5ED9" w:rsidRPr="0015586B" w:rsidRDefault="00C6542A" w:rsidP="00FA48DD">
                  <w:pPr>
                    <w:pStyle w:val="Balk3"/>
                    <w:tabs>
                      <w:tab w:val="clear" w:pos="720"/>
                    </w:tabs>
                    <w:ind w:left="0" w:firstLine="0"/>
                    <w:rPr>
                      <w:color w:val="FFFFFF"/>
                      <w:sz w:val="22"/>
                      <w:szCs w:val="22"/>
                      <w:lang w:val="tr-TR"/>
                    </w:rPr>
                  </w:pPr>
                  <w:r>
                    <w:rPr>
                      <w:color w:val="FFFFFF"/>
                      <w:sz w:val="22"/>
                      <w:szCs w:val="22"/>
                      <w:lang w:val="tr-TR"/>
                    </w:rPr>
                    <w:t xml:space="preserve"> September 19,</w:t>
                  </w:r>
                  <w:r w:rsidR="008F5ED9">
                    <w:rPr>
                      <w:color w:val="FFFFFF"/>
                      <w:sz w:val="22"/>
                      <w:szCs w:val="22"/>
                      <w:lang w:val="tr-TR"/>
                    </w:rPr>
                    <w:t xml:space="preserve"> 201</w:t>
                  </w:r>
                  <w:r>
                    <w:rPr>
                      <w:color w:val="FFFFFF"/>
                      <w:sz w:val="22"/>
                      <w:szCs w:val="22"/>
                      <w:lang w:val="tr-TR"/>
                    </w:rPr>
                    <w:t>2</w:t>
                  </w:r>
                </w:p>
                <w:p w:rsidR="008F5ED9" w:rsidRDefault="008F5ED9" w:rsidP="00024559"/>
              </w:txbxContent>
            </v:textbox>
          </v:shape>
        </w:pict>
      </w:r>
    </w:p>
    <w:p w:rsidR="00357ECC" w:rsidRPr="008B2149" w:rsidRDefault="00357ECC" w:rsidP="001E4BF5">
      <w:pPr>
        <w:spacing w:line="360" w:lineRule="auto"/>
        <w:ind w:right="-319"/>
        <w:jc w:val="center"/>
        <w:outlineLvl w:val="0"/>
        <w:rPr>
          <w:rFonts w:ascii="Arial" w:hAnsi="Arial" w:cs="Arial"/>
          <w:b/>
          <w:sz w:val="32"/>
          <w:szCs w:val="32"/>
        </w:rPr>
        <w:sectPr w:rsidR="00357ECC" w:rsidRPr="008B2149" w:rsidSect="00357ECC">
          <w:pgSz w:w="11906" w:h="16838"/>
          <w:pgMar w:top="1417" w:right="1417" w:bottom="1417" w:left="1417" w:header="708" w:footer="708" w:gutter="0"/>
          <w:cols w:num="2" w:space="708" w:equalWidth="0">
            <w:col w:w="4182" w:space="708"/>
            <w:col w:w="4182"/>
          </w:cols>
          <w:docGrid w:linePitch="360"/>
        </w:sectPr>
      </w:pPr>
    </w:p>
    <w:p w:rsidR="00357ECC" w:rsidRPr="008B2149" w:rsidRDefault="00357ECC" w:rsidP="001E4BF5">
      <w:pPr>
        <w:spacing w:line="360" w:lineRule="auto"/>
        <w:ind w:right="-319"/>
        <w:outlineLvl w:val="0"/>
        <w:rPr>
          <w:rFonts w:ascii="Arial" w:hAnsi="Arial" w:cs="Arial"/>
          <w:b/>
          <w:sz w:val="32"/>
          <w:szCs w:val="32"/>
        </w:rPr>
      </w:pPr>
    </w:p>
    <w:p w:rsidR="005F62CB" w:rsidRDefault="00B062A2" w:rsidP="005F62CB">
      <w:pPr>
        <w:spacing w:line="360" w:lineRule="auto"/>
        <w:ind w:right="-319"/>
        <w:jc w:val="center"/>
        <w:outlineLvl w:val="0"/>
        <w:rPr>
          <w:rFonts w:ascii="Arial" w:hAnsi="Arial" w:cs="Arial"/>
          <w:b/>
          <w:caps/>
          <w:sz w:val="26"/>
          <w:szCs w:val="26"/>
        </w:rPr>
      </w:pPr>
      <w:r w:rsidRPr="00B062A2">
        <w:rPr>
          <w:rFonts w:ascii="Arial" w:hAnsi="Arial" w:cs="Arial"/>
          <w:b/>
          <w:caps/>
          <w:sz w:val="26"/>
          <w:szCs w:val="26"/>
        </w:rPr>
        <w:t>Lower Growth</w:t>
      </w:r>
      <w:r>
        <w:rPr>
          <w:rFonts w:ascii="Arial" w:hAnsi="Arial" w:cs="Arial"/>
          <w:b/>
          <w:caps/>
          <w:sz w:val="26"/>
          <w:szCs w:val="26"/>
        </w:rPr>
        <w:t xml:space="preserve"> and Current account defıcıt </w:t>
      </w:r>
    </w:p>
    <w:p w:rsidR="00D271E9" w:rsidRPr="00B062A2" w:rsidRDefault="00B062A2" w:rsidP="005F62CB">
      <w:pPr>
        <w:spacing w:line="360" w:lineRule="auto"/>
        <w:ind w:right="-319"/>
        <w:jc w:val="center"/>
        <w:outlineLvl w:val="0"/>
        <w:rPr>
          <w:rFonts w:ascii="Arial" w:hAnsi="Arial" w:cs="Arial"/>
          <w:b/>
          <w:caps/>
          <w:sz w:val="26"/>
          <w:szCs w:val="26"/>
        </w:rPr>
      </w:pPr>
      <w:r>
        <w:rPr>
          <w:rFonts w:ascii="Arial" w:hAnsi="Arial" w:cs="Arial"/>
          <w:b/>
          <w:caps/>
          <w:sz w:val="26"/>
          <w:szCs w:val="26"/>
        </w:rPr>
        <w:t xml:space="preserve">ın </w:t>
      </w:r>
      <w:r w:rsidR="005F62CB">
        <w:rPr>
          <w:rFonts w:ascii="Arial" w:hAnsi="Arial" w:cs="Arial"/>
          <w:b/>
          <w:caps/>
          <w:sz w:val="26"/>
          <w:szCs w:val="26"/>
        </w:rPr>
        <w:t xml:space="preserve">THE </w:t>
      </w:r>
      <w:r w:rsidRPr="00B062A2">
        <w:rPr>
          <w:rFonts w:ascii="Arial" w:hAnsi="Arial" w:cs="Arial"/>
          <w:b/>
          <w:caps/>
          <w:sz w:val="26"/>
          <w:szCs w:val="26"/>
        </w:rPr>
        <w:t>3</w:t>
      </w:r>
      <w:r w:rsidRPr="00B062A2">
        <w:rPr>
          <w:rFonts w:ascii="Arial" w:hAnsi="Arial" w:cs="Arial"/>
          <w:b/>
          <w:caps/>
          <w:sz w:val="26"/>
          <w:szCs w:val="26"/>
          <w:vertAlign w:val="superscript"/>
        </w:rPr>
        <w:t>rd</w:t>
      </w:r>
      <w:r w:rsidRPr="00B062A2">
        <w:rPr>
          <w:rFonts w:ascii="Arial" w:hAnsi="Arial" w:cs="Arial"/>
          <w:b/>
          <w:caps/>
          <w:sz w:val="26"/>
          <w:szCs w:val="26"/>
        </w:rPr>
        <w:t xml:space="preserve"> Quarter</w:t>
      </w:r>
    </w:p>
    <w:p w:rsidR="001E4BF5" w:rsidRPr="008B2149" w:rsidRDefault="001E4BF5" w:rsidP="001E4BF5">
      <w:pPr>
        <w:spacing w:line="360" w:lineRule="auto"/>
        <w:ind w:right="-319"/>
        <w:jc w:val="center"/>
        <w:outlineLvl w:val="0"/>
        <w:rPr>
          <w:rFonts w:ascii="Arial" w:hAnsi="Arial" w:cs="Arial"/>
          <w:b/>
          <w:sz w:val="20"/>
          <w:szCs w:val="20"/>
        </w:rPr>
      </w:pPr>
    </w:p>
    <w:p w:rsidR="00357ECC" w:rsidRPr="008B2149" w:rsidRDefault="00357ECC" w:rsidP="003B5209">
      <w:pPr>
        <w:spacing w:line="360" w:lineRule="auto"/>
        <w:ind w:right="-319"/>
        <w:jc w:val="center"/>
        <w:outlineLvl w:val="0"/>
        <w:rPr>
          <w:rFonts w:ascii="Arial" w:hAnsi="Arial" w:cs="Arial"/>
          <w:b/>
          <w:vertAlign w:val="superscript"/>
        </w:rPr>
      </w:pPr>
      <w:r w:rsidRPr="008B2149">
        <w:rPr>
          <w:rFonts w:ascii="Arial" w:hAnsi="Arial" w:cs="Arial"/>
          <w:b/>
        </w:rPr>
        <w:t>Zümrüt İmamoğlu* ve Barış Soybilgen</w:t>
      </w:r>
      <w:r w:rsidRPr="008B2149">
        <w:rPr>
          <w:rFonts w:ascii="Arial" w:hAnsi="Arial" w:cs="Arial"/>
          <w:b/>
          <w:vertAlign w:val="superscript"/>
        </w:rPr>
        <w:t>†</w:t>
      </w:r>
    </w:p>
    <w:p w:rsidR="00FC36DC" w:rsidRPr="008B2149" w:rsidRDefault="00FC36DC" w:rsidP="003B5209">
      <w:pPr>
        <w:spacing w:line="360" w:lineRule="auto"/>
        <w:ind w:right="-319"/>
        <w:jc w:val="center"/>
        <w:outlineLvl w:val="0"/>
        <w:rPr>
          <w:rFonts w:ascii="Arial" w:hAnsi="Arial" w:cs="Arial"/>
          <w:sz w:val="20"/>
          <w:szCs w:val="20"/>
          <w:vertAlign w:val="superscript"/>
        </w:rPr>
      </w:pPr>
    </w:p>
    <w:p w:rsidR="001A2051" w:rsidRPr="008B2149" w:rsidRDefault="001A2051" w:rsidP="003B5209">
      <w:pPr>
        <w:spacing w:line="360" w:lineRule="auto"/>
        <w:ind w:right="-319"/>
        <w:jc w:val="center"/>
        <w:outlineLvl w:val="0"/>
        <w:rPr>
          <w:rFonts w:ascii="Arial" w:hAnsi="Arial" w:cs="Arial"/>
          <w:sz w:val="20"/>
          <w:szCs w:val="20"/>
          <w:vertAlign w:val="superscript"/>
        </w:rPr>
        <w:sectPr w:rsidR="001A2051" w:rsidRPr="008B2149" w:rsidSect="00357ECC">
          <w:type w:val="continuous"/>
          <w:pgSz w:w="11906" w:h="16838"/>
          <w:pgMar w:top="1417" w:right="1417" w:bottom="1417" w:left="1417" w:header="708" w:footer="708" w:gutter="0"/>
          <w:cols w:space="708"/>
          <w:docGrid w:linePitch="360"/>
        </w:sectPr>
      </w:pPr>
    </w:p>
    <w:p w:rsidR="008C38E5" w:rsidRPr="008B2149" w:rsidRDefault="008C38E5" w:rsidP="008C38E5">
      <w:pPr>
        <w:spacing w:line="360" w:lineRule="auto"/>
        <w:ind w:left="-360" w:right="42" w:firstLine="360"/>
        <w:jc w:val="center"/>
        <w:rPr>
          <w:b/>
          <w:sz w:val="22"/>
          <w:szCs w:val="22"/>
        </w:rPr>
      </w:pPr>
      <w:r w:rsidRPr="008B2149">
        <w:rPr>
          <w:b/>
          <w:sz w:val="22"/>
          <w:szCs w:val="22"/>
        </w:rPr>
        <w:lastRenderedPageBreak/>
        <w:t>Executive Summary</w:t>
      </w:r>
    </w:p>
    <w:p w:rsidR="008C38E5" w:rsidRPr="008B2149" w:rsidRDefault="008C38E5" w:rsidP="008C38E5">
      <w:pPr>
        <w:spacing w:line="360" w:lineRule="auto"/>
        <w:ind w:left="-360" w:right="42" w:firstLine="360"/>
        <w:jc w:val="center"/>
        <w:rPr>
          <w:b/>
          <w:sz w:val="22"/>
          <w:szCs w:val="22"/>
        </w:rPr>
      </w:pPr>
    </w:p>
    <w:p w:rsidR="00B12FD3" w:rsidRPr="005743FF" w:rsidRDefault="00B12FD3" w:rsidP="00B12FD3">
      <w:pPr>
        <w:spacing w:line="360" w:lineRule="auto"/>
        <w:ind w:left="-360" w:right="40"/>
        <w:jc w:val="both"/>
        <w:rPr>
          <w:sz w:val="22"/>
          <w:szCs w:val="22"/>
        </w:rPr>
      </w:pPr>
      <w:r w:rsidRPr="005743FF">
        <w:rPr>
          <w:sz w:val="22"/>
          <w:szCs w:val="22"/>
        </w:rPr>
        <w:t xml:space="preserve">In July, industrial production index (IPI) increased by 1.7 percent from June. Export volume index decreased by 1.3 percent whereas import volume index increased by 0.1 percent. In July, industrial production continued to increase, but exports declined. According to first indicators </w:t>
      </w:r>
      <w:r w:rsidR="00236A19">
        <w:rPr>
          <w:sz w:val="22"/>
          <w:szCs w:val="22"/>
        </w:rPr>
        <w:t>for</w:t>
      </w:r>
      <w:r w:rsidRPr="005743FF">
        <w:rPr>
          <w:sz w:val="22"/>
          <w:szCs w:val="22"/>
        </w:rPr>
        <w:t xml:space="preserve"> the third quarter, there is a revival in private investment expenditure. However, private consumption expenditure </w:t>
      </w:r>
      <w:r w:rsidR="00C11348">
        <w:rPr>
          <w:sz w:val="22"/>
          <w:szCs w:val="22"/>
        </w:rPr>
        <w:t xml:space="preserve">seems to </w:t>
      </w:r>
      <w:r w:rsidR="00236A19">
        <w:rPr>
          <w:sz w:val="22"/>
          <w:szCs w:val="22"/>
        </w:rPr>
        <w:t>s</w:t>
      </w:r>
      <w:r w:rsidR="00C11348">
        <w:rPr>
          <w:sz w:val="22"/>
          <w:szCs w:val="22"/>
        </w:rPr>
        <w:t>tagnate</w:t>
      </w:r>
      <w:r w:rsidRPr="005743FF">
        <w:rPr>
          <w:sz w:val="22"/>
          <w:szCs w:val="22"/>
        </w:rPr>
        <w:t>. Betam</w:t>
      </w:r>
      <w:r w:rsidR="00C11348">
        <w:rPr>
          <w:sz w:val="22"/>
          <w:szCs w:val="22"/>
        </w:rPr>
        <w:t xml:space="preserve"> expects the</w:t>
      </w:r>
      <w:r w:rsidRPr="005743FF">
        <w:rPr>
          <w:sz w:val="22"/>
          <w:szCs w:val="22"/>
        </w:rPr>
        <w:t xml:space="preserve"> real GDP growth </w:t>
      </w:r>
      <w:r w:rsidR="00C11348">
        <w:rPr>
          <w:sz w:val="22"/>
          <w:szCs w:val="22"/>
        </w:rPr>
        <w:t>to be slower in</w:t>
      </w:r>
      <w:r w:rsidR="00C11348" w:rsidRPr="005743FF">
        <w:rPr>
          <w:sz w:val="22"/>
          <w:szCs w:val="22"/>
        </w:rPr>
        <w:t xml:space="preserve"> the third quarter</w:t>
      </w:r>
      <w:r w:rsidRPr="005743FF">
        <w:rPr>
          <w:sz w:val="22"/>
          <w:szCs w:val="22"/>
        </w:rPr>
        <w:t xml:space="preserve"> than the second quarter. Betam’s quarter on quarter (QoQ) growth forecast for the third quarter of 2012 is 0.6 percent. The corresponding year on year (YoY) growth rate is 2.7 percent.</w:t>
      </w:r>
    </w:p>
    <w:p w:rsidR="00B12FD3" w:rsidRPr="005743FF" w:rsidRDefault="00B12FD3" w:rsidP="00B12FD3">
      <w:pPr>
        <w:spacing w:line="360" w:lineRule="auto"/>
        <w:ind w:left="-360" w:right="40"/>
        <w:jc w:val="both"/>
        <w:rPr>
          <w:sz w:val="22"/>
          <w:szCs w:val="22"/>
        </w:rPr>
      </w:pPr>
    </w:p>
    <w:p w:rsidR="00B12FD3" w:rsidRPr="005743FF" w:rsidRDefault="00B12FD3" w:rsidP="00B12FD3">
      <w:pPr>
        <w:spacing w:line="360" w:lineRule="auto"/>
        <w:ind w:left="-360" w:right="40"/>
        <w:jc w:val="both"/>
        <w:rPr>
          <w:sz w:val="22"/>
          <w:szCs w:val="22"/>
        </w:rPr>
      </w:pPr>
      <w:r w:rsidRPr="005743FF">
        <w:rPr>
          <w:sz w:val="22"/>
          <w:szCs w:val="22"/>
        </w:rPr>
        <w:t xml:space="preserve">The current account deficit continues to decline. The 12-month current account deficit at the end of the second quarter decreased by $8.9 billion compared to the end of the first quarter and fell to $62.9 billion. Moreover, the current account deficit decreased by $1.6 billion in July and fell to $61.4 billion. According to the revised data </w:t>
      </w:r>
      <w:r>
        <w:rPr>
          <w:sz w:val="22"/>
          <w:szCs w:val="22"/>
        </w:rPr>
        <w:t>announced on Tuesday</w:t>
      </w:r>
      <w:r w:rsidRPr="005743FF">
        <w:rPr>
          <w:sz w:val="22"/>
          <w:szCs w:val="22"/>
        </w:rPr>
        <w:t>, the ratio of the curren</w:t>
      </w:r>
      <w:r>
        <w:rPr>
          <w:sz w:val="22"/>
          <w:szCs w:val="22"/>
        </w:rPr>
        <w:t xml:space="preserve">t </w:t>
      </w:r>
    </w:p>
    <w:p w:rsidR="00A2686F" w:rsidRPr="008B2149" w:rsidRDefault="00610482" w:rsidP="00A2686F">
      <w:pPr>
        <w:spacing w:line="288" w:lineRule="auto"/>
        <w:ind w:left="-360" w:right="-318"/>
        <w:jc w:val="both"/>
        <w:rPr>
          <w:rFonts w:ascii="Arial" w:hAnsi="Arial" w:cs="Arial"/>
          <w:sz w:val="20"/>
          <w:szCs w:val="20"/>
        </w:rPr>
      </w:pPr>
      <w:r w:rsidRPr="00610482">
        <w:rPr>
          <w:rFonts w:ascii="Arial" w:hAnsi="Arial" w:cs="Arial"/>
          <w:sz w:val="20"/>
          <w:szCs w:val="20"/>
        </w:rPr>
      </w:r>
      <w:r>
        <w:rPr>
          <w:rFonts w:ascii="Arial" w:hAnsi="Arial" w:cs="Arial"/>
          <w:sz w:val="20"/>
          <w:szCs w:val="20"/>
        </w:rPr>
        <w:pict>
          <v:group id="_x0000_s1086" editas="canvas" style="width:198pt;height:3.6pt;mso-position-horizontal-relative:char;mso-position-vertical-relative:line" coordorigin="939,332" coordsize="6887,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939;top:332;width:6887;height:133" o:preferrelative="f">
              <v:fill o:detectmouseclick="t"/>
              <v:path o:extrusionok="t" o:connecttype="none"/>
              <o:lock v:ext="edit" text="t"/>
            </v:shape>
            <v:line id="_x0000_s1088" style="position:absolute" from="939,332" to="7826,333"/>
            <w10:wrap type="none"/>
            <w10:anchorlock/>
          </v:group>
        </w:pic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rPr>
        <w:t>* Dr. Zümrüt İmamoğlu, Betam, Research Associate.</w: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rPr>
        <w:t xml:space="preserve">  zumrut.imamoglu@bahcesehir.edu.tr</w:t>
      </w:r>
    </w:p>
    <w:p w:rsidR="00A2686F" w:rsidRPr="008B2149" w:rsidRDefault="00A2686F" w:rsidP="00A2686F">
      <w:pPr>
        <w:spacing w:line="288" w:lineRule="auto"/>
        <w:ind w:left="-360" w:right="-318"/>
        <w:jc w:val="both"/>
        <w:rPr>
          <w:rFonts w:ascii="Arial" w:hAnsi="Arial" w:cs="Arial"/>
          <w:sz w:val="16"/>
          <w:szCs w:val="16"/>
        </w:rPr>
      </w:pPr>
      <w:r w:rsidRPr="008B2149">
        <w:rPr>
          <w:rFonts w:ascii="Arial" w:hAnsi="Arial" w:cs="Arial"/>
          <w:sz w:val="16"/>
          <w:szCs w:val="16"/>
          <w:vertAlign w:val="superscript"/>
        </w:rPr>
        <w:t xml:space="preserve">† </w:t>
      </w:r>
      <w:r w:rsidRPr="008B2149">
        <w:rPr>
          <w:rFonts w:ascii="Arial" w:hAnsi="Arial" w:cs="Arial"/>
          <w:sz w:val="16"/>
          <w:szCs w:val="16"/>
        </w:rPr>
        <w:t>Barış Soybilgen, Betam, Research Assistant,</w:t>
      </w:r>
    </w:p>
    <w:p w:rsidR="006454DC" w:rsidRPr="008B2149" w:rsidRDefault="00A2686F" w:rsidP="00736C84">
      <w:pPr>
        <w:ind w:left="-360"/>
        <w:rPr>
          <w:rFonts w:ascii="Arial" w:hAnsi="Arial" w:cs="Arial"/>
          <w:sz w:val="16"/>
          <w:szCs w:val="16"/>
        </w:rPr>
      </w:pPr>
      <w:r w:rsidRPr="008B2149">
        <w:rPr>
          <w:rFonts w:ascii="Arial" w:hAnsi="Arial" w:cs="Arial"/>
          <w:sz w:val="16"/>
          <w:szCs w:val="16"/>
        </w:rPr>
        <w:t xml:space="preserve">  </w:t>
      </w:r>
      <w:r w:rsidR="00E81CDD" w:rsidRPr="008B2149">
        <w:rPr>
          <w:rFonts w:ascii="Arial" w:hAnsi="Arial" w:cs="Arial"/>
          <w:sz w:val="16"/>
          <w:szCs w:val="16"/>
        </w:rPr>
        <w:t>baris.soybilgen@bahcesehir.edu.tr</w:t>
      </w: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7D4F28" w:rsidRDefault="007D4F28" w:rsidP="008C38E5">
      <w:pPr>
        <w:ind w:left="-360" w:right="42"/>
        <w:jc w:val="both"/>
        <w:rPr>
          <w:b/>
          <w:sz w:val="22"/>
          <w:szCs w:val="22"/>
        </w:rPr>
      </w:pPr>
    </w:p>
    <w:p w:rsidR="00BE56E0" w:rsidRDefault="00BE56E0" w:rsidP="001F275D">
      <w:pPr>
        <w:ind w:right="42"/>
        <w:jc w:val="both"/>
        <w:rPr>
          <w:b/>
          <w:sz w:val="22"/>
          <w:szCs w:val="22"/>
        </w:rPr>
      </w:pPr>
    </w:p>
    <w:p w:rsidR="008E32CB" w:rsidRPr="008B2149" w:rsidRDefault="008C38E5" w:rsidP="008C38E5">
      <w:pPr>
        <w:ind w:left="-360" w:right="42"/>
        <w:jc w:val="both"/>
        <w:rPr>
          <w:b/>
          <w:sz w:val="22"/>
          <w:szCs w:val="22"/>
        </w:rPr>
      </w:pPr>
      <w:r w:rsidRPr="008B2149">
        <w:rPr>
          <w:b/>
          <w:sz w:val="22"/>
          <w:szCs w:val="22"/>
        </w:rPr>
        <w:t>Table 1. Betam’s quarterly and annual growth rate forecasts</w:t>
      </w:r>
    </w:p>
    <w:tbl>
      <w:tblPr>
        <w:tblpPr w:leftFromText="141" w:rightFromText="141" w:vertAnchor="text" w:horzAnchor="margin" w:tblpXSpec="right" w:tblpY="129"/>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2"/>
        <w:gridCol w:w="1186"/>
      </w:tblGrid>
      <w:tr w:rsidR="00BE56E0" w:rsidRPr="008B2149" w:rsidTr="00BE56E0">
        <w:trPr>
          <w:trHeight w:val="986"/>
        </w:trPr>
        <w:tc>
          <w:tcPr>
            <w:tcW w:w="3302" w:type="dxa"/>
            <w:tcBorders>
              <w:right w:val="single" w:sz="4" w:space="0" w:color="auto"/>
            </w:tcBorders>
            <w:tcMar>
              <w:left w:w="28" w:type="dxa"/>
              <w:right w:w="28" w:type="dxa"/>
            </w:tcMar>
            <w:vAlign w:val="center"/>
          </w:tcPr>
          <w:p w:rsidR="00BE56E0" w:rsidRPr="008B2149" w:rsidRDefault="00BE56E0" w:rsidP="00A878F4">
            <w:pPr>
              <w:ind w:right="42"/>
              <w:jc w:val="center"/>
              <w:rPr>
                <w:sz w:val="20"/>
                <w:szCs w:val="20"/>
              </w:rPr>
            </w:pPr>
          </w:p>
        </w:tc>
        <w:tc>
          <w:tcPr>
            <w:tcW w:w="1186" w:type="dxa"/>
            <w:tcBorders>
              <w:left w:val="single" w:sz="4" w:space="0" w:color="auto"/>
            </w:tcBorders>
            <w:tcMar>
              <w:left w:w="0" w:type="dxa"/>
              <w:right w:w="0" w:type="dxa"/>
            </w:tcMar>
            <w:vAlign w:val="center"/>
          </w:tcPr>
          <w:p w:rsidR="00BE56E0" w:rsidRPr="008B2149" w:rsidRDefault="00BE56E0" w:rsidP="00A878F4">
            <w:pPr>
              <w:ind w:right="40"/>
              <w:jc w:val="center"/>
              <w:rPr>
                <w:b/>
                <w:sz w:val="20"/>
                <w:szCs w:val="20"/>
              </w:rPr>
            </w:pPr>
            <w:r w:rsidRPr="008B2149">
              <w:rPr>
                <w:b/>
                <w:sz w:val="20"/>
                <w:szCs w:val="20"/>
              </w:rPr>
              <w:t>2012</w:t>
            </w:r>
          </w:p>
          <w:p w:rsidR="00BE56E0" w:rsidRPr="008B2149" w:rsidRDefault="00CC23AA" w:rsidP="001116C3">
            <w:pPr>
              <w:ind w:right="40"/>
              <w:jc w:val="center"/>
              <w:rPr>
                <w:b/>
                <w:sz w:val="20"/>
                <w:szCs w:val="20"/>
              </w:rPr>
            </w:pPr>
            <w:r>
              <w:rPr>
                <w:b/>
                <w:sz w:val="20"/>
                <w:szCs w:val="20"/>
              </w:rPr>
              <w:t>3</w:t>
            </w:r>
            <w:r w:rsidR="001116C3" w:rsidRPr="001116C3">
              <w:rPr>
                <w:b/>
                <w:sz w:val="20"/>
                <w:szCs w:val="20"/>
                <w:vertAlign w:val="superscript"/>
              </w:rPr>
              <w:t>rd</w:t>
            </w:r>
            <w:r w:rsidR="00BE56E0" w:rsidRPr="008B2149">
              <w:rPr>
                <w:b/>
                <w:sz w:val="20"/>
                <w:szCs w:val="20"/>
              </w:rPr>
              <w:t xml:space="preserve"> Quarter Forecast</w:t>
            </w:r>
          </w:p>
        </w:tc>
      </w:tr>
      <w:tr w:rsidR="00BE56E0" w:rsidRPr="008B2149" w:rsidTr="00BE56E0">
        <w:trPr>
          <w:trHeight w:val="771"/>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b/>
                <w:sz w:val="20"/>
                <w:szCs w:val="20"/>
              </w:rPr>
            </w:pPr>
            <w:r w:rsidRPr="008B2149">
              <w:rPr>
                <w:b/>
                <w:sz w:val="20"/>
                <w:szCs w:val="20"/>
              </w:rPr>
              <w:t xml:space="preserve">Real GDP growth, % </w:t>
            </w:r>
          </w:p>
          <w:p w:rsidR="00BE56E0" w:rsidRPr="008B2149" w:rsidRDefault="00BE56E0" w:rsidP="004716A6">
            <w:pPr>
              <w:ind w:right="42"/>
              <w:rPr>
                <w:sz w:val="20"/>
                <w:szCs w:val="20"/>
              </w:rPr>
            </w:pPr>
            <w:r w:rsidRPr="008B2149">
              <w:rPr>
                <w:sz w:val="20"/>
                <w:szCs w:val="20"/>
              </w:rPr>
              <w:t>(quarter on quarter, sa*)</w:t>
            </w:r>
          </w:p>
        </w:tc>
        <w:tc>
          <w:tcPr>
            <w:tcW w:w="1186" w:type="dxa"/>
            <w:tcBorders>
              <w:left w:val="single" w:sz="4" w:space="0" w:color="auto"/>
            </w:tcBorders>
            <w:vAlign w:val="center"/>
          </w:tcPr>
          <w:p w:rsidR="00BE56E0" w:rsidRPr="008B2149" w:rsidRDefault="00B12FD3" w:rsidP="004716A6">
            <w:pPr>
              <w:ind w:right="42"/>
              <w:jc w:val="center"/>
              <w:rPr>
                <w:sz w:val="20"/>
                <w:szCs w:val="20"/>
              </w:rPr>
            </w:pPr>
            <w:r>
              <w:rPr>
                <w:sz w:val="20"/>
                <w:szCs w:val="20"/>
              </w:rPr>
              <w:t>0.6</w:t>
            </w:r>
          </w:p>
        </w:tc>
      </w:tr>
      <w:tr w:rsidR="00BE56E0" w:rsidRPr="008B2149" w:rsidTr="00BE56E0">
        <w:trPr>
          <w:trHeight w:val="756"/>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sz w:val="20"/>
                <w:szCs w:val="20"/>
              </w:rPr>
            </w:pPr>
            <w:r w:rsidRPr="008B2149">
              <w:rPr>
                <w:b/>
                <w:sz w:val="20"/>
                <w:szCs w:val="20"/>
              </w:rPr>
              <w:t>Real GDP growth, %</w:t>
            </w:r>
            <w:r w:rsidRPr="008B2149">
              <w:rPr>
                <w:sz w:val="20"/>
                <w:szCs w:val="20"/>
              </w:rPr>
              <w:t xml:space="preserve"> </w:t>
            </w:r>
          </w:p>
          <w:p w:rsidR="00BE56E0" w:rsidRPr="008B2149" w:rsidRDefault="00BE56E0" w:rsidP="004716A6">
            <w:pPr>
              <w:ind w:right="42"/>
              <w:rPr>
                <w:sz w:val="20"/>
                <w:szCs w:val="20"/>
              </w:rPr>
            </w:pPr>
            <w:r w:rsidRPr="008B2149">
              <w:rPr>
                <w:sz w:val="20"/>
                <w:szCs w:val="20"/>
              </w:rPr>
              <w:t>(year on year, ca**)</w:t>
            </w:r>
          </w:p>
        </w:tc>
        <w:tc>
          <w:tcPr>
            <w:tcW w:w="1186" w:type="dxa"/>
            <w:tcBorders>
              <w:left w:val="single" w:sz="4" w:space="0" w:color="auto"/>
            </w:tcBorders>
            <w:vAlign w:val="center"/>
          </w:tcPr>
          <w:p w:rsidR="00BE56E0" w:rsidRPr="008B2149" w:rsidRDefault="00B12FD3" w:rsidP="004716A6">
            <w:pPr>
              <w:ind w:right="42"/>
              <w:jc w:val="center"/>
              <w:rPr>
                <w:sz w:val="20"/>
                <w:szCs w:val="20"/>
              </w:rPr>
            </w:pPr>
            <w:r>
              <w:rPr>
                <w:sz w:val="20"/>
                <w:szCs w:val="20"/>
              </w:rPr>
              <w:t>2.7</w:t>
            </w:r>
          </w:p>
        </w:tc>
      </w:tr>
      <w:tr w:rsidR="00BE56E0" w:rsidRPr="008B2149" w:rsidTr="00BE56E0">
        <w:trPr>
          <w:trHeight w:val="583"/>
        </w:trPr>
        <w:tc>
          <w:tcPr>
            <w:tcW w:w="3302" w:type="dxa"/>
            <w:tcBorders>
              <w:right w:val="single" w:sz="4" w:space="0" w:color="auto"/>
            </w:tcBorders>
            <w:tcMar>
              <w:left w:w="28" w:type="dxa"/>
              <w:right w:w="28" w:type="dxa"/>
            </w:tcMar>
            <w:vAlign w:val="center"/>
          </w:tcPr>
          <w:p w:rsidR="00BE56E0" w:rsidRPr="008B2149" w:rsidRDefault="00BE56E0" w:rsidP="004716A6">
            <w:pPr>
              <w:spacing w:line="360" w:lineRule="auto"/>
              <w:ind w:right="42"/>
              <w:rPr>
                <w:sz w:val="20"/>
                <w:szCs w:val="20"/>
              </w:rPr>
            </w:pPr>
            <w:r w:rsidRPr="008B2149">
              <w:rPr>
                <w:b/>
                <w:sz w:val="20"/>
                <w:szCs w:val="20"/>
              </w:rPr>
              <w:t>Current account deficit</w:t>
            </w:r>
            <w:r w:rsidRPr="008B2149">
              <w:rPr>
                <w:sz w:val="20"/>
                <w:szCs w:val="20"/>
              </w:rPr>
              <w:t xml:space="preserve"> </w:t>
            </w:r>
          </w:p>
          <w:p w:rsidR="00BE56E0" w:rsidRPr="008B2149" w:rsidRDefault="00BE56E0" w:rsidP="004716A6">
            <w:pPr>
              <w:ind w:right="40"/>
              <w:rPr>
                <w:sz w:val="20"/>
                <w:szCs w:val="20"/>
              </w:rPr>
            </w:pPr>
            <w:r w:rsidRPr="008B2149">
              <w:rPr>
                <w:sz w:val="20"/>
                <w:szCs w:val="20"/>
              </w:rPr>
              <w:t>(% of GDP, annual)</w:t>
            </w:r>
          </w:p>
        </w:tc>
        <w:tc>
          <w:tcPr>
            <w:tcW w:w="1186" w:type="dxa"/>
            <w:tcBorders>
              <w:left w:val="single" w:sz="4" w:space="0" w:color="auto"/>
            </w:tcBorders>
            <w:vAlign w:val="center"/>
          </w:tcPr>
          <w:p w:rsidR="00BE56E0" w:rsidRPr="008B2149" w:rsidRDefault="00B12FD3" w:rsidP="004716A6">
            <w:pPr>
              <w:ind w:right="40"/>
              <w:jc w:val="center"/>
              <w:rPr>
                <w:sz w:val="20"/>
                <w:szCs w:val="20"/>
              </w:rPr>
            </w:pPr>
            <w:r>
              <w:rPr>
                <w:sz w:val="20"/>
                <w:szCs w:val="20"/>
              </w:rPr>
              <w:t>7.5</w:t>
            </w:r>
          </w:p>
        </w:tc>
      </w:tr>
    </w:tbl>
    <w:p w:rsidR="008C38E5" w:rsidRPr="008B2149" w:rsidRDefault="008C38E5" w:rsidP="00BE56E0">
      <w:pPr>
        <w:ind w:right="40"/>
        <w:rPr>
          <w:sz w:val="4"/>
          <w:szCs w:val="4"/>
        </w:rPr>
      </w:pP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Source: Betam</w:t>
      </w:r>
    </w:p>
    <w:p w:rsidR="008C38E5" w:rsidRPr="008B2149" w:rsidRDefault="008C38E5" w:rsidP="008C38E5">
      <w:pPr>
        <w:ind w:left="-360" w:right="40"/>
        <w:jc w:val="both"/>
        <w:rPr>
          <w:rFonts w:ascii="Arial" w:hAnsi="Arial" w:cs="Arial"/>
          <w:sz w:val="16"/>
          <w:szCs w:val="16"/>
        </w:rPr>
      </w:pPr>
      <w:r w:rsidRPr="008B2149">
        <w:rPr>
          <w:rFonts w:ascii="Arial" w:hAnsi="Arial" w:cs="Arial"/>
          <w:sz w:val="16"/>
          <w:szCs w:val="16"/>
        </w:rPr>
        <w:t xml:space="preserve"> *sa: seasonally and calendar day adjusted </w:t>
      </w:r>
    </w:p>
    <w:p w:rsidR="00383A6E" w:rsidRPr="008B2149" w:rsidRDefault="008C38E5" w:rsidP="008C38E5">
      <w:pPr>
        <w:spacing w:line="360" w:lineRule="auto"/>
        <w:ind w:left="-360" w:right="42"/>
        <w:jc w:val="both"/>
        <w:rPr>
          <w:rFonts w:ascii="Arial" w:hAnsi="Arial" w:cs="Arial"/>
          <w:sz w:val="20"/>
          <w:szCs w:val="20"/>
        </w:rPr>
      </w:pPr>
      <w:r w:rsidRPr="008B2149">
        <w:rPr>
          <w:rFonts w:ascii="Arial" w:hAnsi="Arial" w:cs="Arial"/>
          <w:sz w:val="16"/>
          <w:szCs w:val="16"/>
        </w:rPr>
        <w:t xml:space="preserve"> **ca: calendar day adjusted</w:t>
      </w:r>
    </w:p>
    <w:p w:rsidR="008B74EE" w:rsidRDefault="008B74EE" w:rsidP="008B74EE">
      <w:pPr>
        <w:rPr>
          <w:b/>
          <w:sz w:val="22"/>
          <w:szCs w:val="22"/>
        </w:rPr>
      </w:pPr>
    </w:p>
    <w:p w:rsidR="008B74EE" w:rsidRPr="00B12FD3" w:rsidRDefault="00B12FD3" w:rsidP="00B12FD3">
      <w:pPr>
        <w:spacing w:line="360" w:lineRule="auto"/>
        <w:ind w:left="-360"/>
        <w:jc w:val="both"/>
        <w:rPr>
          <w:sz w:val="22"/>
          <w:szCs w:val="22"/>
        </w:rPr>
      </w:pPr>
      <w:r w:rsidRPr="00B12FD3">
        <w:rPr>
          <w:sz w:val="22"/>
          <w:szCs w:val="22"/>
        </w:rPr>
        <w:t>account deficit to GDP was 8.2 percent at the end of the seco</w:t>
      </w:r>
      <w:r w:rsidR="00726C38">
        <w:rPr>
          <w:sz w:val="22"/>
          <w:szCs w:val="22"/>
        </w:rPr>
        <w:t>nd quarter. We estimate that this</w:t>
      </w:r>
      <w:r w:rsidRPr="00B12FD3">
        <w:rPr>
          <w:sz w:val="22"/>
          <w:szCs w:val="22"/>
        </w:rPr>
        <w:t xml:space="preserve"> ratio will fall to 7.5 percent at the end of third quarter.</w:t>
      </w:r>
    </w:p>
    <w:p w:rsidR="00B12FD3" w:rsidRDefault="00B12FD3" w:rsidP="008B74EE">
      <w:pPr>
        <w:ind w:left="-360"/>
        <w:rPr>
          <w:b/>
          <w:sz w:val="22"/>
          <w:szCs w:val="22"/>
        </w:rPr>
      </w:pPr>
    </w:p>
    <w:p w:rsidR="00B12FD3" w:rsidRDefault="00B12FD3" w:rsidP="008B74EE">
      <w:pPr>
        <w:ind w:left="-360"/>
        <w:rPr>
          <w:b/>
          <w:sz w:val="22"/>
          <w:szCs w:val="22"/>
        </w:rPr>
      </w:pPr>
    </w:p>
    <w:p w:rsidR="001F275D" w:rsidRPr="005743FF" w:rsidRDefault="001F275D" w:rsidP="001F275D">
      <w:pPr>
        <w:ind w:left="-360"/>
        <w:jc w:val="center"/>
        <w:rPr>
          <w:b/>
          <w:bCs/>
          <w:sz w:val="22"/>
          <w:szCs w:val="22"/>
        </w:rPr>
      </w:pPr>
      <w:r>
        <w:rPr>
          <w:b/>
          <w:bCs/>
          <w:sz w:val="22"/>
          <w:szCs w:val="22"/>
        </w:rPr>
        <w:t xml:space="preserve">Positive contribution of net exports may decline </w:t>
      </w:r>
    </w:p>
    <w:p w:rsidR="008C38E5" w:rsidRPr="008B2149" w:rsidRDefault="008C38E5" w:rsidP="008C38E5">
      <w:pPr>
        <w:spacing w:line="360" w:lineRule="auto"/>
        <w:ind w:left="-360" w:right="42"/>
        <w:rPr>
          <w:b/>
          <w:sz w:val="22"/>
          <w:szCs w:val="22"/>
        </w:rPr>
      </w:pPr>
    </w:p>
    <w:p w:rsidR="001F275D" w:rsidRDefault="001F275D" w:rsidP="001F275D">
      <w:pPr>
        <w:spacing w:line="360" w:lineRule="auto"/>
        <w:ind w:left="-360" w:right="-48"/>
        <w:jc w:val="both"/>
        <w:rPr>
          <w:bCs/>
          <w:sz w:val="22"/>
          <w:szCs w:val="22"/>
        </w:rPr>
      </w:pPr>
      <w:r>
        <w:rPr>
          <w:bCs/>
          <w:sz w:val="22"/>
          <w:szCs w:val="22"/>
        </w:rPr>
        <w:t xml:space="preserve">The real GDP growth in the second quarter </w:t>
      </w:r>
      <w:r w:rsidR="00E91947">
        <w:rPr>
          <w:bCs/>
          <w:sz w:val="22"/>
          <w:szCs w:val="22"/>
        </w:rPr>
        <w:t>wa</w:t>
      </w:r>
      <w:r w:rsidR="001F6E7D">
        <w:rPr>
          <w:bCs/>
          <w:sz w:val="22"/>
          <w:szCs w:val="22"/>
        </w:rPr>
        <w:t xml:space="preserve">s strong and more than accounted for the decrease in </w:t>
      </w:r>
      <w:r w:rsidR="001F6E7D" w:rsidRPr="001F6E7D">
        <w:rPr>
          <w:bCs/>
          <w:sz w:val="22"/>
          <w:szCs w:val="22"/>
        </w:rPr>
        <w:t>the</w:t>
      </w:r>
      <w:r w:rsidRPr="001F6E7D">
        <w:rPr>
          <w:bCs/>
          <w:sz w:val="22"/>
          <w:szCs w:val="22"/>
        </w:rPr>
        <w:t xml:space="preserve"> first quarter</w:t>
      </w:r>
      <w:r>
        <w:rPr>
          <w:bCs/>
          <w:sz w:val="22"/>
          <w:szCs w:val="22"/>
        </w:rPr>
        <w:t>. Betam’s QoQ real GDP growth forecast for the second quarter was 1 percent. However, Turkstat announced the real GDP growth as 1.8 percent which is above our forecast. As we expected, private i</w:t>
      </w:r>
      <w:r w:rsidRPr="000F787F">
        <w:rPr>
          <w:bCs/>
          <w:sz w:val="22"/>
          <w:szCs w:val="22"/>
        </w:rPr>
        <w:t>nvestment</w:t>
      </w:r>
      <w:r>
        <w:rPr>
          <w:bCs/>
          <w:sz w:val="22"/>
          <w:szCs w:val="22"/>
        </w:rPr>
        <w:t xml:space="preserve"> expenditure</w:t>
      </w:r>
      <w:r w:rsidRPr="000F787F">
        <w:rPr>
          <w:bCs/>
          <w:sz w:val="22"/>
          <w:szCs w:val="22"/>
        </w:rPr>
        <w:t xml:space="preserve"> decline</w:t>
      </w:r>
      <w:r>
        <w:rPr>
          <w:bCs/>
          <w:sz w:val="22"/>
          <w:szCs w:val="22"/>
        </w:rPr>
        <w:t>d</w:t>
      </w:r>
      <w:r w:rsidRPr="000F787F">
        <w:rPr>
          <w:bCs/>
          <w:sz w:val="22"/>
          <w:szCs w:val="22"/>
        </w:rPr>
        <w:t xml:space="preserve"> and </w:t>
      </w:r>
      <w:r>
        <w:rPr>
          <w:bCs/>
          <w:sz w:val="22"/>
          <w:szCs w:val="22"/>
        </w:rPr>
        <w:t xml:space="preserve">the anticipated </w:t>
      </w:r>
      <w:r w:rsidRPr="000F787F">
        <w:rPr>
          <w:bCs/>
          <w:sz w:val="22"/>
          <w:szCs w:val="22"/>
        </w:rPr>
        <w:t xml:space="preserve">revival </w:t>
      </w:r>
      <w:r>
        <w:rPr>
          <w:bCs/>
          <w:sz w:val="22"/>
          <w:szCs w:val="22"/>
        </w:rPr>
        <w:t xml:space="preserve">in private consumption </w:t>
      </w:r>
      <w:r>
        <w:rPr>
          <w:bCs/>
          <w:sz w:val="22"/>
          <w:szCs w:val="22"/>
        </w:rPr>
        <w:lastRenderedPageBreak/>
        <w:t>expenditure exhibited</w:t>
      </w:r>
      <w:r w:rsidRPr="000F787F">
        <w:rPr>
          <w:bCs/>
          <w:sz w:val="22"/>
          <w:szCs w:val="22"/>
        </w:rPr>
        <w:t xml:space="preserve"> itself </w:t>
      </w:r>
      <w:r>
        <w:rPr>
          <w:bCs/>
          <w:sz w:val="22"/>
          <w:szCs w:val="22"/>
        </w:rPr>
        <w:t>in</w:t>
      </w:r>
      <w:r w:rsidRPr="000F787F">
        <w:rPr>
          <w:bCs/>
          <w:sz w:val="22"/>
          <w:szCs w:val="22"/>
        </w:rPr>
        <w:t xml:space="preserve"> inventory investment.</w:t>
      </w:r>
      <w:r>
        <w:rPr>
          <w:bCs/>
          <w:sz w:val="22"/>
          <w:szCs w:val="22"/>
        </w:rPr>
        <w:t xml:space="preserve"> In other words,</w:t>
      </w:r>
      <w:r w:rsidRPr="000F787F">
        <w:rPr>
          <w:bCs/>
          <w:sz w:val="22"/>
          <w:szCs w:val="22"/>
        </w:rPr>
        <w:t xml:space="preserve"> </w:t>
      </w:r>
      <w:r>
        <w:rPr>
          <w:bCs/>
          <w:sz w:val="22"/>
          <w:szCs w:val="22"/>
        </w:rPr>
        <w:t>consumer goods production increased but private consumption expenditure didn’t rise. Therefore, the revival in the production increased the inventory investment</w:t>
      </w:r>
      <w:r w:rsidR="00BB08BD">
        <w:rPr>
          <w:bCs/>
          <w:sz w:val="22"/>
          <w:szCs w:val="22"/>
        </w:rPr>
        <w:t xml:space="preserve"> and contributed positively to</w:t>
      </w:r>
      <w:r>
        <w:rPr>
          <w:bCs/>
          <w:sz w:val="22"/>
          <w:szCs w:val="22"/>
        </w:rPr>
        <w:t xml:space="preserve"> real GDP growth. This positive contribution was stronger than </w:t>
      </w:r>
      <w:r w:rsidR="00BB08BD">
        <w:rPr>
          <w:bCs/>
          <w:sz w:val="22"/>
          <w:szCs w:val="22"/>
        </w:rPr>
        <w:t>we predicted</w:t>
      </w:r>
      <w:r>
        <w:rPr>
          <w:bCs/>
          <w:sz w:val="22"/>
          <w:szCs w:val="22"/>
        </w:rPr>
        <w:t xml:space="preserve">. </w:t>
      </w:r>
      <w:r w:rsidR="00BB08BD">
        <w:rPr>
          <w:bCs/>
          <w:sz w:val="22"/>
          <w:szCs w:val="22"/>
        </w:rPr>
        <w:t>T</w:t>
      </w:r>
      <w:r>
        <w:rPr>
          <w:bCs/>
          <w:sz w:val="22"/>
          <w:szCs w:val="22"/>
        </w:rPr>
        <w:t>he contribution of net exports was positive</w:t>
      </w:r>
      <w:r w:rsidR="00BB08BD">
        <w:rPr>
          <w:bCs/>
          <w:sz w:val="22"/>
          <w:szCs w:val="22"/>
        </w:rPr>
        <w:t xml:space="preserve"> as expected</w:t>
      </w:r>
      <w:r>
        <w:rPr>
          <w:bCs/>
          <w:sz w:val="22"/>
          <w:szCs w:val="22"/>
        </w:rPr>
        <w:t>.</w:t>
      </w:r>
    </w:p>
    <w:p w:rsidR="001F275D" w:rsidRDefault="001F275D" w:rsidP="001F275D">
      <w:pPr>
        <w:spacing w:line="360" w:lineRule="auto"/>
        <w:ind w:left="-360" w:right="-48"/>
        <w:jc w:val="both"/>
        <w:rPr>
          <w:bCs/>
          <w:sz w:val="22"/>
          <w:szCs w:val="22"/>
        </w:rPr>
      </w:pPr>
    </w:p>
    <w:p w:rsidR="001F275D" w:rsidRPr="005743FF" w:rsidRDefault="001F275D" w:rsidP="001F275D">
      <w:pPr>
        <w:spacing w:line="360" w:lineRule="auto"/>
        <w:ind w:left="-360" w:right="40"/>
        <w:jc w:val="both"/>
        <w:rPr>
          <w:sz w:val="22"/>
          <w:szCs w:val="22"/>
        </w:rPr>
      </w:pPr>
      <w:r w:rsidRPr="000F787F">
        <w:rPr>
          <w:bCs/>
          <w:sz w:val="22"/>
          <w:szCs w:val="22"/>
        </w:rPr>
        <w:t xml:space="preserve">We still have </w:t>
      </w:r>
      <w:r>
        <w:rPr>
          <w:bCs/>
          <w:sz w:val="22"/>
          <w:szCs w:val="22"/>
        </w:rPr>
        <w:t>limited data for the third quarter</w:t>
      </w:r>
      <w:r w:rsidRPr="000F787F">
        <w:rPr>
          <w:bCs/>
          <w:sz w:val="22"/>
          <w:szCs w:val="22"/>
        </w:rPr>
        <w:t>.</w:t>
      </w:r>
      <w:r>
        <w:rPr>
          <w:bCs/>
          <w:sz w:val="22"/>
          <w:szCs w:val="22"/>
        </w:rPr>
        <w:t xml:space="preserve"> </w:t>
      </w:r>
      <w:r w:rsidR="00395C47">
        <w:rPr>
          <w:bCs/>
          <w:sz w:val="22"/>
          <w:szCs w:val="22"/>
        </w:rPr>
        <w:t>Indicators in July point to</w:t>
      </w:r>
      <w:r>
        <w:rPr>
          <w:bCs/>
          <w:sz w:val="22"/>
          <w:szCs w:val="22"/>
        </w:rPr>
        <w:t xml:space="preserve"> a revival in production and stagnation in consumption. On the other hand, the decline in the export volume index and the limited increase in the import volume index</w:t>
      </w:r>
      <w:r w:rsidR="00CC23AA">
        <w:rPr>
          <w:bCs/>
          <w:sz w:val="22"/>
          <w:szCs w:val="22"/>
        </w:rPr>
        <w:t xml:space="preserve"> might</w:t>
      </w:r>
      <w:r>
        <w:rPr>
          <w:bCs/>
          <w:sz w:val="22"/>
          <w:szCs w:val="22"/>
        </w:rPr>
        <w:t xml:space="preserve"> curb the positive contribution of net exports</w:t>
      </w:r>
      <w:r w:rsidR="00CC23AA">
        <w:rPr>
          <w:bCs/>
          <w:sz w:val="22"/>
          <w:szCs w:val="22"/>
        </w:rPr>
        <w:t xml:space="preserve"> in the third quarter</w:t>
      </w:r>
      <w:r>
        <w:rPr>
          <w:bCs/>
          <w:sz w:val="22"/>
          <w:szCs w:val="22"/>
        </w:rPr>
        <w:t>. Turkish Exporters’ Assembly’s figures indicate that nominal exports ex</w:t>
      </w:r>
      <w:r w:rsidR="00B01B40">
        <w:rPr>
          <w:bCs/>
          <w:sz w:val="22"/>
          <w:szCs w:val="22"/>
        </w:rPr>
        <w:t>cluding</w:t>
      </w:r>
      <w:r>
        <w:rPr>
          <w:bCs/>
          <w:sz w:val="22"/>
          <w:szCs w:val="22"/>
        </w:rPr>
        <w:t xml:space="preserve"> gold fell in August. If </w:t>
      </w:r>
      <w:r w:rsidR="00B01B40">
        <w:rPr>
          <w:bCs/>
          <w:sz w:val="22"/>
          <w:szCs w:val="22"/>
        </w:rPr>
        <w:t xml:space="preserve">weakness in </w:t>
      </w:r>
      <w:r>
        <w:rPr>
          <w:bCs/>
          <w:sz w:val="22"/>
          <w:szCs w:val="22"/>
        </w:rPr>
        <w:t xml:space="preserve">exports </w:t>
      </w:r>
      <w:r w:rsidR="00B01B40">
        <w:rPr>
          <w:bCs/>
          <w:sz w:val="22"/>
          <w:szCs w:val="22"/>
        </w:rPr>
        <w:t>continues in</w:t>
      </w:r>
      <w:r>
        <w:rPr>
          <w:bCs/>
          <w:sz w:val="22"/>
          <w:szCs w:val="22"/>
        </w:rPr>
        <w:t xml:space="preserve"> the coming months, the third quarter growth might be low</w:t>
      </w:r>
      <w:r w:rsidR="00B01B40">
        <w:rPr>
          <w:bCs/>
          <w:sz w:val="22"/>
          <w:szCs w:val="22"/>
        </w:rPr>
        <w:t>er than second quarter</w:t>
      </w:r>
      <w:r>
        <w:rPr>
          <w:bCs/>
          <w:sz w:val="22"/>
          <w:szCs w:val="22"/>
        </w:rPr>
        <w:t xml:space="preserve">. </w:t>
      </w:r>
      <w:r w:rsidRPr="005743FF">
        <w:rPr>
          <w:sz w:val="22"/>
          <w:szCs w:val="22"/>
        </w:rPr>
        <w:t>Betam’s quarter on quarter (QoQ) growth forecast for the third quarter of 2012 is 0.6 percent. The corresponding year on year (YoY) growth rate is 2.7 percent.</w:t>
      </w:r>
    </w:p>
    <w:p w:rsidR="001F275D" w:rsidRDefault="001F275D" w:rsidP="001F275D">
      <w:pPr>
        <w:spacing w:line="360" w:lineRule="auto"/>
        <w:ind w:left="-360" w:right="-48"/>
        <w:jc w:val="both"/>
        <w:rPr>
          <w:bCs/>
          <w:sz w:val="22"/>
          <w:szCs w:val="22"/>
        </w:rPr>
      </w:pPr>
      <w:r>
        <w:rPr>
          <w:bCs/>
          <w:sz w:val="22"/>
          <w:szCs w:val="22"/>
        </w:rPr>
        <w:t xml:space="preserve"> </w:t>
      </w:r>
    </w:p>
    <w:p w:rsidR="00CF51B2" w:rsidRPr="001F275D" w:rsidRDefault="001F275D" w:rsidP="001F275D">
      <w:pPr>
        <w:spacing w:line="360" w:lineRule="auto"/>
        <w:ind w:left="-360" w:right="-48"/>
        <w:jc w:val="both"/>
        <w:rPr>
          <w:bCs/>
          <w:sz w:val="22"/>
          <w:szCs w:val="22"/>
        </w:rPr>
      </w:pPr>
      <w:r>
        <w:rPr>
          <w:bCs/>
          <w:sz w:val="22"/>
          <w:szCs w:val="22"/>
        </w:rPr>
        <w:t xml:space="preserve">An interesting point about the components of the second quarter GDP data </w:t>
      </w:r>
      <w:r w:rsidR="00B01B40">
        <w:rPr>
          <w:bCs/>
          <w:sz w:val="22"/>
          <w:szCs w:val="22"/>
        </w:rPr>
        <w:t>wa</w:t>
      </w:r>
      <w:r>
        <w:rPr>
          <w:bCs/>
          <w:sz w:val="22"/>
          <w:szCs w:val="22"/>
        </w:rPr>
        <w:t>s that real public expenditure</w:t>
      </w:r>
      <w:r w:rsidR="00CE3983">
        <w:rPr>
          <w:bCs/>
          <w:sz w:val="22"/>
          <w:szCs w:val="22"/>
        </w:rPr>
        <w:t>s</w:t>
      </w:r>
      <w:r>
        <w:rPr>
          <w:bCs/>
          <w:sz w:val="22"/>
          <w:szCs w:val="22"/>
        </w:rPr>
        <w:t xml:space="preserve"> increased by 1 percent and contributed </w:t>
      </w:r>
      <w:r w:rsidR="00437C99">
        <w:rPr>
          <w:bCs/>
          <w:sz w:val="22"/>
          <w:szCs w:val="22"/>
        </w:rPr>
        <w:t>only 0.1 percentage points</w:t>
      </w:r>
      <w:r>
        <w:rPr>
          <w:bCs/>
          <w:sz w:val="22"/>
          <w:szCs w:val="22"/>
        </w:rPr>
        <w:t xml:space="preserve"> to </w:t>
      </w:r>
      <w:r w:rsidR="00CE3983">
        <w:rPr>
          <w:bCs/>
          <w:sz w:val="22"/>
          <w:szCs w:val="22"/>
        </w:rPr>
        <w:t xml:space="preserve">GDP </w:t>
      </w:r>
      <w:r>
        <w:rPr>
          <w:bCs/>
          <w:sz w:val="22"/>
          <w:szCs w:val="22"/>
        </w:rPr>
        <w:t>growth.</w:t>
      </w:r>
      <w:r>
        <w:rPr>
          <w:rStyle w:val="DipnotBavurusu"/>
          <w:bCs/>
          <w:sz w:val="22"/>
          <w:szCs w:val="22"/>
        </w:rPr>
        <w:footnoteReference w:id="2"/>
      </w:r>
      <w:r>
        <w:rPr>
          <w:bCs/>
          <w:sz w:val="22"/>
          <w:szCs w:val="22"/>
        </w:rPr>
        <w:t xml:space="preserve"> This indicates that </w:t>
      </w:r>
      <w:r w:rsidR="00CE3983">
        <w:rPr>
          <w:bCs/>
          <w:sz w:val="22"/>
          <w:szCs w:val="22"/>
        </w:rPr>
        <w:t>the government still pursues</w:t>
      </w:r>
      <w:r>
        <w:rPr>
          <w:bCs/>
          <w:sz w:val="22"/>
          <w:szCs w:val="22"/>
        </w:rPr>
        <w:t xml:space="preserve"> </w:t>
      </w:r>
      <w:r w:rsidR="00CE3983">
        <w:rPr>
          <w:bCs/>
          <w:sz w:val="22"/>
          <w:szCs w:val="22"/>
        </w:rPr>
        <w:t>tight fiscal policy</w:t>
      </w:r>
      <w:r>
        <w:rPr>
          <w:bCs/>
          <w:sz w:val="22"/>
          <w:szCs w:val="22"/>
        </w:rPr>
        <w:t xml:space="preserve">. On the other hand, </w:t>
      </w:r>
      <w:r w:rsidR="00CE3983">
        <w:rPr>
          <w:bCs/>
          <w:sz w:val="22"/>
          <w:szCs w:val="22"/>
        </w:rPr>
        <w:t xml:space="preserve">the </w:t>
      </w:r>
      <w:r>
        <w:rPr>
          <w:bCs/>
          <w:sz w:val="22"/>
          <w:szCs w:val="22"/>
        </w:rPr>
        <w:t xml:space="preserve">Central Bank </w:t>
      </w:r>
      <w:r w:rsidR="00CE3983">
        <w:rPr>
          <w:bCs/>
          <w:sz w:val="22"/>
          <w:szCs w:val="22"/>
        </w:rPr>
        <w:t xml:space="preserve">is </w:t>
      </w:r>
      <w:r>
        <w:rPr>
          <w:bCs/>
          <w:sz w:val="22"/>
          <w:szCs w:val="22"/>
        </w:rPr>
        <w:t xml:space="preserve">slowly </w:t>
      </w:r>
      <w:r w:rsidR="00CE3983">
        <w:rPr>
          <w:bCs/>
          <w:sz w:val="22"/>
          <w:szCs w:val="22"/>
        </w:rPr>
        <w:t>easing</w:t>
      </w:r>
      <w:r>
        <w:rPr>
          <w:bCs/>
          <w:sz w:val="22"/>
          <w:szCs w:val="22"/>
        </w:rPr>
        <w:t xml:space="preserve"> monetary policy. Even though </w:t>
      </w:r>
      <w:r w:rsidR="00CE3983">
        <w:rPr>
          <w:bCs/>
          <w:sz w:val="22"/>
          <w:szCs w:val="22"/>
        </w:rPr>
        <w:t xml:space="preserve">the </w:t>
      </w:r>
      <w:r>
        <w:rPr>
          <w:bCs/>
          <w:sz w:val="22"/>
          <w:szCs w:val="22"/>
        </w:rPr>
        <w:t xml:space="preserve">Turkish Central Bank </w:t>
      </w:r>
      <w:r w:rsidR="00CE3983">
        <w:rPr>
          <w:bCs/>
          <w:sz w:val="22"/>
          <w:szCs w:val="22"/>
        </w:rPr>
        <w:t>ha</w:t>
      </w:r>
      <w:r w:rsidR="00437C99">
        <w:rPr>
          <w:bCs/>
          <w:sz w:val="22"/>
          <w:szCs w:val="22"/>
        </w:rPr>
        <w:t>d</w:t>
      </w:r>
      <w:r w:rsidR="00CE3983">
        <w:rPr>
          <w:bCs/>
          <w:sz w:val="22"/>
          <w:szCs w:val="22"/>
        </w:rPr>
        <w:t xml:space="preserve"> not</w:t>
      </w:r>
      <w:r>
        <w:rPr>
          <w:bCs/>
          <w:sz w:val="22"/>
          <w:szCs w:val="22"/>
        </w:rPr>
        <w:t xml:space="preserve"> change</w:t>
      </w:r>
      <w:r w:rsidR="00CE3983">
        <w:rPr>
          <w:bCs/>
          <w:sz w:val="22"/>
          <w:szCs w:val="22"/>
        </w:rPr>
        <w:t>d</w:t>
      </w:r>
      <w:r>
        <w:rPr>
          <w:bCs/>
          <w:sz w:val="22"/>
          <w:szCs w:val="22"/>
        </w:rPr>
        <w:t xml:space="preserve"> the lower and upper bounds of </w:t>
      </w:r>
      <w:r w:rsidR="00CE3983">
        <w:rPr>
          <w:bCs/>
          <w:sz w:val="22"/>
          <w:szCs w:val="22"/>
        </w:rPr>
        <w:t>the interest rate corridor</w:t>
      </w:r>
      <w:r w:rsidR="00437C99">
        <w:rPr>
          <w:bCs/>
          <w:sz w:val="22"/>
          <w:szCs w:val="22"/>
        </w:rPr>
        <w:t xml:space="preserve"> until </w:t>
      </w:r>
      <w:r w:rsidR="00437C99">
        <w:rPr>
          <w:bCs/>
          <w:sz w:val="22"/>
          <w:szCs w:val="22"/>
        </w:rPr>
        <w:lastRenderedPageBreak/>
        <w:t>recently</w:t>
      </w:r>
      <w:r w:rsidR="00CE3983">
        <w:rPr>
          <w:bCs/>
          <w:sz w:val="22"/>
          <w:szCs w:val="22"/>
        </w:rPr>
        <w:t xml:space="preserve">, it </w:t>
      </w:r>
      <w:r w:rsidR="00437C99">
        <w:rPr>
          <w:bCs/>
          <w:sz w:val="22"/>
          <w:szCs w:val="22"/>
        </w:rPr>
        <w:t xml:space="preserve">has already </w:t>
      </w:r>
      <w:r w:rsidR="00CE3983">
        <w:rPr>
          <w:bCs/>
          <w:sz w:val="22"/>
          <w:szCs w:val="22"/>
        </w:rPr>
        <w:t xml:space="preserve">decreased the cost of </w:t>
      </w:r>
      <w:r w:rsidR="00437C99">
        <w:rPr>
          <w:bCs/>
          <w:sz w:val="22"/>
          <w:szCs w:val="22"/>
        </w:rPr>
        <w:t>funding</w:t>
      </w:r>
      <w:r w:rsidR="00CE3983">
        <w:rPr>
          <w:bCs/>
          <w:sz w:val="22"/>
          <w:szCs w:val="22"/>
        </w:rPr>
        <w:t xml:space="preserve"> for banks</w:t>
      </w:r>
      <w:r>
        <w:rPr>
          <w:bCs/>
          <w:sz w:val="22"/>
          <w:szCs w:val="22"/>
        </w:rPr>
        <w:t xml:space="preserve">. </w:t>
      </w:r>
      <w:r w:rsidR="00437C99">
        <w:rPr>
          <w:bCs/>
          <w:sz w:val="22"/>
          <w:szCs w:val="22"/>
        </w:rPr>
        <w:t>In parallel to the</w:t>
      </w:r>
      <w:r>
        <w:rPr>
          <w:bCs/>
          <w:sz w:val="22"/>
          <w:szCs w:val="22"/>
        </w:rPr>
        <w:t xml:space="preserve"> decline in the cost of </w:t>
      </w:r>
      <w:r w:rsidR="00437C99">
        <w:rPr>
          <w:bCs/>
          <w:sz w:val="22"/>
          <w:szCs w:val="22"/>
        </w:rPr>
        <w:t>funding</w:t>
      </w:r>
      <w:r>
        <w:rPr>
          <w:bCs/>
          <w:sz w:val="22"/>
          <w:szCs w:val="22"/>
        </w:rPr>
        <w:t xml:space="preserve">, cash and housing loan interest rates </w:t>
      </w:r>
      <w:r w:rsidR="00437C99">
        <w:rPr>
          <w:bCs/>
          <w:sz w:val="22"/>
          <w:szCs w:val="22"/>
        </w:rPr>
        <w:t>decreased slightly</w:t>
      </w:r>
      <w:r>
        <w:rPr>
          <w:bCs/>
          <w:sz w:val="22"/>
          <w:szCs w:val="22"/>
        </w:rPr>
        <w:t xml:space="preserve"> (Figure 4). If the </w:t>
      </w:r>
      <w:r w:rsidR="00C171D9">
        <w:rPr>
          <w:bCs/>
          <w:sz w:val="22"/>
          <w:szCs w:val="22"/>
        </w:rPr>
        <w:t>fall in interest rates continues through</w:t>
      </w:r>
      <w:r>
        <w:rPr>
          <w:bCs/>
          <w:sz w:val="22"/>
          <w:szCs w:val="22"/>
        </w:rPr>
        <w:t xml:space="preserve"> the third quarter, it may support the GDP growth by boosting private consumption expenditure. Moreover</w:t>
      </w:r>
      <w:r w:rsidR="00C171D9">
        <w:rPr>
          <w:bCs/>
          <w:sz w:val="22"/>
          <w:szCs w:val="22"/>
        </w:rPr>
        <w:t>,</w:t>
      </w:r>
      <w:r>
        <w:rPr>
          <w:bCs/>
          <w:sz w:val="22"/>
          <w:szCs w:val="22"/>
        </w:rPr>
        <w:t xml:space="preserve"> if this limited monetary expansion </w:t>
      </w:r>
      <w:r w:rsidR="00C171D9">
        <w:rPr>
          <w:bCs/>
          <w:sz w:val="22"/>
          <w:szCs w:val="22"/>
        </w:rPr>
        <w:t>turns out to be sufficient in</w:t>
      </w:r>
      <w:r>
        <w:rPr>
          <w:bCs/>
          <w:sz w:val="22"/>
          <w:szCs w:val="22"/>
        </w:rPr>
        <w:t xml:space="preserve"> </w:t>
      </w:r>
      <w:r w:rsidR="00C171D9">
        <w:rPr>
          <w:bCs/>
          <w:sz w:val="22"/>
          <w:szCs w:val="22"/>
        </w:rPr>
        <w:t xml:space="preserve">stimulating consumption, Turkish Central Bank will </w:t>
      </w:r>
      <w:r>
        <w:rPr>
          <w:bCs/>
          <w:sz w:val="22"/>
          <w:szCs w:val="22"/>
        </w:rPr>
        <w:t>achieve support</w:t>
      </w:r>
      <w:r w:rsidR="00C171D9">
        <w:rPr>
          <w:bCs/>
          <w:sz w:val="22"/>
          <w:szCs w:val="22"/>
        </w:rPr>
        <w:t>ing</w:t>
      </w:r>
      <w:r>
        <w:rPr>
          <w:bCs/>
          <w:sz w:val="22"/>
          <w:szCs w:val="22"/>
        </w:rPr>
        <w:t xml:space="preserve"> growth without </w:t>
      </w:r>
      <w:r w:rsidR="00C171D9">
        <w:rPr>
          <w:bCs/>
          <w:sz w:val="22"/>
          <w:szCs w:val="22"/>
        </w:rPr>
        <w:t>worsening</w:t>
      </w:r>
      <w:r>
        <w:rPr>
          <w:bCs/>
          <w:sz w:val="22"/>
          <w:szCs w:val="22"/>
        </w:rPr>
        <w:t xml:space="preserve"> inflation expectations.</w:t>
      </w:r>
      <w:r w:rsidR="00C22DC8">
        <w:rPr>
          <w:bCs/>
          <w:sz w:val="22"/>
          <w:szCs w:val="22"/>
        </w:rPr>
        <w:t xml:space="preserve"> However,</w:t>
      </w:r>
      <w:r w:rsidR="001E192B">
        <w:rPr>
          <w:bCs/>
          <w:sz w:val="22"/>
          <w:szCs w:val="22"/>
        </w:rPr>
        <w:t xml:space="preserve"> </w:t>
      </w:r>
      <w:r w:rsidR="00C22DC8">
        <w:rPr>
          <w:bCs/>
          <w:sz w:val="22"/>
          <w:szCs w:val="22"/>
        </w:rPr>
        <w:t>p</w:t>
      </w:r>
      <w:r>
        <w:rPr>
          <w:bCs/>
          <w:sz w:val="22"/>
          <w:szCs w:val="22"/>
        </w:rPr>
        <w:t xml:space="preserve">ositive contribution of net exports might be lower than </w:t>
      </w:r>
      <w:r w:rsidR="00437C99">
        <w:rPr>
          <w:bCs/>
          <w:sz w:val="22"/>
          <w:szCs w:val="22"/>
        </w:rPr>
        <w:t xml:space="preserve">in </w:t>
      </w:r>
      <w:r w:rsidR="004D0590">
        <w:rPr>
          <w:bCs/>
          <w:sz w:val="22"/>
          <w:szCs w:val="22"/>
        </w:rPr>
        <w:t>the second quarter</w:t>
      </w:r>
      <w:r w:rsidR="00437C99">
        <w:rPr>
          <w:bCs/>
          <w:sz w:val="22"/>
          <w:szCs w:val="22"/>
        </w:rPr>
        <w:t>,</w:t>
      </w:r>
      <w:r w:rsidR="004D0590">
        <w:rPr>
          <w:bCs/>
          <w:sz w:val="22"/>
          <w:szCs w:val="22"/>
        </w:rPr>
        <w:t xml:space="preserve"> making it</w:t>
      </w:r>
      <w:r w:rsidR="001E192B">
        <w:rPr>
          <w:bCs/>
          <w:sz w:val="22"/>
          <w:szCs w:val="22"/>
        </w:rPr>
        <w:t xml:space="preserve"> hard to</w:t>
      </w:r>
      <w:r>
        <w:rPr>
          <w:bCs/>
          <w:sz w:val="22"/>
          <w:szCs w:val="22"/>
        </w:rPr>
        <w:t xml:space="preserve"> push the growth above 3 percent.   </w:t>
      </w:r>
    </w:p>
    <w:p w:rsidR="006221AA" w:rsidRPr="008B2149" w:rsidRDefault="00C6608D" w:rsidP="003A048F">
      <w:pPr>
        <w:spacing w:line="360" w:lineRule="auto"/>
        <w:ind w:left="-360" w:right="42"/>
        <w:jc w:val="both"/>
        <w:rPr>
          <w:sz w:val="22"/>
          <w:szCs w:val="22"/>
        </w:rPr>
      </w:pPr>
      <w:r>
        <w:rPr>
          <w:sz w:val="22"/>
          <w:szCs w:val="22"/>
        </w:rPr>
        <w:t xml:space="preserve"> </w:t>
      </w:r>
    </w:p>
    <w:p w:rsidR="001F275D" w:rsidRPr="005743FF" w:rsidRDefault="001F275D" w:rsidP="001F275D">
      <w:pPr>
        <w:spacing w:line="360" w:lineRule="auto"/>
        <w:ind w:right="42"/>
        <w:jc w:val="center"/>
        <w:rPr>
          <w:b/>
          <w:bCs/>
          <w:sz w:val="22"/>
          <w:szCs w:val="22"/>
        </w:rPr>
      </w:pPr>
      <w:r>
        <w:rPr>
          <w:b/>
          <w:bCs/>
          <w:sz w:val="22"/>
          <w:szCs w:val="22"/>
        </w:rPr>
        <w:t>Consumption indicators are on the rise</w:t>
      </w:r>
    </w:p>
    <w:p w:rsidR="001F275D" w:rsidRPr="005743FF" w:rsidRDefault="001F275D" w:rsidP="001F275D">
      <w:pPr>
        <w:spacing w:line="360" w:lineRule="auto"/>
        <w:ind w:left="-360" w:right="42"/>
        <w:jc w:val="center"/>
        <w:rPr>
          <w:b/>
          <w:bCs/>
          <w:sz w:val="22"/>
          <w:szCs w:val="22"/>
        </w:rPr>
      </w:pPr>
    </w:p>
    <w:p w:rsidR="001F275D" w:rsidRDefault="001F275D" w:rsidP="001F275D">
      <w:pPr>
        <w:spacing w:line="360" w:lineRule="auto"/>
        <w:ind w:left="-360" w:right="-48"/>
        <w:jc w:val="both"/>
        <w:rPr>
          <w:sz w:val="22"/>
          <w:szCs w:val="22"/>
        </w:rPr>
      </w:pPr>
      <w:r w:rsidRPr="003A30B6">
        <w:rPr>
          <w:sz w:val="22"/>
          <w:szCs w:val="22"/>
        </w:rPr>
        <w:t>The</w:t>
      </w:r>
      <w:r>
        <w:rPr>
          <w:sz w:val="22"/>
          <w:szCs w:val="22"/>
        </w:rPr>
        <w:t xml:space="preserve"> economic</w:t>
      </w:r>
      <w:r w:rsidRPr="003A30B6">
        <w:rPr>
          <w:sz w:val="22"/>
          <w:szCs w:val="22"/>
        </w:rPr>
        <w:t xml:space="preserve"> indicators </w:t>
      </w:r>
      <w:r w:rsidR="00DE22D8">
        <w:rPr>
          <w:sz w:val="22"/>
          <w:szCs w:val="22"/>
        </w:rPr>
        <w:t>we use</w:t>
      </w:r>
      <w:r w:rsidRPr="003A30B6">
        <w:rPr>
          <w:sz w:val="22"/>
          <w:szCs w:val="22"/>
        </w:rPr>
        <w:t xml:space="preserve"> </w:t>
      </w:r>
      <w:r w:rsidR="00DE22D8">
        <w:rPr>
          <w:sz w:val="22"/>
          <w:szCs w:val="22"/>
        </w:rPr>
        <w:t>in</w:t>
      </w:r>
      <w:r w:rsidRPr="003A30B6">
        <w:rPr>
          <w:sz w:val="22"/>
          <w:szCs w:val="22"/>
        </w:rPr>
        <w:t xml:space="preserve"> </w:t>
      </w:r>
      <w:r w:rsidR="00DE22D8" w:rsidRPr="003A30B6">
        <w:rPr>
          <w:sz w:val="22"/>
          <w:szCs w:val="22"/>
        </w:rPr>
        <w:t>forecast</w:t>
      </w:r>
      <w:r w:rsidR="00DE22D8">
        <w:rPr>
          <w:sz w:val="22"/>
          <w:szCs w:val="22"/>
        </w:rPr>
        <w:t>ing</w:t>
      </w:r>
      <w:r w:rsidR="00DE22D8" w:rsidRPr="003A30B6">
        <w:rPr>
          <w:sz w:val="22"/>
          <w:szCs w:val="22"/>
        </w:rPr>
        <w:t xml:space="preserve"> private</w:t>
      </w:r>
      <w:r>
        <w:rPr>
          <w:sz w:val="22"/>
          <w:szCs w:val="22"/>
        </w:rPr>
        <w:t xml:space="preserve"> consumption expenditure</w:t>
      </w:r>
      <w:r w:rsidR="00DE22D8">
        <w:rPr>
          <w:sz w:val="22"/>
          <w:szCs w:val="22"/>
        </w:rPr>
        <w:t>s</w:t>
      </w:r>
      <w:r w:rsidRPr="003A30B6">
        <w:rPr>
          <w:sz w:val="22"/>
          <w:szCs w:val="22"/>
        </w:rPr>
        <w:t xml:space="preserve"> are </w:t>
      </w:r>
      <w:r w:rsidR="00DE22D8">
        <w:rPr>
          <w:sz w:val="22"/>
          <w:szCs w:val="22"/>
        </w:rPr>
        <w:t>mostly</w:t>
      </w:r>
      <w:r w:rsidRPr="003A30B6">
        <w:rPr>
          <w:sz w:val="22"/>
          <w:szCs w:val="22"/>
        </w:rPr>
        <w:t xml:space="preserve"> pos</w:t>
      </w:r>
      <w:r>
        <w:rPr>
          <w:sz w:val="22"/>
          <w:szCs w:val="22"/>
        </w:rPr>
        <w:t xml:space="preserve">itive in July. </w:t>
      </w:r>
      <w:r w:rsidR="009F6583">
        <w:rPr>
          <w:sz w:val="22"/>
          <w:szCs w:val="22"/>
        </w:rPr>
        <w:t xml:space="preserve">Imports </w:t>
      </w:r>
      <w:r w:rsidR="00DE22D8" w:rsidRPr="00DE22D8">
        <w:rPr>
          <w:sz w:val="22"/>
          <w:szCs w:val="22"/>
        </w:rPr>
        <w:t xml:space="preserve">of consumption goods </w:t>
      </w:r>
      <w:r w:rsidRPr="003A30B6">
        <w:rPr>
          <w:sz w:val="22"/>
          <w:szCs w:val="22"/>
        </w:rPr>
        <w:t>increased by 5.5 percent in July</w:t>
      </w:r>
      <w:r>
        <w:rPr>
          <w:sz w:val="22"/>
          <w:szCs w:val="22"/>
        </w:rPr>
        <w:t xml:space="preserve"> from the previous month</w:t>
      </w:r>
      <w:r w:rsidRPr="003A30B6">
        <w:rPr>
          <w:sz w:val="22"/>
          <w:szCs w:val="22"/>
        </w:rPr>
        <w:t xml:space="preserve">. </w:t>
      </w:r>
      <w:r w:rsidR="00DE22D8">
        <w:rPr>
          <w:sz w:val="22"/>
          <w:szCs w:val="22"/>
        </w:rPr>
        <w:t>D</w:t>
      </w:r>
      <w:r w:rsidRPr="003A30B6">
        <w:rPr>
          <w:sz w:val="22"/>
          <w:szCs w:val="22"/>
        </w:rPr>
        <w:t xml:space="preserve">urable and </w:t>
      </w:r>
      <w:r w:rsidR="00DE22D8">
        <w:rPr>
          <w:sz w:val="22"/>
          <w:szCs w:val="22"/>
        </w:rPr>
        <w:t>non-</w:t>
      </w:r>
      <w:r w:rsidRPr="003A30B6">
        <w:rPr>
          <w:sz w:val="22"/>
          <w:szCs w:val="22"/>
        </w:rPr>
        <w:t>dura</w:t>
      </w:r>
      <w:r>
        <w:rPr>
          <w:sz w:val="22"/>
          <w:szCs w:val="22"/>
        </w:rPr>
        <w:t>ble consumer goods</w:t>
      </w:r>
      <w:r w:rsidRPr="003A30B6">
        <w:rPr>
          <w:sz w:val="22"/>
          <w:szCs w:val="22"/>
        </w:rPr>
        <w:t xml:space="preserve"> production</w:t>
      </w:r>
      <w:r>
        <w:rPr>
          <w:sz w:val="22"/>
          <w:szCs w:val="22"/>
        </w:rPr>
        <w:t>s</w:t>
      </w:r>
      <w:r w:rsidRPr="003A30B6">
        <w:rPr>
          <w:sz w:val="22"/>
          <w:szCs w:val="22"/>
        </w:rPr>
        <w:t xml:space="preserve"> increas</w:t>
      </w:r>
      <w:r>
        <w:rPr>
          <w:sz w:val="22"/>
          <w:szCs w:val="22"/>
        </w:rPr>
        <w:t xml:space="preserve">ed by </w:t>
      </w:r>
      <w:r w:rsidR="00DE22D8">
        <w:rPr>
          <w:sz w:val="22"/>
          <w:szCs w:val="22"/>
        </w:rPr>
        <w:t>4.1</w:t>
      </w:r>
      <w:r>
        <w:rPr>
          <w:sz w:val="22"/>
          <w:szCs w:val="22"/>
        </w:rPr>
        <w:t xml:space="preserve"> percent and </w:t>
      </w:r>
      <w:r w:rsidR="00DE22D8">
        <w:rPr>
          <w:sz w:val="22"/>
          <w:szCs w:val="22"/>
        </w:rPr>
        <w:t>6</w:t>
      </w:r>
      <w:r>
        <w:rPr>
          <w:sz w:val="22"/>
          <w:szCs w:val="22"/>
        </w:rPr>
        <w:t xml:space="preserve"> percent</w:t>
      </w:r>
      <w:r w:rsidR="00DE22D8">
        <w:rPr>
          <w:sz w:val="22"/>
          <w:szCs w:val="22"/>
        </w:rPr>
        <w:t>,</w:t>
      </w:r>
      <w:r w:rsidRPr="003A30B6">
        <w:rPr>
          <w:sz w:val="22"/>
          <w:szCs w:val="22"/>
        </w:rPr>
        <w:t xml:space="preserve"> respectively. Consumer Confidence Index increased by 1.3 pe</w:t>
      </w:r>
      <w:r>
        <w:rPr>
          <w:sz w:val="22"/>
          <w:szCs w:val="22"/>
        </w:rPr>
        <w:t>rcent. If economic</w:t>
      </w:r>
      <w:r w:rsidRPr="003A30B6">
        <w:rPr>
          <w:sz w:val="22"/>
          <w:szCs w:val="22"/>
        </w:rPr>
        <w:t xml:space="preserve"> indicators </w:t>
      </w:r>
      <w:r w:rsidR="00DE22D8">
        <w:rPr>
          <w:sz w:val="22"/>
          <w:szCs w:val="22"/>
        </w:rPr>
        <w:t>show</w:t>
      </w:r>
      <w:r>
        <w:rPr>
          <w:sz w:val="22"/>
          <w:szCs w:val="22"/>
        </w:rPr>
        <w:t xml:space="preserve"> a similar performance in the coming months of the third quarter</w:t>
      </w:r>
      <w:r w:rsidRPr="003A30B6">
        <w:rPr>
          <w:sz w:val="22"/>
          <w:szCs w:val="22"/>
        </w:rPr>
        <w:t xml:space="preserve">, </w:t>
      </w:r>
      <w:r>
        <w:rPr>
          <w:sz w:val="22"/>
          <w:szCs w:val="22"/>
        </w:rPr>
        <w:t xml:space="preserve">private consumption expenditure might </w:t>
      </w:r>
      <w:r w:rsidR="006837F6">
        <w:rPr>
          <w:sz w:val="22"/>
          <w:szCs w:val="22"/>
        </w:rPr>
        <w:t>increase slightly</w:t>
      </w:r>
      <w:r>
        <w:rPr>
          <w:sz w:val="22"/>
          <w:szCs w:val="22"/>
        </w:rPr>
        <w:t xml:space="preserve">.  </w:t>
      </w:r>
    </w:p>
    <w:p w:rsidR="008C38E5" w:rsidRPr="008B2149" w:rsidRDefault="008C38E5" w:rsidP="0093780A">
      <w:pPr>
        <w:spacing w:line="360" w:lineRule="auto"/>
        <w:ind w:right="42"/>
        <w:jc w:val="both"/>
        <w:rPr>
          <w:sz w:val="22"/>
          <w:szCs w:val="22"/>
        </w:rPr>
      </w:pPr>
    </w:p>
    <w:p w:rsidR="001F275D" w:rsidRPr="005743FF" w:rsidRDefault="0090421E" w:rsidP="001F275D">
      <w:pPr>
        <w:spacing w:line="360" w:lineRule="auto"/>
        <w:ind w:left="-360" w:right="42"/>
        <w:jc w:val="center"/>
        <w:rPr>
          <w:b/>
          <w:bCs/>
          <w:sz w:val="22"/>
          <w:szCs w:val="22"/>
        </w:rPr>
      </w:pPr>
      <w:r>
        <w:rPr>
          <w:b/>
          <w:bCs/>
          <w:sz w:val="22"/>
          <w:szCs w:val="22"/>
        </w:rPr>
        <w:t>Uncertainty</w:t>
      </w:r>
      <w:r w:rsidR="001F275D">
        <w:rPr>
          <w:b/>
          <w:bCs/>
          <w:sz w:val="22"/>
          <w:szCs w:val="22"/>
        </w:rPr>
        <w:t xml:space="preserve"> in investment expenditure</w:t>
      </w:r>
      <w:r>
        <w:rPr>
          <w:b/>
          <w:bCs/>
          <w:sz w:val="22"/>
          <w:szCs w:val="22"/>
        </w:rPr>
        <w:t>s</w:t>
      </w:r>
    </w:p>
    <w:p w:rsidR="001F275D" w:rsidRPr="005743FF" w:rsidRDefault="001F275D" w:rsidP="001F275D">
      <w:pPr>
        <w:spacing w:line="360" w:lineRule="auto"/>
        <w:ind w:left="-360" w:right="42"/>
        <w:jc w:val="center"/>
        <w:rPr>
          <w:b/>
          <w:bCs/>
          <w:sz w:val="22"/>
          <w:szCs w:val="22"/>
        </w:rPr>
      </w:pPr>
    </w:p>
    <w:p w:rsidR="001F275D" w:rsidRDefault="001F275D" w:rsidP="001F275D">
      <w:pPr>
        <w:spacing w:line="360" w:lineRule="auto"/>
        <w:ind w:left="-360" w:right="42"/>
        <w:jc w:val="both"/>
        <w:rPr>
          <w:sz w:val="22"/>
          <w:szCs w:val="22"/>
        </w:rPr>
      </w:pPr>
      <w:r>
        <w:rPr>
          <w:sz w:val="22"/>
          <w:szCs w:val="22"/>
        </w:rPr>
        <w:t xml:space="preserve">Real sector confidence index </w:t>
      </w:r>
      <w:r w:rsidR="001E192B">
        <w:rPr>
          <w:sz w:val="22"/>
          <w:szCs w:val="22"/>
        </w:rPr>
        <w:t>continued to deteriorate</w:t>
      </w:r>
      <w:r w:rsidR="0090421E">
        <w:rPr>
          <w:sz w:val="22"/>
          <w:szCs w:val="22"/>
        </w:rPr>
        <w:t xml:space="preserve">, </w:t>
      </w:r>
      <w:r>
        <w:rPr>
          <w:sz w:val="22"/>
          <w:szCs w:val="22"/>
        </w:rPr>
        <w:t>decreas</w:t>
      </w:r>
      <w:r w:rsidR="0090421E">
        <w:rPr>
          <w:sz w:val="22"/>
          <w:szCs w:val="22"/>
        </w:rPr>
        <w:t>ing</w:t>
      </w:r>
      <w:r>
        <w:rPr>
          <w:sz w:val="22"/>
          <w:szCs w:val="22"/>
        </w:rPr>
        <w:t xml:space="preserve"> 1.4 percent in August from the previous month. </w:t>
      </w:r>
      <w:r w:rsidR="00A64100">
        <w:rPr>
          <w:sz w:val="22"/>
          <w:szCs w:val="22"/>
        </w:rPr>
        <w:t>Automobile production</w:t>
      </w:r>
      <w:r>
        <w:rPr>
          <w:sz w:val="22"/>
          <w:szCs w:val="22"/>
        </w:rPr>
        <w:t xml:space="preserve"> also continued to decline</w:t>
      </w:r>
      <w:r w:rsidR="00A32CC6">
        <w:rPr>
          <w:sz w:val="22"/>
          <w:szCs w:val="22"/>
        </w:rPr>
        <w:t xml:space="preserve"> in July,</w:t>
      </w:r>
      <w:r>
        <w:rPr>
          <w:sz w:val="22"/>
          <w:szCs w:val="22"/>
        </w:rPr>
        <w:t xml:space="preserve"> decreas</w:t>
      </w:r>
      <w:r w:rsidR="00A64100">
        <w:rPr>
          <w:sz w:val="22"/>
          <w:szCs w:val="22"/>
        </w:rPr>
        <w:t>ing</w:t>
      </w:r>
      <w:r>
        <w:rPr>
          <w:sz w:val="22"/>
          <w:szCs w:val="22"/>
        </w:rPr>
        <w:t xml:space="preserve"> 2.5 percent. On the other hand, investment goods production increased by 5.5 percent. Investment </w:t>
      </w:r>
      <w:r>
        <w:rPr>
          <w:sz w:val="22"/>
          <w:szCs w:val="22"/>
        </w:rPr>
        <w:lastRenderedPageBreak/>
        <w:t xml:space="preserve">goods imports are very volatile. Even though we seasonally adjusted and outlier corrected investment goods imports series, we have detected a surge in investment goods imports. </w:t>
      </w:r>
      <w:r w:rsidR="00A32CC6">
        <w:rPr>
          <w:sz w:val="22"/>
          <w:szCs w:val="22"/>
        </w:rPr>
        <w:t>To make a solid</w:t>
      </w:r>
      <w:r>
        <w:rPr>
          <w:sz w:val="22"/>
          <w:szCs w:val="22"/>
        </w:rPr>
        <w:t xml:space="preserve"> analysis of priv</w:t>
      </w:r>
      <w:r w:rsidR="00A32CC6">
        <w:rPr>
          <w:sz w:val="22"/>
          <w:szCs w:val="22"/>
        </w:rPr>
        <w:t>ate investment expenditures, it seems</w:t>
      </w:r>
      <w:r>
        <w:rPr>
          <w:sz w:val="22"/>
          <w:szCs w:val="22"/>
        </w:rPr>
        <w:t xml:space="preserve"> better to wait for </w:t>
      </w:r>
      <w:r w:rsidR="001D4B8B">
        <w:rPr>
          <w:sz w:val="22"/>
          <w:szCs w:val="22"/>
        </w:rPr>
        <w:t xml:space="preserve">the </w:t>
      </w:r>
      <w:r>
        <w:rPr>
          <w:sz w:val="22"/>
          <w:szCs w:val="22"/>
        </w:rPr>
        <w:t xml:space="preserve">August data.   </w:t>
      </w:r>
    </w:p>
    <w:p w:rsidR="003C5112" w:rsidRDefault="003C5112" w:rsidP="00CB4CC5">
      <w:pPr>
        <w:spacing w:line="360" w:lineRule="auto"/>
        <w:ind w:right="42"/>
        <w:rPr>
          <w:b/>
          <w:sz w:val="22"/>
          <w:szCs w:val="22"/>
        </w:rPr>
      </w:pPr>
    </w:p>
    <w:p w:rsidR="00AE7542" w:rsidRPr="005743FF" w:rsidRDefault="00AE7542" w:rsidP="00AE7542">
      <w:pPr>
        <w:spacing w:line="360" w:lineRule="auto"/>
        <w:ind w:left="-360" w:right="42"/>
        <w:jc w:val="center"/>
        <w:rPr>
          <w:b/>
          <w:bCs/>
          <w:sz w:val="22"/>
          <w:szCs w:val="22"/>
        </w:rPr>
      </w:pPr>
      <w:r>
        <w:rPr>
          <w:b/>
          <w:bCs/>
          <w:sz w:val="22"/>
          <w:szCs w:val="22"/>
        </w:rPr>
        <w:t>Net exports declined</w:t>
      </w:r>
    </w:p>
    <w:p w:rsidR="00AE7542" w:rsidRPr="005743FF" w:rsidRDefault="00AE7542" w:rsidP="00AE7542">
      <w:pPr>
        <w:spacing w:line="360" w:lineRule="auto"/>
        <w:ind w:left="-360" w:right="42"/>
        <w:jc w:val="center"/>
        <w:rPr>
          <w:b/>
          <w:bCs/>
          <w:sz w:val="22"/>
          <w:szCs w:val="22"/>
        </w:rPr>
      </w:pPr>
    </w:p>
    <w:p w:rsidR="00AE7542" w:rsidRDefault="00AE7542" w:rsidP="001D4B8B">
      <w:pPr>
        <w:spacing w:line="360" w:lineRule="auto"/>
        <w:ind w:left="-360" w:right="42"/>
        <w:jc w:val="both"/>
        <w:rPr>
          <w:sz w:val="22"/>
          <w:szCs w:val="22"/>
        </w:rPr>
      </w:pPr>
      <w:r>
        <w:rPr>
          <w:sz w:val="22"/>
          <w:szCs w:val="22"/>
        </w:rPr>
        <w:t xml:space="preserve">Figure 2 shows monthly changes of seasonally adjusted import and export volume indices. In July, export volume index decreased by 1.3 percent whereas import volume index increased by 0.1 percent. </w:t>
      </w:r>
      <w:r>
        <w:rPr>
          <w:bCs/>
          <w:sz w:val="22"/>
          <w:szCs w:val="22"/>
        </w:rPr>
        <w:t>Turkish Exporters’ As</w:t>
      </w:r>
      <w:r w:rsidR="001D4B8B">
        <w:rPr>
          <w:bCs/>
          <w:sz w:val="22"/>
          <w:szCs w:val="22"/>
        </w:rPr>
        <w:t>sembly’s figures of August do not</w:t>
      </w:r>
      <w:r>
        <w:rPr>
          <w:bCs/>
          <w:sz w:val="22"/>
          <w:szCs w:val="22"/>
        </w:rPr>
        <w:t xml:space="preserve"> indicate a positive outlook. Net exports</w:t>
      </w:r>
      <w:r w:rsidR="001D4B8B">
        <w:rPr>
          <w:bCs/>
          <w:sz w:val="22"/>
          <w:szCs w:val="22"/>
        </w:rPr>
        <w:t xml:space="preserve"> that</w:t>
      </w:r>
      <w:r w:rsidRPr="001F3D45">
        <w:rPr>
          <w:bCs/>
          <w:sz w:val="22"/>
          <w:szCs w:val="22"/>
        </w:rPr>
        <w:t xml:space="preserve"> </w:t>
      </w:r>
      <w:r>
        <w:rPr>
          <w:bCs/>
          <w:sz w:val="22"/>
          <w:szCs w:val="22"/>
        </w:rPr>
        <w:t>boost</w:t>
      </w:r>
      <w:r w:rsidR="001D4B8B">
        <w:rPr>
          <w:bCs/>
          <w:sz w:val="22"/>
          <w:szCs w:val="22"/>
        </w:rPr>
        <w:t>ed</w:t>
      </w:r>
      <w:r w:rsidRPr="001F3D45">
        <w:rPr>
          <w:bCs/>
          <w:sz w:val="22"/>
          <w:szCs w:val="22"/>
        </w:rPr>
        <w:t xml:space="preserve"> the</w:t>
      </w:r>
      <w:r>
        <w:rPr>
          <w:bCs/>
          <w:sz w:val="22"/>
          <w:szCs w:val="22"/>
        </w:rPr>
        <w:t xml:space="preserve"> growth </w:t>
      </w:r>
      <w:r w:rsidR="001D4B8B">
        <w:rPr>
          <w:bCs/>
          <w:sz w:val="22"/>
          <w:szCs w:val="22"/>
        </w:rPr>
        <w:t>in</w:t>
      </w:r>
      <w:r>
        <w:rPr>
          <w:bCs/>
          <w:sz w:val="22"/>
          <w:szCs w:val="22"/>
        </w:rPr>
        <w:t xml:space="preserve"> the last 2 quarters may contribute very little to the growth</w:t>
      </w:r>
      <w:r w:rsidR="001D4B8B">
        <w:rPr>
          <w:bCs/>
          <w:sz w:val="22"/>
          <w:szCs w:val="22"/>
        </w:rPr>
        <w:t xml:space="preserve"> in the third quarter</w:t>
      </w:r>
      <w:r>
        <w:rPr>
          <w:bCs/>
          <w:sz w:val="22"/>
          <w:szCs w:val="22"/>
        </w:rPr>
        <w:t>.</w:t>
      </w:r>
      <w:r w:rsidRPr="001F3D45">
        <w:rPr>
          <w:bCs/>
          <w:sz w:val="22"/>
          <w:szCs w:val="22"/>
        </w:rPr>
        <w:t xml:space="preserve"> </w:t>
      </w:r>
    </w:p>
    <w:p w:rsidR="00AE7542" w:rsidRDefault="00DF5067" w:rsidP="001D4B8B">
      <w:pPr>
        <w:spacing w:line="360" w:lineRule="auto"/>
        <w:ind w:right="42"/>
        <w:jc w:val="both"/>
        <w:rPr>
          <w:sz w:val="22"/>
          <w:szCs w:val="22"/>
        </w:rPr>
      </w:pPr>
      <w:r>
        <w:rPr>
          <w:sz w:val="22"/>
          <w:szCs w:val="22"/>
        </w:rPr>
        <w:t xml:space="preserve"> </w:t>
      </w:r>
    </w:p>
    <w:p w:rsidR="00AE7542" w:rsidRDefault="00AE7542" w:rsidP="00C22DC8">
      <w:pPr>
        <w:spacing w:line="360" w:lineRule="auto"/>
        <w:ind w:left="-270" w:right="42"/>
        <w:jc w:val="center"/>
        <w:rPr>
          <w:b/>
          <w:bCs/>
          <w:sz w:val="22"/>
          <w:szCs w:val="22"/>
        </w:rPr>
      </w:pPr>
      <w:r>
        <w:rPr>
          <w:b/>
          <w:bCs/>
          <w:sz w:val="22"/>
          <w:szCs w:val="22"/>
        </w:rPr>
        <w:t>Current account deficit will fall below 8 percent</w:t>
      </w:r>
    </w:p>
    <w:p w:rsidR="00AE7542" w:rsidRDefault="00AE7542" w:rsidP="00AE7542">
      <w:pPr>
        <w:spacing w:line="360" w:lineRule="auto"/>
        <w:ind w:right="42"/>
        <w:rPr>
          <w:b/>
          <w:bCs/>
          <w:sz w:val="22"/>
          <w:szCs w:val="22"/>
        </w:rPr>
      </w:pPr>
    </w:p>
    <w:p w:rsidR="00AE7542" w:rsidRDefault="00AE7542" w:rsidP="00AE7542">
      <w:pPr>
        <w:spacing w:line="360" w:lineRule="auto"/>
        <w:ind w:left="-360" w:right="42"/>
        <w:jc w:val="both"/>
        <w:rPr>
          <w:sz w:val="22"/>
          <w:szCs w:val="22"/>
        </w:rPr>
      </w:pPr>
      <w:r>
        <w:rPr>
          <w:sz w:val="22"/>
          <w:szCs w:val="22"/>
        </w:rPr>
        <w:t>In July, t</w:t>
      </w:r>
      <w:r w:rsidRPr="005743FF">
        <w:rPr>
          <w:sz w:val="22"/>
          <w:szCs w:val="22"/>
        </w:rPr>
        <w:t xml:space="preserve">he current account deficit decreased by $1.6 billion </w:t>
      </w:r>
      <w:r>
        <w:rPr>
          <w:sz w:val="22"/>
          <w:szCs w:val="22"/>
        </w:rPr>
        <w:t>compared</w:t>
      </w:r>
      <w:r w:rsidR="00C22DC8">
        <w:rPr>
          <w:sz w:val="22"/>
          <w:szCs w:val="22"/>
        </w:rPr>
        <w:t xml:space="preserve"> to</w:t>
      </w:r>
      <w:r>
        <w:rPr>
          <w:sz w:val="22"/>
          <w:szCs w:val="22"/>
        </w:rPr>
        <w:t xml:space="preserve"> the same month of the last year </w:t>
      </w:r>
      <w:r w:rsidRPr="005743FF">
        <w:rPr>
          <w:sz w:val="22"/>
          <w:szCs w:val="22"/>
        </w:rPr>
        <w:t>and</w:t>
      </w:r>
      <w:r>
        <w:rPr>
          <w:sz w:val="22"/>
          <w:szCs w:val="22"/>
        </w:rPr>
        <w:t xml:space="preserve"> t</w:t>
      </w:r>
      <w:r w:rsidRPr="005743FF">
        <w:rPr>
          <w:sz w:val="22"/>
          <w:szCs w:val="22"/>
        </w:rPr>
        <w:t>he 12-</w:t>
      </w:r>
      <w:r w:rsidR="001E192B">
        <w:rPr>
          <w:sz w:val="22"/>
          <w:szCs w:val="22"/>
        </w:rPr>
        <w:t>month current account deficit</w:t>
      </w:r>
      <w:r w:rsidRPr="005743FF">
        <w:rPr>
          <w:sz w:val="22"/>
          <w:szCs w:val="22"/>
        </w:rPr>
        <w:t xml:space="preserve"> fell to $61.4 billion</w:t>
      </w:r>
      <w:r>
        <w:rPr>
          <w:sz w:val="22"/>
          <w:szCs w:val="22"/>
        </w:rPr>
        <w:t xml:space="preserve"> at the end of July</w:t>
      </w:r>
      <w:r w:rsidRPr="005743FF">
        <w:rPr>
          <w:sz w:val="22"/>
          <w:szCs w:val="22"/>
        </w:rPr>
        <w:t>.</w:t>
      </w:r>
      <w:r>
        <w:rPr>
          <w:sz w:val="22"/>
          <w:szCs w:val="22"/>
        </w:rPr>
        <w:t xml:space="preserve"> We expect the current account deficit </w:t>
      </w:r>
      <w:r w:rsidR="00287ACE">
        <w:rPr>
          <w:sz w:val="22"/>
          <w:szCs w:val="22"/>
        </w:rPr>
        <w:t>to</w:t>
      </w:r>
      <w:r>
        <w:rPr>
          <w:sz w:val="22"/>
          <w:szCs w:val="22"/>
        </w:rPr>
        <w:t xml:space="preserve"> </w:t>
      </w:r>
      <w:r w:rsidR="00287ACE">
        <w:rPr>
          <w:sz w:val="22"/>
          <w:szCs w:val="22"/>
        </w:rPr>
        <w:t>decrease</w:t>
      </w:r>
      <w:r>
        <w:rPr>
          <w:sz w:val="22"/>
          <w:szCs w:val="22"/>
        </w:rPr>
        <w:t xml:space="preserve"> in the coming months, but the rate of </w:t>
      </w:r>
      <w:r w:rsidR="00287ACE">
        <w:rPr>
          <w:sz w:val="22"/>
          <w:szCs w:val="22"/>
        </w:rPr>
        <w:t xml:space="preserve">decrease </w:t>
      </w:r>
      <w:r>
        <w:rPr>
          <w:sz w:val="22"/>
          <w:szCs w:val="22"/>
        </w:rPr>
        <w:t xml:space="preserve">will </w:t>
      </w:r>
      <w:r w:rsidR="00287ACE">
        <w:rPr>
          <w:sz w:val="22"/>
          <w:szCs w:val="22"/>
        </w:rPr>
        <w:t>be slower</w:t>
      </w:r>
      <w:r>
        <w:rPr>
          <w:sz w:val="22"/>
          <w:szCs w:val="22"/>
        </w:rPr>
        <w:t>. There are two reasons for this slowdown: one</w:t>
      </w:r>
      <w:r w:rsidR="00C22DC8">
        <w:rPr>
          <w:sz w:val="22"/>
          <w:szCs w:val="22"/>
        </w:rPr>
        <w:t xml:space="preserve"> reason</w:t>
      </w:r>
      <w:r>
        <w:rPr>
          <w:sz w:val="22"/>
          <w:szCs w:val="22"/>
        </w:rPr>
        <w:t xml:space="preserve"> is that exports will be weaker in the second h</w:t>
      </w:r>
      <w:r w:rsidR="001E192B">
        <w:rPr>
          <w:sz w:val="22"/>
          <w:szCs w:val="22"/>
        </w:rPr>
        <w:t>alf of 2012 than the first half and</w:t>
      </w:r>
      <w:r>
        <w:rPr>
          <w:sz w:val="22"/>
          <w:szCs w:val="22"/>
        </w:rPr>
        <w:t xml:space="preserve"> the second reason is that the base effect</w:t>
      </w:r>
      <w:r w:rsidR="00287ACE">
        <w:rPr>
          <w:sz w:val="22"/>
          <w:szCs w:val="22"/>
        </w:rPr>
        <w:t xml:space="preserve"> from the previous year</w:t>
      </w:r>
      <w:r>
        <w:rPr>
          <w:sz w:val="22"/>
          <w:szCs w:val="22"/>
        </w:rPr>
        <w:t xml:space="preserve"> will diminish after the fourth quarter. At the end of second quarter, the current account to GDP ratio was 8.2 percent (before the revision in July, it was 8.3 percent). We forecast </w:t>
      </w:r>
      <w:r>
        <w:rPr>
          <w:sz w:val="22"/>
          <w:szCs w:val="22"/>
        </w:rPr>
        <w:lastRenderedPageBreak/>
        <w:t>that the current account to GDP ratio will fall to 7.5 percent at the end of the third quarter.</w:t>
      </w:r>
    </w:p>
    <w:p w:rsidR="001D4B8B" w:rsidRDefault="001D4B8B" w:rsidP="00AE7542">
      <w:pPr>
        <w:spacing w:line="360" w:lineRule="auto"/>
        <w:ind w:left="-360" w:right="42"/>
        <w:jc w:val="both"/>
        <w:rPr>
          <w:sz w:val="22"/>
          <w:szCs w:val="22"/>
        </w:rPr>
      </w:pPr>
    </w:p>
    <w:p w:rsidR="001D4B8B" w:rsidRDefault="001D4B8B" w:rsidP="00AE7542">
      <w:pPr>
        <w:spacing w:line="360" w:lineRule="auto"/>
        <w:ind w:left="-360" w:right="42"/>
        <w:jc w:val="both"/>
        <w:rPr>
          <w:sz w:val="22"/>
          <w:szCs w:val="22"/>
        </w:rPr>
      </w:pPr>
    </w:p>
    <w:p w:rsidR="006E2D48" w:rsidRPr="000B669B" w:rsidRDefault="00AE7542" w:rsidP="00AE7542">
      <w:pPr>
        <w:spacing w:line="360" w:lineRule="auto"/>
        <w:ind w:left="-360" w:right="42"/>
        <w:jc w:val="both"/>
        <w:rPr>
          <w:sz w:val="16"/>
          <w:szCs w:val="16"/>
        </w:rPr>
        <w:sectPr w:rsidR="006E2D48" w:rsidRPr="000B669B" w:rsidSect="00523C58">
          <w:type w:val="continuous"/>
          <w:pgSz w:w="11906" w:h="16838"/>
          <w:pgMar w:top="1417" w:right="1417" w:bottom="1417" w:left="1417" w:header="708" w:footer="708" w:gutter="0"/>
          <w:cols w:num="2" w:space="708" w:equalWidth="0">
            <w:col w:w="4182" w:space="708"/>
            <w:col w:w="4182"/>
          </w:cols>
          <w:docGrid w:linePitch="360"/>
        </w:sectPr>
      </w:pPr>
      <w:r>
        <w:rPr>
          <w:sz w:val="22"/>
          <w:szCs w:val="22"/>
        </w:rPr>
        <w:br w:type="column"/>
      </w:r>
    </w:p>
    <w:p w:rsidR="008C6E50" w:rsidRPr="008B2149" w:rsidRDefault="00E823E8" w:rsidP="00801493">
      <w:pPr>
        <w:spacing w:line="360" w:lineRule="auto"/>
        <w:ind w:right="42"/>
        <w:jc w:val="both"/>
        <w:rPr>
          <w:rFonts w:ascii="Arial" w:hAnsi="Arial" w:cs="Arial"/>
          <w:sz w:val="20"/>
          <w:szCs w:val="20"/>
        </w:rPr>
      </w:pPr>
      <w:r w:rsidRPr="008B2149">
        <w:rPr>
          <w:rFonts w:ascii="Arial" w:hAnsi="Arial" w:cs="Arial"/>
          <w:b/>
          <w:sz w:val="20"/>
          <w:szCs w:val="20"/>
        </w:rPr>
        <w:lastRenderedPageBreak/>
        <w:t>Table</w:t>
      </w:r>
      <w:r w:rsidR="008C6E50" w:rsidRPr="008B2149">
        <w:rPr>
          <w:rFonts w:ascii="Arial" w:hAnsi="Arial" w:cs="Arial"/>
          <w:b/>
          <w:sz w:val="20"/>
          <w:szCs w:val="20"/>
        </w:rPr>
        <w:t xml:space="preserve"> 2. </w:t>
      </w:r>
      <w:r w:rsidRPr="008B2149">
        <w:rPr>
          <w:rFonts w:ascii="Arial" w:hAnsi="Arial" w:cs="Arial"/>
          <w:b/>
          <w:sz w:val="20"/>
          <w:szCs w:val="20"/>
        </w:rPr>
        <w:t xml:space="preserve">Monthly and quarterly changes of Betam’s selected indicators (real </w:t>
      </w:r>
      <w:r w:rsidR="00455777" w:rsidRPr="008B2149">
        <w:rPr>
          <w:rFonts w:ascii="Arial" w:hAnsi="Arial" w:cs="Arial"/>
          <w:b/>
          <w:sz w:val="20"/>
          <w:szCs w:val="20"/>
        </w:rPr>
        <w:t>and</w:t>
      </w:r>
      <w:r w:rsidRPr="008B2149">
        <w:rPr>
          <w:rFonts w:ascii="Arial" w:hAnsi="Arial" w:cs="Arial"/>
          <w:b/>
          <w:sz w:val="20"/>
          <w:szCs w:val="20"/>
        </w:rPr>
        <w:t xml:space="preserve"> sa</w:t>
      </w:r>
      <w:r w:rsidR="008C6E50" w:rsidRPr="008B2149">
        <w:rPr>
          <w:rFonts w:ascii="Arial" w:hAnsi="Arial" w:cs="Arial"/>
          <w:b/>
          <w:sz w:val="20"/>
          <w:szCs w:val="20"/>
        </w:rPr>
        <w:t>)</w:t>
      </w:r>
    </w:p>
    <w:p w:rsidR="008C6E50" w:rsidRPr="008B2149" w:rsidRDefault="008C6E50" w:rsidP="001E4BF5">
      <w:pPr>
        <w:spacing w:line="360" w:lineRule="auto"/>
        <w:ind w:left="-360" w:right="42"/>
        <w:jc w:val="both"/>
        <w:rPr>
          <w:rFonts w:ascii="Arial" w:hAnsi="Arial" w:cs="Arial"/>
          <w:sz w:val="20"/>
          <w:szCs w:val="20"/>
        </w:rPr>
        <w:sectPr w:rsidR="008C6E50" w:rsidRPr="008B2149" w:rsidSect="0075074A">
          <w:type w:val="continuous"/>
          <w:pgSz w:w="11906" w:h="16838"/>
          <w:pgMar w:top="1417" w:right="1417" w:bottom="1417" w:left="1417" w:header="708" w:footer="708" w:gutter="0"/>
          <w:cols w:space="708"/>
          <w:docGrid w:linePitch="360"/>
        </w:sectPr>
      </w:pPr>
    </w:p>
    <w:tbl>
      <w:tblPr>
        <w:tblW w:w="5550" w:type="pct"/>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3245"/>
        <w:gridCol w:w="1140"/>
        <w:gridCol w:w="1140"/>
        <w:gridCol w:w="1139"/>
        <w:gridCol w:w="1139"/>
        <w:gridCol w:w="1139"/>
        <w:gridCol w:w="1139"/>
      </w:tblGrid>
      <w:tr w:rsidR="00051CD0" w:rsidRPr="00067DF6" w:rsidTr="00230A81">
        <w:tc>
          <w:tcPr>
            <w:tcW w:w="1609" w:type="pct"/>
            <w:tcBorders>
              <w:bottom w:val="single" w:sz="4" w:space="0" w:color="auto"/>
            </w:tcBorders>
            <w:vAlign w:val="bottom"/>
          </w:tcPr>
          <w:p w:rsidR="00051CD0" w:rsidRPr="00067DF6" w:rsidRDefault="00051CD0" w:rsidP="00067DF6">
            <w:pPr>
              <w:spacing w:line="288" w:lineRule="auto"/>
              <w:ind w:right="77"/>
              <w:jc w:val="center"/>
              <w:rPr>
                <w:rFonts w:ascii="Arial" w:hAnsi="Arial" w:cs="Arial"/>
                <w:sz w:val="20"/>
                <w:szCs w:val="20"/>
              </w:rPr>
            </w:pPr>
            <w:r w:rsidRPr="00067DF6">
              <w:rPr>
                <w:rFonts w:ascii="Arial" w:hAnsi="Arial" w:cs="Arial"/>
                <w:b/>
                <w:sz w:val="20"/>
                <w:szCs w:val="20"/>
              </w:rPr>
              <w:lastRenderedPageBreak/>
              <w:t>Indicators</w:t>
            </w:r>
          </w:p>
        </w:tc>
        <w:tc>
          <w:tcPr>
            <w:tcW w:w="565" w:type="pct"/>
            <w:tcBorders>
              <w:bottom w:val="single" w:sz="4" w:space="0" w:color="auto"/>
            </w:tcBorders>
            <w:vAlign w:val="center"/>
          </w:tcPr>
          <w:p w:rsidR="00051CD0" w:rsidRPr="00067DF6" w:rsidRDefault="00AE7542" w:rsidP="00067DF6">
            <w:pPr>
              <w:spacing w:line="288" w:lineRule="auto"/>
              <w:ind w:right="77"/>
              <w:jc w:val="center"/>
              <w:rPr>
                <w:rFonts w:ascii="Arial" w:hAnsi="Arial" w:cs="Arial"/>
                <w:b/>
                <w:sz w:val="20"/>
                <w:szCs w:val="20"/>
              </w:rPr>
            </w:pPr>
            <w:r>
              <w:rPr>
                <w:rFonts w:ascii="Arial" w:hAnsi="Arial" w:cs="Arial"/>
                <w:b/>
                <w:sz w:val="20"/>
                <w:szCs w:val="20"/>
              </w:rPr>
              <w:t>May</w:t>
            </w:r>
          </w:p>
        </w:tc>
        <w:tc>
          <w:tcPr>
            <w:tcW w:w="565" w:type="pct"/>
            <w:tcBorders>
              <w:bottom w:val="single" w:sz="4" w:space="0" w:color="auto"/>
            </w:tcBorders>
            <w:vAlign w:val="center"/>
          </w:tcPr>
          <w:p w:rsidR="00051CD0" w:rsidRPr="00067DF6" w:rsidRDefault="00AE7542" w:rsidP="00067DF6">
            <w:pPr>
              <w:spacing w:line="288" w:lineRule="auto"/>
              <w:ind w:right="77"/>
              <w:jc w:val="center"/>
              <w:rPr>
                <w:rFonts w:ascii="Arial" w:hAnsi="Arial" w:cs="Arial"/>
                <w:b/>
                <w:sz w:val="20"/>
                <w:szCs w:val="20"/>
              </w:rPr>
            </w:pPr>
            <w:r>
              <w:rPr>
                <w:rFonts w:ascii="Arial" w:hAnsi="Arial" w:cs="Arial"/>
                <w:b/>
                <w:sz w:val="20"/>
                <w:szCs w:val="20"/>
              </w:rPr>
              <w:t>June</w:t>
            </w:r>
          </w:p>
        </w:tc>
        <w:tc>
          <w:tcPr>
            <w:tcW w:w="565" w:type="pct"/>
            <w:tcBorders>
              <w:bottom w:val="single" w:sz="4" w:space="0" w:color="auto"/>
            </w:tcBorders>
            <w:vAlign w:val="center"/>
          </w:tcPr>
          <w:p w:rsidR="00051CD0" w:rsidRPr="00067DF6" w:rsidRDefault="000743ED" w:rsidP="00067DF6">
            <w:pPr>
              <w:spacing w:line="288" w:lineRule="auto"/>
              <w:ind w:right="77"/>
              <w:jc w:val="center"/>
              <w:rPr>
                <w:rFonts w:ascii="Arial" w:hAnsi="Arial" w:cs="Arial"/>
                <w:b/>
                <w:sz w:val="20"/>
                <w:szCs w:val="20"/>
              </w:rPr>
            </w:pPr>
            <w:r>
              <w:rPr>
                <w:rFonts w:ascii="Arial" w:hAnsi="Arial" w:cs="Arial"/>
                <w:b/>
                <w:sz w:val="20"/>
                <w:szCs w:val="20"/>
              </w:rPr>
              <w:t>Ju</w:t>
            </w:r>
            <w:r w:rsidR="00AE7542">
              <w:rPr>
                <w:rFonts w:ascii="Arial" w:hAnsi="Arial" w:cs="Arial"/>
                <w:b/>
                <w:sz w:val="20"/>
                <w:szCs w:val="20"/>
              </w:rPr>
              <w:t>ly</w:t>
            </w:r>
          </w:p>
        </w:tc>
        <w:tc>
          <w:tcPr>
            <w:tcW w:w="565" w:type="pct"/>
            <w:tcBorders>
              <w:bottom w:val="single" w:sz="4" w:space="0" w:color="auto"/>
            </w:tcBorders>
            <w:vAlign w:val="center"/>
          </w:tcPr>
          <w:p w:rsidR="00051CD0" w:rsidRPr="00067DF6" w:rsidRDefault="00AE7542" w:rsidP="00067DF6">
            <w:pPr>
              <w:spacing w:line="288" w:lineRule="auto"/>
              <w:ind w:right="77"/>
              <w:jc w:val="center"/>
              <w:rPr>
                <w:rFonts w:ascii="Arial" w:hAnsi="Arial" w:cs="Arial"/>
                <w:b/>
                <w:sz w:val="20"/>
                <w:szCs w:val="20"/>
              </w:rPr>
            </w:pPr>
            <w:r>
              <w:rPr>
                <w:rFonts w:ascii="Arial" w:hAnsi="Arial" w:cs="Arial"/>
                <w:b/>
                <w:sz w:val="20"/>
                <w:szCs w:val="20"/>
              </w:rPr>
              <w:t>August</w:t>
            </w:r>
          </w:p>
        </w:tc>
        <w:tc>
          <w:tcPr>
            <w:tcW w:w="565" w:type="pct"/>
            <w:tcBorders>
              <w:left w:val="double" w:sz="4" w:space="0" w:color="auto"/>
              <w:bottom w:val="single" w:sz="4" w:space="0" w:color="auto"/>
            </w:tcBorders>
            <w:vAlign w:val="center"/>
          </w:tcPr>
          <w:p w:rsidR="00051CD0" w:rsidRPr="00067DF6" w:rsidRDefault="00230A81" w:rsidP="003D0BE4">
            <w:pPr>
              <w:spacing w:line="288" w:lineRule="auto"/>
              <w:ind w:right="77"/>
              <w:jc w:val="center"/>
              <w:rPr>
                <w:rFonts w:ascii="Arial" w:hAnsi="Arial" w:cs="Arial"/>
                <w:b/>
                <w:sz w:val="20"/>
                <w:szCs w:val="20"/>
              </w:rPr>
            </w:pPr>
            <w:r>
              <w:rPr>
                <w:rFonts w:ascii="Arial" w:hAnsi="Arial" w:cs="Arial"/>
                <w:b/>
                <w:sz w:val="20"/>
                <w:szCs w:val="20"/>
              </w:rPr>
              <w:t>201</w:t>
            </w:r>
            <w:r w:rsidR="003D0BE4">
              <w:rPr>
                <w:rFonts w:ascii="Arial" w:hAnsi="Arial" w:cs="Arial"/>
                <w:b/>
                <w:sz w:val="20"/>
                <w:szCs w:val="20"/>
              </w:rPr>
              <w:t>2</w:t>
            </w:r>
            <w:r w:rsidR="00AE7542">
              <w:rPr>
                <w:rFonts w:ascii="Arial" w:hAnsi="Arial" w:cs="Arial"/>
                <w:b/>
                <w:sz w:val="20"/>
                <w:szCs w:val="20"/>
              </w:rPr>
              <w:t xml:space="preserve"> 2</w:t>
            </w:r>
            <w:r w:rsidR="001116C3" w:rsidRPr="001116C3">
              <w:rPr>
                <w:rFonts w:ascii="Arial" w:hAnsi="Arial" w:cs="Arial"/>
                <w:b/>
                <w:sz w:val="20"/>
                <w:szCs w:val="20"/>
                <w:vertAlign w:val="superscript"/>
              </w:rPr>
              <w:t>nd</w:t>
            </w:r>
            <w:r w:rsidR="00051CD0" w:rsidRPr="00067DF6">
              <w:rPr>
                <w:rFonts w:ascii="Arial" w:hAnsi="Arial" w:cs="Arial"/>
                <w:b/>
                <w:sz w:val="20"/>
                <w:szCs w:val="20"/>
              </w:rPr>
              <w:t xml:space="preserve"> Quarter</w:t>
            </w:r>
          </w:p>
        </w:tc>
        <w:tc>
          <w:tcPr>
            <w:tcW w:w="565" w:type="pct"/>
            <w:tcBorders>
              <w:bottom w:val="single" w:sz="4" w:space="0" w:color="auto"/>
            </w:tcBorders>
            <w:vAlign w:val="center"/>
          </w:tcPr>
          <w:p w:rsidR="00051CD0" w:rsidRPr="00067DF6" w:rsidRDefault="00230A81" w:rsidP="003D0BE4">
            <w:pPr>
              <w:spacing w:line="288" w:lineRule="auto"/>
              <w:ind w:right="77"/>
              <w:jc w:val="center"/>
              <w:rPr>
                <w:rFonts w:ascii="Arial" w:hAnsi="Arial" w:cs="Arial"/>
                <w:b/>
                <w:sz w:val="20"/>
                <w:szCs w:val="20"/>
              </w:rPr>
            </w:pPr>
            <w:r>
              <w:rPr>
                <w:rFonts w:ascii="Arial" w:hAnsi="Arial" w:cs="Arial"/>
                <w:b/>
                <w:sz w:val="20"/>
                <w:szCs w:val="20"/>
              </w:rPr>
              <w:t>201</w:t>
            </w:r>
            <w:r w:rsidR="003D0BE4">
              <w:rPr>
                <w:rFonts w:ascii="Arial" w:hAnsi="Arial" w:cs="Arial"/>
                <w:b/>
                <w:sz w:val="20"/>
                <w:szCs w:val="20"/>
              </w:rPr>
              <w:t>2</w:t>
            </w:r>
            <w:r w:rsidR="00AE7542">
              <w:rPr>
                <w:rFonts w:ascii="Arial" w:hAnsi="Arial" w:cs="Arial"/>
                <w:b/>
                <w:sz w:val="20"/>
                <w:szCs w:val="20"/>
              </w:rPr>
              <w:t xml:space="preserve"> 3</w:t>
            </w:r>
            <w:r w:rsidR="001116C3" w:rsidRPr="001116C3">
              <w:rPr>
                <w:rFonts w:ascii="Arial" w:hAnsi="Arial" w:cs="Arial"/>
                <w:b/>
                <w:sz w:val="20"/>
                <w:szCs w:val="20"/>
                <w:vertAlign w:val="superscript"/>
              </w:rPr>
              <w:t>rd</w:t>
            </w:r>
            <w:r w:rsidR="00051CD0" w:rsidRPr="00067DF6">
              <w:rPr>
                <w:rFonts w:ascii="Arial" w:hAnsi="Arial" w:cs="Arial"/>
                <w:b/>
                <w:sz w:val="20"/>
                <w:szCs w:val="20"/>
              </w:rPr>
              <w:t xml:space="preserve"> Quarter</w:t>
            </w:r>
          </w:p>
        </w:tc>
      </w:tr>
      <w:tr w:rsidR="00AE7542" w:rsidRPr="00067DF6" w:rsidTr="00230A81">
        <w:trPr>
          <w:trHeight w:val="20"/>
        </w:trPr>
        <w:tc>
          <w:tcPr>
            <w:tcW w:w="1609" w:type="pct"/>
            <w:tcBorders>
              <w:bottom w:val="nil"/>
              <w:right w:val="single" w:sz="4" w:space="0" w:color="auto"/>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Exports</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5</w:t>
            </w:r>
          </w:p>
        </w:tc>
        <w:tc>
          <w:tcPr>
            <w:tcW w:w="565" w:type="pct"/>
            <w:tcBorders>
              <w:left w:val="single" w:sz="4" w:space="0" w:color="auto"/>
              <w:bottom w:val="nil"/>
              <w:right w:val="single" w:sz="4" w:space="0" w:color="auto"/>
            </w:tcBorders>
            <w:vAlign w:val="center"/>
          </w:tcPr>
          <w:p w:rsidR="00AE7542" w:rsidRPr="005743FF" w:rsidRDefault="00010DD1" w:rsidP="00010DD1">
            <w:pPr>
              <w:spacing w:line="288" w:lineRule="auto"/>
              <w:ind w:right="77"/>
              <w:rPr>
                <w:b/>
                <w:bCs/>
              </w:rPr>
            </w:pPr>
            <w:r>
              <w:rPr>
                <w:b/>
                <w:bCs/>
                <w:sz w:val="22"/>
                <w:szCs w:val="22"/>
              </w:rPr>
              <w:t xml:space="preserve">           </w:t>
            </w:r>
            <w:r w:rsidR="00AE7542" w:rsidRPr="005743FF">
              <w:rPr>
                <w:b/>
                <w:bCs/>
                <w:sz w:val="22"/>
                <w:szCs w:val="22"/>
              </w:rPr>
              <w:t>4</w:t>
            </w:r>
            <w:r>
              <w:rPr>
                <w:b/>
                <w:bCs/>
                <w:sz w:val="22"/>
                <w:szCs w:val="22"/>
              </w:rPr>
              <w:t>.</w:t>
            </w:r>
            <w:r w:rsidR="00AE7542" w:rsidRPr="005743FF">
              <w:rPr>
                <w:b/>
                <w:bCs/>
                <w:sz w:val="22"/>
                <w:szCs w:val="22"/>
              </w:rPr>
              <w:t>5</w:t>
            </w:r>
          </w:p>
        </w:tc>
        <w:tc>
          <w:tcPr>
            <w:tcW w:w="565" w:type="pct"/>
            <w:tcBorders>
              <w:left w:val="single" w:sz="4" w:space="0" w:color="auto"/>
              <w:bottom w:val="nil"/>
              <w:right w:val="single" w:sz="4" w:space="0" w:color="auto"/>
            </w:tcBorders>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3</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w:t>
            </w:r>
          </w:p>
        </w:tc>
        <w:tc>
          <w:tcPr>
            <w:tcW w:w="565" w:type="pct"/>
            <w:tcBorders>
              <w:left w:val="double" w:sz="4" w:space="0" w:color="auto"/>
              <w:bottom w:val="nil"/>
              <w:right w:val="single" w:sz="4" w:space="0" w:color="auto"/>
            </w:tcBorders>
            <w:vAlign w:val="center"/>
          </w:tcPr>
          <w:p w:rsidR="00AE7542" w:rsidRPr="005743FF" w:rsidRDefault="00010DD1" w:rsidP="00010DD1">
            <w:pPr>
              <w:spacing w:line="288" w:lineRule="auto"/>
              <w:ind w:right="77"/>
              <w:rPr>
                <w:b/>
                <w:bCs/>
              </w:rPr>
            </w:pPr>
            <w:r>
              <w:rPr>
                <w:b/>
                <w:bCs/>
                <w:sz w:val="22"/>
                <w:szCs w:val="22"/>
              </w:rPr>
              <w:t xml:space="preserve">         </w:t>
            </w:r>
            <w:r w:rsidR="00AE7542" w:rsidRPr="005743FF">
              <w:rPr>
                <w:b/>
                <w:bCs/>
                <w:sz w:val="22"/>
                <w:szCs w:val="22"/>
              </w:rPr>
              <w:t>11</w:t>
            </w:r>
            <w:r>
              <w:rPr>
                <w:b/>
                <w:bCs/>
                <w:sz w:val="22"/>
                <w:szCs w:val="22"/>
              </w:rPr>
              <w:t>.</w:t>
            </w:r>
            <w:r w:rsidR="00AE7542" w:rsidRPr="005743FF">
              <w:rPr>
                <w:b/>
                <w:bCs/>
                <w:sz w:val="22"/>
                <w:szCs w:val="22"/>
              </w:rPr>
              <w:t>5</w:t>
            </w:r>
          </w:p>
        </w:tc>
        <w:tc>
          <w:tcPr>
            <w:tcW w:w="565" w:type="pct"/>
            <w:tcBorders>
              <w:left w:val="single" w:sz="4" w:space="0" w:color="auto"/>
              <w:bottom w:val="nil"/>
            </w:tcBorders>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5</w:t>
            </w:r>
          </w:p>
        </w:tc>
      </w:tr>
      <w:tr w:rsidR="00AE7542" w:rsidRPr="00067DF6" w:rsidTr="00230A81">
        <w:trPr>
          <w:trHeight w:val="20"/>
        </w:trPr>
        <w:tc>
          <w:tcPr>
            <w:tcW w:w="1609" w:type="pct"/>
            <w:tcBorders>
              <w:bottom w:val="nil"/>
              <w:right w:val="single" w:sz="4" w:space="0" w:color="auto"/>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Imports</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6</w:t>
            </w:r>
            <w:r w:rsidR="00010DD1">
              <w:rPr>
                <w:b/>
                <w:bCs/>
                <w:sz w:val="22"/>
                <w:szCs w:val="22"/>
              </w:rPr>
              <w:t>.</w:t>
            </w:r>
            <w:r w:rsidRPr="005743FF">
              <w:rPr>
                <w:b/>
                <w:bCs/>
                <w:sz w:val="22"/>
                <w:szCs w:val="22"/>
              </w:rPr>
              <w:t>2</w:t>
            </w:r>
          </w:p>
        </w:tc>
        <w:tc>
          <w:tcPr>
            <w:tcW w:w="565" w:type="pct"/>
            <w:tcBorders>
              <w:left w:val="single" w:sz="4" w:space="0" w:color="auto"/>
              <w:bottom w:val="nil"/>
              <w:right w:val="single" w:sz="4" w:space="0" w:color="auto"/>
            </w:tcBorders>
            <w:vAlign w:val="center"/>
          </w:tcPr>
          <w:p w:rsidR="00AE7542" w:rsidRPr="005743FF" w:rsidRDefault="00010DD1" w:rsidP="00010DD1">
            <w:pPr>
              <w:spacing w:line="288" w:lineRule="auto"/>
              <w:ind w:right="77"/>
              <w:rPr>
                <w:b/>
                <w:bCs/>
              </w:rPr>
            </w:pPr>
            <w:r>
              <w:rPr>
                <w:b/>
                <w:bCs/>
                <w:sz w:val="22"/>
                <w:szCs w:val="22"/>
              </w:rPr>
              <w:t xml:space="preserve">          </w:t>
            </w:r>
            <w:r w:rsidR="00AE7542" w:rsidRPr="005743FF">
              <w:rPr>
                <w:b/>
                <w:bCs/>
                <w:sz w:val="22"/>
                <w:szCs w:val="22"/>
              </w:rPr>
              <w:t>-1</w:t>
            </w:r>
            <w:r>
              <w:rPr>
                <w:b/>
                <w:bCs/>
                <w:sz w:val="22"/>
                <w:szCs w:val="22"/>
              </w:rPr>
              <w:t>.</w:t>
            </w:r>
            <w:r w:rsidR="00AE7542" w:rsidRPr="005743FF">
              <w:rPr>
                <w:b/>
                <w:bCs/>
                <w:sz w:val="22"/>
                <w:szCs w:val="22"/>
              </w:rPr>
              <w:t>9</w:t>
            </w:r>
            <w:r>
              <w:rPr>
                <w:b/>
                <w:bCs/>
                <w:sz w:val="22"/>
                <w:szCs w:val="22"/>
              </w:rPr>
              <w:t xml:space="preserve">        </w:t>
            </w:r>
          </w:p>
        </w:tc>
        <w:tc>
          <w:tcPr>
            <w:tcW w:w="565" w:type="pct"/>
            <w:tcBorders>
              <w:left w:val="single" w:sz="4" w:space="0" w:color="auto"/>
              <w:bottom w:val="nil"/>
              <w:right w:val="single" w:sz="4" w:space="0" w:color="auto"/>
            </w:tcBorders>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1</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w:t>
            </w:r>
          </w:p>
        </w:tc>
        <w:tc>
          <w:tcPr>
            <w:tcW w:w="565" w:type="pct"/>
            <w:tcBorders>
              <w:left w:val="double" w:sz="4" w:space="0" w:color="auto"/>
              <w:bottom w:val="nil"/>
              <w:right w:val="single" w:sz="4" w:space="0" w:color="auto"/>
            </w:tcBorders>
            <w:vAlign w:val="center"/>
          </w:tcPr>
          <w:p w:rsidR="00AE7542" w:rsidRPr="005743FF" w:rsidRDefault="00010DD1" w:rsidP="00010DD1">
            <w:pPr>
              <w:spacing w:line="288" w:lineRule="auto"/>
              <w:ind w:right="77"/>
              <w:rPr>
                <w:b/>
                <w:bCs/>
              </w:rPr>
            </w:pPr>
            <w:r>
              <w:rPr>
                <w:b/>
                <w:bCs/>
                <w:sz w:val="22"/>
                <w:szCs w:val="22"/>
              </w:rPr>
              <w:t xml:space="preserve">           </w:t>
            </w:r>
            <w:r w:rsidR="00AE7542" w:rsidRPr="005743FF">
              <w:rPr>
                <w:b/>
                <w:bCs/>
                <w:sz w:val="22"/>
                <w:szCs w:val="22"/>
              </w:rPr>
              <w:t>3</w:t>
            </w:r>
            <w:r>
              <w:rPr>
                <w:b/>
                <w:bCs/>
                <w:sz w:val="22"/>
                <w:szCs w:val="22"/>
              </w:rPr>
              <w:t>.</w:t>
            </w:r>
            <w:r w:rsidR="00AE7542" w:rsidRPr="005743FF">
              <w:rPr>
                <w:b/>
                <w:bCs/>
                <w:sz w:val="22"/>
                <w:szCs w:val="22"/>
              </w:rPr>
              <w:t>1</w:t>
            </w:r>
            <w:r>
              <w:rPr>
                <w:b/>
                <w:bCs/>
                <w:sz w:val="22"/>
                <w:szCs w:val="22"/>
              </w:rPr>
              <w:t xml:space="preserve">                      </w:t>
            </w:r>
          </w:p>
        </w:tc>
        <w:tc>
          <w:tcPr>
            <w:tcW w:w="565" w:type="pct"/>
            <w:tcBorders>
              <w:left w:val="single" w:sz="4" w:space="0" w:color="auto"/>
              <w:bottom w:val="nil"/>
            </w:tcBorders>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8</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Intermediate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8</w:t>
            </w:r>
            <w:r w:rsidR="00010DD1">
              <w:rPr>
                <w:sz w:val="22"/>
                <w:szCs w:val="22"/>
              </w:rPr>
              <w:t>.</w:t>
            </w:r>
            <w:r w:rsidRPr="005743FF">
              <w:rPr>
                <w:sz w:val="22"/>
                <w:szCs w:val="22"/>
              </w:rPr>
              <w:t>9</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5</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0</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2</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8</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Consumer goods import</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14</w:t>
            </w:r>
            <w:r w:rsidR="00010DD1">
              <w:rPr>
                <w:sz w:val="22"/>
                <w:szCs w:val="22"/>
              </w:rPr>
              <w:t>.</w:t>
            </w:r>
            <w:r w:rsidRPr="005743FF">
              <w:rPr>
                <w:sz w:val="22"/>
                <w:szCs w:val="22"/>
              </w:rPr>
              <w:t>6</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-14</w:t>
            </w:r>
            <w:r w:rsidR="00010DD1">
              <w:rPr>
                <w:sz w:val="22"/>
                <w:szCs w:val="22"/>
              </w:rPr>
              <w:t>.</w:t>
            </w:r>
            <w:r w:rsidRPr="005743FF">
              <w:rPr>
                <w:sz w:val="22"/>
                <w:szCs w:val="22"/>
              </w:rPr>
              <w:t>0</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5</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8</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4</w:t>
            </w:r>
          </w:p>
        </w:tc>
      </w:tr>
      <w:tr w:rsidR="00AE7542" w:rsidRPr="00067DF6" w:rsidTr="00230A81">
        <w:trPr>
          <w:trHeight w:val="20"/>
        </w:trPr>
        <w:tc>
          <w:tcPr>
            <w:tcW w:w="1609" w:type="pct"/>
            <w:tcBorders>
              <w:top w:val="nil"/>
              <w:bottom w:val="single" w:sz="4" w:space="0" w:color="auto"/>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Investment goods import</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0</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-31</w:t>
            </w:r>
            <w:r w:rsidR="00010DD1">
              <w:rPr>
                <w:sz w:val="22"/>
                <w:szCs w:val="22"/>
              </w:rPr>
              <w:t>.</w:t>
            </w:r>
            <w:r w:rsidRPr="005743FF">
              <w:rPr>
                <w:sz w:val="22"/>
                <w:szCs w:val="22"/>
              </w:rPr>
              <w:t>7</w:t>
            </w:r>
          </w:p>
        </w:tc>
        <w:tc>
          <w:tcPr>
            <w:tcW w:w="565" w:type="pct"/>
            <w:tcBorders>
              <w:top w:val="nil"/>
              <w:left w:val="single" w:sz="4" w:space="0" w:color="auto"/>
              <w:bottom w:val="single" w:sz="4" w:space="0" w:color="auto"/>
              <w:right w:val="single" w:sz="4" w:space="0" w:color="auto"/>
            </w:tcBorders>
            <w:vAlign w:val="center"/>
          </w:tcPr>
          <w:p w:rsidR="00AE7542" w:rsidRPr="005743FF" w:rsidRDefault="00AE7542" w:rsidP="00010DD1">
            <w:pPr>
              <w:spacing w:line="288" w:lineRule="auto"/>
              <w:ind w:right="77"/>
              <w:jc w:val="right"/>
            </w:pPr>
            <w:r w:rsidRPr="005743FF">
              <w:rPr>
                <w:sz w:val="22"/>
                <w:szCs w:val="22"/>
              </w:rPr>
              <w:t>41</w:t>
            </w:r>
            <w:r w:rsidR="00010DD1">
              <w:rPr>
                <w:sz w:val="22"/>
                <w:szCs w:val="22"/>
              </w:rPr>
              <w:t>.</w:t>
            </w:r>
            <w:r w:rsidRPr="005743FF">
              <w:rPr>
                <w:sz w:val="22"/>
                <w:szCs w:val="22"/>
              </w:rPr>
              <w:t>5</w:t>
            </w:r>
          </w:p>
        </w:tc>
        <w:tc>
          <w:tcPr>
            <w:tcW w:w="565" w:type="pct"/>
            <w:tcBorders>
              <w:top w:val="nil"/>
              <w:left w:val="single" w:sz="4" w:space="0" w:color="auto"/>
              <w:bottom w:val="single" w:sz="4" w:space="0" w:color="auto"/>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-13</w:t>
            </w:r>
            <w:r w:rsidR="00010DD1">
              <w:rPr>
                <w:sz w:val="22"/>
                <w:szCs w:val="22"/>
              </w:rPr>
              <w:t>.</w:t>
            </w:r>
            <w:r w:rsidRPr="005743FF">
              <w:rPr>
                <w:sz w:val="22"/>
                <w:szCs w:val="22"/>
              </w:rPr>
              <w:t>6</w:t>
            </w:r>
          </w:p>
        </w:tc>
        <w:tc>
          <w:tcPr>
            <w:tcW w:w="565" w:type="pct"/>
            <w:tcBorders>
              <w:top w:val="nil"/>
              <w:left w:val="single" w:sz="4" w:space="0" w:color="auto"/>
              <w:bottom w:val="single" w:sz="4" w:space="0" w:color="auto"/>
            </w:tcBorders>
            <w:vAlign w:val="center"/>
          </w:tcPr>
          <w:p w:rsidR="00AE7542" w:rsidRPr="005743FF" w:rsidRDefault="00AE7542" w:rsidP="00010DD1">
            <w:pPr>
              <w:spacing w:line="288" w:lineRule="auto"/>
              <w:ind w:right="77"/>
              <w:jc w:val="right"/>
            </w:pPr>
            <w:r w:rsidRPr="005743FF">
              <w:rPr>
                <w:sz w:val="22"/>
                <w:szCs w:val="22"/>
              </w:rPr>
              <w:t>9</w:t>
            </w:r>
            <w:r w:rsidR="00010DD1">
              <w:rPr>
                <w:sz w:val="22"/>
                <w:szCs w:val="22"/>
              </w:rPr>
              <w:t>.</w:t>
            </w:r>
            <w:r w:rsidRPr="005743FF">
              <w:rPr>
                <w:sz w:val="22"/>
                <w:szCs w:val="22"/>
              </w:rPr>
              <w:t>6</w:t>
            </w:r>
          </w:p>
        </w:tc>
      </w:tr>
      <w:tr w:rsidR="00AE7542" w:rsidRPr="00067DF6" w:rsidTr="00230A81">
        <w:trPr>
          <w:trHeight w:val="20"/>
        </w:trPr>
        <w:tc>
          <w:tcPr>
            <w:tcW w:w="1609" w:type="pct"/>
            <w:tcBorders>
              <w:bottom w:val="nil"/>
              <w:right w:val="single" w:sz="4" w:space="0" w:color="auto"/>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 xml:space="preserve">Industrial Production Index (IPI) </w:t>
            </w:r>
          </w:p>
        </w:tc>
        <w:tc>
          <w:tcPr>
            <w:tcW w:w="565" w:type="pct"/>
            <w:tcBorders>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9</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6</w:t>
            </w:r>
          </w:p>
        </w:tc>
        <w:tc>
          <w:tcPr>
            <w:tcW w:w="565" w:type="pct"/>
            <w:tcBorders>
              <w:left w:val="single" w:sz="4" w:space="0" w:color="auto"/>
              <w:bottom w:val="nil"/>
              <w:right w:val="single" w:sz="4" w:space="0" w:color="auto"/>
            </w:tcBorders>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7</w:t>
            </w:r>
          </w:p>
        </w:tc>
        <w:tc>
          <w:tcPr>
            <w:tcW w:w="565" w:type="pct"/>
            <w:tcBorders>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rPr>
                <w:b/>
                <w:bCs/>
              </w:rPr>
            </w:pPr>
            <w:r w:rsidRPr="005743FF">
              <w:rPr>
                <w:b/>
                <w:bCs/>
                <w:sz w:val="22"/>
                <w:szCs w:val="22"/>
              </w:rPr>
              <w:t>**</w:t>
            </w:r>
          </w:p>
        </w:tc>
        <w:tc>
          <w:tcPr>
            <w:tcW w:w="565" w:type="pct"/>
            <w:tcBorders>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7</w:t>
            </w:r>
          </w:p>
        </w:tc>
        <w:tc>
          <w:tcPr>
            <w:tcW w:w="565" w:type="pct"/>
            <w:tcBorders>
              <w:left w:val="single" w:sz="4" w:space="0" w:color="auto"/>
              <w:bottom w:val="nil"/>
            </w:tcBorders>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9</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6</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-6</w:t>
            </w:r>
            <w:r w:rsidR="00010DD1">
              <w:rPr>
                <w:sz w:val="22"/>
                <w:szCs w:val="22"/>
              </w:rPr>
              <w:t>.</w:t>
            </w:r>
            <w:r w:rsidRPr="005743FF">
              <w:rPr>
                <w:sz w:val="22"/>
                <w:szCs w:val="22"/>
              </w:rPr>
              <w:t>9</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6</w:t>
            </w:r>
            <w:r w:rsidR="00010DD1">
              <w:rPr>
                <w:sz w:val="22"/>
                <w:szCs w:val="22"/>
              </w:rPr>
              <w:t>.</w:t>
            </w:r>
            <w:r w:rsidRPr="005743FF">
              <w:rPr>
                <w:sz w:val="22"/>
                <w:szCs w:val="22"/>
              </w:rPr>
              <w:t>0</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4</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6</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1</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-6</w:t>
            </w:r>
            <w:r w:rsidR="00010DD1">
              <w:rPr>
                <w:sz w:val="22"/>
                <w:szCs w:val="22"/>
              </w:rPr>
              <w:t>.</w:t>
            </w:r>
            <w:r w:rsidRPr="005743FF">
              <w:rPr>
                <w:sz w:val="22"/>
                <w:szCs w:val="22"/>
              </w:rPr>
              <w:t>4</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1</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2</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2</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3</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9</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0</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2</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8</w:t>
            </w:r>
          </w:p>
        </w:tc>
      </w:tr>
      <w:tr w:rsidR="00AE7542" w:rsidRPr="00067DF6" w:rsidTr="00230A81">
        <w:trPr>
          <w:trHeight w:val="20"/>
        </w:trPr>
        <w:tc>
          <w:tcPr>
            <w:tcW w:w="1609" w:type="pct"/>
            <w:tcBorders>
              <w:top w:val="nil"/>
              <w:bottom w:val="single" w:sz="4" w:space="0" w:color="auto"/>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9</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-8</w:t>
            </w:r>
            <w:r w:rsidR="00010DD1">
              <w:rPr>
                <w:sz w:val="22"/>
                <w:szCs w:val="22"/>
              </w:rPr>
              <w:t>.</w:t>
            </w:r>
            <w:r w:rsidRPr="005743FF">
              <w:rPr>
                <w:sz w:val="22"/>
                <w:szCs w:val="22"/>
              </w:rPr>
              <w:t>2</w:t>
            </w:r>
          </w:p>
        </w:tc>
        <w:tc>
          <w:tcPr>
            <w:tcW w:w="565" w:type="pct"/>
            <w:tcBorders>
              <w:top w:val="nil"/>
              <w:left w:val="single" w:sz="4" w:space="0" w:color="auto"/>
              <w:bottom w:val="single" w:sz="4" w:space="0" w:color="auto"/>
              <w:right w:val="single" w:sz="4" w:space="0" w:color="auto"/>
            </w:tcBorders>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5</w:t>
            </w:r>
          </w:p>
        </w:tc>
        <w:tc>
          <w:tcPr>
            <w:tcW w:w="565" w:type="pct"/>
            <w:tcBorders>
              <w:top w:val="nil"/>
              <w:left w:val="single" w:sz="4" w:space="0" w:color="auto"/>
              <w:bottom w:val="single" w:sz="4" w:space="0" w:color="auto"/>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0</w:t>
            </w:r>
          </w:p>
        </w:tc>
        <w:tc>
          <w:tcPr>
            <w:tcW w:w="565" w:type="pct"/>
            <w:tcBorders>
              <w:top w:val="nil"/>
              <w:left w:val="single" w:sz="4" w:space="0" w:color="auto"/>
              <w:bottom w:val="single" w:sz="4" w:space="0" w:color="auto"/>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2</w:t>
            </w:r>
          </w:p>
        </w:tc>
      </w:tr>
      <w:tr w:rsidR="00AE7542" w:rsidRPr="00067DF6" w:rsidTr="00230A81">
        <w:trPr>
          <w:trHeight w:val="20"/>
        </w:trPr>
        <w:tc>
          <w:tcPr>
            <w:tcW w:w="1609" w:type="pct"/>
            <w:tcBorders>
              <w:bottom w:val="nil"/>
              <w:right w:val="single" w:sz="4" w:space="0" w:color="auto"/>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Capacity Utilization Rate (CUR)</w:t>
            </w:r>
          </w:p>
        </w:tc>
        <w:tc>
          <w:tcPr>
            <w:tcW w:w="565" w:type="pct"/>
            <w:tcBorders>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1</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4</w:t>
            </w:r>
          </w:p>
        </w:tc>
        <w:tc>
          <w:tcPr>
            <w:tcW w:w="565" w:type="pct"/>
            <w:tcBorders>
              <w:left w:val="single" w:sz="4" w:space="0" w:color="auto"/>
              <w:bottom w:val="nil"/>
              <w:right w:val="single" w:sz="4" w:space="0" w:color="auto"/>
            </w:tcBorders>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1</w:t>
            </w:r>
          </w:p>
        </w:tc>
        <w:tc>
          <w:tcPr>
            <w:tcW w:w="565" w:type="pct"/>
            <w:tcBorders>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rPr>
                <w:b/>
                <w:bCs/>
              </w:rPr>
            </w:pPr>
            <w:r w:rsidRPr="005743FF">
              <w:rPr>
                <w:b/>
                <w:bCs/>
                <w:sz w:val="22"/>
                <w:szCs w:val="22"/>
              </w:rPr>
              <w:t>-0</w:t>
            </w:r>
            <w:r w:rsidR="00010DD1">
              <w:rPr>
                <w:b/>
                <w:bCs/>
                <w:sz w:val="22"/>
                <w:szCs w:val="22"/>
              </w:rPr>
              <w:t>.</w:t>
            </w:r>
            <w:r w:rsidRPr="005743FF">
              <w:rPr>
                <w:b/>
                <w:bCs/>
                <w:sz w:val="22"/>
                <w:szCs w:val="22"/>
              </w:rPr>
              <w:t>2</w:t>
            </w:r>
          </w:p>
        </w:tc>
        <w:tc>
          <w:tcPr>
            <w:tcW w:w="565" w:type="pct"/>
            <w:tcBorders>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-2</w:t>
            </w:r>
            <w:r w:rsidR="00010DD1">
              <w:rPr>
                <w:b/>
                <w:bCs/>
                <w:sz w:val="22"/>
                <w:szCs w:val="22"/>
              </w:rPr>
              <w:t>.</w:t>
            </w:r>
            <w:r w:rsidRPr="005743FF">
              <w:rPr>
                <w:b/>
                <w:bCs/>
                <w:sz w:val="22"/>
                <w:szCs w:val="22"/>
              </w:rPr>
              <w:t>5</w:t>
            </w:r>
          </w:p>
        </w:tc>
        <w:tc>
          <w:tcPr>
            <w:tcW w:w="565" w:type="pct"/>
            <w:tcBorders>
              <w:left w:val="single" w:sz="4" w:space="0" w:color="auto"/>
              <w:bottom w:val="nil"/>
            </w:tcBorders>
            <w:vAlign w:val="center"/>
          </w:tcPr>
          <w:p w:rsidR="00AE7542" w:rsidRPr="005743FF" w:rsidRDefault="00AE7542" w:rsidP="00010DD1">
            <w:pPr>
              <w:spacing w:line="288" w:lineRule="auto"/>
              <w:ind w:right="77"/>
              <w:jc w:val="right"/>
              <w:rPr>
                <w:b/>
                <w:bCs/>
              </w:rPr>
            </w:pPr>
            <w:r w:rsidRPr="005743FF">
              <w:rPr>
                <w:b/>
                <w:bCs/>
                <w:sz w:val="22"/>
                <w:szCs w:val="22"/>
              </w:rPr>
              <w:t>-1</w:t>
            </w:r>
            <w:r w:rsidR="00010DD1">
              <w:rPr>
                <w:b/>
                <w:bCs/>
                <w:sz w:val="22"/>
                <w:szCs w:val="22"/>
              </w:rPr>
              <w:t>.</w:t>
            </w:r>
            <w:r w:rsidRPr="005743FF">
              <w:rPr>
                <w:b/>
                <w:bCs/>
                <w:sz w:val="22"/>
                <w:szCs w:val="22"/>
              </w:rPr>
              <w:t>8</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Nondurable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3</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0</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1</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6</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2</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5</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Durable consumer goods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4</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9</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2</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3</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5</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4</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Intermediate goods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3</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6</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3</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6</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1</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6</w:t>
            </w:r>
          </w:p>
        </w:tc>
      </w:tr>
      <w:tr w:rsidR="00AE7542" w:rsidRPr="00067DF6" w:rsidTr="00230A81">
        <w:trPr>
          <w:trHeight w:val="20"/>
        </w:trPr>
        <w:tc>
          <w:tcPr>
            <w:tcW w:w="1609" w:type="pct"/>
            <w:tcBorders>
              <w:top w:val="nil"/>
              <w:bottom w:val="single" w:sz="4" w:space="0" w:color="auto"/>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Investment goods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7</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4</w:t>
            </w:r>
          </w:p>
        </w:tc>
        <w:tc>
          <w:tcPr>
            <w:tcW w:w="565" w:type="pct"/>
            <w:tcBorders>
              <w:top w:val="nil"/>
              <w:left w:val="single" w:sz="4" w:space="0" w:color="auto"/>
              <w:bottom w:val="single" w:sz="4" w:space="0" w:color="auto"/>
              <w:right w:val="single" w:sz="4" w:space="0" w:color="auto"/>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5</w:t>
            </w:r>
          </w:p>
        </w:tc>
        <w:tc>
          <w:tcPr>
            <w:tcW w:w="565" w:type="pct"/>
            <w:tcBorders>
              <w:top w:val="nil"/>
              <w:left w:val="single" w:sz="4" w:space="0" w:color="auto"/>
              <w:bottom w:val="single" w:sz="4" w:space="0" w:color="auto"/>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7</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5</w:t>
            </w:r>
          </w:p>
        </w:tc>
        <w:tc>
          <w:tcPr>
            <w:tcW w:w="565" w:type="pct"/>
            <w:tcBorders>
              <w:top w:val="nil"/>
              <w:left w:val="single" w:sz="4" w:space="0" w:color="auto"/>
              <w:bottom w:val="single" w:sz="4" w:space="0" w:color="auto"/>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8</w:t>
            </w:r>
          </w:p>
        </w:tc>
      </w:tr>
      <w:tr w:rsidR="00AE7542" w:rsidRPr="00067DF6" w:rsidTr="00230A81">
        <w:trPr>
          <w:trHeight w:val="20"/>
        </w:trPr>
        <w:tc>
          <w:tcPr>
            <w:tcW w:w="1609" w:type="pct"/>
            <w:tcBorders>
              <w:bottom w:val="nil"/>
              <w:right w:val="single" w:sz="4" w:space="0" w:color="auto"/>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Manufacturing Order</w:t>
            </w:r>
            <w:r w:rsidR="004D60DE">
              <w:rPr>
                <w:rFonts w:ascii="Arial" w:hAnsi="Arial" w:cs="Arial"/>
                <w:b/>
                <w:sz w:val="20"/>
                <w:szCs w:val="20"/>
              </w:rPr>
              <w:t>s</w:t>
            </w:r>
            <w:r w:rsidRPr="00067DF6">
              <w:rPr>
                <w:rFonts w:ascii="Arial" w:hAnsi="Arial" w:cs="Arial"/>
                <w:b/>
                <w:sz w:val="20"/>
                <w:szCs w:val="20"/>
              </w:rPr>
              <w:t xml:space="preserve"> Index</w:t>
            </w:r>
          </w:p>
        </w:tc>
        <w:tc>
          <w:tcPr>
            <w:tcW w:w="565" w:type="pct"/>
            <w:tcBorders>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5</w:t>
            </w:r>
            <w:r w:rsidR="00010DD1">
              <w:rPr>
                <w:b/>
                <w:bCs/>
                <w:sz w:val="22"/>
                <w:szCs w:val="22"/>
              </w:rPr>
              <w:t>.</w:t>
            </w:r>
            <w:r w:rsidRPr="005743FF">
              <w:rPr>
                <w:b/>
                <w:bCs/>
                <w:sz w:val="22"/>
                <w:szCs w:val="22"/>
              </w:rPr>
              <w:t>9</w:t>
            </w:r>
          </w:p>
        </w:tc>
        <w:tc>
          <w:tcPr>
            <w:tcW w:w="565" w:type="pct"/>
            <w:tcBorders>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-4</w:t>
            </w:r>
            <w:r w:rsidR="00010DD1">
              <w:rPr>
                <w:b/>
                <w:bCs/>
                <w:sz w:val="22"/>
                <w:szCs w:val="22"/>
              </w:rPr>
              <w:t>.</w:t>
            </w:r>
            <w:r w:rsidRPr="005743FF">
              <w:rPr>
                <w:b/>
                <w:bCs/>
                <w:sz w:val="22"/>
                <w:szCs w:val="22"/>
              </w:rPr>
              <w:t>6</w:t>
            </w:r>
          </w:p>
        </w:tc>
        <w:tc>
          <w:tcPr>
            <w:tcW w:w="565" w:type="pct"/>
            <w:tcBorders>
              <w:left w:val="single" w:sz="4" w:space="0" w:color="auto"/>
              <w:bottom w:val="nil"/>
              <w:right w:val="single" w:sz="4" w:space="0" w:color="auto"/>
            </w:tcBorders>
            <w:vAlign w:val="center"/>
          </w:tcPr>
          <w:p w:rsidR="00AE7542" w:rsidRPr="005743FF" w:rsidRDefault="00AE7542" w:rsidP="00010DD1">
            <w:pPr>
              <w:spacing w:line="288" w:lineRule="auto"/>
              <w:ind w:right="77"/>
              <w:jc w:val="right"/>
              <w:rPr>
                <w:b/>
                <w:bCs/>
              </w:rPr>
            </w:pPr>
            <w:r w:rsidRPr="005743FF">
              <w:rPr>
                <w:b/>
                <w:bCs/>
                <w:sz w:val="22"/>
                <w:szCs w:val="22"/>
              </w:rPr>
              <w:t>**</w:t>
            </w:r>
          </w:p>
        </w:tc>
        <w:tc>
          <w:tcPr>
            <w:tcW w:w="565" w:type="pct"/>
            <w:tcBorders>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rPr>
                <w:b/>
                <w:bCs/>
              </w:rPr>
            </w:pPr>
            <w:r w:rsidRPr="005743FF">
              <w:rPr>
                <w:b/>
                <w:bCs/>
                <w:sz w:val="22"/>
                <w:szCs w:val="22"/>
              </w:rPr>
              <w:t>**</w:t>
            </w:r>
          </w:p>
        </w:tc>
        <w:tc>
          <w:tcPr>
            <w:tcW w:w="565" w:type="pct"/>
            <w:tcBorders>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rPr>
                <w:b/>
                <w:bCs/>
              </w:rPr>
            </w:pPr>
            <w:r w:rsidRPr="005743FF">
              <w:rPr>
                <w:b/>
                <w:bCs/>
                <w:sz w:val="22"/>
                <w:szCs w:val="22"/>
              </w:rPr>
              <w:t>3</w:t>
            </w:r>
            <w:r w:rsidR="00010DD1">
              <w:rPr>
                <w:b/>
                <w:bCs/>
                <w:sz w:val="22"/>
                <w:szCs w:val="22"/>
              </w:rPr>
              <w:t>.</w:t>
            </w:r>
            <w:r w:rsidRPr="005743FF">
              <w:rPr>
                <w:b/>
                <w:bCs/>
                <w:sz w:val="22"/>
                <w:szCs w:val="22"/>
              </w:rPr>
              <w:t>0</w:t>
            </w:r>
          </w:p>
        </w:tc>
        <w:tc>
          <w:tcPr>
            <w:tcW w:w="565" w:type="pct"/>
            <w:tcBorders>
              <w:left w:val="single" w:sz="4" w:space="0" w:color="auto"/>
              <w:bottom w:val="nil"/>
            </w:tcBorders>
            <w:vAlign w:val="center"/>
          </w:tcPr>
          <w:p w:rsidR="00AE7542" w:rsidRPr="005743FF" w:rsidRDefault="00AE7542" w:rsidP="00010DD1">
            <w:pPr>
              <w:spacing w:line="288" w:lineRule="auto"/>
              <w:ind w:right="77"/>
              <w:jc w:val="right"/>
              <w:rPr>
                <w:b/>
                <w:bCs/>
              </w:rPr>
            </w:pPr>
            <w:r w:rsidRPr="005743FF">
              <w:rPr>
                <w:b/>
                <w:bCs/>
                <w:sz w:val="22"/>
                <w:szCs w:val="22"/>
              </w:rPr>
              <w:t>**</w:t>
            </w: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Domestic Orders</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8</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1</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7</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w:t>
            </w:r>
          </w:p>
        </w:tc>
      </w:tr>
      <w:tr w:rsidR="00AE7542" w:rsidRPr="00067DF6" w:rsidTr="00230A81">
        <w:trPr>
          <w:trHeight w:val="20"/>
        </w:trPr>
        <w:tc>
          <w:tcPr>
            <w:tcW w:w="1609" w:type="pct"/>
            <w:tcBorders>
              <w:top w:val="nil"/>
              <w:bottom w:val="single" w:sz="4" w:space="0" w:color="auto"/>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Foreign Orderrs</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9</w:t>
            </w:r>
            <w:r w:rsidR="00010DD1">
              <w:rPr>
                <w:sz w:val="22"/>
                <w:szCs w:val="22"/>
              </w:rPr>
              <w:t>.</w:t>
            </w:r>
            <w:r w:rsidRPr="005743FF">
              <w:rPr>
                <w:sz w:val="22"/>
                <w:szCs w:val="22"/>
              </w:rPr>
              <w:t>3</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-3</w:t>
            </w:r>
            <w:r w:rsidR="00010DD1">
              <w:rPr>
                <w:sz w:val="22"/>
                <w:szCs w:val="22"/>
              </w:rPr>
              <w:t>.</w:t>
            </w:r>
            <w:r w:rsidRPr="005743FF">
              <w:rPr>
                <w:sz w:val="22"/>
                <w:szCs w:val="22"/>
              </w:rPr>
              <w:t>3</w:t>
            </w:r>
          </w:p>
        </w:tc>
        <w:tc>
          <w:tcPr>
            <w:tcW w:w="565" w:type="pct"/>
            <w:tcBorders>
              <w:top w:val="nil"/>
              <w:left w:val="single" w:sz="4" w:space="0" w:color="auto"/>
              <w:bottom w:val="single" w:sz="4" w:space="0" w:color="auto"/>
              <w:right w:val="single" w:sz="4" w:space="0" w:color="auto"/>
            </w:tcBorders>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single" w:sz="4" w:space="0" w:color="auto"/>
              <w:bottom w:val="single" w:sz="4" w:space="0" w:color="auto"/>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5</w:t>
            </w:r>
          </w:p>
        </w:tc>
        <w:tc>
          <w:tcPr>
            <w:tcW w:w="565" w:type="pct"/>
            <w:tcBorders>
              <w:top w:val="nil"/>
              <w:left w:val="single" w:sz="4" w:space="0" w:color="auto"/>
              <w:bottom w:val="single" w:sz="4" w:space="0" w:color="auto"/>
            </w:tcBorders>
            <w:vAlign w:val="center"/>
          </w:tcPr>
          <w:p w:rsidR="00AE7542" w:rsidRPr="005743FF" w:rsidRDefault="00AE7542" w:rsidP="00010DD1">
            <w:pPr>
              <w:spacing w:line="288" w:lineRule="auto"/>
              <w:ind w:right="77"/>
              <w:jc w:val="right"/>
            </w:pPr>
            <w:r w:rsidRPr="005743FF">
              <w:rPr>
                <w:sz w:val="22"/>
                <w:szCs w:val="22"/>
              </w:rPr>
              <w:t>**</w:t>
            </w:r>
          </w:p>
        </w:tc>
      </w:tr>
      <w:tr w:rsidR="00AE7542" w:rsidRPr="00067DF6" w:rsidTr="00230A81">
        <w:trPr>
          <w:trHeight w:val="20"/>
        </w:trPr>
        <w:tc>
          <w:tcPr>
            <w:tcW w:w="1609" w:type="pct"/>
            <w:tcBorders>
              <w:top w:val="single" w:sz="4" w:space="0" w:color="auto"/>
              <w:bottom w:val="nil"/>
              <w:right w:val="single" w:sz="4" w:space="0" w:color="auto"/>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Soft Data</w:t>
            </w:r>
          </w:p>
        </w:tc>
        <w:tc>
          <w:tcPr>
            <w:tcW w:w="565" w:type="pct"/>
            <w:tcBorders>
              <w:top w:val="single" w:sz="4" w:space="0" w:color="auto"/>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p>
        </w:tc>
        <w:tc>
          <w:tcPr>
            <w:tcW w:w="565" w:type="pct"/>
            <w:tcBorders>
              <w:top w:val="single" w:sz="4" w:space="0" w:color="auto"/>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p>
        </w:tc>
        <w:tc>
          <w:tcPr>
            <w:tcW w:w="565" w:type="pct"/>
            <w:tcBorders>
              <w:top w:val="single" w:sz="4" w:space="0" w:color="auto"/>
              <w:left w:val="single" w:sz="4" w:space="0" w:color="auto"/>
              <w:bottom w:val="nil"/>
              <w:right w:val="single" w:sz="4" w:space="0" w:color="auto"/>
            </w:tcBorders>
            <w:vAlign w:val="center"/>
          </w:tcPr>
          <w:p w:rsidR="00AE7542" w:rsidRPr="005743FF" w:rsidRDefault="00AE7542" w:rsidP="00010DD1">
            <w:pPr>
              <w:spacing w:line="288" w:lineRule="auto"/>
              <w:ind w:right="77"/>
              <w:jc w:val="right"/>
            </w:pPr>
          </w:p>
        </w:tc>
        <w:tc>
          <w:tcPr>
            <w:tcW w:w="565" w:type="pct"/>
            <w:tcBorders>
              <w:top w:val="single" w:sz="4" w:space="0" w:color="auto"/>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p>
        </w:tc>
        <w:tc>
          <w:tcPr>
            <w:tcW w:w="565" w:type="pct"/>
            <w:tcBorders>
              <w:top w:val="single" w:sz="4" w:space="0" w:color="auto"/>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p>
        </w:tc>
        <w:tc>
          <w:tcPr>
            <w:tcW w:w="565" w:type="pct"/>
            <w:tcBorders>
              <w:top w:val="single" w:sz="4" w:space="0" w:color="auto"/>
              <w:left w:val="single" w:sz="4" w:space="0" w:color="auto"/>
              <w:bottom w:val="nil"/>
            </w:tcBorders>
            <w:vAlign w:val="center"/>
          </w:tcPr>
          <w:p w:rsidR="00AE7542" w:rsidRPr="005743FF" w:rsidRDefault="00AE7542" w:rsidP="00010DD1">
            <w:pPr>
              <w:spacing w:line="288" w:lineRule="auto"/>
              <w:ind w:right="77"/>
              <w:jc w:val="right"/>
            </w:pPr>
          </w:p>
        </w:tc>
      </w:tr>
      <w:tr w:rsidR="00AE7542" w:rsidRPr="00067DF6" w:rsidTr="00230A81">
        <w:trPr>
          <w:trHeight w:val="20"/>
        </w:trPr>
        <w:tc>
          <w:tcPr>
            <w:tcW w:w="1609" w:type="pct"/>
            <w:tcBorders>
              <w:top w:val="nil"/>
              <w:bottom w:val="nil"/>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Consumer confidence index (Turkstat)</w:t>
            </w:r>
          </w:p>
        </w:tc>
        <w:tc>
          <w:tcPr>
            <w:tcW w:w="565" w:type="pct"/>
            <w:tcBorders>
              <w:top w:val="nil"/>
              <w:left w:val="sing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0</w:t>
            </w:r>
          </w:p>
        </w:tc>
        <w:tc>
          <w:tcPr>
            <w:tcW w:w="565" w:type="pct"/>
            <w:tcBorders>
              <w:top w:val="nil"/>
              <w:left w:val="single" w:sz="4" w:space="0" w:color="auto"/>
              <w:bottom w:val="nil"/>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2</w:t>
            </w:r>
          </w:p>
        </w:tc>
        <w:tc>
          <w:tcPr>
            <w:tcW w:w="565" w:type="pct"/>
            <w:tcBorders>
              <w:top w:val="nil"/>
              <w:left w:val="single" w:sz="4" w:space="0" w:color="auto"/>
              <w:bottom w:val="nil"/>
              <w:right w:val="single" w:sz="4" w:space="0" w:color="auto"/>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3</w:t>
            </w:r>
          </w:p>
        </w:tc>
        <w:tc>
          <w:tcPr>
            <w:tcW w:w="565" w:type="pct"/>
            <w:tcBorders>
              <w:top w:val="nil"/>
              <w:left w:val="single" w:sz="4" w:space="0" w:color="auto"/>
              <w:bottom w:val="nil"/>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0</w:t>
            </w:r>
          </w:p>
        </w:tc>
        <w:tc>
          <w:tcPr>
            <w:tcW w:w="565" w:type="pct"/>
            <w:tcBorders>
              <w:top w:val="nil"/>
              <w:left w:val="single" w:sz="4" w:space="0" w:color="auto"/>
              <w:bottom w:val="nil"/>
            </w:tcBorders>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6</w:t>
            </w:r>
          </w:p>
        </w:tc>
      </w:tr>
      <w:tr w:rsidR="00AE7542" w:rsidRPr="00067DF6" w:rsidTr="00230A81">
        <w:trPr>
          <w:trHeight w:val="20"/>
        </w:trPr>
        <w:tc>
          <w:tcPr>
            <w:tcW w:w="1609" w:type="pct"/>
            <w:tcBorders>
              <w:top w:val="nil"/>
              <w:bottom w:val="single" w:sz="4" w:space="0" w:color="auto"/>
              <w:right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Reel sector confidence index</w:t>
            </w:r>
          </w:p>
        </w:tc>
        <w:tc>
          <w:tcPr>
            <w:tcW w:w="565" w:type="pct"/>
            <w:tcBorders>
              <w:top w:val="nil"/>
              <w:left w:val="sing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7</w:t>
            </w:r>
          </w:p>
        </w:tc>
        <w:tc>
          <w:tcPr>
            <w:tcW w:w="565" w:type="pct"/>
            <w:tcBorders>
              <w:top w:val="nil"/>
              <w:left w:val="single" w:sz="4" w:space="0" w:color="auto"/>
              <w:bottom w:val="single" w:sz="4" w:space="0" w:color="auto"/>
              <w:right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-3</w:t>
            </w:r>
            <w:r w:rsidR="00010DD1">
              <w:rPr>
                <w:sz w:val="22"/>
                <w:szCs w:val="22"/>
              </w:rPr>
              <w:t>.</w:t>
            </w:r>
            <w:r w:rsidRPr="005743FF">
              <w:rPr>
                <w:sz w:val="22"/>
                <w:szCs w:val="22"/>
              </w:rPr>
              <w:t>5</w:t>
            </w:r>
          </w:p>
        </w:tc>
        <w:tc>
          <w:tcPr>
            <w:tcW w:w="565" w:type="pct"/>
            <w:tcBorders>
              <w:top w:val="nil"/>
              <w:left w:val="single" w:sz="4" w:space="0" w:color="auto"/>
              <w:bottom w:val="single" w:sz="4" w:space="0" w:color="auto"/>
              <w:right w:val="single" w:sz="4" w:space="0" w:color="auto"/>
            </w:tcBorders>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5</w:t>
            </w:r>
          </w:p>
        </w:tc>
        <w:tc>
          <w:tcPr>
            <w:tcW w:w="565" w:type="pct"/>
            <w:tcBorders>
              <w:top w:val="nil"/>
              <w:left w:val="single" w:sz="4" w:space="0" w:color="auto"/>
              <w:bottom w:val="single" w:sz="4" w:space="0" w:color="auto"/>
              <w:right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4</w:t>
            </w:r>
          </w:p>
        </w:tc>
        <w:tc>
          <w:tcPr>
            <w:tcW w:w="565" w:type="pct"/>
            <w:tcBorders>
              <w:top w:val="nil"/>
              <w:left w:val="double" w:sz="4" w:space="0" w:color="auto"/>
              <w:bottom w:val="single" w:sz="4" w:space="0" w:color="auto"/>
              <w:right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-0</w:t>
            </w:r>
            <w:r w:rsidR="00010DD1">
              <w:rPr>
                <w:sz w:val="22"/>
                <w:szCs w:val="22"/>
              </w:rPr>
              <w:t>.</w:t>
            </w:r>
            <w:r w:rsidRPr="005743FF">
              <w:rPr>
                <w:sz w:val="22"/>
                <w:szCs w:val="22"/>
              </w:rPr>
              <w:t>7</w:t>
            </w:r>
          </w:p>
        </w:tc>
        <w:tc>
          <w:tcPr>
            <w:tcW w:w="565" w:type="pct"/>
            <w:tcBorders>
              <w:top w:val="nil"/>
              <w:left w:val="single" w:sz="4" w:space="0" w:color="auto"/>
              <w:bottom w:val="single" w:sz="4" w:space="0" w:color="auto"/>
            </w:tcBorders>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1</w:t>
            </w:r>
          </w:p>
        </w:tc>
      </w:tr>
      <w:tr w:rsidR="00AE7542" w:rsidRPr="00067DF6" w:rsidTr="00230A81">
        <w:trPr>
          <w:trHeight w:val="20"/>
        </w:trPr>
        <w:tc>
          <w:tcPr>
            <w:tcW w:w="1609" w:type="pct"/>
            <w:tcBorders>
              <w:bottom w:val="nil"/>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Financial Data</w:t>
            </w:r>
          </w:p>
        </w:tc>
        <w:tc>
          <w:tcPr>
            <w:tcW w:w="565" w:type="pct"/>
            <w:tcBorders>
              <w:bottom w:val="nil"/>
            </w:tcBorders>
            <w:tcMar>
              <w:left w:w="57" w:type="dxa"/>
              <w:right w:w="160" w:type="dxa"/>
            </w:tcMar>
            <w:vAlign w:val="center"/>
          </w:tcPr>
          <w:p w:rsidR="00AE7542" w:rsidRPr="005743FF" w:rsidRDefault="00AE7542" w:rsidP="00010DD1">
            <w:pPr>
              <w:spacing w:line="288" w:lineRule="auto"/>
              <w:ind w:right="77"/>
              <w:jc w:val="right"/>
            </w:pPr>
          </w:p>
        </w:tc>
        <w:tc>
          <w:tcPr>
            <w:tcW w:w="565" w:type="pct"/>
            <w:tcBorders>
              <w:bottom w:val="nil"/>
            </w:tcBorders>
            <w:tcMar>
              <w:left w:w="0" w:type="dxa"/>
              <w:right w:w="160" w:type="dxa"/>
            </w:tcMar>
            <w:vAlign w:val="center"/>
          </w:tcPr>
          <w:p w:rsidR="00AE7542" w:rsidRPr="005743FF" w:rsidRDefault="00AE7542" w:rsidP="00010DD1">
            <w:pPr>
              <w:spacing w:line="288" w:lineRule="auto"/>
              <w:ind w:right="77"/>
              <w:jc w:val="right"/>
            </w:pPr>
          </w:p>
        </w:tc>
        <w:tc>
          <w:tcPr>
            <w:tcW w:w="565" w:type="pct"/>
            <w:tcBorders>
              <w:bottom w:val="nil"/>
            </w:tcBorders>
            <w:vAlign w:val="center"/>
          </w:tcPr>
          <w:p w:rsidR="00AE7542" w:rsidRPr="005743FF" w:rsidRDefault="00AE7542" w:rsidP="00010DD1">
            <w:pPr>
              <w:spacing w:line="288" w:lineRule="auto"/>
              <w:ind w:right="77"/>
              <w:jc w:val="right"/>
            </w:pPr>
          </w:p>
        </w:tc>
        <w:tc>
          <w:tcPr>
            <w:tcW w:w="565" w:type="pct"/>
            <w:tcBorders>
              <w:bottom w:val="nil"/>
            </w:tcBorders>
            <w:tcMar>
              <w:right w:w="160" w:type="dxa"/>
            </w:tcMar>
            <w:vAlign w:val="center"/>
          </w:tcPr>
          <w:p w:rsidR="00AE7542" w:rsidRPr="005743FF" w:rsidRDefault="00AE7542" w:rsidP="00010DD1">
            <w:pPr>
              <w:spacing w:line="288" w:lineRule="auto"/>
              <w:ind w:right="77"/>
              <w:jc w:val="right"/>
            </w:pPr>
          </w:p>
        </w:tc>
        <w:tc>
          <w:tcPr>
            <w:tcW w:w="565" w:type="pct"/>
            <w:tcBorders>
              <w:left w:val="double" w:sz="4" w:space="0" w:color="auto"/>
              <w:bottom w:val="nil"/>
            </w:tcBorders>
            <w:tcMar>
              <w:left w:w="57" w:type="dxa"/>
              <w:right w:w="160" w:type="dxa"/>
            </w:tcMar>
            <w:vAlign w:val="center"/>
          </w:tcPr>
          <w:p w:rsidR="00AE7542" w:rsidRPr="005743FF" w:rsidRDefault="00AE7542" w:rsidP="00010DD1">
            <w:pPr>
              <w:spacing w:line="288" w:lineRule="auto"/>
              <w:ind w:right="77"/>
              <w:jc w:val="right"/>
            </w:pPr>
          </w:p>
        </w:tc>
        <w:tc>
          <w:tcPr>
            <w:tcW w:w="565" w:type="pct"/>
            <w:tcBorders>
              <w:bottom w:val="nil"/>
            </w:tcBorders>
            <w:vAlign w:val="center"/>
          </w:tcPr>
          <w:p w:rsidR="00AE7542" w:rsidRPr="005743FF" w:rsidRDefault="00AE7542" w:rsidP="00010DD1">
            <w:pPr>
              <w:spacing w:line="288" w:lineRule="auto"/>
              <w:ind w:right="77"/>
              <w:jc w:val="right"/>
            </w:pPr>
          </w:p>
        </w:tc>
      </w:tr>
      <w:tr w:rsidR="00AE7542" w:rsidRPr="00067DF6" w:rsidTr="00230A81">
        <w:trPr>
          <w:trHeight w:val="20"/>
        </w:trPr>
        <w:tc>
          <w:tcPr>
            <w:tcW w:w="1609" w:type="pct"/>
            <w:tcBorders>
              <w:top w:val="nil"/>
              <w:bottom w:val="single" w:sz="4" w:space="0" w:color="auto"/>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IMKB 100 (Stock Exchange)</w:t>
            </w:r>
          </w:p>
        </w:tc>
        <w:tc>
          <w:tcPr>
            <w:tcW w:w="565" w:type="pct"/>
            <w:tcBorders>
              <w:top w:val="nil"/>
              <w:bottom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4</w:t>
            </w:r>
          </w:p>
        </w:tc>
        <w:tc>
          <w:tcPr>
            <w:tcW w:w="565" w:type="pct"/>
            <w:tcBorders>
              <w:top w:val="nil"/>
              <w:bottom w:val="single" w:sz="4" w:space="0" w:color="auto"/>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1</w:t>
            </w:r>
          </w:p>
        </w:tc>
        <w:tc>
          <w:tcPr>
            <w:tcW w:w="565" w:type="pct"/>
            <w:tcBorders>
              <w:top w:val="nil"/>
              <w:bottom w:val="single" w:sz="4" w:space="0" w:color="auto"/>
            </w:tcBorders>
            <w:vAlign w:val="center"/>
          </w:tcPr>
          <w:p w:rsidR="00AE7542" w:rsidRPr="005743FF" w:rsidRDefault="00AE7542" w:rsidP="00010DD1">
            <w:pPr>
              <w:spacing w:line="288" w:lineRule="auto"/>
              <w:ind w:right="77"/>
              <w:jc w:val="right"/>
            </w:pPr>
            <w:r w:rsidRPr="005743FF">
              <w:rPr>
                <w:sz w:val="22"/>
                <w:szCs w:val="22"/>
              </w:rPr>
              <w:t>3</w:t>
            </w:r>
            <w:r w:rsidR="00010DD1">
              <w:rPr>
                <w:sz w:val="22"/>
                <w:szCs w:val="22"/>
              </w:rPr>
              <w:t>.</w:t>
            </w:r>
            <w:r w:rsidRPr="005743FF">
              <w:rPr>
                <w:sz w:val="22"/>
                <w:szCs w:val="22"/>
              </w:rPr>
              <w:t>2</w:t>
            </w:r>
          </w:p>
        </w:tc>
        <w:tc>
          <w:tcPr>
            <w:tcW w:w="565" w:type="pct"/>
            <w:tcBorders>
              <w:top w:val="nil"/>
              <w:bottom w:val="single" w:sz="4" w:space="0" w:color="auto"/>
            </w:tcBorders>
            <w:tcMar>
              <w:right w:w="160" w:type="dxa"/>
            </w:tcMar>
            <w:vAlign w:val="center"/>
          </w:tcPr>
          <w:p w:rsidR="00AE7542" w:rsidRPr="005743FF" w:rsidRDefault="00AE7542" w:rsidP="00010DD1">
            <w:pPr>
              <w:spacing w:line="288" w:lineRule="auto"/>
              <w:ind w:right="77"/>
              <w:jc w:val="right"/>
            </w:pPr>
            <w:r w:rsidRPr="005743FF">
              <w:rPr>
                <w:sz w:val="22"/>
                <w:szCs w:val="22"/>
              </w:rPr>
              <w:t>3</w:t>
            </w:r>
            <w:r w:rsidR="00010DD1">
              <w:rPr>
                <w:sz w:val="22"/>
                <w:szCs w:val="22"/>
              </w:rPr>
              <w:t>.</w:t>
            </w:r>
            <w:r w:rsidRPr="005743FF">
              <w:rPr>
                <w:sz w:val="22"/>
                <w:szCs w:val="22"/>
              </w:rPr>
              <w:t>5</w:t>
            </w:r>
          </w:p>
        </w:tc>
        <w:tc>
          <w:tcPr>
            <w:tcW w:w="565" w:type="pct"/>
            <w:tcBorders>
              <w:top w:val="nil"/>
              <w:left w:val="double" w:sz="4" w:space="0" w:color="auto"/>
              <w:bottom w:val="sing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-1</w:t>
            </w:r>
            <w:r w:rsidR="00010DD1">
              <w:rPr>
                <w:sz w:val="22"/>
                <w:szCs w:val="22"/>
              </w:rPr>
              <w:t>.</w:t>
            </w:r>
            <w:r w:rsidRPr="005743FF">
              <w:rPr>
                <w:sz w:val="22"/>
                <w:szCs w:val="22"/>
              </w:rPr>
              <w:t>4</w:t>
            </w:r>
          </w:p>
        </w:tc>
        <w:tc>
          <w:tcPr>
            <w:tcW w:w="565" w:type="pct"/>
            <w:tcBorders>
              <w:top w:val="nil"/>
              <w:bottom w:val="single" w:sz="4" w:space="0" w:color="auto"/>
            </w:tcBorders>
            <w:vAlign w:val="center"/>
          </w:tcPr>
          <w:p w:rsidR="00AE7542" w:rsidRPr="005743FF" w:rsidRDefault="00AE7542" w:rsidP="00010DD1">
            <w:pPr>
              <w:spacing w:line="288" w:lineRule="auto"/>
              <w:ind w:right="77"/>
              <w:jc w:val="right"/>
            </w:pPr>
            <w:r w:rsidRPr="005743FF">
              <w:rPr>
                <w:sz w:val="22"/>
                <w:szCs w:val="22"/>
              </w:rPr>
              <w:t>7</w:t>
            </w:r>
            <w:r w:rsidR="00010DD1">
              <w:rPr>
                <w:sz w:val="22"/>
                <w:szCs w:val="22"/>
              </w:rPr>
              <w:t>.</w:t>
            </w:r>
            <w:r w:rsidRPr="005743FF">
              <w:rPr>
                <w:sz w:val="22"/>
                <w:szCs w:val="22"/>
              </w:rPr>
              <w:t>7</w:t>
            </w:r>
          </w:p>
        </w:tc>
      </w:tr>
      <w:tr w:rsidR="00AE7542" w:rsidRPr="00067DF6" w:rsidTr="00230A81">
        <w:trPr>
          <w:trHeight w:val="20"/>
        </w:trPr>
        <w:tc>
          <w:tcPr>
            <w:tcW w:w="1609" w:type="pct"/>
            <w:tcBorders>
              <w:bottom w:val="nil"/>
            </w:tcBorders>
            <w:vAlign w:val="bottom"/>
          </w:tcPr>
          <w:p w:rsidR="00AE7542" w:rsidRPr="00067DF6" w:rsidRDefault="00AE7542" w:rsidP="00067DF6">
            <w:pPr>
              <w:spacing w:line="288" w:lineRule="auto"/>
              <w:ind w:right="77"/>
              <w:rPr>
                <w:rFonts w:ascii="Arial" w:hAnsi="Arial" w:cs="Arial"/>
                <w:b/>
                <w:sz w:val="20"/>
                <w:szCs w:val="20"/>
              </w:rPr>
            </w:pPr>
            <w:r w:rsidRPr="00067DF6">
              <w:rPr>
                <w:rFonts w:ascii="Arial" w:hAnsi="Arial" w:cs="Arial"/>
                <w:b/>
                <w:sz w:val="20"/>
                <w:szCs w:val="20"/>
              </w:rPr>
              <w:t>Other</w:t>
            </w:r>
          </w:p>
        </w:tc>
        <w:tc>
          <w:tcPr>
            <w:tcW w:w="565" w:type="pct"/>
            <w:tcBorders>
              <w:bottom w:val="nil"/>
            </w:tcBorders>
            <w:tcMar>
              <w:left w:w="57" w:type="dxa"/>
              <w:right w:w="160" w:type="dxa"/>
            </w:tcMar>
            <w:vAlign w:val="center"/>
          </w:tcPr>
          <w:p w:rsidR="00AE7542" w:rsidRPr="005743FF" w:rsidRDefault="00AE7542" w:rsidP="00010DD1">
            <w:pPr>
              <w:spacing w:line="288" w:lineRule="auto"/>
              <w:ind w:right="77"/>
              <w:jc w:val="right"/>
            </w:pPr>
          </w:p>
        </w:tc>
        <w:tc>
          <w:tcPr>
            <w:tcW w:w="565" w:type="pct"/>
            <w:tcBorders>
              <w:bottom w:val="nil"/>
            </w:tcBorders>
            <w:tcMar>
              <w:left w:w="0" w:type="dxa"/>
              <w:right w:w="160" w:type="dxa"/>
            </w:tcMar>
            <w:vAlign w:val="center"/>
          </w:tcPr>
          <w:p w:rsidR="00AE7542" w:rsidRPr="005743FF" w:rsidRDefault="00AE7542" w:rsidP="00010DD1">
            <w:pPr>
              <w:spacing w:line="288" w:lineRule="auto"/>
              <w:ind w:right="77"/>
              <w:jc w:val="right"/>
            </w:pPr>
          </w:p>
        </w:tc>
        <w:tc>
          <w:tcPr>
            <w:tcW w:w="565" w:type="pct"/>
            <w:tcBorders>
              <w:bottom w:val="nil"/>
            </w:tcBorders>
            <w:vAlign w:val="center"/>
          </w:tcPr>
          <w:p w:rsidR="00AE7542" w:rsidRPr="005743FF" w:rsidRDefault="00AE7542" w:rsidP="00010DD1">
            <w:pPr>
              <w:spacing w:line="288" w:lineRule="auto"/>
              <w:ind w:right="77"/>
              <w:jc w:val="right"/>
            </w:pPr>
          </w:p>
        </w:tc>
        <w:tc>
          <w:tcPr>
            <w:tcW w:w="565" w:type="pct"/>
            <w:tcBorders>
              <w:bottom w:val="nil"/>
            </w:tcBorders>
            <w:tcMar>
              <w:right w:w="160" w:type="dxa"/>
            </w:tcMar>
            <w:vAlign w:val="center"/>
          </w:tcPr>
          <w:p w:rsidR="00AE7542" w:rsidRPr="005743FF" w:rsidRDefault="00AE7542" w:rsidP="00010DD1">
            <w:pPr>
              <w:spacing w:line="288" w:lineRule="auto"/>
              <w:ind w:right="77"/>
              <w:jc w:val="right"/>
            </w:pPr>
          </w:p>
        </w:tc>
        <w:tc>
          <w:tcPr>
            <w:tcW w:w="565" w:type="pct"/>
            <w:tcBorders>
              <w:left w:val="double" w:sz="4" w:space="0" w:color="auto"/>
              <w:bottom w:val="nil"/>
            </w:tcBorders>
            <w:tcMar>
              <w:left w:w="57" w:type="dxa"/>
              <w:right w:w="160" w:type="dxa"/>
            </w:tcMar>
            <w:vAlign w:val="center"/>
          </w:tcPr>
          <w:p w:rsidR="00AE7542" w:rsidRPr="005743FF" w:rsidRDefault="00AE7542" w:rsidP="00010DD1">
            <w:pPr>
              <w:spacing w:line="288" w:lineRule="auto"/>
              <w:ind w:right="77"/>
              <w:jc w:val="right"/>
            </w:pPr>
          </w:p>
        </w:tc>
        <w:tc>
          <w:tcPr>
            <w:tcW w:w="565" w:type="pct"/>
            <w:tcBorders>
              <w:bottom w:val="nil"/>
            </w:tcBorders>
            <w:vAlign w:val="center"/>
          </w:tcPr>
          <w:p w:rsidR="00AE7542" w:rsidRPr="005743FF" w:rsidRDefault="00AE7542" w:rsidP="00010DD1">
            <w:pPr>
              <w:spacing w:line="288" w:lineRule="auto"/>
              <w:ind w:right="77"/>
              <w:jc w:val="right"/>
            </w:pPr>
          </w:p>
        </w:tc>
      </w:tr>
      <w:tr w:rsidR="00AE7542" w:rsidRPr="00067DF6" w:rsidTr="00230A81">
        <w:trPr>
          <w:trHeight w:val="20"/>
        </w:trPr>
        <w:tc>
          <w:tcPr>
            <w:tcW w:w="1609" w:type="pct"/>
            <w:tcBorders>
              <w:top w:val="nil"/>
              <w:bottom w:val="nil"/>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Special consumer tax* (SCT)</w:t>
            </w:r>
          </w:p>
        </w:tc>
        <w:tc>
          <w:tcPr>
            <w:tcW w:w="565" w:type="pct"/>
            <w:tcBorders>
              <w:top w:val="nil"/>
              <w:bottom w:val="nil"/>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3</w:t>
            </w:r>
          </w:p>
        </w:tc>
        <w:tc>
          <w:tcPr>
            <w:tcW w:w="565" w:type="pct"/>
            <w:tcBorders>
              <w:top w:val="nil"/>
              <w:bottom w:val="nil"/>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2</w:t>
            </w:r>
          </w:p>
        </w:tc>
        <w:tc>
          <w:tcPr>
            <w:tcW w:w="565" w:type="pct"/>
            <w:tcBorders>
              <w:top w:val="nil"/>
              <w:bottom w:val="nil"/>
            </w:tcBorders>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bottom w:val="nil"/>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bottom w:val="nil"/>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4</w:t>
            </w:r>
            <w:r w:rsidR="00010DD1">
              <w:rPr>
                <w:sz w:val="22"/>
                <w:szCs w:val="22"/>
              </w:rPr>
              <w:t>.</w:t>
            </w:r>
            <w:r w:rsidRPr="005743FF">
              <w:rPr>
                <w:sz w:val="22"/>
                <w:szCs w:val="22"/>
              </w:rPr>
              <w:t>3</w:t>
            </w:r>
          </w:p>
        </w:tc>
        <w:tc>
          <w:tcPr>
            <w:tcW w:w="565" w:type="pct"/>
            <w:tcBorders>
              <w:top w:val="nil"/>
              <w:bottom w:val="nil"/>
            </w:tcBorders>
            <w:vAlign w:val="center"/>
          </w:tcPr>
          <w:p w:rsidR="00AE7542" w:rsidRPr="005743FF" w:rsidRDefault="00AE7542" w:rsidP="00010DD1">
            <w:pPr>
              <w:spacing w:line="288" w:lineRule="auto"/>
              <w:ind w:right="77"/>
              <w:jc w:val="right"/>
            </w:pPr>
            <w:r w:rsidRPr="005743FF">
              <w:rPr>
                <w:sz w:val="22"/>
                <w:szCs w:val="22"/>
              </w:rPr>
              <w:t>**</w:t>
            </w:r>
          </w:p>
        </w:tc>
      </w:tr>
      <w:tr w:rsidR="00AE7542" w:rsidRPr="00067DF6" w:rsidTr="00230A81">
        <w:trPr>
          <w:trHeight w:val="20"/>
        </w:trPr>
        <w:tc>
          <w:tcPr>
            <w:tcW w:w="1609" w:type="pct"/>
            <w:tcBorders>
              <w:top w:val="nil"/>
            </w:tcBorders>
            <w:vAlign w:val="bottom"/>
          </w:tcPr>
          <w:p w:rsidR="00AE7542" w:rsidRPr="00067DF6" w:rsidRDefault="00AE7542" w:rsidP="00067DF6">
            <w:pPr>
              <w:spacing w:line="288" w:lineRule="auto"/>
              <w:ind w:right="77"/>
              <w:rPr>
                <w:rFonts w:ascii="Arial" w:hAnsi="Arial" w:cs="Arial"/>
                <w:sz w:val="20"/>
                <w:szCs w:val="20"/>
              </w:rPr>
            </w:pPr>
            <w:r w:rsidRPr="00067DF6">
              <w:rPr>
                <w:rFonts w:ascii="Arial" w:hAnsi="Arial" w:cs="Arial"/>
                <w:sz w:val="20"/>
                <w:szCs w:val="20"/>
              </w:rPr>
              <w:t>Automobile production</w:t>
            </w:r>
          </w:p>
        </w:tc>
        <w:tc>
          <w:tcPr>
            <w:tcW w:w="565" w:type="pct"/>
            <w:tcBorders>
              <w:top w:val="nil"/>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5</w:t>
            </w:r>
            <w:r w:rsidR="00010DD1">
              <w:rPr>
                <w:sz w:val="22"/>
                <w:szCs w:val="22"/>
              </w:rPr>
              <w:t>.</w:t>
            </w:r>
            <w:r w:rsidRPr="005743FF">
              <w:rPr>
                <w:sz w:val="22"/>
                <w:szCs w:val="22"/>
              </w:rPr>
              <w:t>4</w:t>
            </w:r>
          </w:p>
        </w:tc>
        <w:tc>
          <w:tcPr>
            <w:tcW w:w="565" w:type="pct"/>
            <w:tcBorders>
              <w:top w:val="nil"/>
            </w:tcBorders>
            <w:tcMar>
              <w:left w:w="0" w:type="dxa"/>
              <w:right w:w="160" w:type="dxa"/>
            </w:tcMar>
            <w:vAlign w:val="center"/>
          </w:tcPr>
          <w:p w:rsidR="00AE7542" w:rsidRPr="005743FF" w:rsidRDefault="00AE7542" w:rsidP="00010DD1">
            <w:pPr>
              <w:spacing w:line="288" w:lineRule="auto"/>
              <w:ind w:right="77"/>
              <w:jc w:val="right"/>
            </w:pPr>
            <w:r w:rsidRPr="005743FF">
              <w:rPr>
                <w:sz w:val="22"/>
                <w:szCs w:val="22"/>
              </w:rPr>
              <w:t>-11</w:t>
            </w:r>
            <w:r w:rsidR="00010DD1">
              <w:rPr>
                <w:sz w:val="22"/>
                <w:szCs w:val="22"/>
              </w:rPr>
              <w:t>.</w:t>
            </w:r>
            <w:r w:rsidRPr="005743FF">
              <w:rPr>
                <w:sz w:val="22"/>
                <w:szCs w:val="22"/>
              </w:rPr>
              <w:t>9</w:t>
            </w:r>
          </w:p>
        </w:tc>
        <w:tc>
          <w:tcPr>
            <w:tcW w:w="565" w:type="pct"/>
            <w:tcBorders>
              <w:top w:val="nil"/>
            </w:tcBorders>
            <w:vAlign w:val="center"/>
          </w:tcPr>
          <w:p w:rsidR="00AE7542" w:rsidRPr="005743FF" w:rsidRDefault="00AE7542" w:rsidP="00010DD1">
            <w:pPr>
              <w:spacing w:line="288" w:lineRule="auto"/>
              <w:ind w:right="77"/>
              <w:jc w:val="right"/>
            </w:pPr>
            <w:r w:rsidRPr="005743FF">
              <w:rPr>
                <w:sz w:val="22"/>
                <w:szCs w:val="22"/>
              </w:rPr>
              <w:t>-2</w:t>
            </w:r>
            <w:r w:rsidR="00010DD1">
              <w:rPr>
                <w:sz w:val="22"/>
                <w:szCs w:val="22"/>
              </w:rPr>
              <w:t>.</w:t>
            </w:r>
            <w:r w:rsidRPr="005743FF">
              <w:rPr>
                <w:sz w:val="22"/>
                <w:szCs w:val="22"/>
              </w:rPr>
              <w:t>5</w:t>
            </w:r>
          </w:p>
        </w:tc>
        <w:tc>
          <w:tcPr>
            <w:tcW w:w="565" w:type="pct"/>
            <w:tcBorders>
              <w:top w:val="nil"/>
            </w:tcBorders>
            <w:tcMar>
              <w:right w:w="160" w:type="dxa"/>
            </w:tcMar>
            <w:vAlign w:val="center"/>
          </w:tcPr>
          <w:p w:rsidR="00AE7542" w:rsidRPr="005743FF" w:rsidRDefault="00AE7542" w:rsidP="00010DD1">
            <w:pPr>
              <w:spacing w:line="288" w:lineRule="auto"/>
              <w:ind w:right="77"/>
              <w:jc w:val="right"/>
            </w:pPr>
            <w:r w:rsidRPr="005743FF">
              <w:rPr>
                <w:sz w:val="22"/>
                <w:szCs w:val="22"/>
              </w:rPr>
              <w:t>**</w:t>
            </w:r>
          </w:p>
        </w:tc>
        <w:tc>
          <w:tcPr>
            <w:tcW w:w="565" w:type="pct"/>
            <w:tcBorders>
              <w:top w:val="nil"/>
              <w:left w:val="double" w:sz="4" w:space="0" w:color="auto"/>
            </w:tcBorders>
            <w:tcMar>
              <w:left w:w="57" w:type="dxa"/>
              <w:right w:w="160" w:type="dxa"/>
            </w:tcMar>
            <w:vAlign w:val="center"/>
          </w:tcPr>
          <w:p w:rsidR="00AE7542" w:rsidRPr="005743FF" w:rsidRDefault="00AE7542" w:rsidP="00010DD1">
            <w:pPr>
              <w:spacing w:line="288" w:lineRule="auto"/>
              <w:ind w:right="77"/>
              <w:jc w:val="right"/>
            </w:pPr>
            <w:r w:rsidRPr="005743FF">
              <w:rPr>
                <w:sz w:val="22"/>
                <w:szCs w:val="22"/>
              </w:rPr>
              <w:t>-9</w:t>
            </w:r>
            <w:r w:rsidR="00010DD1">
              <w:rPr>
                <w:sz w:val="22"/>
                <w:szCs w:val="22"/>
              </w:rPr>
              <w:t>.</w:t>
            </w:r>
            <w:r w:rsidRPr="005743FF">
              <w:rPr>
                <w:sz w:val="22"/>
                <w:szCs w:val="22"/>
              </w:rPr>
              <w:t>6</w:t>
            </w:r>
          </w:p>
        </w:tc>
        <w:tc>
          <w:tcPr>
            <w:tcW w:w="565" w:type="pct"/>
            <w:tcBorders>
              <w:top w:val="nil"/>
            </w:tcBorders>
            <w:vAlign w:val="center"/>
          </w:tcPr>
          <w:p w:rsidR="00AE7542" w:rsidRPr="005743FF" w:rsidRDefault="00AE7542" w:rsidP="00010DD1">
            <w:pPr>
              <w:spacing w:line="288" w:lineRule="auto"/>
              <w:ind w:right="77"/>
              <w:jc w:val="right"/>
            </w:pPr>
            <w:r w:rsidRPr="005743FF">
              <w:rPr>
                <w:sz w:val="22"/>
                <w:szCs w:val="22"/>
              </w:rPr>
              <w:t>-8</w:t>
            </w:r>
            <w:r w:rsidR="00010DD1">
              <w:rPr>
                <w:sz w:val="22"/>
                <w:szCs w:val="22"/>
              </w:rPr>
              <w:t>.</w:t>
            </w:r>
            <w:r w:rsidRPr="005743FF">
              <w:rPr>
                <w:sz w:val="22"/>
                <w:szCs w:val="22"/>
              </w:rPr>
              <w:t>9</w:t>
            </w:r>
          </w:p>
        </w:tc>
      </w:tr>
    </w:tbl>
    <w:p w:rsidR="008C6E50"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Source: TurkStat</w:t>
      </w:r>
      <w:r w:rsidR="0071337D" w:rsidRPr="008B2149">
        <w:rPr>
          <w:rFonts w:ascii="Arial" w:hAnsi="Arial" w:cs="Arial"/>
          <w:sz w:val="16"/>
          <w:szCs w:val="16"/>
        </w:rPr>
        <w:t>.</w:t>
      </w:r>
      <w:r w:rsidRPr="008B2149">
        <w:rPr>
          <w:rFonts w:ascii="Arial" w:hAnsi="Arial" w:cs="Arial"/>
          <w:sz w:val="16"/>
          <w:szCs w:val="16"/>
        </w:rPr>
        <w:t xml:space="preserve"> TCMB</w:t>
      </w:r>
      <w:r w:rsidR="0071337D" w:rsidRPr="008B2149">
        <w:rPr>
          <w:rFonts w:ascii="Arial" w:hAnsi="Arial" w:cs="Arial"/>
          <w:sz w:val="16"/>
          <w:szCs w:val="16"/>
        </w:rPr>
        <w:t>.</w:t>
      </w:r>
      <w:r w:rsidRPr="008B2149">
        <w:rPr>
          <w:rFonts w:ascii="Arial" w:hAnsi="Arial" w:cs="Arial"/>
          <w:sz w:val="16"/>
          <w:szCs w:val="16"/>
        </w:rPr>
        <w:t xml:space="preserve"> Treasury</w:t>
      </w:r>
      <w:r w:rsidR="0071337D" w:rsidRPr="008B2149">
        <w:rPr>
          <w:rFonts w:ascii="Arial" w:hAnsi="Arial" w:cs="Arial"/>
          <w:sz w:val="16"/>
          <w:szCs w:val="16"/>
        </w:rPr>
        <w:t>.</w:t>
      </w:r>
      <w:r w:rsidRPr="008B2149">
        <w:rPr>
          <w:rFonts w:ascii="Arial" w:hAnsi="Arial" w:cs="Arial"/>
          <w:sz w:val="16"/>
          <w:szCs w:val="16"/>
        </w:rPr>
        <w:t xml:space="preserve"> IMKB</w:t>
      </w:r>
      <w:r w:rsidR="0071337D" w:rsidRPr="008B2149">
        <w:rPr>
          <w:rFonts w:ascii="Arial" w:hAnsi="Arial" w:cs="Arial"/>
          <w:sz w:val="16"/>
          <w:szCs w:val="16"/>
        </w:rPr>
        <w:t>.</w:t>
      </w:r>
      <w:r w:rsidRPr="008B2149">
        <w:rPr>
          <w:rFonts w:ascii="Arial" w:hAnsi="Arial" w:cs="Arial"/>
          <w:sz w:val="16"/>
          <w:szCs w:val="16"/>
        </w:rPr>
        <w:t xml:space="preserve"> Betam. All series are real (or inflation adjusted) wherever necessary and seasonally adjusted.</w:t>
      </w:r>
    </w:p>
    <w:p w:rsidR="00E823E8"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*This tax is collected on sales of goods such as gas</w:t>
      </w:r>
      <w:r w:rsidR="0071337D" w:rsidRPr="008B2149">
        <w:rPr>
          <w:rFonts w:ascii="Arial" w:hAnsi="Arial" w:cs="Arial"/>
          <w:sz w:val="16"/>
          <w:szCs w:val="16"/>
        </w:rPr>
        <w:t>.</w:t>
      </w:r>
      <w:r w:rsidRPr="008B2149">
        <w:rPr>
          <w:rFonts w:ascii="Arial" w:hAnsi="Arial" w:cs="Arial"/>
          <w:sz w:val="16"/>
          <w:szCs w:val="16"/>
        </w:rPr>
        <w:t xml:space="preserve"> fuel oils</w:t>
      </w:r>
      <w:r w:rsidR="0071337D" w:rsidRPr="008B2149">
        <w:rPr>
          <w:rFonts w:ascii="Arial" w:hAnsi="Arial" w:cs="Arial"/>
          <w:sz w:val="16"/>
          <w:szCs w:val="16"/>
        </w:rPr>
        <w:t>.</w:t>
      </w:r>
      <w:r w:rsidRPr="008B2149">
        <w:rPr>
          <w:rFonts w:ascii="Arial" w:hAnsi="Arial" w:cs="Arial"/>
          <w:sz w:val="16"/>
          <w:szCs w:val="16"/>
        </w:rPr>
        <w:t xml:space="preserve"> alcohol</w:t>
      </w:r>
      <w:r w:rsidR="0071337D" w:rsidRPr="008B2149">
        <w:rPr>
          <w:rFonts w:ascii="Arial" w:hAnsi="Arial" w:cs="Arial"/>
          <w:sz w:val="16"/>
          <w:szCs w:val="16"/>
        </w:rPr>
        <w:t>.</w:t>
      </w:r>
      <w:r w:rsidRPr="008B2149">
        <w:rPr>
          <w:rFonts w:ascii="Arial" w:hAnsi="Arial" w:cs="Arial"/>
          <w:sz w:val="16"/>
          <w:szCs w:val="16"/>
        </w:rPr>
        <w:t xml:space="preserve"> tobacco products and automobiles.</w:t>
      </w:r>
    </w:p>
    <w:p w:rsidR="00E823E8" w:rsidRPr="008B2149" w:rsidRDefault="00E823E8" w:rsidP="006B60DC">
      <w:pPr>
        <w:spacing w:line="360" w:lineRule="auto"/>
        <w:ind w:left="-540" w:right="42"/>
        <w:jc w:val="both"/>
        <w:rPr>
          <w:rFonts w:ascii="Arial" w:hAnsi="Arial" w:cs="Arial"/>
          <w:sz w:val="16"/>
          <w:szCs w:val="16"/>
        </w:rPr>
      </w:pPr>
      <w:r w:rsidRPr="008B2149">
        <w:rPr>
          <w:rFonts w:ascii="Arial" w:hAnsi="Arial" w:cs="Arial"/>
          <w:sz w:val="16"/>
          <w:szCs w:val="16"/>
        </w:rPr>
        <w:t>**Data not yet released</w:t>
      </w:r>
    </w:p>
    <w:p w:rsidR="001E7720" w:rsidRPr="008B2149" w:rsidRDefault="001E7720" w:rsidP="001E4BF5">
      <w:pPr>
        <w:spacing w:line="360" w:lineRule="auto"/>
        <w:ind w:left="-360" w:right="42"/>
        <w:jc w:val="both"/>
        <w:rPr>
          <w:rFonts w:ascii="Arial" w:hAnsi="Arial" w:cs="Arial"/>
          <w:sz w:val="20"/>
          <w:szCs w:val="20"/>
        </w:rPr>
      </w:pPr>
    </w:p>
    <w:p w:rsidR="00F06742" w:rsidRPr="008B2149" w:rsidRDefault="00F06742"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BD7514" w:rsidRDefault="00BD7514" w:rsidP="00150B84">
      <w:pPr>
        <w:ind w:right="42"/>
        <w:jc w:val="both"/>
        <w:rPr>
          <w:rFonts w:ascii="Arial" w:hAnsi="Arial" w:cs="Arial"/>
          <w:b/>
          <w:sz w:val="20"/>
          <w:szCs w:val="20"/>
        </w:rPr>
      </w:pPr>
    </w:p>
    <w:p w:rsidR="000B669B" w:rsidRPr="008B2149" w:rsidRDefault="000B669B"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pPr>
    </w:p>
    <w:p w:rsidR="006E2D48" w:rsidRPr="008B2149" w:rsidRDefault="006E2D48" w:rsidP="00150B84">
      <w:pPr>
        <w:ind w:right="42"/>
        <w:jc w:val="both"/>
        <w:rPr>
          <w:rFonts w:ascii="Arial" w:hAnsi="Arial" w:cs="Arial"/>
          <w:b/>
          <w:sz w:val="20"/>
          <w:szCs w:val="20"/>
        </w:rPr>
      </w:pPr>
    </w:p>
    <w:p w:rsidR="00BD7514" w:rsidRPr="008B2149" w:rsidRDefault="00BD7514" w:rsidP="00150B84">
      <w:pPr>
        <w:ind w:right="42"/>
        <w:jc w:val="both"/>
        <w:rPr>
          <w:rFonts w:ascii="Arial" w:hAnsi="Arial" w:cs="Arial"/>
          <w:b/>
          <w:sz w:val="20"/>
          <w:szCs w:val="20"/>
        </w:rPr>
        <w:sectPr w:rsidR="00BD7514" w:rsidRPr="008B2149" w:rsidSect="001E7720">
          <w:type w:val="continuous"/>
          <w:pgSz w:w="11906" w:h="16838"/>
          <w:pgMar w:top="1417" w:right="1417" w:bottom="1417" w:left="1417" w:header="708" w:footer="708" w:gutter="0"/>
          <w:cols w:space="708"/>
          <w:docGrid w:linePitch="360"/>
        </w:sectPr>
      </w:pPr>
    </w:p>
    <w:p w:rsidR="00BD7514" w:rsidRPr="008B2149" w:rsidRDefault="00BD7514" w:rsidP="00396E44">
      <w:pPr>
        <w:ind w:right="42"/>
        <w:jc w:val="both"/>
        <w:rPr>
          <w:rFonts w:ascii="Arial" w:hAnsi="Arial" w:cs="Arial"/>
          <w:b/>
          <w:sz w:val="20"/>
          <w:szCs w:val="20"/>
        </w:rPr>
      </w:pPr>
    </w:p>
    <w:p w:rsidR="001E192B" w:rsidRDefault="001E192B" w:rsidP="00C22DC8">
      <w:pPr>
        <w:ind w:right="42"/>
        <w:jc w:val="both"/>
        <w:rPr>
          <w:rFonts w:ascii="Arial" w:hAnsi="Arial" w:cs="Arial"/>
          <w:b/>
          <w:sz w:val="20"/>
          <w:szCs w:val="20"/>
        </w:rPr>
      </w:pPr>
    </w:p>
    <w:p w:rsidR="003A3575" w:rsidRPr="008B2149" w:rsidRDefault="00AC630B" w:rsidP="006B60DC">
      <w:pPr>
        <w:ind w:left="-360" w:right="42"/>
        <w:jc w:val="both"/>
        <w:rPr>
          <w:rFonts w:ascii="Arial" w:hAnsi="Arial" w:cs="Arial"/>
          <w:b/>
          <w:sz w:val="20"/>
          <w:szCs w:val="20"/>
        </w:rPr>
      </w:pPr>
      <w:r w:rsidRPr="008B2149">
        <w:rPr>
          <w:rFonts w:ascii="Arial" w:hAnsi="Arial" w:cs="Arial"/>
          <w:b/>
          <w:sz w:val="20"/>
          <w:szCs w:val="20"/>
        </w:rPr>
        <w:lastRenderedPageBreak/>
        <w:t>Figure</w:t>
      </w:r>
      <w:r w:rsidR="003A3575" w:rsidRPr="008B2149">
        <w:rPr>
          <w:rFonts w:ascii="Arial" w:hAnsi="Arial" w:cs="Arial"/>
          <w:b/>
          <w:sz w:val="20"/>
          <w:szCs w:val="20"/>
        </w:rPr>
        <w:t xml:space="preserve"> 1: </w:t>
      </w:r>
      <w:r w:rsidRPr="008B2149">
        <w:rPr>
          <w:rFonts w:ascii="Arial" w:hAnsi="Arial" w:cs="Arial"/>
          <w:b/>
          <w:sz w:val="20"/>
          <w:szCs w:val="20"/>
        </w:rPr>
        <w:t>Capacity utilization rate and industrial production index</w:t>
      </w:r>
      <w:r w:rsidR="003A3575" w:rsidRPr="008B2149">
        <w:rPr>
          <w:rFonts w:ascii="Arial" w:hAnsi="Arial" w:cs="Arial"/>
          <w:b/>
          <w:sz w:val="20"/>
          <w:szCs w:val="20"/>
        </w:rPr>
        <w:t xml:space="preserve"> (</w:t>
      </w:r>
      <w:r w:rsidRPr="008B2149">
        <w:rPr>
          <w:rFonts w:ascii="Arial" w:hAnsi="Arial" w:cs="Arial"/>
          <w:b/>
          <w:sz w:val="20"/>
          <w:szCs w:val="20"/>
        </w:rPr>
        <w:t>s</w:t>
      </w:r>
      <w:r w:rsidR="00F65107" w:rsidRPr="008B2149">
        <w:rPr>
          <w:rFonts w:ascii="Arial" w:hAnsi="Arial" w:cs="Arial"/>
          <w:b/>
          <w:sz w:val="20"/>
          <w:szCs w:val="20"/>
        </w:rPr>
        <w:t>a</w:t>
      </w:r>
      <w:r w:rsidR="0071337D" w:rsidRPr="008B2149">
        <w:rPr>
          <w:rFonts w:ascii="Arial" w:hAnsi="Arial" w:cs="Arial"/>
          <w:b/>
          <w:sz w:val="20"/>
          <w:szCs w:val="20"/>
        </w:rPr>
        <w:t>.</w:t>
      </w:r>
      <w:r w:rsidRPr="008B2149">
        <w:rPr>
          <w:rFonts w:ascii="Arial" w:hAnsi="Arial" w:cs="Arial"/>
          <w:b/>
          <w:sz w:val="20"/>
          <w:szCs w:val="20"/>
        </w:rPr>
        <w:t xml:space="preserve"> left axis for CUR and right axis for IPI</w:t>
      </w:r>
      <w:r w:rsidR="003A3575" w:rsidRPr="008B2149">
        <w:rPr>
          <w:rFonts w:ascii="Arial" w:hAnsi="Arial" w:cs="Arial"/>
          <w:b/>
          <w:sz w:val="20"/>
          <w:szCs w:val="20"/>
        </w:rPr>
        <w:t>)</w:t>
      </w:r>
    </w:p>
    <w:p w:rsidR="003A3575" w:rsidRPr="008F5ED9" w:rsidRDefault="00AB717C" w:rsidP="003A3575">
      <w:pPr>
        <w:spacing w:line="360" w:lineRule="auto"/>
        <w:ind w:left="-360" w:right="42"/>
        <w:jc w:val="both"/>
        <w:rPr>
          <w:szCs w:val="20"/>
        </w:rPr>
      </w:pPr>
      <w:r>
        <w:rPr>
          <w:noProof/>
          <w:szCs w:val="20"/>
          <w:lang w:val="tr-TR"/>
        </w:rPr>
        <w:drawing>
          <wp:inline distT="0" distB="0" distL="0" distR="0">
            <wp:extent cx="2657475" cy="22288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657475" cy="2228850"/>
                    </a:xfrm>
                    <a:prstGeom prst="rect">
                      <a:avLst/>
                    </a:prstGeom>
                    <a:noFill/>
                    <a:ln w="9525">
                      <a:noFill/>
                      <a:miter lim="800000"/>
                      <a:headEnd/>
                      <a:tailEnd/>
                    </a:ln>
                  </pic:spPr>
                </pic:pic>
              </a:graphicData>
            </a:graphic>
          </wp:inline>
        </w:drawing>
      </w:r>
    </w:p>
    <w:p w:rsidR="00B677BF" w:rsidRPr="008B2149" w:rsidRDefault="00AC630B" w:rsidP="00B677BF">
      <w:pPr>
        <w:ind w:left="-360" w:right="42"/>
        <w:jc w:val="both"/>
        <w:rPr>
          <w:rFonts w:ascii="Arial" w:hAnsi="Arial" w:cs="Arial"/>
          <w:sz w:val="16"/>
          <w:szCs w:val="16"/>
        </w:rPr>
      </w:pPr>
      <w:r w:rsidRPr="008B2149">
        <w:rPr>
          <w:rFonts w:ascii="Arial" w:hAnsi="Arial" w:cs="Arial"/>
          <w:sz w:val="16"/>
          <w:szCs w:val="16"/>
        </w:rPr>
        <w:t>Source</w:t>
      </w:r>
      <w:r w:rsidR="003A3575" w:rsidRPr="008B2149">
        <w:rPr>
          <w:rFonts w:ascii="Arial" w:hAnsi="Arial" w:cs="Arial"/>
          <w:sz w:val="16"/>
          <w:szCs w:val="16"/>
        </w:rPr>
        <w:t xml:space="preserve"> : </w:t>
      </w:r>
      <w:r w:rsidRPr="008B2149">
        <w:rPr>
          <w:rFonts w:ascii="Arial" w:hAnsi="Arial" w:cs="Arial"/>
          <w:sz w:val="16"/>
          <w:szCs w:val="16"/>
        </w:rPr>
        <w:t>TurkStat</w:t>
      </w:r>
      <w:r w:rsidR="0071337D" w:rsidRPr="008B2149">
        <w:rPr>
          <w:rFonts w:ascii="Arial" w:hAnsi="Arial" w:cs="Arial"/>
          <w:sz w:val="16"/>
          <w:szCs w:val="16"/>
        </w:rPr>
        <w:t>.</w:t>
      </w:r>
      <w:r w:rsidR="003A3575" w:rsidRPr="008B2149">
        <w:rPr>
          <w:rFonts w:ascii="Arial" w:hAnsi="Arial" w:cs="Arial"/>
          <w:sz w:val="16"/>
          <w:szCs w:val="16"/>
        </w:rPr>
        <w:t xml:space="preserve"> Betam </w:t>
      </w:r>
    </w:p>
    <w:p w:rsidR="00B677BF" w:rsidRPr="008B2149" w:rsidRDefault="00B677BF" w:rsidP="007067F4">
      <w:pPr>
        <w:ind w:left="-360" w:right="42"/>
        <w:jc w:val="both"/>
        <w:rPr>
          <w:rFonts w:ascii="Arial" w:hAnsi="Arial" w:cs="Arial"/>
          <w:b/>
          <w:sz w:val="20"/>
          <w:szCs w:val="20"/>
        </w:rPr>
      </w:pPr>
    </w:p>
    <w:p w:rsidR="00B677BF" w:rsidRPr="008B2149" w:rsidRDefault="00B677BF" w:rsidP="007067F4">
      <w:pPr>
        <w:ind w:left="-360" w:right="42"/>
        <w:jc w:val="both"/>
        <w:rPr>
          <w:rFonts w:ascii="Arial" w:hAnsi="Arial" w:cs="Arial"/>
          <w:b/>
          <w:sz w:val="20"/>
          <w:szCs w:val="20"/>
        </w:rPr>
      </w:pPr>
    </w:p>
    <w:p w:rsidR="00887060" w:rsidRPr="000B669B" w:rsidRDefault="00887060" w:rsidP="007067F4">
      <w:pPr>
        <w:ind w:left="-360" w:right="42"/>
        <w:jc w:val="both"/>
        <w:rPr>
          <w:rFonts w:ascii="Arial" w:hAnsi="Arial" w:cs="Arial"/>
          <w:b/>
          <w:sz w:val="18"/>
          <w:szCs w:val="18"/>
        </w:rPr>
      </w:pPr>
    </w:p>
    <w:p w:rsidR="00AD4568" w:rsidRPr="008B2149" w:rsidRDefault="00AD4568" w:rsidP="00EF1B11">
      <w:pPr>
        <w:ind w:right="42"/>
        <w:jc w:val="both"/>
        <w:rPr>
          <w:rFonts w:ascii="Arial" w:hAnsi="Arial" w:cs="Arial"/>
          <w:b/>
          <w:sz w:val="20"/>
          <w:szCs w:val="20"/>
        </w:rPr>
      </w:pPr>
    </w:p>
    <w:p w:rsidR="00887060" w:rsidRPr="008B2149" w:rsidRDefault="00AC630B" w:rsidP="007067F4">
      <w:pPr>
        <w:ind w:left="-360" w:right="42"/>
        <w:jc w:val="both"/>
        <w:rPr>
          <w:rFonts w:ascii="Arial" w:hAnsi="Arial" w:cs="Arial"/>
          <w:b/>
          <w:sz w:val="20"/>
          <w:szCs w:val="20"/>
        </w:rPr>
      </w:pPr>
      <w:r w:rsidRPr="008B2149">
        <w:rPr>
          <w:rFonts w:ascii="Arial" w:hAnsi="Arial" w:cs="Arial"/>
          <w:b/>
          <w:sz w:val="20"/>
          <w:szCs w:val="20"/>
        </w:rPr>
        <w:lastRenderedPageBreak/>
        <w:t>Figure</w:t>
      </w:r>
      <w:r w:rsidR="007067F4" w:rsidRPr="008B2149">
        <w:rPr>
          <w:rFonts w:ascii="Arial" w:hAnsi="Arial" w:cs="Arial"/>
          <w:b/>
          <w:sz w:val="20"/>
          <w:szCs w:val="20"/>
        </w:rPr>
        <w:t xml:space="preserve"> 2: </w:t>
      </w:r>
      <w:r w:rsidRPr="008B2149">
        <w:rPr>
          <w:rFonts w:ascii="Arial" w:hAnsi="Arial" w:cs="Arial"/>
          <w:b/>
          <w:sz w:val="20"/>
          <w:szCs w:val="20"/>
        </w:rPr>
        <w:t>Volume indices of exports and imports</w:t>
      </w:r>
      <w:r w:rsidR="007067F4" w:rsidRPr="008B2149">
        <w:rPr>
          <w:rFonts w:ascii="Arial" w:hAnsi="Arial" w:cs="Arial"/>
          <w:b/>
          <w:sz w:val="20"/>
          <w:szCs w:val="20"/>
        </w:rPr>
        <w:t xml:space="preserve"> (</w:t>
      </w:r>
      <w:r w:rsidRPr="008B2149">
        <w:rPr>
          <w:rFonts w:ascii="Arial" w:hAnsi="Arial" w:cs="Arial"/>
          <w:b/>
          <w:sz w:val="20"/>
          <w:szCs w:val="20"/>
        </w:rPr>
        <w:t>sa</w:t>
      </w:r>
      <w:r w:rsidR="007067F4" w:rsidRPr="008B2149">
        <w:rPr>
          <w:rFonts w:ascii="Arial" w:hAnsi="Arial" w:cs="Arial"/>
          <w:b/>
          <w:sz w:val="20"/>
          <w:szCs w:val="20"/>
        </w:rPr>
        <w:t>)</w:t>
      </w:r>
      <w:r w:rsidR="00887060" w:rsidRPr="008B2149">
        <w:rPr>
          <w:rFonts w:ascii="Arial" w:hAnsi="Arial" w:cs="Arial"/>
          <w:b/>
          <w:sz w:val="20"/>
          <w:szCs w:val="20"/>
        </w:rPr>
        <w:t xml:space="preserve">            </w:t>
      </w:r>
    </w:p>
    <w:p w:rsidR="007067F4" w:rsidRPr="008B2149" w:rsidRDefault="00887060" w:rsidP="007067F4">
      <w:pPr>
        <w:ind w:left="-360" w:right="42"/>
        <w:jc w:val="both"/>
        <w:rPr>
          <w:rFonts w:ascii="Arial" w:hAnsi="Arial" w:cs="Arial"/>
          <w:b/>
          <w:sz w:val="20"/>
          <w:szCs w:val="20"/>
        </w:rPr>
      </w:pPr>
      <w:r w:rsidRPr="008B2149">
        <w:rPr>
          <w:rFonts w:ascii="Arial" w:hAnsi="Arial" w:cs="Arial"/>
          <w:b/>
          <w:sz w:val="20"/>
          <w:szCs w:val="20"/>
        </w:rPr>
        <w:t xml:space="preserve">                                                                                 </w:t>
      </w:r>
    </w:p>
    <w:p w:rsidR="003A3575" w:rsidRPr="008F5ED9" w:rsidRDefault="00AB717C" w:rsidP="003A3575">
      <w:pPr>
        <w:spacing w:line="360" w:lineRule="auto"/>
        <w:ind w:left="-360" w:right="42"/>
        <w:jc w:val="both"/>
        <w:rPr>
          <w:szCs w:val="20"/>
        </w:rPr>
      </w:pPr>
      <w:r>
        <w:rPr>
          <w:noProof/>
          <w:szCs w:val="20"/>
          <w:lang w:val="tr-TR"/>
        </w:rPr>
        <w:drawing>
          <wp:inline distT="0" distB="0" distL="0" distR="0">
            <wp:extent cx="2657475" cy="230505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657475" cy="2305050"/>
                    </a:xfrm>
                    <a:prstGeom prst="rect">
                      <a:avLst/>
                    </a:prstGeom>
                    <a:noFill/>
                    <a:ln w="9525">
                      <a:noFill/>
                      <a:miter lim="800000"/>
                      <a:headEnd/>
                      <a:tailEnd/>
                    </a:ln>
                  </pic:spPr>
                </pic:pic>
              </a:graphicData>
            </a:graphic>
          </wp:inline>
        </w:drawing>
      </w:r>
    </w:p>
    <w:p w:rsidR="003A3575" w:rsidRPr="008B2149" w:rsidRDefault="00AC630B" w:rsidP="003A3575">
      <w:pPr>
        <w:spacing w:line="360" w:lineRule="auto"/>
        <w:ind w:left="-360" w:right="42"/>
        <w:jc w:val="both"/>
        <w:rPr>
          <w:rFonts w:ascii="Arial" w:hAnsi="Arial" w:cs="Arial"/>
          <w:sz w:val="16"/>
          <w:szCs w:val="16"/>
        </w:rPr>
      </w:pPr>
      <w:r w:rsidRPr="008B2149">
        <w:rPr>
          <w:rFonts w:ascii="Arial" w:hAnsi="Arial" w:cs="Arial"/>
          <w:sz w:val="20"/>
          <w:szCs w:val="20"/>
        </w:rPr>
        <w:t xml:space="preserve"> </w:t>
      </w:r>
      <w:r w:rsidRPr="008B2149">
        <w:rPr>
          <w:rFonts w:ascii="Arial" w:hAnsi="Arial" w:cs="Arial"/>
          <w:sz w:val="16"/>
          <w:szCs w:val="16"/>
        </w:rPr>
        <w:t>Source : TurkStat</w:t>
      </w:r>
      <w:r w:rsidR="0071337D" w:rsidRPr="008B2149">
        <w:rPr>
          <w:rFonts w:ascii="Arial" w:hAnsi="Arial" w:cs="Arial"/>
          <w:sz w:val="16"/>
          <w:szCs w:val="16"/>
        </w:rPr>
        <w:t>.</w:t>
      </w:r>
      <w:r w:rsidR="003A3575" w:rsidRPr="008B2149">
        <w:rPr>
          <w:rFonts w:ascii="Arial" w:hAnsi="Arial" w:cs="Arial"/>
          <w:sz w:val="16"/>
          <w:szCs w:val="16"/>
        </w:rPr>
        <w:t xml:space="preserve"> Betam</w:t>
      </w:r>
    </w:p>
    <w:p w:rsidR="007067F4" w:rsidRPr="008B2149" w:rsidRDefault="007067F4" w:rsidP="00010DD1">
      <w:pPr>
        <w:spacing w:line="360" w:lineRule="auto"/>
        <w:ind w:right="42"/>
        <w:jc w:val="both"/>
        <w:rPr>
          <w:rFonts w:ascii="Arial" w:hAnsi="Arial" w:cs="Arial"/>
          <w:sz w:val="20"/>
          <w:szCs w:val="20"/>
        </w:rPr>
        <w:sectPr w:rsidR="007067F4" w:rsidRPr="008B2149" w:rsidSect="007067F4">
          <w:type w:val="continuous"/>
          <w:pgSz w:w="11906" w:h="16838"/>
          <w:pgMar w:top="1417" w:right="1417" w:bottom="1417" w:left="1417" w:header="708" w:footer="708" w:gutter="0"/>
          <w:cols w:num="2" w:space="708" w:equalWidth="0">
            <w:col w:w="4182" w:space="708"/>
            <w:col w:w="4182"/>
          </w:cols>
          <w:docGrid w:linePitch="360"/>
        </w:sectPr>
      </w:pPr>
    </w:p>
    <w:p w:rsidR="00EF6AB5" w:rsidRPr="008B2149" w:rsidRDefault="00AC630B" w:rsidP="00363520">
      <w:pPr>
        <w:spacing w:line="360" w:lineRule="auto"/>
        <w:ind w:right="42" w:hanging="360"/>
        <w:jc w:val="both"/>
        <w:rPr>
          <w:rFonts w:ascii="Arial" w:hAnsi="Arial" w:cs="Arial"/>
          <w:b/>
          <w:sz w:val="20"/>
          <w:szCs w:val="20"/>
        </w:rPr>
      </w:pPr>
      <w:r w:rsidRPr="008B2149">
        <w:rPr>
          <w:rFonts w:ascii="Arial" w:hAnsi="Arial" w:cs="Arial"/>
          <w:b/>
          <w:sz w:val="20"/>
          <w:szCs w:val="20"/>
        </w:rPr>
        <w:lastRenderedPageBreak/>
        <w:t>Figure</w:t>
      </w:r>
      <w:r w:rsidR="00150B84" w:rsidRPr="008B2149">
        <w:rPr>
          <w:rFonts w:ascii="Arial" w:hAnsi="Arial" w:cs="Arial"/>
          <w:b/>
          <w:sz w:val="20"/>
          <w:szCs w:val="20"/>
        </w:rPr>
        <w:t xml:space="preserve"> 3:</w:t>
      </w:r>
      <w:r w:rsidR="007067F4" w:rsidRPr="008B2149">
        <w:rPr>
          <w:rFonts w:ascii="Arial" w:hAnsi="Arial" w:cs="Arial"/>
          <w:b/>
          <w:sz w:val="20"/>
          <w:szCs w:val="20"/>
        </w:rPr>
        <w:t xml:space="preserve"> </w:t>
      </w:r>
      <w:r w:rsidRPr="008B2149">
        <w:rPr>
          <w:rFonts w:ascii="Arial" w:hAnsi="Arial" w:cs="Arial"/>
          <w:b/>
          <w:sz w:val="20"/>
          <w:szCs w:val="20"/>
        </w:rPr>
        <w:t>Ratio of current account deficit to</w:t>
      </w:r>
      <w:r w:rsidR="00363520" w:rsidRPr="008B2149">
        <w:rPr>
          <w:rFonts w:ascii="Arial" w:hAnsi="Arial" w:cs="Arial"/>
          <w:b/>
          <w:sz w:val="20"/>
          <w:szCs w:val="20"/>
        </w:rPr>
        <w:t xml:space="preserve"> </w:t>
      </w:r>
      <w:r w:rsidRPr="008B2149">
        <w:rPr>
          <w:rFonts w:ascii="Arial" w:hAnsi="Arial" w:cs="Arial"/>
          <w:b/>
          <w:sz w:val="20"/>
          <w:szCs w:val="20"/>
        </w:rPr>
        <w:t>GDP</w:t>
      </w:r>
      <w:r w:rsidR="00455777" w:rsidRPr="008B2149">
        <w:rPr>
          <w:rFonts w:ascii="Arial" w:hAnsi="Arial" w:cs="Arial"/>
          <w:b/>
          <w:sz w:val="20"/>
          <w:szCs w:val="20"/>
        </w:rPr>
        <w:t xml:space="preserve"> (yearly)</w:t>
      </w:r>
      <w:r w:rsidR="00EF6AB5" w:rsidRPr="008B2149">
        <w:rPr>
          <w:rFonts w:ascii="Arial" w:hAnsi="Arial" w:cs="Arial"/>
          <w:b/>
          <w:sz w:val="20"/>
          <w:szCs w:val="20"/>
        </w:rPr>
        <w:t xml:space="preserve">                                                                    </w:t>
      </w:r>
    </w:p>
    <w:p w:rsidR="001E7720" w:rsidRPr="00451FEA" w:rsidRDefault="00AB717C" w:rsidP="008865B7">
      <w:pPr>
        <w:spacing w:line="360" w:lineRule="auto"/>
        <w:ind w:left="-360" w:right="42"/>
        <w:rPr>
          <w:szCs w:val="20"/>
        </w:rPr>
      </w:pPr>
      <w:r>
        <w:rPr>
          <w:noProof/>
          <w:szCs w:val="20"/>
          <w:lang w:val="tr-TR"/>
        </w:rPr>
        <w:drawing>
          <wp:inline distT="0" distB="0" distL="0" distR="0">
            <wp:extent cx="4524375" cy="21717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4524375" cy="2171700"/>
                    </a:xfrm>
                    <a:prstGeom prst="rect">
                      <a:avLst/>
                    </a:prstGeom>
                    <a:noFill/>
                    <a:ln w="9525">
                      <a:noFill/>
                      <a:miter lim="800000"/>
                      <a:headEnd/>
                      <a:tailEnd/>
                    </a:ln>
                  </pic:spPr>
                </pic:pic>
              </a:graphicData>
            </a:graphic>
          </wp:inline>
        </w:drawing>
      </w:r>
    </w:p>
    <w:p w:rsidR="001E7720" w:rsidRPr="008B2149" w:rsidRDefault="00AC630B" w:rsidP="001E4BF5">
      <w:pPr>
        <w:spacing w:line="360" w:lineRule="auto"/>
        <w:ind w:left="-360" w:right="42"/>
        <w:jc w:val="both"/>
        <w:rPr>
          <w:rFonts w:ascii="Arial" w:hAnsi="Arial" w:cs="Arial"/>
          <w:sz w:val="16"/>
          <w:szCs w:val="16"/>
        </w:rPr>
      </w:pPr>
      <w:r w:rsidRPr="008B2149">
        <w:rPr>
          <w:rFonts w:ascii="Arial" w:hAnsi="Arial" w:cs="Arial"/>
          <w:sz w:val="16"/>
          <w:szCs w:val="16"/>
        </w:rPr>
        <w:t>Source: TCMB</w:t>
      </w:r>
      <w:r w:rsidR="0071337D" w:rsidRPr="008B2149">
        <w:rPr>
          <w:rFonts w:ascii="Arial" w:hAnsi="Arial" w:cs="Arial"/>
          <w:sz w:val="16"/>
          <w:szCs w:val="16"/>
        </w:rPr>
        <w:t>.</w:t>
      </w:r>
      <w:r w:rsidRPr="008B2149">
        <w:rPr>
          <w:rFonts w:ascii="Arial" w:hAnsi="Arial" w:cs="Arial"/>
          <w:sz w:val="16"/>
          <w:szCs w:val="16"/>
        </w:rPr>
        <w:t xml:space="preserve"> TurkStat</w:t>
      </w:r>
      <w:r w:rsidR="0071337D" w:rsidRPr="008B2149">
        <w:rPr>
          <w:rFonts w:ascii="Arial" w:hAnsi="Arial" w:cs="Arial"/>
          <w:sz w:val="16"/>
          <w:szCs w:val="16"/>
        </w:rPr>
        <w:t>.</w:t>
      </w:r>
      <w:r w:rsidRPr="008B2149">
        <w:rPr>
          <w:rFonts w:ascii="Arial" w:hAnsi="Arial" w:cs="Arial"/>
          <w:sz w:val="16"/>
          <w:szCs w:val="16"/>
        </w:rPr>
        <w:t xml:space="preserve"> Betam</w:t>
      </w:r>
    </w:p>
    <w:p w:rsidR="001E7720" w:rsidRDefault="001E7720" w:rsidP="00C30DC1">
      <w:pPr>
        <w:spacing w:line="360" w:lineRule="auto"/>
        <w:ind w:right="42"/>
        <w:jc w:val="both"/>
        <w:rPr>
          <w:rFonts w:ascii="Arial" w:hAnsi="Arial" w:cs="Arial"/>
          <w:sz w:val="20"/>
          <w:szCs w:val="20"/>
        </w:rPr>
      </w:pPr>
    </w:p>
    <w:p w:rsidR="00C30DC1" w:rsidRDefault="00C30DC1" w:rsidP="001E4BF5">
      <w:pPr>
        <w:spacing w:line="360" w:lineRule="auto"/>
        <w:ind w:left="-360" w:right="42"/>
        <w:jc w:val="both"/>
        <w:rPr>
          <w:rFonts w:ascii="Arial" w:hAnsi="Arial" w:cs="Arial"/>
          <w:b/>
          <w:sz w:val="20"/>
          <w:szCs w:val="20"/>
        </w:rPr>
      </w:pPr>
      <w:r w:rsidRPr="00C30DC1">
        <w:rPr>
          <w:rFonts w:ascii="Arial" w:hAnsi="Arial" w:cs="Arial"/>
          <w:b/>
          <w:sz w:val="20"/>
          <w:szCs w:val="20"/>
        </w:rPr>
        <w:t>Figure 4:</w:t>
      </w:r>
      <w:r>
        <w:rPr>
          <w:rFonts w:ascii="Arial" w:hAnsi="Arial" w:cs="Arial"/>
          <w:b/>
          <w:sz w:val="20"/>
          <w:szCs w:val="20"/>
        </w:rPr>
        <w:t xml:space="preserve"> </w:t>
      </w:r>
      <w:r w:rsidRPr="00C30DC1">
        <w:rPr>
          <w:rFonts w:ascii="Arial" w:hAnsi="Arial" w:cs="Arial"/>
          <w:b/>
          <w:sz w:val="20"/>
          <w:szCs w:val="20"/>
        </w:rPr>
        <w:t>Weighted Average Interest Rates For Turkish Lira Banks' Loans</w:t>
      </w:r>
      <w:r>
        <w:rPr>
          <w:rFonts w:ascii="Arial" w:hAnsi="Arial" w:cs="Arial"/>
          <w:b/>
          <w:sz w:val="20"/>
          <w:szCs w:val="20"/>
        </w:rPr>
        <w:t xml:space="preserve"> (%)</w:t>
      </w:r>
    </w:p>
    <w:p w:rsidR="00C30DC1" w:rsidRPr="00C30DC1" w:rsidRDefault="00AB717C" w:rsidP="001E4BF5">
      <w:pPr>
        <w:spacing w:line="360" w:lineRule="auto"/>
        <w:ind w:left="-360" w:right="42"/>
        <w:jc w:val="both"/>
        <w:rPr>
          <w:rFonts w:ascii="Arial" w:hAnsi="Arial" w:cs="Arial"/>
          <w:b/>
          <w:sz w:val="20"/>
          <w:szCs w:val="20"/>
        </w:rPr>
      </w:pPr>
      <w:r>
        <w:rPr>
          <w:noProof/>
          <w:szCs w:val="20"/>
          <w:lang w:val="tr-TR"/>
        </w:rPr>
        <w:drawing>
          <wp:inline distT="0" distB="0" distL="0" distR="0">
            <wp:extent cx="4552950" cy="21145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4552950" cy="2114550"/>
                    </a:xfrm>
                    <a:prstGeom prst="rect">
                      <a:avLst/>
                    </a:prstGeom>
                    <a:noFill/>
                    <a:ln w="9525">
                      <a:noFill/>
                      <a:miter lim="800000"/>
                      <a:headEnd/>
                      <a:tailEnd/>
                    </a:ln>
                  </pic:spPr>
                </pic:pic>
              </a:graphicData>
            </a:graphic>
          </wp:inline>
        </w:drawing>
      </w:r>
    </w:p>
    <w:p w:rsidR="005E0781" w:rsidRPr="00C30DC1" w:rsidRDefault="00C30DC1" w:rsidP="00C30DC1">
      <w:pPr>
        <w:spacing w:line="360" w:lineRule="auto"/>
        <w:ind w:left="-360" w:right="42"/>
        <w:jc w:val="both"/>
        <w:rPr>
          <w:rFonts w:ascii="Arial" w:hAnsi="Arial" w:cs="Arial"/>
          <w:sz w:val="20"/>
          <w:szCs w:val="20"/>
        </w:rPr>
      </w:pPr>
      <w:r w:rsidRPr="008B2149">
        <w:rPr>
          <w:rFonts w:ascii="Arial" w:hAnsi="Arial" w:cs="Arial"/>
          <w:sz w:val="16"/>
          <w:szCs w:val="16"/>
        </w:rPr>
        <w:t>Source: TCMB</w:t>
      </w:r>
    </w:p>
    <w:p w:rsidR="001E7720" w:rsidRPr="008B2149" w:rsidRDefault="00344070" w:rsidP="00D0799D">
      <w:pPr>
        <w:spacing w:line="360" w:lineRule="auto"/>
        <w:ind w:right="42"/>
        <w:jc w:val="both"/>
        <w:rPr>
          <w:rFonts w:ascii="Arial" w:hAnsi="Arial" w:cs="Arial"/>
          <w:b/>
          <w:sz w:val="20"/>
          <w:szCs w:val="20"/>
        </w:rPr>
      </w:pPr>
      <w:r w:rsidRPr="008B2149">
        <w:rPr>
          <w:rFonts w:ascii="Arial" w:hAnsi="Arial" w:cs="Arial"/>
          <w:b/>
          <w:sz w:val="20"/>
          <w:szCs w:val="20"/>
        </w:rPr>
        <w:lastRenderedPageBreak/>
        <w:t>Figure</w:t>
      </w:r>
      <w:r w:rsidR="00C30DC1">
        <w:rPr>
          <w:rFonts w:ascii="Arial" w:hAnsi="Arial" w:cs="Arial"/>
          <w:b/>
          <w:sz w:val="20"/>
          <w:szCs w:val="20"/>
        </w:rPr>
        <w:t xml:space="preserve"> 5</w:t>
      </w:r>
      <w:r w:rsidR="008C6E50" w:rsidRPr="008B2149">
        <w:rPr>
          <w:rFonts w:ascii="Arial" w:hAnsi="Arial" w:cs="Arial"/>
          <w:b/>
          <w:sz w:val="20"/>
          <w:szCs w:val="20"/>
        </w:rPr>
        <w:t>:</w:t>
      </w:r>
      <w:r w:rsidR="008C6E50" w:rsidRPr="008B2149">
        <w:rPr>
          <w:rFonts w:ascii="Arial" w:hAnsi="Arial" w:cs="Arial"/>
          <w:sz w:val="20"/>
          <w:szCs w:val="20"/>
        </w:rPr>
        <w:t xml:space="preserve"> </w:t>
      </w:r>
      <w:r w:rsidR="00AC630B" w:rsidRPr="008B2149">
        <w:rPr>
          <w:rFonts w:ascii="Arial" w:hAnsi="Arial" w:cs="Arial"/>
          <w:b/>
          <w:sz w:val="20"/>
          <w:szCs w:val="20"/>
        </w:rPr>
        <w:t>Monthly changes of manufacturing industry exports</w:t>
      </w:r>
      <w:r w:rsidR="008C6E50" w:rsidRPr="008B2149">
        <w:rPr>
          <w:rFonts w:ascii="Arial" w:hAnsi="Arial" w:cs="Arial"/>
          <w:b/>
          <w:sz w:val="20"/>
          <w:szCs w:val="20"/>
        </w:rPr>
        <w:t xml:space="preserve"> (</w:t>
      </w:r>
      <w:r w:rsidRPr="008B2149">
        <w:rPr>
          <w:rFonts w:ascii="Arial" w:hAnsi="Arial" w:cs="Arial"/>
          <w:b/>
          <w:sz w:val="20"/>
          <w:szCs w:val="20"/>
        </w:rPr>
        <w:t>sa</w:t>
      </w:r>
      <w:r w:rsidR="008C6E50" w:rsidRPr="008B2149">
        <w:rPr>
          <w:rFonts w:ascii="Arial" w:hAnsi="Arial" w:cs="Arial"/>
          <w:b/>
          <w:sz w:val="20"/>
          <w:szCs w:val="20"/>
        </w:rPr>
        <w:t>)</w:t>
      </w:r>
    </w:p>
    <w:p w:rsidR="001F707E" w:rsidRPr="008B2149" w:rsidRDefault="00AB717C" w:rsidP="00D0799D">
      <w:pPr>
        <w:spacing w:line="360" w:lineRule="auto"/>
        <w:ind w:right="42"/>
        <w:jc w:val="both"/>
        <w:rPr>
          <w:rFonts w:ascii="Arial" w:hAnsi="Arial" w:cs="Arial"/>
          <w:sz w:val="20"/>
          <w:szCs w:val="20"/>
        </w:rPr>
      </w:pPr>
      <w:r>
        <w:rPr>
          <w:noProof/>
          <w:szCs w:val="20"/>
          <w:lang w:val="tr-TR"/>
        </w:rPr>
        <w:drawing>
          <wp:inline distT="0" distB="0" distL="0" distR="0">
            <wp:extent cx="5753100" cy="62769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srcRect/>
                    <a:stretch>
                      <a:fillRect/>
                    </a:stretch>
                  </pic:blipFill>
                  <pic:spPr bwMode="auto">
                    <a:xfrm>
                      <a:off x="0" y="0"/>
                      <a:ext cx="5753100" cy="6276975"/>
                    </a:xfrm>
                    <a:prstGeom prst="rect">
                      <a:avLst/>
                    </a:prstGeom>
                    <a:noFill/>
                    <a:ln w="9525">
                      <a:noFill/>
                      <a:miter lim="800000"/>
                      <a:headEnd/>
                      <a:tailEnd/>
                    </a:ln>
                  </pic:spPr>
                </pic:pic>
              </a:graphicData>
            </a:graphic>
          </wp:inline>
        </w:drawing>
      </w:r>
    </w:p>
    <w:p w:rsidR="008C6E50" w:rsidRPr="008B2149" w:rsidRDefault="00AC630B" w:rsidP="00D0799D">
      <w:pPr>
        <w:spacing w:line="360" w:lineRule="auto"/>
        <w:ind w:right="42"/>
        <w:jc w:val="both"/>
        <w:rPr>
          <w:rFonts w:ascii="Arial" w:hAnsi="Arial" w:cs="Arial"/>
          <w:sz w:val="16"/>
          <w:szCs w:val="16"/>
        </w:rPr>
      </w:pPr>
      <w:r w:rsidRPr="008B2149">
        <w:rPr>
          <w:rFonts w:ascii="Arial" w:hAnsi="Arial" w:cs="Arial"/>
          <w:sz w:val="16"/>
          <w:szCs w:val="16"/>
        </w:rPr>
        <w:t>Source: TurkStat</w:t>
      </w:r>
      <w:r w:rsidR="0071337D" w:rsidRPr="008B2149">
        <w:rPr>
          <w:rFonts w:ascii="Arial" w:hAnsi="Arial" w:cs="Arial"/>
          <w:sz w:val="16"/>
          <w:szCs w:val="16"/>
        </w:rPr>
        <w:t>.</w:t>
      </w:r>
      <w:r w:rsidR="008C6E50" w:rsidRPr="008B2149">
        <w:rPr>
          <w:rFonts w:ascii="Arial" w:hAnsi="Arial" w:cs="Arial"/>
          <w:sz w:val="16"/>
          <w:szCs w:val="16"/>
        </w:rPr>
        <w:t xml:space="preserve"> Betam</w:t>
      </w:r>
    </w:p>
    <w:p w:rsidR="009B43D6" w:rsidRDefault="009B43D6"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451FEA" w:rsidRDefault="00451FEA" w:rsidP="001E4BF5">
      <w:pPr>
        <w:spacing w:line="360" w:lineRule="auto"/>
        <w:ind w:left="-360" w:right="42"/>
        <w:jc w:val="both"/>
        <w:rPr>
          <w:sz w:val="22"/>
          <w:szCs w:val="22"/>
        </w:rPr>
      </w:pPr>
    </w:p>
    <w:p w:rsidR="009B43D6" w:rsidRPr="008B2149" w:rsidRDefault="009B43D6" w:rsidP="00D63012">
      <w:pPr>
        <w:spacing w:line="360" w:lineRule="auto"/>
        <w:ind w:right="42"/>
        <w:jc w:val="both"/>
        <w:rPr>
          <w:sz w:val="22"/>
          <w:szCs w:val="22"/>
        </w:rPr>
      </w:pPr>
    </w:p>
    <w:p w:rsidR="00B677BF" w:rsidRPr="008B2149" w:rsidRDefault="00B677BF" w:rsidP="001F707E">
      <w:pPr>
        <w:spacing w:line="360" w:lineRule="auto"/>
        <w:ind w:right="42"/>
        <w:jc w:val="both"/>
        <w:rPr>
          <w:sz w:val="22"/>
          <w:szCs w:val="22"/>
        </w:rPr>
      </w:pPr>
    </w:p>
    <w:sectPr w:rsidR="00B677BF" w:rsidRPr="008B2149"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051" w:rsidRDefault="00AF6051">
      <w:r>
        <w:separator/>
      </w:r>
    </w:p>
  </w:endnote>
  <w:endnote w:type="continuationSeparator" w:id="1">
    <w:p w:rsidR="00AF6051" w:rsidRDefault="00AF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051" w:rsidRDefault="00AF6051">
      <w:r>
        <w:separator/>
      </w:r>
    </w:p>
  </w:footnote>
  <w:footnote w:type="continuationSeparator" w:id="1">
    <w:p w:rsidR="00AF6051" w:rsidRDefault="00AF6051">
      <w:r>
        <w:continuationSeparator/>
      </w:r>
    </w:p>
  </w:footnote>
  <w:footnote w:id="2">
    <w:p w:rsidR="001F275D" w:rsidRPr="00040102" w:rsidRDefault="001F275D" w:rsidP="001F275D">
      <w:pPr>
        <w:pStyle w:val="DipnotMetni"/>
        <w:ind w:left="-360"/>
        <w:rPr>
          <w:lang w:val="tr-TR"/>
        </w:rPr>
      </w:pPr>
      <w:r>
        <w:rPr>
          <w:rStyle w:val="DipnotBavurusu"/>
        </w:rPr>
        <w:footnoteRef/>
      </w:r>
      <w:r>
        <w:t xml:space="preserve"> </w:t>
      </w:r>
      <w:r>
        <w:rPr>
          <w:lang w:val="tr-TR"/>
        </w:rPr>
        <w:t xml:space="preserve"> See: “Growth review 2012 2nd Quarter”, Betam.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357ECC"/>
    <w:rsid w:val="000003F0"/>
    <w:rsid w:val="00001050"/>
    <w:rsid w:val="0000434B"/>
    <w:rsid w:val="00004745"/>
    <w:rsid w:val="00010DD1"/>
    <w:rsid w:val="00013406"/>
    <w:rsid w:val="00017F2E"/>
    <w:rsid w:val="00024559"/>
    <w:rsid w:val="00024B55"/>
    <w:rsid w:val="00034421"/>
    <w:rsid w:val="00037CE9"/>
    <w:rsid w:val="00047B99"/>
    <w:rsid w:val="00050DCF"/>
    <w:rsid w:val="00051CD0"/>
    <w:rsid w:val="00055814"/>
    <w:rsid w:val="00055A3E"/>
    <w:rsid w:val="000625E8"/>
    <w:rsid w:val="00063758"/>
    <w:rsid w:val="00065B3C"/>
    <w:rsid w:val="00067DF6"/>
    <w:rsid w:val="000715CA"/>
    <w:rsid w:val="000717B5"/>
    <w:rsid w:val="000743ED"/>
    <w:rsid w:val="000820D2"/>
    <w:rsid w:val="0008367E"/>
    <w:rsid w:val="00084ED0"/>
    <w:rsid w:val="00091D4B"/>
    <w:rsid w:val="00097481"/>
    <w:rsid w:val="000A1E16"/>
    <w:rsid w:val="000A383B"/>
    <w:rsid w:val="000A6429"/>
    <w:rsid w:val="000A701D"/>
    <w:rsid w:val="000B0553"/>
    <w:rsid w:val="000B669B"/>
    <w:rsid w:val="000C3022"/>
    <w:rsid w:val="000C5B7E"/>
    <w:rsid w:val="000D029B"/>
    <w:rsid w:val="000D0DA7"/>
    <w:rsid w:val="000D6420"/>
    <w:rsid w:val="000D7F65"/>
    <w:rsid w:val="000E10A3"/>
    <w:rsid w:val="000E4231"/>
    <w:rsid w:val="000E4C57"/>
    <w:rsid w:val="000F3017"/>
    <w:rsid w:val="000F396D"/>
    <w:rsid w:val="000F4941"/>
    <w:rsid w:val="00100750"/>
    <w:rsid w:val="001105B2"/>
    <w:rsid w:val="001116C3"/>
    <w:rsid w:val="00114BC7"/>
    <w:rsid w:val="00131702"/>
    <w:rsid w:val="00133054"/>
    <w:rsid w:val="001357C1"/>
    <w:rsid w:val="00135FEE"/>
    <w:rsid w:val="00137054"/>
    <w:rsid w:val="00137F02"/>
    <w:rsid w:val="00141B93"/>
    <w:rsid w:val="00143828"/>
    <w:rsid w:val="0015045A"/>
    <w:rsid w:val="00150B84"/>
    <w:rsid w:val="00157DC2"/>
    <w:rsid w:val="00163E33"/>
    <w:rsid w:val="001661B0"/>
    <w:rsid w:val="00166FE5"/>
    <w:rsid w:val="00167408"/>
    <w:rsid w:val="00167D69"/>
    <w:rsid w:val="00170085"/>
    <w:rsid w:val="00170DE7"/>
    <w:rsid w:val="00177F4E"/>
    <w:rsid w:val="00177FE3"/>
    <w:rsid w:val="0019538C"/>
    <w:rsid w:val="00195EC6"/>
    <w:rsid w:val="00197ACB"/>
    <w:rsid w:val="001A2051"/>
    <w:rsid w:val="001A787F"/>
    <w:rsid w:val="001B0683"/>
    <w:rsid w:val="001B0861"/>
    <w:rsid w:val="001B1CFE"/>
    <w:rsid w:val="001B34B5"/>
    <w:rsid w:val="001B6256"/>
    <w:rsid w:val="001B6836"/>
    <w:rsid w:val="001B6AFA"/>
    <w:rsid w:val="001C457D"/>
    <w:rsid w:val="001D09B1"/>
    <w:rsid w:val="001D11F7"/>
    <w:rsid w:val="001D1F1B"/>
    <w:rsid w:val="001D3C27"/>
    <w:rsid w:val="001D4B8B"/>
    <w:rsid w:val="001E0274"/>
    <w:rsid w:val="001E192B"/>
    <w:rsid w:val="001E4122"/>
    <w:rsid w:val="001E4BF5"/>
    <w:rsid w:val="001E7720"/>
    <w:rsid w:val="001E7DE1"/>
    <w:rsid w:val="001F1052"/>
    <w:rsid w:val="001F1361"/>
    <w:rsid w:val="001F275D"/>
    <w:rsid w:val="001F4CFB"/>
    <w:rsid w:val="001F6E7D"/>
    <w:rsid w:val="001F707E"/>
    <w:rsid w:val="001F7216"/>
    <w:rsid w:val="0020115E"/>
    <w:rsid w:val="00203CD9"/>
    <w:rsid w:val="00204364"/>
    <w:rsid w:val="00207185"/>
    <w:rsid w:val="002166A1"/>
    <w:rsid w:val="002176C5"/>
    <w:rsid w:val="002220B5"/>
    <w:rsid w:val="00225215"/>
    <w:rsid w:val="00230A81"/>
    <w:rsid w:val="00236A19"/>
    <w:rsid w:val="00236F07"/>
    <w:rsid w:val="00245E19"/>
    <w:rsid w:val="00260693"/>
    <w:rsid w:val="002639C0"/>
    <w:rsid w:val="00264000"/>
    <w:rsid w:val="002663F7"/>
    <w:rsid w:val="00271168"/>
    <w:rsid w:val="00272C27"/>
    <w:rsid w:val="002751F5"/>
    <w:rsid w:val="00283EE6"/>
    <w:rsid w:val="00287ACE"/>
    <w:rsid w:val="002902DE"/>
    <w:rsid w:val="00293BAB"/>
    <w:rsid w:val="002A27C0"/>
    <w:rsid w:val="002A66ED"/>
    <w:rsid w:val="002B015D"/>
    <w:rsid w:val="002B1FC3"/>
    <w:rsid w:val="002B3644"/>
    <w:rsid w:val="002B460F"/>
    <w:rsid w:val="002C0C55"/>
    <w:rsid w:val="002C28A4"/>
    <w:rsid w:val="002C391B"/>
    <w:rsid w:val="002C3E54"/>
    <w:rsid w:val="002D7743"/>
    <w:rsid w:val="002E1EA4"/>
    <w:rsid w:val="002E5892"/>
    <w:rsid w:val="002E6BB4"/>
    <w:rsid w:val="002E6BD6"/>
    <w:rsid w:val="002F0BDE"/>
    <w:rsid w:val="002F1C42"/>
    <w:rsid w:val="002F2CD1"/>
    <w:rsid w:val="002F30F9"/>
    <w:rsid w:val="002F5134"/>
    <w:rsid w:val="00306FA7"/>
    <w:rsid w:val="0031043B"/>
    <w:rsid w:val="003142BA"/>
    <w:rsid w:val="00316CE9"/>
    <w:rsid w:val="00316DB4"/>
    <w:rsid w:val="00322134"/>
    <w:rsid w:val="003223B0"/>
    <w:rsid w:val="00322EBE"/>
    <w:rsid w:val="003269F7"/>
    <w:rsid w:val="0033349F"/>
    <w:rsid w:val="00333B98"/>
    <w:rsid w:val="003345C8"/>
    <w:rsid w:val="00337824"/>
    <w:rsid w:val="00337AE5"/>
    <w:rsid w:val="003410B9"/>
    <w:rsid w:val="00341195"/>
    <w:rsid w:val="00344070"/>
    <w:rsid w:val="0034543C"/>
    <w:rsid w:val="00345CDD"/>
    <w:rsid w:val="00347145"/>
    <w:rsid w:val="003474D9"/>
    <w:rsid w:val="00353B31"/>
    <w:rsid w:val="003552A4"/>
    <w:rsid w:val="00356765"/>
    <w:rsid w:val="00357ECC"/>
    <w:rsid w:val="00360133"/>
    <w:rsid w:val="00361D56"/>
    <w:rsid w:val="00362436"/>
    <w:rsid w:val="00363520"/>
    <w:rsid w:val="00376AC1"/>
    <w:rsid w:val="00381853"/>
    <w:rsid w:val="00383A6E"/>
    <w:rsid w:val="00384212"/>
    <w:rsid w:val="0038488E"/>
    <w:rsid w:val="003866F7"/>
    <w:rsid w:val="00394358"/>
    <w:rsid w:val="00395C47"/>
    <w:rsid w:val="00396E44"/>
    <w:rsid w:val="00397518"/>
    <w:rsid w:val="003A048F"/>
    <w:rsid w:val="003A219A"/>
    <w:rsid w:val="003A2B60"/>
    <w:rsid w:val="003A31B2"/>
    <w:rsid w:val="003A3575"/>
    <w:rsid w:val="003A5AD9"/>
    <w:rsid w:val="003B0F7E"/>
    <w:rsid w:val="003B109E"/>
    <w:rsid w:val="003B199A"/>
    <w:rsid w:val="003B2720"/>
    <w:rsid w:val="003B472B"/>
    <w:rsid w:val="003B5209"/>
    <w:rsid w:val="003B797F"/>
    <w:rsid w:val="003C5112"/>
    <w:rsid w:val="003C640D"/>
    <w:rsid w:val="003D0BE4"/>
    <w:rsid w:val="003D142F"/>
    <w:rsid w:val="003D7E7F"/>
    <w:rsid w:val="003E5C49"/>
    <w:rsid w:val="003F347E"/>
    <w:rsid w:val="00402158"/>
    <w:rsid w:val="00405F8D"/>
    <w:rsid w:val="00406615"/>
    <w:rsid w:val="00422832"/>
    <w:rsid w:val="00437C99"/>
    <w:rsid w:val="00451FEA"/>
    <w:rsid w:val="00452B69"/>
    <w:rsid w:val="00455777"/>
    <w:rsid w:val="00463BBF"/>
    <w:rsid w:val="004716A6"/>
    <w:rsid w:val="004814F0"/>
    <w:rsid w:val="00485884"/>
    <w:rsid w:val="0049613B"/>
    <w:rsid w:val="004A4DD6"/>
    <w:rsid w:val="004A7343"/>
    <w:rsid w:val="004A7FE6"/>
    <w:rsid w:val="004C6A82"/>
    <w:rsid w:val="004D0590"/>
    <w:rsid w:val="004D60DE"/>
    <w:rsid w:val="004D67C5"/>
    <w:rsid w:val="004D7A57"/>
    <w:rsid w:val="004E2D21"/>
    <w:rsid w:val="004E40D1"/>
    <w:rsid w:val="004E4C5E"/>
    <w:rsid w:val="004F1286"/>
    <w:rsid w:val="004F1E07"/>
    <w:rsid w:val="0050049B"/>
    <w:rsid w:val="00502793"/>
    <w:rsid w:val="00506264"/>
    <w:rsid w:val="0051750C"/>
    <w:rsid w:val="00522ED0"/>
    <w:rsid w:val="00523C58"/>
    <w:rsid w:val="00536C48"/>
    <w:rsid w:val="00542728"/>
    <w:rsid w:val="00543E56"/>
    <w:rsid w:val="00546373"/>
    <w:rsid w:val="00551E19"/>
    <w:rsid w:val="00552D5D"/>
    <w:rsid w:val="00556328"/>
    <w:rsid w:val="00556F7E"/>
    <w:rsid w:val="00567E14"/>
    <w:rsid w:val="005758D1"/>
    <w:rsid w:val="00585800"/>
    <w:rsid w:val="005871D8"/>
    <w:rsid w:val="0058799A"/>
    <w:rsid w:val="00593B80"/>
    <w:rsid w:val="005A03EE"/>
    <w:rsid w:val="005A06D3"/>
    <w:rsid w:val="005A0AF8"/>
    <w:rsid w:val="005A2B2E"/>
    <w:rsid w:val="005A5144"/>
    <w:rsid w:val="005B5D93"/>
    <w:rsid w:val="005C42DE"/>
    <w:rsid w:val="005C571D"/>
    <w:rsid w:val="005C59F0"/>
    <w:rsid w:val="005C7783"/>
    <w:rsid w:val="005D7E62"/>
    <w:rsid w:val="005E0781"/>
    <w:rsid w:val="005E0E66"/>
    <w:rsid w:val="005E2983"/>
    <w:rsid w:val="005F1C44"/>
    <w:rsid w:val="005F2A5B"/>
    <w:rsid w:val="005F2ECA"/>
    <w:rsid w:val="005F31BE"/>
    <w:rsid w:val="005F62CB"/>
    <w:rsid w:val="005F79D9"/>
    <w:rsid w:val="00600A02"/>
    <w:rsid w:val="00602EB0"/>
    <w:rsid w:val="00610482"/>
    <w:rsid w:val="00613B72"/>
    <w:rsid w:val="006221AA"/>
    <w:rsid w:val="00623B31"/>
    <w:rsid w:val="006274E1"/>
    <w:rsid w:val="0062776E"/>
    <w:rsid w:val="00631163"/>
    <w:rsid w:val="00631270"/>
    <w:rsid w:val="00632044"/>
    <w:rsid w:val="006360F2"/>
    <w:rsid w:val="006419AA"/>
    <w:rsid w:val="00644C74"/>
    <w:rsid w:val="006454DC"/>
    <w:rsid w:val="00662C10"/>
    <w:rsid w:val="00664C1C"/>
    <w:rsid w:val="0066576D"/>
    <w:rsid w:val="00667305"/>
    <w:rsid w:val="006713C0"/>
    <w:rsid w:val="00672CA0"/>
    <w:rsid w:val="00682DF3"/>
    <w:rsid w:val="006836A7"/>
    <w:rsid w:val="006837F6"/>
    <w:rsid w:val="00683A24"/>
    <w:rsid w:val="00691D96"/>
    <w:rsid w:val="006A3F76"/>
    <w:rsid w:val="006A507F"/>
    <w:rsid w:val="006B08B4"/>
    <w:rsid w:val="006B1779"/>
    <w:rsid w:val="006B3B9F"/>
    <w:rsid w:val="006B54D7"/>
    <w:rsid w:val="006B60DC"/>
    <w:rsid w:val="006B7B76"/>
    <w:rsid w:val="006C6C6F"/>
    <w:rsid w:val="006D13C9"/>
    <w:rsid w:val="006E2D48"/>
    <w:rsid w:val="006F0116"/>
    <w:rsid w:val="006F1A82"/>
    <w:rsid w:val="006F2049"/>
    <w:rsid w:val="006F309B"/>
    <w:rsid w:val="007008D1"/>
    <w:rsid w:val="00704765"/>
    <w:rsid w:val="007067F4"/>
    <w:rsid w:val="0071337D"/>
    <w:rsid w:val="00714FBF"/>
    <w:rsid w:val="0071687F"/>
    <w:rsid w:val="00720303"/>
    <w:rsid w:val="00726C38"/>
    <w:rsid w:val="007320A1"/>
    <w:rsid w:val="007361F6"/>
    <w:rsid w:val="00736C84"/>
    <w:rsid w:val="007415EE"/>
    <w:rsid w:val="0075074A"/>
    <w:rsid w:val="007533D7"/>
    <w:rsid w:val="0075696F"/>
    <w:rsid w:val="007633AD"/>
    <w:rsid w:val="00765414"/>
    <w:rsid w:val="007670E1"/>
    <w:rsid w:val="00774EA6"/>
    <w:rsid w:val="0078192F"/>
    <w:rsid w:val="00782D82"/>
    <w:rsid w:val="007834AF"/>
    <w:rsid w:val="0079752F"/>
    <w:rsid w:val="007975F4"/>
    <w:rsid w:val="007A0897"/>
    <w:rsid w:val="007A35F3"/>
    <w:rsid w:val="007A64EE"/>
    <w:rsid w:val="007A6702"/>
    <w:rsid w:val="007C21C4"/>
    <w:rsid w:val="007C4EAE"/>
    <w:rsid w:val="007C543A"/>
    <w:rsid w:val="007C56C1"/>
    <w:rsid w:val="007D04CC"/>
    <w:rsid w:val="007D08AB"/>
    <w:rsid w:val="007D3176"/>
    <w:rsid w:val="007D4F28"/>
    <w:rsid w:val="007E16B9"/>
    <w:rsid w:val="007E182F"/>
    <w:rsid w:val="007E3D0F"/>
    <w:rsid w:val="007E5E9A"/>
    <w:rsid w:val="007F1E8F"/>
    <w:rsid w:val="007F50E5"/>
    <w:rsid w:val="00801493"/>
    <w:rsid w:val="0080748E"/>
    <w:rsid w:val="008129C1"/>
    <w:rsid w:val="00814665"/>
    <w:rsid w:val="00814DF4"/>
    <w:rsid w:val="00817438"/>
    <w:rsid w:val="008226C9"/>
    <w:rsid w:val="00831E42"/>
    <w:rsid w:val="00831E59"/>
    <w:rsid w:val="008332DD"/>
    <w:rsid w:val="00841898"/>
    <w:rsid w:val="00842EA5"/>
    <w:rsid w:val="00845505"/>
    <w:rsid w:val="00846685"/>
    <w:rsid w:val="00847ADC"/>
    <w:rsid w:val="00852D1A"/>
    <w:rsid w:val="008572C9"/>
    <w:rsid w:val="00861348"/>
    <w:rsid w:val="00861740"/>
    <w:rsid w:val="00862B92"/>
    <w:rsid w:val="0086333C"/>
    <w:rsid w:val="008672F6"/>
    <w:rsid w:val="008729A3"/>
    <w:rsid w:val="00872BE1"/>
    <w:rsid w:val="00875229"/>
    <w:rsid w:val="008865B7"/>
    <w:rsid w:val="00887060"/>
    <w:rsid w:val="00892423"/>
    <w:rsid w:val="00895E6C"/>
    <w:rsid w:val="008A38AB"/>
    <w:rsid w:val="008A6C67"/>
    <w:rsid w:val="008B2149"/>
    <w:rsid w:val="008B74EE"/>
    <w:rsid w:val="008C0F43"/>
    <w:rsid w:val="008C14F4"/>
    <w:rsid w:val="008C17F4"/>
    <w:rsid w:val="008C2826"/>
    <w:rsid w:val="008C38E5"/>
    <w:rsid w:val="008C6E50"/>
    <w:rsid w:val="008D3976"/>
    <w:rsid w:val="008E32CB"/>
    <w:rsid w:val="008E63CB"/>
    <w:rsid w:val="008F5ED9"/>
    <w:rsid w:val="0090421E"/>
    <w:rsid w:val="0090604F"/>
    <w:rsid w:val="009125B5"/>
    <w:rsid w:val="0091403E"/>
    <w:rsid w:val="00915CF1"/>
    <w:rsid w:val="00916E57"/>
    <w:rsid w:val="009174AD"/>
    <w:rsid w:val="00923AE7"/>
    <w:rsid w:val="00924E54"/>
    <w:rsid w:val="009260AC"/>
    <w:rsid w:val="00931B8C"/>
    <w:rsid w:val="00934BE6"/>
    <w:rsid w:val="0093780A"/>
    <w:rsid w:val="00942492"/>
    <w:rsid w:val="009441DB"/>
    <w:rsid w:val="00953C28"/>
    <w:rsid w:val="009652E9"/>
    <w:rsid w:val="00971D26"/>
    <w:rsid w:val="00973503"/>
    <w:rsid w:val="00973AE1"/>
    <w:rsid w:val="00974030"/>
    <w:rsid w:val="0098063D"/>
    <w:rsid w:val="009848D3"/>
    <w:rsid w:val="00984D79"/>
    <w:rsid w:val="0098721A"/>
    <w:rsid w:val="00990226"/>
    <w:rsid w:val="00992B27"/>
    <w:rsid w:val="00993679"/>
    <w:rsid w:val="00995E1B"/>
    <w:rsid w:val="00995F40"/>
    <w:rsid w:val="009A6149"/>
    <w:rsid w:val="009B2569"/>
    <w:rsid w:val="009B39A4"/>
    <w:rsid w:val="009B43D6"/>
    <w:rsid w:val="009B5407"/>
    <w:rsid w:val="009C2397"/>
    <w:rsid w:val="009C53F9"/>
    <w:rsid w:val="009C59AC"/>
    <w:rsid w:val="009D1323"/>
    <w:rsid w:val="009D3B55"/>
    <w:rsid w:val="009D4079"/>
    <w:rsid w:val="009D77CC"/>
    <w:rsid w:val="009E0464"/>
    <w:rsid w:val="009E2A57"/>
    <w:rsid w:val="009E73C4"/>
    <w:rsid w:val="009F0111"/>
    <w:rsid w:val="009F1B4D"/>
    <w:rsid w:val="009F2088"/>
    <w:rsid w:val="009F6583"/>
    <w:rsid w:val="00A0243A"/>
    <w:rsid w:val="00A05DEF"/>
    <w:rsid w:val="00A0725A"/>
    <w:rsid w:val="00A0768E"/>
    <w:rsid w:val="00A11CB3"/>
    <w:rsid w:val="00A1561F"/>
    <w:rsid w:val="00A158E0"/>
    <w:rsid w:val="00A208D0"/>
    <w:rsid w:val="00A217FD"/>
    <w:rsid w:val="00A22AF3"/>
    <w:rsid w:val="00A24957"/>
    <w:rsid w:val="00A265E2"/>
    <w:rsid w:val="00A2686F"/>
    <w:rsid w:val="00A32CC6"/>
    <w:rsid w:val="00A35FDD"/>
    <w:rsid w:val="00A64100"/>
    <w:rsid w:val="00A6642E"/>
    <w:rsid w:val="00A67A86"/>
    <w:rsid w:val="00A71B18"/>
    <w:rsid w:val="00A726B4"/>
    <w:rsid w:val="00A75A46"/>
    <w:rsid w:val="00A82A89"/>
    <w:rsid w:val="00A83CAB"/>
    <w:rsid w:val="00A86049"/>
    <w:rsid w:val="00A878F4"/>
    <w:rsid w:val="00A9385F"/>
    <w:rsid w:val="00A93A56"/>
    <w:rsid w:val="00A94086"/>
    <w:rsid w:val="00A9596F"/>
    <w:rsid w:val="00AA179B"/>
    <w:rsid w:val="00AA2704"/>
    <w:rsid w:val="00AA3845"/>
    <w:rsid w:val="00AA50EA"/>
    <w:rsid w:val="00AB717C"/>
    <w:rsid w:val="00AB7E39"/>
    <w:rsid w:val="00AC1A14"/>
    <w:rsid w:val="00AC1C97"/>
    <w:rsid w:val="00AC630B"/>
    <w:rsid w:val="00AD4568"/>
    <w:rsid w:val="00AD5A12"/>
    <w:rsid w:val="00AD6D9C"/>
    <w:rsid w:val="00AD6E7B"/>
    <w:rsid w:val="00AE7542"/>
    <w:rsid w:val="00AF0503"/>
    <w:rsid w:val="00AF2D7A"/>
    <w:rsid w:val="00AF34E9"/>
    <w:rsid w:val="00AF501D"/>
    <w:rsid w:val="00AF6051"/>
    <w:rsid w:val="00AF6500"/>
    <w:rsid w:val="00B01B40"/>
    <w:rsid w:val="00B062A2"/>
    <w:rsid w:val="00B115D5"/>
    <w:rsid w:val="00B1244F"/>
    <w:rsid w:val="00B12FD3"/>
    <w:rsid w:val="00B14F53"/>
    <w:rsid w:val="00B1612F"/>
    <w:rsid w:val="00B169C6"/>
    <w:rsid w:val="00B25C21"/>
    <w:rsid w:val="00B34C83"/>
    <w:rsid w:val="00B377EE"/>
    <w:rsid w:val="00B42B18"/>
    <w:rsid w:val="00B510B9"/>
    <w:rsid w:val="00B51DCC"/>
    <w:rsid w:val="00B677BF"/>
    <w:rsid w:val="00B71BC1"/>
    <w:rsid w:val="00B7481B"/>
    <w:rsid w:val="00B7575B"/>
    <w:rsid w:val="00B800C0"/>
    <w:rsid w:val="00B8531E"/>
    <w:rsid w:val="00B9215F"/>
    <w:rsid w:val="00B95352"/>
    <w:rsid w:val="00B97F6C"/>
    <w:rsid w:val="00BA47FF"/>
    <w:rsid w:val="00BB0877"/>
    <w:rsid w:val="00BB08BD"/>
    <w:rsid w:val="00BB4CA7"/>
    <w:rsid w:val="00BD4ADF"/>
    <w:rsid w:val="00BD7514"/>
    <w:rsid w:val="00BE505A"/>
    <w:rsid w:val="00BE56E0"/>
    <w:rsid w:val="00BE61FB"/>
    <w:rsid w:val="00BF14F1"/>
    <w:rsid w:val="00BF17E5"/>
    <w:rsid w:val="00BF22C5"/>
    <w:rsid w:val="00BF409F"/>
    <w:rsid w:val="00BF5712"/>
    <w:rsid w:val="00BF60D3"/>
    <w:rsid w:val="00BF79CD"/>
    <w:rsid w:val="00C02556"/>
    <w:rsid w:val="00C11348"/>
    <w:rsid w:val="00C15A9A"/>
    <w:rsid w:val="00C16CFB"/>
    <w:rsid w:val="00C171D9"/>
    <w:rsid w:val="00C22DC8"/>
    <w:rsid w:val="00C2420F"/>
    <w:rsid w:val="00C25007"/>
    <w:rsid w:val="00C25959"/>
    <w:rsid w:val="00C30485"/>
    <w:rsid w:val="00C30DC1"/>
    <w:rsid w:val="00C369DA"/>
    <w:rsid w:val="00C37220"/>
    <w:rsid w:val="00C37AB3"/>
    <w:rsid w:val="00C4382B"/>
    <w:rsid w:val="00C45FC0"/>
    <w:rsid w:val="00C54FB9"/>
    <w:rsid w:val="00C56CA3"/>
    <w:rsid w:val="00C60595"/>
    <w:rsid w:val="00C61305"/>
    <w:rsid w:val="00C61472"/>
    <w:rsid w:val="00C62404"/>
    <w:rsid w:val="00C6427A"/>
    <w:rsid w:val="00C6542A"/>
    <w:rsid w:val="00C6608D"/>
    <w:rsid w:val="00C67EFE"/>
    <w:rsid w:val="00C74078"/>
    <w:rsid w:val="00C76273"/>
    <w:rsid w:val="00C80F88"/>
    <w:rsid w:val="00C875DE"/>
    <w:rsid w:val="00C91E59"/>
    <w:rsid w:val="00C944BB"/>
    <w:rsid w:val="00C9569C"/>
    <w:rsid w:val="00CA17D7"/>
    <w:rsid w:val="00CA3FDA"/>
    <w:rsid w:val="00CA6DDE"/>
    <w:rsid w:val="00CB4CC5"/>
    <w:rsid w:val="00CC23AA"/>
    <w:rsid w:val="00CC26C6"/>
    <w:rsid w:val="00CC41EB"/>
    <w:rsid w:val="00CD3014"/>
    <w:rsid w:val="00CD3056"/>
    <w:rsid w:val="00CD6716"/>
    <w:rsid w:val="00CE15C2"/>
    <w:rsid w:val="00CE3983"/>
    <w:rsid w:val="00CE6C1E"/>
    <w:rsid w:val="00CF1326"/>
    <w:rsid w:val="00CF51B2"/>
    <w:rsid w:val="00D002D6"/>
    <w:rsid w:val="00D039D1"/>
    <w:rsid w:val="00D067E1"/>
    <w:rsid w:val="00D0799D"/>
    <w:rsid w:val="00D126AA"/>
    <w:rsid w:val="00D15819"/>
    <w:rsid w:val="00D271E9"/>
    <w:rsid w:val="00D43E2F"/>
    <w:rsid w:val="00D446CF"/>
    <w:rsid w:val="00D509B0"/>
    <w:rsid w:val="00D50D78"/>
    <w:rsid w:val="00D535DB"/>
    <w:rsid w:val="00D55327"/>
    <w:rsid w:val="00D62A48"/>
    <w:rsid w:val="00D63012"/>
    <w:rsid w:val="00D64E8A"/>
    <w:rsid w:val="00D674E0"/>
    <w:rsid w:val="00D71B1A"/>
    <w:rsid w:val="00D72039"/>
    <w:rsid w:val="00D74A5F"/>
    <w:rsid w:val="00D7539A"/>
    <w:rsid w:val="00D77152"/>
    <w:rsid w:val="00D7792C"/>
    <w:rsid w:val="00D83206"/>
    <w:rsid w:val="00DA6778"/>
    <w:rsid w:val="00DB2CA8"/>
    <w:rsid w:val="00DC0405"/>
    <w:rsid w:val="00DC0504"/>
    <w:rsid w:val="00DC064C"/>
    <w:rsid w:val="00DC1D93"/>
    <w:rsid w:val="00DC3ABC"/>
    <w:rsid w:val="00DC6F7B"/>
    <w:rsid w:val="00DD0F50"/>
    <w:rsid w:val="00DD3C93"/>
    <w:rsid w:val="00DE22D8"/>
    <w:rsid w:val="00DE24A1"/>
    <w:rsid w:val="00DF0CD9"/>
    <w:rsid w:val="00DF379E"/>
    <w:rsid w:val="00DF5067"/>
    <w:rsid w:val="00E030DE"/>
    <w:rsid w:val="00E0426E"/>
    <w:rsid w:val="00E06ADA"/>
    <w:rsid w:val="00E1729A"/>
    <w:rsid w:val="00E21A09"/>
    <w:rsid w:val="00E24F8C"/>
    <w:rsid w:val="00E4542C"/>
    <w:rsid w:val="00E50C36"/>
    <w:rsid w:val="00E60FC8"/>
    <w:rsid w:val="00E6151B"/>
    <w:rsid w:val="00E63C04"/>
    <w:rsid w:val="00E64197"/>
    <w:rsid w:val="00E64338"/>
    <w:rsid w:val="00E651A3"/>
    <w:rsid w:val="00E71111"/>
    <w:rsid w:val="00E74B0A"/>
    <w:rsid w:val="00E80B9E"/>
    <w:rsid w:val="00E81CDD"/>
    <w:rsid w:val="00E823E8"/>
    <w:rsid w:val="00E84728"/>
    <w:rsid w:val="00E91947"/>
    <w:rsid w:val="00E94945"/>
    <w:rsid w:val="00E96583"/>
    <w:rsid w:val="00EA009A"/>
    <w:rsid w:val="00EA194C"/>
    <w:rsid w:val="00EA6E74"/>
    <w:rsid w:val="00EB30E8"/>
    <w:rsid w:val="00EB5E9B"/>
    <w:rsid w:val="00EB65F5"/>
    <w:rsid w:val="00EB6BA3"/>
    <w:rsid w:val="00EB7CE3"/>
    <w:rsid w:val="00EC1A1C"/>
    <w:rsid w:val="00EC4C96"/>
    <w:rsid w:val="00ED0629"/>
    <w:rsid w:val="00ED3E42"/>
    <w:rsid w:val="00ED55B0"/>
    <w:rsid w:val="00ED7A5F"/>
    <w:rsid w:val="00EE040C"/>
    <w:rsid w:val="00EE075B"/>
    <w:rsid w:val="00EE1EA9"/>
    <w:rsid w:val="00EE636D"/>
    <w:rsid w:val="00EF0790"/>
    <w:rsid w:val="00EF1B11"/>
    <w:rsid w:val="00EF6AB5"/>
    <w:rsid w:val="00F06742"/>
    <w:rsid w:val="00F12CB3"/>
    <w:rsid w:val="00F12FF6"/>
    <w:rsid w:val="00F157DD"/>
    <w:rsid w:val="00F17A65"/>
    <w:rsid w:val="00F201AE"/>
    <w:rsid w:val="00F2622C"/>
    <w:rsid w:val="00F2732E"/>
    <w:rsid w:val="00F30EEA"/>
    <w:rsid w:val="00F3115B"/>
    <w:rsid w:val="00F46A4B"/>
    <w:rsid w:val="00F55F47"/>
    <w:rsid w:val="00F56DAB"/>
    <w:rsid w:val="00F5758D"/>
    <w:rsid w:val="00F642A3"/>
    <w:rsid w:val="00F65107"/>
    <w:rsid w:val="00F6527A"/>
    <w:rsid w:val="00F6592D"/>
    <w:rsid w:val="00F71E13"/>
    <w:rsid w:val="00F86020"/>
    <w:rsid w:val="00F948F3"/>
    <w:rsid w:val="00F97D27"/>
    <w:rsid w:val="00F97DA6"/>
    <w:rsid w:val="00FA01C6"/>
    <w:rsid w:val="00FA2446"/>
    <w:rsid w:val="00FA48DD"/>
    <w:rsid w:val="00FA61C6"/>
    <w:rsid w:val="00FA6289"/>
    <w:rsid w:val="00FB3515"/>
    <w:rsid w:val="00FB495B"/>
    <w:rsid w:val="00FC2F6E"/>
    <w:rsid w:val="00FC36DC"/>
    <w:rsid w:val="00FC75A8"/>
    <w:rsid w:val="00FD0678"/>
    <w:rsid w:val="00FD213A"/>
    <w:rsid w:val="00FD37B4"/>
    <w:rsid w:val="00FD531E"/>
    <w:rsid w:val="00FE0BEA"/>
    <w:rsid w:val="00FE2D6C"/>
    <w:rsid w:val="00FE2FFA"/>
    <w:rsid w:val="00FF5CBB"/>
    <w:rsid w:val="00FF6389"/>
    <w:rsid w:val="00FF7022"/>
    <w:rsid w:val="00FF759F"/>
    <w:rsid w:val="00FF79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Balk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Balk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rsid w:val="00D0799D"/>
    <w:rPr>
      <w:sz w:val="20"/>
      <w:szCs w:val="20"/>
    </w:rPr>
  </w:style>
  <w:style w:type="character" w:styleId="DipnotBavurusu">
    <w:name w:val="footnote reference"/>
    <w:basedOn w:val="VarsaylanParagrafYazTipi"/>
    <w:uiPriority w:val="99"/>
    <w:semiHidden/>
    <w:rsid w:val="00D0799D"/>
    <w:rPr>
      <w:vertAlign w:val="superscript"/>
    </w:rPr>
  </w:style>
  <w:style w:type="paragraph" w:styleId="BalonMetni">
    <w:name w:val="Balloon Text"/>
    <w:basedOn w:val="Normal"/>
    <w:semiHidden/>
    <w:rsid w:val="00BF17E5"/>
    <w:rPr>
      <w:rFonts w:ascii="Tahoma" w:hAnsi="Tahoma" w:cs="Tahoma"/>
      <w:sz w:val="16"/>
      <w:szCs w:val="16"/>
    </w:rPr>
  </w:style>
  <w:style w:type="character" w:styleId="Kpr">
    <w:name w:val="Hyperlink"/>
    <w:basedOn w:val="VarsaylanParagrafYazTipi"/>
    <w:rsid w:val="00E81CDD"/>
    <w:rPr>
      <w:color w:val="0000FF"/>
      <w:u w:val="single"/>
    </w:rPr>
  </w:style>
  <w:style w:type="character" w:customStyle="1" w:styleId="DipnotMetniChar">
    <w:name w:val="Dipnot Metni Char"/>
    <w:basedOn w:val="VarsaylanParagrafYazTipi"/>
    <w:link w:val="DipnotMetni"/>
    <w:uiPriority w:val="99"/>
    <w:semiHidden/>
    <w:locked/>
    <w:rsid w:val="001F275D"/>
    <w:rPr>
      <w:lang w:eastAsia="tr-TR"/>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baris.soybilgen</dc:creator>
  <cp:keywords/>
  <cp:lastModifiedBy>merve.akgul</cp:lastModifiedBy>
  <cp:revision>3</cp:revision>
  <cp:lastPrinted>2012-09-17T12:23:00Z</cp:lastPrinted>
  <dcterms:created xsi:type="dcterms:W3CDTF">2012-09-19T08:07:00Z</dcterms:created>
  <dcterms:modified xsi:type="dcterms:W3CDTF">2012-09-19T12:41:00Z</dcterms:modified>
</cp:coreProperties>
</file>