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F55" w:rsidRPr="009B6247" w:rsidRDefault="009920E0" w:rsidP="006F1F55">
      <w:pPr>
        <w:ind w:right="4457"/>
      </w:pPr>
      <w:bookmarkStart w:id="0" w:name="_GoBack"/>
      <w:bookmarkEnd w:id="0"/>
      <w:r>
        <w:rPr>
          <w:noProof/>
        </w:rPr>
        <mc:AlternateContent>
          <mc:Choice Requires="wps">
            <w:drawing>
              <wp:anchor distT="0" distB="0" distL="114935" distR="114935" simplePos="0" relativeHeight="251660288" behindDoc="0" locked="0" layoutInCell="1" allowOverlap="1">
                <wp:simplePos x="0" y="0"/>
                <wp:positionH relativeFrom="column">
                  <wp:posOffset>5071110</wp:posOffset>
                </wp:positionH>
                <wp:positionV relativeFrom="paragraph">
                  <wp:posOffset>278130</wp:posOffset>
                </wp:positionV>
                <wp:extent cx="1478280" cy="2990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299085"/>
                        </a:xfrm>
                        <a:prstGeom prst="rect">
                          <a:avLst/>
                        </a:prstGeom>
                        <a:solidFill>
                          <a:srgbClr val="FFFFFF">
                            <a:alpha val="0"/>
                          </a:srgbClr>
                        </a:solidFill>
                        <a:ln>
                          <a:noFill/>
                        </a:ln>
                        <a:extLst/>
                      </wps:spPr>
                      <wps:txbx>
                        <w:txbxContent>
                          <w:p w:rsidR="005631EA" w:rsidRDefault="00074812" w:rsidP="006F1F55">
                            <w:pPr>
                              <w:pStyle w:val="Heading3"/>
                              <w:jc w:val="center"/>
                            </w:pPr>
                            <w:r>
                              <w:rPr>
                                <w:color w:val="FFFFFF"/>
                                <w:sz w:val="22"/>
                                <w:szCs w:val="22"/>
                                <w:lang w:val="tr-TR"/>
                              </w:rPr>
                              <w:t>4 Ağustos</w:t>
                            </w:r>
                            <w:r w:rsidR="005631EA">
                              <w:rPr>
                                <w:color w:val="FFFFFF"/>
                                <w:sz w:val="22"/>
                                <w:szCs w:val="22"/>
                                <w:lang w:val="tr-TR"/>
                              </w:rPr>
                              <w:t xml:space="preserve">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9.3pt;margin-top:21.9pt;width:116.4pt;height:23.5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" stroked="f">
                <v:fill opacity="0"/>
                <v:textbox inset="0,0,0,0">
                  <w:txbxContent>
                    <w:p w:rsidR="005631EA" w:rsidRDefault="00074812" w:rsidP="006F1F55">
                      <w:pPr>
                        <w:pStyle w:val="Heading3"/>
                        <w:jc w:val="center"/>
                      </w:pPr>
                      <w:r>
                        <w:rPr>
                          <w:color w:val="FFFFFF"/>
                          <w:sz w:val="22"/>
                          <w:szCs w:val="22"/>
                          <w:lang w:val="tr-TR"/>
                        </w:rPr>
                        <w:t>4 Ağustos</w:t>
                      </w:r>
                      <w:r w:rsidR="005631EA">
                        <w:rPr>
                          <w:color w:val="FFFFFF"/>
                          <w:sz w:val="22"/>
                          <w:szCs w:val="22"/>
                          <w:lang w:val="tr-TR"/>
                        </w:rPr>
                        <w:t xml:space="preserve"> 2015</w:t>
                      </w:r>
                    </w:p>
                  </w:txbxContent>
                </v:textbox>
              </v:shape>
            </w:pict>
          </mc:Fallback>
        </mc:AlternateContent>
      </w:r>
      <w:r w:rsidR="006F1F55" w:rsidRPr="009B6247">
        <w:rPr>
          <w:noProof/>
        </w:rPr>
        <w:drawing>
          <wp:anchor distT="0" distB="0" distL="114300" distR="114300" simplePos="0" relativeHeight="251659264" behindDoc="1" locked="0" layoutInCell="1" allowOverlap="1">
            <wp:simplePos x="0" y="0"/>
            <wp:positionH relativeFrom="column">
              <wp:posOffset>-795020</wp:posOffset>
            </wp:positionH>
            <wp:positionV relativeFrom="paragraph">
              <wp:posOffset>-658495</wp:posOffset>
            </wp:positionV>
            <wp:extent cx="7315200" cy="1333500"/>
            <wp:effectExtent l="19050" t="0" r="0" b="0"/>
            <wp:wrapNone/>
            <wp:docPr id="7"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cstate="print"/>
                    <a:srcRect/>
                    <a:stretch>
                      <a:fillRect/>
                    </a:stretch>
                  </pic:blipFill>
                  <pic:spPr bwMode="auto">
                    <a:xfrm>
                      <a:off x="0" y="0"/>
                      <a:ext cx="7315200" cy="1333500"/>
                    </a:xfrm>
                    <a:prstGeom prst="rect">
                      <a:avLst/>
                    </a:prstGeom>
                    <a:noFill/>
                  </pic:spPr>
                </pic:pic>
              </a:graphicData>
            </a:graphic>
          </wp:anchor>
        </w:drawing>
      </w:r>
      <w:r>
        <w:rPr>
          <w:noProof/>
        </w:rPr>
        <mc:AlternateContent>
          <mc:Choice Requires="wps">
            <w:drawing>
              <wp:anchor distT="0" distB="0" distL="114935" distR="114935" simplePos="0" relativeHeight="251661312" behindDoc="0" locked="0" layoutInCell="1" allowOverlap="1">
                <wp:simplePos x="0" y="0"/>
                <wp:positionH relativeFrom="column">
                  <wp:posOffset>1671320</wp:posOffset>
                </wp:positionH>
                <wp:positionV relativeFrom="paragraph">
                  <wp:posOffset>-461010</wp:posOffset>
                </wp:positionV>
                <wp:extent cx="3963670" cy="46672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466725"/>
                        </a:xfrm>
                        <a:prstGeom prst="rect">
                          <a:avLst/>
                        </a:prstGeom>
                        <a:solidFill>
                          <a:srgbClr val="FFFFFF">
                            <a:alpha val="0"/>
                          </a:srgbClr>
                        </a:solidFill>
                        <a:ln>
                          <a:noFill/>
                        </a:ln>
                        <a:extLst/>
                      </wps:spPr>
                      <wps:txbx>
                        <w:txbxContent>
                          <w:p w:rsidR="005631EA" w:rsidRPr="002865A7" w:rsidRDefault="005631EA" w:rsidP="006F1F55">
                            <w:pPr>
                              <w:pStyle w:val="Heading1"/>
                              <w:rPr>
                                <w:rFonts w:ascii="Times New Roman" w:hAnsi="Times New Roman"/>
                                <w:sz w:val="52"/>
                                <w:szCs w:val="52"/>
                              </w:rPr>
                            </w:pPr>
                            <w:r>
                              <w:rPr>
                                <w:rFonts w:ascii="Times New Roman" w:hAnsi="Times New Roman"/>
                                <w:sz w:val="52"/>
                                <w:szCs w:val="52"/>
                              </w:rPr>
                              <w:t>Araştırma Notu 15</w:t>
                            </w:r>
                            <w:r w:rsidRPr="002865A7">
                              <w:rPr>
                                <w:rFonts w:ascii="Times New Roman" w:hAnsi="Times New Roman"/>
                                <w:sz w:val="52"/>
                                <w:szCs w:val="52"/>
                              </w:rPr>
                              <w:t>/</w:t>
                            </w:r>
                            <w:r w:rsidR="00074812">
                              <w:rPr>
                                <w:rFonts w:ascii="Times New Roman" w:hAnsi="Times New Roman"/>
                                <w:sz w:val="52"/>
                                <w:szCs w:val="52"/>
                              </w:rPr>
                              <w:t>186</w:t>
                            </w:r>
                          </w:p>
                          <w:p w:rsidR="005631EA" w:rsidRPr="00526178" w:rsidRDefault="005631EA" w:rsidP="006F1F55">
                            <w:pPr>
                              <w:pStyle w:val="Heading2"/>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31.6pt;margin-top:-36.3pt;width:312.1pt;height:36.7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" stroked="f">
                <v:fill opacity="0"/>
                <v:textbox inset="0,0,0,0">
                  <w:txbxContent>
                    <w:p w:rsidR="005631EA" w:rsidRPr="002865A7" w:rsidRDefault="005631EA" w:rsidP="006F1F55">
                      <w:pPr>
                        <w:pStyle w:val="Heading1"/>
                        <w:rPr>
                          <w:rFonts w:ascii="Times New Roman" w:hAnsi="Times New Roman"/>
                          <w:sz w:val="52"/>
                          <w:szCs w:val="52"/>
                        </w:rPr>
                      </w:pPr>
                      <w:r>
                        <w:rPr>
                          <w:rFonts w:ascii="Times New Roman" w:hAnsi="Times New Roman"/>
                          <w:sz w:val="52"/>
                          <w:szCs w:val="52"/>
                        </w:rPr>
                        <w:t>Araştırma Notu 15</w:t>
                      </w:r>
                      <w:r w:rsidRPr="002865A7">
                        <w:rPr>
                          <w:rFonts w:ascii="Times New Roman" w:hAnsi="Times New Roman"/>
                          <w:sz w:val="52"/>
                          <w:szCs w:val="52"/>
                        </w:rPr>
                        <w:t>/</w:t>
                      </w:r>
                      <w:r w:rsidR="00074812">
                        <w:rPr>
                          <w:rFonts w:ascii="Times New Roman" w:hAnsi="Times New Roman"/>
                          <w:sz w:val="52"/>
                          <w:szCs w:val="52"/>
                        </w:rPr>
                        <w:t>186</w:t>
                      </w:r>
                    </w:p>
                    <w:p w:rsidR="005631EA" w:rsidRPr="00526178" w:rsidRDefault="005631EA" w:rsidP="006F1F55">
                      <w:pPr>
                        <w:pStyle w:val="Heading2"/>
                        <w:rPr>
                          <w:b w:val="0"/>
                          <w:bCs w:val="0"/>
                          <w:i w:val="0"/>
                          <w:iCs w:val="0"/>
                        </w:rPr>
                      </w:pPr>
                    </w:p>
                  </w:txbxContent>
                </v:textbox>
              </v:shape>
            </w:pict>
          </mc:Fallback>
        </mc:AlternateContent>
      </w:r>
    </w:p>
    <w:p w:rsidR="006F1F55" w:rsidRPr="009B6247" w:rsidRDefault="006F1F55" w:rsidP="006F1F55"/>
    <w:p w:rsidR="00067415" w:rsidRDefault="00067415" w:rsidP="0082709E">
      <w:pPr>
        <w:jc w:val="center"/>
        <w:rPr>
          <w:b/>
          <w:sz w:val="32"/>
          <w:szCs w:val="32"/>
        </w:rPr>
      </w:pPr>
    </w:p>
    <w:p w:rsidR="006F1F55" w:rsidRDefault="00B952D4" w:rsidP="0082709E">
      <w:pPr>
        <w:jc w:val="center"/>
        <w:rPr>
          <w:b/>
          <w:sz w:val="32"/>
          <w:szCs w:val="32"/>
        </w:rPr>
      </w:pPr>
      <w:r>
        <w:rPr>
          <w:b/>
          <w:sz w:val="32"/>
          <w:szCs w:val="32"/>
        </w:rPr>
        <w:t>ÇALIŞMANIN KADINLAR İÇİN</w:t>
      </w:r>
      <w:r w:rsidR="00085D33">
        <w:rPr>
          <w:b/>
          <w:sz w:val="32"/>
          <w:szCs w:val="32"/>
        </w:rPr>
        <w:t xml:space="preserve"> DEĞER</w:t>
      </w:r>
      <w:r>
        <w:rPr>
          <w:b/>
          <w:sz w:val="32"/>
          <w:szCs w:val="32"/>
        </w:rPr>
        <w:t>İ</w:t>
      </w:r>
    </w:p>
    <w:p w:rsidR="0082709E" w:rsidRPr="009B6247" w:rsidRDefault="003D3CF1" w:rsidP="0082709E">
      <w:pPr>
        <w:jc w:val="center"/>
      </w:pPr>
      <w:r>
        <w:t>Hande Paker</w:t>
      </w:r>
      <w:r w:rsidR="00635F17" w:rsidRPr="00635F17">
        <w:rPr>
          <w:rStyle w:val="FootnoteReference"/>
        </w:rPr>
        <w:footnoteReference w:customMarkFollows="1" w:id="1"/>
        <w:sym w:font="Symbol" w:char="F02A"/>
      </w:r>
      <w:r w:rsidR="00877D33">
        <w:t>,</w:t>
      </w:r>
      <w:r w:rsidR="0082709E" w:rsidRPr="009B6247">
        <w:t xml:space="preserve"> Gökçe Uysal</w:t>
      </w:r>
      <w:r w:rsidR="00635F17" w:rsidRPr="00635F17">
        <w:rPr>
          <w:rStyle w:val="FootnoteReference"/>
        </w:rPr>
        <w:footnoteReference w:customMarkFollows="1" w:id="2"/>
        <w:sym w:font="Symbol" w:char="F02A"/>
      </w:r>
      <w:r w:rsidR="00635F17" w:rsidRPr="00635F17">
        <w:rPr>
          <w:rStyle w:val="FootnoteReference"/>
        </w:rPr>
        <w:sym w:font="Symbol" w:char="F02A"/>
      </w:r>
      <w:r w:rsidR="00877D33">
        <w:t xml:space="preserve"> ve Melike Kökkızıl</w:t>
      </w:r>
      <w:r w:rsidR="00635F17" w:rsidRPr="00635F17">
        <w:rPr>
          <w:rStyle w:val="FootnoteReference"/>
        </w:rPr>
        <w:footnoteReference w:customMarkFollows="1" w:id="3"/>
        <w:sym w:font="Symbol" w:char="F02A"/>
      </w:r>
      <w:r w:rsidR="00635F17" w:rsidRPr="00635F17">
        <w:rPr>
          <w:rStyle w:val="FootnoteReference"/>
        </w:rPr>
        <w:sym w:font="Symbol" w:char="F02A"/>
      </w:r>
      <w:r w:rsidR="00635F17" w:rsidRPr="00635F17">
        <w:rPr>
          <w:rStyle w:val="FootnoteReference"/>
        </w:rPr>
        <w:sym w:font="Symbol" w:char="F02A"/>
      </w:r>
    </w:p>
    <w:p w:rsidR="0082709E" w:rsidRPr="009B6247" w:rsidRDefault="0082709E" w:rsidP="0082709E">
      <w:pPr>
        <w:jc w:val="center"/>
        <w:rPr>
          <w:b/>
        </w:rPr>
      </w:pPr>
      <w:r w:rsidRPr="009B6247">
        <w:rPr>
          <w:b/>
        </w:rPr>
        <w:t>Yönetici Özeti</w:t>
      </w:r>
    </w:p>
    <w:p w:rsidR="00857192" w:rsidRDefault="007741F2" w:rsidP="0052563E">
      <w:pPr>
        <w:jc w:val="both"/>
      </w:pPr>
      <w:r>
        <w:t xml:space="preserve">Kadınları ağırlıklı olarak ev ve çocuk bakım rolleriyle tanımlayan toplumsal cinsiyet </w:t>
      </w:r>
      <w:r w:rsidR="00AE15E7">
        <w:t xml:space="preserve">algı ve </w:t>
      </w:r>
      <w:r>
        <w:t>pratiklerinin de etkisiyle Türkiye'de kadınlar işgücü piyasasından uzak durmaktadır.</w:t>
      </w:r>
      <w:r w:rsidR="002E127F">
        <w:t xml:space="preserve"> Türkiye'de her üç kadından sadece biri işgücü piyasasındadır.</w:t>
      </w:r>
      <w:r>
        <w:t xml:space="preserve"> Böyle bir bağlamda </w:t>
      </w:r>
      <w:r w:rsidR="00E86770">
        <w:t>"Sizce çalışan kadınlar neden çalışıyorlar?" sorusuna verilen cevaplar kadınların işgücü</w:t>
      </w:r>
      <w:r w:rsidR="008B1193">
        <w:t xml:space="preserve"> piyasasına bağlılıkları </w:t>
      </w:r>
      <w:r w:rsidR="00E86770">
        <w:t>açısından önemli ipuçları içermektedir. Nispeten az araştırılmış olan yüksek eğitimli kadınların çalışma hayatına yaklaşımlarının mercek altına alındığı bu araştırma notunda,</w:t>
      </w:r>
      <w:r w:rsidR="00E86770" w:rsidRPr="00E86770">
        <w:t xml:space="preserve"> </w:t>
      </w:r>
      <w:r w:rsidR="00E86770">
        <w:t xml:space="preserve">çalışan kadınların neden çalıştıklarına dair algılar </w:t>
      </w:r>
      <w:r w:rsidR="000A3F10">
        <w:t xml:space="preserve">incelenmektedir. </w:t>
      </w:r>
      <w:r w:rsidR="00216DEB">
        <w:t xml:space="preserve">Kadınlar, çalışmanın </w:t>
      </w:r>
      <w:r w:rsidR="00DB0E23">
        <w:t xml:space="preserve">kadına </w:t>
      </w:r>
      <w:r w:rsidR="00216DEB">
        <w:t xml:space="preserve">özgüven ve maddi özgürlük </w:t>
      </w:r>
      <w:r w:rsidR="00DB0E23">
        <w:t xml:space="preserve">kazandırdığını </w:t>
      </w:r>
      <w:r w:rsidR="00216DEB">
        <w:t xml:space="preserve">dile getirmektedir. </w:t>
      </w:r>
      <w:r w:rsidR="00B747C0">
        <w:t xml:space="preserve">Öte yandan, </w:t>
      </w:r>
      <w:r w:rsidR="00A072D4">
        <w:t xml:space="preserve">yaygın kanının aksine, kadınların sadece maddi zorunluluktan </w:t>
      </w:r>
      <w:r w:rsidR="00216DEB">
        <w:t>çalışmadığı görülmektedir</w:t>
      </w:r>
      <w:r w:rsidR="00A072D4">
        <w:t xml:space="preserve">. </w:t>
      </w:r>
      <w:r w:rsidR="00216DEB">
        <w:t>Bu araştırma notunun bulguları, kadın işgücüne katılımını artırmaya yönelik politikaların</w:t>
      </w:r>
      <w:r w:rsidR="00DD6862">
        <w:t xml:space="preserve"> farkındalık çalışmalarıyla desteklenmesi gerektiğini göstermektedir.</w:t>
      </w:r>
      <w:r w:rsidR="00216DEB">
        <w:t xml:space="preserve"> </w:t>
      </w:r>
      <w:r w:rsidR="00DD6862">
        <w:t>Ç</w:t>
      </w:r>
      <w:r w:rsidR="00216DEB">
        <w:t>alışmanın kadınlara özgüven ve maddi özgürlük katacağını vurgulama</w:t>
      </w:r>
      <w:r w:rsidR="005302F6">
        <w:t>k</w:t>
      </w:r>
      <w:r w:rsidR="00216DEB">
        <w:t xml:space="preserve"> kadınların işgücü piyasasına bağlılığını artıraca</w:t>
      </w:r>
      <w:r w:rsidR="00DD6862">
        <w:t>ktır</w:t>
      </w:r>
      <w:r w:rsidR="00216DEB">
        <w:t xml:space="preserve">.  </w:t>
      </w:r>
    </w:p>
    <w:p w:rsidR="00056C33" w:rsidRPr="009B6247" w:rsidRDefault="00056C33" w:rsidP="00056C33">
      <w:pPr>
        <w:rPr>
          <w:b/>
        </w:rPr>
      </w:pPr>
      <w:r w:rsidRPr="009B6247">
        <w:rPr>
          <w:b/>
        </w:rPr>
        <w:t xml:space="preserve">Araştırmanın künyesi </w:t>
      </w:r>
    </w:p>
    <w:p w:rsidR="000603CC" w:rsidRDefault="0069364F" w:rsidP="002748AF">
      <w:r>
        <w:t xml:space="preserve">Türkiye işgücü piyasasının </w:t>
      </w:r>
      <w:r w:rsidR="00165B97">
        <w:t>en</w:t>
      </w:r>
      <w:r>
        <w:t xml:space="preserve"> </w:t>
      </w:r>
      <w:r w:rsidR="006E2ADA">
        <w:t>önemli</w:t>
      </w:r>
      <w:r>
        <w:t xml:space="preserve"> yapısal sorunlarından biri kadın iş</w:t>
      </w:r>
      <w:r w:rsidR="006E2ADA">
        <w:t>gücüne katılım oranlarının düşüklüğüdür</w:t>
      </w:r>
      <w:r>
        <w:t>.</w:t>
      </w:r>
      <w:r w:rsidR="00D04D93">
        <w:t xml:space="preserve"> 2014 yılında yüzde 30 seviyesine anca ulaşmış kadın işgücüne katılım oranı benzer gelişmişlik düzeyindeki ülkelerinkine kıyasla çok düşük kalmaktadır</w:t>
      </w:r>
      <w:r w:rsidR="00731068">
        <w:t xml:space="preserve"> (Şekil 1)</w:t>
      </w:r>
      <w:r w:rsidR="00D04D93">
        <w:t xml:space="preserve">. </w:t>
      </w:r>
      <w:r w:rsidR="00607EC0">
        <w:t>Türkiye’de üniversite mezunu kadın</w:t>
      </w:r>
      <w:r w:rsidR="003D7170">
        <w:t>ların işgücüne katılım oranı %7</w:t>
      </w:r>
      <w:r w:rsidR="00436168">
        <w:t>2</w:t>
      </w:r>
      <w:r w:rsidR="003D7170">
        <w:t>,</w:t>
      </w:r>
      <w:r w:rsidR="00607EC0">
        <w:t xml:space="preserve">4 </w:t>
      </w:r>
      <w:r w:rsidR="003D7170">
        <w:t>iken aynı oran Yunanistan’da 82,</w:t>
      </w:r>
      <w:r w:rsidR="00607EC0">
        <w:t xml:space="preserve">7, </w:t>
      </w:r>
      <w:r w:rsidR="003D7170">
        <w:t>İspanya’da 86,2, İsveç’te ise 90,</w:t>
      </w:r>
      <w:r w:rsidR="00607EC0">
        <w:t xml:space="preserve">2’dir. </w:t>
      </w:r>
      <w:r w:rsidR="000603CC">
        <w:t>Lise seviyesinde fark daha da açıktır.</w:t>
      </w:r>
    </w:p>
    <w:p w:rsidR="003D7170" w:rsidRPr="00144145" w:rsidRDefault="003D7170" w:rsidP="003D7170">
      <w:pPr>
        <w:pStyle w:val="Caption"/>
        <w:keepNext/>
        <w:rPr>
          <w:color w:val="auto"/>
          <w:sz w:val="22"/>
          <w:szCs w:val="22"/>
        </w:rPr>
      </w:pPr>
      <w:r w:rsidRPr="00144145">
        <w:rPr>
          <w:color w:val="auto"/>
          <w:sz w:val="22"/>
          <w:szCs w:val="22"/>
        </w:rPr>
        <w:lastRenderedPageBreak/>
        <w:t xml:space="preserve">Şekil </w:t>
      </w:r>
      <w:r w:rsidR="00E83212" w:rsidRPr="00144145">
        <w:rPr>
          <w:color w:val="auto"/>
          <w:sz w:val="22"/>
          <w:szCs w:val="22"/>
        </w:rPr>
        <w:fldChar w:fldCharType="begin"/>
      </w:r>
      <w:r w:rsidRPr="00144145">
        <w:rPr>
          <w:color w:val="auto"/>
          <w:sz w:val="22"/>
          <w:szCs w:val="22"/>
        </w:rPr>
        <w:instrText xml:space="preserve"> SEQ Figure \* ARABIC </w:instrText>
      </w:r>
      <w:r w:rsidR="00E83212" w:rsidRPr="00144145">
        <w:rPr>
          <w:color w:val="auto"/>
          <w:sz w:val="22"/>
          <w:szCs w:val="22"/>
        </w:rPr>
        <w:fldChar w:fldCharType="separate"/>
      </w:r>
      <w:r w:rsidRPr="00144145">
        <w:rPr>
          <w:noProof/>
          <w:color w:val="auto"/>
          <w:sz w:val="22"/>
          <w:szCs w:val="22"/>
        </w:rPr>
        <w:t>1</w:t>
      </w:r>
      <w:r w:rsidR="00E83212" w:rsidRPr="00144145">
        <w:rPr>
          <w:color w:val="auto"/>
          <w:sz w:val="22"/>
          <w:szCs w:val="22"/>
        </w:rPr>
        <w:fldChar w:fldCharType="end"/>
      </w:r>
      <w:r w:rsidR="00144145" w:rsidRPr="00144145">
        <w:rPr>
          <w:color w:val="auto"/>
          <w:sz w:val="22"/>
          <w:szCs w:val="22"/>
        </w:rPr>
        <w:t xml:space="preserve"> </w:t>
      </w:r>
      <w:r w:rsidR="00144145">
        <w:rPr>
          <w:color w:val="auto"/>
          <w:sz w:val="22"/>
          <w:szCs w:val="22"/>
        </w:rPr>
        <w:t>Yüksek eğitimli</w:t>
      </w:r>
      <w:r w:rsidR="00144145" w:rsidRPr="00144145">
        <w:rPr>
          <w:color w:val="auto"/>
          <w:sz w:val="22"/>
          <w:szCs w:val="22"/>
        </w:rPr>
        <w:t xml:space="preserve"> kadınların işgücüne katılım oranları,</w:t>
      </w:r>
      <w:r w:rsidR="00144145">
        <w:rPr>
          <w:color w:val="auto"/>
          <w:sz w:val="22"/>
          <w:szCs w:val="22"/>
        </w:rPr>
        <w:t xml:space="preserve"> 2012</w:t>
      </w:r>
    </w:p>
    <w:p w:rsidR="00607EC0" w:rsidRDefault="00607EC0" w:rsidP="00144145">
      <w:pPr>
        <w:spacing w:after="0" w:line="240" w:lineRule="auto"/>
      </w:pPr>
      <w:r>
        <w:rPr>
          <w:noProof/>
        </w:rPr>
        <w:drawing>
          <wp:inline distT="0" distB="0" distL="0" distR="0">
            <wp:extent cx="5486400" cy="231203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44145" w:rsidRDefault="00144145" w:rsidP="00144145">
      <w:pPr>
        <w:spacing w:after="0" w:line="240" w:lineRule="auto"/>
      </w:pPr>
      <w:r>
        <w:t xml:space="preserve">Kaynak: </w:t>
      </w:r>
      <w:hyperlink r:id="rId10" w:history="1">
        <w:r w:rsidRPr="00144145">
          <w:t>OECD (2014),</w:t>
        </w:r>
      </w:hyperlink>
      <w:r w:rsidRPr="00144145">
        <w:t xml:space="preserve"> Education at a Glance 2014</w:t>
      </w:r>
    </w:p>
    <w:p w:rsidR="00144145" w:rsidRDefault="00144145" w:rsidP="00144145">
      <w:pPr>
        <w:spacing w:after="0" w:line="240" w:lineRule="auto"/>
      </w:pPr>
    </w:p>
    <w:p w:rsidR="00D04D93" w:rsidRDefault="006E2ADA" w:rsidP="002748AF">
      <w:r>
        <w:t xml:space="preserve">Uzunca bir süredir kamuoyunda tartışılan bu sorun üzerine </w:t>
      </w:r>
      <w:r w:rsidR="00A25C12">
        <w:t>yapılan araştırmaların çoğu</w:t>
      </w:r>
      <w:r>
        <w:t xml:space="preserve"> kadın nüfusunun genelini yansıtmak üzere tasarlandığı için daha düşük eğitimli kadınları ön plana çıkarmaktadır. Bu araştırma ise nispeten az araştırılmış olan</w:t>
      </w:r>
      <w:r w:rsidR="00692050">
        <w:t xml:space="preserve"> lise ve üstü eğitime sahip </w:t>
      </w:r>
      <w:r>
        <w:t>kadınlara odaklanmaktadır.</w:t>
      </w:r>
      <w:r w:rsidR="00E969AD">
        <w:t xml:space="preserve"> Zira düşük eğitimli kadınların işgücüne katılmalarına engel teşkil eden etkenlerin </w:t>
      </w:r>
      <w:r w:rsidR="00692050">
        <w:t>bir bölümü</w:t>
      </w:r>
      <w:r w:rsidR="00E969AD">
        <w:t xml:space="preserve"> yüksek eğitimli kadınlar için geçerli değildir. Yüksek eğitimli kadınlar işgücü piyasasında nispeten daha iyi çalışma koşullarında iş bulabilmekte ve nispeten yüksek ücret kazanmaktadır. Ayrıca gelir seviyeleri daha yüksek olduğu için kaliteli çocuk bakım hizmetlerine nispeten daha kolay ulaşabilmektedir. </w:t>
      </w:r>
      <w:r w:rsidR="00335AB7">
        <w:t xml:space="preserve">Buna karşın yüksek eğitimli kadınların işgücüne katılım oranları da diğer ülkelerdekilere kıyasla yine düşük kalmaktadır. </w:t>
      </w:r>
      <w:r w:rsidR="00D2055F">
        <w:t xml:space="preserve">Zorunlu eğitimdeki artışlara da paralel olarak kadınların eğitim seviyelerinin arttığı düşünüldüğünde yüksek eğitimli kadınların işgücüne katılım kararlarını nasıl aldıklarını araştırmak giderek önem kazanacaktır. </w:t>
      </w:r>
      <w:r>
        <w:t xml:space="preserve"> </w:t>
      </w:r>
    </w:p>
    <w:p w:rsidR="00D04D93" w:rsidRDefault="006E2ADA" w:rsidP="002748AF">
      <w:r>
        <w:t xml:space="preserve">Bu bağlamda </w:t>
      </w:r>
      <w:r w:rsidR="00263357">
        <w:t>TÜBİTAK tarafından desteklenen ve yüksek eğitimli kadınlara odaklanan geniş kapsamlı bir araştırma projesi bünyesin</w:t>
      </w:r>
      <w:r w:rsidR="00A25C12">
        <w:t>d</w:t>
      </w:r>
      <w:r w:rsidR="00263357">
        <w:t>e</w:t>
      </w:r>
      <w:r>
        <w:t>,</w:t>
      </w:r>
      <w:r w:rsidR="00263357">
        <w:t xml:space="preserve"> </w:t>
      </w:r>
      <w:r>
        <w:t>disiplinler arası bir çabayla, en az lise mezunu olan kadınlarla derinlemesine görüşmeler, odak grup çalışmaları ve anket uygulaması</w:t>
      </w:r>
      <w:r w:rsidR="00594B89">
        <w:t xml:space="preserve"> yapılmıştır. Böylelikle </w:t>
      </w:r>
      <w:r>
        <w:t xml:space="preserve">yüksek eğitimli kadınların çalışma hayatına yaklaşımları, önceki ve şimdiki çalışma hayatı tecrübeleri </w:t>
      </w:r>
      <w:r w:rsidR="00594B89">
        <w:t>ile</w:t>
      </w:r>
      <w:r>
        <w:t xml:space="preserve"> toplumsal cinsiyet rollerine bakışları üzerine veriler toplanmıştır. </w:t>
      </w:r>
    </w:p>
    <w:p w:rsidR="002748AF" w:rsidRDefault="006E2ADA" w:rsidP="002748AF">
      <w:r>
        <w:t>Bu araştırma notunda ise toplanan geniş veri seti içerisinde</w:t>
      </w:r>
      <w:r w:rsidR="007333BF">
        <w:t xml:space="preserve">n bir boyut </w:t>
      </w:r>
      <w:r w:rsidR="0050417A">
        <w:t xml:space="preserve">ele </w:t>
      </w:r>
      <w:r w:rsidR="007333BF">
        <w:t>alınarak</w:t>
      </w:r>
      <w:r>
        <w:t xml:space="preserve"> </w:t>
      </w:r>
      <w:r w:rsidR="00263357">
        <w:t xml:space="preserve">kadınların çalışma nedenlerine dair algıları </w:t>
      </w:r>
      <w:r w:rsidR="007333BF">
        <w:t>incelenmiştir</w:t>
      </w:r>
      <w:r w:rsidR="00263357">
        <w:t xml:space="preserve">. </w:t>
      </w:r>
      <w:r w:rsidR="00CE734D">
        <w:t>Gerek derinlemesine görüşmeler ve odak grup toplantılarında gerek anket çalışmasında kadınlara, çalışan kadınların neden çalıştıklarını düşündükleri sorulm</w:t>
      </w:r>
      <w:r w:rsidR="00A25C12">
        <w:t>uştur. Bu sorular doğrultusunda toplanan verilerin analizi bu araştırma notunun odak noktasını oluşturmaktadır.</w:t>
      </w:r>
    </w:p>
    <w:p w:rsidR="0082709E" w:rsidRPr="009B6247" w:rsidRDefault="00E8152D" w:rsidP="0082709E">
      <w:r w:rsidRPr="009B6247">
        <w:t xml:space="preserve">Araştırma notunda </w:t>
      </w:r>
      <w:r w:rsidR="004C52B3">
        <w:t>kullanılan</w:t>
      </w:r>
      <w:r w:rsidRPr="009B6247">
        <w:t xml:space="preserve"> veriler Türkiye’de yüksek eğitimli kadınların işgücüne katılım kararlarını incelemek için gerçekleştirdiğimiz ve</w:t>
      </w:r>
      <w:r w:rsidR="001B7CB6">
        <w:t xml:space="preserve"> TÜBİTAK tarafından desteklen</w:t>
      </w:r>
      <w:r w:rsidR="00092C70">
        <w:t>en</w:t>
      </w:r>
      <w:r w:rsidR="0050417A">
        <w:t xml:space="preserve"> </w:t>
      </w:r>
      <w:r w:rsidR="00C5601E" w:rsidRPr="009B6247">
        <w:t xml:space="preserve">daha geniş </w:t>
      </w:r>
      <w:r w:rsidRPr="009B6247">
        <w:t xml:space="preserve">araştırmanın </w:t>
      </w:r>
      <w:r w:rsidR="00C5601E" w:rsidRPr="009B6247">
        <w:t xml:space="preserve">bir </w:t>
      </w:r>
      <w:r w:rsidRPr="009B6247">
        <w:t>parçasıdır.</w:t>
      </w:r>
      <w:r w:rsidR="00EC5F27">
        <w:rPr>
          <w:rStyle w:val="FootnoteReference"/>
        </w:rPr>
        <w:footnoteReference w:id="4"/>
      </w:r>
      <w:r w:rsidRPr="009B6247">
        <w:t xml:space="preserve"> </w:t>
      </w:r>
      <w:r w:rsidR="0082709E" w:rsidRPr="009B6247">
        <w:t>Bu araştırma kapsamında 70 kadınla derinlemesine görüşme, 8 odak grup çalışması ve 3600 kişilik bir anket</w:t>
      </w:r>
      <w:r w:rsidRPr="009B6247">
        <w:t xml:space="preserve"> yapılmıştır</w:t>
      </w:r>
      <w:r w:rsidR="0082709E" w:rsidRPr="009B6247">
        <w:t xml:space="preserve">. </w:t>
      </w:r>
      <w:r w:rsidR="000A4BD7">
        <w:t xml:space="preserve">Derinlemesine görüşmeler kartopu yöntemiyle tamamlanmıştır. </w:t>
      </w:r>
      <w:r w:rsidR="000A4BD7">
        <w:lastRenderedPageBreak/>
        <w:t>Odak grup çalışmaları İstanbul</w:t>
      </w:r>
      <w:r w:rsidR="00B25AAA">
        <w:t xml:space="preserve"> ve</w:t>
      </w:r>
      <w:r w:rsidR="000A4BD7">
        <w:t xml:space="preserve"> eğitimli kadınların işgücüne katılım oranlarının en yüksek olduğu bölgelerde yer alan Antalya ve Zonguldak ile en düşük olduğu bölgelerde yer alan Erzurum ve Urfa'da gerçekleştirilmiştir. 3600 kadınla yüz yüze görüşmelerle yapılan anket çalışmasının örneklemi Türkiye çapında temsil gücü olacak şekilde tasarlanmıştır. </w:t>
      </w:r>
    </w:p>
    <w:p w:rsidR="008F0545" w:rsidRPr="008F0545" w:rsidRDefault="00473DC2" w:rsidP="00E37CC7">
      <w:pPr>
        <w:rPr>
          <w:b/>
        </w:rPr>
      </w:pPr>
      <w:r w:rsidRPr="009B6247">
        <w:rPr>
          <w:b/>
        </w:rPr>
        <w:t>Çalışan kadınlar sizce neden çalışıyorlar?</w:t>
      </w:r>
    </w:p>
    <w:p w:rsidR="008F0545" w:rsidRDefault="00F5099E" w:rsidP="00E37CC7">
      <w:r>
        <w:t>Kadınları ağırlıklı olarak ev ve çocuk bakımı</w:t>
      </w:r>
      <w:r w:rsidR="008F0545">
        <w:t xml:space="preserve"> rolleriyle</w:t>
      </w:r>
      <w:r>
        <w:t xml:space="preserve"> </w:t>
      </w:r>
      <w:r w:rsidR="008F0545">
        <w:t>tanımlayan</w:t>
      </w:r>
      <w:r>
        <w:t xml:space="preserve"> toplumsal cinsiyet </w:t>
      </w:r>
      <w:r w:rsidR="008F0545">
        <w:t xml:space="preserve">pratiklerinin de etkisiyle Türkiye'de kadınlar işgücü piyasasından ve çalışıyor olmaktan </w:t>
      </w:r>
      <w:r w:rsidR="004E678F">
        <w:t>uzak durmaktadır</w:t>
      </w:r>
      <w:r w:rsidR="008F0545">
        <w:t xml:space="preserve">. Böyle bir bağlamda çalışan kadınların neden çalıştıklarına dair algılar, kadınların işgücü piyasasına bağlılıklarını anlamak </w:t>
      </w:r>
      <w:r w:rsidR="00012BAE">
        <w:t>açısından önemlidir</w:t>
      </w:r>
      <w:r w:rsidR="008F0545">
        <w:t>.</w:t>
      </w:r>
      <w:r w:rsidR="00344ACD">
        <w:t xml:space="preserve"> </w:t>
      </w:r>
      <w:r w:rsidR="00364F9B">
        <w:t>Bu şartlar altında çalışmaya devam eden kadınlar neden çalışmak konusunda kararlıdır?</w:t>
      </w:r>
      <w:r w:rsidR="00344ACD">
        <w:t xml:space="preserve"> Sonuç</w:t>
      </w:r>
      <w:r w:rsidR="00364F9B">
        <w:t xml:space="preserve"> olarak</w:t>
      </w:r>
      <w:r w:rsidR="00344ACD">
        <w:t xml:space="preserve"> kadınların bu soruya verdikleri cevaplar çalışmaya atfettikleri değeri ortaya koymaktadır.  </w:t>
      </w:r>
      <w:r w:rsidR="008F0545">
        <w:t xml:space="preserve"> </w:t>
      </w:r>
    </w:p>
    <w:p w:rsidR="0082709E" w:rsidRPr="009B6247" w:rsidRDefault="004B3F86" w:rsidP="00E37CC7">
      <w:r>
        <w:t>Derinlemesine görüşmelerde,</w:t>
      </w:r>
      <w:r w:rsidR="001B7CB6">
        <w:t xml:space="preserve"> odak grup ça</w:t>
      </w:r>
      <w:r w:rsidR="00EA7B93">
        <w:t>lışmalarında</w:t>
      </w:r>
      <w:r>
        <w:t xml:space="preserve"> ve anket uygulamasında</w:t>
      </w:r>
      <w:r w:rsidR="00EA7B93">
        <w:t xml:space="preserve"> hem işgücünde olan </w:t>
      </w:r>
      <w:r w:rsidR="001B7CB6">
        <w:t xml:space="preserve">hem de </w:t>
      </w:r>
      <w:r w:rsidR="00EA7B93">
        <w:t xml:space="preserve">olmayan </w:t>
      </w:r>
      <w:r w:rsidR="001B7CB6">
        <w:t xml:space="preserve">kadınlara </w:t>
      </w:r>
      <w:r w:rsidR="001B7CB6" w:rsidRPr="00871BC7">
        <w:rPr>
          <w:i/>
        </w:rPr>
        <w:t>çalışan kadınların neden çalıştıklarına</w:t>
      </w:r>
      <w:r w:rsidR="001B7CB6">
        <w:t xml:space="preserve"> dair sorular yöneltilmiştir. </w:t>
      </w:r>
      <w:r w:rsidR="00E7329E">
        <w:t xml:space="preserve">Anketi cevaplayan kadınlardan en fazla üç neden belirtmeleri istenmiştir. </w:t>
      </w:r>
      <w:r w:rsidR="00890C74">
        <w:t xml:space="preserve">Gerek derinlemesine görüşmelerde gerek odak grup çalışmalarında bu soruya verilen cevapların, yani kadınların neden çalıştıklarına dair algıların görüşmecilerin kendi </w:t>
      </w:r>
      <w:r w:rsidR="00E37CC7">
        <w:t xml:space="preserve">işgücü piyasasına katılım durumlarına bağlı olarak farklılaştığı göze çarpmaktadır. Başka bir deyişle, "Sizce çalışan kadınlar neden çalışıyor?" sorusuna verilen cevapların görüşmecinin işgücünde olup olmamasına göre farklılaştığı görülmektedir. Niteliksel verilerdeki bu bulgu doğrultusunda anket verileri incelenirken kadınlar işgücünde olanlar ve olmayanlar olarak ikiye ayrılarak analizler yapılmıştır. </w:t>
      </w:r>
      <w:r w:rsidR="00E83212">
        <w:fldChar w:fldCharType="begin"/>
      </w:r>
      <w:r w:rsidR="00352D11">
        <w:instrText xml:space="preserve"> REF _Ref294291911 \h </w:instrText>
      </w:r>
      <w:r w:rsidR="00E83212">
        <w:fldChar w:fldCharType="separate"/>
      </w:r>
      <w:r w:rsidR="00352D11">
        <w:t>Tablo</w:t>
      </w:r>
      <w:r w:rsidR="00E37CC7">
        <w:t xml:space="preserve"> </w:t>
      </w:r>
      <w:r w:rsidR="00352D11" w:rsidRPr="001B7CB6">
        <w:rPr>
          <w:noProof/>
        </w:rPr>
        <w:t>1</w:t>
      </w:r>
      <w:r w:rsidR="00E83212">
        <w:fldChar w:fldCharType="end"/>
      </w:r>
      <w:r w:rsidR="00352D11">
        <w:t>’de kadınların çalışma nedenlerine dair algılar</w:t>
      </w:r>
      <w:r w:rsidR="00E37CC7">
        <w:t>,</w:t>
      </w:r>
      <w:r w:rsidR="00352D11">
        <w:t xml:space="preserve"> cevaplayanların işgücü durumuna göre </w:t>
      </w:r>
      <w:r w:rsidR="00E37CC7">
        <w:t>özetlenmektedir</w:t>
      </w:r>
      <w:r w:rsidR="00352D11">
        <w:t xml:space="preserve">. </w:t>
      </w:r>
    </w:p>
    <w:p w:rsidR="001B7CB6" w:rsidRPr="001B7CB6" w:rsidRDefault="001B7CB6" w:rsidP="001B7CB6">
      <w:pPr>
        <w:pStyle w:val="Caption"/>
        <w:keepNext/>
        <w:rPr>
          <w:color w:val="auto"/>
          <w:sz w:val="22"/>
        </w:rPr>
      </w:pPr>
      <w:bookmarkStart w:id="1" w:name="_Ref294291911"/>
      <w:r>
        <w:rPr>
          <w:color w:val="auto"/>
          <w:sz w:val="22"/>
        </w:rPr>
        <w:t>Tablo</w:t>
      </w:r>
      <w:r w:rsidR="000C717E">
        <w:rPr>
          <w:color w:val="auto"/>
          <w:sz w:val="22"/>
        </w:rPr>
        <w:t xml:space="preserve"> </w:t>
      </w:r>
      <w:r w:rsidR="00E83212" w:rsidRPr="001B7CB6">
        <w:rPr>
          <w:color w:val="auto"/>
          <w:sz w:val="22"/>
        </w:rPr>
        <w:fldChar w:fldCharType="begin"/>
      </w:r>
      <w:r w:rsidRPr="001B7CB6">
        <w:rPr>
          <w:color w:val="auto"/>
          <w:sz w:val="22"/>
        </w:rPr>
        <w:instrText xml:space="preserve"> SEQ Table \* ARABIC </w:instrText>
      </w:r>
      <w:r w:rsidR="00E83212" w:rsidRPr="001B7CB6">
        <w:rPr>
          <w:color w:val="auto"/>
          <w:sz w:val="22"/>
        </w:rPr>
        <w:fldChar w:fldCharType="separate"/>
      </w:r>
      <w:r w:rsidRPr="001B7CB6">
        <w:rPr>
          <w:noProof/>
          <w:color w:val="auto"/>
          <w:sz w:val="22"/>
        </w:rPr>
        <w:t>1</w:t>
      </w:r>
      <w:r w:rsidR="00E83212" w:rsidRPr="001B7CB6">
        <w:rPr>
          <w:color w:val="auto"/>
          <w:sz w:val="22"/>
        </w:rPr>
        <w:fldChar w:fldCharType="end"/>
      </w:r>
      <w:bookmarkEnd w:id="1"/>
      <w:r w:rsidRPr="001B7CB6">
        <w:rPr>
          <w:color w:val="auto"/>
          <w:sz w:val="22"/>
        </w:rPr>
        <w:t xml:space="preserve"> </w:t>
      </w:r>
      <w:r w:rsidR="000C717E">
        <w:rPr>
          <w:color w:val="auto"/>
          <w:sz w:val="22"/>
        </w:rPr>
        <w:t>K</w:t>
      </w:r>
      <w:r w:rsidRPr="001B7CB6">
        <w:rPr>
          <w:color w:val="auto"/>
          <w:sz w:val="22"/>
        </w:rPr>
        <w:t>adınların çalışma nedenlerine dair algılar</w:t>
      </w:r>
    </w:p>
    <w:tbl>
      <w:tblPr>
        <w:tblW w:w="9087" w:type="dxa"/>
        <w:tblInd w:w="55" w:type="dxa"/>
        <w:tblBorders>
          <w:top w:val="single" w:sz="4" w:space="0" w:color="E7E6E6"/>
          <w:left w:val="single" w:sz="4" w:space="0" w:color="E7E6E6"/>
          <w:bottom w:val="single" w:sz="4" w:space="0" w:color="E7E6E6"/>
          <w:right w:val="single" w:sz="4" w:space="0" w:color="E7E6E6"/>
          <w:insideH w:val="single" w:sz="6" w:space="0" w:color="E7E6E6"/>
          <w:insideV w:val="single" w:sz="6" w:space="0" w:color="E7E6E6"/>
        </w:tblBorders>
        <w:tblCellMar>
          <w:left w:w="70" w:type="dxa"/>
          <w:right w:w="70" w:type="dxa"/>
        </w:tblCellMar>
        <w:tblLook w:val="04A0" w:firstRow="1" w:lastRow="0" w:firstColumn="1" w:lastColumn="0" w:noHBand="0" w:noVBand="1"/>
      </w:tblPr>
      <w:tblGrid>
        <w:gridCol w:w="4410"/>
        <w:gridCol w:w="1984"/>
        <w:gridCol w:w="1418"/>
        <w:gridCol w:w="1275"/>
      </w:tblGrid>
      <w:tr w:rsidR="00D47195" w:rsidRPr="00FE3013" w:rsidTr="00B801B0">
        <w:trPr>
          <w:trHeight w:val="291"/>
        </w:trPr>
        <w:tc>
          <w:tcPr>
            <w:tcW w:w="4410" w:type="dxa"/>
            <w:shd w:val="clear" w:color="auto" w:fill="auto"/>
            <w:noWrap/>
            <w:vAlign w:val="bottom"/>
          </w:tcPr>
          <w:p w:rsidR="00D47195" w:rsidRPr="00FE3013" w:rsidRDefault="00D47195" w:rsidP="00041FE2">
            <w:pPr>
              <w:spacing w:after="0" w:line="240" w:lineRule="auto"/>
              <w:rPr>
                <w:rFonts w:eastAsia="Times New Roman" w:cs="Times New Roman"/>
                <w:color w:val="000000"/>
              </w:rPr>
            </w:pPr>
          </w:p>
        </w:tc>
        <w:tc>
          <w:tcPr>
            <w:tcW w:w="1984" w:type="dxa"/>
            <w:shd w:val="clear" w:color="auto" w:fill="auto"/>
            <w:noWrap/>
            <w:vAlign w:val="bottom"/>
          </w:tcPr>
          <w:p w:rsidR="00D47195" w:rsidRPr="00FE3013" w:rsidRDefault="00D47195" w:rsidP="00041FE2">
            <w:pPr>
              <w:spacing w:after="0" w:line="240" w:lineRule="auto"/>
              <w:rPr>
                <w:rFonts w:eastAsia="Times New Roman" w:cs="Times New Roman"/>
                <w:color w:val="000000"/>
              </w:rPr>
            </w:pPr>
            <w:r w:rsidRPr="00FE3013">
              <w:rPr>
                <w:rFonts w:eastAsia="Times New Roman" w:cs="Times New Roman"/>
                <w:color w:val="000000"/>
              </w:rPr>
              <w:t>İşgücünde değil</w:t>
            </w:r>
            <w:r w:rsidR="0042134E" w:rsidRPr="00FE3013">
              <w:rPr>
                <w:rFonts w:eastAsia="Times New Roman" w:cs="Times New Roman"/>
                <w:color w:val="000000"/>
              </w:rPr>
              <w:t xml:space="preserve"> (%)</w:t>
            </w:r>
          </w:p>
        </w:tc>
        <w:tc>
          <w:tcPr>
            <w:tcW w:w="1418" w:type="dxa"/>
            <w:shd w:val="clear" w:color="auto" w:fill="auto"/>
            <w:noWrap/>
            <w:vAlign w:val="bottom"/>
          </w:tcPr>
          <w:p w:rsidR="00D47195" w:rsidRPr="00FE3013" w:rsidRDefault="00D47195" w:rsidP="00041FE2">
            <w:pPr>
              <w:spacing w:after="0" w:line="240" w:lineRule="auto"/>
              <w:rPr>
                <w:rFonts w:eastAsia="Times New Roman" w:cs="Times New Roman"/>
                <w:color w:val="000000"/>
              </w:rPr>
            </w:pPr>
            <w:r w:rsidRPr="00FE3013">
              <w:rPr>
                <w:rFonts w:eastAsia="Times New Roman" w:cs="Times New Roman"/>
                <w:color w:val="000000"/>
              </w:rPr>
              <w:t>İşgücünde</w:t>
            </w:r>
            <w:r w:rsidR="0042134E" w:rsidRPr="00FE3013">
              <w:rPr>
                <w:rFonts w:eastAsia="Times New Roman" w:cs="Times New Roman"/>
                <w:color w:val="000000"/>
              </w:rPr>
              <w:t xml:space="preserve"> (%)</w:t>
            </w:r>
          </w:p>
        </w:tc>
        <w:tc>
          <w:tcPr>
            <w:tcW w:w="1275" w:type="dxa"/>
            <w:shd w:val="clear" w:color="auto" w:fill="auto"/>
            <w:noWrap/>
            <w:vAlign w:val="bottom"/>
          </w:tcPr>
          <w:p w:rsidR="00D47195" w:rsidRPr="00FE3013" w:rsidRDefault="00D47195" w:rsidP="00041FE2">
            <w:pPr>
              <w:spacing w:after="0" w:line="240" w:lineRule="auto"/>
              <w:rPr>
                <w:rFonts w:eastAsia="Times New Roman" w:cs="Times New Roman"/>
                <w:color w:val="000000"/>
              </w:rPr>
            </w:pPr>
            <w:r w:rsidRPr="00FE3013">
              <w:rPr>
                <w:rFonts w:eastAsia="Times New Roman" w:cs="Times New Roman"/>
                <w:color w:val="000000"/>
              </w:rPr>
              <w:t>Toplam</w:t>
            </w:r>
            <w:r w:rsidR="0042134E" w:rsidRPr="00FE3013">
              <w:rPr>
                <w:rFonts w:eastAsia="Times New Roman" w:cs="Times New Roman"/>
                <w:color w:val="000000"/>
              </w:rPr>
              <w:t xml:space="preserve"> (%)</w:t>
            </w:r>
          </w:p>
        </w:tc>
      </w:tr>
      <w:tr w:rsidR="000618B8" w:rsidRPr="00FE3013" w:rsidTr="00B801B0">
        <w:trPr>
          <w:trHeight w:val="291"/>
        </w:trPr>
        <w:tc>
          <w:tcPr>
            <w:tcW w:w="4410" w:type="dxa"/>
            <w:shd w:val="clear" w:color="auto" w:fill="auto"/>
            <w:noWrap/>
            <w:vAlign w:val="bottom"/>
          </w:tcPr>
          <w:p w:rsidR="000618B8" w:rsidRPr="00FE3013" w:rsidRDefault="00EA7B93" w:rsidP="00EA7B93">
            <w:pPr>
              <w:spacing w:after="0" w:line="259" w:lineRule="auto"/>
              <w:rPr>
                <w:color w:val="000000"/>
              </w:rPr>
            </w:pPr>
            <w:r>
              <w:rPr>
                <w:color w:val="000000"/>
              </w:rPr>
              <w:t>Kendine güven</w:t>
            </w:r>
            <w:r w:rsidR="00754EF5">
              <w:rPr>
                <w:color w:val="000000"/>
              </w:rPr>
              <w:t>*</w:t>
            </w:r>
          </w:p>
        </w:tc>
        <w:tc>
          <w:tcPr>
            <w:tcW w:w="1984" w:type="dxa"/>
            <w:shd w:val="clear" w:color="auto" w:fill="auto"/>
            <w:noWrap/>
            <w:vAlign w:val="bottom"/>
          </w:tcPr>
          <w:p w:rsidR="000618B8" w:rsidRPr="00FE3013" w:rsidRDefault="000618B8" w:rsidP="000618B8">
            <w:pPr>
              <w:spacing w:after="0" w:line="259" w:lineRule="auto"/>
              <w:jc w:val="right"/>
              <w:rPr>
                <w:color w:val="000000"/>
              </w:rPr>
            </w:pPr>
            <w:r w:rsidRPr="00FE3013">
              <w:rPr>
                <w:color w:val="000000"/>
              </w:rPr>
              <w:t>53,5</w:t>
            </w:r>
          </w:p>
        </w:tc>
        <w:tc>
          <w:tcPr>
            <w:tcW w:w="1418" w:type="dxa"/>
            <w:shd w:val="clear" w:color="auto" w:fill="auto"/>
            <w:noWrap/>
            <w:vAlign w:val="bottom"/>
          </w:tcPr>
          <w:p w:rsidR="000618B8" w:rsidRPr="00FE3013" w:rsidRDefault="000618B8" w:rsidP="000618B8">
            <w:pPr>
              <w:spacing w:after="0" w:line="259" w:lineRule="auto"/>
              <w:jc w:val="right"/>
              <w:rPr>
                <w:color w:val="000000"/>
              </w:rPr>
            </w:pPr>
            <w:r w:rsidRPr="00FE3013">
              <w:rPr>
                <w:color w:val="000000"/>
              </w:rPr>
              <w:t>66,1</w:t>
            </w:r>
          </w:p>
        </w:tc>
        <w:tc>
          <w:tcPr>
            <w:tcW w:w="1275" w:type="dxa"/>
            <w:shd w:val="clear" w:color="auto" w:fill="auto"/>
            <w:noWrap/>
            <w:vAlign w:val="bottom"/>
          </w:tcPr>
          <w:p w:rsidR="000618B8" w:rsidRPr="00FE3013" w:rsidRDefault="000618B8" w:rsidP="000618B8">
            <w:pPr>
              <w:spacing w:after="0" w:line="259" w:lineRule="auto"/>
              <w:jc w:val="right"/>
              <w:rPr>
                <w:color w:val="000000"/>
              </w:rPr>
            </w:pPr>
            <w:r w:rsidRPr="00FE3013">
              <w:rPr>
                <w:color w:val="000000"/>
              </w:rPr>
              <w:t>58,5</w:t>
            </w:r>
          </w:p>
        </w:tc>
      </w:tr>
      <w:tr w:rsidR="000618B8" w:rsidRPr="00FE3013" w:rsidTr="00B801B0">
        <w:trPr>
          <w:trHeight w:val="291"/>
        </w:trPr>
        <w:tc>
          <w:tcPr>
            <w:tcW w:w="4410" w:type="dxa"/>
            <w:shd w:val="clear" w:color="auto" w:fill="auto"/>
            <w:noWrap/>
            <w:vAlign w:val="bottom"/>
          </w:tcPr>
          <w:p w:rsidR="000618B8" w:rsidRPr="00FE3013" w:rsidRDefault="00EA7B93" w:rsidP="00EA7B93">
            <w:pPr>
              <w:spacing w:after="0" w:line="259" w:lineRule="auto"/>
              <w:rPr>
                <w:color w:val="000000"/>
              </w:rPr>
            </w:pPr>
            <w:r>
              <w:rPr>
                <w:color w:val="000000"/>
              </w:rPr>
              <w:t>Maddi özgürlük</w:t>
            </w:r>
            <w:r w:rsidR="00754EF5">
              <w:rPr>
                <w:color w:val="000000"/>
              </w:rPr>
              <w:t>*</w:t>
            </w:r>
          </w:p>
        </w:tc>
        <w:tc>
          <w:tcPr>
            <w:tcW w:w="1984" w:type="dxa"/>
            <w:shd w:val="clear" w:color="auto" w:fill="auto"/>
            <w:noWrap/>
            <w:vAlign w:val="bottom"/>
          </w:tcPr>
          <w:p w:rsidR="000618B8" w:rsidRPr="00FE3013" w:rsidRDefault="000618B8" w:rsidP="000618B8">
            <w:pPr>
              <w:spacing w:after="0" w:line="259" w:lineRule="auto"/>
              <w:jc w:val="right"/>
              <w:rPr>
                <w:color w:val="000000"/>
              </w:rPr>
            </w:pPr>
            <w:r w:rsidRPr="00FE3013">
              <w:rPr>
                <w:color w:val="000000"/>
              </w:rPr>
              <w:t>50,1</w:t>
            </w:r>
          </w:p>
        </w:tc>
        <w:tc>
          <w:tcPr>
            <w:tcW w:w="1418" w:type="dxa"/>
            <w:shd w:val="clear" w:color="auto" w:fill="auto"/>
            <w:noWrap/>
            <w:vAlign w:val="bottom"/>
          </w:tcPr>
          <w:p w:rsidR="000618B8" w:rsidRPr="00FE3013" w:rsidRDefault="000618B8" w:rsidP="000618B8">
            <w:pPr>
              <w:spacing w:after="0" w:line="259" w:lineRule="auto"/>
              <w:jc w:val="right"/>
              <w:rPr>
                <w:color w:val="000000"/>
              </w:rPr>
            </w:pPr>
            <w:r w:rsidRPr="00FE3013">
              <w:rPr>
                <w:color w:val="000000"/>
              </w:rPr>
              <w:t>56,8</w:t>
            </w:r>
          </w:p>
        </w:tc>
        <w:tc>
          <w:tcPr>
            <w:tcW w:w="1275" w:type="dxa"/>
            <w:shd w:val="clear" w:color="auto" w:fill="auto"/>
            <w:noWrap/>
            <w:vAlign w:val="bottom"/>
          </w:tcPr>
          <w:p w:rsidR="000618B8" w:rsidRPr="00FE3013" w:rsidRDefault="000618B8" w:rsidP="000618B8">
            <w:pPr>
              <w:spacing w:after="0" w:line="259" w:lineRule="auto"/>
              <w:jc w:val="right"/>
              <w:rPr>
                <w:color w:val="000000"/>
              </w:rPr>
            </w:pPr>
            <w:r w:rsidRPr="00FE3013">
              <w:rPr>
                <w:color w:val="000000"/>
              </w:rPr>
              <w:t>52,8</w:t>
            </w:r>
          </w:p>
        </w:tc>
      </w:tr>
      <w:tr w:rsidR="000618B8" w:rsidRPr="00FE3013" w:rsidTr="00B801B0">
        <w:trPr>
          <w:trHeight w:val="291"/>
        </w:trPr>
        <w:tc>
          <w:tcPr>
            <w:tcW w:w="4410" w:type="dxa"/>
            <w:shd w:val="clear" w:color="auto" w:fill="auto"/>
            <w:noWrap/>
            <w:vAlign w:val="bottom"/>
          </w:tcPr>
          <w:p w:rsidR="000618B8" w:rsidRPr="00FE3013" w:rsidRDefault="000618B8" w:rsidP="000618B8">
            <w:pPr>
              <w:spacing w:after="0" w:line="259" w:lineRule="auto"/>
              <w:rPr>
                <w:color w:val="000000"/>
              </w:rPr>
            </w:pPr>
            <w:r w:rsidRPr="00FE3013">
              <w:rPr>
                <w:color w:val="000000"/>
              </w:rPr>
              <w:t>Maddi zorunluluk gereği</w:t>
            </w:r>
            <w:r w:rsidR="00754EF5">
              <w:rPr>
                <w:color w:val="000000"/>
              </w:rPr>
              <w:t>*</w:t>
            </w:r>
          </w:p>
        </w:tc>
        <w:tc>
          <w:tcPr>
            <w:tcW w:w="1984" w:type="dxa"/>
            <w:shd w:val="clear" w:color="auto" w:fill="auto"/>
            <w:noWrap/>
            <w:vAlign w:val="bottom"/>
          </w:tcPr>
          <w:p w:rsidR="000618B8" w:rsidRPr="00FE3013" w:rsidRDefault="000618B8" w:rsidP="000618B8">
            <w:pPr>
              <w:spacing w:after="0" w:line="259" w:lineRule="auto"/>
              <w:jc w:val="right"/>
              <w:rPr>
                <w:color w:val="000000"/>
              </w:rPr>
            </w:pPr>
            <w:r w:rsidRPr="00FE3013">
              <w:rPr>
                <w:color w:val="000000"/>
              </w:rPr>
              <w:t>40,4</w:t>
            </w:r>
          </w:p>
        </w:tc>
        <w:tc>
          <w:tcPr>
            <w:tcW w:w="1418" w:type="dxa"/>
            <w:shd w:val="clear" w:color="auto" w:fill="auto"/>
            <w:noWrap/>
            <w:vAlign w:val="bottom"/>
          </w:tcPr>
          <w:p w:rsidR="000618B8" w:rsidRPr="00FE3013" w:rsidRDefault="000618B8" w:rsidP="000618B8">
            <w:pPr>
              <w:spacing w:after="0" w:line="259" w:lineRule="auto"/>
              <w:jc w:val="right"/>
              <w:rPr>
                <w:color w:val="000000"/>
              </w:rPr>
            </w:pPr>
            <w:r w:rsidRPr="00FE3013">
              <w:rPr>
                <w:color w:val="000000"/>
              </w:rPr>
              <w:t>35,2</w:t>
            </w:r>
          </w:p>
        </w:tc>
        <w:tc>
          <w:tcPr>
            <w:tcW w:w="1275" w:type="dxa"/>
            <w:shd w:val="clear" w:color="auto" w:fill="auto"/>
            <w:noWrap/>
            <w:vAlign w:val="bottom"/>
          </w:tcPr>
          <w:p w:rsidR="000618B8" w:rsidRPr="00FE3013" w:rsidRDefault="000618B8" w:rsidP="000618B8">
            <w:pPr>
              <w:spacing w:after="0" w:line="259" w:lineRule="auto"/>
              <w:jc w:val="right"/>
              <w:rPr>
                <w:color w:val="000000"/>
              </w:rPr>
            </w:pPr>
            <w:r w:rsidRPr="00FE3013">
              <w:rPr>
                <w:color w:val="000000"/>
              </w:rPr>
              <w:t>38,3</w:t>
            </w:r>
          </w:p>
        </w:tc>
      </w:tr>
      <w:tr w:rsidR="000618B8" w:rsidRPr="00FE3013" w:rsidTr="00B801B0">
        <w:trPr>
          <w:trHeight w:val="291"/>
        </w:trPr>
        <w:tc>
          <w:tcPr>
            <w:tcW w:w="4410" w:type="dxa"/>
            <w:shd w:val="clear" w:color="auto" w:fill="auto"/>
            <w:noWrap/>
            <w:vAlign w:val="bottom"/>
          </w:tcPr>
          <w:p w:rsidR="000618B8" w:rsidRPr="00FE3013" w:rsidRDefault="000618B8" w:rsidP="000618B8">
            <w:pPr>
              <w:spacing w:after="0" w:line="259" w:lineRule="auto"/>
              <w:rPr>
                <w:color w:val="000000"/>
              </w:rPr>
            </w:pPr>
            <w:r w:rsidRPr="00FE3013">
              <w:rPr>
                <w:color w:val="000000"/>
              </w:rPr>
              <w:t>Kendi isteklerini karşılayabilmek</w:t>
            </w:r>
          </w:p>
        </w:tc>
        <w:tc>
          <w:tcPr>
            <w:tcW w:w="1984" w:type="dxa"/>
            <w:shd w:val="clear" w:color="auto" w:fill="auto"/>
            <w:noWrap/>
            <w:vAlign w:val="bottom"/>
          </w:tcPr>
          <w:p w:rsidR="000618B8" w:rsidRPr="00FE3013" w:rsidRDefault="000618B8" w:rsidP="000618B8">
            <w:pPr>
              <w:spacing w:after="0" w:line="259" w:lineRule="auto"/>
              <w:jc w:val="right"/>
              <w:rPr>
                <w:color w:val="000000"/>
              </w:rPr>
            </w:pPr>
            <w:r w:rsidRPr="00FE3013">
              <w:rPr>
                <w:color w:val="000000"/>
              </w:rPr>
              <w:t>32,1</w:t>
            </w:r>
          </w:p>
        </w:tc>
        <w:tc>
          <w:tcPr>
            <w:tcW w:w="1418" w:type="dxa"/>
            <w:shd w:val="clear" w:color="auto" w:fill="auto"/>
            <w:noWrap/>
            <w:vAlign w:val="bottom"/>
          </w:tcPr>
          <w:p w:rsidR="000618B8" w:rsidRPr="00FE3013" w:rsidRDefault="000618B8" w:rsidP="000618B8">
            <w:pPr>
              <w:spacing w:after="0" w:line="259" w:lineRule="auto"/>
              <w:jc w:val="right"/>
              <w:rPr>
                <w:color w:val="000000"/>
              </w:rPr>
            </w:pPr>
            <w:r w:rsidRPr="00FE3013">
              <w:rPr>
                <w:color w:val="000000"/>
              </w:rPr>
              <w:t>32,7</w:t>
            </w:r>
          </w:p>
        </w:tc>
        <w:tc>
          <w:tcPr>
            <w:tcW w:w="1275" w:type="dxa"/>
            <w:shd w:val="clear" w:color="auto" w:fill="auto"/>
            <w:noWrap/>
            <w:vAlign w:val="bottom"/>
          </w:tcPr>
          <w:p w:rsidR="000618B8" w:rsidRPr="00FE3013" w:rsidRDefault="000618B8" w:rsidP="000618B8">
            <w:pPr>
              <w:spacing w:after="0" w:line="259" w:lineRule="auto"/>
              <w:jc w:val="right"/>
              <w:rPr>
                <w:color w:val="000000"/>
              </w:rPr>
            </w:pPr>
            <w:r w:rsidRPr="00FE3013">
              <w:rPr>
                <w:color w:val="000000"/>
              </w:rPr>
              <w:t>32,3</w:t>
            </w:r>
          </w:p>
        </w:tc>
      </w:tr>
      <w:tr w:rsidR="000618B8" w:rsidRPr="00FE3013" w:rsidTr="00B801B0">
        <w:trPr>
          <w:trHeight w:val="291"/>
        </w:trPr>
        <w:tc>
          <w:tcPr>
            <w:tcW w:w="4410" w:type="dxa"/>
            <w:shd w:val="clear" w:color="auto" w:fill="auto"/>
            <w:noWrap/>
            <w:vAlign w:val="bottom"/>
          </w:tcPr>
          <w:p w:rsidR="000618B8" w:rsidRPr="00FE3013" w:rsidRDefault="000618B8" w:rsidP="000618B8">
            <w:pPr>
              <w:spacing w:after="0" w:line="259" w:lineRule="auto"/>
              <w:rPr>
                <w:color w:val="000000"/>
              </w:rPr>
            </w:pPr>
            <w:r w:rsidRPr="00FE3013">
              <w:rPr>
                <w:color w:val="000000"/>
              </w:rPr>
              <w:t>Para biriktirmek</w:t>
            </w:r>
          </w:p>
        </w:tc>
        <w:tc>
          <w:tcPr>
            <w:tcW w:w="1984" w:type="dxa"/>
            <w:shd w:val="clear" w:color="auto" w:fill="auto"/>
            <w:noWrap/>
            <w:vAlign w:val="bottom"/>
          </w:tcPr>
          <w:p w:rsidR="000618B8" w:rsidRPr="00FE3013" w:rsidRDefault="000618B8" w:rsidP="000618B8">
            <w:pPr>
              <w:spacing w:after="0" w:line="259" w:lineRule="auto"/>
              <w:jc w:val="right"/>
              <w:rPr>
                <w:color w:val="000000"/>
              </w:rPr>
            </w:pPr>
            <w:r w:rsidRPr="00FE3013">
              <w:rPr>
                <w:color w:val="000000"/>
              </w:rPr>
              <w:t>22,9</w:t>
            </w:r>
          </w:p>
        </w:tc>
        <w:tc>
          <w:tcPr>
            <w:tcW w:w="1418" w:type="dxa"/>
            <w:shd w:val="clear" w:color="auto" w:fill="auto"/>
            <w:noWrap/>
            <w:vAlign w:val="bottom"/>
          </w:tcPr>
          <w:p w:rsidR="000618B8" w:rsidRPr="00FE3013" w:rsidRDefault="000618B8" w:rsidP="000618B8">
            <w:pPr>
              <w:spacing w:after="0" w:line="259" w:lineRule="auto"/>
              <w:jc w:val="right"/>
              <w:rPr>
                <w:color w:val="000000"/>
              </w:rPr>
            </w:pPr>
            <w:r w:rsidRPr="00FE3013">
              <w:rPr>
                <w:color w:val="000000"/>
              </w:rPr>
              <w:t>21,6</w:t>
            </w:r>
          </w:p>
        </w:tc>
        <w:tc>
          <w:tcPr>
            <w:tcW w:w="1275" w:type="dxa"/>
            <w:shd w:val="clear" w:color="auto" w:fill="auto"/>
            <w:noWrap/>
            <w:vAlign w:val="bottom"/>
          </w:tcPr>
          <w:p w:rsidR="000618B8" w:rsidRPr="00FE3013" w:rsidRDefault="000618B8" w:rsidP="000618B8">
            <w:pPr>
              <w:spacing w:after="0" w:line="259" w:lineRule="auto"/>
              <w:jc w:val="right"/>
              <w:rPr>
                <w:color w:val="000000"/>
              </w:rPr>
            </w:pPr>
            <w:r w:rsidRPr="00FE3013">
              <w:rPr>
                <w:color w:val="000000"/>
              </w:rPr>
              <w:t>22,3</w:t>
            </w:r>
          </w:p>
        </w:tc>
      </w:tr>
      <w:tr w:rsidR="000618B8" w:rsidRPr="00FE3013" w:rsidTr="00B801B0">
        <w:trPr>
          <w:trHeight w:val="291"/>
        </w:trPr>
        <w:tc>
          <w:tcPr>
            <w:tcW w:w="4410" w:type="dxa"/>
            <w:shd w:val="clear" w:color="auto" w:fill="auto"/>
            <w:noWrap/>
            <w:vAlign w:val="bottom"/>
          </w:tcPr>
          <w:p w:rsidR="000618B8" w:rsidRPr="00FE3013" w:rsidRDefault="000618B8" w:rsidP="00EA7B93">
            <w:pPr>
              <w:spacing w:after="0" w:line="259" w:lineRule="auto"/>
              <w:rPr>
                <w:color w:val="000000"/>
              </w:rPr>
            </w:pPr>
            <w:r w:rsidRPr="00FE3013">
              <w:rPr>
                <w:color w:val="000000"/>
              </w:rPr>
              <w:t>Çalışmayı sev</w:t>
            </w:r>
            <w:r w:rsidR="00EA7B93">
              <w:rPr>
                <w:color w:val="000000"/>
              </w:rPr>
              <w:t>diği için</w:t>
            </w:r>
          </w:p>
        </w:tc>
        <w:tc>
          <w:tcPr>
            <w:tcW w:w="1984" w:type="dxa"/>
            <w:shd w:val="clear" w:color="auto" w:fill="auto"/>
            <w:noWrap/>
            <w:vAlign w:val="bottom"/>
          </w:tcPr>
          <w:p w:rsidR="000618B8" w:rsidRPr="00FE3013" w:rsidRDefault="000618B8" w:rsidP="000618B8">
            <w:pPr>
              <w:spacing w:after="0" w:line="259" w:lineRule="auto"/>
              <w:jc w:val="right"/>
              <w:rPr>
                <w:color w:val="000000"/>
              </w:rPr>
            </w:pPr>
            <w:r w:rsidRPr="00FE3013">
              <w:rPr>
                <w:color w:val="000000"/>
              </w:rPr>
              <w:t>17,6</w:t>
            </w:r>
          </w:p>
        </w:tc>
        <w:tc>
          <w:tcPr>
            <w:tcW w:w="1418" w:type="dxa"/>
            <w:shd w:val="clear" w:color="auto" w:fill="auto"/>
            <w:noWrap/>
            <w:vAlign w:val="bottom"/>
          </w:tcPr>
          <w:p w:rsidR="000618B8" w:rsidRPr="00FE3013" w:rsidRDefault="000618B8" w:rsidP="000618B8">
            <w:pPr>
              <w:spacing w:after="0" w:line="259" w:lineRule="auto"/>
              <w:jc w:val="right"/>
              <w:rPr>
                <w:color w:val="000000"/>
              </w:rPr>
            </w:pPr>
            <w:r w:rsidRPr="00FE3013">
              <w:rPr>
                <w:color w:val="000000"/>
              </w:rPr>
              <w:t>18</w:t>
            </w:r>
            <w:r w:rsidR="00E7329E">
              <w:rPr>
                <w:color w:val="000000"/>
              </w:rPr>
              <w:t>,0</w:t>
            </w:r>
          </w:p>
        </w:tc>
        <w:tc>
          <w:tcPr>
            <w:tcW w:w="1275" w:type="dxa"/>
            <w:shd w:val="clear" w:color="auto" w:fill="auto"/>
            <w:noWrap/>
            <w:vAlign w:val="bottom"/>
          </w:tcPr>
          <w:p w:rsidR="000618B8" w:rsidRPr="00FE3013" w:rsidRDefault="000618B8" w:rsidP="000618B8">
            <w:pPr>
              <w:spacing w:after="0" w:line="259" w:lineRule="auto"/>
              <w:jc w:val="right"/>
              <w:rPr>
                <w:color w:val="000000"/>
              </w:rPr>
            </w:pPr>
            <w:r w:rsidRPr="00FE3013">
              <w:rPr>
                <w:color w:val="000000"/>
              </w:rPr>
              <w:t>17,8</w:t>
            </w:r>
          </w:p>
        </w:tc>
      </w:tr>
      <w:tr w:rsidR="000618B8" w:rsidRPr="00FE3013" w:rsidTr="00B801B0">
        <w:trPr>
          <w:trHeight w:val="291"/>
        </w:trPr>
        <w:tc>
          <w:tcPr>
            <w:tcW w:w="4410" w:type="dxa"/>
            <w:shd w:val="clear" w:color="auto" w:fill="auto"/>
            <w:noWrap/>
            <w:vAlign w:val="bottom"/>
          </w:tcPr>
          <w:p w:rsidR="000618B8" w:rsidRPr="00FE3013" w:rsidRDefault="000618B8" w:rsidP="000618B8">
            <w:pPr>
              <w:spacing w:after="0" w:line="259" w:lineRule="auto"/>
              <w:rPr>
                <w:color w:val="000000"/>
              </w:rPr>
            </w:pPr>
            <w:r w:rsidRPr="00FE3013">
              <w:rPr>
                <w:color w:val="000000"/>
              </w:rPr>
              <w:t xml:space="preserve">Çocukların eğitimi </w:t>
            </w:r>
          </w:p>
        </w:tc>
        <w:tc>
          <w:tcPr>
            <w:tcW w:w="1984" w:type="dxa"/>
            <w:shd w:val="clear" w:color="auto" w:fill="auto"/>
            <w:noWrap/>
            <w:vAlign w:val="bottom"/>
          </w:tcPr>
          <w:p w:rsidR="000618B8" w:rsidRPr="00FE3013" w:rsidRDefault="000618B8" w:rsidP="000618B8">
            <w:pPr>
              <w:spacing w:after="0" w:line="259" w:lineRule="auto"/>
              <w:jc w:val="right"/>
              <w:rPr>
                <w:color w:val="000000"/>
              </w:rPr>
            </w:pPr>
            <w:r w:rsidRPr="00FE3013">
              <w:rPr>
                <w:color w:val="000000"/>
              </w:rPr>
              <w:t>17,5</w:t>
            </w:r>
          </w:p>
        </w:tc>
        <w:tc>
          <w:tcPr>
            <w:tcW w:w="1418" w:type="dxa"/>
            <w:shd w:val="clear" w:color="auto" w:fill="auto"/>
            <w:noWrap/>
            <w:vAlign w:val="bottom"/>
          </w:tcPr>
          <w:p w:rsidR="000618B8" w:rsidRPr="00FE3013" w:rsidRDefault="000618B8" w:rsidP="000618B8">
            <w:pPr>
              <w:spacing w:after="0" w:line="259" w:lineRule="auto"/>
              <w:jc w:val="right"/>
              <w:rPr>
                <w:color w:val="000000"/>
              </w:rPr>
            </w:pPr>
            <w:r w:rsidRPr="00FE3013">
              <w:rPr>
                <w:color w:val="000000"/>
              </w:rPr>
              <w:t>16,4</w:t>
            </w:r>
          </w:p>
        </w:tc>
        <w:tc>
          <w:tcPr>
            <w:tcW w:w="1275" w:type="dxa"/>
            <w:shd w:val="clear" w:color="auto" w:fill="auto"/>
            <w:noWrap/>
            <w:vAlign w:val="bottom"/>
          </w:tcPr>
          <w:p w:rsidR="000618B8" w:rsidRPr="00FE3013" w:rsidRDefault="000618B8" w:rsidP="000618B8">
            <w:pPr>
              <w:spacing w:after="0" w:line="259" w:lineRule="auto"/>
              <w:jc w:val="right"/>
              <w:rPr>
                <w:color w:val="000000"/>
              </w:rPr>
            </w:pPr>
            <w:r w:rsidRPr="00FE3013">
              <w:rPr>
                <w:color w:val="000000"/>
              </w:rPr>
              <w:t>17,1</w:t>
            </w:r>
          </w:p>
        </w:tc>
      </w:tr>
      <w:tr w:rsidR="000618B8" w:rsidRPr="00FE3013" w:rsidTr="00B801B0">
        <w:trPr>
          <w:trHeight w:val="291"/>
        </w:trPr>
        <w:tc>
          <w:tcPr>
            <w:tcW w:w="4410" w:type="dxa"/>
            <w:shd w:val="clear" w:color="auto" w:fill="auto"/>
            <w:noWrap/>
            <w:vAlign w:val="bottom"/>
          </w:tcPr>
          <w:p w:rsidR="000618B8" w:rsidRPr="00FE3013" w:rsidRDefault="000618B8" w:rsidP="00EA7B93">
            <w:pPr>
              <w:spacing w:after="0" w:line="259" w:lineRule="auto"/>
              <w:rPr>
                <w:color w:val="000000"/>
              </w:rPr>
            </w:pPr>
            <w:r w:rsidRPr="00FE3013">
              <w:rPr>
                <w:color w:val="000000"/>
              </w:rPr>
              <w:t>Sosyalleşmek</w:t>
            </w:r>
          </w:p>
        </w:tc>
        <w:tc>
          <w:tcPr>
            <w:tcW w:w="1984" w:type="dxa"/>
            <w:shd w:val="clear" w:color="auto" w:fill="auto"/>
            <w:noWrap/>
            <w:vAlign w:val="bottom"/>
          </w:tcPr>
          <w:p w:rsidR="000618B8" w:rsidRPr="00FE3013" w:rsidRDefault="000618B8" w:rsidP="000618B8">
            <w:pPr>
              <w:spacing w:after="0" w:line="259" w:lineRule="auto"/>
              <w:jc w:val="right"/>
              <w:rPr>
                <w:color w:val="000000"/>
              </w:rPr>
            </w:pPr>
            <w:r w:rsidRPr="00FE3013">
              <w:rPr>
                <w:color w:val="000000"/>
              </w:rPr>
              <w:t>17,2</w:t>
            </w:r>
          </w:p>
        </w:tc>
        <w:tc>
          <w:tcPr>
            <w:tcW w:w="1418" w:type="dxa"/>
            <w:shd w:val="clear" w:color="auto" w:fill="auto"/>
            <w:noWrap/>
            <w:vAlign w:val="bottom"/>
          </w:tcPr>
          <w:p w:rsidR="000618B8" w:rsidRPr="00FE3013" w:rsidRDefault="000618B8" w:rsidP="000618B8">
            <w:pPr>
              <w:spacing w:after="0" w:line="259" w:lineRule="auto"/>
              <w:jc w:val="right"/>
              <w:rPr>
                <w:color w:val="000000"/>
              </w:rPr>
            </w:pPr>
            <w:r w:rsidRPr="00FE3013">
              <w:rPr>
                <w:color w:val="000000"/>
              </w:rPr>
              <w:t>16,1</w:t>
            </w:r>
          </w:p>
        </w:tc>
        <w:tc>
          <w:tcPr>
            <w:tcW w:w="1275" w:type="dxa"/>
            <w:shd w:val="clear" w:color="auto" w:fill="auto"/>
            <w:noWrap/>
            <w:vAlign w:val="bottom"/>
          </w:tcPr>
          <w:p w:rsidR="000618B8" w:rsidRPr="00FE3013" w:rsidRDefault="000618B8" w:rsidP="000618B8">
            <w:pPr>
              <w:spacing w:after="0" w:line="259" w:lineRule="auto"/>
              <w:jc w:val="right"/>
              <w:rPr>
                <w:color w:val="000000"/>
              </w:rPr>
            </w:pPr>
            <w:r w:rsidRPr="00FE3013">
              <w:rPr>
                <w:color w:val="000000"/>
              </w:rPr>
              <w:t>16,8</w:t>
            </w:r>
          </w:p>
        </w:tc>
      </w:tr>
      <w:tr w:rsidR="000618B8" w:rsidRPr="00FE3013" w:rsidTr="00B801B0">
        <w:trPr>
          <w:trHeight w:val="291"/>
        </w:trPr>
        <w:tc>
          <w:tcPr>
            <w:tcW w:w="4410" w:type="dxa"/>
            <w:shd w:val="clear" w:color="auto" w:fill="auto"/>
            <w:noWrap/>
            <w:vAlign w:val="bottom"/>
          </w:tcPr>
          <w:p w:rsidR="000618B8" w:rsidRPr="00FE3013" w:rsidRDefault="000618B8" w:rsidP="00EA7B93">
            <w:pPr>
              <w:spacing w:after="0" w:line="259" w:lineRule="auto"/>
              <w:rPr>
                <w:color w:val="000000"/>
              </w:rPr>
            </w:pPr>
            <w:r w:rsidRPr="00FE3013">
              <w:rPr>
                <w:color w:val="000000"/>
              </w:rPr>
              <w:t xml:space="preserve">Kariyer sahibi olmak </w:t>
            </w:r>
          </w:p>
        </w:tc>
        <w:tc>
          <w:tcPr>
            <w:tcW w:w="1984" w:type="dxa"/>
            <w:shd w:val="clear" w:color="auto" w:fill="auto"/>
            <w:noWrap/>
            <w:vAlign w:val="bottom"/>
          </w:tcPr>
          <w:p w:rsidR="000618B8" w:rsidRPr="00FE3013" w:rsidRDefault="000618B8" w:rsidP="000618B8">
            <w:pPr>
              <w:spacing w:after="0" w:line="259" w:lineRule="auto"/>
              <w:jc w:val="right"/>
              <w:rPr>
                <w:color w:val="000000"/>
              </w:rPr>
            </w:pPr>
            <w:r w:rsidRPr="00FE3013">
              <w:rPr>
                <w:color w:val="000000"/>
              </w:rPr>
              <w:t>11,4</w:t>
            </w:r>
          </w:p>
        </w:tc>
        <w:tc>
          <w:tcPr>
            <w:tcW w:w="1418" w:type="dxa"/>
            <w:shd w:val="clear" w:color="auto" w:fill="auto"/>
            <w:noWrap/>
            <w:vAlign w:val="bottom"/>
          </w:tcPr>
          <w:p w:rsidR="000618B8" w:rsidRPr="00FE3013" w:rsidRDefault="000618B8" w:rsidP="000618B8">
            <w:pPr>
              <w:spacing w:after="0" w:line="259" w:lineRule="auto"/>
              <w:jc w:val="right"/>
              <w:rPr>
                <w:color w:val="000000"/>
              </w:rPr>
            </w:pPr>
            <w:r w:rsidRPr="00FE3013">
              <w:rPr>
                <w:color w:val="000000"/>
              </w:rPr>
              <w:t>10,8</w:t>
            </w:r>
          </w:p>
        </w:tc>
        <w:tc>
          <w:tcPr>
            <w:tcW w:w="1275" w:type="dxa"/>
            <w:shd w:val="clear" w:color="auto" w:fill="auto"/>
            <w:noWrap/>
            <w:vAlign w:val="bottom"/>
          </w:tcPr>
          <w:p w:rsidR="000618B8" w:rsidRPr="00FE3013" w:rsidRDefault="000618B8" w:rsidP="000618B8">
            <w:pPr>
              <w:spacing w:after="0" w:line="259" w:lineRule="auto"/>
              <w:jc w:val="right"/>
              <w:rPr>
                <w:color w:val="000000"/>
              </w:rPr>
            </w:pPr>
            <w:r w:rsidRPr="00FE3013">
              <w:rPr>
                <w:color w:val="000000"/>
              </w:rPr>
              <w:t>11,2</w:t>
            </w:r>
          </w:p>
        </w:tc>
      </w:tr>
      <w:tr w:rsidR="000618B8" w:rsidRPr="00FE3013" w:rsidTr="00B801B0">
        <w:trPr>
          <w:trHeight w:val="291"/>
        </w:trPr>
        <w:tc>
          <w:tcPr>
            <w:tcW w:w="4410" w:type="dxa"/>
            <w:shd w:val="clear" w:color="auto" w:fill="auto"/>
            <w:noWrap/>
            <w:vAlign w:val="bottom"/>
          </w:tcPr>
          <w:p w:rsidR="000618B8" w:rsidRPr="00FE3013" w:rsidRDefault="000618B8" w:rsidP="00EA7B93">
            <w:pPr>
              <w:spacing w:after="0" w:line="259" w:lineRule="auto"/>
              <w:rPr>
                <w:color w:val="000000"/>
              </w:rPr>
            </w:pPr>
            <w:r w:rsidRPr="00FE3013">
              <w:rPr>
                <w:color w:val="000000"/>
              </w:rPr>
              <w:t xml:space="preserve">Yapılan eğitim yatırımlarının karşılığını almak </w:t>
            </w:r>
          </w:p>
        </w:tc>
        <w:tc>
          <w:tcPr>
            <w:tcW w:w="1984" w:type="dxa"/>
            <w:shd w:val="clear" w:color="auto" w:fill="auto"/>
            <w:noWrap/>
            <w:vAlign w:val="bottom"/>
          </w:tcPr>
          <w:p w:rsidR="000618B8" w:rsidRPr="00FE3013" w:rsidRDefault="000618B8" w:rsidP="000618B8">
            <w:pPr>
              <w:spacing w:after="0" w:line="259" w:lineRule="auto"/>
              <w:jc w:val="right"/>
              <w:rPr>
                <w:color w:val="000000"/>
              </w:rPr>
            </w:pPr>
            <w:r w:rsidRPr="00FE3013">
              <w:rPr>
                <w:color w:val="000000"/>
              </w:rPr>
              <w:t>5,4</w:t>
            </w:r>
          </w:p>
        </w:tc>
        <w:tc>
          <w:tcPr>
            <w:tcW w:w="1418" w:type="dxa"/>
            <w:shd w:val="clear" w:color="auto" w:fill="auto"/>
            <w:noWrap/>
            <w:vAlign w:val="bottom"/>
          </w:tcPr>
          <w:p w:rsidR="000618B8" w:rsidRPr="00FE3013" w:rsidRDefault="000618B8" w:rsidP="000618B8">
            <w:pPr>
              <w:spacing w:after="0" w:line="259" w:lineRule="auto"/>
              <w:jc w:val="right"/>
              <w:rPr>
                <w:color w:val="000000"/>
              </w:rPr>
            </w:pPr>
            <w:r w:rsidRPr="00FE3013">
              <w:rPr>
                <w:color w:val="000000"/>
              </w:rPr>
              <w:t>5</w:t>
            </w:r>
            <w:r w:rsidR="00EA7B93">
              <w:rPr>
                <w:color w:val="000000"/>
              </w:rPr>
              <w:t>,0</w:t>
            </w:r>
          </w:p>
        </w:tc>
        <w:tc>
          <w:tcPr>
            <w:tcW w:w="1275" w:type="dxa"/>
            <w:shd w:val="clear" w:color="auto" w:fill="auto"/>
            <w:noWrap/>
            <w:vAlign w:val="bottom"/>
          </w:tcPr>
          <w:p w:rsidR="000618B8" w:rsidRPr="00FE3013" w:rsidRDefault="000618B8" w:rsidP="000618B8">
            <w:pPr>
              <w:spacing w:after="0" w:line="259" w:lineRule="auto"/>
              <w:jc w:val="right"/>
              <w:rPr>
                <w:color w:val="000000"/>
              </w:rPr>
            </w:pPr>
            <w:r w:rsidRPr="00FE3013">
              <w:rPr>
                <w:color w:val="000000"/>
              </w:rPr>
              <w:t>5,2</w:t>
            </w:r>
          </w:p>
        </w:tc>
      </w:tr>
      <w:tr w:rsidR="000618B8" w:rsidRPr="00FE3013" w:rsidTr="00B801B0">
        <w:trPr>
          <w:trHeight w:val="291"/>
        </w:trPr>
        <w:tc>
          <w:tcPr>
            <w:tcW w:w="4410" w:type="dxa"/>
            <w:shd w:val="clear" w:color="auto" w:fill="auto"/>
            <w:noWrap/>
            <w:vAlign w:val="bottom"/>
          </w:tcPr>
          <w:p w:rsidR="000618B8" w:rsidRPr="00FE3013" w:rsidRDefault="000618B8" w:rsidP="00EA7B93">
            <w:pPr>
              <w:spacing w:after="0" w:line="259" w:lineRule="auto"/>
              <w:rPr>
                <w:color w:val="000000"/>
              </w:rPr>
            </w:pPr>
            <w:r w:rsidRPr="00FE3013">
              <w:rPr>
                <w:color w:val="000000"/>
              </w:rPr>
              <w:t xml:space="preserve">Ev ve aile sorumluluğundan kaçmak </w:t>
            </w:r>
          </w:p>
        </w:tc>
        <w:tc>
          <w:tcPr>
            <w:tcW w:w="1984" w:type="dxa"/>
            <w:shd w:val="clear" w:color="auto" w:fill="auto"/>
            <w:noWrap/>
            <w:vAlign w:val="bottom"/>
          </w:tcPr>
          <w:p w:rsidR="000618B8" w:rsidRPr="00FE3013" w:rsidRDefault="000618B8" w:rsidP="000618B8">
            <w:pPr>
              <w:spacing w:after="0" w:line="259" w:lineRule="auto"/>
              <w:jc w:val="right"/>
              <w:rPr>
                <w:color w:val="000000"/>
              </w:rPr>
            </w:pPr>
            <w:r w:rsidRPr="00FE3013">
              <w:rPr>
                <w:color w:val="000000"/>
              </w:rPr>
              <w:t>0,8</w:t>
            </w:r>
          </w:p>
        </w:tc>
        <w:tc>
          <w:tcPr>
            <w:tcW w:w="1418" w:type="dxa"/>
            <w:shd w:val="clear" w:color="auto" w:fill="auto"/>
            <w:noWrap/>
            <w:vAlign w:val="bottom"/>
          </w:tcPr>
          <w:p w:rsidR="000618B8" w:rsidRPr="00FE3013" w:rsidRDefault="000618B8" w:rsidP="000618B8">
            <w:pPr>
              <w:spacing w:after="0" w:line="259" w:lineRule="auto"/>
              <w:jc w:val="right"/>
              <w:rPr>
                <w:color w:val="000000"/>
              </w:rPr>
            </w:pPr>
            <w:r w:rsidRPr="00FE3013">
              <w:rPr>
                <w:color w:val="000000"/>
              </w:rPr>
              <w:t>0,4</w:t>
            </w:r>
          </w:p>
        </w:tc>
        <w:tc>
          <w:tcPr>
            <w:tcW w:w="1275" w:type="dxa"/>
            <w:shd w:val="clear" w:color="auto" w:fill="auto"/>
            <w:noWrap/>
            <w:vAlign w:val="bottom"/>
          </w:tcPr>
          <w:p w:rsidR="000618B8" w:rsidRPr="00FE3013" w:rsidRDefault="000618B8" w:rsidP="000618B8">
            <w:pPr>
              <w:spacing w:after="0" w:line="259" w:lineRule="auto"/>
              <w:jc w:val="right"/>
              <w:rPr>
                <w:color w:val="000000"/>
              </w:rPr>
            </w:pPr>
            <w:r w:rsidRPr="00FE3013">
              <w:rPr>
                <w:color w:val="000000"/>
              </w:rPr>
              <w:t>0,7</w:t>
            </w:r>
          </w:p>
        </w:tc>
      </w:tr>
      <w:tr w:rsidR="000618B8" w:rsidRPr="00FE3013" w:rsidTr="00B801B0">
        <w:trPr>
          <w:trHeight w:val="291"/>
        </w:trPr>
        <w:tc>
          <w:tcPr>
            <w:tcW w:w="4410" w:type="dxa"/>
            <w:shd w:val="clear" w:color="auto" w:fill="auto"/>
            <w:noWrap/>
            <w:vAlign w:val="bottom"/>
          </w:tcPr>
          <w:p w:rsidR="000618B8" w:rsidRPr="00FE3013" w:rsidRDefault="000618B8" w:rsidP="000618B8">
            <w:pPr>
              <w:spacing w:after="0" w:line="259" w:lineRule="auto"/>
              <w:rPr>
                <w:color w:val="000000"/>
              </w:rPr>
            </w:pPr>
            <w:r w:rsidRPr="00FE3013">
              <w:rPr>
                <w:color w:val="000000"/>
              </w:rPr>
              <w:t>Diğer</w:t>
            </w:r>
          </w:p>
        </w:tc>
        <w:tc>
          <w:tcPr>
            <w:tcW w:w="1984" w:type="dxa"/>
            <w:shd w:val="clear" w:color="auto" w:fill="auto"/>
            <w:noWrap/>
            <w:vAlign w:val="bottom"/>
          </w:tcPr>
          <w:p w:rsidR="000618B8" w:rsidRPr="00FE3013" w:rsidRDefault="000618B8" w:rsidP="000618B8">
            <w:pPr>
              <w:spacing w:after="0" w:line="259" w:lineRule="auto"/>
              <w:jc w:val="right"/>
              <w:rPr>
                <w:color w:val="000000"/>
              </w:rPr>
            </w:pPr>
            <w:r w:rsidRPr="00FE3013">
              <w:rPr>
                <w:color w:val="000000"/>
              </w:rPr>
              <w:t>0,2</w:t>
            </w:r>
          </w:p>
        </w:tc>
        <w:tc>
          <w:tcPr>
            <w:tcW w:w="1418" w:type="dxa"/>
            <w:shd w:val="clear" w:color="auto" w:fill="auto"/>
            <w:noWrap/>
            <w:vAlign w:val="bottom"/>
          </w:tcPr>
          <w:p w:rsidR="000618B8" w:rsidRPr="00FE3013" w:rsidRDefault="000618B8" w:rsidP="000618B8">
            <w:pPr>
              <w:spacing w:after="0" w:line="259" w:lineRule="auto"/>
              <w:jc w:val="right"/>
              <w:rPr>
                <w:color w:val="000000"/>
              </w:rPr>
            </w:pPr>
            <w:r w:rsidRPr="00FE3013">
              <w:rPr>
                <w:color w:val="000000"/>
              </w:rPr>
              <w:t>0,1</w:t>
            </w:r>
          </w:p>
        </w:tc>
        <w:tc>
          <w:tcPr>
            <w:tcW w:w="1275" w:type="dxa"/>
            <w:shd w:val="clear" w:color="auto" w:fill="auto"/>
            <w:noWrap/>
            <w:vAlign w:val="bottom"/>
          </w:tcPr>
          <w:p w:rsidR="000618B8" w:rsidRPr="00FE3013" w:rsidRDefault="000618B8" w:rsidP="000618B8">
            <w:pPr>
              <w:spacing w:after="0" w:line="259" w:lineRule="auto"/>
              <w:jc w:val="right"/>
              <w:rPr>
                <w:color w:val="000000"/>
              </w:rPr>
            </w:pPr>
            <w:r w:rsidRPr="00FE3013">
              <w:rPr>
                <w:color w:val="000000"/>
              </w:rPr>
              <w:t>0,2</w:t>
            </w:r>
          </w:p>
        </w:tc>
      </w:tr>
    </w:tbl>
    <w:p w:rsidR="00DB58F2" w:rsidRDefault="00397214" w:rsidP="003B45A9">
      <w:pPr>
        <w:spacing w:line="240" w:lineRule="auto"/>
      </w:pPr>
      <w:r>
        <w:t>*</w:t>
      </w:r>
      <w:r w:rsidRPr="003B45A9">
        <w:rPr>
          <w:sz w:val="20"/>
        </w:rPr>
        <w:t xml:space="preserve">Bu değişkenlerin işgücünde olan ve olmayan kadınlar için aldıkları değerler arasındaki fark istatistiki olarak anlamlıdır. </w:t>
      </w:r>
    </w:p>
    <w:p w:rsidR="00C77A8B" w:rsidRPr="00C77A8B" w:rsidRDefault="00C77A8B" w:rsidP="0082709E">
      <w:pPr>
        <w:rPr>
          <w:b/>
        </w:rPr>
      </w:pPr>
      <w:r w:rsidRPr="00C77A8B">
        <w:rPr>
          <w:b/>
        </w:rPr>
        <w:t>Özgüven</w:t>
      </w:r>
    </w:p>
    <w:p w:rsidR="00DB58F2" w:rsidRDefault="000618B8" w:rsidP="0082709E">
      <w:r>
        <w:t>Hem işgücünde olan hem de işgücünde olmayan</w:t>
      </w:r>
      <w:r w:rsidRPr="009B6247">
        <w:t xml:space="preserve"> kadınlar çalışmanın en önemli kazanımları arasında özgüven ve maddi özgürlüğü saymaktadır. </w:t>
      </w:r>
      <w:r w:rsidR="009F6B38">
        <w:t>Burada dikkat çeken husus, her iki gruptaki kadınlarda neden çalışıldığına dair en yaygın kanının özgüven olmasıdır.</w:t>
      </w:r>
      <w:r w:rsidR="0023582B">
        <w:t xml:space="preserve"> Kadınların yarısından fazlası çalışan </w:t>
      </w:r>
      <w:r w:rsidR="0023582B">
        <w:lastRenderedPageBreak/>
        <w:t xml:space="preserve">kadınların özgüven için çalıştıklarını söylemektedir. </w:t>
      </w:r>
      <w:r w:rsidR="00545015">
        <w:t>Derinlemesine görüşmelerde kadınlar bunu açıkça ifade etmiştir:</w:t>
      </w:r>
    </w:p>
    <w:p w:rsidR="00BB2780" w:rsidRDefault="00DB58F2" w:rsidP="00FE3013">
      <w:r w:rsidRPr="00DB58F2">
        <w:t xml:space="preserve">“(Çalışınca) bir kadının özgüveni gelişiyor, hayata bakışı. İnsanları tanıyorsunuz” (1 Nisan 2014, üniversite, çalışıyor). </w:t>
      </w:r>
    </w:p>
    <w:p w:rsidR="00DB58F2" w:rsidRDefault="00DB58F2" w:rsidP="00FE3013">
      <w:r w:rsidRPr="0063307F">
        <w:t xml:space="preserve">“Neden, herhalde biraz daha özgüvenleri kendilerinde hissettikleri için diye düşünüyorum. (Çalışmak özgüven sağlıyor mu kadınlara sizce?) </w:t>
      </w:r>
      <w:r w:rsidR="00545015" w:rsidRPr="0063307F">
        <w:t xml:space="preserve">… </w:t>
      </w:r>
      <w:r w:rsidRPr="0063307F">
        <w:t>Şöyle sağlıyor olabilir, eşler arasında eşitlik. Ben çalışmıyorum ama gene eşimden ne kadar olursa olsun bir ayakkabı numarası küçük arkası</w:t>
      </w:r>
      <w:r w:rsidR="0050417A" w:rsidRPr="0063307F">
        <w:t>ndan gitmeyi tercih ediyorum</w:t>
      </w:r>
      <w:r w:rsidRPr="0063307F">
        <w:t>” (18 Nisan 2014, lise, çalışmıyor).</w:t>
      </w:r>
      <w:r w:rsidRPr="009B6247">
        <w:t xml:space="preserve"> </w:t>
      </w:r>
    </w:p>
    <w:p w:rsidR="0023582B" w:rsidRDefault="0023582B" w:rsidP="00FE3013">
      <w:r>
        <w:t xml:space="preserve">Diğer taraftan işgücünde olan her üç kadından ikisi (yüzde 66,1) çalışmanın kendilerine özgüven sağladığını söylerken bu oran işgücünde olmayan kadınlarda yüzde 53,5’e gerilemektedir. </w:t>
      </w:r>
    </w:p>
    <w:p w:rsidR="00C77A8B" w:rsidRPr="00C77A8B" w:rsidRDefault="00C77A8B" w:rsidP="00FE3013">
      <w:pPr>
        <w:rPr>
          <w:b/>
        </w:rPr>
      </w:pPr>
      <w:r w:rsidRPr="00C77A8B">
        <w:rPr>
          <w:b/>
        </w:rPr>
        <w:t>Maddi özgürlük</w:t>
      </w:r>
    </w:p>
    <w:p w:rsidR="00FE3013" w:rsidRDefault="00E83212" w:rsidP="00FE3013">
      <w:r>
        <w:fldChar w:fldCharType="begin"/>
      </w:r>
      <w:r w:rsidR="0023582B">
        <w:instrText xml:space="preserve"> REF _Ref294291911 \h </w:instrText>
      </w:r>
      <w:r>
        <w:fldChar w:fldCharType="separate"/>
      </w:r>
      <w:r w:rsidR="0023582B">
        <w:t xml:space="preserve">Tablo </w:t>
      </w:r>
      <w:r w:rsidR="0023582B" w:rsidRPr="001B7CB6">
        <w:rPr>
          <w:noProof/>
        </w:rPr>
        <w:t>1</w:t>
      </w:r>
      <w:r>
        <w:fldChar w:fldCharType="end"/>
      </w:r>
      <w:r w:rsidR="0023582B">
        <w:t>'deki anket verilerine göre</w:t>
      </w:r>
      <w:r w:rsidR="000618B8">
        <w:t xml:space="preserve"> kadınların yarısından fazlası kadınların maddi özgürlükleri için çalıştıklarını dile getirmektedir. İşgücünde olan kadınların yüzde 56,8’i, işgücüne olmayan kadınların yüzde 50,1’i maddi ö</w:t>
      </w:r>
      <w:r w:rsidR="005371CF">
        <w:t>zgürlüğü ön</w:t>
      </w:r>
      <w:r w:rsidR="009541E3">
        <w:t xml:space="preserve"> </w:t>
      </w:r>
      <w:r w:rsidR="005371CF">
        <w:t>plana çıkarmaktadır. Ayrıca derinlemesine görüşmeler ve odak grup görüşmelerinde maddi özgürlüğün işgücünde olan olmayan tüm kadınlar için önemi çok güçlü bir şekilde ortaya çıkmıştır. Niteliksel saha verilerinden, çalışmayan kadınların çalışmamakla feragat ettikleri en önemli şeyin maddi özgürlük olduğu</w:t>
      </w:r>
      <w:r w:rsidR="009541E3">
        <w:t>nu düşündükleri</w:t>
      </w:r>
      <w:r w:rsidR="005371CF">
        <w:t xml:space="preserve"> anlaşılmaktadır. </w:t>
      </w:r>
    </w:p>
    <w:p w:rsidR="00FE3013" w:rsidRPr="00DB58F2" w:rsidRDefault="00FE3013" w:rsidP="00FE3013">
      <w:r w:rsidRPr="00DB58F2">
        <w:t>“Ya şimdi ben mesela ben bir şey alacağım eşimin elini bekliyorum değil mi? Bir şey almak istesek eşimize soruyoruz mesela değil mi? Onun fikirlerini almadan bir şey yapamıyoruz” (20 Mart 2014, lise, çalışmıyor).</w:t>
      </w:r>
    </w:p>
    <w:p w:rsidR="00FE3013" w:rsidRPr="00FE3013" w:rsidRDefault="00FE3013" w:rsidP="00FE3013">
      <w:pPr>
        <w:pStyle w:val="TextBody"/>
        <w:spacing w:after="200" w:line="276" w:lineRule="auto"/>
        <w:rPr>
          <w:rFonts w:asciiTheme="minorHAnsi" w:eastAsiaTheme="minorEastAsia" w:hAnsiTheme="minorHAnsi" w:cstheme="minorBidi"/>
          <w:sz w:val="22"/>
          <w:szCs w:val="22"/>
          <w:lang w:val="tr-TR" w:eastAsia="tr-TR" w:bidi="ar-SA"/>
        </w:rPr>
      </w:pPr>
      <w:r w:rsidRPr="00DB58F2">
        <w:rPr>
          <w:rFonts w:asciiTheme="minorHAnsi" w:eastAsiaTheme="minorEastAsia" w:hAnsiTheme="minorHAnsi" w:cstheme="minorBidi"/>
          <w:sz w:val="22"/>
          <w:szCs w:val="22"/>
          <w:lang w:val="tr-TR" w:eastAsia="tr-TR" w:bidi="ar-SA"/>
        </w:rPr>
        <w:t>“Hem maddi özgürlük olarak paranı kazanıyorsun, kendi kazandığın parayı harcamak daha farklı bir şey. Evde çalışmadığın noktada, eşin ya da aileden gelen parayı harcıyor oluyorsun. Bence o bir şey veriyor insana, güven verdiğini düşünüyorum</w:t>
      </w:r>
      <w:r w:rsidR="00BF0B61">
        <w:rPr>
          <w:rFonts w:asciiTheme="minorHAnsi" w:eastAsiaTheme="minorEastAsia" w:hAnsiTheme="minorHAnsi" w:cstheme="minorBidi"/>
          <w:sz w:val="22"/>
          <w:szCs w:val="22"/>
          <w:lang w:val="tr-TR" w:eastAsia="tr-TR" w:bidi="ar-SA"/>
        </w:rPr>
        <w:t>”</w:t>
      </w:r>
      <w:r w:rsidRPr="00DB58F2">
        <w:rPr>
          <w:rFonts w:asciiTheme="minorHAnsi" w:eastAsiaTheme="minorEastAsia" w:hAnsiTheme="minorHAnsi" w:cstheme="minorBidi"/>
          <w:sz w:val="22"/>
          <w:szCs w:val="22"/>
          <w:lang w:val="tr-TR" w:eastAsia="tr-TR" w:bidi="ar-SA"/>
        </w:rPr>
        <w:t xml:space="preserve"> (3 Nisan 2014, üniversite, çalışıyor).</w:t>
      </w:r>
    </w:p>
    <w:p w:rsidR="00380807" w:rsidRPr="00380807" w:rsidRDefault="00380807" w:rsidP="00FE3013">
      <w:pPr>
        <w:rPr>
          <w:b/>
        </w:rPr>
      </w:pPr>
      <w:r w:rsidRPr="00380807">
        <w:rPr>
          <w:b/>
        </w:rPr>
        <w:t>Maddi zorunluluk</w:t>
      </w:r>
    </w:p>
    <w:p w:rsidR="00FE3013" w:rsidRDefault="00BF0B61" w:rsidP="00FE3013">
      <w:r>
        <w:t>Neden çalışıldığına dair üçüncü yaygın kanı maddi zorunluluk gereği çalışıldığıdır</w:t>
      </w:r>
      <w:r w:rsidR="005F332B">
        <w:t xml:space="preserve">. İşgücünde olmayan </w:t>
      </w:r>
      <w:r w:rsidR="00692050">
        <w:t>eğitimli</w:t>
      </w:r>
      <w:r w:rsidR="003A5619">
        <w:t xml:space="preserve"> </w:t>
      </w:r>
      <w:r w:rsidR="005F332B">
        <w:t xml:space="preserve">kadınların yüzde 40’ı kadınların maddi zorunluluk yüzünden çalıştığını söylemekte, işgücünde olan kadınlarda ise bu oran yüzde 35,2’ye gerilemektedir. </w:t>
      </w:r>
      <w:r w:rsidR="000B513D">
        <w:t xml:space="preserve">Bu iki grup arasındaki yüzde 5 puana yakın fark istatistiki olarak anlamlı bir farktır. </w:t>
      </w:r>
    </w:p>
    <w:p w:rsidR="00F05DD6" w:rsidRDefault="0057190A" w:rsidP="00F05DD6">
      <w:r>
        <w:t>Niteliksel saha verileri</w:t>
      </w:r>
      <w:r w:rsidR="00E97C40">
        <w:t>nde</w:t>
      </w:r>
      <w:r w:rsidR="00B801B0">
        <w:t xml:space="preserve"> ise</w:t>
      </w:r>
      <w:r>
        <w:t>, sad</w:t>
      </w:r>
      <w:r w:rsidR="00B44436">
        <w:t>ece işgücünde olmayan kadınlar</w:t>
      </w:r>
      <w:r>
        <w:t xml:space="preserve"> maddi zorunluluğu bir çalışma sebebi olarak öne çık</w:t>
      </w:r>
      <w:r w:rsidR="00B44436">
        <w:t>ar</w:t>
      </w:r>
      <w:r w:rsidR="00E97C40">
        <w:t>maktadır</w:t>
      </w:r>
      <w:r>
        <w:t xml:space="preserve">. </w:t>
      </w:r>
      <w:r w:rsidRPr="009B6247">
        <w:t>Çalışmayan kadınlar arasında çalışan kadınların maddi zorunluluktan çalıştığı algısı yaygındır</w:t>
      </w:r>
      <w:r>
        <w:t>.</w:t>
      </w:r>
      <w:r w:rsidRPr="009B6247">
        <w:t xml:space="preserve"> </w:t>
      </w:r>
      <w:r>
        <w:t>Oysa ç</w:t>
      </w:r>
      <w:r w:rsidR="00FA614A" w:rsidRPr="009B6247">
        <w:t xml:space="preserve">alışmayan kadınların </w:t>
      </w:r>
      <w:r w:rsidR="002A778D" w:rsidRPr="009B6247">
        <w:t xml:space="preserve">iddia ettiğinin </w:t>
      </w:r>
      <w:r w:rsidR="00572B1E">
        <w:t>aksine çalışan kadınlar,</w:t>
      </w:r>
      <w:r w:rsidR="00FA614A" w:rsidRPr="009B6247">
        <w:t xml:space="preserve"> </w:t>
      </w:r>
      <w:r w:rsidR="00A306DE">
        <w:t>çalışma</w:t>
      </w:r>
      <w:r w:rsidR="00061208">
        <w:t xml:space="preserve">nın en önemli sebepleri </w:t>
      </w:r>
      <w:r>
        <w:t>arasında maddi zorunluluğu</w:t>
      </w:r>
      <w:r w:rsidR="00136DED">
        <w:t xml:space="preserve"> saymamaktadır</w:t>
      </w:r>
      <w:r w:rsidR="00FA614A" w:rsidRPr="009B6247">
        <w:t xml:space="preserve">. </w:t>
      </w:r>
      <w:r w:rsidR="0059695C">
        <w:t xml:space="preserve">Kadınların azımsanmayacak bir kısmı düşük ücretler karşılığında bile çalışmaya devam edeceklerini beyan etmektedir. </w:t>
      </w:r>
    </w:p>
    <w:p w:rsidR="00F05DD6" w:rsidRDefault="00F05DD6" w:rsidP="00F05DD6">
      <w:r w:rsidRPr="00DB58F2">
        <w:t xml:space="preserve">“Hani bayağı ücreti çok düşük bile olmuş olsa, atıyorum çok az bile almış olsaydım hani kalırdım, kalırım” (16 Nisan 2014, lise, çalışıyor). </w:t>
      </w:r>
    </w:p>
    <w:p w:rsidR="00C5601E" w:rsidRPr="009B6247" w:rsidRDefault="000B513D" w:rsidP="00FE3013">
      <w:r>
        <w:lastRenderedPageBreak/>
        <w:t xml:space="preserve">Niteliksel veriden elde edilen ve </w:t>
      </w:r>
      <w:r w:rsidR="00CE2E91">
        <w:t>altı çizilmesi gereken bir</w:t>
      </w:r>
      <w:r w:rsidR="00DD0700">
        <w:t xml:space="preserve"> </w:t>
      </w:r>
      <w:r w:rsidR="00CE2E91">
        <w:t>çarpıcı bulgu da</w:t>
      </w:r>
      <w:r w:rsidR="0057190A">
        <w:t xml:space="preserve"> ç</w:t>
      </w:r>
      <w:r w:rsidR="00FA614A" w:rsidRPr="009B6247">
        <w:t xml:space="preserve">alışan kadınlar </w:t>
      </w:r>
      <w:r w:rsidR="00236018" w:rsidRPr="009B6247">
        <w:t>ihtiyaçları olmasa da çalışm</w:t>
      </w:r>
      <w:r w:rsidR="0057190A">
        <w:t>aya devam edeceklerini belirtmesi</w:t>
      </w:r>
      <w:r w:rsidR="00236018" w:rsidRPr="009B6247">
        <w:t>dir.</w:t>
      </w:r>
      <w:r w:rsidR="00953604">
        <w:t xml:space="preserve"> Bu doğrultuda kadınlara Milli Piyango kendilerine çıktığı takdirde çalışmaya devam edip etmeyecekleri sorulmuştur. </w:t>
      </w:r>
      <w:r w:rsidR="00236018" w:rsidRPr="009B6247">
        <w:t xml:space="preserve"> </w:t>
      </w:r>
    </w:p>
    <w:p w:rsidR="00EB42CF" w:rsidRPr="00DB58F2" w:rsidRDefault="00EB42CF" w:rsidP="00FE3013">
      <w:r w:rsidRPr="00DB58F2">
        <w:t>“Ederim. Ama önce bir ev alırım, bir ya da iki tane ev alırım. Kalırsa bankaya koyarım, sonra da çalışmaya devam ederim.(…) Çünkü çalışmak güzel bir şey. Bir de şeyi düşünerek çalışmak daha güzel bir şey. İhtiyacın olmadığını bilerek çalışmak ayrı bir rahatlık” (17 Haziran 2014, üniversite, çalışıyor).</w:t>
      </w:r>
    </w:p>
    <w:p w:rsidR="00EB42CF" w:rsidRPr="00DB58F2" w:rsidRDefault="00953604" w:rsidP="00FE3013">
      <w:r>
        <w:t>“</w:t>
      </w:r>
      <w:r w:rsidR="00EB42CF" w:rsidRPr="00DB58F2">
        <w:t>Bırakmam</w:t>
      </w:r>
      <w:r w:rsidR="00EC7F3F">
        <w:t>, bırakmam. Babam bana sorardı:</w:t>
      </w:r>
      <w:r w:rsidR="004E6326">
        <w:t xml:space="preserve"> </w:t>
      </w:r>
      <w:r w:rsidR="00EC7F3F">
        <w:t>"P</w:t>
      </w:r>
      <w:r w:rsidR="00EB42CF" w:rsidRPr="00DB58F2">
        <w:t>iyango çıksa avukatlığı bırakır mısın</w:t>
      </w:r>
      <w:r w:rsidR="00EC7F3F">
        <w:t>?",</w:t>
      </w:r>
      <w:r w:rsidR="00EB42CF" w:rsidRPr="00DB58F2">
        <w:t xml:space="preserve"> </w:t>
      </w:r>
      <w:r w:rsidR="00EC7F3F">
        <w:t>"H</w:t>
      </w:r>
      <w:r w:rsidR="00EB42CF" w:rsidRPr="00DB58F2">
        <w:t>ayır ama daha lüks ofisim olur</w:t>
      </w:r>
      <w:r w:rsidR="00EC7F3F">
        <w:t>"</w:t>
      </w:r>
      <w:r w:rsidR="00EB42CF" w:rsidRPr="00DB58F2">
        <w:t xml:space="preserve"> diyordum. Yani ben gene işimin başında olmak isterim. İşime yatırım yaparım o zaman” (2 Mayıs 2014, üniversite, çalışıyor). </w:t>
      </w:r>
    </w:p>
    <w:p w:rsidR="007271D4" w:rsidRDefault="007271D4" w:rsidP="007271D4">
      <w:pPr>
        <w:rPr>
          <w:b/>
        </w:rPr>
      </w:pPr>
      <w:r w:rsidRPr="002729CA">
        <w:rPr>
          <w:b/>
        </w:rPr>
        <w:t xml:space="preserve">Diğer nedenler </w:t>
      </w:r>
    </w:p>
    <w:p w:rsidR="00BE33B4" w:rsidRDefault="00BE33B4" w:rsidP="00FE3013">
      <w:r>
        <w:t xml:space="preserve">Neden çalışıldığına dair algılar içerisinde kendi isteklerini karşılayabilmek, para biriktirmek ve çocukların eğitimi gibi çalışmanın sadece maddi </w:t>
      </w:r>
      <w:r w:rsidR="00564491">
        <w:t xml:space="preserve">boyutuna işaret eden algılar </w:t>
      </w:r>
      <w:r>
        <w:t xml:space="preserve">yaklaşık her beş kadından biri tarafından dile getirilmektedir. </w:t>
      </w:r>
      <w:r w:rsidR="00C57041">
        <w:t xml:space="preserve">Buna karşın ankete katılan kadınların yüzde 17,8'i kadınların çalışmayı sevdikleri için çalıştıklarını düşünmektedir. Derinlemesine görüşmelerde ve odak grup çalışmalarında kadınların çalışmayı sevdikleri için çalıştıkları da belirtilmektedir. </w:t>
      </w:r>
    </w:p>
    <w:p w:rsidR="00EB42CF" w:rsidRPr="00DB58F2" w:rsidRDefault="00BE33B4" w:rsidP="00FE3013">
      <w:pPr>
        <w:pStyle w:val="TextBody"/>
        <w:spacing w:after="200" w:line="276" w:lineRule="auto"/>
        <w:rPr>
          <w:rFonts w:asciiTheme="minorHAnsi" w:eastAsiaTheme="minorEastAsia" w:hAnsiTheme="minorHAnsi" w:cstheme="minorBidi"/>
          <w:sz w:val="22"/>
          <w:szCs w:val="22"/>
          <w:lang w:val="tr-TR" w:eastAsia="tr-TR" w:bidi="ar-SA"/>
        </w:rPr>
      </w:pPr>
      <w:r w:rsidRPr="00DB58F2">
        <w:rPr>
          <w:rFonts w:asciiTheme="minorHAnsi" w:eastAsiaTheme="minorEastAsia" w:hAnsiTheme="minorHAnsi" w:cstheme="minorBidi"/>
          <w:sz w:val="22"/>
          <w:szCs w:val="22"/>
          <w:lang w:val="tr-TR" w:eastAsia="tr-TR" w:bidi="ar-SA"/>
        </w:rPr>
        <w:t xml:space="preserve"> </w:t>
      </w:r>
      <w:r w:rsidR="00EB42CF" w:rsidRPr="00DB58F2">
        <w:rPr>
          <w:rFonts w:asciiTheme="minorHAnsi" w:eastAsiaTheme="minorEastAsia" w:hAnsiTheme="minorHAnsi" w:cstheme="minorBidi"/>
          <w:sz w:val="22"/>
          <w:szCs w:val="22"/>
          <w:lang w:val="tr-TR" w:eastAsia="tr-TR" w:bidi="ar-SA"/>
        </w:rPr>
        <w:t xml:space="preserve">“Yani ben çalıştığımda hayatım hep daha iyi oldu. Çünkü ben çalışarak mutlu olan bir insanım. </w:t>
      </w:r>
      <w:r w:rsidR="006E55A4">
        <w:rPr>
          <w:rFonts w:asciiTheme="minorHAnsi" w:eastAsiaTheme="minorEastAsia" w:hAnsiTheme="minorHAnsi" w:cstheme="minorBidi"/>
          <w:sz w:val="22"/>
          <w:szCs w:val="22"/>
          <w:lang w:val="tr-TR" w:eastAsia="tr-TR" w:bidi="ar-SA"/>
        </w:rPr>
        <w:t xml:space="preserve">(...) </w:t>
      </w:r>
      <w:r w:rsidR="00EB42CF" w:rsidRPr="00DB58F2">
        <w:rPr>
          <w:rFonts w:asciiTheme="minorHAnsi" w:eastAsiaTheme="minorEastAsia" w:hAnsiTheme="minorHAnsi" w:cstheme="minorBidi"/>
          <w:sz w:val="22"/>
          <w:szCs w:val="22"/>
          <w:lang w:val="tr-TR" w:eastAsia="tr-TR" w:bidi="ar-SA"/>
        </w:rPr>
        <w:t>Evde durmak, ev yaşantısı aslında bana bir şey katmıyor yani... Evet. Ben çalışmayı seviyorum. Ben eğer bir şeylerle uğraşmazsam, bir şeyler yapmazsam, üretmezsem mutlu olamı</w:t>
      </w:r>
      <w:r w:rsidR="00D63638">
        <w:rPr>
          <w:rFonts w:asciiTheme="minorHAnsi" w:eastAsiaTheme="minorEastAsia" w:hAnsiTheme="minorHAnsi" w:cstheme="minorBidi"/>
          <w:sz w:val="22"/>
          <w:szCs w:val="22"/>
          <w:lang w:val="tr-TR" w:eastAsia="tr-TR" w:bidi="ar-SA"/>
        </w:rPr>
        <w:t>yorum bir kere</w:t>
      </w:r>
      <w:r w:rsidR="00EB42CF" w:rsidRPr="00DB58F2">
        <w:rPr>
          <w:rFonts w:asciiTheme="minorHAnsi" w:eastAsiaTheme="minorEastAsia" w:hAnsiTheme="minorHAnsi" w:cstheme="minorBidi"/>
          <w:sz w:val="22"/>
          <w:szCs w:val="22"/>
          <w:lang w:val="tr-TR" w:eastAsia="tr-TR" w:bidi="ar-SA"/>
        </w:rPr>
        <w:t>” (20 Mart 2014, lise, çalışmıyor).</w:t>
      </w:r>
    </w:p>
    <w:p w:rsidR="00EB42CF" w:rsidRPr="009B6247" w:rsidRDefault="00EB42CF" w:rsidP="00FE3013">
      <w:r w:rsidRPr="00DB58F2">
        <w:t xml:space="preserve">“Ev işi yapma ihtiyacı hissettim devamlı. Bir işe yaramak için, bir rol yerine getirme ihtiyacı hissettim. Üretmek istedim bir şeyler, oturdum tatlı yaptım falan... Şu anda da mesela bir buçuk aydır işsizken aynı şey oluyor aslında. Bir işe yaramadığımı hissediyorum” </w:t>
      </w:r>
      <w:r w:rsidRPr="009B6247">
        <w:t xml:space="preserve">(7 Mart 2014, üniversite, iş arıyor). </w:t>
      </w:r>
    </w:p>
    <w:p w:rsidR="00EB42CF" w:rsidRDefault="00EB42CF" w:rsidP="00FE3013">
      <w:r w:rsidRPr="009B6247">
        <w:t>“</w:t>
      </w:r>
      <w:r w:rsidR="00F944A0">
        <w:t>(...)</w:t>
      </w:r>
      <w:r w:rsidRPr="00DB58F2">
        <w:t xml:space="preserve"> evde olduğum süreci çok iyi geçirdiğimi düşünmüyorum. (…) Daha mutsuz oldum. Bir can sıkıntısı haline, bir hedef olmama,</w:t>
      </w:r>
      <w:r w:rsidR="00C57041" w:rsidRPr="00C57041">
        <w:t xml:space="preserve"> önünde yapacak bir şeyin olmaması; çalışmak biraz daha anlamlı kılıyor bence. Her sabah kalkıp yapacak bir şeyinin olması, gidecek bir yerin olması… Sadece maddi olarak değil manevi anlamda da bir tatmin olduğunu düşünüyorum. Gerçekten kendi adına yaptığın bir şey ve her halükarda ne iş yaparsak yapalım bir işe yarıyoruz orada, bir yere dokunuyoruz yani. Bir şeyleri değiştiriyor oluyoruz. Onun da verdiği bir kişisel bir tatmin olduğunu düşünüyorum devam etmenin” (3 Nisan 2014, üniversite, çalışıyor).</w:t>
      </w:r>
    </w:p>
    <w:p w:rsidR="004771D2" w:rsidRDefault="00C57041" w:rsidP="00FE3013">
      <w:r>
        <w:t xml:space="preserve">Hem anket verileri hem de niteliksel veriler kadınların çalışmanın bireyleri daha sosyal kıldığını düşündüklerini ortaya koymaktadır. Sosyalleşmek çalışmanın getirdiği bir avantaj olarak dile getirilmiştir. Anket verilerine göre kadınların yüzde 16,8'i çalışanların sosyalleşmek için çalıştığını söylemiştir. Derinlemesine görüşmelerde de benzer bulgulara rastlanmıştır. </w:t>
      </w:r>
    </w:p>
    <w:p w:rsidR="004771D2" w:rsidRDefault="004771D2" w:rsidP="00FE3013">
      <w:r>
        <w:t>"</w:t>
      </w:r>
      <w:r w:rsidRPr="004771D2">
        <w:t xml:space="preserve">Bir de hani herkesin bence oturup bir düşünmesi lazım niçin çalışıyorum? Kendimi geliştirmek için, sosyalleşmek için, </w:t>
      </w:r>
      <w:r>
        <w:t xml:space="preserve">para için, takdir edilmek için" (11 Aralık 2013, </w:t>
      </w:r>
      <w:r w:rsidR="00465571">
        <w:t xml:space="preserve">üniversite, </w:t>
      </w:r>
      <w:r w:rsidR="00EE15C8">
        <w:t>çalışmıyor</w:t>
      </w:r>
      <w:r>
        <w:t>).</w:t>
      </w:r>
    </w:p>
    <w:p w:rsidR="00A14D3B" w:rsidRDefault="004771D2" w:rsidP="00FE3013">
      <w:r>
        <w:t>"</w:t>
      </w:r>
      <w:r w:rsidRPr="004771D2">
        <w:t xml:space="preserve">Çalışmak gerekiyor galiba, sürekli çalışmak gerekiyor diye düşünüyorum. Belki psikolojik olarak da bir mecburiyet. Bir de şey, dediğin çok doğru sosyalleşmemiz de gerekiyor, dışarıda başka bir hayat </w:t>
      </w:r>
      <w:r w:rsidRPr="004771D2">
        <w:lastRenderedPageBreak/>
        <w:t xml:space="preserve">var </w:t>
      </w:r>
      <w:r>
        <w:t xml:space="preserve">ve o hayata dahil olmalıyız da" (13 Mayıs 2014, </w:t>
      </w:r>
      <w:r w:rsidR="002A43A5">
        <w:t xml:space="preserve">üniversite, çalışıyor, </w:t>
      </w:r>
      <w:r>
        <w:t>odak grup görüşmesi, İstanbul)</w:t>
      </w:r>
      <w:r w:rsidR="00A14D3B">
        <w:t>.</w:t>
      </w:r>
    </w:p>
    <w:p w:rsidR="00EB42CF" w:rsidRDefault="00A14D3B" w:rsidP="00FE3013">
      <w:r>
        <w:t>"İnsanın birçok yönden sosyalleşmesi, kendini geliştirmesi, bir üretken olmasıdır yani iş hayatı" (23 Ocak 2014, üniversite mezunu, çalışmıyor)</w:t>
      </w:r>
      <w:r w:rsidR="00E76D9B">
        <w:t>.</w:t>
      </w:r>
      <w:r w:rsidR="00C57041">
        <w:t xml:space="preserve"> </w:t>
      </w:r>
    </w:p>
    <w:p w:rsidR="000F0921" w:rsidRPr="004571B4" w:rsidRDefault="004571B4" w:rsidP="00FE3013">
      <w:pPr>
        <w:rPr>
          <w:b/>
        </w:rPr>
      </w:pPr>
      <w:r w:rsidRPr="004571B4">
        <w:rPr>
          <w:b/>
        </w:rPr>
        <w:t>Sonuç</w:t>
      </w:r>
    </w:p>
    <w:p w:rsidR="004571B4" w:rsidRDefault="004571B4" w:rsidP="00FE3013">
      <w:r>
        <w:t xml:space="preserve">Türkiye'de kadın işgücüne katılım oranlarının düşüklüğü politika yapıcılar için önemli bir sorun arz etmektedir. Bu konuda şimdiye kadar geliştirilen politikalar kadınların işgücü piyasasındaki görece durumlarının düzeltilmesine yöneliktir. Ancak veriler bu politikaların kadın katılımını artırmak için gerekli ama yetersiz olduğunu ortaya koymaktadır. Zira kadın işgücüne katılım oranlarında çarpıcı bir sıçrama gözlemlenmemektedir. Bu araştırma notunda ele alınan veriler, farklı politika önerilerine zemin sağlamaktadır. </w:t>
      </w:r>
      <w:r w:rsidR="00CF2D54">
        <w:t>İ</w:t>
      </w:r>
      <w:r>
        <w:t>şgücünde olan ve olmayan kadınlar çalışmanın kadınlara hem özgüven hem de maddi özgürlük sağladığı</w:t>
      </w:r>
      <w:r w:rsidR="009D73D4">
        <w:t>na inanmaktadır</w:t>
      </w:r>
      <w:r>
        <w:t xml:space="preserve">. </w:t>
      </w:r>
      <w:r w:rsidR="00D72556">
        <w:t xml:space="preserve">Bir diğer önemli bulgu da, yaygın kanının aksine, kadınların sadece maddi zorunluluktan çalışmadığıdır. </w:t>
      </w:r>
      <w:r>
        <w:t>Bu bulgu</w:t>
      </w:r>
      <w:r w:rsidR="00976171">
        <w:t>lar</w:t>
      </w:r>
      <w:r>
        <w:t xml:space="preserve">dan hareketle </w:t>
      </w:r>
      <w:r w:rsidR="00291CA5">
        <w:t xml:space="preserve">farkındalık artırmaya yönelik politikalar </w:t>
      </w:r>
      <w:r w:rsidR="00D24480">
        <w:t>düzenlenebilir. Söz</w:t>
      </w:r>
      <w:r w:rsidR="007E0086">
        <w:t xml:space="preserve"> </w:t>
      </w:r>
      <w:r w:rsidR="00D24480">
        <w:t xml:space="preserve">konusu politikalar </w:t>
      </w:r>
      <w:r w:rsidR="00291CA5">
        <w:t xml:space="preserve">çalışmanın değerini özgüven ve maddi özgürlük </w:t>
      </w:r>
      <w:r w:rsidR="004F7E4A">
        <w:t>açısından</w:t>
      </w:r>
      <w:r w:rsidR="00291CA5">
        <w:t xml:space="preserve"> vurgulayabilir.</w:t>
      </w:r>
      <w:r w:rsidR="009D73D4">
        <w:t xml:space="preserve"> Böylelikle </w:t>
      </w:r>
      <w:r w:rsidR="00926280">
        <w:t xml:space="preserve">çalışmak kadınlar açısından daha cazip hale getirilerek, </w:t>
      </w:r>
      <w:r w:rsidR="009D73D4">
        <w:t xml:space="preserve">kadınların işgücüne bağlılıkları </w:t>
      </w:r>
      <w:r w:rsidR="00926280">
        <w:t>bu</w:t>
      </w:r>
      <w:r w:rsidR="009D73D4">
        <w:t xml:space="preserve"> unsurlar üzerinden kuvvetlendirilebilir. </w:t>
      </w:r>
    </w:p>
    <w:p w:rsidR="00D72556" w:rsidRPr="009B6247" w:rsidRDefault="00D72556"/>
    <w:sectPr w:rsidR="00D72556" w:rsidRPr="009B6247" w:rsidSect="009E4FB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696" w:rsidRDefault="00947696" w:rsidP="006F1F55">
      <w:pPr>
        <w:spacing w:after="0" w:line="240" w:lineRule="auto"/>
      </w:pPr>
      <w:r>
        <w:separator/>
      </w:r>
    </w:p>
  </w:endnote>
  <w:endnote w:type="continuationSeparator" w:id="0">
    <w:p w:rsidR="00947696" w:rsidRDefault="00947696" w:rsidP="006F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1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16620"/>
      <w:docPartObj>
        <w:docPartGallery w:val="Page Numbers (Bottom of Page)"/>
        <w:docPartUnique/>
      </w:docPartObj>
    </w:sdtPr>
    <w:sdtEndPr/>
    <w:sdtContent>
      <w:p w:rsidR="00B25AAA" w:rsidRDefault="00E83212">
        <w:pPr>
          <w:pStyle w:val="Footer"/>
          <w:jc w:val="right"/>
        </w:pPr>
        <w:r>
          <w:fldChar w:fldCharType="begin"/>
        </w:r>
        <w:r w:rsidR="00B25AAA">
          <w:instrText xml:space="preserve"> PAGE   \* MERGEFORMAT </w:instrText>
        </w:r>
        <w:r>
          <w:fldChar w:fldCharType="separate"/>
        </w:r>
        <w:r w:rsidR="009920E0">
          <w:rPr>
            <w:noProof/>
          </w:rPr>
          <w:t>6</w:t>
        </w:r>
        <w:r>
          <w:rPr>
            <w:noProof/>
          </w:rPr>
          <w:fldChar w:fldCharType="end"/>
        </w:r>
      </w:p>
    </w:sdtContent>
  </w:sdt>
  <w:p w:rsidR="00B25AAA" w:rsidRDefault="00B25A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696" w:rsidRDefault="00947696" w:rsidP="006F1F55">
      <w:pPr>
        <w:spacing w:after="0" w:line="240" w:lineRule="auto"/>
      </w:pPr>
      <w:r>
        <w:separator/>
      </w:r>
    </w:p>
  </w:footnote>
  <w:footnote w:type="continuationSeparator" w:id="0">
    <w:p w:rsidR="00947696" w:rsidRDefault="00947696" w:rsidP="006F1F55">
      <w:pPr>
        <w:spacing w:after="0" w:line="240" w:lineRule="auto"/>
      </w:pPr>
      <w:r>
        <w:continuationSeparator/>
      </w:r>
    </w:p>
  </w:footnote>
  <w:footnote w:id="1">
    <w:p w:rsidR="00B25AAA" w:rsidRDefault="00B25AAA">
      <w:pPr>
        <w:pStyle w:val="FootnoteText"/>
      </w:pPr>
      <w:r w:rsidRPr="00635F17">
        <w:rPr>
          <w:rStyle w:val="FootnoteReference"/>
        </w:rPr>
        <w:sym w:font="Symbol" w:char="F02A"/>
      </w:r>
      <w:r>
        <w:t xml:space="preserve"> </w:t>
      </w:r>
      <w:r w:rsidRPr="00AB1644">
        <w:rPr>
          <w:sz w:val="18"/>
          <w:szCs w:val="18"/>
        </w:rPr>
        <w:t>Yrd. Doç. Dr. Hande Paker,</w:t>
      </w:r>
      <w:r>
        <w:t xml:space="preserve"> </w:t>
      </w:r>
      <w:r w:rsidR="00D57976">
        <w:rPr>
          <w:rFonts w:ascii="ArialMT" w:eastAsiaTheme="minorHAnsi" w:hAnsi="ArialMT" w:cs="ArialMT"/>
          <w:sz w:val="16"/>
          <w:szCs w:val="16"/>
          <w:lang w:eastAsia="en-US"/>
        </w:rPr>
        <w:t xml:space="preserve"> Bahçeşehir Üniversitesi İİSBF Öğretim Üyesi, hande.paker@eas.bahcesehir.edu.tr</w:t>
      </w:r>
    </w:p>
  </w:footnote>
  <w:footnote w:id="2">
    <w:p w:rsidR="00B25AAA" w:rsidRDefault="00B25AAA">
      <w:pPr>
        <w:pStyle w:val="FootnoteText"/>
      </w:pPr>
      <w:r w:rsidRPr="00635F17">
        <w:rPr>
          <w:rStyle w:val="FootnoteReference"/>
        </w:rPr>
        <w:sym w:font="Symbol" w:char="F02A"/>
      </w:r>
      <w:r w:rsidRPr="00635F17">
        <w:rPr>
          <w:rStyle w:val="FootnoteReference"/>
        </w:rPr>
        <w:sym w:font="Symbol" w:char="F02A"/>
      </w:r>
      <w:r>
        <w:t xml:space="preserve"> </w:t>
      </w:r>
      <w:r w:rsidRPr="00AB1644">
        <w:rPr>
          <w:sz w:val="18"/>
          <w:szCs w:val="18"/>
        </w:rPr>
        <w:t>Yrd. Doç. Dr. Gökçe Uysal,</w:t>
      </w:r>
      <w:r>
        <w:t xml:space="preserve"> </w:t>
      </w:r>
      <w:r w:rsidR="003B74A4">
        <w:rPr>
          <w:rFonts w:ascii="ArialMT" w:eastAsiaTheme="minorHAnsi" w:hAnsi="ArialMT" w:cs="ArialMT"/>
          <w:sz w:val="16"/>
          <w:szCs w:val="16"/>
          <w:lang w:eastAsia="en-US"/>
        </w:rPr>
        <w:t>Betam, Direktör Yardımcısı, gokce.uysal@</w:t>
      </w:r>
      <w:r w:rsidR="002326B1">
        <w:rPr>
          <w:rFonts w:ascii="ArialMT" w:eastAsiaTheme="minorHAnsi" w:hAnsi="ArialMT" w:cs="ArialMT"/>
          <w:sz w:val="16"/>
          <w:szCs w:val="16"/>
          <w:lang w:eastAsia="en-US"/>
        </w:rPr>
        <w:t>eas.</w:t>
      </w:r>
      <w:r w:rsidR="003B74A4">
        <w:rPr>
          <w:rFonts w:ascii="ArialMT" w:eastAsiaTheme="minorHAnsi" w:hAnsi="ArialMT" w:cs="ArialMT"/>
          <w:sz w:val="16"/>
          <w:szCs w:val="16"/>
          <w:lang w:eastAsia="en-US"/>
        </w:rPr>
        <w:t>bahcesehir.edu.tr</w:t>
      </w:r>
    </w:p>
  </w:footnote>
  <w:footnote w:id="3">
    <w:p w:rsidR="00B25AAA" w:rsidRDefault="00B25AAA">
      <w:pPr>
        <w:pStyle w:val="FootnoteText"/>
      </w:pPr>
      <w:r w:rsidRPr="00635F17">
        <w:rPr>
          <w:rStyle w:val="FootnoteReference"/>
        </w:rPr>
        <w:sym w:font="Symbol" w:char="F02A"/>
      </w:r>
      <w:r w:rsidRPr="00635F17">
        <w:rPr>
          <w:rStyle w:val="FootnoteReference"/>
        </w:rPr>
        <w:sym w:font="Symbol" w:char="F02A"/>
      </w:r>
      <w:r w:rsidRPr="00635F17">
        <w:rPr>
          <w:rStyle w:val="FootnoteReference"/>
        </w:rPr>
        <w:sym w:font="Symbol" w:char="F02A"/>
      </w:r>
      <w:r>
        <w:t xml:space="preserve"> </w:t>
      </w:r>
      <w:r w:rsidRPr="00AB1644">
        <w:rPr>
          <w:sz w:val="18"/>
          <w:szCs w:val="18"/>
        </w:rPr>
        <w:t>Melike Kökkızıl,</w:t>
      </w:r>
      <w:r>
        <w:t xml:space="preserve"> </w:t>
      </w:r>
      <w:r w:rsidR="003B74A4">
        <w:t xml:space="preserve"> </w:t>
      </w:r>
      <w:r w:rsidR="002326B1">
        <w:rPr>
          <w:rFonts w:ascii="Arial" w:hAnsi="Arial" w:cs="Arial"/>
          <w:sz w:val="16"/>
          <w:szCs w:val="16"/>
        </w:rPr>
        <w:t>Betam, Araştırma Görevlisi, melike.kokkizil@eas.bahcesehir.edu.tr</w:t>
      </w:r>
    </w:p>
  </w:footnote>
  <w:footnote w:id="4">
    <w:p w:rsidR="00B25AAA" w:rsidRPr="006D174E" w:rsidRDefault="00B25AAA">
      <w:pPr>
        <w:pStyle w:val="FootnoteText"/>
        <w:rPr>
          <w:sz w:val="18"/>
          <w:szCs w:val="18"/>
        </w:rPr>
      </w:pPr>
      <w:r w:rsidRPr="006D174E">
        <w:rPr>
          <w:rStyle w:val="FootnoteReference"/>
        </w:rPr>
        <w:footnoteRef/>
      </w:r>
      <w:r w:rsidRPr="006D174E">
        <w:rPr>
          <w:sz w:val="18"/>
          <w:szCs w:val="18"/>
        </w:rPr>
        <w:t xml:space="preserve"> T</w:t>
      </w:r>
      <w:r>
        <w:rPr>
          <w:sz w:val="18"/>
          <w:szCs w:val="18"/>
        </w:rPr>
        <w:t>ÜBİTAK tarafından desteklenen</w:t>
      </w:r>
      <w:r w:rsidRPr="006D174E">
        <w:rPr>
          <w:sz w:val="18"/>
          <w:szCs w:val="18"/>
        </w:rPr>
        <w:t xml:space="preserve"> </w:t>
      </w:r>
      <w:r w:rsidR="0050417A">
        <w:rPr>
          <w:sz w:val="18"/>
          <w:szCs w:val="18"/>
        </w:rPr>
        <w:t xml:space="preserve">113K365 numaralı </w:t>
      </w:r>
      <w:r w:rsidRPr="006D174E">
        <w:rPr>
          <w:sz w:val="18"/>
          <w:szCs w:val="18"/>
        </w:rPr>
        <w:t xml:space="preserve">projede bursiyer olarak </w:t>
      </w:r>
      <w:r>
        <w:rPr>
          <w:sz w:val="18"/>
          <w:szCs w:val="18"/>
        </w:rPr>
        <w:t>çalışan</w:t>
      </w:r>
      <w:r w:rsidRPr="006D174E">
        <w:rPr>
          <w:sz w:val="18"/>
          <w:szCs w:val="18"/>
        </w:rPr>
        <w:t xml:space="preserve"> Yasemin Cansuz'a da çalışmalarından ötürü teşekkür ederiz.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036"/>
    <w:rsid w:val="00000409"/>
    <w:rsid w:val="00001354"/>
    <w:rsid w:val="00005C13"/>
    <w:rsid w:val="00012BAE"/>
    <w:rsid w:val="0001527C"/>
    <w:rsid w:val="00041FE2"/>
    <w:rsid w:val="00047508"/>
    <w:rsid w:val="00053CC5"/>
    <w:rsid w:val="000547E3"/>
    <w:rsid w:val="00056C33"/>
    <w:rsid w:val="00056CFB"/>
    <w:rsid w:val="000603CC"/>
    <w:rsid w:val="00061208"/>
    <w:rsid w:val="000618B8"/>
    <w:rsid w:val="00067415"/>
    <w:rsid w:val="00074812"/>
    <w:rsid w:val="0007724A"/>
    <w:rsid w:val="00085D33"/>
    <w:rsid w:val="00092C70"/>
    <w:rsid w:val="00092FCE"/>
    <w:rsid w:val="000A3F10"/>
    <w:rsid w:val="000A4BD7"/>
    <w:rsid w:val="000B42B0"/>
    <w:rsid w:val="000B513D"/>
    <w:rsid w:val="000C717E"/>
    <w:rsid w:val="000C798C"/>
    <w:rsid w:val="000D7C5B"/>
    <w:rsid w:val="000F0921"/>
    <w:rsid w:val="000F3898"/>
    <w:rsid w:val="00101E9A"/>
    <w:rsid w:val="001351F8"/>
    <w:rsid w:val="001368E2"/>
    <w:rsid w:val="00136DED"/>
    <w:rsid w:val="00144145"/>
    <w:rsid w:val="00146700"/>
    <w:rsid w:val="00151B4E"/>
    <w:rsid w:val="00165B97"/>
    <w:rsid w:val="00166695"/>
    <w:rsid w:val="00175498"/>
    <w:rsid w:val="001866DE"/>
    <w:rsid w:val="0019166C"/>
    <w:rsid w:val="001A3164"/>
    <w:rsid w:val="001B4ECB"/>
    <w:rsid w:val="001B7CB6"/>
    <w:rsid w:val="001B7DBC"/>
    <w:rsid w:val="001B7E42"/>
    <w:rsid w:val="001C2381"/>
    <w:rsid w:val="001D01F8"/>
    <w:rsid w:val="001D0B58"/>
    <w:rsid w:val="001E01AE"/>
    <w:rsid w:val="001E1CD8"/>
    <w:rsid w:val="001F66CF"/>
    <w:rsid w:val="00216DEB"/>
    <w:rsid w:val="00223B2D"/>
    <w:rsid w:val="00224693"/>
    <w:rsid w:val="00231CB6"/>
    <w:rsid w:val="002326B1"/>
    <w:rsid w:val="0023582B"/>
    <w:rsid w:val="00236018"/>
    <w:rsid w:val="00244FF9"/>
    <w:rsid w:val="00261C42"/>
    <w:rsid w:val="00263357"/>
    <w:rsid w:val="00267576"/>
    <w:rsid w:val="002729CA"/>
    <w:rsid w:val="002748AF"/>
    <w:rsid w:val="00286E36"/>
    <w:rsid w:val="00291CA5"/>
    <w:rsid w:val="002A43A5"/>
    <w:rsid w:val="002A778D"/>
    <w:rsid w:val="002B50DF"/>
    <w:rsid w:val="002B7807"/>
    <w:rsid w:val="002C31A2"/>
    <w:rsid w:val="002D282F"/>
    <w:rsid w:val="002D5B89"/>
    <w:rsid w:val="002D7157"/>
    <w:rsid w:val="002E0DF1"/>
    <w:rsid w:val="002E127F"/>
    <w:rsid w:val="00303E19"/>
    <w:rsid w:val="00304176"/>
    <w:rsid w:val="0031470C"/>
    <w:rsid w:val="0031773B"/>
    <w:rsid w:val="0032321B"/>
    <w:rsid w:val="00324D02"/>
    <w:rsid w:val="00335AB7"/>
    <w:rsid w:val="00344ACD"/>
    <w:rsid w:val="00345883"/>
    <w:rsid w:val="00350939"/>
    <w:rsid w:val="00352D11"/>
    <w:rsid w:val="00362EAE"/>
    <w:rsid w:val="00364F9B"/>
    <w:rsid w:val="00367BBD"/>
    <w:rsid w:val="00371F89"/>
    <w:rsid w:val="003741A5"/>
    <w:rsid w:val="00380807"/>
    <w:rsid w:val="00397214"/>
    <w:rsid w:val="003A2F90"/>
    <w:rsid w:val="003A5619"/>
    <w:rsid w:val="003B45A9"/>
    <w:rsid w:val="003B66D0"/>
    <w:rsid w:val="003B74A4"/>
    <w:rsid w:val="003D3CF1"/>
    <w:rsid w:val="003D45AF"/>
    <w:rsid w:val="003D6FA2"/>
    <w:rsid w:val="003D7170"/>
    <w:rsid w:val="003E2FBD"/>
    <w:rsid w:val="00420024"/>
    <w:rsid w:val="00420E91"/>
    <w:rsid w:val="0042134E"/>
    <w:rsid w:val="00430B8A"/>
    <w:rsid w:val="00431535"/>
    <w:rsid w:val="00436168"/>
    <w:rsid w:val="004570FB"/>
    <w:rsid w:val="004571B4"/>
    <w:rsid w:val="00460418"/>
    <w:rsid w:val="00465571"/>
    <w:rsid w:val="0046715F"/>
    <w:rsid w:val="00473DC2"/>
    <w:rsid w:val="00476758"/>
    <w:rsid w:val="004771D2"/>
    <w:rsid w:val="0049131D"/>
    <w:rsid w:val="00492F5F"/>
    <w:rsid w:val="00494E3F"/>
    <w:rsid w:val="00496843"/>
    <w:rsid w:val="00496D14"/>
    <w:rsid w:val="004A24CC"/>
    <w:rsid w:val="004A31D9"/>
    <w:rsid w:val="004A58AD"/>
    <w:rsid w:val="004B3F86"/>
    <w:rsid w:val="004B6BCC"/>
    <w:rsid w:val="004B704F"/>
    <w:rsid w:val="004C1555"/>
    <w:rsid w:val="004C1A79"/>
    <w:rsid w:val="004C52B3"/>
    <w:rsid w:val="004E21A0"/>
    <w:rsid w:val="004E6326"/>
    <w:rsid w:val="004E678F"/>
    <w:rsid w:val="004F4D6F"/>
    <w:rsid w:val="004F7E4A"/>
    <w:rsid w:val="00500D8B"/>
    <w:rsid w:val="0050417A"/>
    <w:rsid w:val="005077C4"/>
    <w:rsid w:val="0052563E"/>
    <w:rsid w:val="005302F6"/>
    <w:rsid w:val="00535B03"/>
    <w:rsid w:val="005371CF"/>
    <w:rsid w:val="00537C63"/>
    <w:rsid w:val="00540F1B"/>
    <w:rsid w:val="00541323"/>
    <w:rsid w:val="00541B14"/>
    <w:rsid w:val="00545015"/>
    <w:rsid w:val="00556E68"/>
    <w:rsid w:val="005631EA"/>
    <w:rsid w:val="00564491"/>
    <w:rsid w:val="0057190A"/>
    <w:rsid w:val="00572B1E"/>
    <w:rsid w:val="00577694"/>
    <w:rsid w:val="00584CCB"/>
    <w:rsid w:val="00591291"/>
    <w:rsid w:val="0059314D"/>
    <w:rsid w:val="00594B89"/>
    <w:rsid w:val="00595394"/>
    <w:rsid w:val="005962ED"/>
    <w:rsid w:val="0059695C"/>
    <w:rsid w:val="005A2A67"/>
    <w:rsid w:val="005A2B8E"/>
    <w:rsid w:val="005D202E"/>
    <w:rsid w:val="005D2428"/>
    <w:rsid w:val="005D28AC"/>
    <w:rsid w:val="005D3B96"/>
    <w:rsid w:val="005D6C0A"/>
    <w:rsid w:val="005F332B"/>
    <w:rsid w:val="005F6A3C"/>
    <w:rsid w:val="00606DA1"/>
    <w:rsid w:val="00606F91"/>
    <w:rsid w:val="00607EC0"/>
    <w:rsid w:val="0063307F"/>
    <w:rsid w:val="00635F17"/>
    <w:rsid w:val="00637F71"/>
    <w:rsid w:val="0064111C"/>
    <w:rsid w:val="00641DD0"/>
    <w:rsid w:val="00644831"/>
    <w:rsid w:val="006566F1"/>
    <w:rsid w:val="00661545"/>
    <w:rsid w:val="00673588"/>
    <w:rsid w:val="00680DF1"/>
    <w:rsid w:val="00683E25"/>
    <w:rsid w:val="00687397"/>
    <w:rsid w:val="00692050"/>
    <w:rsid w:val="0069364F"/>
    <w:rsid w:val="006A34D2"/>
    <w:rsid w:val="006D174E"/>
    <w:rsid w:val="006D1AA6"/>
    <w:rsid w:val="006D1AF7"/>
    <w:rsid w:val="006D5094"/>
    <w:rsid w:val="006E2ADA"/>
    <w:rsid w:val="006E55A4"/>
    <w:rsid w:val="006F1F55"/>
    <w:rsid w:val="0070428C"/>
    <w:rsid w:val="00721C59"/>
    <w:rsid w:val="00722293"/>
    <w:rsid w:val="0072390F"/>
    <w:rsid w:val="007271D4"/>
    <w:rsid w:val="00731068"/>
    <w:rsid w:val="007333BF"/>
    <w:rsid w:val="00752022"/>
    <w:rsid w:val="00754EF5"/>
    <w:rsid w:val="007740D7"/>
    <w:rsid w:val="007741F2"/>
    <w:rsid w:val="00776A81"/>
    <w:rsid w:val="00782637"/>
    <w:rsid w:val="00795361"/>
    <w:rsid w:val="007A27B1"/>
    <w:rsid w:val="007A717A"/>
    <w:rsid w:val="007B2693"/>
    <w:rsid w:val="007B4A8C"/>
    <w:rsid w:val="007B6A32"/>
    <w:rsid w:val="007C7C35"/>
    <w:rsid w:val="007E0086"/>
    <w:rsid w:val="007E3DC2"/>
    <w:rsid w:val="007E53AD"/>
    <w:rsid w:val="007F3444"/>
    <w:rsid w:val="007F39DD"/>
    <w:rsid w:val="0082709E"/>
    <w:rsid w:val="00831084"/>
    <w:rsid w:val="00836C04"/>
    <w:rsid w:val="00850C16"/>
    <w:rsid w:val="00852AAF"/>
    <w:rsid w:val="00856B22"/>
    <w:rsid w:val="00857192"/>
    <w:rsid w:val="0086736B"/>
    <w:rsid w:val="00871BC7"/>
    <w:rsid w:val="008730B4"/>
    <w:rsid w:val="00875BFE"/>
    <w:rsid w:val="00877D33"/>
    <w:rsid w:val="008873D5"/>
    <w:rsid w:val="00890A65"/>
    <w:rsid w:val="00890C74"/>
    <w:rsid w:val="00895B22"/>
    <w:rsid w:val="008A2EAD"/>
    <w:rsid w:val="008B1193"/>
    <w:rsid w:val="008B1330"/>
    <w:rsid w:val="008B57C0"/>
    <w:rsid w:val="008B78D4"/>
    <w:rsid w:val="008C0DC1"/>
    <w:rsid w:val="008C19EA"/>
    <w:rsid w:val="008C405E"/>
    <w:rsid w:val="008C4EA7"/>
    <w:rsid w:val="008D29F5"/>
    <w:rsid w:val="008F034A"/>
    <w:rsid w:val="008F0545"/>
    <w:rsid w:val="00900B24"/>
    <w:rsid w:val="0091031D"/>
    <w:rsid w:val="00926280"/>
    <w:rsid w:val="009262DC"/>
    <w:rsid w:val="009371E5"/>
    <w:rsid w:val="009460E5"/>
    <w:rsid w:val="00947696"/>
    <w:rsid w:val="00952407"/>
    <w:rsid w:val="00953604"/>
    <w:rsid w:val="00953983"/>
    <w:rsid w:val="009541E3"/>
    <w:rsid w:val="00976171"/>
    <w:rsid w:val="00976952"/>
    <w:rsid w:val="009845D4"/>
    <w:rsid w:val="00985C8C"/>
    <w:rsid w:val="0099093A"/>
    <w:rsid w:val="009916E2"/>
    <w:rsid w:val="009920E0"/>
    <w:rsid w:val="00993FD6"/>
    <w:rsid w:val="009B6247"/>
    <w:rsid w:val="009D73D4"/>
    <w:rsid w:val="009E4FBF"/>
    <w:rsid w:val="009F6B38"/>
    <w:rsid w:val="009F74B1"/>
    <w:rsid w:val="00A072D4"/>
    <w:rsid w:val="00A14D3B"/>
    <w:rsid w:val="00A25C12"/>
    <w:rsid w:val="00A275FB"/>
    <w:rsid w:val="00A306DE"/>
    <w:rsid w:val="00A51AF5"/>
    <w:rsid w:val="00A52E26"/>
    <w:rsid w:val="00A579DA"/>
    <w:rsid w:val="00A612A9"/>
    <w:rsid w:val="00A61BB7"/>
    <w:rsid w:val="00A70A3E"/>
    <w:rsid w:val="00A92A43"/>
    <w:rsid w:val="00A95B3D"/>
    <w:rsid w:val="00AA0270"/>
    <w:rsid w:val="00AA0E2A"/>
    <w:rsid w:val="00AA6FBC"/>
    <w:rsid w:val="00AB0142"/>
    <w:rsid w:val="00AB0DBA"/>
    <w:rsid w:val="00AB1644"/>
    <w:rsid w:val="00AB4107"/>
    <w:rsid w:val="00AB56CD"/>
    <w:rsid w:val="00AB62A0"/>
    <w:rsid w:val="00AC02A1"/>
    <w:rsid w:val="00AC03C1"/>
    <w:rsid w:val="00AC2C1D"/>
    <w:rsid w:val="00AE0069"/>
    <w:rsid w:val="00AE15E7"/>
    <w:rsid w:val="00AE3E8C"/>
    <w:rsid w:val="00AE622A"/>
    <w:rsid w:val="00AF5E1E"/>
    <w:rsid w:val="00B01BFF"/>
    <w:rsid w:val="00B068CC"/>
    <w:rsid w:val="00B1552C"/>
    <w:rsid w:val="00B25AAA"/>
    <w:rsid w:val="00B30718"/>
    <w:rsid w:val="00B44436"/>
    <w:rsid w:val="00B524FD"/>
    <w:rsid w:val="00B719CE"/>
    <w:rsid w:val="00B747C0"/>
    <w:rsid w:val="00B801B0"/>
    <w:rsid w:val="00B934DE"/>
    <w:rsid w:val="00B94CCE"/>
    <w:rsid w:val="00B952D4"/>
    <w:rsid w:val="00B96036"/>
    <w:rsid w:val="00BB2780"/>
    <w:rsid w:val="00BB53F0"/>
    <w:rsid w:val="00BD4843"/>
    <w:rsid w:val="00BE33B4"/>
    <w:rsid w:val="00BE4537"/>
    <w:rsid w:val="00BE6A74"/>
    <w:rsid w:val="00BF0B61"/>
    <w:rsid w:val="00BF62DF"/>
    <w:rsid w:val="00C26D18"/>
    <w:rsid w:val="00C34A93"/>
    <w:rsid w:val="00C357A3"/>
    <w:rsid w:val="00C35E8D"/>
    <w:rsid w:val="00C37E56"/>
    <w:rsid w:val="00C5601E"/>
    <w:rsid w:val="00C57041"/>
    <w:rsid w:val="00C63228"/>
    <w:rsid w:val="00C639B7"/>
    <w:rsid w:val="00C65634"/>
    <w:rsid w:val="00C66D10"/>
    <w:rsid w:val="00C74842"/>
    <w:rsid w:val="00C77A8B"/>
    <w:rsid w:val="00C93BC6"/>
    <w:rsid w:val="00CB6700"/>
    <w:rsid w:val="00CE2E91"/>
    <w:rsid w:val="00CE37A8"/>
    <w:rsid w:val="00CE734D"/>
    <w:rsid w:val="00CF2D54"/>
    <w:rsid w:val="00D04D93"/>
    <w:rsid w:val="00D1161D"/>
    <w:rsid w:val="00D2055F"/>
    <w:rsid w:val="00D236A8"/>
    <w:rsid w:val="00D24480"/>
    <w:rsid w:val="00D31F83"/>
    <w:rsid w:val="00D47195"/>
    <w:rsid w:val="00D5385F"/>
    <w:rsid w:val="00D57976"/>
    <w:rsid w:val="00D63638"/>
    <w:rsid w:val="00D72556"/>
    <w:rsid w:val="00D905E9"/>
    <w:rsid w:val="00DA1A18"/>
    <w:rsid w:val="00DA6848"/>
    <w:rsid w:val="00DB0E23"/>
    <w:rsid w:val="00DB39DF"/>
    <w:rsid w:val="00DB3AF1"/>
    <w:rsid w:val="00DB58F2"/>
    <w:rsid w:val="00DD0700"/>
    <w:rsid w:val="00DD3DED"/>
    <w:rsid w:val="00DD6862"/>
    <w:rsid w:val="00DD74F5"/>
    <w:rsid w:val="00DE744B"/>
    <w:rsid w:val="00DF3BAC"/>
    <w:rsid w:val="00E0242D"/>
    <w:rsid w:val="00E036E3"/>
    <w:rsid w:val="00E0785B"/>
    <w:rsid w:val="00E15591"/>
    <w:rsid w:val="00E2144F"/>
    <w:rsid w:val="00E30CEE"/>
    <w:rsid w:val="00E30F3C"/>
    <w:rsid w:val="00E30F9C"/>
    <w:rsid w:val="00E36FF6"/>
    <w:rsid w:val="00E37CC7"/>
    <w:rsid w:val="00E60C34"/>
    <w:rsid w:val="00E60EF6"/>
    <w:rsid w:val="00E722B4"/>
    <w:rsid w:val="00E7329E"/>
    <w:rsid w:val="00E7675A"/>
    <w:rsid w:val="00E76D9B"/>
    <w:rsid w:val="00E8152D"/>
    <w:rsid w:val="00E83212"/>
    <w:rsid w:val="00E86770"/>
    <w:rsid w:val="00E878EC"/>
    <w:rsid w:val="00E94AC0"/>
    <w:rsid w:val="00E969AD"/>
    <w:rsid w:val="00E97C40"/>
    <w:rsid w:val="00EA7B93"/>
    <w:rsid w:val="00EB42CF"/>
    <w:rsid w:val="00EB5050"/>
    <w:rsid w:val="00EC5F27"/>
    <w:rsid w:val="00EC6760"/>
    <w:rsid w:val="00EC7F3F"/>
    <w:rsid w:val="00ED5682"/>
    <w:rsid w:val="00EE15C8"/>
    <w:rsid w:val="00EE5506"/>
    <w:rsid w:val="00EE6591"/>
    <w:rsid w:val="00F05DD6"/>
    <w:rsid w:val="00F134A1"/>
    <w:rsid w:val="00F1466C"/>
    <w:rsid w:val="00F1581F"/>
    <w:rsid w:val="00F2694B"/>
    <w:rsid w:val="00F333A0"/>
    <w:rsid w:val="00F43D57"/>
    <w:rsid w:val="00F43F57"/>
    <w:rsid w:val="00F47A10"/>
    <w:rsid w:val="00F5099E"/>
    <w:rsid w:val="00F804C8"/>
    <w:rsid w:val="00F824CF"/>
    <w:rsid w:val="00F82AF9"/>
    <w:rsid w:val="00F83F22"/>
    <w:rsid w:val="00F944A0"/>
    <w:rsid w:val="00F95F21"/>
    <w:rsid w:val="00FA34CA"/>
    <w:rsid w:val="00FA614A"/>
    <w:rsid w:val="00FB701A"/>
    <w:rsid w:val="00FC6703"/>
    <w:rsid w:val="00FE284A"/>
    <w:rsid w:val="00FE3013"/>
    <w:rsid w:val="00FE7723"/>
    <w:rsid w:val="00FF574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F55"/>
    <w:pPr>
      <w:spacing w:after="200" w:line="276" w:lineRule="auto"/>
    </w:pPr>
    <w:rPr>
      <w:rFonts w:eastAsiaTheme="minorEastAsia"/>
      <w:lang w:eastAsia="tr-TR"/>
    </w:rPr>
  </w:style>
  <w:style w:type="paragraph" w:styleId="Heading1">
    <w:name w:val="heading 1"/>
    <w:basedOn w:val="Normal"/>
    <w:next w:val="Normal"/>
    <w:link w:val="Heading1Char"/>
    <w:uiPriority w:val="99"/>
    <w:qFormat/>
    <w:rsid w:val="006F1F55"/>
    <w:pPr>
      <w:keepNext/>
      <w:suppressAutoHyphens/>
      <w:spacing w:after="0" w:line="240" w:lineRule="auto"/>
      <w:jc w:val="center"/>
      <w:outlineLvl w:val="0"/>
    </w:pPr>
    <w:rPr>
      <w:rFonts w:ascii="Arial" w:eastAsia="Times New Roman" w:hAnsi="Arial" w:cs="Times New Roman"/>
      <w:b/>
      <w:iCs/>
      <w:sz w:val="18"/>
      <w:szCs w:val="18"/>
      <w:lang w:eastAsia="ar-SA"/>
    </w:rPr>
  </w:style>
  <w:style w:type="paragraph" w:styleId="Heading2">
    <w:name w:val="heading 2"/>
    <w:basedOn w:val="Normal"/>
    <w:next w:val="Normal"/>
    <w:link w:val="Heading2Char"/>
    <w:uiPriority w:val="99"/>
    <w:qFormat/>
    <w:rsid w:val="006F1F55"/>
    <w:pPr>
      <w:keepNext/>
      <w:suppressAutoHyphens/>
      <w:spacing w:before="240" w:after="60" w:line="240" w:lineRule="auto"/>
      <w:outlineLvl w:val="1"/>
    </w:pPr>
    <w:rPr>
      <w:rFonts w:ascii="Arial" w:eastAsia="Times New Roman" w:hAnsi="Arial" w:cs="Arial"/>
      <w:b/>
      <w:bCs/>
      <w:i/>
      <w:iCs/>
      <w:sz w:val="28"/>
      <w:szCs w:val="28"/>
      <w:lang w:val="en-GB" w:eastAsia="ar-SA"/>
    </w:rPr>
  </w:style>
  <w:style w:type="paragraph" w:styleId="Heading3">
    <w:name w:val="heading 3"/>
    <w:basedOn w:val="Normal"/>
    <w:next w:val="Normal"/>
    <w:link w:val="Heading3Char"/>
    <w:uiPriority w:val="99"/>
    <w:qFormat/>
    <w:rsid w:val="006F1F55"/>
    <w:pPr>
      <w:keepNext/>
      <w:suppressAutoHyphens/>
      <w:spacing w:before="240" w:after="60" w:line="240" w:lineRule="auto"/>
      <w:outlineLvl w:val="2"/>
    </w:pPr>
    <w:rPr>
      <w:rFonts w:ascii="Arial" w:eastAsia="Times New Roman" w:hAnsi="Arial" w:cs="Arial"/>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F1F55"/>
    <w:rPr>
      <w:rFonts w:ascii="Arial" w:eastAsia="Times New Roman" w:hAnsi="Arial" w:cs="Times New Roman"/>
      <w:b/>
      <w:iCs/>
      <w:sz w:val="18"/>
      <w:szCs w:val="18"/>
      <w:lang w:eastAsia="ar-SA"/>
    </w:rPr>
  </w:style>
  <w:style w:type="character" w:customStyle="1" w:styleId="Heading2Char">
    <w:name w:val="Heading 2 Char"/>
    <w:basedOn w:val="DefaultParagraphFont"/>
    <w:link w:val="Heading2"/>
    <w:uiPriority w:val="99"/>
    <w:rsid w:val="006F1F55"/>
    <w:rPr>
      <w:rFonts w:ascii="Arial" w:eastAsia="Times New Roman" w:hAnsi="Arial" w:cs="Arial"/>
      <w:b/>
      <w:bCs/>
      <w:i/>
      <w:iCs/>
      <w:sz w:val="28"/>
      <w:szCs w:val="28"/>
      <w:lang w:val="en-GB" w:eastAsia="ar-SA"/>
    </w:rPr>
  </w:style>
  <w:style w:type="character" w:customStyle="1" w:styleId="Heading3Char">
    <w:name w:val="Heading 3 Char"/>
    <w:basedOn w:val="DefaultParagraphFont"/>
    <w:link w:val="Heading3"/>
    <w:uiPriority w:val="99"/>
    <w:rsid w:val="006F1F55"/>
    <w:rPr>
      <w:rFonts w:ascii="Arial" w:eastAsia="Times New Roman" w:hAnsi="Arial" w:cs="Arial"/>
      <w:b/>
      <w:bCs/>
      <w:sz w:val="26"/>
      <w:szCs w:val="26"/>
      <w:lang w:val="en-GB" w:eastAsia="ar-SA"/>
    </w:rPr>
  </w:style>
  <w:style w:type="paragraph" w:styleId="Caption">
    <w:name w:val="caption"/>
    <w:basedOn w:val="Normal"/>
    <w:next w:val="Normal"/>
    <w:unhideWhenUsed/>
    <w:qFormat/>
    <w:rsid w:val="006F1F55"/>
    <w:pPr>
      <w:spacing w:line="240" w:lineRule="auto"/>
    </w:pPr>
    <w:rPr>
      <w:b/>
      <w:bCs/>
      <w:color w:val="5B9BD5" w:themeColor="accent1"/>
      <w:sz w:val="18"/>
      <w:szCs w:val="18"/>
    </w:rPr>
  </w:style>
  <w:style w:type="paragraph" w:styleId="FootnoteText">
    <w:name w:val="footnote text"/>
    <w:basedOn w:val="Normal"/>
    <w:link w:val="FootnoteTextChar"/>
    <w:uiPriority w:val="99"/>
    <w:unhideWhenUsed/>
    <w:rsid w:val="006F1F55"/>
    <w:pPr>
      <w:spacing w:after="0" w:line="240" w:lineRule="auto"/>
    </w:pPr>
    <w:rPr>
      <w:sz w:val="20"/>
      <w:szCs w:val="20"/>
    </w:rPr>
  </w:style>
  <w:style w:type="character" w:customStyle="1" w:styleId="FootnoteTextChar">
    <w:name w:val="Footnote Text Char"/>
    <w:basedOn w:val="DefaultParagraphFont"/>
    <w:link w:val="FootnoteText"/>
    <w:uiPriority w:val="99"/>
    <w:rsid w:val="006F1F55"/>
    <w:rPr>
      <w:rFonts w:eastAsiaTheme="minorEastAsia"/>
      <w:sz w:val="20"/>
      <w:szCs w:val="20"/>
      <w:lang w:eastAsia="tr-TR"/>
    </w:rPr>
  </w:style>
  <w:style w:type="character" w:styleId="FootnoteReference">
    <w:name w:val="footnote reference"/>
    <w:basedOn w:val="DefaultParagraphFont"/>
    <w:uiPriority w:val="99"/>
    <w:semiHidden/>
    <w:unhideWhenUsed/>
    <w:rsid w:val="006F1F55"/>
    <w:rPr>
      <w:vertAlign w:val="superscript"/>
    </w:rPr>
  </w:style>
  <w:style w:type="paragraph" w:styleId="BalloonText">
    <w:name w:val="Balloon Text"/>
    <w:basedOn w:val="Normal"/>
    <w:link w:val="BalloonTextChar"/>
    <w:uiPriority w:val="99"/>
    <w:semiHidden/>
    <w:unhideWhenUsed/>
    <w:rsid w:val="00492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F5F"/>
    <w:rPr>
      <w:rFonts w:ascii="Tahoma" w:eastAsiaTheme="minorEastAsia" w:hAnsi="Tahoma" w:cs="Tahoma"/>
      <w:sz w:val="16"/>
      <w:szCs w:val="16"/>
      <w:lang w:eastAsia="tr-TR"/>
    </w:rPr>
  </w:style>
  <w:style w:type="paragraph" w:styleId="Header">
    <w:name w:val="header"/>
    <w:basedOn w:val="Normal"/>
    <w:link w:val="HeaderChar"/>
    <w:uiPriority w:val="99"/>
    <w:semiHidden/>
    <w:unhideWhenUsed/>
    <w:rsid w:val="00AC03C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C03C1"/>
    <w:rPr>
      <w:rFonts w:eastAsiaTheme="minorEastAsia"/>
      <w:lang w:eastAsia="tr-TR"/>
    </w:rPr>
  </w:style>
  <w:style w:type="paragraph" w:styleId="Footer">
    <w:name w:val="footer"/>
    <w:basedOn w:val="Normal"/>
    <w:link w:val="FooterChar"/>
    <w:uiPriority w:val="99"/>
    <w:unhideWhenUsed/>
    <w:rsid w:val="00AC03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03C1"/>
    <w:rPr>
      <w:rFonts w:eastAsiaTheme="minorEastAsia"/>
      <w:lang w:eastAsia="tr-TR"/>
    </w:rPr>
  </w:style>
  <w:style w:type="table" w:styleId="TableGrid">
    <w:name w:val="Table Grid"/>
    <w:basedOn w:val="TableNormal"/>
    <w:uiPriority w:val="59"/>
    <w:rsid w:val="0082709E"/>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Normal"/>
    <w:rsid w:val="00EB42CF"/>
    <w:pPr>
      <w:widowControl w:val="0"/>
      <w:suppressAutoHyphens/>
      <w:spacing w:after="283" w:line="240" w:lineRule="auto"/>
    </w:pPr>
    <w:rPr>
      <w:rFonts w:ascii="Times New Roman" w:eastAsia="SimSun" w:hAnsi="Times New Roman" w:cs="Lucida Sans"/>
      <w:sz w:val="24"/>
      <w:szCs w:val="24"/>
      <w:lang w:val="uz-Cyrl-UZ" w:eastAsia="zh-CN" w:bidi="hi-IN"/>
    </w:rPr>
  </w:style>
  <w:style w:type="character" w:styleId="CommentReference">
    <w:name w:val="annotation reference"/>
    <w:basedOn w:val="DefaultParagraphFont"/>
    <w:uiPriority w:val="99"/>
    <w:semiHidden/>
    <w:unhideWhenUsed/>
    <w:rsid w:val="00C639B7"/>
    <w:rPr>
      <w:sz w:val="16"/>
      <w:szCs w:val="16"/>
    </w:rPr>
  </w:style>
  <w:style w:type="paragraph" w:styleId="CommentText">
    <w:name w:val="annotation text"/>
    <w:basedOn w:val="Normal"/>
    <w:link w:val="CommentTextChar"/>
    <w:uiPriority w:val="99"/>
    <w:semiHidden/>
    <w:unhideWhenUsed/>
    <w:rsid w:val="00C639B7"/>
    <w:pPr>
      <w:spacing w:line="240" w:lineRule="auto"/>
    </w:pPr>
    <w:rPr>
      <w:sz w:val="20"/>
      <w:szCs w:val="20"/>
    </w:rPr>
  </w:style>
  <w:style w:type="character" w:customStyle="1" w:styleId="CommentTextChar">
    <w:name w:val="Comment Text Char"/>
    <w:basedOn w:val="DefaultParagraphFont"/>
    <w:link w:val="CommentText"/>
    <w:uiPriority w:val="99"/>
    <w:semiHidden/>
    <w:rsid w:val="00C639B7"/>
    <w:rPr>
      <w:rFonts w:eastAsiaTheme="minorEastAsia"/>
      <w:sz w:val="20"/>
      <w:szCs w:val="20"/>
      <w:lang w:eastAsia="tr-TR"/>
    </w:rPr>
  </w:style>
  <w:style w:type="paragraph" w:styleId="CommentSubject">
    <w:name w:val="annotation subject"/>
    <w:basedOn w:val="CommentText"/>
    <w:next w:val="CommentText"/>
    <w:link w:val="CommentSubjectChar"/>
    <w:uiPriority w:val="99"/>
    <w:semiHidden/>
    <w:unhideWhenUsed/>
    <w:rsid w:val="00C639B7"/>
    <w:rPr>
      <w:b/>
      <w:bCs/>
    </w:rPr>
  </w:style>
  <w:style w:type="character" w:customStyle="1" w:styleId="CommentSubjectChar">
    <w:name w:val="Comment Subject Char"/>
    <w:basedOn w:val="CommentTextChar"/>
    <w:link w:val="CommentSubject"/>
    <w:uiPriority w:val="99"/>
    <w:semiHidden/>
    <w:rsid w:val="00C639B7"/>
    <w:rPr>
      <w:rFonts w:eastAsiaTheme="minorEastAsia"/>
      <w:b/>
      <w:bCs/>
      <w:sz w:val="20"/>
      <w:szCs w:val="20"/>
      <w:lang w:eastAsia="tr-TR"/>
    </w:rPr>
  </w:style>
  <w:style w:type="character" w:styleId="Hyperlink">
    <w:name w:val="Hyperlink"/>
    <w:basedOn w:val="DefaultParagraphFont"/>
    <w:uiPriority w:val="99"/>
    <w:unhideWhenUsed/>
    <w:rsid w:val="0014414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F55"/>
    <w:pPr>
      <w:spacing w:after="200" w:line="276" w:lineRule="auto"/>
    </w:pPr>
    <w:rPr>
      <w:rFonts w:eastAsiaTheme="minorEastAsia"/>
      <w:lang w:eastAsia="tr-TR"/>
    </w:rPr>
  </w:style>
  <w:style w:type="paragraph" w:styleId="Heading1">
    <w:name w:val="heading 1"/>
    <w:basedOn w:val="Normal"/>
    <w:next w:val="Normal"/>
    <w:link w:val="Heading1Char"/>
    <w:uiPriority w:val="99"/>
    <w:qFormat/>
    <w:rsid w:val="006F1F55"/>
    <w:pPr>
      <w:keepNext/>
      <w:suppressAutoHyphens/>
      <w:spacing w:after="0" w:line="240" w:lineRule="auto"/>
      <w:jc w:val="center"/>
      <w:outlineLvl w:val="0"/>
    </w:pPr>
    <w:rPr>
      <w:rFonts w:ascii="Arial" w:eastAsia="Times New Roman" w:hAnsi="Arial" w:cs="Times New Roman"/>
      <w:b/>
      <w:iCs/>
      <w:sz w:val="18"/>
      <w:szCs w:val="18"/>
      <w:lang w:eastAsia="ar-SA"/>
    </w:rPr>
  </w:style>
  <w:style w:type="paragraph" w:styleId="Heading2">
    <w:name w:val="heading 2"/>
    <w:basedOn w:val="Normal"/>
    <w:next w:val="Normal"/>
    <w:link w:val="Heading2Char"/>
    <w:uiPriority w:val="99"/>
    <w:qFormat/>
    <w:rsid w:val="006F1F55"/>
    <w:pPr>
      <w:keepNext/>
      <w:suppressAutoHyphens/>
      <w:spacing w:before="240" w:after="60" w:line="240" w:lineRule="auto"/>
      <w:outlineLvl w:val="1"/>
    </w:pPr>
    <w:rPr>
      <w:rFonts w:ascii="Arial" w:eastAsia="Times New Roman" w:hAnsi="Arial" w:cs="Arial"/>
      <w:b/>
      <w:bCs/>
      <w:i/>
      <w:iCs/>
      <w:sz w:val="28"/>
      <w:szCs w:val="28"/>
      <w:lang w:val="en-GB" w:eastAsia="ar-SA"/>
    </w:rPr>
  </w:style>
  <w:style w:type="paragraph" w:styleId="Heading3">
    <w:name w:val="heading 3"/>
    <w:basedOn w:val="Normal"/>
    <w:next w:val="Normal"/>
    <w:link w:val="Heading3Char"/>
    <w:uiPriority w:val="99"/>
    <w:qFormat/>
    <w:rsid w:val="006F1F55"/>
    <w:pPr>
      <w:keepNext/>
      <w:suppressAutoHyphens/>
      <w:spacing w:before="240" w:after="60" w:line="240" w:lineRule="auto"/>
      <w:outlineLvl w:val="2"/>
    </w:pPr>
    <w:rPr>
      <w:rFonts w:ascii="Arial" w:eastAsia="Times New Roman" w:hAnsi="Arial" w:cs="Arial"/>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F1F55"/>
    <w:rPr>
      <w:rFonts w:ascii="Arial" w:eastAsia="Times New Roman" w:hAnsi="Arial" w:cs="Times New Roman"/>
      <w:b/>
      <w:iCs/>
      <w:sz w:val="18"/>
      <w:szCs w:val="18"/>
      <w:lang w:eastAsia="ar-SA"/>
    </w:rPr>
  </w:style>
  <w:style w:type="character" w:customStyle="1" w:styleId="Heading2Char">
    <w:name w:val="Heading 2 Char"/>
    <w:basedOn w:val="DefaultParagraphFont"/>
    <w:link w:val="Heading2"/>
    <w:uiPriority w:val="99"/>
    <w:rsid w:val="006F1F55"/>
    <w:rPr>
      <w:rFonts w:ascii="Arial" w:eastAsia="Times New Roman" w:hAnsi="Arial" w:cs="Arial"/>
      <w:b/>
      <w:bCs/>
      <w:i/>
      <w:iCs/>
      <w:sz w:val="28"/>
      <w:szCs w:val="28"/>
      <w:lang w:val="en-GB" w:eastAsia="ar-SA"/>
    </w:rPr>
  </w:style>
  <w:style w:type="character" w:customStyle="1" w:styleId="Heading3Char">
    <w:name w:val="Heading 3 Char"/>
    <w:basedOn w:val="DefaultParagraphFont"/>
    <w:link w:val="Heading3"/>
    <w:uiPriority w:val="99"/>
    <w:rsid w:val="006F1F55"/>
    <w:rPr>
      <w:rFonts w:ascii="Arial" w:eastAsia="Times New Roman" w:hAnsi="Arial" w:cs="Arial"/>
      <w:b/>
      <w:bCs/>
      <w:sz w:val="26"/>
      <w:szCs w:val="26"/>
      <w:lang w:val="en-GB" w:eastAsia="ar-SA"/>
    </w:rPr>
  </w:style>
  <w:style w:type="paragraph" w:styleId="Caption">
    <w:name w:val="caption"/>
    <w:basedOn w:val="Normal"/>
    <w:next w:val="Normal"/>
    <w:unhideWhenUsed/>
    <w:qFormat/>
    <w:rsid w:val="006F1F55"/>
    <w:pPr>
      <w:spacing w:line="240" w:lineRule="auto"/>
    </w:pPr>
    <w:rPr>
      <w:b/>
      <w:bCs/>
      <w:color w:val="5B9BD5" w:themeColor="accent1"/>
      <w:sz w:val="18"/>
      <w:szCs w:val="18"/>
    </w:rPr>
  </w:style>
  <w:style w:type="paragraph" w:styleId="FootnoteText">
    <w:name w:val="footnote text"/>
    <w:basedOn w:val="Normal"/>
    <w:link w:val="FootnoteTextChar"/>
    <w:uiPriority w:val="99"/>
    <w:unhideWhenUsed/>
    <w:rsid w:val="006F1F55"/>
    <w:pPr>
      <w:spacing w:after="0" w:line="240" w:lineRule="auto"/>
    </w:pPr>
    <w:rPr>
      <w:sz w:val="20"/>
      <w:szCs w:val="20"/>
    </w:rPr>
  </w:style>
  <w:style w:type="character" w:customStyle="1" w:styleId="FootnoteTextChar">
    <w:name w:val="Footnote Text Char"/>
    <w:basedOn w:val="DefaultParagraphFont"/>
    <w:link w:val="FootnoteText"/>
    <w:uiPriority w:val="99"/>
    <w:rsid w:val="006F1F55"/>
    <w:rPr>
      <w:rFonts w:eastAsiaTheme="minorEastAsia"/>
      <w:sz w:val="20"/>
      <w:szCs w:val="20"/>
      <w:lang w:eastAsia="tr-TR"/>
    </w:rPr>
  </w:style>
  <w:style w:type="character" w:styleId="FootnoteReference">
    <w:name w:val="footnote reference"/>
    <w:basedOn w:val="DefaultParagraphFont"/>
    <w:uiPriority w:val="99"/>
    <w:semiHidden/>
    <w:unhideWhenUsed/>
    <w:rsid w:val="006F1F55"/>
    <w:rPr>
      <w:vertAlign w:val="superscript"/>
    </w:rPr>
  </w:style>
  <w:style w:type="paragraph" w:styleId="BalloonText">
    <w:name w:val="Balloon Text"/>
    <w:basedOn w:val="Normal"/>
    <w:link w:val="BalloonTextChar"/>
    <w:uiPriority w:val="99"/>
    <w:semiHidden/>
    <w:unhideWhenUsed/>
    <w:rsid w:val="00492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F5F"/>
    <w:rPr>
      <w:rFonts w:ascii="Tahoma" w:eastAsiaTheme="minorEastAsia" w:hAnsi="Tahoma" w:cs="Tahoma"/>
      <w:sz w:val="16"/>
      <w:szCs w:val="16"/>
      <w:lang w:eastAsia="tr-TR"/>
    </w:rPr>
  </w:style>
  <w:style w:type="paragraph" w:styleId="Header">
    <w:name w:val="header"/>
    <w:basedOn w:val="Normal"/>
    <w:link w:val="HeaderChar"/>
    <w:uiPriority w:val="99"/>
    <w:semiHidden/>
    <w:unhideWhenUsed/>
    <w:rsid w:val="00AC03C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C03C1"/>
    <w:rPr>
      <w:rFonts w:eastAsiaTheme="minorEastAsia"/>
      <w:lang w:eastAsia="tr-TR"/>
    </w:rPr>
  </w:style>
  <w:style w:type="paragraph" w:styleId="Footer">
    <w:name w:val="footer"/>
    <w:basedOn w:val="Normal"/>
    <w:link w:val="FooterChar"/>
    <w:uiPriority w:val="99"/>
    <w:unhideWhenUsed/>
    <w:rsid w:val="00AC03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03C1"/>
    <w:rPr>
      <w:rFonts w:eastAsiaTheme="minorEastAsia"/>
      <w:lang w:eastAsia="tr-TR"/>
    </w:rPr>
  </w:style>
  <w:style w:type="table" w:styleId="TableGrid">
    <w:name w:val="Table Grid"/>
    <w:basedOn w:val="TableNormal"/>
    <w:uiPriority w:val="59"/>
    <w:rsid w:val="0082709E"/>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Normal"/>
    <w:rsid w:val="00EB42CF"/>
    <w:pPr>
      <w:widowControl w:val="0"/>
      <w:suppressAutoHyphens/>
      <w:spacing w:after="283" w:line="240" w:lineRule="auto"/>
    </w:pPr>
    <w:rPr>
      <w:rFonts w:ascii="Times New Roman" w:eastAsia="SimSun" w:hAnsi="Times New Roman" w:cs="Lucida Sans"/>
      <w:sz w:val="24"/>
      <w:szCs w:val="24"/>
      <w:lang w:val="uz-Cyrl-UZ" w:eastAsia="zh-CN" w:bidi="hi-IN"/>
    </w:rPr>
  </w:style>
  <w:style w:type="character" w:styleId="CommentReference">
    <w:name w:val="annotation reference"/>
    <w:basedOn w:val="DefaultParagraphFont"/>
    <w:uiPriority w:val="99"/>
    <w:semiHidden/>
    <w:unhideWhenUsed/>
    <w:rsid w:val="00C639B7"/>
    <w:rPr>
      <w:sz w:val="16"/>
      <w:szCs w:val="16"/>
    </w:rPr>
  </w:style>
  <w:style w:type="paragraph" w:styleId="CommentText">
    <w:name w:val="annotation text"/>
    <w:basedOn w:val="Normal"/>
    <w:link w:val="CommentTextChar"/>
    <w:uiPriority w:val="99"/>
    <w:semiHidden/>
    <w:unhideWhenUsed/>
    <w:rsid w:val="00C639B7"/>
    <w:pPr>
      <w:spacing w:line="240" w:lineRule="auto"/>
    </w:pPr>
    <w:rPr>
      <w:sz w:val="20"/>
      <w:szCs w:val="20"/>
    </w:rPr>
  </w:style>
  <w:style w:type="character" w:customStyle="1" w:styleId="CommentTextChar">
    <w:name w:val="Comment Text Char"/>
    <w:basedOn w:val="DefaultParagraphFont"/>
    <w:link w:val="CommentText"/>
    <w:uiPriority w:val="99"/>
    <w:semiHidden/>
    <w:rsid w:val="00C639B7"/>
    <w:rPr>
      <w:rFonts w:eastAsiaTheme="minorEastAsia"/>
      <w:sz w:val="20"/>
      <w:szCs w:val="20"/>
      <w:lang w:eastAsia="tr-TR"/>
    </w:rPr>
  </w:style>
  <w:style w:type="paragraph" w:styleId="CommentSubject">
    <w:name w:val="annotation subject"/>
    <w:basedOn w:val="CommentText"/>
    <w:next w:val="CommentText"/>
    <w:link w:val="CommentSubjectChar"/>
    <w:uiPriority w:val="99"/>
    <w:semiHidden/>
    <w:unhideWhenUsed/>
    <w:rsid w:val="00C639B7"/>
    <w:rPr>
      <w:b/>
      <w:bCs/>
    </w:rPr>
  </w:style>
  <w:style w:type="character" w:customStyle="1" w:styleId="CommentSubjectChar">
    <w:name w:val="Comment Subject Char"/>
    <w:basedOn w:val="CommentTextChar"/>
    <w:link w:val="CommentSubject"/>
    <w:uiPriority w:val="99"/>
    <w:semiHidden/>
    <w:rsid w:val="00C639B7"/>
    <w:rPr>
      <w:rFonts w:eastAsiaTheme="minorEastAsia"/>
      <w:b/>
      <w:bCs/>
      <w:sz w:val="20"/>
      <w:szCs w:val="20"/>
      <w:lang w:eastAsia="tr-TR"/>
    </w:rPr>
  </w:style>
  <w:style w:type="character" w:styleId="Hyperlink">
    <w:name w:val="Hyperlink"/>
    <w:basedOn w:val="DefaultParagraphFont"/>
    <w:uiPriority w:val="99"/>
    <w:unhideWhenUsed/>
    <w:rsid w:val="001441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6898">
      <w:bodyDiv w:val="1"/>
      <w:marLeft w:val="0"/>
      <w:marRight w:val="0"/>
      <w:marTop w:val="0"/>
      <w:marBottom w:val="0"/>
      <w:divBdr>
        <w:top w:val="none" w:sz="0" w:space="0" w:color="auto"/>
        <w:left w:val="none" w:sz="0" w:space="0" w:color="auto"/>
        <w:bottom w:val="none" w:sz="0" w:space="0" w:color="auto"/>
        <w:right w:val="none" w:sz="0" w:space="0" w:color="auto"/>
      </w:divBdr>
    </w:div>
    <w:div w:id="757019950">
      <w:bodyDiv w:val="1"/>
      <w:marLeft w:val="0"/>
      <w:marRight w:val="0"/>
      <w:marTop w:val="0"/>
      <w:marBottom w:val="0"/>
      <w:divBdr>
        <w:top w:val="none" w:sz="0" w:space="0" w:color="auto"/>
        <w:left w:val="none" w:sz="0" w:space="0" w:color="auto"/>
        <w:bottom w:val="none" w:sz="0" w:space="0" w:color="auto"/>
        <w:right w:val="none" w:sz="0" w:space="0" w:color="auto"/>
      </w:divBdr>
    </w:div>
    <w:div w:id="834102770">
      <w:bodyDiv w:val="1"/>
      <w:marLeft w:val="0"/>
      <w:marRight w:val="0"/>
      <w:marTop w:val="0"/>
      <w:marBottom w:val="0"/>
      <w:divBdr>
        <w:top w:val="none" w:sz="0" w:space="0" w:color="auto"/>
        <w:left w:val="none" w:sz="0" w:space="0" w:color="auto"/>
        <w:bottom w:val="none" w:sz="0" w:space="0" w:color="auto"/>
        <w:right w:val="none" w:sz="0" w:space="0" w:color="auto"/>
      </w:divBdr>
    </w:div>
    <w:div w:id="978876519">
      <w:bodyDiv w:val="1"/>
      <w:marLeft w:val="0"/>
      <w:marRight w:val="0"/>
      <w:marTop w:val="0"/>
      <w:marBottom w:val="0"/>
      <w:divBdr>
        <w:top w:val="none" w:sz="0" w:space="0" w:color="auto"/>
        <w:left w:val="none" w:sz="0" w:space="0" w:color="auto"/>
        <w:bottom w:val="none" w:sz="0" w:space="0" w:color="auto"/>
        <w:right w:val="none" w:sz="0" w:space="0" w:color="auto"/>
      </w:divBdr>
    </w:div>
    <w:div w:id="1223057563">
      <w:bodyDiv w:val="1"/>
      <w:marLeft w:val="0"/>
      <w:marRight w:val="0"/>
      <w:marTop w:val="0"/>
      <w:marBottom w:val="0"/>
      <w:divBdr>
        <w:top w:val="none" w:sz="0" w:space="0" w:color="auto"/>
        <w:left w:val="none" w:sz="0" w:space="0" w:color="auto"/>
        <w:bottom w:val="none" w:sz="0" w:space="0" w:color="auto"/>
        <w:right w:val="none" w:sz="0" w:space="0" w:color="auto"/>
      </w:divBdr>
    </w:div>
    <w:div w:id="1249272376">
      <w:bodyDiv w:val="1"/>
      <w:marLeft w:val="0"/>
      <w:marRight w:val="0"/>
      <w:marTop w:val="0"/>
      <w:marBottom w:val="0"/>
      <w:divBdr>
        <w:top w:val="none" w:sz="0" w:space="0" w:color="auto"/>
        <w:left w:val="none" w:sz="0" w:space="0" w:color="auto"/>
        <w:bottom w:val="none" w:sz="0" w:space="0" w:color="auto"/>
        <w:right w:val="none" w:sz="0" w:space="0" w:color="auto"/>
      </w:divBdr>
    </w:div>
    <w:div w:id="1275404900">
      <w:bodyDiv w:val="1"/>
      <w:marLeft w:val="0"/>
      <w:marRight w:val="0"/>
      <w:marTop w:val="0"/>
      <w:marBottom w:val="0"/>
      <w:divBdr>
        <w:top w:val="none" w:sz="0" w:space="0" w:color="auto"/>
        <w:left w:val="none" w:sz="0" w:space="0" w:color="auto"/>
        <w:bottom w:val="none" w:sz="0" w:space="0" w:color="auto"/>
        <w:right w:val="none" w:sz="0" w:space="0" w:color="auto"/>
      </w:divBdr>
    </w:div>
    <w:div w:id="1415739921">
      <w:bodyDiv w:val="1"/>
      <w:marLeft w:val="0"/>
      <w:marRight w:val="0"/>
      <w:marTop w:val="0"/>
      <w:marBottom w:val="0"/>
      <w:divBdr>
        <w:top w:val="none" w:sz="0" w:space="0" w:color="auto"/>
        <w:left w:val="none" w:sz="0" w:space="0" w:color="auto"/>
        <w:bottom w:val="none" w:sz="0" w:space="0" w:color="auto"/>
        <w:right w:val="none" w:sz="0" w:space="0" w:color="auto"/>
      </w:divBdr>
    </w:div>
    <w:div w:id="1915775300">
      <w:bodyDiv w:val="1"/>
      <w:marLeft w:val="0"/>
      <w:marRight w:val="0"/>
      <w:marTop w:val="0"/>
      <w:marBottom w:val="0"/>
      <w:divBdr>
        <w:top w:val="none" w:sz="0" w:space="0" w:color="auto"/>
        <w:left w:val="none" w:sz="0" w:space="0" w:color="auto"/>
        <w:bottom w:val="none" w:sz="0" w:space="0" w:color="auto"/>
        <w:right w:val="none" w:sz="0" w:space="0" w:color="auto"/>
      </w:divBdr>
    </w:div>
    <w:div w:id="2037192620">
      <w:bodyDiv w:val="1"/>
      <w:marLeft w:val="0"/>
      <w:marRight w:val="0"/>
      <w:marTop w:val="0"/>
      <w:marBottom w:val="0"/>
      <w:divBdr>
        <w:top w:val="none" w:sz="0" w:space="0" w:color="auto"/>
        <w:left w:val="none" w:sz="0" w:space="0" w:color="auto"/>
        <w:bottom w:val="none" w:sz="0" w:space="0" w:color="auto"/>
        <w:right w:val="none" w:sz="0" w:space="0" w:color="auto"/>
      </w:divBdr>
    </w:div>
    <w:div w:id="209095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x.doi.org/10.178/eag-2014-en" TargetMode="Externa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handepaker:Dropbox:TUBITAK%20LFP:Basvuru%20ve%20TUBITAK%20dokumanlari:eurostat_lfs_201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726450860309154E-2"/>
          <c:y val="6.0986100988955634E-2"/>
          <c:w val="0.90638743073782446"/>
          <c:h val="0.60197445107881198"/>
        </c:manualLayout>
      </c:layout>
      <c:barChart>
        <c:barDir val="col"/>
        <c:grouping val="clustered"/>
        <c:varyColors val="0"/>
        <c:ser>
          <c:idx val="0"/>
          <c:order val="0"/>
          <c:tx>
            <c:strRef>
              <c:f>Data!$B$25</c:f>
              <c:strCache>
                <c:ptCount val="1"/>
                <c:pt idx="0">
                  <c:v>Lise</c:v>
                </c:pt>
              </c:strCache>
            </c:strRef>
          </c:tx>
          <c:spPr>
            <a:solidFill>
              <a:srgbClr val="604A7B"/>
            </a:solidFill>
            <a:ln w="25400">
              <a:noFill/>
            </a:ln>
          </c:spPr>
          <c:invertIfNegative val="0"/>
          <c:dLbls>
            <c:dLbl>
              <c:idx val="0"/>
              <c:layout>
                <c:manualLayout>
                  <c:x val="-1.0609445340016682E-17"/>
                  <c:y val="1.098599285910464E-2"/>
                </c:manualLayout>
              </c:layout>
              <c:showLegendKey val="0"/>
              <c:showVal val="1"/>
              <c:showCatName val="0"/>
              <c:showSerName val="0"/>
              <c:showPercent val="0"/>
              <c:showBubbleSize val="0"/>
              <c:extLst>
                <c:ext xmlns:c15="http://schemas.microsoft.com/office/drawing/2012/chart" uri="{CE6537A1-D6FC-4f65-9D91-7224C49458BB}">
                  <c15:layout>
                    <c:manualLayout>
                      <c:w val="5.5069444444444442E-2"/>
                      <c:h val="9.4507219830149633E-2"/>
                    </c:manualLayout>
                  </c15:layout>
                </c:ext>
              </c:extLst>
            </c:dLbl>
            <c:dLbl>
              <c:idx val="1"/>
              <c:layout>
                <c:manualLayout>
                  <c:x val="-4.6296296296296112E-3"/>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9444444444444484E-3"/>
                  <c:y val="-2.5175942800808607E-17"/>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629629629629632E-3"/>
                  <c:y val="1.098599285910463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3148148148148147E-3"/>
                  <c:y val="5.4929964295523243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8.4875562720133493E-17"/>
                  <c:y val="0"/>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8.4875562720133493E-17"/>
                  <c:y val="1.0985992859104616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4.629629629629632E-3"/>
                  <c:y val="5.4929964295523243E-3"/>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b="1"/>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Data!$A$26:$A$33</c:f>
              <c:strCache>
                <c:ptCount val="8"/>
                <c:pt idx="0">
                  <c:v>Türkiye</c:v>
                </c:pt>
                <c:pt idx="1">
                  <c:v>İtalya</c:v>
                </c:pt>
                <c:pt idx="2">
                  <c:v>Yunanistan</c:v>
                </c:pt>
                <c:pt idx="3">
                  <c:v>Birleşik Krallık</c:v>
                </c:pt>
                <c:pt idx="4">
                  <c:v>Fransa</c:v>
                </c:pt>
                <c:pt idx="5">
                  <c:v>İspanya</c:v>
                </c:pt>
                <c:pt idx="6">
                  <c:v>Portekiz</c:v>
                </c:pt>
                <c:pt idx="7">
                  <c:v>İsveç </c:v>
                </c:pt>
              </c:strCache>
            </c:strRef>
          </c:cat>
          <c:val>
            <c:numRef>
              <c:f>Data!$B$26:$B$33</c:f>
              <c:numCache>
                <c:formatCode>#,##0.0</c:formatCode>
                <c:ptCount val="8"/>
                <c:pt idx="0">
                  <c:v>35.800000000000004</c:v>
                </c:pt>
                <c:pt idx="1">
                  <c:v>62.7</c:v>
                </c:pt>
                <c:pt idx="2">
                  <c:v>58.4</c:v>
                </c:pt>
                <c:pt idx="3">
                  <c:v>72.7</c:v>
                </c:pt>
                <c:pt idx="4">
                  <c:v>69.2</c:v>
                </c:pt>
                <c:pt idx="5">
                  <c:v>69.400000000000006</c:v>
                </c:pt>
                <c:pt idx="6">
                  <c:v>76.3</c:v>
                </c:pt>
                <c:pt idx="7">
                  <c:v>83.1</c:v>
                </c:pt>
              </c:numCache>
            </c:numRef>
          </c:val>
        </c:ser>
        <c:ser>
          <c:idx val="1"/>
          <c:order val="1"/>
          <c:tx>
            <c:strRef>
              <c:f>Data!$C$25</c:f>
              <c:strCache>
                <c:ptCount val="1"/>
                <c:pt idx="0">
                  <c:v>Üniversite</c:v>
                </c:pt>
              </c:strCache>
            </c:strRef>
          </c:tx>
          <c:spPr>
            <a:solidFill>
              <a:srgbClr val="B3A2C7"/>
            </a:solidFill>
            <a:ln w="25400">
              <a:noFill/>
            </a:ln>
          </c:spPr>
          <c:invertIfNegative val="0"/>
          <c:dLbls>
            <c:dLbl>
              <c:idx val="7"/>
              <c:layout>
                <c:manualLayout>
                  <c:x val="-2.3148148148148147E-3"/>
                  <c:y val="-5.4929964295523243E-3"/>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b="1"/>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Data!$A$26:$A$33</c:f>
              <c:strCache>
                <c:ptCount val="8"/>
                <c:pt idx="0">
                  <c:v>Türkiye</c:v>
                </c:pt>
                <c:pt idx="1">
                  <c:v>İtalya</c:v>
                </c:pt>
                <c:pt idx="2">
                  <c:v>Yunanistan</c:v>
                </c:pt>
                <c:pt idx="3">
                  <c:v>Birleşik Krallık</c:v>
                </c:pt>
                <c:pt idx="4">
                  <c:v>Fransa</c:v>
                </c:pt>
                <c:pt idx="5">
                  <c:v>İspanya</c:v>
                </c:pt>
                <c:pt idx="6">
                  <c:v>Portekiz</c:v>
                </c:pt>
                <c:pt idx="7">
                  <c:v>İsveç </c:v>
                </c:pt>
              </c:strCache>
            </c:strRef>
          </c:cat>
          <c:val>
            <c:numRef>
              <c:f>Data!$C$26:$C$33</c:f>
              <c:numCache>
                <c:formatCode>#,##0.0</c:formatCode>
                <c:ptCount val="8"/>
                <c:pt idx="0">
                  <c:v>72.400000000000006</c:v>
                </c:pt>
                <c:pt idx="1">
                  <c:v>78.5</c:v>
                </c:pt>
                <c:pt idx="2">
                  <c:v>82.7</c:v>
                </c:pt>
                <c:pt idx="3">
                  <c:v>83.7</c:v>
                </c:pt>
                <c:pt idx="4">
                  <c:v>84.4</c:v>
                </c:pt>
                <c:pt idx="5">
                  <c:v>86.2</c:v>
                </c:pt>
                <c:pt idx="6">
                  <c:v>87.7</c:v>
                </c:pt>
                <c:pt idx="7">
                  <c:v>90.2</c:v>
                </c:pt>
              </c:numCache>
            </c:numRef>
          </c:val>
        </c:ser>
        <c:dLbls>
          <c:showLegendKey val="0"/>
          <c:showVal val="0"/>
          <c:showCatName val="0"/>
          <c:showSerName val="0"/>
          <c:showPercent val="0"/>
          <c:showBubbleSize val="0"/>
        </c:dLbls>
        <c:gapWidth val="90"/>
        <c:axId val="115264128"/>
        <c:axId val="414196096"/>
      </c:barChart>
      <c:catAx>
        <c:axId val="115264128"/>
        <c:scaling>
          <c:orientation val="minMax"/>
        </c:scaling>
        <c:delete val="0"/>
        <c:axPos val="b"/>
        <c:numFmt formatCode="General" sourceLinked="1"/>
        <c:majorTickMark val="none"/>
        <c:minorTickMark val="none"/>
        <c:tickLblPos val="nextTo"/>
        <c:spPr>
          <a:ln w="3175">
            <a:solidFill>
              <a:srgbClr val="808080"/>
            </a:solidFill>
            <a:prstDash val="solid"/>
          </a:ln>
        </c:spPr>
        <c:crossAx val="414196096"/>
        <c:crosses val="autoZero"/>
        <c:auto val="1"/>
        <c:lblAlgn val="ctr"/>
        <c:lblOffset val="100"/>
        <c:noMultiLvlLbl val="0"/>
      </c:catAx>
      <c:valAx>
        <c:axId val="414196096"/>
        <c:scaling>
          <c:orientation val="minMax"/>
        </c:scaling>
        <c:delete val="0"/>
        <c:axPos val="l"/>
        <c:numFmt formatCode="#,##0" sourceLinked="0"/>
        <c:majorTickMark val="out"/>
        <c:minorTickMark val="none"/>
        <c:tickLblPos val="nextTo"/>
        <c:spPr>
          <a:ln w="3175">
            <a:solidFill>
              <a:srgbClr val="808080"/>
            </a:solidFill>
            <a:prstDash val="solid"/>
          </a:ln>
        </c:spPr>
        <c:crossAx val="115264128"/>
        <c:crosses val="autoZero"/>
        <c:crossBetween val="between"/>
      </c:valAx>
      <c:spPr>
        <a:solidFill>
          <a:srgbClr val="FFFFFF"/>
        </a:solidFill>
        <a:ln w="25400">
          <a:noFill/>
        </a:ln>
      </c:spPr>
    </c:plotArea>
    <c:legend>
      <c:legendPos val="r"/>
      <c:layout>
        <c:manualLayout>
          <c:xMode val="edge"/>
          <c:yMode val="edge"/>
          <c:x val="0.23852380431612721"/>
          <c:y val="0.88242652035976943"/>
          <c:w val="0.5058227617381158"/>
          <c:h val="6.9230769230769221E-2"/>
        </c:manualLayout>
      </c:layout>
      <c:overlay val="0"/>
      <c:spPr>
        <a:noFill/>
        <a:ln w="25400">
          <a:noFill/>
        </a:ln>
      </c:spPr>
    </c:legend>
    <c:plotVisOnly val="1"/>
    <c:dispBlanksAs val="gap"/>
    <c:showDLblsOverMax val="0"/>
  </c:chart>
  <c:spPr>
    <a:solidFill>
      <a:srgbClr val="FFFFFF"/>
    </a:solidFill>
    <a:ln w="9525">
      <a:noFill/>
    </a:ln>
  </c:spPr>
  <c:externalData r:id="rId1">
    <c:autoUpdate val="0"/>
  </c:externalData>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05939C-0B77-41F1-BA37-6E2B65324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2186</Words>
  <Characters>12461</Characters>
  <Application>Microsoft Office Word</Application>
  <DocSecurity>0</DocSecurity>
  <Lines>103</Lines>
  <Paragraphs>29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 Durmaz</dc:creator>
  <cp:lastModifiedBy>merve.akgul</cp:lastModifiedBy>
  <cp:revision>2</cp:revision>
  <cp:lastPrinted>2015-04-21T17:04:00Z</cp:lastPrinted>
  <dcterms:created xsi:type="dcterms:W3CDTF">2015-08-04T07:20:00Z</dcterms:created>
  <dcterms:modified xsi:type="dcterms:W3CDTF">2015-08-04T07:20:00Z</dcterms:modified>
</cp:coreProperties>
</file>