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4A" w:rsidRPr="008C5878" w:rsidRDefault="00847257" w:rsidP="0084630F">
      <w:pPr>
        <w:ind w:right="4457"/>
      </w:pPr>
      <w:r>
        <w:rPr>
          <w:noProof/>
        </w:rPr>
        <mc:AlternateContent>
          <mc:Choice Requires="wps">
            <w:drawing>
              <wp:anchor distT="0" distB="0" distL="114935" distR="114935" simplePos="0" relativeHeight="251661312" behindDoc="0" locked="0" layoutInCell="1" allowOverlap="1">
                <wp:simplePos x="0" y="0"/>
                <wp:positionH relativeFrom="column">
                  <wp:posOffset>5071110</wp:posOffset>
                </wp:positionH>
                <wp:positionV relativeFrom="paragraph">
                  <wp:posOffset>278130</wp:posOffset>
                </wp:positionV>
                <wp:extent cx="1478280" cy="299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40" w:rsidRDefault="007C5662" w:rsidP="00DD404A">
                            <w:pPr>
                              <w:pStyle w:val="Heading3"/>
                              <w:jc w:val="center"/>
                            </w:pPr>
                            <w:r>
                              <w:rPr>
                                <w:color w:val="FFFFFF"/>
                                <w:sz w:val="22"/>
                                <w:szCs w:val="22"/>
                                <w:lang w:val="tr-TR"/>
                              </w:rPr>
                              <w:t>10.07.</w:t>
                            </w:r>
                            <w:r w:rsidR="00166140">
                              <w:rPr>
                                <w:color w:val="FFFFFF"/>
                                <w:sz w:val="22"/>
                                <w:szCs w:val="22"/>
                                <w:lang w:val="tr-TR"/>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" stroked="f">
                <v:fill opacity="0"/>
                <v:textbox inset="0,0,0,0">
                  <w:txbxContent>
                    <w:p w:rsidR="00166140" w:rsidRDefault="007C5662" w:rsidP="00DD404A">
                      <w:pPr>
                        <w:pStyle w:val="Heading3"/>
                        <w:jc w:val="center"/>
                      </w:pPr>
                      <w:r>
                        <w:rPr>
                          <w:color w:val="FFFFFF"/>
                          <w:sz w:val="22"/>
                          <w:szCs w:val="22"/>
                          <w:lang w:val="tr-TR"/>
                        </w:rPr>
                        <w:t>10.07.</w:t>
                      </w:r>
                      <w:bookmarkStart w:id="1" w:name="_GoBack"/>
                      <w:bookmarkEnd w:id="1"/>
                      <w:r w:rsidR="00166140">
                        <w:rPr>
                          <w:color w:val="FFFFFF"/>
                          <w:sz w:val="22"/>
                          <w:szCs w:val="22"/>
                          <w:lang w:val="tr-TR"/>
                        </w:rPr>
                        <w:t>2015</w:t>
                      </w:r>
                    </w:p>
                  </w:txbxContent>
                </v:textbox>
              </v:shape>
            </w:pict>
          </mc:Fallback>
        </mc:AlternateContent>
      </w:r>
      <w:r w:rsidR="00DD404A" w:rsidRPr="008C5878">
        <w:rPr>
          <w:noProof/>
        </w:rPr>
        <w:drawing>
          <wp:anchor distT="0" distB="0" distL="114300" distR="114300" simplePos="0" relativeHeight="251660288"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2336"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40" w:rsidRPr="002865A7" w:rsidRDefault="00166140" w:rsidP="00DD404A">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01888">
                              <w:rPr>
                                <w:rFonts w:ascii="Times New Roman" w:hAnsi="Times New Roman"/>
                                <w:sz w:val="52"/>
                                <w:szCs w:val="52"/>
                              </w:rPr>
                              <w:t>184</w:t>
                            </w:r>
                          </w:p>
                          <w:p w:rsidR="00166140" w:rsidRPr="00526178" w:rsidRDefault="00166140" w:rsidP="00DD404A">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1.6pt;margin-top:-36.3pt;width:312.1pt;height:36.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" stroked="f">
                <v:fill opacity="0"/>
                <v:textbox inset="0,0,0,0">
                  <w:txbxContent>
                    <w:p w:rsidR="00166140" w:rsidRPr="002865A7" w:rsidRDefault="00166140" w:rsidP="00DD404A">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01888">
                        <w:rPr>
                          <w:rFonts w:ascii="Times New Roman" w:hAnsi="Times New Roman"/>
                          <w:sz w:val="52"/>
                          <w:szCs w:val="52"/>
                        </w:rPr>
                        <w:t>184</w:t>
                      </w:r>
                    </w:p>
                    <w:p w:rsidR="00166140" w:rsidRPr="00526178" w:rsidRDefault="00166140" w:rsidP="00DD404A">
                      <w:pPr>
                        <w:pStyle w:val="Heading2"/>
                        <w:rPr>
                          <w:b w:val="0"/>
                          <w:bCs w:val="0"/>
                          <w:i w:val="0"/>
                          <w:iCs w:val="0"/>
                        </w:rPr>
                      </w:pPr>
                    </w:p>
                  </w:txbxContent>
                </v:textbox>
              </v:shape>
            </w:pict>
          </mc:Fallback>
        </mc:AlternateContent>
      </w:r>
    </w:p>
    <w:p w:rsidR="00DD404A" w:rsidRPr="008C5878" w:rsidRDefault="00DD404A" w:rsidP="0084630F"/>
    <w:p w:rsidR="00DD404A" w:rsidRPr="008C5878" w:rsidRDefault="00DD404A" w:rsidP="0084630F">
      <w:pPr>
        <w:pStyle w:val="Caption"/>
        <w:keepNext/>
        <w:spacing w:line="276" w:lineRule="auto"/>
        <w:rPr>
          <w:sz w:val="22"/>
          <w:szCs w:val="22"/>
        </w:rPr>
      </w:pPr>
    </w:p>
    <w:p w:rsidR="00DD404A" w:rsidRPr="008C5878" w:rsidRDefault="00DD404A" w:rsidP="0084630F">
      <w:pPr>
        <w:pStyle w:val="Caption"/>
        <w:keepNext/>
        <w:spacing w:line="276" w:lineRule="auto"/>
        <w:rPr>
          <w:sz w:val="22"/>
          <w:szCs w:val="22"/>
        </w:rPr>
      </w:pPr>
    </w:p>
    <w:p w:rsidR="00DD404A" w:rsidRPr="008D125E" w:rsidRDefault="00B5224A" w:rsidP="0084630F">
      <w:pPr>
        <w:jc w:val="center"/>
        <w:rPr>
          <w:b/>
          <w:sz w:val="32"/>
          <w:szCs w:val="32"/>
        </w:rPr>
      </w:pPr>
      <w:r>
        <w:rPr>
          <w:b/>
          <w:sz w:val="32"/>
          <w:szCs w:val="32"/>
        </w:rPr>
        <w:t>DÜŞÜK BÜYÜME OLAĞANÜSTÜ İSTİHDAM ARTIŞI</w:t>
      </w:r>
    </w:p>
    <w:p w:rsidR="00DD404A" w:rsidRPr="008C5878" w:rsidRDefault="00DD404A" w:rsidP="0084630F">
      <w:pPr>
        <w:jc w:val="center"/>
        <w:rPr>
          <w:b/>
          <w:bCs/>
        </w:rPr>
      </w:pPr>
      <w:r w:rsidRPr="008C5878">
        <w:rPr>
          <w:b/>
          <w:bCs/>
        </w:rPr>
        <w:t>Seyfettin Gürsel</w:t>
      </w:r>
      <w:r w:rsidRPr="008C5878">
        <w:rPr>
          <w:b/>
          <w:bCs/>
          <w:vertAlign w:val="superscript"/>
        </w:rPr>
        <w:footnoteReference w:customMarkFollows="1" w:id="1"/>
        <w:t>*</w:t>
      </w:r>
      <w:r w:rsidRPr="008C5878">
        <w:rPr>
          <w:b/>
          <w:bCs/>
        </w:rPr>
        <w:t>, Gökçe Uysal</w:t>
      </w:r>
      <w:r w:rsidRPr="008C5878">
        <w:rPr>
          <w:b/>
          <w:bCs/>
          <w:vertAlign w:val="superscript"/>
        </w:rPr>
        <w:footnoteReference w:customMarkFollows="1" w:id="2"/>
        <w:sym w:font="Symbol" w:char="F02A"/>
      </w:r>
      <w:r w:rsidRPr="008C5878">
        <w:rPr>
          <w:b/>
          <w:bCs/>
          <w:vertAlign w:val="superscript"/>
        </w:rPr>
        <w:sym w:font="Symbol" w:char="F02A"/>
      </w:r>
      <w:r w:rsidRPr="008C5878">
        <w:rPr>
          <w:b/>
          <w:bCs/>
        </w:rPr>
        <w:t xml:space="preserve"> ve Mine Durmaz </w:t>
      </w:r>
      <w:r w:rsidRPr="008C5878">
        <w:rPr>
          <w:b/>
          <w:bCs/>
          <w:vertAlign w:val="superscript"/>
        </w:rPr>
        <w:footnoteReference w:customMarkFollows="1" w:id="3"/>
        <w:sym w:font="Symbol" w:char="F02A"/>
      </w:r>
      <w:r w:rsidRPr="008C5878">
        <w:rPr>
          <w:b/>
          <w:bCs/>
          <w:vertAlign w:val="superscript"/>
        </w:rPr>
        <w:sym w:font="Symbol" w:char="F02A"/>
      </w:r>
      <w:r w:rsidRPr="008C5878">
        <w:rPr>
          <w:b/>
          <w:bCs/>
          <w:vertAlign w:val="superscript"/>
        </w:rPr>
        <w:sym w:font="Symbol" w:char="F02A"/>
      </w:r>
    </w:p>
    <w:p w:rsidR="00DD404A" w:rsidRPr="008C5878" w:rsidRDefault="00DD404A" w:rsidP="0084630F">
      <w:pPr>
        <w:jc w:val="center"/>
        <w:rPr>
          <w:b/>
          <w:bCs/>
          <w:sz w:val="24"/>
          <w:szCs w:val="24"/>
        </w:rPr>
      </w:pPr>
      <w:r w:rsidRPr="008C5878">
        <w:rPr>
          <w:b/>
          <w:bCs/>
          <w:sz w:val="24"/>
          <w:szCs w:val="24"/>
        </w:rPr>
        <w:t>Yönetici Özeti</w:t>
      </w:r>
      <w:bookmarkStart w:id="0" w:name="_GoBack"/>
      <w:bookmarkEnd w:id="0"/>
    </w:p>
    <w:p w:rsidR="00DD404A" w:rsidRPr="008C5878" w:rsidRDefault="007A3DFB" w:rsidP="00577429">
      <w:pPr>
        <w:jc w:val="both"/>
      </w:pPr>
      <w:r>
        <w:t xml:space="preserve">Büyümenin istihdam yaratma kapasitesi hem işsizliğin düşürülmesi hem de ekonomide verimlilik artışları açısından önemli ipuçları içerir. Bu araştırma notunda Türkiye'de son on yılda büyümenin ne kadar istihdam yarattığı incelenmektedir. 2005-2011 yılları arasında büyüme-istihdam ilişkisi dengeli bir seyir izlemiştir. Buna karşın 2011-2014 yılları arasında büyüme zayıf seyretmekle birlikte tarım dışı istihdamda beklenenin çok üzerinde artışlar gerçekleşmiştir. </w:t>
      </w:r>
      <w:r w:rsidR="00E20E5A">
        <w:t xml:space="preserve">İnşaat ve hizmetlerde daha güçlü bir şekilde olmakla birlikte tüm alt sektörlerde dönem dönem büyüme oranlarının üzerinde istihdam artışları kaydedilmiştir. </w:t>
      </w:r>
      <w:r w:rsidR="00D9418D">
        <w:t>Bu dönemde işgücü artışları da hızlanmış, dolayısıyla işsizlik oranlarında önemli iyileşmeler görülmemiştir. Kuşkusuz istihdamın artıyor olması büyümenin kapsayıcı olması açısından sevindiricidir. Benzer şekilde işgücüne katılımın artıyor olması Türkiye işgücü piyasasının önemli yapısal sorunlarından</w:t>
      </w:r>
      <w:r w:rsidR="00D9418D" w:rsidRPr="009E1184">
        <w:t xml:space="preserve"> bir</w:t>
      </w:r>
      <w:r w:rsidR="00577429" w:rsidRPr="009E1184">
        <w:t>i</w:t>
      </w:r>
      <w:r w:rsidR="00D9418D">
        <w:t xml:space="preserve"> olan katılımın düşüklüğüyle mücadele açısından önem arz etmektedir. Ancak </w:t>
      </w:r>
      <w:r w:rsidR="00A54D6F">
        <w:t>b</w:t>
      </w:r>
      <w:r w:rsidR="00E20E5A">
        <w:t xml:space="preserve">u beklenmedik gelişmeler hem verimlilikte gerilemelere hem de Türkiye'nin orta gelir tuzağında kısılıp kaldığına işaret etmektedir. </w:t>
      </w:r>
    </w:p>
    <w:p w:rsidR="00DD404A" w:rsidRPr="008C5878" w:rsidRDefault="007F372C" w:rsidP="0084630F">
      <w:pPr>
        <w:rPr>
          <w:rFonts w:cs="Arial"/>
          <w:b/>
          <w:sz w:val="24"/>
          <w:szCs w:val="24"/>
        </w:rPr>
      </w:pPr>
      <w:r w:rsidRPr="008C5878">
        <w:rPr>
          <w:rFonts w:cs="Arial"/>
          <w:b/>
          <w:sz w:val="24"/>
          <w:szCs w:val="24"/>
        </w:rPr>
        <w:t>Büyüme-istihdam ilişkisi</w:t>
      </w:r>
    </w:p>
    <w:p w:rsidR="00672BE5" w:rsidRPr="008C5878" w:rsidRDefault="007F372C" w:rsidP="0084630F">
      <w:pPr>
        <w:jc w:val="both"/>
        <w:rPr>
          <w:rFonts w:cs="Arial"/>
        </w:rPr>
      </w:pPr>
      <w:r w:rsidRPr="008C5878">
        <w:rPr>
          <w:rFonts w:cs="Arial"/>
        </w:rPr>
        <w:t>Ekonomik büyüme (GSYH artışı) ile istihdam artışı arasında etkileşi</w:t>
      </w:r>
      <w:r w:rsidR="007044F6" w:rsidRPr="008C5878">
        <w:rPr>
          <w:rFonts w:cs="Arial"/>
        </w:rPr>
        <w:t>min</w:t>
      </w:r>
      <w:r w:rsidRPr="008C5878">
        <w:rPr>
          <w:rFonts w:cs="Arial"/>
        </w:rPr>
        <w:t xml:space="preserve"> büyümenin niteliğine bağlı olarak büyük farklılar gösterdiği gerek </w:t>
      </w:r>
      <w:r w:rsidRPr="008D125E">
        <w:rPr>
          <w:rFonts w:cs="Arial"/>
        </w:rPr>
        <w:t xml:space="preserve">kuramsal </w:t>
      </w:r>
      <w:r w:rsidR="005C4CD4" w:rsidRPr="008D125E">
        <w:rPr>
          <w:rFonts w:cs="Arial"/>
        </w:rPr>
        <w:t xml:space="preserve">olarak </w:t>
      </w:r>
      <w:r w:rsidRPr="008D125E">
        <w:rPr>
          <w:rFonts w:cs="Arial"/>
        </w:rPr>
        <w:t xml:space="preserve">gerek ülke deneyimleri itibariyle bilinen bir olgudur. </w:t>
      </w:r>
      <w:r w:rsidR="005331C8" w:rsidRPr="008D125E">
        <w:rPr>
          <w:rFonts w:cs="Arial"/>
        </w:rPr>
        <w:t>Büyük ölçüde emek tasarruf eden yeni teknolojilere ve toplam faktör verimlil</w:t>
      </w:r>
      <w:r w:rsidR="005C4CD4" w:rsidRPr="008D125E">
        <w:rPr>
          <w:rFonts w:cs="Arial"/>
        </w:rPr>
        <w:t>i</w:t>
      </w:r>
      <w:r w:rsidR="005331C8" w:rsidRPr="008D125E">
        <w:rPr>
          <w:rFonts w:cs="Arial"/>
        </w:rPr>
        <w:t>ği artışına dayalı bir ekonomik büyüme rejiminde</w:t>
      </w:r>
      <w:r w:rsidR="00707E17">
        <w:rPr>
          <w:rFonts w:cs="Arial"/>
        </w:rPr>
        <w:t>,</w:t>
      </w:r>
      <w:r w:rsidR="005331C8" w:rsidRPr="008D125E">
        <w:rPr>
          <w:rFonts w:cs="Arial"/>
        </w:rPr>
        <w:t xml:space="preserve"> istihdam artışı göreli olarak</w:t>
      </w:r>
      <w:r w:rsidR="005331C8" w:rsidRPr="008C5878">
        <w:rPr>
          <w:rFonts w:cs="Arial"/>
        </w:rPr>
        <w:t xml:space="preserve"> düşük kalır. Bu nitelik</w:t>
      </w:r>
      <w:r w:rsidR="007044F6" w:rsidRPr="008C5878">
        <w:rPr>
          <w:rFonts w:cs="Arial"/>
        </w:rPr>
        <w:t>teki</w:t>
      </w:r>
      <w:r w:rsidR="005331C8" w:rsidRPr="008C5878">
        <w:rPr>
          <w:rFonts w:cs="Arial"/>
        </w:rPr>
        <w:t xml:space="preserve"> büyüme uzun vadede olumludur çünkü bu büyüme rejiminde çalışan başına, dolayısıyla kişi başına katma değer hızlı artar</w:t>
      </w:r>
      <w:r w:rsidR="00672BE5" w:rsidRPr="008C5878">
        <w:rPr>
          <w:rFonts w:cs="Arial"/>
        </w:rPr>
        <w:t>, ekonomik gelişme ivme kazanır. 2009 krizi öncesi Türkiye’de popüler ama bir o kadar da tartışmalı deyimle “istihdamsız büyüme”</w:t>
      </w:r>
      <w:r w:rsidR="007044F6" w:rsidRPr="008C5878">
        <w:rPr>
          <w:rFonts w:cs="Arial"/>
        </w:rPr>
        <w:t xml:space="preserve"> </w:t>
      </w:r>
      <w:r w:rsidR="00672BE5" w:rsidRPr="008C5878">
        <w:rPr>
          <w:rFonts w:cs="Arial"/>
        </w:rPr>
        <w:t>bu asimetrik ilişk</w:t>
      </w:r>
      <w:r w:rsidR="00D71EE3">
        <w:rPr>
          <w:rFonts w:cs="Arial"/>
        </w:rPr>
        <w:t>iyi ifade eder. Dolayısıyla</w:t>
      </w:r>
      <w:r w:rsidR="005C4CD4" w:rsidRPr="008C5878">
        <w:rPr>
          <w:rFonts w:cs="Arial"/>
        </w:rPr>
        <w:t xml:space="preserve"> </w:t>
      </w:r>
      <w:r w:rsidR="007030AE">
        <w:rPr>
          <w:rFonts w:cs="Arial"/>
        </w:rPr>
        <w:t xml:space="preserve">bu büyüme rejimi, </w:t>
      </w:r>
      <w:r w:rsidR="005C4CD4" w:rsidRPr="008C5878">
        <w:rPr>
          <w:rFonts w:cs="Arial"/>
        </w:rPr>
        <w:t>e</w:t>
      </w:r>
      <w:r w:rsidR="00672BE5" w:rsidRPr="008C5878">
        <w:rPr>
          <w:rFonts w:cs="Arial"/>
        </w:rPr>
        <w:t xml:space="preserve">konomide işsizlik yüksek, işgücü </w:t>
      </w:r>
      <w:r w:rsidR="000D2688" w:rsidRPr="008C5878">
        <w:rPr>
          <w:rFonts w:cs="Arial"/>
        </w:rPr>
        <w:t xml:space="preserve">(emek arzı) </w:t>
      </w:r>
      <w:r w:rsidR="00672BE5" w:rsidRPr="008C5878">
        <w:rPr>
          <w:rFonts w:cs="Arial"/>
        </w:rPr>
        <w:t>artışı da güçlü ise – Türkiye’de</w:t>
      </w:r>
      <w:r w:rsidR="005C4CD4" w:rsidRPr="008C5878">
        <w:rPr>
          <w:rFonts w:cs="Arial"/>
        </w:rPr>
        <w:t xml:space="preserve"> olduğu gibi- kısa ve orta vade</w:t>
      </w:r>
      <w:r w:rsidR="00672BE5" w:rsidRPr="008C5878">
        <w:rPr>
          <w:rFonts w:cs="Arial"/>
        </w:rPr>
        <w:t>li bir perspektifte arzu edilmeyebilir. Bu koşullarda i</w:t>
      </w:r>
      <w:r w:rsidRPr="008C5878">
        <w:rPr>
          <w:rFonts w:cs="Arial"/>
        </w:rPr>
        <w:t xml:space="preserve">şsizlikle mücadele </w:t>
      </w:r>
      <w:r w:rsidR="00672BE5" w:rsidRPr="008C5878">
        <w:rPr>
          <w:rFonts w:cs="Arial"/>
        </w:rPr>
        <w:t>için</w:t>
      </w:r>
      <w:r w:rsidR="005C4CD4" w:rsidRPr="008C5878">
        <w:rPr>
          <w:rFonts w:cs="Arial"/>
        </w:rPr>
        <w:t xml:space="preserve"> ekonomik </w:t>
      </w:r>
      <w:r w:rsidRPr="008C5878">
        <w:rPr>
          <w:rFonts w:cs="Arial"/>
        </w:rPr>
        <w:t xml:space="preserve">büyümenin olabildiğince fazla istihdam yaratması </w:t>
      </w:r>
      <w:r w:rsidR="00672BE5" w:rsidRPr="008C5878">
        <w:rPr>
          <w:rFonts w:cs="Arial"/>
        </w:rPr>
        <w:t>istenir.</w:t>
      </w:r>
      <w:r w:rsidRPr="008C5878">
        <w:rPr>
          <w:rFonts w:cs="Arial"/>
        </w:rPr>
        <w:t xml:space="preserve"> Bu tercih “istihdam dostu büyüme” kavramı</w:t>
      </w:r>
      <w:r w:rsidR="00A94258">
        <w:rPr>
          <w:rFonts w:cs="Arial"/>
        </w:rPr>
        <w:t>yla</w:t>
      </w:r>
      <w:r w:rsidRPr="008C5878">
        <w:rPr>
          <w:rFonts w:cs="Arial"/>
        </w:rPr>
        <w:t xml:space="preserve"> </w:t>
      </w:r>
      <w:r w:rsidR="00FA1E40" w:rsidRPr="008C5878">
        <w:rPr>
          <w:rFonts w:cs="Arial"/>
        </w:rPr>
        <w:t xml:space="preserve">ifade edilir. </w:t>
      </w:r>
      <w:r w:rsidR="00D72BC6">
        <w:rPr>
          <w:rFonts w:cs="Arial"/>
        </w:rPr>
        <w:t xml:space="preserve">Böylelikle ekonomik büyüme kapsayıcı bir nitelik kazanır. </w:t>
      </w:r>
      <w:r w:rsidR="00672BE5" w:rsidRPr="008C5878">
        <w:rPr>
          <w:rFonts w:cs="Arial"/>
        </w:rPr>
        <w:t>Ancak yaratılan işlerin kal</w:t>
      </w:r>
      <w:r w:rsidR="005C4CD4" w:rsidRPr="008C5878">
        <w:rPr>
          <w:rFonts w:cs="Arial"/>
        </w:rPr>
        <w:t>i</w:t>
      </w:r>
      <w:r w:rsidR="00672BE5" w:rsidRPr="008C5878">
        <w:rPr>
          <w:rFonts w:cs="Arial"/>
        </w:rPr>
        <w:t>tesi bir yana</w:t>
      </w:r>
      <w:r w:rsidR="00212009" w:rsidRPr="008C5878">
        <w:rPr>
          <w:rFonts w:cs="Arial"/>
        </w:rPr>
        <w:t>,</w:t>
      </w:r>
      <w:r w:rsidR="00672BE5" w:rsidRPr="008C5878">
        <w:rPr>
          <w:rFonts w:cs="Arial"/>
        </w:rPr>
        <w:t xml:space="preserve"> düşük verimlilik artışlarının, hatta bu notta görüleceği gibi zaman</w:t>
      </w:r>
      <w:r w:rsidR="00212009" w:rsidRPr="008C5878">
        <w:rPr>
          <w:rFonts w:cs="Arial"/>
        </w:rPr>
        <w:t xml:space="preserve"> zaman</w:t>
      </w:r>
      <w:r w:rsidR="00672BE5" w:rsidRPr="008C5878">
        <w:rPr>
          <w:rFonts w:cs="Arial"/>
        </w:rPr>
        <w:t xml:space="preserve"> verimlilikte düşüşlerin </w:t>
      </w:r>
      <w:r w:rsidR="005C4CD4" w:rsidRPr="008C5878">
        <w:rPr>
          <w:rFonts w:cs="Arial"/>
        </w:rPr>
        <w:t>görüldüğü</w:t>
      </w:r>
      <w:r w:rsidR="00672BE5" w:rsidRPr="008C5878">
        <w:rPr>
          <w:rFonts w:cs="Arial"/>
        </w:rPr>
        <w:t xml:space="preserve"> </w:t>
      </w:r>
      <w:r w:rsidR="00212009" w:rsidRPr="008C5878">
        <w:rPr>
          <w:rFonts w:cs="Arial"/>
        </w:rPr>
        <w:t>bu büyüme rejimi ekonomik gelişme bakımın</w:t>
      </w:r>
      <w:r w:rsidR="005C4CD4" w:rsidRPr="008C5878">
        <w:rPr>
          <w:rFonts w:cs="Arial"/>
        </w:rPr>
        <w:t xml:space="preserve">dan umut verici değildir. </w:t>
      </w:r>
      <w:r w:rsidR="00042A07" w:rsidRPr="00E85261">
        <w:rPr>
          <w:rFonts w:cs="Arial"/>
        </w:rPr>
        <w:t xml:space="preserve">Zira </w:t>
      </w:r>
      <w:r w:rsidR="00DA53E3" w:rsidRPr="00E85261">
        <w:rPr>
          <w:rFonts w:cs="Arial"/>
        </w:rPr>
        <w:t xml:space="preserve">istihdam </w:t>
      </w:r>
      <w:r w:rsidR="00042A07" w:rsidRPr="00E85261">
        <w:rPr>
          <w:rFonts w:cs="Arial"/>
        </w:rPr>
        <w:t>büyüme</w:t>
      </w:r>
      <w:r w:rsidR="00DA53E3" w:rsidRPr="00E85261">
        <w:rPr>
          <w:rFonts w:cs="Arial"/>
        </w:rPr>
        <w:t>den hızlı artmakta ve</w:t>
      </w:r>
      <w:r w:rsidR="00042A07" w:rsidRPr="00E85261">
        <w:rPr>
          <w:rFonts w:cs="Arial"/>
        </w:rPr>
        <w:t xml:space="preserve"> dolayısıyla verimlilik düşmektedir. Bu tip büyüme kişi başına gelir artışlarının yavaşlaması ve o</w:t>
      </w:r>
      <w:r w:rsidR="005C4CD4" w:rsidRPr="00E85261">
        <w:rPr>
          <w:rFonts w:cs="Arial"/>
        </w:rPr>
        <w:t>rta gelir t</w:t>
      </w:r>
      <w:r w:rsidR="00212009" w:rsidRPr="00E85261">
        <w:rPr>
          <w:rFonts w:cs="Arial"/>
        </w:rPr>
        <w:t>uzağında</w:t>
      </w:r>
      <w:r w:rsidR="00042A07" w:rsidRPr="00E85261">
        <w:rPr>
          <w:rFonts w:cs="Arial"/>
        </w:rPr>
        <w:t xml:space="preserve"> kısılmanın da </w:t>
      </w:r>
      <w:r w:rsidR="00212009" w:rsidRPr="008C5878">
        <w:rPr>
          <w:rFonts w:cs="Arial"/>
        </w:rPr>
        <w:t xml:space="preserve">tipik bir tezahürüdür. </w:t>
      </w:r>
    </w:p>
    <w:p w:rsidR="008950C9" w:rsidRDefault="00FA1E40" w:rsidP="0084630F">
      <w:pPr>
        <w:jc w:val="both"/>
        <w:rPr>
          <w:rFonts w:cs="Arial"/>
        </w:rPr>
      </w:pPr>
      <w:r w:rsidRPr="008C5878">
        <w:rPr>
          <w:rFonts w:cs="Arial"/>
        </w:rPr>
        <w:lastRenderedPageBreak/>
        <w:t>Mikro düzeyde ekonomik büyüme</w:t>
      </w:r>
      <w:r w:rsidR="009D2A2A">
        <w:rPr>
          <w:rFonts w:cs="Arial"/>
        </w:rPr>
        <w:t>,</w:t>
      </w:r>
      <w:r w:rsidRPr="008C5878">
        <w:rPr>
          <w:rFonts w:cs="Arial"/>
        </w:rPr>
        <w:t xml:space="preserve"> bir yandan mevcut firmaların üretimlerini arttırmaları</w:t>
      </w:r>
      <w:r w:rsidR="00C24F07" w:rsidRPr="008C5878">
        <w:rPr>
          <w:rFonts w:cs="Arial"/>
        </w:rPr>
        <w:t>,</w:t>
      </w:r>
      <w:r w:rsidRPr="008C5878">
        <w:rPr>
          <w:rFonts w:cs="Arial"/>
        </w:rPr>
        <w:t xml:space="preserve"> diğer yanda</w:t>
      </w:r>
      <w:r w:rsidR="009D2A2A">
        <w:rPr>
          <w:rFonts w:cs="Arial"/>
        </w:rPr>
        <w:t>n da net firma sayısında artış</w:t>
      </w:r>
      <w:r w:rsidRPr="008C5878">
        <w:rPr>
          <w:rFonts w:cs="Arial"/>
        </w:rPr>
        <w:t xml:space="preserve"> (açılanların kapananlardan daha fazla olması) </w:t>
      </w:r>
      <w:r w:rsidR="009D2A2A">
        <w:rPr>
          <w:rFonts w:cs="Arial"/>
        </w:rPr>
        <w:t xml:space="preserve">ile </w:t>
      </w:r>
      <w:r w:rsidRPr="008C5878">
        <w:rPr>
          <w:rFonts w:cs="Arial"/>
        </w:rPr>
        <w:t>gerçekleşir. Toplamda üretim artışının mevc</w:t>
      </w:r>
      <w:r w:rsidR="00C24F07" w:rsidRPr="008C5878">
        <w:rPr>
          <w:rFonts w:cs="Arial"/>
        </w:rPr>
        <w:t>u</w:t>
      </w:r>
      <w:r w:rsidRPr="008C5878">
        <w:rPr>
          <w:rFonts w:cs="Arial"/>
        </w:rPr>
        <w:t>t istihdam miktarını artırması doğaldır.</w:t>
      </w:r>
      <w:r w:rsidR="005331C8" w:rsidRPr="008C5878">
        <w:rPr>
          <w:rFonts w:cs="Arial"/>
        </w:rPr>
        <w:t xml:space="preserve"> Bu ilişki teknik </w:t>
      </w:r>
      <w:r w:rsidR="005331C8" w:rsidRPr="008D125E">
        <w:rPr>
          <w:rFonts w:cs="Arial"/>
        </w:rPr>
        <w:t xml:space="preserve">olarak </w:t>
      </w:r>
      <w:r w:rsidR="00C24F07" w:rsidRPr="008D125E">
        <w:rPr>
          <w:rFonts w:cs="Arial"/>
        </w:rPr>
        <w:t>istihdam</w:t>
      </w:r>
      <w:r w:rsidR="005331C8" w:rsidRPr="008D125E">
        <w:rPr>
          <w:rFonts w:cs="Arial"/>
        </w:rPr>
        <w:t>-</w:t>
      </w:r>
      <w:r w:rsidR="00C24F07" w:rsidRPr="008D125E">
        <w:rPr>
          <w:rFonts w:cs="Arial"/>
        </w:rPr>
        <w:t>büyüme</w:t>
      </w:r>
      <w:r w:rsidR="005331C8" w:rsidRPr="008D125E">
        <w:rPr>
          <w:rFonts w:cs="Arial"/>
        </w:rPr>
        <w:t xml:space="preserve"> esnekliği adı verilen istihdam değişimi / GSYH değişimi olarak tanımlanan </w:t>
      </w:r>
      <w:r w:rsidR="00C24F07" w:rsidRPr="008D125E">
        <w:rPr>
          <w:rFonts w:cs="Arial"/>
        </w:rPr>
        <w:t>oran</w:t>
      </w:r>
      <w:r w:rsidR="005331C8" w:rsidRPr="008D125E">
        <w:rPr>
          <w:rFonts w:cs="Arial"/>
        </w:rPr>
        <w:t xml:space="preserve"> ile ölçülür. Örneğin yıllık yüzde 4 büyüme gerçekleştiğinde istihdam yüzde 2 artmış ise esneklik 0,5 puan</w:t>
      </w:r>
      <w:r w:rsidR="005331C8" w:rsidRPr="008C5878">
        <w:rPr>
          <w:rFonts w:cs="Arial"/>
        </w:rPr>
        <w:t xml:space="preserve"> demektir. </w:t>
      </w:r>
      <w:r w:rsidR="008950C9" w:rsidRPr="00E85261">
        <w:rPr>
          <w:rFonts w:cs="Arial"/>
        </w:rPr>
        <w:t>Diğer bir deyişle</w:t>
      </w:r>
      <w:r w:rsidR="00577429" w:rsidRPr="00E85261">
        <w:rPr>
          <w:rFonts w:cs="Arial"/>
        </w:rPr>
        <w:t>,</w:t>
      </w:r>
      <w:r w:rsidR="008950C9" w:rsidRPr="00E85261">
        <w:rPr>
          <w:rFonts w:cs="Arial"/>
        </w:rPr>
        <w:t xml:space="preserve"> yüzde birlik bir büyüme yüzde 0,5'lik bir istihdam artışı yaratmış demektir. Dolayısıyla bu esneklik katsayısı ne kadar yüksek olursa büyümenin işsiz sayısını azaltma ihtimali de o kadar yüksek olur. </w:t>
      </w:r>
      <w:r w:rsidR="002469BA" w:rsidRPr="00E85261">
        <w:rPr>
          <w:rFonts w:cs="Arial"/>
        </w:rPr>
        <w:t>Genellikle e</w:t>
      </w:r>
      <w:r w:rsidR="008950C9" w:rsidRPr="00E85261">
        <w:rPr>
          <w:rFonts w:cs="Arial"/>
        </w:rPr>
        <w:t xml:space="preserve">sneklik katsayısı birin altında gerçekleşir. Esnekliğin bire yaklaşması yüzde birlik bir büyümenin yüzde birlik bir istihdam artışına tekabül etmesi demektir. Bu durumda verimlilik artışları sıfıra yaklaşır. Esnekliğin birin üstüne çıktığı durumlarda ise yüzde birlik bir büyüme yüzde birin üzerinde istihdam artışı yaratır. Diğer ifadeyle istihdam artışları GSYH büyüme oranının üzerine çıkar, çalışan başına verimlilik düşer. </w:t>
      </w:r>
      <w:r w:rsidR="00780358" w:rsidRPr="00E85261">
        <w:rPr>
          <w:rFonts w:cs="Arial"/>
        </w:rPr>
        <w:t xml:space="preserve">Büyüme oranının üzerine çıkan oranlar </w:t>
      </w:r>
      <w:r w:rsidR="008950C9" w:rsidRPr="00E85261">
        <w:rPr>
          <w:rFonts w:cs="Arial"/>
        </w:rPr>
        <w:t xml:space="preserve">teknik olarak </w:t>
      </w:r>
      <w:r w:rsidR="00265911" w:rsidRPr="00E85261">
        <w:rPr>
          <w:rFonts w:cs="Arial"/>
        </w:rPr>
        <w:t>"</w:t>
      </w:r>
      <w:r w:rsidR="008950C9" w:rsidRPr="00E85261">
        <w:rPr>
          <w:rFonts w:cs="Arial"/>
        </w:rPr>
        <w:t>aşırı istihdam</w:t>
      </w:r>
      <w:r w:rsidR="00265911" w:rsidRPr="00E85261">
        <w:rPr>
          <w:rFonts w:cs="Arial"/>
        </w:rPr>
        <w:t>"</w:t>
      </w:r>
      <w:r w:rsidR="00780358" w:rsidRPr="00E85261">
        <w:rPr>
          <w:rFonts w:cs="Arial"/>
        </w:rPr>
        <w:t xml:space="preserve"> olarak</w:t>
      </w:r>
      <w:r w:rsidR="008950C9" w:rsidRPr="00E85261">
        <w:rPr>
          <w:rFonts w:cs="Arial"/>
        </w:rPr>
        <w:t xml:space="preserve"> </w:t>
      </w:r>
      <w:r w:rsidR="00780358" w:rsidRPr="00E85261">
        <w:rPr>
          <w:rFonts w:cs="Arial"/>
        </w:rPr>
        <w:t>adlandırılabilir</w:t>
      </w:r>
      <w:r w:rsidR="008950C9" w:rsidRPr="00E85261">
        <w:rPr>
          <w:rFonts w:cs="Arial"/>
        </w:rPr>
        <w:t>.</w:t>
      </w:r>
      <w:r w:rsidR="008950C9">
        <w:rPr>
          <w:rFonts w:cs="Arial"/>
        </w:rPr>
        <w:t xml:space="preserve"> </w:t>
      </w:r>
    </w:p>
    <w:p w:rsidR="00212009" w:rsidRPr="008C5878" w:rsidRDefault="00E96253" w:rsidP="0084630F">
      <w:pPr>
        <w:spacing w:after="0"/>
        <w:jc w:val="both"/>
        <w:rPr>
          <w:rFonts w:eastAsia="Times New Roman" w:cs="Arial"/>
          <w:b/>
          <w:sz w:val="24"/>
          <w:szCs w:val="24"/>
        </w:rPr>
      </w:pPr>
      <w:r w:rsidRPr="008C5878">
        <w:rPr>
          <w:rFonts w:eastAsia="Times New Roman" w:cs="Arial"/>
          <w:b/>
          <w:sz w:val="24"/>
          <w:szCs w:val="24"/>
        </w:rPr>
        <w:t>B</w:t>
      </w:r>
      <w:r w:rsidR="00212009" w:rsidRPr="008C5878">
        <w:rPr>
          <w:rFonts w:eastAsia="Times New Roman" w:cs="Arial"/>
          <w:b/>
          <w:sz w:val="24"/>
          <w:szCs w:val="24"/>
        </w:rPr>
        <w:t xml:space="preserve">üyüme-istihdam ilişkisinde </w:t>
      </w:r>
      <w:r w:rsidRPr="008C5878">
        <w:rPr>
          <w:rFonts w:eastAsia="Times New Roman" w:cs="Arial"/>
          <w:b/>
          <w:sz w:val="24"/>
          <w:szCs w:val="24"/>
        </w:rPr>
        <w:t>dengeli dönem</w:t>
      </w:r>
      <w:r w:rsidR="0062406C" w:rsidRPr="008C5878">
        <w:rPr>
          <w:rFonts w:eastAsia="Times New Roman" w:cs="Arial"/>
          <w:b/>
          <w:sz w:val="24"/>
          <w:szCs w:val="24"/>
        </w:rPr>
        <w:t>: 2005-2011</w:t>
      </w:r>
    </w:p>
    <w:p w:rsidR="00212009" w:rsidRPr="008C5878" w:rsidRDefault="00212009" w:rsidP="0084630F">
      <w:pPr>
        <w:spacing w:after="0"/>
        <w:jc w:val="both"/>
        <w:rPr>
          <w:rFonts w:eastAsia="Times New Roman" w:cs="Arial"/>
        </w:rPr>
      </w:pPr>
    </w:p>
    <w:p w:rsidR="007E4A39" w:rsidRPr="008C5878" w:rsidRDefault="007E4A39" w:rsidP="007E4A39">
      <w:pPr>
        <w:spacing w:after="0"/>
        <w:jc w:val="both"/>
        <w:rPr>
          <w:rFonts w:eastAsia="Times New Roman" w:cs="Arial"/>
        </w:rPr>
      </w:pPr>
      <w:r>
        <w:rPr>
          <w:rFonts w:eastAsia="Times New Roman" w:cs="Arial"/>
        </w:rPr>
        <w:t xml:space="preserve">Bu araştırma notunda büyümenin istihdam yaratma kapasitesini son on yıllık dönem için inceliyoruz. Araştırmamızı </w:t>
      </w:r>
      <w:r w:rsidRPr="008C5878">
        <w:rPr>
          <w:rFonts w:eastAsia="Times New Roman" w:cs="Arial"/>
        </w:rPr>
        <w:t>2005-2014 dönemi ile sınırlı tutmamızın nedeni</w:t>
      </w:r>
      <w:r>
        <w:rPr>
          <w:rFonts w:eastAsia="Times New Roman" w:cs="Arial"/>
        </w:rPr>
        <w:t>,</w:t>
      </w:r>
      <w:r w:rsidRPr="008C5878">
        <w:rPr>
          <w:rFonts w:eastAsia="Times New Roman" w:cs="Arial"/>
        </w:rPr>
        <w:t xml:space="preserve"> TÜİK işgücü istatistiklerinde 2014 Şubat</w:t>
      </w:r>
      <w:r>
        <w:rPr>
          <w:rFonts w:eastAsia="Times New Roman" w:cs="Arial"/>
        </w:rPr>
        <w:t xml:space="preserve"> ayında yapılan revizyon çerçevesinde istatistiklerin</w:t>
      </w:r>
      <w:r w:rsidRPr="008C5878">
        <w:rPr>
          <w:rFonts w:eastAsia="Times New Roman" w:cs="Arial"/>
        </w:rPr>
        <w:t xml:space="preserve"> geriye doğru 2005’e kadar revize edilmiş olmasıdır. İstihdam serisinin zaman tutarlılığı açısından bu sınırlamayı gerekli görüyoruz.</w:t>
      </w:r>
    </w:p>
    <w:p w:rsidR="0062406C" w:rsidRPr="008C5878" w:rsidRDefault="0062406C" w:rsidP="0084630F">
      <w:pPr>
        <w:spacing w:after="0"/>
        <w:jc w:val="both"/>
        <w:rPr>
          <w:rFonts w:eastAsia="Times New Roman" w:cs="Arial"/>
        </w:rPr>
      </w:pPr>
    </w:p>
    <w:p w:rsidR="00DD404A" w:rsidRPr="008C5878" w:rsidRDefault="00DD404A" w:rsidP="0084630F">
      <w:pPr>
        <w:pStyle w:val="Caption"/>
        <w:keepNext/>
        <w:spacing w:line="276" w:lineRule="auto"/>
        <w:rPr>
          <w:rFonts w:cs="Arial"/>
          <w:color w:val="auto"/>
          <w:sz w:val="22"/>
          <w:szCs w:val="22"/>
        </w:rPr>
      </w:pPr>
      <w:r w:rsidRPr="008C5878">
        <w:rPr>
          <w:rFonts w:cs="Arial"/>
          <w:color w:val="auto"/>
          <w:sz w:val="22"/>
          <w:szCs w:val="22"/>
        </w:rPr>
        <w:t xml:space="preserve">Tablo </w:t>
      </w:r>
      <w:r w:rsidR="00683043" w:rsidRPr="008C5878">
        <w:rPr>
          <w:rFonts w:cs="Arial"/>
          <w:color w:val="auto"/>
          <w:sz w:val="22"/>
          <w:szCs w:val="22"/>
        </w:rPr>
        <w:fldChar w:fldCharType="begin"/>
      </w:r>
      <w:r w:rsidRPr="008C5878">
        <w:rPr>
          <w:rFonts w:cs="Arial"/>
          <w:color w:val="auto"/>
          <w:sz w:val="22"/>
          <w:szCs w:val="22"/>
        </w:rPr>
        <w:instrText xml:space="preserve"> SEQ Tablo \* ARABIC </w:instrText>
      </w:r>
      <w:r w:rsidR="00683043" w:rsidRPr="008C5878">
        <w:rPr>
          <w:rFonts w:cs="Arial"/>
          <w:color w:val="auto"/>
          <w:sz w:val="22"/>
          <w:szCs w:val="22"/>
        </w:rPr>
        <w:fldChar w:fldCharType="separate"/>
      </w:r>
      <w:r w:rsidR="00B96BEF" w:rsidRPr="008C5878">
        <w:rPr>
          <w:rFonts w:cs="Arial"/>
          <w:noProof/>
          <w:color w:val="auto"/>
          <w:sz w:val="22"/>
          <w:szCs w:val="22"/>
        </w:rPr>
        <w:t>1</w:t>
      </w:r>
      <w:r w:rsidR="00683043" w:rsidRPr="008C5878">
        <w:rPr>
          <w:rFonts w:cs="Arial"/>
          <w:color w:val="auto"/>
          <w:sz w:val="22"/>
          <w:szCs w:val="22"/>
        </w:rPr>
        <w:fldChar w:fldCharType="end"/>
      </w:r>
      <w:r w:rsidRPr="008C5878">
        <w:rPr>
          <w:rFonts w:cs="Arial"/>
          <w:color w:val="auto"/>
          <w:sz w:val="22"/>
          <w:szCs w:val="22"/>
        </w:rPr>
        <w:t>: Sabit fiyatlarla yıllık GSYH değişimleri</w:t>
      </w:r>
      <w:r w:rsidR="00F34DFD" w:rsidRPr="008C5878">
        <w:rPr>
          <w:rStyle w:val="FootnoteReference"/>
          <w:rFonts w:cs="Arial"/>
          <w:color w:val="auto"/>
          <w:sz w:val="22"/>
          <w:szCs w:val="22"/>
        </w:rPr>
        <w:footnoteReference w:id="4"/>
      </w:r>
      <w:r w:rsidRPr="008C5878">
        <w:rPr>
          <w:rFonts w:cs="Arial"/>
          <w:color w:val="auto"/>
          <w:sz w:val="22"/>
          <w:szCs w:val="22"/>
        </w:rPr>
        <w:t xml:space="preserve"> (%) </w:t>
      </w:r>
    </w:p>
    <w:tbl>
      <w:tblPr>
        <w:tblW w:w="913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0"/>
        <w:gridCol w:w="1268"/>
        <w:gridCol w:w="1474"/>
        <w:gridCol w:w="1041"/>
        <w:gridCol w:w="1101"/>
        <w:gridCol w:w="1100"/>
        <w:gridCol w:w="1258"/>
      </w:tblGrid>
      <w:tr w:rsidR="00DD404A" w:rsidRPr="008C5878" w:rsidTr="0084630F">
        <w:trPr>
          <w:trHeight w:val="488"/>
        </w:trPr>
        <w:tc>
          <w:tcPr>
            <w:tcW w:w="1890" w:type="dxa"/>
            <w:shd w:val="clear" w:color="auto" w:fill="auto"/>
            <w:noWrap/>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Dönemler</w:t>
            </w:r>
          </w:p>
        </w:tc>
        <w:tc>
          <w:tcPr>
            <w:tcW w:w="1268"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GSYH</w:t>
            </w:r>
          </w:p>
        </w:tc>
        <w:tc>
          <w:tcPr>
            <w:tcW w:w="1474"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Tarım dışı GSYH</w:t>
            </w:r>
          </w:p>
        </w:tc>
        <w:tc>
          <w:tcPr>
            <w:tcW w:w="1041"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Tarım</w:t>
            </w:r>
          </w:p>
        </w:tc>
        <w:tc>
          <w:tcPr>
            <w:tcW w:w="1101"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Sanayi</w:t>
            </w:r>
          </w:p>
        </w:tc>
        <w:tc>
          <w:tcPr>
            <w:tcW w:w="1100"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İnşaat</w:t>
            </w:r>
          </w:p>
        </w:tc>
        <w:tc>
          <w:tcPr>
            <w:tcW w:w="1258" w:type="dxa"/>
            <w:shd w:val="clear" w:color="auto" w:fill="auto"/>
            <w:noWrap/>
            <w:vAlign w:val="center"/>
            <w:hideMark/>
          </w:tcPr>
          <w:p w:rsidR="00DD404A" w:rsidRPr="008C5878" w:rsidRDefault="00DD404A" w:rsidP="0084630F">
            <w:pPr>
              <w:spacing w:after="0"/>
              <w:jc w:val="center"/>
              <w:rPr>
                <w:rFonts w:eastAsia="Times New Roman" w:cs="Arial"/>
                <w:b/>
                <w:bCs/>
                <w:color w:val="000000"/>
              </w:rPr>
            </w:pPr>
            <w:r w:rsidRPr="008C5878">
              <w:rPr>
                <w:rFonts w:eastAsia="Times New Roman" w:cs="Arial"/>
                <w:b/>
                <w:bCs/>
                <w:color w:val="000000"/>
              </w:rPr>
              <w:t>Hizmetler</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2005-2006</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9%</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3%</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4%</w:t>
            </w:r>
          </w:p>
        </w:tc>
        <w:tc>
          <w:tcPr>
            <w:tcW w:w="1101" w:type="dxa"/>
            <w:shd w:val="clear" w:color="auto" w:fill="auto"/>
            <w:noWrap/>
            <w:vAlign w:val="bottom"/>
            <w:hideMark/>
          </w:tcPr>
          <w:p w:rsidR="00DD404A" w:rsidRPr="008C5878" w:rsidRDefault="00DD404A" w:rsidP="0084630F">
            <w:pPr>
              <w:spacing w:after="0"/>
              <w:jc w:val="right"/>
              <w:rPr>
                <w:rFonts w:eastAsia="Times New Roman" w:cs="Arial"/>
                <w:color w:val="000000"/>
              </w:rPr>
            </w:pPr>
            <w:r w:rsidRPr="008C5878">
              <w:rPr>
                <w:rFonts w:eastAsia="Times New Roman" w:cs="Arial"/>
                <w:color w:val="000000"/>
              </w:rPr>
              <w:t>8</w:t>
            </w:r>
            <w:r w:rsidR="00DD4FF4">
              <w:rPr>
                <w:rFonts w:eastAsia="Times New Roman" w:cs="Arial"/>
                <w:color w:val="000000"/>
              </w:rPr>
              <w:t>,</w:t>
            </w:r>
            <w:r w:rsidRPr="008C5878">
              <w:rPr>
                <w:rFonts w:eastAsia="Times New Roman" w:cs="Arial"/>
                <w:color w:val="000000"/>
              </w:rPr>
              <w:t>4%</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18,</w:t>
            </w:r>
            <w:r w:rsidR="00DD404A" w:rsidRPr="008C5878">
              <w:rPr>
                <w:rFonts w:eastAsia="Times New Roman" w:cs="Arial"/>
                <w:color w:val="000000"/>
              </w:rPr>
              <w:t>5%</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1%</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2006-2007</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7%</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2%</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7%</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8%</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7%</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4%</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2007-2008</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7%</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0%</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3%</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4%</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1%</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3%</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2008-2009</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8%</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3%</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6%</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9%</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-16,</w:t>
            </w:r>
            <w:r w:rsidR="00DD404A" w:rsidRPr="008C5878">
              <w:rPr>
                <w:rFonts w:eastAsia="Times New Roman" w:cs="Arial"/>
                <w:color w:val="000000"/>
              </w:rPr>
              <w:t>1%</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8%</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2009-2010</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9,</w:t>
            </w:r>
            <w:r w:rsidR="00DD404A" w:rsidRPr="008C5878">
              <w:rPr>
                <w:rFonts w:eastAsia="Times New Roman" w:cs="Arial"/>
                <w:color w:val="000000"/>
              </w:rPr>
              <w:t>2%</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9,</w:t>
            </w:r>
            <w:r w:rsidR="00DD404A" w:rsidRPr="008C5878">
              <w:rPr>
                <w:rFonts w:eastAsia="Times New Roman" w:cs="Arial"/>
                <w:color w:val="000000"/>
              </w:rPr>
              <w:t>8%</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4%</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13,</w:t>
            </w:r>
            <w:r w:rsidR="00DD404A" w:rsidRPr="008C5878">
              <w:rPr>
                <w:rFonts w:eastAsia="Times New Roman" w:cs="Arial"/>
                <w:color w:val="000000"/>
              </w:rPr>
              <w:t>0%</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18,</w:t>
            </w:r>
            <w:r w:rsidR="00DD404A" w:rsidRPr="008C5878">
              <w:rPr>
                <w:rFonts w:eastAsia="Times New Roman" w:cs="Arial"/>
                <w:color w:val="000000"/>
              </w:rPr>
              <w:t>3%</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6%</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2010-2011</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8%</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9,</w:t>
            </w:r>
            <w:r w:rsidR="00DD404A" w:rsidRPr="008C5878">
              <w:rPr>
                <w:rFonts w:eastAsia="Times New Roman" w:cs="Arial"/>
                <w:color w:val="000000"/>
              </w:rPr>
              <w:t>2%</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1%</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9,</w:t>
            </w:r>
            <w:r w:rsidR="00DD404A" w:rsidRPr="008C5878">
              <w:rPr>
                <w:rFonts w:eastAsia="Times New Roman" w:cs="Arial"/>
                <w:color w:val="000000"/>
              </w:rPr>
              <w:t>7%</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11,</w:t>
            </w:r>
            <w:r w:rsidR="00DD404A" w:rsidRPr="008C5878">
              <w:rPr>
                <w:rFonts w:eastAsia="Times New Roman" w:cs="Arial"/>
                <w:color w:val="000000"/>
              </w:rPr>
              <w:t>5%</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8%</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2011-2012</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1%</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2%</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1%</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8%</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6%</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5%</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2012-2013</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2%</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0%</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5%</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4%</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4%</w:t>
            </w:r>
          </w:p>
        </w:tc>
        <w:tc>
          <w:tcPr>
            <w:tcW w:w="125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5%</w:t>
            </w:r>
          </w:p>
        </w:tc>
      </w:tr>
      <w:tr w:rsidR="00DD404A" w:rsidRPr="008C5878" w:rsidTr="00CC1D21">
        <w:trPr>
          <w:trHeight w:val="309"/>
        </w:trPr>
        <w:tc>
          <w:tcPr>
            <w:tcW w:w="1890"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2013-2014</w:t>
            </w:r>
          </w:p>
        </w:tc>
        <w:tc>
          <w:tcPr>
            <w:tcW w:w="1268"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9%</w:t>
            </w:r>
          </w:p>
        </w:tc>
        <w:tc>
          <w:tcPr>
            <w:tcW w:w="1474"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8%</w:t>
            </w:r>
          </w:p>
        </w:tc>
        <w:tc>
          <w:tcPr>
            <w:tcW w:w="104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9%</w:t>
            </w:r>
          </w:p>
        </w:tc>
        <w:tc>
          <w:tcPr>
            <w:tcW w:w="1101"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8%</w:t>
            </w:r>
          </w:p>
        </w:tc>
        <w:tc>
          <w:tcPr>
            <w:tcW w:w="1100" w:type="dxa"/>
            <w:shd w:val="clear" w:color="auto" w:fill="auto"/>
            <w:noWrap/>
            <w:vAlign w:val="bottom"/>
            <w:hideMark/>
          </w:tcPr>
          <w:p w:rsidR="00DD404A" w:rsidRPr="008C5878" w:rsidRDefault="00DD4FF4"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2%</w:t>
            </w:r>
          </w:p>
        </w:tc>
        <w:tc>
          <w:tcPr>
            <w:tcW w:w="1258" w:type="dxa"/>
            <w:shd w:val="clear" w:color="auto" w:fill="auto"/>
            <w:noWrap/>
            <w:vAlign w:val="bottom"/>
            <w:hideMark/>
          </w:tcPr>
          <w:p w:rsidR="00DD404A" w:rsidRPr="008C5878" w:rsidRDefault="00DD4FF4" w:rsidP="0084630F">
            <w:pPr>
              <w:keepNext/>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0%</w:t>
            </w:r>
          </w:p>
        </w:tc>
      </w:tr>
    </w:tbl>
    <w:p w:rsidR="00DD404A" w:rsidRPr="008C5878" w:rsidRDefault="00FC67CE" w:rsidP="0084630F">
      <w:pPr>
        <w:pStyle w:val="Caption"/>
        <w:spacing w:line="276" w:lineRule="auto"/>
        <w:rPr>
          <w:rFonts w:cs="Arial"/>
          <w:b w:val="0"/>
          <w:color w:val="auto"/>
        </w:rPr>
      </w:pPr>
      <w:r>
        <w:rPr>
          <w:rFonts w:cs="Arial"/>
          <w:b w:val="0"/>
          <w:color w:val="auto"/>
        </w:rPr>
        <w:t>Kaynak: TUİ</w:t>
      </w:r>
      <w:r w:rsidR="00DD404A" w:rsidRPr="008C5878">
        <w:rPr>
          <w:rFonts w:cs="Arial"/>
          <w:b w:val="0"/>
          <w:color w:val="auto"/>
        </w:rPr>
        <w:t xml:space="preserve">K Üretim yöntemiyle GSYH; Betam </w:t>
      </w:r>
    </w:p>
    <w:p w:rsidR="00ED651B" w:rsidRDefault="00ED651B" w:rsidP="00B80132">
      <w:pPr>
        <w:spacing w:after="0"/>
        <w:jc w:val="both"/>
        <w:rPr>
          <w:rFonts w:eastAsia="Times New Roman" w:cs="Arial"/>
        </w:rPr>
      </w:pPr>
      <w:r w:rsidRPr="008C5878">
        <w:rPr>
          <w:rFonts w:eastAsia="Times New Roman" w:cs="Arial"/>
        </w:rPr>
        <w:t xml:space="preserve">Bu </w:t>
      </w:r>
      <w:r>
        <w:rPr>
          <w:rFonts w:eastAsia="Times New Roman" w:cs="Arial"/>
        </w:rPr>
        <w:t>çerçevede</w:t>
      </w:r>
      <w:r w:rsidRPr="008C5878">
        <w:rPr>
          <w:rFonts w:eastAsia="Times New Roman" w:cs="Arial"/>
        </w:rPr>
        <w:t>, Türkiye’nin son on yılı incelendiğinde büyümenin istihdam yaratma kapasitesinde son on yılda (2005-2014) farklı nitelikte dönemler gözlemliyoruz.</w:t>
      </w:r>
      <w:r>
        <w:rPr>
          <w:rFonts w:eastAsia="Times New Roman" w:cs="Arial"/>
        </w:rPr>
        <w:t xml:space="preserve"> Tablo 1'deki verilere göre y</w:t>
      </w:r>
      <w:r w:rsidRPr="008C5878">
        <w:rPr>
          <w:rFonts w:eastAsia="Times New Roman" w:cs="Arial"/>
        </w:rPr>
        <w:t>ıllık GSYH büyüme oranları itibariyle bu yıllarda dört farklı dönem gözlemleniyor. 2002-2007 yüksek büyüme döneminin son iki yılını kapsayan 2005-2007 dönemi, büyümenin sıfıra yaklaştığı ardından küçülmenin gerçekleştiği 2007-2</w:t>
      </w:r>
      <w:r w:rsidR="00FC67CE">
        <w:rPr>
          <w:rFonts w:eastAsia="Times New Roman" w:cs="Arial"/>
        </w:rPr>
        <w:t>009 küresel kriz dönemi, olağan</w:t>
      </w:r>
      <w:r w:rsidRPr="008C5878">
        <w:rPr>
          <w:rFonts w:eastAsia="Times New Roman" w:cs="Arial"/>
        </w:rPr>
        <w:t xml:space="preserve">üstü yüksek büyüme ile krizden hızla çıkıldığı 2009-2011 dönemi ve düşük büyümenin egemen olduğu 2011-2014 dönemi. Yıllık istihdam değişimleri de Tablo 2’de yer alıyor. Ekonomik büyüme kadar olmasa da istihdam değişimleri de büyük farklılık sergiliyor. Kriz dönemini hariç tutarsak 2005-2011 döneminde büyüme oranındaki </w:t>
      </w:r>
      <w:r w:rsidRPr="008C5878">
        <w:rPr>
          <w:rFonts w:eastAsia="Times New Roman" w:cs="Arial"/>
        </w:rPr>
        <w:lastRenderedPageBreak/>
        <w:t xml:space="preserve">değişimler ile istihdam değişimleri arasında ekonomik açıdan tutarlı bir ilişki gözlemleniyor. Buna karşılık son üç yılda (2011-2014) bu tutarlılık yerini </w:t>
      </w:r>
      <w:r w:rsidR="00E85261">
        <w:rPr>
          <w:rFonts w:eastAsia="Times New Roman" w:cs="Arial"/>
        </w:rPr>
        <w:t>aşırı (</w:t>
      </w:r>
      <w:r w:rsidR="00E36F89" w:rsidRPr="00E85261">
        <w:rPr>
          <w:rFonts w:eastAsia="Times New Roman" w:cs="Arial"/>
        </w:rPr>
        <w:t xml:space="preserve">fazlasıyla </w:t>
      </w:r>
      <w:r w:rsidR="001B501C" w:rsidRPr="00E85261">
        <w:rPr>
          <w:rFonts w:eastAsia="Times New Roman" w:cs="Arial"/>
        </w:rPr>
        <w:t>yüksek</w:t>
      </w:r>
      <w:r w:rsidR="00E85261">
        <w:rPr>
          <w:rFonts w:eastAsia="Times New Roman" w:cs="Arial"/>
        </w:rPr>
        <w:t>),</w:t>
      </w:r>
      <w:r w:rsidRPr="008C5878">
        <w:rPr>
          <w:rFonts w:eastAsia="Times New Roman" w:cs="Arial"/>
        </w:rPr>
        <w:t xml:space="preserve"> aynı zamanda da oynak istihdam artışlarına bırakıyor. </w:t>
      </w:r>
    </w:p>
    <w:p w:rsidR="00B80132" w:rsidRPr="00B80132" w:rsidRDefault="00B80132" w:rsidP="00B80132">
      <w:pPr>
        <w:spacing w:after="0"/>
        <w:jc w:val="both"/>
        <w:rPr>
          <w:rFonts w:eastAsia="Times New Roman" w:cs="Arial"/>
        </w:rPr>
      </w:pPr>
    </w:p>
    <w:p w:rsidR="00DD404A" w:rsidRPr="00B80132" w:rsidRDefault="00DD404A" w:rsidP="0084630F">
      <w:pPr>
        <w:pStyle w:val="Caption"/>
        <w:keepNext/>
        <w:spacing w:line="276" w:lineRule="auto"/>
        <w:rPr>
          <w:rFonts w:cs="Arial"/>
          <w:color w:val="auto"/>
          <w:sz w:val="22"/>
          <w:szCs w:val="22"/>
        </w:rPr>
      </w:pPr>
      <w:r w:rsidRPr="00B80132">
        <w:rPr>
          <w:rFonts w:cs="Arial"/>
          <w:color w:val="auto"/>
          <w:sz w:val="22"/>
          <w:szCs w:val="22"/>
        </w:rPr>
        <w:t xml:space="preserve">Tablo </w:t>
      </w:r>
      <w:r w:rsidR="00683043" w:rsidRPr="00B80132">
        <w:rPr>
          <w:rFonts w:cs="Arial"/>
          <w:color w:val="auto"/>
          <w:sz w:val="22"/>
          <w:szCs w:val="22"/>
        </w:rPr>
        <w:fldChar w:fldCharType="begin"/>
      </w:r>
      <w:r w:rsidRPr="00B80132">
        <w:rPr>
          <w:rFonts w:cs="Arial"/>
          <w:color w:val="auto"/>
          <w:sz w:val="22"/>
          <w:szCs w:val="22"/>
        </w:rPr>
        <w:instrText xml:space="preserve"> SEQ Tablo \* ARABIC </w:instrText>
      </w:r>
      <w:r w:rsidR="00683043" w:rsidRPr="00B80132">
        <w:rPr>
          <w:rFonts w:cs="Arial"/>
          <w:color w:val="auto"/>
          <w:sz w:val="22"/>
          <w:szCs w:val="22"/>
        </w:rPr>
        <w:fldChar w:fldCharType="separate"/>
      </w:r>
      <w:r w:rsidR="00B96BEF" w:rsidRPr="00B80132">
        <w:rPr>
          <w:rFonts w:cs="Arial"/>
          <w:noProof/>
          <w:color w:val="auto"/>
          <w:sz w:val="22"/>
          <w:szCs w:val="22"/>
        </w:rPr>
        <w:t>2</w:t>
      </w:r>
      <w:r w:rsidR="00683043" w:rsidRPr="00B80132">
        <w:rPr>
          <w:rFonts w:cs="Arial"/>
          <w:color w:val="auto"/>
          <w:sz w:val="22"/>
          <w:szCs w:val="22"/>
        </w:rPr>
        <w:fldChar w:fldCharType="end"/>
      </w:r>
      <w:r w:rsidRPr="00B80132">
        <w:rPr>
          <w:rFonts w:cs="Arial"/>
          <w:color w:val="auto"/>
          <w:sz w:val="22"/>
          <w:szCs w:val="22"/>
        </w:rPr>
        <w:t xml:space="preserve">: İstihdamdaki değişimler (%) </w:t>
      </w:r>
    </w:p>
    <w:tbl>
      <w:tblPr>
        <w:tblW w:w="897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1"/>
        <w:gridCol w:w="1210"/>
        <w:gridCol w:w="1210"/>
        <w:gridCol w:w="1111"/>
        <w:gridCol w:w="1111"/>
        <w:gridCol w:w="1111"/>
        <w:gridCol w:w="1309"/>
      </w:tblGrid>
      <w:tr w:rsidR="00DD404A" w:rsidRPr="008C5878" w:rsidTr="0084630F">
        <w:trPr>
          <w:trHeight w:val="504"/>
        </w:trPr>
        <w:tc>
          <w:tcPr>
            <w:tcW w:w="1911" w:type="dxa"/>
            <w:shd w:val="clear" w:color="auto" w:fill="auto"/>
            <w:noWrap/>
            <w:vAlign w:val="bottom"/>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 xml:space="preserve">Dönemler </w:t>
            </w:r>
          </w:p>
        </w:tc>
        <w:tc>
          <w:tcPr>
            <w:tcW w:w="1210"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Toplam istihdam</w:t>
            </w:r>
          </w:p>
        </w:tc>
        <w:tc>
          <w:tcPr>
            <w:tcW w:w="1210"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Tarım dışı istihdam</w:t>
            </w:r>
          </w:p>
        </w:tc>
        <w:tc>
          <w:tcPr>
            <w:tcW w:w="1111"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Tarım</w:t>
            </w:r>
          </w:p>
        </w:tc>
        <w:tc>
          <w:tcPr>
            <w:tcW w:w="1111"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Sanayi</w:t>
            </w:r>
          </w:p>
        </w:tc>
        <w:tc>
          <w:tcPr>
            <w:tcW w:w="1111"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İnşaat</w:t>
            </w:r>
          </w:p>
        </w:tc>
        <w:tc>
          <w:tcPr>
            <w:tcW w:w="1309" w:type="dxa"/>
            <w:shd w:val="clear" w:color="auto" w:fill="auto"/>
            <w:vAlign w:val="center"/>
            <w:hideMark/>
          </w:tcPr>
          <w:p w:rsidR="00DD404A" w:rsidRPr="008C5878" w:rsidRDefault="00DD404A" w:rsidP="0084630F">
            <w:pPr>
              <w:spacing w:after="0"/>
              <w:rPr>
                <w:rFonts w:eastAsia="Times New Roman" w:cs="Arial"/>
                <w:b/>
                <w:bCs/>
                <w:color w:val="000000"/>
              </w:rPr>
            </w:pPr>
            <w:r w:rsidRPr="008C5878">
              <w:rPr>
                <w:rFonts w:eastAsia="Times New Roman" w:cs="Arial"/>
                <w:b/>
                <w:bCs/>
                <w:color w:val="000000"/>
              </w:rPr>
              <w:t xml:space="preserve">Hizmetler </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2005-2006</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5%</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5%</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2%</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9%</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7%</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8%</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2006-2007</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4%</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5%</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3%</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9%</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2%</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1%</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2007-2008</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0%</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0%</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6%</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0%</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6%</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8%</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2008-2009</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1%</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-0,</w:t>
            </w:r>
            <w:r w:rsidR="00DD404A" w:rsidRPr="008C5878">
              <w:rPr>
                <w:rFonts w:eastAsia="Times New Roman" w:cs="Arial"/>
                <w:color w:val="000000"/>
              </w:rPr>
              <w:t>8%</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8%</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9%</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3%</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7%</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2009-2010</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0%</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7%</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7,</w:t>
            </w:r>
            <w:r w:rsidR="00DD404A" w:rsidRPr="008C5878">
              <w:rPr>
                <w:rFonts w:eastAsia="Times New Roman" w:cs="Arial"/>
                <w:color w:val="000000"/>
              </w:rPr>
              <w:t>0%</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10,</w:t>
            </w:r>
            <w:r w:rsidR="00DD404A" w:rsidRPr="008C5878">
              <w:rPr>
                <w:rFonts w:eastAsia="Times New Roman" w:cs="Arial"/>
                <w:color w:val="000000"/>
              </w:rPr>
              <w:t>4%</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9,</w:t>
            </w:r>
            <w:r w:rsidR="00DD404A" w:rsidRPr="008C5878">
              <w:rPr>
                <w:rFonts w:eastAsia="Times New Roman" w:cs="Arial"/>
                <w:color w:val="000000"/>
              </w:rPr>
              <w:t>9%</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3,</w:t>
            </w:r>
            <w:r w:rsidR="00DD404A" w:rsidRPr="008C5878">
              <w:rPr>
                <w:rFonts w:eastAsia="Times New Roman" w:cs="Arial"/>
                <w:color w:val="000000"/>
              </w:rPr>
              <w:t>3%</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2010-2011</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4%</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4%</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5%</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9%</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17,</w:t>
            </w:r>
            <w:r w:rsidR="00DD404A" w:rsidRPr="008C5878">
              <w:rPr>
                <w:rFonts w:eastAsia="Times New Roman" w:cs="Arial"/>
                <w:color w:val="000000"/>
              </w:rPr>
              <w:t>1%</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7%</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2011-2012</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9%</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4%</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1%</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3%</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2%</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6,</w:t>
            </w:r>
            <w:r w:rsidR="00DD404A" w:rsidRPr="008C5878">
              <w:rPr>
                <w:rFonts w:eastAsia="Times New Roman" w:cs="Arial"/>
                <w:color w:val="000000"/>
              </w:rPr>
              <w:t>0%</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2012-2013</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8%</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1%</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-1,</w:t>
            </w:r>
            <w:r w:rsidR="00DD404A" w:rsidRPr="008C5878">
              <w:rPr>
                <w:rFonts w:eastAsia="Times New Roman" w:cs="Arial"/>
                <w:color w:val="000000"/>
              </w:rPr>
              <w:t>8%</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0%</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2,</w:t>
            </w:r>
            <w:r w:rsidR="00DD404A" w:rsidRPr="008C5878">
              <w:rPr>
                <w:rFonts w:eastAsia="Times New Roman" w:cs="Arial"/>
                <w:color w:val="000000"/>
              </w:rPr>
              <w:t>9%</w:t>
            </w:r>
          </w:p>
        </w:tc>
        <w:tc>
          <w:tcPr>
            <w:tcW w:w="1309"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3%</w:t>
            </w:r>
          </w:p>
        </w:tc>
      </w:tr>
      <w:tr w:rsidR="00DD404A" w:rsidRPr="008C5878" w:rsidTr="0084630F">
        <w:trPr>
          <w:trHeight w:val="297"/>
        </w:trPr>
        <w:tc>
          <w:tcPr>
            <w:tcW w:w="1911" w:type="dxa"/>
            <w:shd w:val="clear" w:color="auto" w:fill="auto"/>
            <w:noWrap/>
            <w:vAlign w:val="bottom"/>
            <w:hideMark/>
          </w:tcPr>
          <w:p w:rsidR="00DD404A" w:rsidRPr="008C5878" w:rsidRDefault="00DD404A" w:rsidP="0084630F">
            <w:pPr>
              <w:spacing w:after="0"/>
              <w:rPr>
                <w:rFonts w:eastAsia="Times New Roman" w:cs="Arial"/>
                <w:color w:val="000000"/>
              </w:rPr>
            </w:pPr>
            <w:r w:rsidRPr="008C5878">
              <w:rPr>
                <w:rFonts w:eastAsia="Times New Roman" w:cs="Arial"/>
                <w:color w:val="000000"/>
              </w:rPr>
              <w:t>2013-2014</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4%</w:t>
            </w:r>
          </w:p>
        </w:tc>
        <w:tc>
          <w:tcPr>
            <w:tcW w:w="1210"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5%</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1%</w:t>
            </w:r>
          </w:p>
        </w:tc>
        <w:tc>
          <w:tcPr>
            <w:tcW w:w="1111" w:type="dxa"/>
            <w:shd w:val="clear" w:color="auto" w:fill="auto"/>
            <w:noWrap/>
            <w:vAlign w:val="bottom"/>
            <w:hideMark/>
          </w:tcPr>
          <w:p w:rsidR="00DD404A" w:rsidRPr="008C5878" w:rsidRDefault="00FC67CE" w:rsidP="0084630F">
            <w:pPr>
              <w:spacing w:after="0"/>
              <w:jc w:val="right"/>
              <w:rPr>
                <w:rFonts w:eastAsia="Times New Roman" w:cs="Arial"/>
                <w:color w:val="000000"/>
              </w:rPr>
            </w:pPr>
            <w:r>
              <w:rPr>
                <w:rFonts w:eastAsia="Times New Roman" w:cs="Arial"/>
                <w:color w:val="000000"/>
              </w:rPr>
              <w:t>4,</w:t>
            </w:r>
            <w:r w:rsidR="00DD404A" w:rsidRPr="008C5878">
              <w:rPr>
                <w:rFonts w:eastAsia="Times New Roman" w:cs="Arial"/>
                <w:color w:val="000000"/>
              </w:rPr>
              <w:t>2%</w:t>
            </w:r>
          </w:p>
        </w:tc>
        <w:tc>
          <w:tcPr>
            <w:tcW w:w="1111" w:type="dxa"/>
            <w:shd w:val="clear" w:color="auto" w:fill="auto"/>
            <w:noWrap/>
            <w:vAlign w:val="bottom"/>
            <w:hideMark/>
          </w:tcPr>
          <w:p w:rsidR="00DD404A" w:rsidRPr="008C5878" w:rsidRDefault="00476169" w:rsidP="0084630F">
            <w:pPr>
              <w:spacing w:after="0"/>
              <w:jc w:val="right"/>
              <w:rPr>
                <w:rFonts w:eastAsia="Times New Roman" w:cs="Arial"/>
                <w:color w:val="000000"/>
              </w:rPr>
            </w:pPr>
            <w:r>
              <w:rPr>
                <w:rFonts w:eastAsia="Times New Roman" w:cs="Arial"/>
                <w:color w:val="000000"/>
              </w:rPr>
              <w:t>8,</w:t>
            </w:r>
            <w:r w:rsidR="00DD404A" w:rsidRPr="008C5878">
              <w:rPr>
                <w:rFonts w:eastAsia="Times New Roman" w:cs="Arial"/>
                <w:color w:val="000000"/>
              </w:rPr>
              <w:t>2%</w:t>
            </w:r>
          </w:p>
        </w:tc>
        <w:tc>
          <w:tcPr>
            <w:tcW w:w="1309" w:type="dxa"/>
            <w:shd w:val="clear" w:color="auto" w:fill="auto"/>
            <w:noWrap/>
            <w:vAlign w:val="bottom"/>
            <w:hideMark/>
          </w:tcPr>
          <w:p w:rsidR="00DD404A" w:rsidRPr="008C5878" w:rsidRDefault="00476169" w:rsidP="0084630F">
            <w:pPr>
              <w:keepNext/>
              <w:spacing w:after="0"/>
              <w:jc w:val="right"/>
              <w:rPr>
                <w:rFonts w:eastAsia="Times New Roman" w:cs="Arial"/>
                <w:color w:val="000000"/>
              </w:rPr>
            </w:pPr>
            <w:r>
              <w:rPr>
                <w:rFonts w:eastAsia="Times New Roman" w:cs="Arial"/>
                <w:color w:val="000000"/>
              </w:rPr>
              <w:t>5,</w:t>
            </w:r>
            <w:r w:rsidR="00DD404A" w:rsidRPr="008C5878">
              <w:rPr>
                <w:rFonts w:eastAsia="Times New Roman" w:cs="Arial"/>
                <w:color w:val="000000"/>
              </w:rPr>
              <w:t>6%</w:t>
            </w:r>
          </w:p>
        </w:tc>
      </w:tr>
    </w:tbl>
    <w:p w:rsidR="00DD404A" w:rsidRDefault="00FC67CE" w:rsidP="0084630F">
      <w:pPr>
        <w:pStyle w:val="Caption"/>
        <w:spacing w:line="276" w:lineRule="auto"/>
        <w:rPr>
          <w:rFonts w:cs="Arial"/>
          <w:b w:val="0"/>
          <w:color w:val="auto"/>
        </w:rPr>
      </w:pPr>
      <w:r>
        <w:rPr>
          <w:rFonts w:cs="Arial"/>
          <w:b w:val="0"/>
          <w:color w:val="auto"/>
        </w:rPr>
        <w:t>Kaynak: TUİ</w:t>
      </w:r>
      <w:r w:rsidR="00DD404A" w:rsidRPr="008C5878">
        <w:rPr>
          <w:rFonts w:cs="Arial"/>
          <w:b w:val="0"/>
          <w:color w:val="auto"/>
        </w:rPr>
        <w:t xml:space="preserve">K İşgücü İstatistikleri; Betam </w:t>
      </w:r>
    </w:p>
    <w:p w:rsidR="00ED651B" w:rsidRDefault="002519FA" w:rsidP="00ED651B">
      <w:pPr>
        <w:jc w:val="both"/>
        <w:rPr>
          <w:rFonts w:cs="Arial"/>
        </w:rPr>
      </w:pPr>
      <w:r>
        <w:rPr>
          <w:rFonts w:eastAsia="Times New Roman" w:cs="Arial"/>
        </w:rPr>
        <w:t xml:space="preserve">Tablo 3'te büyümenin istihdam yaratma kapasitesini yansıtması açısından büyümenin istihdam yaratma esnekliği veriliyor. </w:t>
      </w:r>
      <w:r w:rsidR="00ED651B" w:rsidRPr="008C5878">
        <w:rPr>
          <w:rFonts w:cs="Arial"/>
        </w:rPr>
        <w:t xml:space="preserve">“İstihdamsız büyüme” olarak nitelenen 2005-2007 yüksek büyüme döneminde istihdam-büyüme esnekliği </w:t>
      </w:r>
      <w:r w:rsidR="00ED651B" w:rsidRPr="006F071D">
        <w:rPr>
          <w:rFonts w:cs="Arial"/>
        </w:rPr>
        <w:t xml:space="preserve">0.25 </w:t>
      </w:r>
      <w:r w:rsidR="00ED651B" w:rsidRPr="008C5878">
        <w:rPr>
          <w:rFonts w:cs="Arial"/>
        </w:rPr>
        <w:t xml:space="preserve">olarak hesaplanıyor. İlk bakışta büyümenin düşük istihdam yaratma kapasitesi söz konusu. Bu arada yüksek emek verimliliğinin gerçekleştiği bir dönem yaşandığını da vurgulayalım. Bununla birlikte, ana sektörler itibariyle gelişmeler incelendiğinde toplam istihdam itibariyle bu düşük esnekliğin önemli ölçüde tarım istihdamındaki yüksek kayıplardan kaynaklandığı görülüyor. 2005’ten 2007’ye iki yılda tarımda çalışan sayısı yaklaşık yarım milyon azalıyor; 5 milyon 14 binden 4 milyon 546 bine düşüyor. Ardından henüz yeterince açıklanamayan hızlı istihdam artışı dönemi başlıyor ve tarım çalışanı sayısı 2011’de 5 milyon 412 bine </w:t>
      </w:r>
      <w:r w:rsidR="00ED651B" w:rsidRPr="004907D5">
        <w:rPr>
          <w:rFonts w:cs="Arial"/>
        </w:rPr>
        <w:t>yükseliyor (Ek Tablo 1).  Son üç yılda ise tarım istihdamında önce ılımlı bir düşüş son yılda ise çok yüksek bir artış (yüzde 5,1)</w:t>
      </w:r>
      <w:r w:rsidR="00567E74">
        <w:rPr>
          <w:rFonts w:cs="Arial"/>
        </w:rPr>
        <w:t xml:space="preserve"> görülüyor (Tablo 2 ve Ek T</w:t>
      </w:r>
      <w:r w:rsidR="00ED651B" w:rsidRPr="008C5878">
        <w:rPr>
          <w:rFonts w:cs="Arial"/>
        </w:rPr>
        <w:t xml:space="preserve">ablo 1). </w:t>
      </w:r>
    </w:p>
    <w:p w:rsidR="00ED651B" w:rsidRPr="00ED651B" w:rsidRDefault="00ED651B" w:rsidP="00ED651B">
      <w:pPr>
        <w:jc w:val="both"/>
        <w:rPr>
          <w:rFonts w:cs="Arial"/>
        </w:rPr>
      </w:pPr>
      <w:r w:rsidRPr="008C5878">
        <w:rPr>
          <w:rFonts w:cs="Arial"/>
        </w:rPr>
        <w:t>GSYH artışlarına çok düşük katkı yapan buna karşılık halen yüksek istihdam seviyesine sahip olan ve daha önemlisi büyük istihdam azalışlarına ve artışlarına sahne olan tarım sektörünü dışlayarak büyüme-istihdam ilişkisine odaklanmanın daha anlamlı ve tutarlı olacağını düşünüyoruz. Bu nedenle bundan sonraki analizlerde tarım dışı GSYH ve tarım dışı istihdam verilerini kullanıyoruz.</w:t>
      </w:r>
    </w:p>
    <w:p w:rsidR="00FC67CE" w:rsidRDefault="00FC67CE" w:rsidP="0084630F">
      <w:pPr>
        <w:pStyle w:val="Caption"/>
        <w:keepNext/>
        <w:spacing w:line="276" w:lineRule="auto"/>
        <w:rPr>
          <w:rFonts w:cs="Arial"/>
          <w:color w:val="auto"/>
          <w:sz w:val="24"/>
          <w:szCs w:val="24"/>
        </w:rPr>
      </w:pPr>
    </w:p>
    <w:p w:rsidR="00FC67CE" w:rsidRDefault="00FC67CE" w:rsidP="00FC67CE"/>
    <w:p w:rsidR="00FC67CE" w:rsidRDefault="00FC67CE" w:rsidP="00FC67CE"/>
    <w:p w:rsidR="00FC67CE" w:rsidRPr="00FC67CE" w:rsidRDefault="00FC67CE" w:rsidP="00FC67CE"/>
    <w:p w:rsidR="00793883" w:rsidRPr="008C5878" w:rsidRDefault="00B14273" w:rsidP="0084630F">
      <w:pPr>
        <w:pStyle w:val="Caption"/>
        <w:keepNext/>
        <w:spacing w:line="276" w:lineRule="auto"/>
        <w:rPr>
          <w:rFonts w:cs="Arial"/>
          <w:b w:val="0"/>
          <w:color w:val="auto"/>
          <w:sz w:val="22"/>
          <w:szCs w:val="22"/>
        </w:rPr>
      </w:pPr>
      <w:r w:rsidRPr="008C5878">
        <w:rPr>
          <w:rFonts w:cs="Arial"/>
          <w:color w:val="auto"/>
          <w:sz w:val="24"/>
          <w:szCs w:val="24"/>
        </w:rPr>
        <w:lastRenderedPageBreak/>
        <w:t xml:space="preserve">Tablo </w:t>
      </w:r>
      <w:r w:rsidR="00683043" w:rsidRPr="008C5878">
        <w:rPr>
          <w:rFonts w:cs="Arial"/>
          <w:color w:val="auto"/>
          <w:sz w:val="24"/>
          <w:szCs w:val="24"/>
        </w:rPr>
        <w:fldChar w:fldCharType="begin"/>
      </w:r>
      <w:r w:rsidRPr="008C5878">
        <w:rPr>
          <w:rFonts w:cs="Arial"/>
          <w:color w:val="auto"/>
          <w:sz w:val="24"/>
          <w:szCs w:val="24"/>
        </w:rPr>
        <w:instrText xml:space="preserve"> SEQ Tablo \* ARABIC </w:instrText>
      </w:r>
      <w:r w:rsidR="00683043" w:rsidRPr="008C5878">
        <w:rPr>
          <w:rFonts w:cs="Arial"/>
          <w:color w:val="auto"/>
          <w:sz w:val="24"/>
          <w:szCs w:val="24"/>
        </w:rPr>
        <w:fldChar w:fldCharType="separate"/>
      </w:r>
      <w:r w:rsidR="00B96BEF" w:rsidRPr="008C5878">
        <w:rPr>
          <w:rFonts w:cs="Arial"/>
          <w:noProof/>
          <w:color w:val="auto"/>
          <w:sz w:val="24"/>
          <w:szCs w:val="24"/>
        </w:rPr>
        <w:t>3</w:t>
      </w:r>
      <w:r w:rsidR="00683043" w:rsidRPr="008C5878">
        <w:rPr>
          <w:rFonts w:cs="Arial"/>
          <w:color w:val="auto"/>
          <w:sz w:val="24"/>
          <w:szCs w:val="24"/>
        </w:rPr>
        <w:fldChar w:fldCharType="end"/>
      </w:r>
      <w:r w:rsidRPr="008C5878">
        <w:rPr>
          <w:rFonts w:cs="Arial"/>
          <w:color w:val="auto"/>
          <w:sz w:val="24"/>
          <w:szCs w:val="24"/>
        </w:rPr>
        <w:t>: Büyümenin istihdam yaratma kapasitesi</w:t>
      </w:r>
      <w:r w:rsidRPr="008C5878">
        <w:rPr>
          <w:rFonts w:cs="Arial"/>
          <w:color w:val="auto"/>
          <w:sz w:val="22"/>
          <w:szCs w:val="22"/>
        </w:rPr>
        <w:t xml:space="preserve"> </w:t>
      </w:r>
      <w:r w:rsidRPr="008C5878">
        <w:rPr>
          <w:rFonts w:cs="Arial"/>
          <w:b w:val="0"/>
          <w:color w:val="auto"/>
          <w:sz w:val="22"/>
          <w:szCs w:val="22"/>
        </w:rPr>
        <w:t>(Esneklik: istihdam yüzde değişim/GSYH yüzde değişim)</w:t>
      </w:r>
    </w:p>
    <w:tbl>
      <w:tblPr>
        <w:tblW w:w="9056" w:type="dxa"/>
        <w:tblInd w:w="55" w:type="dxa"/>
        <w:tblCellMar>
          <w:left w:w="70" w:type="dxa"/>
          <w:right w:w="70" w:type="dxa"/>
        </w:tblCellMar>
        <w:tblLook w:val="04A0" w:firstRow="1" w:lastRow="0" w:firstColumn="1" w:lastColumn="0" w:noHBand="0" w:noVBand="1"/>
      </w:tblPr>
      <w:tblGrid>
        <w:gridCol w:w="1366"/>
        <w:gridCol w:w="1225"/>
        <w:gridCol w:w="1450"/>
        <w:gridCol w:w="1160"/>
        <w:gridCol w:w="1160"/>
        <w:gridCol w:w="1353"/>
        <w:gridCol w:w="1342"/>
      </w:tblGrid>
      <w:tr w:rsidR="00793883" w:rsidRPr="008C5878" w:rsidTr="008C5878">
        <w:trPr>
          <w:trHeight w:val="489"/>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 xml:space="preserve">Dönemler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Toplam İstihdam</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Tarım dışı istihdam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Tarım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Sanayi</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İnşaat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793883" w:rsidRPr="008C5878" w:rsidRDefault="00793883" w:rsidP="0084630F">
            <w:pPr>
              <w:spacing w:after="0"/>
              <w:rPr>
                <w:rFonts w:eastAsia="Times New Roman" w:cs="Arial"/>
                <w:b/>
                <w:bCs/>
                <w:color w:val="000000"/>
              </w:rPr>
            </w:pPr>
            <w:r w:rsidRPr="008C5878">
              <w:rPr>
                <w:rFonts w:eastAsia="Times New Roman" w:cs="Arial"/>
                <w:b/>
                <w:bCs/>
                <w:color w:val="000000"/>
              </w:rPr>
              <w:t xml:space="preserve">Hizmetler </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2005-2006</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21</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54</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-5,</w:t>
            </w:r>
            <w:r w:rsidR="00793883" w:rsidRPr="008C5878">
              <w:rPr>
                <w:rFonts w:eastAsia="Times New Roman" w:cs="Arial"/>
                <w:color w:val="000000"/>
              </w:rPr>
              <w:t>14</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34</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47</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67</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2006-2007</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29</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40</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34</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15</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56</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48</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2007-2008</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85</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00</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37</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7,</w:t>
            </w:r>
            <w:r w:rsidR="00793883" w:rsidRPr="008C5878">
              <w:rPr>
                <w:rFonts w:eastAsia="Times New Roman" w:cs="Arial"/>
                <w:color w:val="000000"/>
              </w:rPr>
              <w:t>50</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07</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78</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2008-2009</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02</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18</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77</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14</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32</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94</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2009-2010</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65</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58</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91</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80</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54</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43</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2010-2011</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72</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69</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06</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50</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48</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64</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2011-2012</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38</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00</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67</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72</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3,</w:t>
            </w:r>
            <w:r w:rsidR="00793883" w:rsidRPr="008C5878">
              <w:rPr>
                <w:rFonts w:eastAsia="Times New Roman" w:cs="Arial"/>
                <w:color w:val="000000"/>
              </w:rPr>
              <w:t>66</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40</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2012-2013</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66</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82</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51</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17</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39</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0,</w:t>
            </w:r>
            <w:r w:rsidR="00793883" w:rsidRPr="008C5878">
              <w:rPr>
                <w:rFonts w:eastAsia="Times New Roman" w:cs="Arial"/>
                <w:color w:val="000000"/>
              </w:rPr>
              <w:t>78</w:t>
            </w:r>
          </w:p>
        </w:tc>
      </w:tr>
      <w:tr w:rsidR="00793883" w:rsidRPr="008C5878" w:rsidTr="008C5878">
        <w:trPr>
          <w:trHeight w:val="288"/>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rsidR="00793883" w:rsidRPr="008C5878" w:rsidRDefault="00793883" w:rsidP="0084630F">
            <w:pPr>
              <w:spacing w:after="0"/>
              <w:rPr>
                <w:rFonts w:eastAsia="Times New Roman" w:cs="Arial"/>
                <w:color w:val="000000"/>
              </w:rPr>
            </w:pPr>
            <w:r w:rsidRPr="008C5878">
              <w:rPr>
                <w:rFonts w:eastAsia="Times New Roman" w:cs="Arial"/>
                <w:color w:val="000000"/>
              </w:rPr>
              <w:t>2013-2014</w:t>
            </w:r>
          </w:p>
        </w:tc>
        <w:tc>
          <w:tcPr>
            <w:tcW w:w="1225"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86</w:t>
            </w:r>
          </w:p>
        </w:tc>
        <w:tc>
          <w:tcPr>
            <w:tcW w:w="145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44</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-2,</w:t>
            </w:r>
            <w:r w:rsidR="00793883" w:rsidRPr="008C5878">
              <w:rPr>
                <w:rFonts w:eastAsia="Times New Roman" w:cs="Arial"/>
                <w:color w:val="000000"/>
              </w:rPr>
              <w:t>68</w:t>
            </w:r>
          </w:p>
        </w:tc>
        <w:tc>
          <w:tcPr>
            <w:tcW w:w="1160"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10</w:t>
            </w:r>
          </w:p>
        </w:tc>
        <w:tc>
          <w:tcPr>
            <w:tcW w:w="1353"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3,</w:t>
            </w:r>
            <w:r w:rsidR="00793883" w:rsidRPr="008C5878">
              <w:rPr>
                <w:rFonts w:eastAsia="Times New Roman" w:cs="Arial"/>
                <w:color w:val="000000"/>
              </w:rPr>
              <w:t>72</w:t>
            </w:r>
          </w:p>
        </w:tc>
        <w:tc>
          <w:tcPr>
            <w:tcW w:w="1342" w:type="dxa"/>
            <w:tcBorders>
              <w:top w:val="nil"/>
              <w:left w:val="nil"/>
              <w:bottom w:val="single" w:sz="4" w:space="0" w:color="auto"/>
              <w:right w:val="single" w:sz="4" w:space="0" w:color="auto"/>
            </w:tcBorders>
            <w:shd w:val="clear" w:color="auto" w:fill="auto"/>
            <w:noWrap/>
            <w:vAlign w:val="bottom"/>
            <w:hideMark/>
          </w:tcPr>
          <w:p w:rsidR="00793883" w:rsidRPr="008C5878" w:rsidRDefault="00FC67CE" w:rsidP="0084630F">
            <w:pPr>
              <w:spacing w:after="0"/>
              <w:jc w:val="right"/>
              <w:rPr>
                <w:rFonts w:eastAsia="Times New Roman" w:cs="Arial"/>
                <w:color w:val="000000"/>
              </w:rPr>
            </w:pPr>
            <w:r>
              <w:rPr>
                <w:rFonts w:eastAsia="Times New Roman" w:cs="Arial"/>
                <w:color w:val="000000"/>
              </w:rPr>
              <w:t>1,</w:t>
            </w:r>
            <w:r w:rsidR="00793883" w:rsidRPr="008C5878">
              <w:rPr>
                <w:rFonts w:eastAsia="Times New Roman" w:cs="Arial"/>
                <w:color w:val="000000"/>
              </w:rPr>
              <w:t>40</w:t>
            </w:r>
          </w:p>
        </w:tc>
      </w:tr>
    </w:tbl>
    <w:p w:rsidR="00B14273" w:rsidRPr="008C5878" w:rsidRDefault="00B14273" w:rsidP="0084630F">
      <w:pPr>
        <w:pStyle w:val="Caption"/>
        <w:keepNext/>
        <w:spacing w:line="276" w:lineRule="auto"/>
        <w:rPr>
          <w:rFonts w:cs="Arial"/>
          <w:b w:val="0"/>
          <w:color w:val="auto"/>
        </w:rPr>
      </w:pPr>
      <w:r w:rsidRPr="008C5878">
        <w:rPr>
          <w:rFonts w:cs="Arial"/>
          <w:b w:val="0"/>
          <w:color w:val="auto"/>
        </w:rPr>
        <w:t>Kaynak</w:t>
      </w:r>
      <w:r w:rsidR="00905B77" w:rsidRPr="008C5878">
        <w:rPr>
          <w:rFonts w:cs="Arial"/>
          <w:b w:val="0"/>
          <w:color w:val="auto"/>
        </w:rPr>
        <w:t>: TUİ</w:t>
      </w:r>
      <w:r w:rsidRPr="008C5878">
        <w:rPr>
          <w:rFonts w:cs="Arial"/>
          <w:b w:val="0"/>
          <w:color w:val="auto"/>
        </w:rPr>
        <w:t>K Üretim yöntemiyle GSYH; TU</w:t>
      </w:r>
      <w:r w:rsidR="00905B77" w:rsidRPr="008C5878">
        <w:rPr>
          <w:rFonts w:cs="Arial"/>
          <w:b w:val="0"/>
          <w:color w:val="auto"/>
        </w:rPr>
        <w:t>İ</w:t>
      </w:r>
      <w:r w:rsidRPr="008C5878">
        <w:rPr>
          <w:rFonts w:cs="Arial"/>
          <w:b w:val="0"/>
          <w:color w:val="auto"/>
        </w:rPr>
        <w:t>K İşgücü İstatistikleri; Betam</w:t>
      </w:r>
    </w:p>
    <w:p w:rsidR="00AC2BEB" w:rsidRPr="008C5878" w:rsidRDefault="00AC2BEB" w:rsidP="008C5878">
      <w:pPr>
        <w:jc w:val="both"/>
        <w:rPr>
          <w:rFonts w:cs="Arial"/>
        </w:rPr>
      </w:pPr>
      <w:r w:rsidRPr="009E1184">
        <w:rPr>
          <w:rFonts w:cs="Arial"/>
        </w:rPr>
        <w:t>İlk iki yıl</w:t>
      </w:r>
      <w:r w:rsidRPr="008C5878">
        <w:rPr>
          <w:rFonts w:cs="Arial"/>
        </w:rPr>
        <w:t xml:space="preserve"> </w:t>
      </w:r>
      <w:r w:rsidR="00A344B1" w:rsidRPr="008C5878">
        <w:rPr>
          <w:rFonts w:cs="Arial"/>
        </w:rPr>
        <w:t>tarım dışı</w:t>
      </w:r>
      <w:r w:rsidR="008C5878">
        <w:rPr>
          <w:rFonts w:cs="Arial"/>
        </w:rPr>
        <w:t xml:space="preserve"> açıdan incelendiğinde “is</w:t>
      </w:r>
      <w:r w:rsidRPr="008C5878">
        <w:rPr>
          <w:rFonts w:cs="Arial"/>
        </w:rPr>
        <w:t>t</w:t>
      </w:r>
      <w:r w:rsidR="008C5878">
        <w:rPr>
          <w:rFonts w:cs="Arial"/>
        </w:rPr>
        <w:t>i</w:t>
      </w:r>
      <w:r w:rsidRPr="008C5878">
        <w:rPr>
          <w:rFonts w:cs="Arial"/>
        </w:rPr>
        <w:t xml:space="preserve">hdamsız büyüme” iddiası çürüyor. </w:t>
      </w:r>
      <w:r w:rsidR="008C5878" w:rsidRPr="008C5878">
        <w:rPr>
          <w:rFonts w:cs="Arial"/>
        </w:rPr>
        <w:t>Nitekim</w:t>
      </w:r>
      <w:r w:rsidRPr="008C5878">
        <w:rPr>
          <w:rFonts w:cs="Arial"/>
        </w:rPr>
        <w:t xml:space="preserve"> ortalama esneklik </w:t>
      </w:r>
      <w:r w:rsidRPr="006F071D">
        <w:rPr>
          <w:rFonts w:cs="Arial"/>
        </w:rPr>
        <w:t>0,2</w:t>
      </w:r>
      <w:r w:rsidR="00A344B1" w:rsidRPr="006F071D">
        <w:rPr>
          <w:rFonts w:cs="Arial"/>
        </w:rPr>
        <w:t>5</w:t>
      </w:r>
      <w:r w:rsidRPr="006F071D">
        <w:rPr>
          <w:rFonts w:cs="Arial"/>
        </w:rPr>
        <w:t>’dan 0,4</w:t>
      </w:r>
      <w:r w:rsidR="00A344B1" w:rsidRPr="006F071D">
        <w:rPr>
          <w:rFonts w:cs="Arial"/>
        </w:rPr>
        <w:t>7</w:t>
      </w:r>
      <w:r w:rsidRPr="006F071D">
        <w:rPr>
          <w:rFonts w:cs="Arial"/>
        </w:rPr>
        <w:t>’</w:t>
      </w:r>
      <w:r w:rsidR="00A344B1" w:rsidRPr="006F071D">
        <w:rPr>
          <w:rFonts w:cs="Arial"/>
        </w:rPr>
        <w:t>ye</w:t>
      </w:r>
      <w:r w:rsidRPr="008C5878">
        <w:rPr>
          <w:rFonts w:cs="Arial"/>
        </w:rPr>
        <w:t xml:space="preserve"> yükseliyor. Ayrıca alt sektörler itibariyle teknolojik </w:t>
      </w:r>
      <w:r w:rsidR="00F14DD6" w:rsidRPr="008C5878">
        <w:rPr>
          <w:rFonts w:cs="Arial"/>
        </w:rPr>
        <w:t>açıdan</w:t>
      </w:r>
      <w:r w:rsidRPr="008C5878">
        <w:rPr>
          <w:rFonts w:cs="Arial"/>
        </w:rPr>
        <w:t xml:space="preserve"> beklenen tutarlılıkta bir büyüme-istihdam ilişkisi temayüz ediyor. Sanayide istihdam-büyüme esnekliği ortalama 0,2</w:t>
      </w:r>
      <w:r w:rsidR="00F14DD6" w:rsidRPr="008C5878">
        <w:rPr>
          <w:rFonts w:cs="Arial"/>
        </w:rPr>
        <w:t>4</w:t>
      </w:r>
      <w:r w:rsidRPr="008C5878">
        <w:rPr>
          <w:rFonts w:cs="Arial"/>
        </w:rPr>
        <w:t>, inşatta 0,5</w:t>
      </w:r>
      <w:r w:rsidR="008C5878">
        <w:rPr>
          <w:rFonts w:cs="Arial"/>
        </w:rPr>
        <w:t>1</w:t>
      </w:r>
      <w:r w:rsidRPr="008C5878">
        <w:rPr>
          <w:rFonts w:cs="Arial"/>
        </w:rPr>
        <w:t>, teknolojik emek tasarrufunun nispeten düşük seyrettiği hizmetlerde ise 0,5</w:t>
      </w:r>
      <w:r w:rsidR="00BC48E6">
        <w:rPr>
          <w:rFonts w:cs="Arial"/>
        </w:rPr>
        <w:t>7</w:t>
      </w:r>
      <w:r w:rsidRPr="008C5878">
        <w:rPr>
          <w:rFonts w:cs="Arial"/>
        </w:rPr>
        <w:t xml:space="preserve"> olarak gerçekleşiyor. Yine de büyümenin ist</w:t>
      </w:r>
      <w:r w:rsidR="00BC48E6">
        <w:rPr>
          <w:rFonts w:cs="Arial"/>
        </w:rPr>
        <w:t>i</w:t>
      </w:r>
      <w:r w:rsidRPr="008C5878">
        <w:rPr>
          <w:rFonts w:cs="Arial"/>
        </w:rPr>
        <w:t xml:space="preserve">hdam yaratma kapasitesinin nispeten düşük kaldığı </w:t>
      </w:r>
      <w:r w:rsidR="00F14DD6" w:rsidRPr="008C5878">
        <w:rPr>
          <w:rFonts w:cs="Arial"/>
        </w:rPr>
        <w:t>iddia edilebilir</w:t>
      </w:r>
      <w:r w:rsidRPr="008C5878">
        <w:rPr>
          <w:rFonts w:cs="Arial"/>
        </w:rPr>
        <w:t xml:space="preserve">. Buna karşılık 2005-2007 döneminde güçlü işgücü artışına rağmen tarım dışı işsizlik oranın </w:t>
      </w:r>
      <w:r w:rsidR="006F071D">
        <w:rPr>
          <w:rFonts w:cs="Arial"/>
        </w:rPr>
        <w:t>bir miktar azaldığını</w:t>
      </w:r>
      <w:r w:rsidR="008D125E">
        <w:rPr>
          <w:rStyle w:val="FootnoteReference"/>
          <w:rFonts w:cs="Arial"/>
        </w:rPr>
        <w:footnoteReference w:id="5"/>
      </w:r>
      <w:r w:rsidR="006F071D">
        <w:rPr>
          <w:rFonts w:cs="Arial"/>
        </w:rPr>
        <w:t xml:space="preserve"> </w:t>
      </w:r>
      <w:r w:rsidRPr="008C5878">
        <w:rPr>
          <w:rFonts w:cs="Arial"/>
        </w:rPr>
        <w:t xml:space="preserve">ve verimlilik artışlarının </w:t>
      </w:r>
      <w:r w:rsidRPr="008D125E">
        <w:rPr>
          <w:rFonts w:cs="Arial"/>
        </w:rPr>
        <w:t>büyümeye önemli katkı yaptığını hatırlatalım.</w:t>
      </w:r>
      <w:r w:rsidR="004907D5" w:rsidRPr="008D125E">
        <w:rPr>
          <w:rStyle w:val="FootnoteReference"/>
          <w:rFonts w:cs="Arial"/>
        </w:rPr>
        <w:footnoteReference w:id="6"/>
      </w:r>
      <w:r w:rsidR="00A54357" w:rsidRPr="008C5878">
        <w:rPr>
          <w:rFonts w:cs="Arial"/>
        </w:rPr>
        <w:t xml:space="preserve"> Dolayısıyla, “istihdamsız büyüme” yerine “işsizlik ve verimlilik itibariyle dengeli büyüme”den söz etmek daha doğru olur.</w:t>
      </w:r>
    </w:p>
    <w:p w:rsidR="00AC2BEB" w:rsidRPr="008C5878" w:rsidRDefault="00AC2BEB" w:rsidP="004907D5">
      <w:pPr>
        <w:jc w:val="both"/>
        <w:rPr>
          <w:rFonts w:cs="Arial"/>
        </w:rPr>
      </w:pPr>
      <w:r w:rsidRPr="008C5878">
        <w:rPr>
          <w:rFonts w:cs="Arial"/>
        </w:rPr>
        <w:t xml:space="preserve">2007-2009 yıllarını kapsayan kriz döneminin </w:t>
      </w:r>
      <w:r w:rsidR="00A54357" w:rsidRPr="008C5878">
        <w:rPr>
          <w:rFonts w:cs="Arial"/>
        </w:rPr>
        <w:t xml:space="preserve">istisnai koşulları nedeniyle </w:t>
      </w:r>
      <w:r w:rsidRPr="008C5878">
        <w:rPr>
          <w:rFonts w:cs="Arial"/>
        </w:rPr>
        <w:t xml:space="preserve">üzerinde fazla durmaya gerek yok. </w:t>
      </w:r>
      <w:r w:rsidR="00AD717E" w:rsidRPr="008C5878">
        <w:rPr>
          <w:rFonts w:cs="Arial"/>
        </w:rPr>
        <w:t xml:space="preserve">Büyüme </w:t>
      </w:r>
      <w:r w:rsidR="00AD717E" w:rsidRPr="004907D5">
        <w:rPr>
          <w:rFonts w:cs="Arial"/>
        </w:rPr>
        <w:t>yüzde 1’e</w:t>
      </w:r>
      <w:r w:rsidR="00AD717E" w:rsidRPr="008C5878">
        <w:rPr>
          <w:rFonts w:cs="Arial"/>
        </w:rPr>
        <w:t xml:space="preserve"> gerilerken istihdam art</w:t>
      </w:r>
      <w:r w:rsidR="004907D5">
        <w:rPr>
          <w:rFonts w:cs="Arial"/>
        </w:rPr>
        <w:t>ı</w:t>
      </w:r>
      <w:r w:rsidR="00AD717E" w:rsidRPr="008C5878">
        <w:rPr>
          <w:rFonts w:cs="Arial"/>
        </w:rPr>
        <w:t>şının gecikmeli olarak yanıt vermesi, dolayısıyla çok yüksek bir esneklik katsayısı çıkması</w:t>
      </w:r>
      <w:r w:rsidR="009A1CFB" w:rsidRPr="008C5878">
        <w:rPr>
          <w:rFonts w:cs="Arial"/>
        </w:rPr>
        <w:t>na</w:t>
      </w:r>
      <w:r w:rsidR="00AD717E" w:rsidRPr="008C5878">
        <w:rPr>
          <w:rFonts w:cs="Arial"/>
        </w:rPr>
        <w:t xml:space="preserve"> (2,</w:t>
      </w:r>
      <w:r w:rsidR="00A54357" w:rsidRPr="008C5878">
        <w:rPr>
          <w:rFonts w:cs="Arial"/>
        </w:rPr>
        <w:t>0</w:t>
      </w:r>
      <w:r w:rsidR="004907D5">
        <w:rPr>
          <w:rFonts w:cs="Arial"/>
        </w:rPr>
        <w:t>) ve</w:t>
      </w:r>
      <w:r w:rsidR="00AD717E" w:rsidRPr="008C5878">
        <w:rPr>
          <w:rFonts w:cs="Arial"/>
        </w:rPr>
        <w:t xml:space="preserve"> ardından da GSYH’nın büyük çapta küçülmesine rağmen</w:t>
      </w:r>
      <w:r w:rsidRPr="008C5878">
        <w:rPr>
          <w:rFonts w:cs="Arial"/>
        </w:rPr>
        <w:t xml:space="preserve"> </w:t>
      </w:r>
      <w:r w:rsidR="00A54357" w:rsidRPr="008C5878">
        <w:rPr>
          <w:rFonts w:cs="Arial"/>
        </w:rPr>
        <w:t xml:space="preserve">gerek istihdam teşvikleri gerek ek çalışan etkisi gerekse kayıtlı çalışanların işten çıkarma maliyetleri nedeniyle </w:t>
      </w:r>
      <w:r w:rsidR="00A650A6" w:rsidRPr="008C5878">
        <w:rPr>
          <w:rFonts w:cs="Arial"/>
        </w:rPr>
        <w:t xml:space="preserve">istihdamın </w:t>
      </w:r>
      <w:r w:rsidR="00AD717E" w:rsidRPr="008C5878">
        <w:rPr>
          <w:rFonts w:cs="Arial"/>
        </w:rPr>
        <w:t>sınırlı ölçüde düşmesi esnekliğin büyük ölçüde azalması</w:t>
      </w:r>
      <w:r w:rsidR="009A1CFB" w:rsidRPr="008C5878">
        <w:rPr>
          <w:rFonts w:cs="Arial"/>
        </w:rPr>
        <w:t>na</w:t>
      </w:r>
      <w:r w:rsidR="00AD717E" w:rsidRPr="008C5878">
        <w:rPr>
          <w:rFonts w:cs="Arial"/>
        </w:rPr>
        <w:t xml:space="preserve"> (0,18)</w:t>
      </w:r>
      <w:r w:rsidR="00A54357" w:rsidRPr="008C5878">
        <w:rPr>
          <w:rFonts w:cs="Arial"/>
        </w:rPr>
        <w:t xml:space="preserve"> </w:t>
      </w:r>
      <w:r w:rsidR="009A1CFB" w:rsidRPr="008C5878">
        <w:rPr>
          <w:rFonts w:cs="Arial"/>
        </w:rPr>
        <w:t>neden ol</w:t>
      </w:r>
      <w:r w:rsidR="00A650A6" w:rsidRPr="008C5878">
        <w:rPr>
          <w:rFonts w:cs="Arial"/>
        </w:rPr>
        <w:t>duğu görülüyor</w:t>
      </w:r>
      <w:r w:rsidR="004907D5">
        <w:rPr>
          <w:rFonts w:cs="Arial"/>
        </w:rPr>
        <w:t xml:space="preserve">. </w:t>
      </w:r>
      <w:r w:rsidR="009A1CFB" w:rsidRPr="008C5878">
        <w:rPr>
          <w:rFonts w:cs="Arial"/>
        </w:rPr>
        <w:t xml:space="preserve">Bu gelişmeler </w:t>
      </w:r>
      <w:r w:rsidR="00A54357" w:rsidRPr="008C5878">
        <w:rPr>
          <w:rFonts w:cs="Arial"/>
        </w:rPr>
        <w:t xml:space="preserve">doğaldır, </w:t>
      </w:r>
      <w:r w:rsidR="009A1CFB" w:rsidRPr="008C5878">
        <w:rPr>
          <w:rFonts w:cs="Arial"/>
        </w:rPr>
        <w:t xml:space="preserve">aynı zamanda da </w:t>
      </w:r>
      <w:r w:rsidR="00A54357" w:rsidRPr="008C5878">
        <w:rPr>
          <w:rFonts w:cs="Arial"/>
        </w:rPr>
        <w:t>büyüme-istihdam tartışması açısından öğretici değildir.</w:t>
      </w:r>
    </w:p>
    <w:p w:rsidR="009A1CFB" w:rsidRPr="008C5878" w:rsidRDefault="000E561E" w:rsidP="00FF7673">
      <w:pPr>
        <w:jc w:val="both"/>
        <w:rPr>
          <w:rFonts w:cs="Arial"/>
        </w:rPr>
      </w:pPr>
      <w:r w:rsidRPr="008C5878">
        <w:rPr>
          <w:rFonts w:cs="Arial"/>
        </w:rPr>
        <w:t xml:space="preserve">Krizden hızlı çıkış </w:t>
      </w:r>
      <w:r w:rsidRPr="008D125E">
        <w:rPr>
          <w:rFonts w:cs="Arial"/>
        </w:rPr>
        <w:t>dönemi</w:t>
      </w:r>
      <w:r w:rsidR="00A650A6" w:rsidRPr="008D125E">
        <w:rPr>
          <w:rFonts w:cs="Arial"/>
        </w:rPr>
        <w:t xml:space="preserve"> </w:t>
      </w:r>
      <w:r w:rsidR="00FF7673" w:rsidRPr="008D125E">
        <w:rPr>
          <w:rFonts w:cs="Arial"/>
        </w:rPr>
        <w:t xml:space="preserve">olan 2009-2011 dönemine gelince, </w:t>
      </w:r>
      <w:r w:rsidR="00526ED2" w:rsidRPr="008D125E">
        <w:rPr>
          <w:rFonts w:cs="Arial"/>
        </w:rPr>
        <w:t>T</w:t>
      </w:r>
      <w:r w:rsidRPr="008D125E">
        <w:rPr>
          <w:rFonts w:cs="Arial"/>
        </w:rPr>
        <w:t xml:space="preserve">ürkiye ekonomisi </w:t>
      </w:r>
      <w:r w:rsidR="00A650A6" w:rsidRPr="008D125E">
        <w:rPr>
          <w:rFonts w:cs="Arial"/>
        </w:rPr>
        <w:t xml:space="preserve">bu dönemde </w:t>
      </w:r>
      <w:r w:rsidRPr="008D125E">
        <w:rPr>
          <w:rFonts w:cs="Arial"/>
        </w:rPr>
        <w:t>büyüme rekorları kırmıştır. 2009-2011 döneminde yıllık ortal</w:t>
      </w:r>
      <w:r w:rsidR="00FF7673" w:rsidRPr="008D125E">
        <w:rPr>
          <w:rFonts w:cs="Arial"/>
        </w:rPr>
        <w:t>a</w:t>
      </w:r>
      <w:r w:rsidRPr="008D125E">
        <w:rPr>
          <w:rFonts w:cs="Arial"/>
        </w:rPr>
        <w:t>ma tarım dışı GSYH artışı yüzde 9,5’tir.</w:t>
      </w:r>
      <w:r w:rsidR="00FF7673" w:rsidRPr="008D125E">
        <w:rPr>
          <w:rStyle w:val="FootnoteReference"/>
          <w:rFonts w:cs="Arial"/>
        </w:rPr>
        <w:footnoteReference w:id="7"/>
      </w:r>
      <w:r w:rsidRPr="008D125E">
        <w:rPr>
          <w:rFonts w:cs="Arial"/>
        </w:rPr>
        <w:t xml:space="preserve"> Bu yüksek büyüme döneminde tarım dışı ortalama istihdam artışı yaklaşık yüzde 6</w:t>
      </w:r>
      <w:r w:rsidR="00526ED2" w:rsidRPr="008D125E">
        <w:rPr>
          <w:rFonts w:cs="Arial"/>
        </w:rPr>
        <w:t xml:space="preserve">, istihdam-büyüme esnekliği de </w:t>
      </w:r>
      <w:r w:rsidR="00FF7673" w:rsidRPr="008D125E">
        <w:rPr>
          <w:rFonts w:cs="Arial"/>
        </w:rPr>
        <w:t>0,63</w:t>
      </w:r>
      <w:r w:rsidR="00526ED2" w:rsidRPr="008D125E">
        <w:rPr>
          <w:rFonts w:cs="Arial"/>
        </w:rPr>
        <w:t>’dir. Bu dönemde</w:t>
      </w:r>
      <w:r w:rsidR="00FF7673" w:rsidRPr="008D125E">
        <w:rPr>
          <w:rFonts w:cs="Arial"/>
        </w:rPr>
        <w:t xml:space="preserve"> büyümenin istihdam yaratma kapa</w:t>
      </w:r>
      <w:r w:rsidR="00526ED2" w:rsidRPr="008D125E">
        <w:rPr>
          <w:rFonts w:cs="Arial"/>
        </w:rPr>
        <w:t>sitesi dik</w:t>
      </w:r>
      <w:r w:rsidR="00A650A6" w:rsidRPr="008D125E">
        <w:rPr>
          <w:rFonts w:cs="Arial"/>
        </w:rPr>
        <w:t>k</w:t>
      </w:r>
      <w:r w:rsidR="00526ED2" w:rsidRPr="008D125E">
        <w:rPr>
          <w:rFonts w:cs="Arial"/>
        </w:rPr>
        <w:t>ate değer ölçüde artmış am</w:t>
      </w:r>
      <w:r w:rsidR="00A650A6" w:rsidRPr="008D125E">
        <w:rPr>
          <w:rFonts w:cs="Arial"/>
        </w:rPr>
        <w:t>a</w:t>
      </w:r>
      <w:r w:rsidR="00526ED2" w:rsidRPr="008D125E">
        <w:rPr>
          <w:rFonts w:cs="Arial"/>
        </w:rPr>
        <w:t xml:space="preserve"> aynı zamanda veriml</w:t>
      </w:r>
      <w:r w:rsidR="00FF7673" w:rsidRPr="008D125E">
        <w:rPr>
          <w:rFonts w:cs="Arial"/>
        </w:rPr>
        <w:t>i</w:t>
      </w:r>
      <w:r w:rsidR="00526ED2" w:rsidRPr="008D125E">
        <w:rPr>
          <w:rFonts w:cs="Arial"/>
        </w:rPr>
        <w:t>lik artışı da devam etmiştir.</w:t>
      </w:r>
      <w:r w:rsidR="00FF7673" w:rsidRPr="008D125E">
        <w:rPr>
          <w:rStyle w:val="FootnoteReference"/>
          <w:rFonts w:cs="Arial"/>
        </w:rPr>
        <w:footnoteReference w:id="8"/>
      </w:r>
      <w:r w:rsidR="00A650A6" w:rsidRPr="008D125E">
        <w:rPr>
          <w:rFonts w:cs="Arial"/>
        </w:rPr>
        <w:t xml:space="preserve"> </w:t>
      </w:r>
      <w:r w:rsidR="00526ED2" w:rsidRPr="008D125E">
        <w:rPr>
          <w:rFonts w:cs="Arial"/>
        </w:rPr>
        <w:t xml:space="preserve">Bu dönemde güçlü istihdam artışına </w:t>
      </w:r>
      <w:r w:rsidR="00526ED2" w:rsidRPr="008D125E">
        <w:rPr>
          <w:rFonts w:cs="Arial"/>
        </w:rPr>
        <w:lastRenderedPageBreak/>
        <w:t xml:space="preserve">rağmen yüzde </w:t>
      </w:r>
      <w:r w:rsidR="006F071D" w:rsidRPr="008D125E">
        <w:rPr>
          <w:rFonts w:cs="Arial"/>
        </w:rPr>
        <w:t>16’nın</w:t>
      </w:r>
      <w:r w:rsidR="00526ED2" w:rsidRPr="008D125E">
        <w:rPr>
          <w:rFonts w:cs="Arial"/>
        </w:rPr>
        <w:t xml:space="preserve"> üzerine çıkan</w:t>
      </w:r>
      <w:r w:rsidR="00FF7673" w:rsidRPr="008D125E">
        <w:rPr>
          <w:rFonts w:cs="Arial"/>
        </w:rPr>
        <w:t xml:space="preserve"> </w:t>
      </w:r>
      <w:r w:rsidR="006F071D" w:rsidRPr="008D125E">
        <w:rPr>
          <w:rFonts w:cs="Arial"/>
        </w:rPr>
        <w:t>tarım dışı işsizlik oranı 2011’de 11,3’e</w:t>
      </w:r>
      <w:r w:rsidR="00526ED2" w:rsidRPr="008D125E">
        <w:rPr>
          <w:rFonts w:cs="Arial"/>
        </w:rPr>
        <w:t xml:space="preserve"> gerilemiştir.</w:t>
      </w:r>
      <w:r w:rsidR="00FF7673" w:rsidRPr="008D125E">
        <w:rPr>
          <w:rFonts w:cs="Arial"/>
        </w:rPr>
        <w:t xml:space="preserve"> </w:t>
      </w:r>
      <w:r w:rsidR="00526ED2" w:rsidRPr="008D125E">
        <w:rPr>
          <w:rFonts w:cs="Arial"/>
        </w:rPr>
        <w:t>Makro ekonomik dengeler açısından büyüme</w:t>
      </w:r>
      <w:r w:rsidR="00D56D37">
        <w:rPr>
          <w:rFonts w:cs="Arial"/>
        </w:rPr>
        <w:t>nin sorunlu özellikleri bir kenara bırakılırsa</w:t>
      </w:r>
      <w:r w:rsidR="00526ED2" w:rsidRPr="008D125E">
        <w:rPr>
          <w:rFonts w:cs="Arial"/>
        </w:rPr>
        <w:t xml:space="preserve"> istihdam yaratma açısından dengeli bir büyüme</w:t>
      </w:r>
      <w:r w:rsidR="00D56D37">
        <w:rPr>
          <w:rFonts w:cs="Arial"/>
        </w:rPr>
        <w:t>den bahsedilebilir</w:t>
      </w:r>
      <w:r w:rsidR="00526ED2" w:rsidRPr="008D125E">
        <w:rPr>
          <w:rFonts w:cs="Arial"/>
        </w:rPr>
        <w:t xml:space="preserve">. Alt sektörler itibariyle </w:t>
      </w:r>
      <w:r w:rsidR="00A478A8">
        <w:rPr>
          <w:rFonts w:cs="Arial"/>
        </w:rPr>
        <w:t xml:space="preserve">ise </w:t>
      </w:r>
      <w:r w:rsidR="00526ED2" w:rsidRPr="008D125E">
        <w:rPr>
          <w:rFonts w:cs="Arial"/>
        </w:rPr>
        <w:t>2010-2011 döneminde inşa</w:t>
      </w:r>
      <w:r w:rsidR="00820C5D">
        <w:rPr>
          <w:rFonts w:cs="Arial"/>
        </w:rPr>
        <w:t>a</w:t>
      </w:r>
      <w:r w:rsidR="00526ED2" w:rsidRPr="008D125E">
        <w:rPr>
          <w:rFonts w:cs="Arial"/>
        </w:rPr>
        <w:t xml:space="preserve">tta anormal istihdam artışı (esneklik 1,48) </w:t>
      </w:r>
      <w:r w:rsidR="00A478A8">
        <w:rPr>
          <w:rFonts w:cs="Arial"/>
        </w:rPr>
        <w:t xml:space="preserve">gözlemlenmektedir. </w:t>
      </w:r>
      <w:r w:rsidR="00720547">
        <w:rPr>
          <w:rFonts w:cs="Arial"/>
        </w:rPr>
        <w:t>D</w:t>
      </w:r>
      <w:r w:rsidR="00A478A8">
        <w:rPr>
          <w:rFonts w:cs="Arial"/>
        </w:rPr>
        <w:t xml:space="preserve">iğer taraftan </w:t>
      </w:r>
      <w:r w:rsidR="008A6A28" w:rsidRPr="008D125E">
        <w:rPr>
          <w:rFonts w:cs="Arial"/>
        </w:rPr>
        <w:t>bu iki yılda sanayide istihdam esnekliği</w:t>
      </w:r>
      <w:r w:rsidR="00A650A6" w:rsidRPr="008D125E">
        <w:rPr>
          <w:rFonts w:cs="Arial"/>
        </w:rPr>
        <w:t>nin</w:t>
      </w:r>
      <w:r w:rsidR="00D9389A" w:rsidRPr="008D125E">
        <w:rPr>
          <w:rFonts w:cs="Arial"/>
        </w:rPr>
        <w:t xml:space="preserve"> 0,65, hizmetlerde de 0,53</w:t>
      </w:r>
      <w:r w:rsidR="008A6A28" w:rsidRPr="008D125E">
        <w:rPr>
          <w:rFonts w:cs="Arial"/>
        </w:rPr>
        <w:t xml:space="preserve"> olması dengeli bir büyümeyi teyit etmektedir</w:t>
      </w:r>
      <w:r w:rsidR="008A6A28" w:rsidRPr="008C5878">
        <w:rPr>
          <w:rFonts w:cs="Arial"/>
        </w:rPr>
        <w:t>.</w:t>
      </w:r>
    </w:p>
    <w:p w:rsidR="0033128A" w:rsidRPr="00D9389A" w:rsidRDefault="00432D91" w:rsidP="0084630F">
      <w:pPr>
        <w:rPr>
          <w:rFonts w:cs="Arial"/>
          <w:b/>
          <w:sz w:val="24"/>
          <w:szCs w:val="24"/>
        </w:rPr>
      </w:pPr>
      <w:r w:rsidRPr="000F5F6E">
        <w:rPr>
          <w:rFonts w:cs="Arial"/>
          <w:b/>
          <w:sz w:val="24"/>
          <w:szCs w:val="24"/>
        </w:rPr>
        <w:t>Olağanüstü istihdam artışları</w:t>
      </w:r>
      <w:r w:rsidR="00466E34" w:rsidRPr="00D9389A">
        <w:rPr>
          <w:rFonts w:cs="Arial"/>
          <w:b/>
          <w:sz w:val="24"/>
          <w:szCs w:val="24"/>
        </w:rPr>
        <w:t xml:space="preserve"> ve oynaklık dönemi: </w:t>
      </w:r>
      <w:r w:rsidR="0033128A" w:rsidRPr="00D9389A">
        <w:rPr>
          <w:rFonts w:cs="Arial"/>
          <w:b/>
          <w:sz w:val="24"/>
          <w:szCs w:val="24"/>
        </w:rPr>
        <w:t>2011-2014</w:t>
      </w:r>
    </w:p>
    <w:p w:rsidR="00504830" w:rsidRPr="008C5878" w:rsidRDefault="008A6A28" w:rsidP="00D9389A">
      <w:pPr>
        <w:jc w:val="both"/>
        <w:rPr>
          <w:rFonts w:cs="Arial"/>
        </w:rPr>
      </w:pPr>
      <w:r w:rsidRPr="008C5878">
        <w:rPr>
          <w:rFonts w:cs="Arial"/>
        </w:rPr>
        <w:t xml:space="preserve">Büyüme-istihdam ilişkisinde tutarsızlık </w:t>
      </w:r>
      <w:r w:rsidR="00AE1E11" w:rsidRPr="008C5878">
        <w:rPr>
          <w:rFonts w:cs="Arial"/>
        </w:rPr>
        <w:t xml:space="preserve">ve oynaklık </w:t>
      </w:r>
      <w:r w:rsidRPr="008C5878">
        <w:rPr>
          <w:rFonts w:cs="Arial"/>
        </w:rPr>
        <w:t>son üç yıla özgüdür. İlk yıl tarım dışı GSYH artışı yüzde 2,2’ye gerilerken tarım dışı istihdam artışı büyüme oranının çok üze</w:t>
      </w:r>
      <w:r w:rsidR="00720547">
        <w:rPr>
          <w:rFonts w:cs="Arial"/>
        </w:rPr>
        <w:t>rinde yüzde 4,4 olarak gerçeklemiştir</w:t>
      </w:r>
      <w:r w:rsidRPr="008C5878">
        <w:rPr>
          <w:rFonts w:cs="Arial"/>
        </w:rPr>
        <w:t>. Sonuç olarak istihdam-büyüme esnekliği 2,0 gibi olağan üstü bir düzeye çıkmış</w:t>
      </w:r>
      <w:r w:rsidR="00AE1E11" w:rsidRPr="008C5878">
        <w:rPr>
          <w:rFonts w:cs="Arial"/>
        </w:rPr>
        <w:t>,</w:t>
      </w:r>
      <w:r w:rsidRPr="008C5878">
        <w:rPr>
          <w:rFonts w:cs="Arial"/>
        </w:rPr>
        <w:t xml:space="preserve"> </w:t>
      </w:r>
      <w:r w:rsidR="00AE1E11" w:rsidRPr="008C5878">
        <w:rPr>
          <w:rFonts w:cs="Arial"/>
        </w:rPr>
        <w:t>tarım dışı çalışan sayısı</w:t>
      </w:r>
      <w:r w:rsidR="0084154C">
        <w:rPr>
          <w:rFonts w:cs="Arial"/>
        </w:rPr>
        <w:t>ndaki</w:t>
      </w:r>
      <w:r w:rsidR="00AE1E11" w:rsidRPr="008C5878">
        <w:rPr>
          <w:rFonts w:cs="Arial"/>
        </w:rPr>
        <w:t xml:space="preserve"> artışı ise, dü</w:t>
      </w:r>
      <w:r w:rsidRPr="008C5878">
        <w:rPr>
          <w:rFonts w:cs="Arial"/>
        </w:rPr>
        <w:t>şen ekonomik büyümeye rağmen</w:t>
      </w:r>
      <w:r w:rsidR="00626F39">
        <w:rPr>
          <w:rFonts w:cs="Arial"/>
        </w:rPr>
        <w:t>,</w:t>
      </w:r>
      <w:r w:rsidRPr="008C5878">
        <w:rPr>
          <w:rFonts w:cs="Arial"/>
        </w:rPr>
        <w:t xml:space="preserve"> 782 bin gibi ç</w:t>
      </w:r>
      <w:r w:rsidR="00D9389A">
        <w:rPr>
          <w:rFonts w:cs="Arial"/>
        </w:rPr>
        <w:t xml:space="preserve">ok yüksek bir rakama ulaşmıştır (Ek Tablo 1). </w:t>
      </w:r>
      <w:r w:rsidRPr="008C5878">
        <w:rPr>
          <w:rFonts w:cs="Arial"/>
        </w:rPr>
        <w:t xml:space="preserve"> Sektörl</w:t>
      </w:r>
      <w:r w:rsidR="0033128A" w:rsidRPr="008C5878">
        <w:rPr>
          <w:rFonts w:cs="Arial"/>
        </w:rPr>
        <w:t xml:space="preserve">er </w:t>
      </w:r>
      <w:r w:rsidR="00D9389A">
        <w:rPr>
          <w:rFonts w:cs="Arial"/>
        </w:rPr>
        <w:t>i</w:t>
      </w:r>
      <w:r w:rsidR="0033128A" w:rsidRPr="008C5878">
        <w:rPr>
          <w:rFonts w:cs="Arial"/>
        </w:rPr>
        <w:t xml:space="preserve">tibariyle sanayide 0,72 gibi nispeten yüksek ama makul bir istihdam-büyüme esnekliği söz konusudur. </w:t>
      </w:r>
      <w:r w:rsidR="00D9389A" w:rsidRPr="008C5878">
        <w:rPr>
          <w:rFonts w:cs="Arial"/>
        </w:rPr>
        <w:t>Oysa</w:t>
      </w:r>
      <w:r w:rsidR="0033128A" w:rsidRPr="008C5878">
        <w:rPr>
          <w:rFonts w:cs="Arial"/>
        </w:rPr>
        <w:t xml:space="preserve"> inşaatta ve hizmetlerde büyüme ile istihdam arasında ekonomik açıdan kabul edilebilir bir bağın tam</w:t>
      </w:r>
      <w:r w:rsidR="00D9389A">
        <w:rPr>
          <w:rFonts w:cs="Arial"/>
        </w:rPr>
        <w:t>am</w:t>
      </w:r>
      <w:r w:rsidR="0033128A" w:rsidRPr="008C5878">
        <w:rPr>
          <w:rFonts w:cs="Arial"/>
        </w:rPr>
        <w:t>en koptuğu görülmektedir. İnşaatta katma değer (büyüme) artışı yüzde 0,6 ile sınırlı kalırken, istihdam yü</w:t>
      </w:r>
      <w:r w:rsidR="00D9389A">
        <w:rPr>
          <w:rFonts w:cs="Arial"/>
        </w:rPr>
        <w:t>z</w:t>
      </w:r>
      <w:r w:rsidR="0033128A" w:rsidRPr="008C5878">
        <w:rPr>
          <w:rFonts w:cs="Arial"/>
        </w:rPr>
        <w:t xml:space="preserve">de 2,2 artmış; esneklik de 3,66’ya yükselmiştir. Hizmetlerde durum farklı değildir. Katma değer artışı yüzde 2,5 olurken istihdam artışı yüzde 6 olarak gerçekleşmiş, esneklik de 2,4’e yükselmiştir. </w:t>
      </w:r>
      <w:r w:rsidRPr="008C5878">
        <w:rPr>
          <w:rFonts w:cs="Arial"/>
        </w:rPr>
        <w:t xml:space="preserve"> </w:t>
      </w:r>
      <w:r w:rsidR="002F69E9" w:rsidRPr="008C5878">
        <w:rPr>
          <w:rFonts w:cs="Arial"/>
        </w:rPr>
        <w:t xml:space="preserve">2011’den 2012’ye yüzde 2,2 gibi Türkiye ekonomisi için </w:t>
      </w:r>
      <w:r w:rsidR="00AE1E11" w:rsidRPr="008C5878">
        <w:rPr>
          <w:rFonts w:cs="Arial"/>
        </w:rPr>
        <w:t>çok</w:t>
      </w:r>
      <w:r w:rsidR="002F69E9" w:rsidRPr="008C5878">
        <w:rPr>
          <w:rFonts w:cs="Arial"/>
        </w:rPr>
        <w:t xml:space="preserve"> düşük bir büyümenin inşaatta ve hizmetlerde hangi etkenlerle </w:t>
      </w:r>
      <w:r w:rsidR="002F69E9" w:rsidRPr="000F5F6E">
        <w:rPr>
          <w:rFonts w:cs="Arial"/>
        </w:rPr>
        <w:t>aşırı istihdama</w:t>
      </w:r>
      <w:r w:rsidR="002F69E9" w:rsidRPr="008C5878">
        <w:rPr>
          <w:rFonts w:cs="Arial"/>
        </w:rPr>
        <w:t xml:space="preserve">, dolayısıyla emek verimliliğinde büyük düşüşlere neden olduğu sorgulanmalıdır. Bu aşırı istihdam olgusu ekonominin </w:t>
      </w:r>
      <w:r w:rsidR="00504830" w:rsidRPr="008C5878">
        <w:rPr>
          <w:rFonts w:cs="Arial"/>
        </w:rPr>
        <w:t xml:space="preserve">doğal kurallarına aykırıdır. İnşaat ve hizmet istihdamında meydana gelen bu sıra dışı </w:t>
      </w:r>
      <w:r w:rsidR="00AE1E11" w:rsidRPr="008C5878">
        <w:rPr>
          <w:rFonts w:cs="Arial"/>
        </w:rPr>
        <w:t xml:space="preserve">artış </w:t>
      </w:r>
      <w:r w:rsidR="00D9389A">
        <w:rPr>
          <w:rFonts w:cs="Arial"/>
        </w:rPr>
        <w:t>piyasa ekonomisin</w:t>
      </w:r>
      <w:r w:rsidR="00504830" w:rsidRPr="008C5878">
        <w:rPr>
          <w:rFonts w:cs="Arial"/>
        </w:rPr>
        <w:t>in doğal işleyişi ile tezat halindedir. GSYH ya da istihdam ölçümlerinde bir hata olma ihtimali göz ardı edilemez.</w:t>
      </w:r>
    </w:p>
    <w:p w:rsidR="00CF078D" w:rsidRPr="008C5878" w:rsidRDefault="00AE1E11" w:rsidP="00D9389A">
      <w:pPr>
        <w:jc w:val="both"/>
        <w:rPr>
          <w:rFonts w:cs="Arial"/>
        </w:rPr>
      </w:pPr>
      <w:r w:rsidRPr="008C5878">
        <w:rPr>
          <w:rFonts w:cs="Arial"/>
        </w:rPr>
        <w:t xml:space="preserve">İzleyen </w:t>
      </w:r>
      <w:r w:rsidR="00504830" w:rsidRPr="008C5878">
        <w:rPr>
          <w:rFonts w:cs="Arial"/>
        </w:rPr>
        <w:t>2012-2</w:t>
      </w:r>
      <w:r w:rsidRPr="008C5878">
        <w:rPr>
          <w:rFonts w:cs="Arial"/>
        </w:rPr>
        <w:t>013</w:t>
      </w:r>
      <w:r w:rsidR="00504830" w:rsidRPr="008C5878">
        <w:rPr>
          <w:rFonts w:cs="Arial"/>
        </w:rPr>
        <w:t xml:space="preserve"> döneminde adeta bir düze</w:t>
      </w:r>
      <w:r w:rsidR="00D9389A">
        <w:rPr>
          <w:rFonts w:cs="Arial"/>
        </w:rPr>
        <w:t>ltme gerçekleşmiştir. Tarım dış</w:t>
      </w:r>
      <w:r w:rsidR="00504830" w:rsidRPr="008C5878">
        <w:rPr>
          <w:rFonts w:cs="Arial"/>
        </w:rPr>
        <w:t>ında yüzde 5 büyüme</w:t>
      </w:r>
      <w:r w:rsidR="00720547">
        <w:rPr>
          <w:rFonts w:cs="Arial"/>
        </w:rPr>
        <w:t>ye</w:t>
      </w:r>
      <w:r w:rsidR="00504830" w:rsidRPr="008C5878">
        <w:rPr>
          <w:rFonts w:cs="Arial"/>
        </w:rPr>
        <w:t xml:space="preserve"> karşılık </w:t>
      </w:r>
      <w:r w:rsidR="00A010CA" w:rsidRPr="008C5878">
        <w:rPr>
          <w:rFonts w:cs="Arial"/>
        </w:rPr>
        <w:t xml:space="preserve">tarım dışı istihdam </w:t>
      </w:r>
      <w:r w:rsidRPr="008C5878">
        <w:rPr>
          <w:rFonts w:cs="Arial"/>
        </w:rPr>
        <w:t xml:space="preserve">artışı </w:t>
      </w:r>
      <w:r w:rsidR="00504830" w:rsidRPr="008C5878">
        <w:rPr>
          <w:rFonts w:cs="Arial"/>
        </w:rPr>
        <w:t>yüzde 4,1’de kalmış</w:t>
      </w:r>
      <w:r w:rsidR="00A010CA" w:rsidRPr="008C5878">
        <w:rPr>
          <w:rFonts w:cs="Arial"/>
        </w:rPr>
        <w:t>,</w:t>
      </w:r>
      <w:r w:rsidR="00504830" w:rsidRPr="008C5878">
        <w:rPr>
          <w:rFonts w:cs="Arial"/>
        </w:rPr>
        <w:t xml:space="preserve"> esneklik de 2,0’dan 0,82’ye gerilemiştir. </w:t>
      </w:r>
      <w:r w:rsidR="00A010CA" w:rsidRPr="008C5878">
        <w:rPr>
          <w:rFonts w:cs="Arial"/>
        </w:rPr>
        <w:t>Tarım dışı yıllık istihdam artışı</w:t>
      </w:r>
      <w:r w:rsidR="00F529E9">
        <w:rPr>
          <w:rFonts w:cs="Arial"/>
        </w:rPr>
        <w:t>,</w:t>
      </w:r>
      <w:r w:rsidR="00A010CA" w:rsidRPr="008C5878">
        <w:rPr>
          <w:rFonts w:cs="Arial"/>
        </w:rPr>
        <w:t xml:space="preserve"> </w:t>
      </w:r>
      <w:r w:rsidRPr="008C5878">
        <w:rPr>
          <w:rFonts w:cs="Arial"/>
        </w:rPr>
        <w:t xml:space="preserve">nispeten yüksek </w:t>
      </w:r>
      <w:r w:rsidR="00A010CA" w:rsidRPr="008C5878">
        <w:rPr>
          <w:rFonts w:cs="Arial"/>
        </w:rPr>
        <w:t>büyümeye rağ</w:t>
      </w:r>
      <w:r w:rsidRPr="008C5878">
        <w:rPr>
          <w:rFonts w:cs="Arial"/>
        </w:rPr>
        <w:t>men</w:t>
      </w:r>
      <w:r w:rsidR="00F529E9">
        <w:rPr>
          <w:rFonts w:cs="Arial"/>
        </w:rPr>
        <w:t>,</w:t>
      </w:r>
      <w:r w:rsidR="00A010CA" w:rsidRPr="008C5878">
        <w:rPr>
          <w:rFonts w:cs="Arial"/>
        </w:rPr>
        <w:t xml:space="preserve"> 761 binde kalmıştır. Bu düzeltme inşaat ve hizmet sektörlerinde</w:t>
      </w:r>
      <w:r w:rsidR="00166140">
        <w:rPr>
          <w:rFonts w:cs="Arial"/>
        </w:rPr>
        <w:t xml:space="preserve"> de</w:t>
      </w:r>
      <w:r w:rsidR="00A010CA" w:rsidRPr="008C5878">
        <w:rPr>
          <w:rFonts w:cs="Arial"/>
        </w:rPr>
        <w:t xml:space="preserve"> yaşanmıştır: </w:t>
      </w:r>
      <w:r w:rsidR="00166140">
        <w:rPr>
          <w:rFonts w:cs="Arial"/>
        </w:rPr>
        <w:t>İ</w:t>
      </w:r>
      <w:r w:rsidRPr="008C5878">
        <w:rPr>
          <w:rFonts w:cs="Arial"/>
        </w:rPr>
        <w:t xml:space="preserve">stihdam-büyüme </w:t>
      </w:r>
      <w:r w:rsidR="00A010CA" w:rsidRPr="008C5878">
        <w:rPr>
          <w:rFonts w:cs="Arial"/>
        </w:rPr>
        <w:t>esnekli</w:t>
      </w:r>
      <w:r w:rsidRPr="008C5878">
        <w:rPr>
          <w:rFonts w:cs="Arial"/>
        </w:rPr>
        <w:t>ği inşaatta 0</w:t>
      </w:r>
      <w:r w:rsidR="00A010CA" w:rsidRPr="008C5878">
        <w:rPr>
          <w:rFonts w:cs="Arial"/>
        </w:rPr>
        <w:t xml:space="preserve">,39’a, hizmetlerde de 0,78’e gerilemiştir. </w:t>
      </w:r>
      <w:r w:rsidR="00CF078D" w:rsidRPr="008C5878">
        <w:rPr>
          <w:rFonts w:cs="Arial"/>
        </w:rPr>
        <w:t>Ancak b</w:t>
      </w:r>
      <w:r w:rsidR="002D4B0C">
        <w:rPr>
          <w:rFonts w:cs="Arial"/>
        </w:rPr>
        <w:t xml:space="preserve">u kez de sanayi sektöründe </w:t>
      </w:r>
      <w:r w:rsidR="00972EDC" w:rsidRPr="00F47B39">
        <w:rPr>
          <w:rFonts w:cs="Arial"/>
        </w:rPr>
        <w:t>beklenmedik y</w:t>
      </w:r>
      <w:r w:rsidR="002D4B0C" w:rsidRPr="00F47B39">
        <w:rPr>
          <w:rFonts w:cs="Arial"/>
        </w:rPr>
        <w:t>üksek</w:t>
      </w:r>
      <w:r w:rsidR="00972EDC" w:rsidRPr="00F47B39">
        <w:rPr>
          <w:rFonts w:cs="Arial"/>
        </w:rPr>
        <w:t>likte</w:t>
      </w:r>
      <w:r w:rsidR="002D4B0C" w:rsidRPr="00F47B39">
        <w:rPr>
          <w:rFonts w:cs="Arial"/>
        </w:rPr>
        <w:t xml:space="preserve"> istihdam artışı </w:t>
      </w:r>
      <w:r w:rsidR="00CF078D" w:rsidRPr="008C5878">
        <w:rPr>
          <w:rFonts w:cs="Arial"/>
        </w:rPr>
        <w:t>söz konusudur. Büyüme yüzde 3,4 ile sınırlı kalırken, istihdam artışı yüzde 4 olmuş, esneklik de 1,</w:t>
      </w:r>
      <w:r w:rsidR="004032DD" w:rsidRPr="008C5878">
        <w:rPr>
          <w:rFonts w:cs="Arial"/>
        </w:rPr>
        <w:t>17’ye</w:t>
      </w:r>
      <w:r w:rsidR="00CF078D" w:rsidRPr="008C5878">
        <w:rPr>
          <w:rFonts w:cs="Arial"/>
        </w:rPr>
        <w:t xml:space="preserve"> yükselmiştir. </w:t>
      </w:r>
    </w:p>
    <w:p w:rsidR="005F5561" w:rsidRPr="008C5878" w:rsidRDefault="00CF078D" w:rsidP="00D9389A">
      <w:pPr>
        <w:jc w:val="both"/>
        <w:rPr>
          <w:rFonts w:cs="Arial"/>
        </w:rPr>
      </w:pPr>
      <w:r w:rsidRPr="008C5878">
        <w:rPr>
          <w:rFonts w:cs="Arial"/>
        </w:rPr>
        <w:t>Son yılda ise (2013-2014)</w:t>
      </w:r>
      <w:r w:rsidR="00A010CA" w:rsidRPr="008C5878">
        <w:rPr>
          <w:rFonts w:cs="Arial"/>
        </w:rPr>
        <w:t xml:space="preserve"> düzeltme süreci devam etmediği gibi </w:t>
      </w:r>
      <w:r w:rsidR="00A010CA" w:rsidRPr="00F47B39">
        <w:rPr>
          <w:rFonts w:cs="Arial"/>
        </w:rPr>
        <w:t>aşırı istihdama</w:t>
      </w:r>
      <w:r w:rsidR="00A010CA" w:rsidRPr="008C5878">
        <w:rPr>
          <w:rFonts w:cs="Arial"/>
        </w:rPr>
        <w:t xml:space="preserve"> yeniden dönüş söz konusudur. </w:t>
      </w:r>
      <w:r w:rsidR="00C838CA" w:rsidRPr="008C5878">
        <w:rPr>
          <w:rFonts w:cs="Arial"/>
        </w:rPr>
        <w:t>Tarım dışı GSYH artışı yüzde 3,8’e gerilerken istihdam artışı yüzde 5,5’e yükselmiş, tarım dışında çalışan sayısı bir yılda 1 milyon 66 bin gibi görülmemiş bir artış sergilemiştir.</w:t>
      </w:r>
      <w:r w:rsidR="005F5561" w:rsidRPr="008C5878">
        <w:rPr>
          <w:rFonts w:cs="Arial"/>
        </w:rPr>
        <w:t xml:space="preserve"> Es</w:t>
      </w:r>
      <w:r w:rsidR="00D32824">
        <w:rPr>
          <w:rFonts w:cs="Arial"/>
        </w:rPr>
        <w:t>nek</w:t>
      </w:r>
      <w:r w:rsidR="005F5561" w:rsidRPr="008C5878">
        <w:rPr>
          <w:rFonts w:cs="Arial"/>
        </w:rPr>
        <w:t>lik katsayısı da yeniden 1’in üzerine çıkarak 1,44</w:t>
      </w:r>
      <w:r w:rsidR="00D9389A">
        <w:rPr>
          <w:rFonts w:cs="Arial"/>
        </w:rPr>
        <w:t xml:space="preserve"> </w:t>
      </w:r>
      <w:r w:rsidR="005F5561" w:rsidRPr="008C5878">
        <w:rPr>
          <w:rFonts w:cs="Arial"/>
        </w:rPr>
        <w:t xml:space="preserve">olmuştur. Bu kez her üç sektörde de </w:t>
      </w:r>
      <w:r w:rsidR="005F5561" w:rsidRPr="00F47B39">
        <w:rPr>
          <w:rFonts w:cs="Arial"/>
        </w:rPr>
        <w:t>aşırı istihdam</w:t>
      </w:r>
      <w:r w:rsidR="005F5561" w:rsidRPr="008C5878">
        <w:rPr>
          <w:rFonts w:cs="Arial"/>
        </w:rPr>
        <w:t>, diğer ifadeyle emek verimliliğinde düşüşler söz konusudur.</w:t>
      </w:r>
      <w:r w:rsidR="00C838CA" w:rsidRPr="008C5878">
        <w:rPr>
          <w:rFonts w:cs="Arial"/>
        </w:rPr>
        <w:t xml:space="preserve"> </w:t>
      </w:r>
      <w:r w:rsidR="00504830" w:rsidRPr="008C5878">
        <w:rPr>
          <w:rFonts w:cs="Arial"/>
        </w:rPr>
        <w:t xml:space="preserve"> </w:t>
      </w:r>
      <w:r w:rsidR="005F5561" w:rsidRPr="008C5878">
        <w:rPr>
          <w:rFonts w:cs="Arial"/>
        </w:rPr>
        <w:t xml:space="preserve">Sanayide ve hizmetlerde esneklik katsayısı sırasıyla 1,1 ve 1,4’e yükselirken inşaatta 3,72 ile rekor kırmıştır. </w:t>
      </w:r>
    </w:p>
    <w:p w:rsidR="005F5561" w:rsidRPr="008C5878" w:rsidRDefault="005F5561" w:rsidP="0084630F">
      <w:pPr>
        <w:rPr>
          <w:rFonts w:cs="Arial"/>
          <w:b/>
        </w:rPr>
      </w:pPr>
      <w:r w:rsidRPr="008C5878">
        <w:rPr>
          <w:rFonts w:cs="Arial"/>
          <w:b/>
        </w:rPr>
        <w:t>Genel değerlendirme</w:t>
      </w:r>
    </w:p>
    <w:p w:rsidR="00BA4B3E" w:rsidRPr="008C5878" w:rsidRDefault="00BA4B3E" w:rsidP="00D9389A">
      <w:pPr>
        <w:jc w:val="both"/>
        <w:rPr>
          <w:rFonts w:cs="Arial"/>
        </w:rPr>
      </w:pPr>
      <w:r w:rsidRPr="008C5878">
        <w:rPr>
          <w:rFonts w:cs="Arial"/>
        </w:rPr>
        <w:t xml:space="preserve">Türkiye ekonomisinde son on yılda (2005-2014) büyüme istihdam ilişkisi, diğer ifadeyle büyümenin istihdam yaratma kapasitesi kriz dönemi hariç 2012 yılına kadar ekonomik kuram açısından anlamlı, ekonomik gelişme ve işsizlik açısından da </w:t>
      </w:r>
      <w:r w:rsidR="00F47B39">
        <w:rPr>
          <w:rFonts w:cs="Arial"/>
        </w:rPr>
        <w:t>olağan</w:t>
      </w:r>
      <w:r w:rsidRPr="008C5878">
        <w:rPr>
          <w:rFonts w:cs="Arial"/>
        </w:rPr>
        <w:t xml:space="preserve"> bir seyir izlemiştir. Kriz önc</w:t>
      </w:r>
      <w:r w:rsidR="00DF2FFE">
        <w:rPr>
          <w:rFonts w:cs="Arial"/>
        </w:rPr>
        <w:t>esinde</w:t>
      </w:r>
      <w:r w:rsidRPr="008C5878">
        <w:rPr>
          <w:rFonts w:cs="Arial"/>
        </w:rPr>
        <w:t xml:space="preserve"> tarım istihdamında yaşan</w:t>
      </w:r>
      <w:r w:rsidR="00D9389A">
        <w:rPr>
          <w:rFonts w:cs="Arial"/>
        </w:rPr>
        <w:t>an yüksek istihdam azalması “is</w:t>
      </w:r>
      <w:r w:rsidRPr="008C5878">
        <w:rPr>
          <w:rFonts w:cs="Arial"/>
        </w:rPr>
        <w:t>t</w:t>
      </w:r>
      <w:r w:rsidR="00D9389A">
        <w:rPr>
          <w:rFonts w:cs="Arial"/>
        </w:rPr>
        <w:t>i</w:t>
      </w:r>
      <w:r w:rsidRPr="008C5878">
        <w:rPr>
          <w:rFonts w:cs="Arial"/>
        </w:rPr>
        <w:t>hdamsız büyüme” tartışmasını gündeme getirmiştir. Ancak tarım dışı sektörler dikkate alındığında yü</w:t>
      </w:r>
      <w:r w:rsidR="00D9389A">
        <w:rPr>
          <w:rFonts w:cs="Arial"/>
        </w:rPr>
        <w:t>k</w:t>
      </w:r>
      <w:r w:rsidRPr="008C5878">
        <w:rPr>
          <w:rFonts w:cs="Arial"/>
        </w:rPr>
        <w:t>sek verimlilik artışları ile uyumlu har</w:t>
      </w:r>
      <w:r w:rsidR="00D9389A">
        <w:rPr>
          <w:rFonts w:cs="Arial"/>
        </w:rPr>
        <w:t>e</w:t>
      </w:r>
      <w:r w:rsidRPr="008C5878">
        <w:rPr>
          <w:rFonts w:cs="Arial"/>
        </w:rPr>
        <w:t xml:space="preserve">ket eden istihdam </w:t>
      </w:r>
      <w:r w:rsidRPr="008C5878">
        <w:rPr>
          <w:rFonts w:cs="Arial"/>
        </w:rPr>
        <w:lastRenderedPageBreak/>
        <w:t>artışları söz konusudur.</w:t>
      </w:r>
      <w:r w:rsidR="00DF2FFE">
        <w:rPr>
          <w:rFonts w:cs="Arial"/>
        </w:rPr>
        <w:t xml:space="preserve"> </w:t>
      </w:r>
      <w:r w:rsidR="00F9600E">
        <w:rPr>
          <w:rFonts w:cs="Arial"/>
        </w:rPr>
        <w:t xml:space="preserve">Kriz öncesi </w:t>
      </w:r>
      <w:r w:rsidR="00DF2FFE" w:rsidRPr="006B65E9">
        <w:rPr>
          <w:rFonts w:cs="Arial"/>
        </w:rPr>
        <w:t xml:space="preserve">dönemde </w:t>
      </w:r>
      <w:r w:rsidR="004F2CEE" w:rsidRPr="006B65E9">
        <w:rPr>
          <w:rFonts w:cs="Arial"/>
        </w:rPr>
        <w:t>tarım dışı işsizlik oranı yüzde 12’den 11,2’ye</w:t>
      </w:r>
      <w:r w:rsidR="00DF2FFE" w:rsidRPr="006B65E9">
        <w:rPr>
          <w:rFonts w:cs="Arial"/>
        </w:rPr>
        <w:t xml:space="preserve"> düşmüştür.</w:t>
      </w:r>
      <w:r w:rsidR="00DF2FFE">
        <w:rPr>
          <w:rFonts w:cs="Arial"/>
        </w:rPr>
        <w:t xml:space="preserve"> </w:t>
      </w:r>
      <w:r w:rsidRPr="008C5878">
        <w:rPr>
          <w:rFonts w:cs="Arial"/>
        </w:rPr>
        <w:t>Kriz ertesinde gerçekleşen çok yüksek büyümeyle birlikte istihdamda da yüksek artışlar gerçekleşmiş, bu dönemde büyümenin iş yaratma kapasitesindeki makul artış</w:t>
      </w:r>
      <w:r w:rsidR="00166140">
        <w:rPr>
          <w:rFonts w:cs="Arial"/>
        </w:rPr>
        <w:t xml:space="preserve">, diğer ifadeyle istihdam-büyüme esnekliğinde yükseliş de </w:t>
      </w:r>
      <w:r w:rsidRPr="008C5878">
        <w:rPr>
          <w:rFonts w:cs="Arial"/>
        </w:rPr>
        <w:t>istihdam artışına ek katkıda bulunmuştur.</w:t>
      </w:r>
    </w:p>
    <w:p w:rsidR="00E84263" w:rsidRDefault="00BA4B3E" w:rsidP="006D05A4">
      <w:pPr>
        <w:jc w:val="both"/>
        <w:rPr>
          <w:rFonts w:cs="Arial"/>
        </w:rPr>
      </w:pPr>
      <w:r w:rsidRPr="008C5878">
        <w:rPr>
          <w:rFonts w:cs="Arial"/>
        </w:rPr>
        <w:t>Buna karşılık düşük büyümenin egemen olduğu son üç yılda (2011-2014)</w:t>
      </w:r>
      <w:r w:rsidR="00466738" w:rsidRPr="008C5878">
        <w:rPr>
          <w:rFonts w:cs="Arial"/>
        </w:rPr>
        <w:t xml:space="preserve"> tarım dışı</w:t>
      </w:r>
      <w:r w:rsidRPr="008C5878">
        <w:rPr>
          <w:rFonts w:cs="Arial"/>
        </w:rPr>
        <w:t xml:space="preserve"> </w:t>
      </w:r>
      <w:r w:rsidR="00466738" w:rsidRPr="008C5878">
        <w:rPr>
          <w:rFonts w:cs="Arial"/>
        </w:rPr>
        <w:t xml:space="preserve">istihdamda </w:t>
      </w:r>
      <w:r w:rsidR="00466738" w:rsidRPr="00A96C2D">
        <w:rPr>
          <w:rFonts w:cs="Arial"/>
        </w:rPr>
        <w:t>“aşırı istihdamdan” söz edecek kadar</w:t>
      </w:r>
      <w:r w:rsidR="00466738" w:rsidRPr="008C5878">
        <w:rPr>
          <w:rFonts w:cs="Arial"/>
        </w:rPr>
        <w:t xml:space="preserve"> </w:t>
      </w:r>
      <w:r w:rsidR="00D9389A">
        <w:rPr>
          <w:rFonts w:cs="Arial"/>
        </w:rPr>
        <w:t>olağan dışı artışlar ortaya çık</w:t>
      </w:r>
      <w:r w:rsidR="00466738" w:rsidRPr="008C5878">
        <w:rPr>
          <w:rFonts w:cs="Arial"/>
        </w:rPr>
        <w:t>m</w:t>
      </w:r>
      <w:r w:rsidR="00D9389A">
        <w:rPr>
          <w:rFonts w:cs="Arial"/>
        </w:rPr>
        <w:t>ı</w:t>
      </w:r>
      <w:r w:rsidR="00466738" w:rsidRPr="008C5878">
        <w:rPr>
          <w:rFonts w:cs="Arial"/>
        </w:rPr>
        <w:t xml:space="preserve">ştır. </w:t>
      </w:r>
      <w:r w:rsidRPr="008C5878">
        <w:rPr>
          <w:rFonts w:cs="Arial"/>
        </w:rPr>
        <w:t>Düşük büyümenin hüküm sürdüğü son üç yıl</w:t>
      </w:r>
      <w:r w:rsidR="00AE1E11" w:rsidRPr="008C5878">
        <w:rPr>
          <w:rFonts w:cs="Arial"/>
        </w:rPr>
        <w:t>ın genel bir değerlendirmesi yapıldığında</w:t>
      </w:r>
      <w:r w:rsidRPr="008C5878">
        <w:rPr>
          <w:rFonts w:cs="Arial"/>
        </w:rPr>
        <w:t xml:space="preserve"> tarım dışı GSYH’da yaklaşık yüzde 3,7’lik ortalama artışa rağmen ortalama istihdam artışı</w:t>
      </w:r>
      <w:r w:rsidR="00AE1E11" w:rsidRPr="008C5878">
        <w:rPr>
          <w:rFonts w:cs="Arial"/>
        </w:rPr>
        <w:t>nın</w:t>
      </w:r>
      <w:r w:rsidRPr="008C5878">
        <w:rPr>
          <w:rFonts w:cs="Arial"/>
        </w:rPr>
        <w:t xml:space="preserve"> yüzde 4,9 ol</w:t>
      </w:r>
      <w:r w:rsidR="00AE1E11" w:rsidRPr="008C5878">
        <w:rPr>
          <w:rFonts w:cs="Arial"/>
        </w:rPr>
        <w:t>duğu gözlemlenmektedir</w:t>
      </w:r>
      <w:r w:rsidRPr="008C5878">
        <w:rPr>
          <w:rFonts w:cs="Arial"/>
        </w:rPr>
        <w:t xml:space="preserve">. İstihdam-büyüme esnekliği de yüzde 1,3 olarak hesaplanmaktadır. Özetle, </w:t>
      </w:r>
      <w:r w:rsidR="00A96C2D">
        <w:rPr>
          <w:rFonts w:cs="Arial"/>
        </w:rPr>
        <w:t>olağanüstü</w:t>
      </w:r>
      <w:r w:rsidRPr="00A96C2D">
        <w:rPr>
          <w:rFonts w:cs="Arial"/>
        </w:rPr>
        <w:t xml:space="preserve"> istihdam</w:t>
      </w:r>
      <w:r w:rsidR="00A96C2D">
        <w:rPr>
          <w:rFonts w:cs="Arial"/>
        </w:rPr>
        <w:t xml:space="preserve"> artışlarının</w:t>
      </w:r>
      <w:r w:rsidRPr="008C5878">
        <w:rPr>
          <w:rFonts w:cs="Arial"/>
        </w:rPr>
        <w:t xml:space="preserve"> gerçekleştiği, buna karşılık emek verimliliğinin düştüğü bir dönem söz konusudur. </w:t>
      </w:r>
      <w:r w:rsidR="00466738" w:rsidRPr="008C5878">
        <w:rPr>
          <w:rFonts w:cs="Arial"/>
        </w:rPr>
        <w:t xml:space="preserve">Bu anormal gelişme sanayi, inşaat ve hizmetler olmak üzere tüm tarım dışı sektörlerde gözlemlenmektedir. </w:t>
      </w:r>
      <w:r w:rsidR="006D05A4">
        <w:rPr>
          <w:rFonts w:cs="Arial"/>
        </w:rPr>
        <w:t xml:space="preserve">Bu dönemde işgücü artışları da çok kuvvetli olduğundan, </w:t>
      </w:r>
      <w:r w:rsidR="006766C0" w:rsidRPr="00A96C2D">
        <w:rPr>
          <w:rFonts w:cs="Arial"/>
        </w:rPr>
        <w:t>yüksek</w:t>
      </w:r>
      <w:r w:rsidR="006D05A4">
        <w:rPr>
          <w:rFonts w:cs="Arial"/>
        </w:rPr>
        <w:t xml:space="preserve"> istihdam artışı </w:t>
      </w:r>
      <w:r w:rsidR="00466738" w:rsidRPr="008C5878">
        <w:rPr>
          <w:rFonts w:cs="Arial"/>
        </w:rPr>
        <w:t>işsizlik düşürücü bir etki yapmamış</w:t>
      </w:r>
      <w:r w:rsidR="006D05A4">
        <w:rPr>
          <w:rFonts w:cs="Arial"/>
        </w:rPr>
        <w:t xml:space="preserve">tır. </w:t>
      </w:r>
      <w:r w:rsidR="009F4845">
        <w:rPr>
          <w:rFonts w:cs="Arial"/>
        </w:rPr>
        <w:t>T</w:t>
      </w:r>
      <w:r w:rsidR="00C44C6A" w:rsidRPr="006B65E9">
        <w:rPr>
          <w:rFonts w:cs="Arial"/>
        </w:rPr>
        <w:t>arım dışı işsizlik oranı 2011 yılında</w:t>
      </w:r>
      <w:r w:rsidR="006D05A4">
        <w:rPr>
          <w:rFonts w:cs="Arial"/>
        </w:rPr>
        <w:t>n sonra iki yıl azalarak</w:t>
      </w:r>
      <w:r w:rsidR="00C44C6A" w:rsidRPr="006B65E9">
        <w:rPr>
          <w:rFonts w:cs="Arial"/>
        </w:rPr>
        <w:t xml:space="preserve"> yüzde 11,3</w:t>
      </w:r>
      <w:r w:rsidR="006D05A4">
        <w:rPr>
          <w:rFonts w:cs="Arial"/>
        </w:rPr>
        <w:t>'ten</w:t>
      </w:r>
      <w:r w:rsidR="00C44C6A" w:rsidRPr="006B65E9">
        <w:rPr>
          <w:rFonts w:cs="Arial"/>
        </w:rPr>
        <w:t xml:space="preserve"> </w:t>
      </w:r>
      <w:r w:rsidR="006B65E9" w:rsidRPr="006B65E9">
        <w:rPr>
          <w:rFonts w:cs="Arial"/>
        </w:rPr>
        <w:t>yüzde 10,9’a gerilemiş</w:t>
      </w:r>
      <w:r w:rsidR="006D05A4">
        <w:rPr>
          <w:rFonts w:cs="Arial"/>
        </w:rPr>
        <w:t>, ancak</w:t>
      </w:r>
      <w:r w:rsidR="006B65E9" w:rsidRPr="006B65E9">
        <w:rPr>
          <w:rFonts w:cs="Arial"/>
        </w:rPr>
        <w:t xml:space="preserve"> daha sonra artarak</w:t>
      </w:r>
      <w:r w:rsidR="00C44C6A" w:rsidRPr="006B65E9">
        <w:rPr>
          <w:rFonts w:cs="Arial"/>
        </w:rPr>
        <w:t xml:space="preserve"> 2014 yılında yüzde 12'ye yükselmiş</w:t>
      </w:r>
      <w:r w:rsidR="006D05A4">
        <w:rPr>
          <w:rFonts w:cs="Arial"/>
        </w:rPr>
        <w:t>tir</w:t>
      </w:r>
      <w:r w:rsidR="00C44C6A" w:rsidRPr="006B65E9">
        <w:rPr>
          <w:rFonts w:cs="Arial"/>
        </w:rPr>
        <w:t>.</w:t>
      </w:r>
      <w:r w:rsidR="00C44C6A">
        <w:rPr>
          <w:rFonts w:cs="Arial"/>
        </w:rPr>
        <w:t xml:space="preserve"> </w:t>
      </w:r>
    </w:p>
    <w:p w:rsidR="00972EDC" w:rsidRPr="00972EDC" w:rsidRDefault="00E95C1D" w:rsidP="00972EDC">
      <w:pPr>
        <w:jc w:val="both"/>
        <w:rPr>
          <w:rFonts w:cs="Arial"/>
        </w:rPr>
      </w:pPr>
      <w:r w:rsidRPr="009E1184">
        <w:rPr>
          <w:rFonts w:cs="Arial"/>
        </w:rPr>
        <w:t xml:space="preserve">Özetle, </w:t>
      </w:r>
      <w:r w:rsidR="00972EDC" w:rsidRPr="009E1184">
        <w:rPr>
          <w:rFonts w:cs="Arial"/>
        </w:rPr>
        <w:t>Türkiye işgücü piyasasındaki büyüme istihdam ilişkisi son dönemlerde olağanüstü istihdam artışlarına ve zayıflayan büyüme performansına dayalıdır. Kuşkusuz büyümenin beklenenin üzerinde istihdam yaratmış olması kapsayıcılık</w:t>
      </w:r>
      <w:r w:rsidR="00972EDC" w:rsidRPr="00972EDC">
        <w:rPr>
          <w:rFonts w:cs="Arial"/>
        </w:rPr>
        <w:t xml:space="preserve"> açısından önem arz etmektedir. Bu doğrultuda aslında işsizlik oranlarının da düşmesi beklenir. Ne var ki söz konusu dönemde aynı zamanda işgücünde de hızlı artışlar kaydedilmiştir. İstihdama paralel olarak artan işgücü sonucunda işsizlik oranlarında kayda değer bir düşüş görülmemiştir. Diğer taraftan işgücüne katılım oranlarının düşüklüğü Türkiye işgücü piyasasının önemli yapısal sorunlarından biridir. Dolayısıyla beklenenin çok üstünde artan istihdam ve belki de bir çekme gücüyle artan işgücü, işgücü piyasasının yapısının daha kapsayıcı ve sağlıklı bir yola girdiğine işaret ediyor olabilir. Ancak istihdamın bu kadar hızlı artmış olması aynı zamanda verimlilik artışlarında yavaşlamayı ya da verimliliğin azalmasını beraberinde getirmiştir. Bu açıdan çalışan başına düşen gelirin istenilen seviyede artmadığı söylenebilir. Türkiye'de son birkaç senedir tartışmalara konu olan orta gelir tuzağı bu noktada tekrar karşımıza çıkmaktadır. Zira orta gelir tuzağından kurtulmanın yolu aynı kaynakları kullanarak daha çok üretmek, diğer bir deyişle verimliliği artırmaktan geçmektedir. İşgücü piyasasında son dönemlerde gözlemlenen değişimler aksi istikamette yol alıyor olabileceğimize işaret etmektedir. </w:t>
      </w:r>
    </w:p>
    <w:p w:rsidR="00972EDC" w:rsidRDefault="00972EDC" w:rsidP="00972EDC">
      <w:pPr>
        <w:jc w:val="both"/>
        <w:rPr>
          <w:rFonts w:cs="Arial"/>
        </w:rPr>
      </w:pPr>
      <w:r w:rsidRPr="00972EDC">
        <w:rPr>
          <w:rFonts w:cs="Arial"/>
        </w:rPr>
        <w:t>Türkiye işgücü piyasasında gözlemlenen olağanüstü istihdam ve işgücü artışları mutlaka daha ayrıntılı olarak araştırılmalıdır. 2004'ten itibaren farklı isimlerde ve kapsamlarda olmakla birlikte devam eden bölgesel teşvikler, 2008'den itibaren uygulanan kadın ve genç istihdamına yönelik teşvikler ve 5 puanlık SGK işveren hissesine verilen teşviklerin istihdam yaratılmasına olumlu katkıda bulunduğu düşünülebilir. Bu teşviklerin bir kısmı üzerine yapılan araştırmalar teşviklerin istihdam seviyesini artırmaktansa kayıtlı istihdama geçişi teşvik ettiğine işaret etmektedir. Ancak özellikle 5 puanlık teşvik ve yeni bölge tanımları üzerinden belirlenen teşvikler üzerine yeterince araştırma bulunmamaktadır. İşgücü maliyetlerini düşüren bu teşviklerin istihdam artışları</w:t>
      </w:r>
      <w:r>
        <w:rPr>
          <w:rFonts w:cs="Arial"/>
        </w:rPr>
        <w:t xml:space="preserve">na sebep olmaları muhtemeldir. </w:t>
      </w:r>
    </w:p>
    <w:p w:rsidR="00C44C6A" w:rsidRPr="008C5878" w:rsidRDefault="00C44C6A" w:rsidP="00C44C6A">
      <w:pPr>
        <w:rPr>
          <w:rFonts w:cs="Arial"/>
        </w:rPr>
      </w:pPr>
    </w:p>
    <w:p w:rsidR="00C44C6A" w:rsidRDefault="00C44C6A" w:rsidP="00C44C6A"/>
    <w:p w:rsidR="00C44C6A" w:rsidRPr="008C5878" w:rsidRDefault="00C44C6A" w:rsidP="00C44C6A">
      <w:pPr>
        <w:rPr>
          <w:rFonts w:cs="Arial"/>
        </w:rPr>
      </w:pPr>
    </w:p>
    <w:p w:rsidR="00905B77" w:rsidRPr="008C5878" w:rsidRDefault="00383FC7" w:rsidP="0084630F">
      <w:pPr>
        <w:pStyle w:val="Caption"/>
        <w:keepNext/>
        <w:spacing w:line="276" w:lineRule="auto"/>
        <w:rPr>
          <w:rFonts w:cs="Arial"/>
          <w:color w:val="auto"/>
          <w:sz w:val="22"/>
          <w:szCs w:val="22"/>
        </w:rPr>
      </w:pPr>
      <w:r w:rsidRPr="008C5878">
        <w:rPr>
          <w:rFonts w:cs="Arial"/>
          <w:color w:val="auto"/>
          <w:sz w:val="22"/>
          <w:szCs w:val="22"/>
        </w:rPr>
        <w:lastRenderedPageBreak/>
        <w:t>Ek</w:t>
      </w:r>
      <w:r w:rsidR="00C44C6A">
        <w:rPr>
          <w:rFonts w:cs="Arial"/>
          <w:color w:val="auto"/>
          <w:sz w:val="22"/>
          <w:szCs w:val="22"/>
        </w:rPr>
        <w:t xml:space="preserve"> </w:t>
      </w:r>
      <w:r w:rsidR="00905B77" w:rsidRPr="008C5878">
        <w:rPr>
          <w:rFonts w:cs="Arial"/>
          <w:color w:val="auto"/>
          <w:sz w:val="22"/>
          <w:szCs w:val="22"/>
        </w:rPr>
        <w:t>Tablo</w:t>
      </w:r>
      <w:r w:rsidRPr="008C5878">
        <w:rPr>
          <w:rFonts w:cs="Arial"/>
          <w:color w:val="auto"/>
          <w:sz w:val="22"/>
          <w:szCs w:val="22"/>
        </w:rPr>
        <w:t xml:space="preserve"> 1</w:t>
      </w:r>
      <w:r w:rsidR="00905B77" w:rsidRPr="008C5878">
        <w:rPr>
          <w:rFonts w:cs="Arial"/>
          <w:color w:val="auto"/>
          <w:sz w:val="22"/>
          <w:szCs w:val="22"/>
        </w:rPr>
        <w:t xml:space="preserve">: Sektörlere göre istihdam (bin kişi) </w:t>
      </w:r>
    </w:p>
    <w:tbl>
      <w:tblPr>
        <w:tblW w:w="8345" w:type="dxa"/>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20"/>
        <w:gridCol w:w="1230"/>
        <w:gridCol w:w="1387"/>
        <w:gridCol w:w="1074"/>
        <w:gridCol w:w="1074"/>
        <w:gridCol w:w="1074"/>
        <w:gridCol w:w="1186"/>
      </w:tblGrid>
      <w:tr w:rsidR="00905B77" w:rsidRPr="008C5878" w:rsidTr="008D125E">
        <w:trPr>
          <w:trHeight w:val="512"/>
        </w:trPr>
        <w:tc>
          <w:tcPr>
            <w:tcW w:w="1320" w:type="dxa"/>
            <w:shd w:val="clear" w:color="auto" w:fill="auto"/>
            <w:noWrap/>
            <w:vAlign w:val="center"/>
            <w:hideMark/>
          </w:tcPr>
          <w:p w:rsidR="00905B77" w:rsidRPr="008C5878" w:rsidRDefault="00905B77" w:rsidP="0084630F">
            <w:pPr>
              <w:spacing w:after="0"/>
              <w:rPr>
                <w:rFonts w:eastAsia="Times New Roman" w:cs="Arial"/>
                <w:b/>
                <w:color w:val="000000"/>
              </w:rPr>
            </w:pPr>
            <w:r w:rsidRPr="008C5878">
              <w:rPr>
                <w:rFonts w:eastAsia="Times New Roman" w:cs="Arial"/>
                <w:b/>
                <w:color w:val="000000"/>
              </w:rPr>
              <w:t>Yıllar</w:t>
            </w:r>
          </w:p>
        </w:tc>
        <w:tc>
          <w:tcPr>
            <w:tcW w:w="1230"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Toplam</w:t>
            </w:r>
          </w:p>
        </w:tc>
        <w:tc>
          <w:tcPr>
            <w:tcW w:w="1387"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Tarım dışı</w:t>
            </w:r>
          </w:p>
        </w:tc>
        <w:tc>
          <w:tcPr>
            <w:tcW w:w="1074"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Tarım</w:t>
            </w:r>
          </w:p>
        </w:tc>
        <w:tc>
          <w:tcPr>
            <w:tcW w:w="1074"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Sanayi</w:t>
            </w:r>
          </w:p>
        </w:tc>
        <w:tc>
          <w:tcPr>
            <w:tcW w:w="1074"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İnşaat</w:t>
            </w:r>
          </w:p>
        </w:tc>
        <w:tc>
          <w:tcPr>
            <w:tcW w:w="1186" w:type="dxa"/>
            <w:shd w:val="clear" w:color="auto" w:fill="auto"/>
            <w:noWrap/>
            <w:vAlign w:val="center"/>
            <w:hideMark/>
          </w:tcPr>
          <w:p w:rsidR="00905B77" w:rsidRPr="008C5878" w:rsidRDefault="00905B77" w:rsidP="0084630F">
            <w:pPr>
              <w:spacing w:after="0"/>
              <w:jc w:val="center"/>
              <w:rPr>
                <w:rFonts w:eastAsia="Times New Roman" w:cs="Arial"/>
                <w:b/>
                <w:color w:val="000000"/>
              </w:rPr>
            </w:pPr>
            <w:r w:rsidRPr="008C5878">
              <w:rPr>
                <w:rFonts w:eastAsia="Times New Roman" w:cs="Arial"/>
                <w:b/>
                <w:color w:val="000000"/>
              </w:rPr>
              <w:t>Hizmetler</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2005</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19633</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14619</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5014</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4241</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1097</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9281</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2006</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19933</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15280</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4653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4362</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1192</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9726</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2007</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20209</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15663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4546</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4403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1231</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10029</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2008</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20604</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15983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4621</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4537</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1238</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10208</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2009</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20615</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15863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4752</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4179</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1305</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10380</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2010</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21858</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16774</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5084</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4615</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1434</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10725</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2011</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23266</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17854</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5412</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4842</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1680</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11332</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2012</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23937</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18636</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5301</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4903</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1717</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12016</w:t>
            </w:r>
          </w:p>
        </w:tc>
      </w:tr>
      <w:tr w:rsidR="00905B77" w:rsidRPr="008C5878" w:rsidTr="008D125E">
        <w:trPr>
          <w:trHeight w:val="301"/>
        </w:trPr>
        <w:tc>
          <w:tcPr>
            <w:tcW w:w="1320" w:type="dxa"/>
            <w:shd w:val="clear" w:color="auto" w:fill="auto"/>
            <w:noWrap/>
            <w:vAlign w:val="bottom"/>
            <w:hideMark/>
          </w:tcPr>
          <w:p w:rsidR="00905B77" w:rsidRPr="008C5878" w:rsidRDefault="00905B77" w:rsidP="008D125E">
            <w:pPr>
              <w:spacing w:after="0"/>
              <w:rPr>
                <w:rFonts w:eastAsia="Times New Roman" w:cs="Arial"/>
                <w:color w:val="000000"/>
              </w:rPr>
            </w:pPr>
            <w:r w:rsidRPr="008C5878">
              <w:rPr>
                <w:rFonts w:eastAsia="Times New Roman" w:cs="Arial"/>
                <w:color w:val="000000"/>
              </w:rPr>
              <w:t>2013</w:t>
            </w:r>
          </w:p>
        </w:tc>
        <w:tc>
          <w:tcPr>
            <w:tcW w:w="1230"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24601</w:t>
            </w:r>
          </w:p>
        </w:tc>
        <w:tc>
          <w:tcPr>
            <w:tcW w:w="1387"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19397</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5204</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5101</w:t>
            </w:r>
          </w:p>
        </w:tc>
        <w:tc>
          <w:tcPr>
            <w:tcW w:w="1074"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1768</w:t>
            </w:r>
          </w:p>
        </w:tc>
        <w:tc>
          <w:tcPr>
            <w:tcW w:w="1186" w:type="dxa"/>
            <w:shd w:val="clear" w:color="auto" w:fill="auto"/>
            <w:noWrap/>
            <w:vAlign w:val="bottom"/>
            <w:hideMark/>
          </w:tcPr>
          <w:p w:rsidR="00905B77" w:rsidRPr="008C5878" w:rsidRDefault="00905B77" w:rsidP="0084630F">
            <w:pPr>
              <w:spacing w:after="0"/>
              <w:jc w:val="right"/>
              <w:rPr>
                <w:rFonts w:eastAsia="Times New Roman" w:cs="Arial"/>
                <w:color w:val="000000"/>
              </w:rPr>
            </w:pPr>
            <w:r w:rsidRPr="008C5878">
              <w:rPr>
                <w:rFonts w:eastAsia="Times New Roman" w:cs="Arial"/>
                <w:color w:val="000000"/>
              </w:rPr>
              <w:t>12528</w:t>
            </w:r>
          </w:p>
        </w:tc>
      </w:tr>
      <w:tr w:rsidR="00905B77" w:rsidRPr="008D125E" w:rsidTr="008D125E">
        <w:trPr>
          <w:trHeight w:val="316"/>
        </w:trPr>
        <w:tc>
          <w:tcPr>
            <w:tcW w:w="1320" w:type="dxa"/>
            <w:shd w:val="clear" w:color="auto" w:fill="auto"/>
            <w:noWrap/>
            <w:vAlign w:val="bottom"/>
            <w:hideMark/>
          </w:tcPr>
          <w:p w:rsidR="00905B77" w:rsidRPr="008D125E" w:rsidRDefault="00905B77" w:rsidP="008D125E">
            <w:pPr>
              <w:spacing w:after="0"/>
              <w:rPr>
                <w:rFonts w:eastAsia="Times New Roman" w:cs="Arial"/>
                <w:color w:val="000000"/>
                <w:sz w:val="18"/>
                <w:szCs w:val="18"/>
              </w:rPr>
            </w:pPr>
            <w:r w:rsidRPr="008D125E">
              <w:rPr>
                <w:rFonts w:eastAsia="Times New Roman" w:cs="Arial"/>
                <w:color w:val="000000"/>
              </w:rPr>
              <w:t>2014</w:t>
            </w:r>
          </w:p>
        </w:tc>
        <w:tc>
          <w:tcPr>
            <w:tcW w:w="1230" w:type="dxa"/>
            <w:shd w:val="clear" w:color="auto" w:fill="auto"/>
            <w:noWrap/>
            <w:vAlign w:val="bottom"/>
            <w:hideMark/>
          </w:tcPr>
          <w:p w:rsidR="00905B77" w:rsidRPr="008D125E" w:rsidRDefault="00905B77" w:rsidP="0084630F">
            <w:pPr>
              <w:spacing w:after="0"/>
              <w:jc w:val="right"/>
              <w:rPr>
                <w:rFonts w:eastAsia="Times New Roman" w:cs="Arial"/>
                <w:color w:val="000000"/>
              </w:rPr>
            </w:pPr>
            <w:r w:rsidRPr="008D125E">
              <w:rPr>
                <w:rFonts w:eastAsia="Times New Roman" w:cs="Arial"/>
                <w:color w:val="000000"/>
              </w:rPr>
              <w:t>25933</w:t>
            </w:r>
          </w:p>
        </w:tc>
        <w:tc>
          <w:tcPr>
            <w:tcW w:w="1387" w:type="dxa"/>
            <w:shd w:val="clear" w:color="auto" w:fill="auto"/>
            <w:noWrap/>
            <w:vAlign w:val="bottom"/>
            <w:hideMark/>
          </w:tcPr>
          <w:p w:rsidR="00905B77" w:rsidRPr="008D125E" w:rsidRDefault="00905B77" w:rsidP="0084630F">
            <w:pPr>
              <w:spacing w:after="0"/>
              <w:jc w:val="right"/>
              <w:rPr>
                <w:rFonts w:eastAsia="Times New Roman" w:cs="Arial"/>
                <w:color w:val="000000"/>
              </w:rPr>
            </w:pPr>
            <w:r w:rsidRPr="008D125E">
              <w:rPr>
                <w:rFonts w:eastAsia="Times New Roman" w:cs="Arial"/>
                <w:color w:val="000000"/>
              </w:rPr>
              <w:t>20463</w:t>
            </w:r>
          </w:p>
        </w:tc>
        <w:tc>
          <w:tcPr>
            <w:tcW w:w="1074" w:type="dxa"/>
            <w:shd w:val="clear" w:color="auto" w:fill="auto"/>
            <w:noWrap/>
            <w:vAlign w:val="bottom"/>
            <w:hideMark/>
          </w:tcPr>
          <w:p w:rsidR="00905B77" w:rsidRPr="008D125E" w:rsidRDefault="00905B77" w:rsidP="0084630F">
            <w:pPr>
              <w:spacing w:after="0"/>
              <w:jc w:val="right"/>
              <w:rPr>
                <w:rFonts w:eastAsia="Times New Roman" w:cs="Arial"/>
                <w:color w:val="000000"/>
              </w:rPr>
            </w:pPr>
            <w:r w:rsidRPr="008D125E">
              <w:rPr>
                <w:rFonts w:eastAsia="Times New Roman" w:cs="Arial"/>
                <w:color w:val="000000"/>
              </w:rPr>
              <w:t>5470</w:t>
            </w:r>
          </w:p>
        </w:tc>
        <w:tc>
          <w:tcPr>
            <w:tcW w:w="1074" w:type="dxa"/>
            <w:shd w:val="clear" w:color="auto" w:fill="auto"/>
            <w:noWrap/>
            <w:vAlign w:val="bottom"/>
            <w:hideMark/>
          </w:tcPr>
          <w:p w:rsidR="00905B77" w:rsidRPr="008D125E" w:rsidRDefault="00905B77" w:rsidP="0084630F">
            <w:pPr>
              <w:spacing w:after="0"/>
              <w:jc w:val="right"/>
              <w:rPr>
                <w:rFonts w:eastAsia="Times New Roman" w:cs="Arial"/>
                <w:color w:val="000000"/>
              </w:rPr>
            </w:pPr>
            <w:r w:rsidRPr="008D125E">
              <w:rPr>
                <w:rFonts w:eastAsia="Times New Roman" w:cs="Arial"/>
                <w:color w:val="000000"/>
              </w:rPr>
              <w:t>5316</w:t>
            </w:r>
          </w:p>
        </w:tc>
        <w:tc>
          <w:tcPr>
            <w:tcW w:w="1074" w:type="dxa"/>
            <w:shd w:val="clear" w:color="auto" w:fill="auto"/>
            <w:noWrap/>
            <w:vAlign w:val="bottom"/>
            <w:hideMark/>
          </w:tcPr>
          <w:p w:rsidR="00905B77" w:rsidRPr="008D125E" w:rsidRDefault="00905B77" w:rsidP="0084630F">
            <w:pPr>
              <w:spacing w:after="0"/>
              <w:jc w:val="right"/>
              <w:rPr>
                <w:rFonts w:eastAsia="Times New Roman" w:cs="Arial"/>
                <w:color w:val="000000"/>
              </w:rPr>
            </w:pPr>
            <w:r w:rsidRPr="008D125E">
              <w:rPr>
                <w:rFonts w:eastAsia="Times New Roman" w:cs="Arial"/>
                <w:color w:val="000000"/>
              </w:rPr>
              <w:t>1912</w:t>
            </w:r>
          </w:p>
        </w:tc>
        <w:tc>
          <w:tcPr>
            <w:tcW w:w="1186" w:type="dxa"/>
            <w:shd w:val="clear" w:color="auto" w:fill="auto"/>
            <w:noWrap/>
            <w:vAlign w:val="bottom"/>
            <w:hideMark/>
          </w:tcPr>
          <w:p w:rsidR="00905B77" w:rsidRPr="008D125E" w:rsidRDefault="00905B77" w:rsidP="0084630F">
            <w:pPr>
              <w:keepNext/>
              <w:spacing w:after="0"/>
              <w:jc w:val="right"/>
              <w:rPr>
                <w:rFonts w:eastAsia="Times New Roman" w:cs="Arial"/>
                <w:color w:val="000000"/>
              </w:rPr>
            </w:pPr>
            <w:r w:rsidRPr="008D125E">
              <w:rPr>
                <w:rFonts w:eastAsia="Times New Roman" w:cs="Arial"/>
                <w:color w:val="000000"/>
              </w:rPr>
              <w:t>13235</w:t>
            </w:r>
          </w:p>
        </w:tc>
      </w:tr>
    </w:tbl>
    <w:p w:rsidR="00905B77" w:rsidRPr="008D125E" w:rsidRDefault="00905B77" w:rsidP="0084630F">
      <w:pPr>
        <w:pStyle w:val="Caption"/>
        <w:spacing w:line="276" w:lineRule="auto"/>
        <w:rPr>
          <w:rFonts w:cs="Arial"/>
          <w:b w:val="0"/>
          <w:color w:val="auto"/>
        </w:rPr>
      </w:pPr>
      <w:r w:rsidRPr="008D125E">
        <w:rPr>
          <w:rFonts w:cs="Arial"/>
          <w:b w:val="0"/>
          <w:color w:val="auto"/>
        </w:rPr>
        <w:t xml:space="preserve">Kaynak: TUİK İşgücü İstatistikleri; Betam </w:t>
      </w:r>
    </w:p>
    <w:p w:rsidR="009A6AE9" w:rsidRPr="008C5878" w:rsidRDefault="009A6AE9" w:rsidP="0084630F">
      <w:pPr>
        <w:rPr>
          <w:rFonts w:cs="Arial"/>
        </w:rPr>
      </w:pPr>
    </w:p>
    <w:p w:rsidR="00A96C2D" w:rsidRPr="008C5878" w:rsidRDefault="00A96C2D" w:rsidP="00A96C2D">
      <w:pPr>
        <w:pStyle w:val="Caption"/>
        <w:keepNext/>
        <w:spacing w:line="276" w:lineRule="auto"/>
        <w:rPr>
          <w:rFonts w:cs="Arial"/>
          <w:sz w:val="22"/>
          <w:szCs w:val="22"/>
        </w:rPr>
      </w:pPr>
      <w:r>
        <w:rPr>
          <w:rFonts w:cs="Arial"/>
          <w:color w:val="auto"/>
          <w:sz w:val="22"/>
          <w:szCs w:val="22"/>
        </w:rPr>
        <w:t xml:space="preserve">Ek </w:t>
      </w:r>
      <w:r w:rsidRPr="008C5878">
        <w:rPr>
          <w:rFonts w:cs="Arial"/>
          <w:color w:val="auto"/>
          <w:sz w:val="22"/>
          <w:szCs w:val="22"/>
        </w:rPr>
        <w:t xml:space="preserve">Şekil </w:t>
      </w:r>
      <w:r w:rsidRPr="008C5878">
        <w:rPr>
          <w:rFonts w:cs="Arial"/>
          <w:color w:val="auto"/>
          <w:sz w:val="22"/>
          <w:szCs w:val="22"/>
        </w:rPr>
        <w:fldChar w:fldCharType="begin"/>
      </w:r>
      <w:r w:rsidRPr="008C5878">
        <w:rPr>
          <w:rFonts w:cs="Arial"/>
          <w:color w:val="auto"/>
          <w:sz w:val="22"/>
          <w:szCs w:val="22"/>
        </w:rPr>
        <w:instrText xml:space="preserve"> SEQ Şekil \* ARABIC </w:instrText>
      </w:r>
      <w:r w:rsidRPr="008C5878">
        <w:rPr>
          <w:rFonts w:cs="Arial"/>
          <w:color w:val="auto"/>
          <w:sz w:val="22"/>
          <w:szCs w:val="22"/>
        </w:rPr>
        <w:fldChar w:fldCharType="separate"/>
      </w:r>
      <w:r>
        <w:rPr>
          <w:rFonts w:cs="Arial"/>
          <w:noProof/>
          <w:color w:val="auto"/>
          <w:sz w:val="22"/>
          <w:szCs w:val="22"/>
        </w:rPr>
        <w:t>1</w:t>
      </w:r>
      <w:r w:rsidRPr="008C5878">
        <w:rPr>
          <w:rFonts w:cs="Arial"/>
          <w:color w:val="auto"/>
          <w:sz w:val="22"/>
          <w:szCs w:val="22"/>
        </w:rPr>
        <w:fldChar w:fldCharType="end"/>
      </w:r>
      <w:r w:rsidRPr="008C5878">
        <w:rPr>
          <w:rFonts w:cs="Arial"/>
          <w:color w:val="auto"/>
          <w:sz w:val="22"/>
          <w:szCs w:val="22"/>
        </w:rPr>
        <w:t>: Sektörlere göre istihdam artış dağılımı (bin kişi)</w:t>
      </w:r>
    </w:p>
    <w:p w:rsidR="00A96C2D" w:rsidRPr="008C5878" w:rsidRDefault="00A96C2D" w:rsidP="00A96C2D">
      <w:pPr>
        <w:keepNext/>
        <w:rPr>
          <w:rFonts w:cs="Arial"/>
        </w:rPr>
      </w:pPr>
      <w:r w:rsidRPr="008C5878">
        <w:rPr>
          <w:rFonts w:cs="Arial"/>
          <w:noProof/>
        </w:rPr>
        <w:drawing>
          <wp:inline distT="0" distB="0" distL="0" distR="0" wp14:anchorId="34E96541" wp14:editId="78DE460D">
            <wp:extent cx="5800953" cy="3233318"/>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6C2D" w:rsidRPr="008C5878" w:rsidRDefault="00A96C2D" w:rsidP="00A96C2D">
      <w:pPr>
        <w:pStyle w:val="Caption"/>
        <w:spacing w:line="276" w:lineRule="auto"/>
        <w:rPr>
          <w:rFonts w:cs="Arial"/>
          <w:b w:val="0"/>
          <w:color w:val="auto"/>
          <w:sz w:val="22"/>
          <w:szCs w:val="22"/>
        </w:rPr>
      </w:pPr>
      <w:r w:rsidRPr="008C5878">
        <w:rPr>
          <w:rFonts w:cs="Arial"/>
          <w:b w:val="0"/>
          <w:color w:val="auto"/>
          <w:sz w:val="22"/>
          <w:szCs w:val="22"/>
        </w:rPr>
        <w:t xml:space="preserve">Kaynak: TUİK İşgücü İstatistikleri; Betam </w:t>
      </w:r>
    </w:p>
    <w:p w:rsidR="00B14273" w:rsidRPr="008C5878" w:rsidRDefault="00B14273" w:rsidP="0084630F"/>
    <w:sectPr w:rsidR="00B14273" w:rsidRPr="008C5878" w:rsidSect="00AA19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3C" w:rsidRDefault="007B593C" w:rsidP="00DD404A">
      <w:pPr>
        <w:spacing w:after="0" w:line="240" w:lineRule="auto"/>
      </w:pPr>
      <w:r>
        <w:separator/>
      </w:r>
    </w:p>
  </w:endnote>
  <w:endnote w:type="continuationSeparator" w:id="0">
    <w:p w:rsidR="007B593C" w:rsidRDefault="007B593C" w:rsidP="00DD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2816"/>
      <w:docPartObj>
        <w:docPartGallery w:val="Page Numbers (Bottom of Page)"/>
        <w:docPartUnique/>
      </w:docPartObj>
    </w:sdtPr>
    <w:sdtEndPr/>
    <w:sdtContent>
      <w:p w:rsidR="00166140" w:rsidRDefault="00166140">
        <w:pPr>
          <w:pStyle w:val="Footer"/>
          <w:jc w:val="right"/>
        </w:pPr>
        <w:r>
          <w:fldChar w:fldCharType="begin"/>
        </w:r>
        <w:r>
          <w:instrText xml:space="preserve"> PAGE   \* MERGEFORMAT </w:instrText>
        </w:r>
        <w:r>
          <w:fldChar w:fldCharType="separate"/>
        </w:r>
        <w:r w:rsidR="00001888">
          <w:rPr>
            <w:noProof/>
          </w:rPr>
          <w:t>1</w:t>
        </w:r>
        <w:r>
          <w:rPr>
            <w:noProof/>
          </w:rPr>
          <w:fldChar w:fldCharType="end"/>
        </w:r>
      </w:p>
    </w:sdtContent>
  </w:sdt>
  <w:p w:rsidR="00166140" w:rsidRDefault="0016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3C" w:rsidRDefault="007B593C" w:rsidP="00DD404A">
      <w:pPr>
        <w:spacing w:after="0" w:line="240" w:lineRule="auto"/>
      </w:pPr>
      <w:r>
        <w:separator/>
      </w:r>
    </w:p>
  </w:footnote>
  <w:footnote w:type="continuationSeparator" w:id="0">
    <w:p w:rsidR="007B593C" w:rsidRDefault="007B593C" w:rsidP="00DD404A">
      <w:pPr>
        <w:spacing w:after="0" w:line="240" w:lineRule="auto"/>
      </w:pPr>
      <w:r>
        <w:continuationSeparator/>
      </w:r>
    </w:p>
  </w:footnote>
  <w:footnote w:id="1">
    <w:p w:rsidR="00166140" w:rsidRPr="004907D5" w:rsidRDefault="00166140" w:rsidP="00DD404A">
      <w:pPr>
        <w:pStyle w:val="FootnoteText"/>
        <w:rPr>
          <w:rFonts w:cs="Arial"/>
          <w:sz w:val="18"/>
          <w:szCs w:val="18"/>
        </w:rPr>
      </w:pPr>
      <w:r w:rsidRPr="004907D5">
        <w:rPr>
          <w:sz w:val="18"/>
          <w:szCs w:val="18"/>
        </w:rPr>
        <w:t>*</w:t>
      </w:r>
      <w:r w:rsidRPr="004907D5">
        <w:rPr>
          <w:rFonts w:cs="Arial"/>
          <w:sz w:val="18"/>
          <w:szCs w:val="18"/>
        </w:rPr>
        <w:t>Prof. Dr. Seyfettin Gürsel, Betam, Direktör, seyfettin.gursel@eas.bahcesehir.edu.tr</w:t>
      </w:r>
    </w:p>
  </w:footnote>
  <w:footnote w:id="2">
    <w:p w:rsidR="00166140" w:rsidRPr="004907D5" w:rsidRDefault="00166140" w:rsidP="00DD404A">
      <w:pPr>
        <w:pStyle w:val="FootnoteText"/>
        <w:rPr>
          <w:rFonts w:cs="Arial"/>
          <w:sz w:val="18"/>
          <w:szCs w:val="18"/>
        </w:rPr>
      </w:pPr>
      <w:r w:rsidRPr="004907D5">
        <w:rPr>
          <w:sz w:val="18"/>
          <w:szCs w:val="18"/>
        </w:rPr>
        <w:sym w:font="Symbol" w:char="F02A"/>
      </w:r>
      <w:r w:rsidRPr="004907D5">
        <w:rPr>
          <w:sz w:val="18"/>
          <w:szCs w:val="18"/>
        </w:rPr>
        <w:sym w:font="Symbol" w:char="F02A"/>
      </w:r>
      <w:r w:rsidRPr="004907D5">
        <w:rPr>
          <w:rFonts w:cs="Arial"/>
          <w:sz w:val="18"/>
          <w:szCs w:val="18"/>
        </w:rPr>
        <w:t>Yrd. Doç. Dr. Gökçe Uysal, Betam, Direktör Yardımcısı, gokce.uysal@eas.bahcesehir.edu.tr</w:t>
      </w:r>
    </w:p>
  </w:footnote>
  <w:footnote w:id="3">
    <w:p w:rsidR="00166140" w:rsidRPr="004907D5" w:rsidRDefault="00166140" w:rsidP="00DD404A">
      <w:pPr>
        <w:pStyle w:val="FootnoteText"/>
        <w:rPr>
          <w:rFonts w:cs="Arial"/>
          <w:sz w:val="18"/>
          <w:szCs w:val="18"/>
        </w:rPr>
      </w:pPr>
      <w:r w:rsidRPr="004907D5">
        <w:rPr>
          <w:sz w:val="18"/>
          <w:szCs w:val="18"/>
        </w:rPr>
        <w:sym w:font="Symbol" w:char="F02A"/>
      </w:r>
      <w:r w:rsidRPr="004907D5">
        <w:rPr>
          <w:sz w:val="18"/>
          <w:szCs w:val="18"/>
        </w:rPr>
        <w:sym w:font="Symbol" w:char="F02A"/>
      </w:r>
      <w:r w:rsidRPr="004907D5">
        <w:rPr>
          <w:sz w:val="18"/>
          <w:szCs w:val="18"/>
        </w:rPr>
        <w:sym w:font="Symbol" w:char="F02A"/>
      </w:r>
      <w:r w:rsidRPr="004907D5">
        <w:rPr>
          <w:rFonts w:cs="Arial"/>
          <w:sz w:val="18"/>
          <w:szCs w:val="18"/>
        </w:rPr>
        <w:t>Mine Durmaz, Betam, Araştırma Görevlisi, mine.durmaz@eas.bahcesehir.edu.tr</w:t>
      </w:r>
    </w:p>
    <w:p w:rsidR="00166140" w:rsidRPr="004907D5" w:rsidRDefault="00166140" w:rsidP="00DD404A">
      <w:pPr>
        <w:pStyle w:val="FootnoteText"/>
        <w:rPr>
          <w:rFonts w:cs="Arial"/>
          <w:sz w:val="18"/>
          <w:szCs w:val="18"/>
        </w:rPr>
      </w:pPr>
    </w:p>
  </w:footnote>
  <w:footnote w:id="4">
    <w:p w:rsidR="00166140" w:rsidRDefault="00166140">
      <w:pPr>
        <w:pStyle w:val="FootnoteText"/>
      </w:pPr>
      <w:r>
        <w:rPr>
          <w:rStyle w:val="FootnoteReference"/>
        </w:rPr>
        <w:footnoteRef/>
      </w:r>
      <w:r>
        <w:t xml:space="preserve"> </w:t>
      </w:r>
      <w:r w:rsidRPr="00F34DFD">
        <w:rPr>
          <w:sz w:val="18"/>
          <w:szCs w:val="18"/>
        </w:rPr>
        <w:t>1998 temel fiyatlarına göre üretim yöntemiyle gayri safi yurtiçi hasıla.</w:t>
      </w:r>
      <w:r>
        <w:t xml:space="preserve"> </w:t>
      </w:r>
    </w:p>
  </w:footnote>
  <w:footnote w:id="5">
    <w:p w:rsidR="00166140" w:rsidRPr="008D125E" w:rsidRDefault="00166140" w:rsidP="008D125E">
      <w:pPr>
        <w:pStyle w:val="FootnoteText"/>
        <w:jc w:val="both"/>
        <w:rPr>
          <w:sz w:val="18"/>
          <w:szCs w:val="18"/>
        </w:rPr>
      </w:pPr>
      <w:r w:rsidRPr="008D125E">
        <w:rPr>
          <w:rStyle w:val="FootnoteReference"/>
        </w:rPr>
        <w:footnoteRef/>
      </w:r>
      <w:r w:rsidRPr="008D125E">
        <w:rPr>
          <w:sz w:val="18"/>
          <w:szCs w:val="18"/>
        </w:rPr>
        <w:t xml:space="preserve"> 2005'te yüzde 9,5 olan genel işsizlik oranı ile yüzde 12 olan tarım dışı işsizlik oranının</w:t>
      </w:r>
      <w:r>
        <w:rPr>
          <w:sz w:val="18"/>
          <w:szCs w:val="18"/>
        </w:rPr>
        <w:t xml:space="preserve"> </w:t>
      </w:r>
      <w:r w:rsidRPr="008D125E">
        <w:rPr>
          <w:sz w:val="18"/>
          <w:szCs w:val="18"/>
        </w:rPr>
        <w:t>2007’de sırasıyla yüzde 9,2’ye ve 11,2’ye gerilediğini belirtelim.</w:t>
      </w:r>
    </w:p>
  </w:footnote>
  <w:footnote w:id="6">
    <w:p w:rsidR="00166140" w:rsidRPr="008D125E" w:rsidRDefault="00166140" w:rsidP="008D125E">
      <w:pPr>
        <w:pStyle w:val="FootnoteText"/>
        <w:jc w:val="both"/>
      </w:pPr>
      <w:r w:rsidRPr="008D125E">
        <w:rPr>
          <w:rStyle w:val="FootnoteReference"/>
          <w:sz w:val="18"/>
          <w:szCs w:val="18"/>
        </w:rPr>
        <w:footnoteRef/>
      </w:r>
      <w:r w:rsidRPr="008D125E">
        <w:rPr>
          <w:sz w:val="18"/>
          <w:szCs w:val="18"/>
        </w:rPr>
        <w:t xml:space="preserve"> Seyfettin Gürsel ve Barış Soybilgen, 2013. " Türkiye Uzun Yıllar Orta Gelir Tuzağından Kurtulamayabilir", Betam Araştırma Notu 14/169. </w:t>
      </w:r>
    </w:p>
  </w:footnote>
  <w:footnote w:id="7">
    <w:p w:rsidR="00166140" w:rsidRPr="008D125E" w:rsidRDefault="00166140" w:rsidP="008D125E">
      <w:pPr>
        <w:pStyle w:val="FootnoteText"/>
        <w:jc w:val="both"/>
        <w:rPr>
          <w:sz w:val="18"/>
          <w:szCs w:val="18"/>
        </w:rPr>
      </w:pPr>
      <w:r w:rsidRPr="008D125E">
        <w:rPr>
          <w:rStyle w:val="FootnoteReference"/>
        </w:rPr>
        <w:footnoteRef/>
      </w:r>
      <w:r w:rsidRPr="008D125E">
        <w:t xml:space="preserve"> </w:t>
      </w:r>
      <w:r w:rsidRPr="008D125E">
        <w:rPr>
          <w:sz w:val="18"/>
          <w:szCs w:val="18"/>
        </w:rPr>
        <w:t xml:space="preserve">Tamamen iç talebe dayalı bu sıra dışı büyümenin cari açığı sürdürülemez boyutlara yükseltmesi gibi yan etkiler bu notun konusunun dışındadır. </w:t>
      </w:r>
    </w:p>
  </w:footnote>
  <w:footnote w:id="8">
    <w:p w:rsidR="00166140" w:rsidRDefault="00166140" w:rsidP="008D125E">
      <w:pPr>
        <w:pStyle w:val="FootnoteText"/>
        <w:jc w:val="both"/>
      </w:pPr>
      <w:r w:rsidRPr="008D125E">
        <w:rPr>
          <w:rStyle w:val="FootnoteReference"/>
        </w:rPr>
        <w:footnoteRef/>
      </w:r>
      <w:r w:rsidRPr="008D125E">
        <w:t xml:space="preserve"> </w:t>
      </w:r>
      <w:r w:rsidRPr="008D125E">
        <w:rPr>
          <w:sz w:val="18"/>
          <w:szCs w:val="18"/>
        </w:rPr>
        <w:t>Seyfettin Gürsel ve Barış Soybilgen, 2013. " Türkiye Uzun Yıllar Orta Gelir Tuzağından Kurtulamayabilir", Betam Araştırma Notu 14/169.</w:t>
      </w:r>
      <w:r>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4A"/>
    <w:rsid w:val="00001888"/>
    <w:rsid w:val="00015382"/>
    <w:rsid w:val="0001680B"/>
    <w:rsid w:val="000422E1"/>
    <w:rsid w:val="00042A07"/>
    <w:rsid w:val="000521CE"/>
    <w:rsid w:val="0005476D"/>
    <w:rsid w:val="000946CD"/>
    <w:rsid w:val="000A4DC8"/>
    <w:rsid w:val="000B4418"/>
    <w:rsid w:val="000C55D8"/>
    <w:rsid w:val="000D2688"/>
    <w:rsid w:val="000D39AA"/>
    <w:rsid w:val="000D4DC6"/>
    <w:rsid w:val="000E561E"/>
    <w:rsid w:val="000F27B7"/>
    <w:rsid w:val="000F5F6E"/>
    <w:rsid w:val="001103D0"/>
    <w:rsid w:val="001139DB"/>
    <w:rsid w:val="001214A6"/>
    <w:rsid w:val="00127768"/>
    <w:rsid w:val="0013018B"/>
    <w:rsid w:val="00142FA0"/>
    <w:rsid w:val="00166140"/>
    <w:rsid w:val="00170F0E"/>
    <w:rsid w:val="001813E9"/>
    <w:rsid w:val="001A3E86"/>
    <w:rsid w:val="001A7AE2"/>
    <w:rsid w:val="001B0FF9"/>
    <w:rsid w:val="001B501C"/>
    <w:rsid w:val="001C4A85"/>
    <w:rsid w:val="001D0216"/>
    <w:rsid w:val="001E5A35"/>
    <w:rsid w:val="001F5699"/>
    <w:rsid w:val="0020266F"/>
    <w:rsid w:val="00206C03"/>
    <w:rsid w:val="00206EF4"/>
    <w:rsid w:val="00212009"/>
    <w:rsid w:val="00221F7D"/>
    <w:rsid w:val="00223520"/>
    <w:rsid w:val="00230A6A"/>
    <w:rsid w:val="00240BB5"/>
    <w:rsid w:val="00245A11"/>
    <w:rsid w:val="002469BA"/>
    <w:rsid w:val="002519FA"/>
    <w:rsid w:val="00254D39"/>
    <w:rsid w:val="002640C6"/>
    <w:rsid w:val="00265911"/>
    <w:rsid w:val="00275438"/>
    <w:rsid w:val="002840C4"/>
    <w:rsid w:val="0029173E"/>
    <w:rsid w:val="00294DBC"/>
    <w:rsid w:val="002C418B"/>
    <w:rsid w:val="002D4B0C"/>
    <w:rsid w:val="002F340E"/>
    <w:rsid w:val="002F69E9"/>
    <w:rsid w:val="003114B4"/>
    <w:rsid w:val="00312E45"/>
    <w:rsid w:val="00315B4A"/>
    <w:rsid w:val="0033128A"/>
    <w:rsid w:val="00331AA1"/>
    <w:rsid w:val="00333E5D"/>
    <w:rsid w:val="00337780"/>
    <w:rsid w:val="003548CE"/>
    <w:rsid w:val="00355049"/>
    <w:rsid w:val="00356201"/>
    <w:rsid w:val="00383FC7"/>
    <w:rsid w:val="00386574"/>
    <w:rsid w:val="003A536E"/>
    <w:rsid w:val="003C33DD"/>
    <w:rsid w:val="003C475A"/>
    <w:rsid w:val="003D38E6"/>
    <w:rsid w:val="003D7A65"/>
    <w:rsid w:val="003E6277"/>
    <w:rsid w:val="004032DD"/>
    <w:rsid w:val="004162CA"/>
    <w:rsid w:val="00430419"/>
    <w:rsid w:val="00432D91"/>
    <w:rsid w:val="00441EF4"/>
    <w:rsid w:val="00457798"/>
    <w:rsid w:val="00466738"/>
    <w:rsid w:val="00466E34"/>
    <w:rsid w:val="00476169"/>
    <w:rsid w:val="00480520"/>
    <w:rsid w:val="00484F8A"/>
    <w:rsid w:val="004903F9"/>
    <w:rsid w:val="004907D5"/>
    <w:rsid w:val="0049164D"/>
    <w:rsid w:val="00493316"/>
    <w:rsid w:val="004935CB"/>
    <w:rsid w:val="004A681E"/>
    <w:rsid w:val="004B2AA8"/>
    <w:rsid w:val="004B2AF6"/>
    <w:rsid w:val="004D5A9F"/>
    <w:rsid w:val="004E4C3A"/>
    <w:rsid w:val="004E56D8"/>
    <w:rsid w:val="004E605F"/>
    <w:rsid w:val="004E6AB4"/>
    <w:rsid w:val="004F2CEE"/>
    <w:rsid w:val="004F55C0"/>
    <w:rsid w:val="005003D1"/>
    <w:rsid w:val="00504830"/>
    <w:rsid w:val="0050585C"/>
    <w:rsid w:val="00513B31"/>
    <w:rsid w:val="00515C7D"/>
    <w:rsid w:val="005223FE"/>
    <w:rsid w:val="00524261"/>
    <w:rsid w:val="00526ED2"/>
    <w:rsid w:val="00532616"/>
    <w:rsid w:val="005331C8"/>
    <w:rsid w:val="00534A8B"/>
    <w:rsid w:val="005573B6"/>
    <w:rsid w:val="00564759"/>
    <w:rsid w:val="00567E74"/>
    <w:rsid w:val="00577429"/>
    <w:rsid w:val="00595007"/>
    <w:rsid w:val="005A6EE5"/>
    <w:rsid w:val="005C4CD4"/>
    <w:rsid w:val="005D2EF4"/>
    <w:rsid w:val="005D7DF7"/>
    <w:rsid w:val="005E6A3D"/>
    <w:rsid w:val="005F5561"/>
    <w:rsid w:val="00612F8F"/>
    <w:rsid w:val="00621C80"/>
    <w:rsid w:val="00622E03"/>
    <w:rsid w:val="0062406C"/>
    <w:rsid w:val="00626F39"/>
    <w:rsid w:val="00651364"/>
    <w:rsid w:val="00654D08"/>
    <w:rsid w:val="00657B09"/>
    <w:rsid w:val="00672BE5"/>
    <w:rsid w:val="00672FE2"/>
    <w:rsid w:val="006766C0"/>
    <w:rsid w:val="00677739"/>
    <w:rsid w:val="006779B1"/>
    <w:rsid w:val="00683043"/>
    <w:rsid w:val="00684020"/>
    <w:rsid w:val="006A4DBB"/>
    <w:rsid w:val="006A6215"/>
    <w:rsid w:val="006B65E9"/>
    <w:rsid w:val="006C557E"/>
    <w:rsid w:val="006D05A4"/>
    <w:rsid w:val="006D7F35"/>
    <w:rsid w:val="006E7B7E"/>
    <w:rsid w:val="006F071D"/>
    <w:rsid w:val="006F66F6"/>
    <w:rsid w:val="006F69F4"/>
    <w:rsid w:val="006F6E20"/>
    <w:rsid w:val="007030AE"/>
    <w:rsid w:val="007044F6"/>
    <w:rsid w:val="00706616"/>
    <w:rsid w:val="00707E17"/>
    <w:rsid w:val="00720547"/>
    <w:rsid w:val="00725751"/>
    <w:rsid w:val="007309F8"/>
    <w:rsid w:val="007503DB"/>
    <w:rsid w:val="00753470"/>
    <w:rsid w:val="007557B1"/>
    <w:rsid w:val="00780026"/>
    <w:rsid w:val="00780358"/>
    <w:rsid w:val="00793883"/>
    <w:rsid w:val="007A3DFB"/>
    <w:rsid w:val="007B593C"/>
    <w:rsid w:val="007B7892"/>
    <w:rsid w:val="007C5662"/>
    <w:rsid w:val="007D2079"/>
    <w:rsid w:val="007D3342"/>
    <w:rsid w:val="007E11EF"/>
    <w:rsid w:val="007E4A39"/>
    <w:rsid w:val="007F372C"/>
    <w:rsid w:val="007F6731"/>
    <w:rsid w:val="00812FDF"/>
    <w:rsid w:val="00820C5D"/>
    <w:rsid w:val="008301F4"/>
    <w:rsid w:val="00836D6B"/>
    <w:rsid w:val="0084154C"/>
    <w:rsid w:val="0084630F"/>
    <w:rsid w:val="00847257"/>
    <w:rsid w:val="0085641B"/>
    <w:rsid w:val="00874D97"/>
    <w:rsid w:val="00892EF3"/>
    <w:rsid w:val="008950C9"/>
    <w:rsid w:val="008A6A28"/>
    <w:rsid w:val="008A76AC"/>
    <w:rsid w:val="008B07F5"/>
    <w:rsid w:val="008B3BC8"/>
    <w:rsid w:val="008B4E97"/>
    <w:rsid w:val="008C548F"/>
    <w:rsid w:val="008C5878"/>
    <w:rsid w:val="008D125E"/>
    <w:rsid w:val="008D1D6B"/>
    <w:rsid w:val="008D5E70"/>
    <w:rsid w:val="008E2DC0"/>
    <w:rsid w:val="008E2FDD"/>
    <w:rsid w:val="008E3ACF"/>
    <w:rsid w:val="00905B77"/>
    <w:rsid w:val="00911405"/>
    <w:rsid w:val="00926293"/>
    <w:rsid w:val="00926AA0"/>
    <w:rsid w:val="00942740"/>
    <w:rsid w:val="00957072"/>
    <w:rsid w:val="00972EDC"/>
    <w:rsid w:val="00985ABD"/>
    <w:rsid w:val="009860A8"/>
    <w:rsid w:val="009A1CFB"/>
    <w:rsid w:val="009A25D6"/>
    <w:rsid w:val="009A6AE9"/>
    <w:rsid w:val="009D0EFD"/>
    <w:rsid w:val="009D2A2A"/>
    <w:rsid w:val="009D7F2D"/>
    <w:rsid w:val="009E0C23"/>
    <w:rsid w:val="009E1184"/>
    <w:rsid w:val="009F4845"/>
    <w:rsid w:val="00A010CA"/>
    <w:rsid w:val="00A114F2"/>
    <w:rsid w:val="00A344B1"/>
    <w:rsid w:val="00A4081F"/>
    <w:rsid w:val="00A478A8"/>
    <w:rsid w:val="00A54357"/>
    <w:rsid w:val="00A54D6F"/>
    <w:rsid w:val="00A650A6"/>
    <w:rsid w:val="00A71A98"/>
    <w:rsid w:val="00A727BC"/>
    <w:rsid w:val="00A74B5D"/>
    <w:rsid w:val="00A75288"/>
    <w:rsid w:val="00A852D4"/>
    <w:rsid w:val="00A94258"/>
    <w:rsid w:val="00A96C2D"/>
    <w:rsid w:val="00AA1988"/>
    <w:rsid w:val="00AB54E9"/>
    <w:rsid w:val="00AC2BEB"/>
    <w:rsid w:val="00AC5DC6"/>
    <w:rsid w:val="00AD06E0"/>
    <w:rsid w:val="00AD2C3C"/>
    <w:rsid w:val="00AD717E"/>
    <w:rsid w:val="00AE1E11"/>
    <w:rsid w:val="00AF35CA"/>
    <w:rsid w:val="00B14273"/>
    <w:rsid w:val="00B41288"/>
    <w:rsid w:val="00B47702"/>
    <w:rsid w:val="00B5224A"/>
    <w:rsid w:val="00B76659"/>
    <w:rsid w:val="00B80132"/>
    <w:rsid w:val="00B96BEF"/>
    <w:rsid w:val="00BA1EFA"/>
    <w:rsid w:val="00BA4B3E"/>
    <w:rsid w:val="00BC48E6"/>
    <w:rsid w:val="00BE718F"/>
    <w:rsid w:val="00C06FAB"/>
    <w:rsid w:val="00C200A9"/>
    <w:rsid w:val="00C24F07"/>
    <w:rsid w:val="00C32090"/>
    <w:rsid w:val="00C44C6A"/>
    <w:rsid w:val="00C500E3"/>
    <w:rsid w:val="00C518E9"/>
    <w:rsid w:val="00C56D46"/>
    <w:rsid w:val="00C611BD"/>
    <w:rsid w:val="00C838CA"/>
    <w:rsid w:val="00C96A23"/>
    <w:rsid w:val="00CA69E4"/>
    <w:rsid w:val="00CC1D21"/>
    <w:rsid w:val="00CD2929"/>
    <w:rsid w:val="00CE3B90"/>
    <w:rsid w:val="00CF078D"/>
    <w:rsid w:val="00CF774B"/>
    <w:rsid w:val="00D17ADC"/>
    <w:rsid w:val="00D23F85"/>
    <w:rsid w:val="00D32824"/>
    <w:rsid w:val="00D56D37"/>
    <w:rsid w:val="00D71EE3"/>
    <w:rsid w:val="00D72BC6"/>
    <w:rsid w:val="00D9389A"/>
    <w:rsid w:val="00D9418D"/>
    <w:rsid w:val="00D9594F"/>
    <w:rsid w:val="00DA254D"/>
    <w:rsid w:val="00DA53E3"/>
    <w:rsid w:val="00DA61B9"/>
    <w:rsid w:val="00DA6CA0"/>
    <w:rsid w:val="00DC70E6"/>
    <w:rsid w:val="00DD0DCA"/>
    <w:rsid w:val="00DD404A"/>
    <w:rsid w:val="00DD4FF4"/>
    <w:rsid w:val="00DD70F8"/>
    <w:rsid w:val="00DF2FFE"/>
    <w:rsid w:val="00E00681"/>
    <w:rsid w:val="00E01047"/>
    <w:rsid w:val="00E01ECD"/>
    <w:rsid w:val="00E14193"/>
    <w:rsid w:val="00E20E5A"/>
    <w:rsid w:val="00E36F89"/>
    <w:rsid w:val="00E443A0"/>
    <w:rsid w:val="00E62A0C"/>
    <w:rsid w:val="00E84263"/>
    <w:rsid w:val="00E85261"/>
    <w:rsid w:val="00E86EE5"/>
    <w:rsid w:val="00E90195"/>
    <w:rsid w:val="00E95C1D"/>
    <w:rsid w:val="00E96253"/>
    <w:rsid w:val="00EA48F1"/>
    <w:rsid w:val="00EC38E9"/>
    <w:rsid w:val="00ED651B"/>
    <w:rsid w:val="00EE315A"/>
    <w:rsid w:val="00EF34DB"/>
    <w:rsid w:val="00F14DD6"/>
    <w:rsid w:val="00F15EB3"/>
    <w:rsid w:val="00F261D9"/>
    <w:rsid w:val="00F26BCC"/>
    <w:rsid w:val="00F34DFD"/>
    <w:rsid w:val="00F47B39"/>
    <w:rsid w:val="00F529E9"/>
    <w:rsid w:val="00F64D78"/>
    <w:rsid w:val="00F870D3"/>
    <w:rsid w:val="00F94233"/>
    <w:rsid w:val="00F9600E"/>
    <w:rsid w:val="00FA1E40"/>
    <w:rsid w:val="00FB66FD"/>
    <w:rsid w:val="00FC67CE"/>
    <w:rsid w:val="00FD25CD"/>
    <w:rsid w:val="00FE3026"/>
    <w:rsid w:val="00FF51FC"/>
    <w:rsid w:val="00FF7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D404A"/>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DD404A"/>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DD404A"/>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04A"/>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DD404A"/>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DD404A"/>
    <w:rPr>
      <w:rFonts w:ascii="Arial" w:eastAsia="Times New Roman" w:hAnsi="Arial" w:cs="Arial"/>
      <w:b/>
      <w:bCs/>
      <w:sz w:val="26"/>
      <w:szCs w:val="26"/>
      <w:lang w:val="en-GB" w:eastAsia="ar-SA"/>
    </w:rPr>
  </w:style>
  <w:style w:type="paragraph" w:styleId="Caption">
    <w:name w:val="caption"/>
    <w:basedOn w:val="Normal"/>
    <w:next w:val="Normal"/>
    <w:unhideWhenUsed/>
    <w:qFormat/>
    <w:rsid w:val="00DD404A"/>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D4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04A"/>
    <w:rPr>
      <w:rFonts w:eastAsiaTheme="minorEastAsia"/>
      <w:sz w:val="20"/>
      <w:szCs w:val="20"/>
      <w:lang w:eastAsia="tr-TR"/>
    </w:rPr>
  </w:style>
  <w:style w:type="character" w:styleId="FootnoteReference">
    <w:name w:val="footnote reference"/>
    <w:basedOn w:val="DefaultParagraphFont"/>
    <w:semiHidden/>
    <w:unhideWhenUsed/>
    <w:rsid w:val="00DD404A"/>
    <w:rPr>
      <w:vertAlign w:val="superscript"/>
    </w:rPr>
  </w:style>
  <w:style w:type="paragraph" w:styleId="BalloonText">
    <w:name w:val="Balloon Text"/>
    <w:basedOn w:val="Normal"/>
    <w:link w:val="BalloonTextChar"/>
    <w:uiPriority w:val="99"/>
    <w:semiHidden/>
    <w:unhideWhenUsed/>
    <w:rsid w:val="0011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DB"/>
    <w:rPr>
      <w:rFonts w:ascii="Tahoma" w:eastAsiaTheme="minorEastAsia" w:hAnsi="Tahoma" w:cs="Tahoma"/>
      <w:sz w:val="16"/>
      <w:szCs w:val="16"/>
      <w:lang w:eastAsia="tr-TR"/>
    </w:rPr>
  </w:style>
  <w:style w:type="character" w:styleId="Hyperlink">
    <w:name w:val="Hyperlink"/>
    <w:basedOn w:val="DefaultParagraphFont"/>
    <w:rsid w:val="00892EF3"/>
    <w:rPr>
      <w:color w:val="0000FF"/>
      <w:u w:val="single"/>
    </w:rPr>
  </w:style>
  <w:style w:type="paragraph" w:styleId="Header">
    <w:name w:val="header"/>
    <w:basedOn w:val="Normal"/>
    <w:link w:val="HeaderChar"/>
    <w:uiPriority w:val="99"/>
    <w:semiHidden/>
    <w:unhideWhenUsed/>
    <w:rsid w:val="005D7D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D7DF7"/>
  </w:style>
  <w:style w:type="paragraph" w:styleId="Footer">
    <w:name w:val="footer"/>
    <w:basedOn w:val="Normal"/>
    <w:link w:val="FooterChar"/>
    <w:uiPriority w:val="99"/>
    <w:unhideWhenUsed/>
    <w:rsid w:val="005D7D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D404A"/>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DD404A"/>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DD404A"/>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04A"/>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DD404A"/>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DD404A"/>
    <w:rPr>
      <w:rFonts w:ascii="Arial" w:eastAsia="Times New Roman" w:hAnsi="Arial" w:cs="Arial"/>
      <w:b/>
      <w:bCs/>
      <w:sz w:val="26"/>
      <w:szCs w:val="26"/>
      <w:lang w:val="en-GB" w:eastAsia="ar-SA"/>
    </w:rPr>
  </w:style>
  <w:style w:type="paragraph" w:styleId="Caption">
    <w:name w:val="caption"/>
    <w:basedOn w:val="Normal"/>
    <w:next w:val="Normal"/>
    <w:unhideWhenUsed/>
    <w:qFormat/>
    <w:rsid w:val="00DD404A"/>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D4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04A"/>
    <w:rPr>
      <w:rFonts w:eastAsiaTheme="minorEastAsia"/>
      <w:sz w:val="20"/>
      <w:szCs w:val="20"/>
      <w:lang w:eastAsia="tr-TR"/>
    </w:rPr>
  </w:style>
  <w:style w:type="character" w:styleId="FootnoteReference">
    <w:name w:val="footnote reference"/>
    <w:basedOn w:val="DefaultParagraphFont"/>
    <w:semiHidden/>
    <w:unhideWhenUsed/>
    <w:rsid w:val="00DD404A"/>
    <w:rPr>
      <w:vertAlign w:val="superscript"/>
    </w:rPr>
  </w:style>
  <w:style w:type="paragraph" w:styleId="BalloonText">
    <w:name w:val="Balloon Text"/>
    <w:basedOn w:val="Normal"/>
    <w:link w:val="BalloonTextChar"/>
    <w:uiPriority w:val="99"/>
    <w:semiHidden/>
    <w:unhideWhenUsed/>
    <w:rsid w:val="00113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DB"/>
    <w:rPr>
      <w:rFonts w:ascii="Tahoma" w:eastAsiaTheme="minorEastAsia" w:hAnsi="Tahoma" w:cs="Tahoma"/>
      <w:sz w:val="16"/>
      <w:szCs w:val="16"/>
      <w:lang w:eastAsia="tr-TR"/>
    </w:rPr>
  </w:style>
  <w:style w:type="character" w:styleId="Hyperlink">
    <w:name w:val="Hyperlink"/>
    <w:basedOn w:val="DefaultParagraphFont"/>
    <w:rsid w:val="00892EF3"/>
    <w:rPr>
      <w:color w:val="0000FF"/>
      <w:u w:val="single"/>
    </w:rPr>
  </w:style>
  <w:style w:type="paragraph" w:styleId="Header">
    <w:name w:val="header"/>
    <w:basedOn w:val="Normal"/>
    <w:link w:val="HeaderChar"/>
    <w:uiPriority w:val="99"/>
    <w:semiHidden/>
    <w:unhideWhenUsed/>
    <w:rsid w:val="005D7D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D7DF7"/>
  </w:style>
  <w:style w:type="paragraph" w:styleId="Footer">
    <w:name w:val="footer"/>
    <w:basedOn w:val="Normal"/>
    <w:link w:val="FooterChar"/>
    <w:uiPriority w:val="99"/>
    <w:unhideWhenUsed/>
    <w:rsid w:val="005D7D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4043">
      <w:bodyDiv w:val="1"/>
      <w:marLeft w:val="0"/>
      <w:marRight w:val="0"/>
      <w:marTop w:val="0"/>
      <w:marBottom w:val="0"/>
      <w:divBdr>
        <w:top w:val="none" w:sz="0" w:space="0" w:color="auto"/>
        <w:left w:val="none" w:sz="0" w:space="0" w:color="auto"/>
        <w:bottom w:val="none" w:sz="0" w:space="0" w:color="auto"/>
        <w:right w:val="none" w:sz="0" w:space="0" w:color="auto"/>
      </w:divBdr>
    </w:div>
    <w:div w:id="369065853">
      <w:bodyDiv w:val="1"/>
      <w:marLeft w:val="0"/>
      <w:marRight w:val="0"/>
      <w:marTop w:val="0"/>
      <w:marBottom w:val="0"/>
      <w:divBdr>
        <w:top w:val="none" w:sz="0" w:space="0" w:color="auto"/>
        <w:left w:val="none" w:sz="0" w:space="0" w:color="auto"/>
        <w:bottom w:val="none" w:sz="0" w:space="0" w:color="auto"/>
        <w:right w:val="none" w:sz="0" w:space="0" w:color="auto"/>
      </w:divBdr>
    </w:div>
    <w:div w:id="551582183">
      <w:bodyDiv w:val="1"/>
      <w:marLeft w:val="0"/>
      <w:marRight w:val="0"/>
      <w:marTop w:val="0"/>
      <w:marBottom w:val="0"/>
      <w:divBdr>
        <w:top w:val="none" w:sz="0" w:space="0" w:color="auto"/>
        <w:left w:val="none" w:sz="0" w:space="0" w:color="auto"/>
        <w:bottom w:val="none" w:sz="0" w:space="0" w:color="auto"/>
        <w:right w:val="none" w:sz="0" w:space="0" w:color="auto"/>
      </w:divBdr>
    </w:div>
    <w:div w:id="978152526">
      <w:bodyDiv w:val="1"/>
      <w:marLeft w:val="0"/>
      <w:marRight w:val="0"/>
      <w:marTop w:val="0"/>
      <w:marBottom w:val="0"/>
      <w:divBdr>
        <w:top w:val="none" w:sz="0" w:space="0" w:color="auto"/>
        <w:left w:val="none" w:sz="0" w:space="0" w:color="auto"/>
        <w:bottom w:val="none" w:sz="0" w:space="0" w:color="auto"/>
        <w:right w:val="none" w:sz="0" w:space="0" w:color="auto"/>
      </w:divBdr>
    </w:div>
    <w:div w:id="1167284139">
      <w:bodyDiv w:val="1"/>
      <w:marLeft w:val="0"/>
      <w:marRight w:val="0"/>
      <w:marTop w:val="0"/>
      <w:marBottom w:val="0"/>
      <w:divBdr>
        <w:top w:val="none" w:sz="0" w:space="0" w:color="auto"/>
        <w:left w:val="none" w:sz="0" w:space="0" w:color="auto"/>
        <w:bottom w:val="none" w:sz="0" w:space="0" w:color="auto"/>
        <w:right w:val="none" w:sz="0" w:space="0" w:color="auto"/>
      </w:divBdr>
      <w:divsChild>
        <w:div w:id="128478191">
          <w:marLeft w:val="0"/>
          <w:marRight w:val="0"/>
          <w:marTop w:val="0"/>
          <w:marBottom w:val="0"/>
          <w:divBdr>
            <w:top w:val="none" w:sz="0" w:space="0" w:color="auto"/>
            <w:left w:val="none" w:sz="0" w:space="0" w:color="auto"/>
            <w:bottom w:val="none" w:sz="0" w:space="0" w:color="auto"/>
            <w:right w:val="none" w:sz="0" w:space="0" w:color="auto"/>
          </w:divBdr>
          <w:divsChild>
            <w:div w:id="870843482">
              <w:marLeft w:val="0"/>
              <w:marRight w:val="0"/>
              <w:marTop w:val="0"/>
              <w:marBottom w:val="0"/>
              <w:divBdr>
                <w:top w:val="none" w:sz="0" w:space="0" w:color="auto"/>
                <w:left w:val="none" w:sz="0" w:space="0" w:color="auto"/>
                <w:bottom w:val="none" w:sz="0" w:space="0" w:color="auto"/>
                <w:right w:val="none" w:sz="0" w:space="0" w:color="auto"/>
              </w:divBdr>
              <w:divsChild>
                <w:div w:id="1954357045">
                  <w:marLeft w:val="0"/>
                  <w:marRight w:val="0"/>
                  <w:marTop w:val="0"/>
                  <w:marBottom w:val="0"/>
                  <w:divBdr>
                    <w:top w:val="none" w:sz="0" w:space="0" w:color="auto"/>
                    <w:left w:val="none" w:sz="0" w:space="0" w:color="auto"/>
                    <w:bottom w:val="none" w:sz="0" w:space="0" w:color="auto"/>
                    <w:right w:val="none" w:sz="0" w:space="0" w:color="auto"/>
                  </w:divBdr>
                  <w:divsChild>
                    <w:div w:id="717899554">
                      <w:marLeft w:val="0"/>
                      <w:marRight w:val="0"/>
                      <w:marTop w:val="0"/>
                      <w:marBottom w:val="0"/>
                      <w:divBdr>
                        <w:top w:val="none" w:sz="0" w:space="0" w:color="auto"/>
                        <w:left w:val="none" w:sz="0" w:space="0" w:color="auto"/>
                        <w:bottom w:val="none" w:sz="0" w:space="0" w:color="auto"/>
                        <w:right w:val="none" w:sz="0" w:space="0" w:color="auto"/>
                      </w:divBdr>
                      <w:divsChild>
                        <w:div w:id="924189681">
                          <w:marLeft w:val="435"/>
                          <w:marRight w:val="0"/>
                          <w:marTop w:val="0"/>
                          <w:marBottom w:val="0"/>
                          <w:divBdr>
                            <w:top w:val="none" w:sz="0" w:space="0" w:color="auto"/>
                            <w:left w:val="none" w:sz="0" w:space="0" w:color="auto"/>
                            <w:bottom w:val="none" w:sz="0" w:space="0" w:color="auto"/>
                            <w:right w:val="none" w:sz="0" w:space="0" w:color="auto"/>
                          </w:divBdr>
                          <w:divsChild>
                            <w:div w:id="164321554">
                              <w:marLeft w:val="0"/>
                              <w:marRight w:val="0"/>
                              <w:marTop w:val="0"/>
                              <w:marBottom w:val="0"/>
                              <w:divBdr>
                                <w:top w:val="none" w:sz="0" w:space="0" w:color="auto"/>
                                <w:left w:val="none" w:sz="0" w:space="0" w:color="auto"/>
                                <w:bottom w:val="none" w:sz="0" w:space="0" w:color="auto"/>
                                <w:right w:val="none" w:sz="0" w:space="0" w:color="auto"/>
                              </w:divBdr>
                              <w:divsChild>
                                <w:div w:id="1678120108">
                                  <w:marLeft w:val="0"/>
                                  <w:marRight w:val="0"/>
                                  <w:marTop w:val="0"/>
                                  <w:marBottom w:val="0"/>
                                  <w:divBdr>
                                    <w:top w:val="none" w:sz="0" w:space="0" w:color="auto"/>
                                    <w:left w:val="none" w:sz="0" w:space="0" w:color="auto"/>
                                    <w:bottom w:val="none" w:sz="0" w:space="0" w:color="auto"/>
                                    <w:right w:val="none" w:sz="0" w:space="0" w:color="auto"/>
                                  </w:divBdr>
                                  <w:divsChild>
                                    <w:div w:id="1283998804">
                                      <w:marLeft w:val="0"/>
                                      <w:marRight w:val="0"/>
                                      <w:marTop w:val="217"/>
                                      <w:marBottom w:val="0"/>
                                      <w:divBdr>
                                        <w:top w:val="none" w:sz="0" w:space="0" w:color="auto"/>
                                        <w:left w:val="none" w:sz="0" w:space="0" w:color="auto"/>
                                        <w:bottom w:val="single" w:sz="6" w:space="20" w:color="auto"/>
                                        <w:right w:val="none" w:sz="0" w:space="0" w:color="auto"/>
                                      </w:divBdr>
                                      <w:divsChild>
                                        <w:div w:id="130370797">
                                          <w:marLeft w:val="0"/>
                                          <w:marRight w:val="0"/>
                                          <w:marTop w:val="0"/>
                                          <w:marBottom w:val="0"/>
                                          <w:divBdr>
                                            <w:top w:val="none" w:sz="0" w:space="0" w:color="auto"/>
                                            <w:left w:val="none" w:sz="0" w:space="0" w:color="auto"/>
                                            <w:bottom w:val="none" w:sz="0" w:space="0" w:color="auto"/>
                                            <w:right w:val="none" w:sz="0" w:space="0" w:color="auto"/>
                                          </w:divBdr>
                                          <w:divsChild>
                                            <w:div w:id="1696225276">
                                              <w:marLeft w:val="0"/>
                                              <w:marRight w:val="0"/>
                                              <w:marTop w:val="0"/>
                                              <w:marBottom w:val="0"/>
                                              <w:divBdr>
                                                <w:top w:val="none" w:sz="0" w:space="0" w:color="auto"/>
                                                <w:left w:val="none" w:sz="0" w:space="0" w:color="auto"/>
                                                <w:bottom w:val="none" w:sz="0" w:space="0" w:color="auto"/>
                                                <w:right w:val="none" w:sz="0" w:space="0" w:color="auto"/>
                                              </w:divBdr>
                                              <w:divsChild>
                                                <w:div w:id="761486251">
                                                  <w:marLeft w:val="0"/>
                                                  <w:marRight w:val="0"/>
                                                  <w:marTop w:val="0"/>
                                                  <w:marBottom w:val="0"/>
                                                  <w:divBdr>
                                                    <w:top w:val="none" w:sz="0" w:space="0" w:color="auto"/>
                                                    <w:left w:val="none" w:sz="0" w:space="0" w:color="auto"/>
                                                    <w:bottom w:val="none" w:sz="0" w:space="0" w:color="auto"/>
                                                    <w:right w:val="none" w:sz="0" w:space="0" w:color="auto"/>
                                                  </w:divBdr>
                                                  <w:divsChild>
                                                    <w:div w:id="1093940572">
                                                      <w:marLeft w:val="0"/>
                                                      <w:marRight w:val="0"/>
                                                      <w:marTop w:val="0"/>
                                                      <w:marBottom w:val="0"/>
                                                      <w:divBdr>
                                                        <w:top w:val="none" w:sz="0" w:space="0" w:color="auto"/>
                                                        <w:left w:val="none" w:sz="0" w:space="0" w:color="auto"/>
                                                        <w:bottom w:val="none" w:sz="0" w:space="0" w:color="auto"/>
                                                        <w:right w:val="none" w:sz="0" w:space="0" w:color="auto"/>
                                                      </w:divBdr>
                                                      <w:divsChild>
                                                        <w:div w:id="1809391960">
                                                          <w:marLeft w:val="0"/>
                                                          <w:marRight w:val="0"/>
                                                          <w:marTop w:val="0"/>
                                                          <w:marBottom w:val="0"/>
                                                          <w:divBdr>
                                                            <w:top w:val="none" w:sz="0" w:space="0" w:color="auto"/>
                                                            <w:left w:val="none" w:sz="0" w:space="0" w:color="auto"/>
                                                            <w:bottom w:val="none" w:sz="0" w:space="0" w:color="auto"/>
                                                            <w:right w:val="none" w:sz="0" w:space="0" w:color="auto"/>
                                                          </w:divBdr>
                                                          <w:divsChild>
                                                            <w:div w:id="952521333">
                                                              <w:marLeft w:val="0"/>
                                                              <w:marRight w:val="0"/>
                                                              <w:marTop w:val="0"/>
                                                              <w:marBottom w:val="0"/>
                                                              <w:divBdr>
                                                                <w:top w:val="none" w:sz="0" w:space="0" w:color="auto"/>
                                                                <w:left w:val="none" w:sz="0" w:space="0" w:color="auto"/>
                                                                <w:bottom w:val="none" w:sz="0" w:space="0" w:color="auto"/>
                                                                <w:right w:val="none" w:sz="0" w:space="0" w:color="auto"/>
                                                              </w:divBdr>
                                                              <w:divsChild>
                                                                <w:div w:id="771895324">
                                                                  <w:marLeft w:val="0"/>
                                                                  <w:marRight w:val="0"/>
                                                                  <w:marTop w:val="0"/>
                                                                  <w:marBottom w:val="0"/>
                                                                  <w:divBdr>
                                                                    <w:top w:val="none" w:sz="0" w:space="0" w:color="auto"/>
                                                                    <w:left w:val="none" w:sz="0" w:space="0" w:color="auto"/>
                                                                    <w:bottom w:val="none" w:sz="0" w:space="0" w:color="auto"/>
                                                                    <w:right w:val="none" w:sz="0" w:space="0" w:color="auto"/>
                                                                  </w:divBdr>
                                                                  <w:divsChild>
                                                                    <w:div w:id="20532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700595">
      <w:bodyDiv w:val="1"/>
      <w:marLeft w:val="0"/>
      <w:marRight w:val="0"/>
      <w:marTop w:val="0"/>
      <w:marBottom w:val="0"/>
      <w:divBdr>
        <w:top w:val="none" w:sz="0" w:space="0" w:color="auto"/>
        <w:left w:val="none" w:sz="0" w:space="0" w:color="auto"/>
        <w:bottom w:val="none" w:sz="0" w:space="0" w:color="auto"/>
        <w:right w:val="none" w:sz="0" w:space="0" w:color="auto"/>
      </w:divBdr>
    </w:div>
    <w:div w:id="1484811278">
      <w:bodyDiv w:val="1"/>
      <w:marLeft w:val="0"/>
      <w:marRight w:val="0"/>
      <w:marTop w:val="0"/>
      <w:marBottom w:val="0"/>
      <w:divBdr>
        <w:top w:val="none" w:sz="0" w:space="0" w:color="auto"/>
        <w:left w:val="none" w:sz="0" w:space="0" w:color="auto"/>
        <w:bottom w:val="none" w:sz="0" w:space="0" w:color="auto"/>
        <w:right w:val="none" w:sz="0" w:space="0" w:color="auto"/>
      </w:divBdr>
    </w:div>
    <w:div w:id="16063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ne.durmaz\Documents\AN\AN%20elasticity\ANelasticity%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istihdam!$M$32</c:f>
              <c:strCache>
                <c:ptCount val="1"/>
                <c:pt idx="0">
                  <c:v>Tarım </c:v>
                </c:pt>
              </c:strCache>
            </c:strRef>
          </c:tx>
          <c:spPr>
            <a:solidFill>
              <a:schemeClr val="accent1"/>
            </a:solidFill>
            <a:ln>
              <a:noFill/>
            </a:ln>
            <a:effectLst/>
          </c:spPr>
          <c:invertIfNegative val="0"/>
          <c:cat>
            <c:strRef>
              <c:f>istihdam!$K$33:$K$41</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istihdam!$M$33:$M$41</c:f>
              <c:numCache>
                <c:formatCode>0</c:formatCode>
                <c:ptCount val="9"/>
                <c:pt idx="0">
                  <c:v>-361.36111135203333</c:v>
                </c:pt>
                <c:pt idx="1">
                  <c:v>-106.63398252108117</c:v>
                </c:pt>
                <c:pt idx="2">
                  <c:v>74.461659827945837</c:v>
                </c:pt>
                <c:pt idx="3">
                  <c:v>130.89187623604903</c:v>
                </c:pt>
                <c:pt idx="4">
                  <c:v>331.80458990438638</c:v>
                </c:pt>
                <c:pt idx="5">
                  <c:v>328.44386882487032</c:v>
                </c:pt>
                <c:pt idx="6">
                  <c:v>-111.13060240909817</c:v>
                </c:pt>
                <c:pt idx="7">
                  <c:v>-96.883163871464589</c:v>
                </c:pt>
                <c:pt idx="8">
                  <c:v>265.9173340985019</c:v>
                </c:pt>
              </c:numCache>
            </c:numRef>
          </c:val>
        </c:ser>
        <c:ser>
          <c:idx val="1"/>
          <c:order val="1"/>
          <c:tx>
            <c:strRef>
              <c:f>istihdam!$N$32</c:f>
              <c:strCache>
                <c:ptCount val="1"/>
                <c:pt idx="0">
                  <c:v>Sanayi </c:v>
                </c:pt>
              </c:strCache>
            </c:strRef>
          </c:tx>
          <c:spPr>
            <a:solidFill>
              <a:schemeClr val="accent2"/>
            </a:solidFill>
            <a:ln>
              <a:noFill/>
            </a:ln>
            <a:effectLst/>
          </c:spPr>
          <c:invertIfNegative val="0"/>
          <c:cat>
            <c:strRef>
              <c:f>istihdam!$K$33:$K$41</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istihdam!$N$33:$N$41</c:f>
              <c:numCache>
                <c:formatCode>0</c:formatCode>
                <c:ptCount val="9"/>
                <c:pt idx="0">
                  <c:v>120.96476301339322</c:v>
                </c:pt>
                <c:pt idx="1">
                  <c:v>40.982179239562356</c:v>
                </c:pt>
                <c:pt idx="2">
                  <c:v>134.19417470155602</c:v>
                </c:pt>
                <c:pt idx="3">
                  <c:v>-358.10311091289668</c:v>
                </c:pt>
                <c:pt idx="4">
                  <c:v>436.46247930836216</c:v>
                </c:pt>
                <c:pt idx="5">
                  <c:v>226.45697504756481</c:v>
                </c:pt>
                <c:pt idx="6">
                  <c:v>61.000062227059061</c:v>
                </c:pt>
                <c:pt idx="7">
                  <c:v>198.36658272021793</c:v>
                </c:pt>
                <c:pt idx="8">
                  <c:v>215.05537737521703</c:v>
                </c:pt>
              </c:numCache>
            </c:numRef>
          </c:val>
        </c:ser>
        <c:ser>
          <c:idx val="2"/>
          <c:order val="2"/>
          <c:tx>
            <c:strRef>
              <c:f>istihdam!$O$32</c:f>
              <c:strCache>
                <c:ptCount val="1"/>
                <c:pt idx="0">
                  <c:v>İnşaat</c:v>
                </c:pt>
              </c:strCache>
            </c:strRef>
          </c:tx>
          <c:spPr>
            <a:solidFill>
              <a:schemeClr val="accent3"/>
            </a:solidFill>
            <a:ln>
              <a:noFill/>
            </a:ln>
            <a:effectLst/>
          </c:spPr>
          <c:invertIfNegative val="0"/>
          <c:cat>
            <c:strRef>
              <c:f>istihdam!$K$33:$K$41</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istihdam!$O$33:$O$41</c:f>
              <c:numCache>
                <c:formatCode>0</c:formatCode>
                <c:ptCount val="9"/>
                <c:pt idx="0">
                  <c:v>95.618790981576012</c:v>
                </c:pt>
                <c:pt idx="1">
                  <c:v>38.461551394733306</c:v>
                </c:pt>
                <c:pt idx="2">
                  <c:v>7.5212985283408234</c:v>
                </c:pt>
                <c:pt idx="3">
                  <c:v>66.204930569018316</c:v>
                </c:pt>
                <c:pt idx="4">
                  <c:v>129.19437363027706</c:v>
                </c:pt>
                <c:pt idx="5">
                  <c:v>245.84604829399521</c:v>
                </c:pt>
                <c:pt idx="6">
                  <c:v>37.598738539922721</c:v>
                </c:pt>
                <c:pt idx="7">
                  <c:v>50.505389986297814</c:v>
                </c:pt>
                <c:pt idx="8">
                  <c:v>144.2190577951462</c:v>
                </c:pt>
              </c:numCache>
            </c:numRef>
          </c:val>
        </c:ser>
        <c:ser>
          <c:idx val="3"/>
          <c:order val="3"/>
          <c:tx>
            <c:strRef>
              <c:f>istihdam!$P$32</c:f>
              <c:strCache>
                <c:ptCount val="1"/>
                <c:pt idx="0">
                  <c:v>Hizmetler </c:v>
                </c:pt>
              </c:strCache>
            </c:strRef>
          </c:tx>
          <c:spPr>
            <a:solidFill>
              <a:schemeClr val="accent4"/>
            </a:solidFill>
            <a:ln>
              <a:noFill/>
            </a:ln>
            <a:effectLst/>
          </c:spPr>
          <c:invertIfNegative val="0"/>
          <c:cat>
            <c:strRef>
              <c:f>istihdam!$K$33:$K$41</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istihdam!$P$33:$P$41</c:f>
              <c:numCache>
                <c:formatCode>0</c:formatCode>
                <c:ptCount val="9"/>
                <c:pt idx="0">
                  <c:v>444.72900378513424</c:v>
                </c:pt>
                <c:pt idx="1">
                  <c:v>302.99439824688824</c:v>
                </c:pt>
                <c:pt idx="2">
                  <c:v>178.86047587480971</c:v>
                </c:pt>
                <c:pt idx="3">
                  <c:v>171.71974999760096</c:v>
                </c:pt>
                <c:pt idx="4">
                  <c:v>345.35664367317008</c:v>
                </c:pt>
                <c:pt idx="5">
                  <c:v>607.49015309078641</c:v>
                </c:pt>
                <c:pt idx="6">
                  <c:v>683.55727482368241</c:v>
                </c:pt>
                <c:pt idx="7">
                  <c:v>512.30359912995289</c:v>
                </c:pt>
                <c:pt idx="8">
                  <c:v>706.65349426417856</c:v>
                </c:pt>
              </c:numCache>
            </c:numRef>
          </c:val>
        </c:ser>
        <c:dLbls>
          <c:showLegendKey val="0"/>
          <c:showVal val="0"/>
          <c:showCatName val="0"/>
          <c:showSerName val="0"/>
          <c:showPercent val="0"/>
          <c:showBubbleSize val="0"/>
        </c:dLbls>
        <c:gapWidth val="150"/>
        <c:overlap val="100"/>
        <c:axId val="143029760"/>
        <c:axId val="269455744"/>
      </c:barChart>
      <c:catAx>
        <c:axId val="14302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69455744"/>
        <c:crosses val="autoZero"/>
        <c:auto val="1"/>
        <c:lblAlgn val="ctr"/>
        <c:lblOffset val="100"/>
        <c:noMultiLvlLbl val="0"/>
      </c:catAx>
      <c:valAx>
        <c:axId val="26945574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İstihdam</a:t>
                </a:r>
                <a:r>
                  <a:rPr lang="en-US" b="1" baseline="0">
                    <a:solidFill>
                      <a:sysClr val="windowText" lastClr="000000"/>
                    </a:solidFill>
                  </a:rPr>
                  <a:t> değişimi (bin kişi)</a:t>
                </a:r>
                <a:endParaRPr lang="tr-TR" b="1">
                  <a:solidFill>
                    <a:sysClr val="windowText" lastClr="000000"/>
                  </a:solidFill>
                </a:endParaRP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3029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28E89-665D-4452-9429-51BEDCE2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mine.durmaz</dc:creator>
  <cp:lastModifiedBy>merve.akgul</cp:lastModifiedBy>
  <cp:revision>2</cp:revision>
  <dcterms:created xsi:type="dcterms:W3CDTF">2015-07-10T07:59:00Z</dcterms:created>
  <dcterms:modified xsi:type="dcterms:W3CDTF">2015-07-10T07:59:00Z</dcterms:modified>
</cp:coreProperties>
</file>