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C45AC0" w:rsidRDefault="00DA3172" w:rsidP="001E4BF5">
      <w:pPr>
        <w:spacing w:line="360" w:lineRule="auto"/>
        <w:ind w:right="-319"/>
        <w:jc w:val="center"/>
        <w:outlineLvl w:val="0"/>
        <w:rPr>
          <w:rFonts w:ascii="Arial" w:hAnsi="Arial" w:cs="Arial"/>
          <w:b/>
          <w:bCs/>
          <w:sz w:val="32"/>
          <w:szCs w:val="32"/>
        </w:rPr>
      </w:pPr>
      <w:r>
        <w:rPr>
          <w:noProof/>
        </w:rPr>
        <mc:AlternateContent>
          <mc:Choice Requires="wps">
            <w:drawing>
              <wp:anchor distT="0" distB="0" distL="114935" distR="114935" simplePos="0" relativeHeight="251657728" behindDoc="0" locked="0" layoutInCell="1" allowOverlap="1">
                <wp:simplePos x="0" y="0"/>
                <wp:positionH relativeFrom="column">
                  <wp:posOffset>5010150</wp:posOffset>
                </wp:positionH>
                <wp:positionV relativeFrom="paragraph">
                  <wp:posOffset>189865</wp:posOffset>
                </wp:positionV>
                <wp:extent cx="2187575" cy="34861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DB7229" w:rsidRDefault="00176F9E" w:rsidP="00E57928">
                            <w:pPr>
                              <w:pStyle w:val="Heading3"/>
                              <w:rPr>
                                <w:color w:val="FFFFFF"/>
                                <w:sz w:val="22"/>
                                <w:szCs w:val="22"/>
                              </w:rPr>
                            </w:pPr>
                            <w:r>
                              <w:rPr>
                                <w:color w:val="FFFFFF"/>
                                <w:sz w:val="22"/>
                                <w:szCs w:val="22"/>
                              </w:rPr>
                              <w:t xml:space="preserve">   </w:t>
                            </w:r>
                            <w:r w:rsidR="00C65A7E">
                              <w:rPr>
                                <w:color w:val="FFFFFF"/>
                                <w:sz w:val="22"/>
                                <w:szCs w:val="22"/>
                              </w:rPr>
                              <w:t>21</w:t>
                            </w:r>
                            <w:r w:rsidR="00C76E90">
                              <w:rPr>
                                <w:color w:val="FFFFFF"/>
                                <w:sz w:val="22"/>
                                <w:szCs w:val="22"/>
                              </w:rPr>
                              <w:t xml:space="preserve"> </w:t>
                            </w:r>
                            <w:r w:rsidR="00C65A7E">
                              <w:rPr>
                                <w:color w:val="FFFFFF"/>
                                <w:sz w:val="22"/>
                                <w:szCs w:val="22"/>
                              </w:rPr>
                              <w:t>Temmuz</w:t>
                            </w:r>
                            <w:r w:rsidR="00193F73">
                              <w:rPr>
                                <w:color w:val="FFFFFF"/>
                                <w:sz w:val="22"/>
                                <w:szCs w:val="22"/>
                              </w:rPr>
                              <w:t xml:space="preserve"> </w:t>
                            </w:r>
                            <w:r w:rsidR="00C76E90">
                              <w:rPr>
                                <w:color w:val="FFFFFF"/>
                                <w:sz w:val="22"/>
                                <w:szCs w:val="22"/>
                              </w:rPr>
                              <w:t>2015</w:t>
                            </w:r>
                          </w:p>
                          <w:p w:rsidR="00C76E90" w:rsidRDefault="00C76E90"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4.95pt;width:172.25pt;height:27.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XjQIAAB0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" stroked="f">
                <v:fill opacity="0"/>
                <v:textbox inset="0,0,0,0">
                  <w:txbxContent>
                    <w:p w:rsidR="00C76E90" w:rsidRPr="00DB7229" w:rsidRDefault="00176F9E" w:rsidP="00E57928">
                      <w:pPr>
                        <w:pStyle w:val="Heading3"/>
                        <w:rPr>
                          <w:color w:val="FFFFFF"/>
                          <w:sz w:val="22"/>
                          <w:szCs w:val="22"/>
                        </w:rPr>
                      </w:pPr>
                      <w:r>
                        <w:rPr>
                          <w:color w:val="FFFFFF"/>
                          <w:sz w:val="22"/>
                          <w:szCs w:val="22"/>
                        </w:rPr>
                        <w:t xml:space="preserve">   </w:t>
                      </w:r>
                      <w:r w:rsidR="00C65A7E">
                        <w:rPr>
                          <w:color w:val="FFFFFF"/>
                          <w:sz w:val="22"/>
                          <w:szCs w:val="22"/>
                        </w:rPr>
                        <w:t>21</w:t>
                      </w:r>
                      <w:r w:rsidR="00C76E90">
                        <w:rPr>
                          <w:color w:val="FFFFFF"/>
                          <w:sz w:val="22"/>
                          <w:szCs w:val="22"/>
                        </w:rPr>
                        <w:t xml:space="preserve"> </w:t>
                      </w:r>
                      <w:r w:rsidR="00C65A7E">
                        <w:rPr>
                          <w:color w:val="FFFFFF"/>
                          <w:sz w:val="22"/>
                          <w:szCs w:val="22"/>
                        </w:rPr>
                        <w:t>Temmuz</w:t>
                      </w:r>
                      <w:r w:rsidR="00193F73">
                        <w:rPr>
                          <w:color w:val="FFFFFF"/>
                          <w:sz w:val="22"/>
                          <w:szCs w:val="22"/>
                        </w:rPr>
                        <w:t xml:space="preserve"> </w:t>
                      </w:r>
                      <w:r w:rsidR="00C76E90">
                        <w:rPr>
                          <w:color w:val="FFFFFF"/>
                          <w:sz w:val="22"/>
                          <w:szCs w:val="22"/>
                        </w:rPr>
                        <w:t>2015</w:t>
                      </w:r>
                    </w:p>
                    <w:p w:rsidR="00C76E90" w:rsidRDefault="00C76E90" w:rsidP="00E57928"/>
                  </w:txbxContent>
                </v:textbox>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C65A7E">
                              <w:rPr>
                                <w:rFonts w:ascii="Times New Roman" w:hAnsi="Times New Roman"/>
                                <w:sz w:val="40"/>
                                <w:szCs w:val="40"/>
                              </w:rPr>
                              <w:t>Temmuz</w:t>
                            </w:r>
                            <w:r w:rsidR="00193F73">
                              <w:rPr>
                                <w:rFonts w:ascii="Times New Roman" w:hAnsi="Times New Roman"/>
                                <w:sz w:val="40"/>
                                <w:szCs w:val="40"/>
                              </w:rPr>
                              <w:t xml:space="preserve"> </w:t>
                            </w:r>
                            <w:r>
                              <w:rPr>
                                <w:rFonts w:ascii="Times New Roman" w:hAnsi="Times New Roman"/>
                                <w:sz w:val="40"/>
                                <w:szCs w:val="40"/>
                              </w:rPr>
                              <w:t>2015</w:t>
                            </w:r>
                          </w:p>
                          <w:p w:rsidR="00C76E90" w:rsidRPr="00A75A46" w:rsidRDefault="00C76E90"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1.4pt;margin-top:-38.65pt;width:346.2pt;height:44.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NjQ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FtHn82NAgAAJAUAAA4AAAAAAAAAAAAAAAAALgIAAGRycy9lMm9Eb2MueG1sUEsBAi0A&#10;FAAGAAgAAAAhADBFIHPeAAAACgEAAA8AAAAAAAAAAAAAAAAA5wQAAGRycy9kb3ducmV2LnhtbFBL&#10;BQYAAAAABAAEAPMAAADyBQ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C65A7E">
                        <w:rPr>
                          <w:rFonts w:ascii="Times New Roman" w:hAnsi="Times New Roman"/>
                          <w:sz w:val="40"/>
                          <w:szCs w:val="40"/>
                        </w:rPr>
                        <w:t>Temmuz</w:t>
                      </w:r>
                      <w:r w:rsidR="00193F73">
                        <w:rPr>
                          <w:rFonts w:ascii="Times New Roman" w:hAnsi="Times New Roman"/>
                          <w:sz w:val="40"/>
                          <w:szCs w:val="40"/>
                        </w:rPr>
                        <w:t xml:space="preserve"> </w:t>
                      </w:r>
                      <w:r>
                        <w:rPr>
                          <w:rFonts w:ascii="Times New Roman" w:hAnsi="Times New Roman"/>
                          <w:sz w:val="40"/>
                          <w:szCs w:val="40"/>
                        </w:rPr>
                        <w:t>2015</w:t>
                      </w:r>
                    </w:p>
                    <w:p w:rsidR="00C76E90" w:rsidRPr="00A75A46" w:rsidRDefault="00C76E90" w:rsidP="00E57928">
                      <w:pPr>
                        <w:pStyle w:val="Heading2"/>
                        <w:rPr>
                          <w:b w:val="0"/>
                          <w:bCs w:val="0"/>
                          <w:i w:val="0"/>
                          <w:iCs w:val="0"/>
                          <w:lang w:val="nl-NL"/>
                        </w:rPr>
                      </w:pPr>
                    </w:p>
                  </w:txbxContent>
                </v:textbox>
              </v:shape>
            </w:pict>
          </mc:Fallback>
        </mc:AlternateContent>
      </w:r>
      <w:r w:rsidR="00461E5F">
        <w:rPr>
          <w:noProof/>
        </w:rPr>
        <w:drawing>
          <wp:anchor distT="0" distB="0" distL="114300" distR="114300" simplePos="0" relativeHeight="251655680"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1"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C45AC0" w:rsidRDefault="00054BD3" w:rsidP="001E4BF5">
      <w:pPr>
        <w:spacing w:line="360" w:lineRule="auto"/>
        <w:ind w:right="-319"/>
        <w:jc w:val="center"/>
        <w:outlineLvl w:val="0"/>
        <w:rPr>
          <w:rFonts w:ascii="Arial" w:hAnsi="Arial" w:cs="Arial"/>
          <w:b/>
          <w:bCs/>
          <w:sz w:val="32"/>
          <w:szCs w:val="32"/>
        </w:rPr>
      </w:pPr>
    </w:p>
    <w:p w:rsidR="00EB408D" w:rsidRDefault="0057416C" w:rsidP="00EB408D">
      <w:pPr>
        <w:ind w:right="-317"/>
        <w:jc w:val="center"/>
        <w:outlineLvl w:val="0"/>
        <w:rPr>
          <w:rFonts w:ascii="Arial" w:hAnsi="Arial" w:cs="Arial"/>
          <w:b/>
          <w:bCs/>
          <w:caps/>
          <w:sz w:val="28"/>
          <w:szCs w:val="28"/>
        </w:rPr>
      </w:pPr>
      <w:r>
        <w:rPr>
          <w:rFonts w:ascii="Arial" w:hAnsi="Arial" w:cs="Arial"/>
          <w:b/>
          <w:bCs/>
          <w:caps/>
          <w:sz w:val="28"/>
          <w:szCs w:val="28"/>
        </w:rPr>
        <w:t>İlk yarıda büyüme yüzde 3’ün altında kalabilir</w:t>
      </w:r>
    </w:p>
    <w:p w:rsidR="00B0429B" w:rsidRPr="00C45AC0" w:rsidRDefault="00B0429B" w:rsidP="00EB408D">
      <w:pPr>
        <w:ind w:right="-317"/>
        <w:jc w:val="center"/>
        <w:outlineLvl w:val="0"/>
        <w:rPr>
          <w:rFonts w:ascii="Arial" w:hAnsi="Arial" w:cs="Arial"/>
          <w:b/>
          <w:bCs/>
          <w:caps/>
          <w:sz w:val="28"/>
          <w:szCs w:val="28"/>
        </w:rPr>
      </w:pPr>
    </w:p>
    <w:p w:rsidR="00EB408D" w:rsidRDefault="00EB408D" w:rsidP="00EB408D">
      <w:pPr>
        <w:ind w:right="-317"/>
        <w:jc w:val="center"/>
        <w:outlineLvl w:val="0"/>
        <w:rPr>
          <w:rFonts w:ascii="Arial" w:hAnsi="Arial" w:cs="Arial"/>
          <w:b/>
          <w:bCs/>
          <w:sz w:val="21"/>
          <w:szCs w:val="21"/>
          <w:vertAlign w:val="superscript"/>
        </w:rPr>
      </w:pPr>
      <w:r w:rsidRPr="00C45AC0">
        <w:rPr>
          <w:rFonts w:ascii="Arial" w:hAnsi="Arial" w:cs="Arial"/>
          <w:b/>
          <w:bCs/>
          <w:sz w:val="21"/>
          <w:szCs w:val="21"/>
        </w:rPr>
        <w:t>Zümrüt İmamoğlu* ve Barış Soybilgen</w:t>
      </w:r>
      <w:r w:rsidRPr="00C45AC0">
        <w:rPr>
          <w:rFonts w:ascii="Arial" w:hAnsi="Arial" w:cs="Arial"/>
          <w:b/>
          <w:bCs/>
          <w:sz w:val="21"/>
          <w:szCs w:val="21"/>
          <w:vertAlign w:val="superscript"/>
        </w:rPr>
        <w:t>**</w:t>
      </w:r>
    </w:p>
    <w:p w:rsidR="00EB408D" w:rsidRPr="00C45AC0" w:rsidRDefault="00EB408D" w:rsidP="00EB408D">
      <w:pPr>
        <w:spacing w:line="360" w:lineRule="auto"/>
        <w:ind w:right="-319"/>
        <w:jc w:val="center"/>
        <w:outlineLvl w:val="0"/>
        <w:rPr>
          <w:rFonts w:ascii="Arial" w:hAnsi="Arial" w:cs="Arial"/>
          <w:sz w:val="22"/>
          <w:szCs w:val="22"/>
          <w:vertAlign w:val="superscript"/>
        </w:rPr>
      </w:pPr>
    </w:p>
    <w:p w:rsidR="00EB408D" w:rsidRPr="00C45AC0" w:rsidRDefault="00EB408D" w:rsidP="00EB408D">
      <w:pPr>
        <w:spacing w:line="360" w:lineRule="auto"/>
        <w:ind w:right="-319"/>
        <w:jc w:val="center"/>
        <w:outlineLvl w:val="0"/>
        <w:rPr>
          <w:rFonts w:ascii="Arial" w:hAnsi="Arial" w:cs="Arial"/>
          <w:sz w:val="22"/>
          <w:szCs w:val="22"/>
          <w:vertAlign w:val="superscript"/>
        </w:rPr>
        <w:sectPr w:rsidR="00EB408D" w:rsidRPr="00C45AC0" w:rsidSect="008651A8">
          <w:footerReference w:type="default" r:id="rId10"/>
          <w:type w:val="continuous"/>
          <w:pgSz w:w="11906" w:h="16838"/>
          <w:pgMar w:top="1417" w:right="1417" w:bottom="1417" w:left="1417" w:header="708" w:footer="708" w:gutter="0"/>
          <w:cols w:space="708"/>
          <w:docGrid w:linePitch="360"/>
        </w:sectPr>
      </w:pPr>
    </w:p>
    <w:p w:rsidR="005B7A19" w:rsidRPr="00C45AC0" w:rsidRDefault="005B7A19" w:rsidP="005B7A19">
      <w:pPr>
        <w:spacing w:line="360" w:lineRule="auto"/>
        <w:ind w:left="-360" w:right="42" w:firstLine="360"/>
        <w:jc w:val="center"/>
        <w:rPr>
          <w:b/>
          <w:bCs/>
          <w:sz w:val="22"/>
          <w:szCs w:val="22"/>
        </w:rPr>
      </w:pPr>
      <w:r w:rsidRPr="00C45AC0">
        <w:rPr>
          <w:b/>
          <w:bCs/>
          <w:sz w:val="22"/>
          <w:szCs w:val="22"/>
        </w:rPr>
        <w:lastRenderedPageBreak/>
        <w:t>Yönetici Özeti</w:t>
      </w:r>
    </w:p>
    <w:p w:rsidR="005B7A19" w:rsidRPr="00C45AC0" w:rsidRDefault="005B7A19" w:rsidP="005B7A19">
      <w:pPr>
        <w:spacing w:line="360" w:lineRule="auto"/>
        <w:ind w:left="-360" w:right="42" w:firstLine="360"/>
        <w:jc w:val="center"/>
        <w:rPr>
          <w:b/>
          <w:bCs/>
          <w:sz w:val="16"/>
          <w:szCs w:val="16"/>
        </w:rPr>
      </w:pPr>
    </w:p>
    <w:p w:rsidR="005B7A19" w:rsidRDefault="005B7A19" w:rsidP="005B7A19">
      <w:pPr>
        <w:spacing w:line="360" w:lineRule="auto"/>
        <w:ind w:left="-360" w:right="40"/>
        <w:jc w:val="both"/>
        <w:rPr>
          <w:sz w:val="22"/>
          <w:szCs w:val="22"/>
        </w:rPr>
      </w:pPr>
      <w:r w:rsidRPr="00C45AC0">
        <w:rPr>
          <w:sz w:val="22"/>
          <w:szCs w:val="22"/>
        </w:rPr>
        <w:t xml:space="preserve">Mevsim ve takvim etkisinden arındırılmış Sanayi Üretim Endeksi (SÜE) </w:t>
      </w:r>
      <w:r>
        <w:rPr>
          <w:sz w:val="22"/>
          <w:szCs w:val="22"/>
        </w:rPr>
        <w:t>Mayıs</w:t>
      </w:r>
      <w:r w:rsidRPr="00C45AC0">
        <w:rPr>
          <w:sz w:val="22"/>
          <w:szCs w:val="22"/>
        </w:rPr>
        <w:t xml:space="preserve"> ayın</w:t>
      </w:r>
      <w:r>
        <w:rPr>
          <w:sz w:val="22"/>
          <w:szCs w:val="22"/>
        </w:rPr>
        <w:t xml:space="preserve">da bir önceki aya göre yüzde 2 oranında düştü. İhracat miktar endeksi </w:t>
      </w:r>
      <w:r w:rsidRPr="00C45AC0">
        <w:rPr>
          <w:sz w:val="22"/>
          <w:szCs w:val="22"/>
        </w:rPr>
        <w:t xml:space="preserve">yüzde </w:t>
      </w:r>
      <w:r>
        <w:rPr>
          <w:sz w:val="22"/>
          <w:szCs w:val="22"/>
        </w:rPr>
        <w:t>4,2 azalırken</w:t>
      </w:r>
      <w:r w:rsidRPr="00C45AC0">
        <w:rPr>
          <w:sz w:val="22"/>
          <w:szCs w:val="22"/>
        </w:rPr>
        <w:t>, it</w:t>
      </w:r>
      <w:r>
        <w:rPr>
          <w:sz w:val="22"/>
          <w:szCs w:val="22"/>
        </w:rPr>
        <w:t>halat miktar endeksi yüzde 0</w:t>
      </w:r>
      <w:r w:rsidRPr="00C45AC0">
        <w:rPr>
          <w:sz w:val="22"/>
          <w:szCs w:val="22"/>
        </w:rPr>
        <w:t>,</w:t>
      </w:r>
      <w:r>
        <w:rPr>
          <w:sz w:val="22"/>
          <w:szCs w:val="22"/>
        </w:rPr>
        <w:t>7</w:t>
      </w:r>
      <w:r w:rsidRPr="00C45AC0">
        <w:rPr>
          <w:sz w:val="22"/>
          <w:szCs w:val="22"/>
        </w:rPr>
        <w:t xml:space="preserve"> oranında </w:t>
      </w:r>
      <w:r>
        <w:rPr>
          <w:sz w:val="22"/>
          <w:szCs w:val="22"/>
        </w:rPr>
        <w:t>düşüş gösterdi</w:t>
      </w:r>
      <w:r w:rsidRPr="00C45AC0">
        <w:rPr>
          <w:sz w:val="22"/>
          <w:szCs w:val="22"/>
        </w:rPr>
        <w:t xml:space="preserve">. </w:t>
      </w:r>
      <w:r>
        <w:rPr>
          <w:sz w:val="22"/>
          <w:szCs w:val="22"/>
        </w:rPr>
        <w:t>Sanayi üretiminde otomotiv sektöründe yaşanan grevler nedeniyle Mayıs ayında gerçekleşen düşüşe rağmen iki aylık ortalama geçen çeyreğe kıyasla artış göstermeye devam ediyor. İhracat miktar endeksindeki düşüş ise altın ihracatının Mayıs’ta durmasından kaynaklandı. Betam ikinci çeyreğe dair büyüme tahminini değiştirmeyerek önceki çeyreğe kıyasla yüzde 0,5, ö</w:t>
      </w:r>
      <w:r w:rsidRPr="00C45AC0">
        <w:rPr>
          <w:sz w:val="22"/>
          <w:szCs w:val="22"/>
        </w:rPr>
        <w:t xml:space="preserve">nceki yılın aynı çeyreğine göre </w:t>
      </w:r>
      <w:r>
        <w:rPr>
          <w:sz w:val="22"/>
          <w:szCs w:val="22"/>
        </w:rPr>
        <w:t>ise yüzde 3,0 oranında tutmaya devam ediyor.</w:t>
      </w:r>
      <w:r w:rsidR="00CB11FF">
        <w:rPr>
          <w:sz w:val="22"/>
          <w:szCs w:val="22"/>
        </w:rPr>
        <w:t xml:space="preserve"> </w:t>
      </w:r>
      <w:r w:rsidR="00EA0FC7">
        <w:rPr>
          <w:sz w:val="22"/>
          <w:szCs w:val="22"/>
        </w:rPr>
        <w:t xml:space="preserve">Bu tahminlere göre yılın ilk yarısında GSYH artışını yüzde 2,7 olarak tahmin ediyoruz. </w:t>
      </w:r>
    </w:p>
    <w:p w:rsidR="005B7A19" w:rsidRPr="00C45AC0" w:rsidRDefault="005B7A19" w:rsidP="005B7A19">
      <w:pPr>
        <w:spacing w:line="360" w:lineRule="auto"/>
        <w:ind w:left="-360" w:right="40"/>
        <w:jc w:val="both"/>
        <w:rPr>
          <w:sz w:val="22"/>
          <w:szCs w:val="22"/>
        </w:rPr>
      </w:pPr>
    </w:p>
    <w:p w:rsidR="005B7A19" w:rsidRPr="00C45AC0" w:rsidRDefault="005B7A19" w:rsidP="005B7A19">
      <w:pPr>
        <w:spacing w:line="360" w:lineRule="auto"/>
        <w:ind w:left="-360" w:right="40"/>
        <w:jc w:val="both"/>
        <w:rPr>
          <w:sz w:val="22"/>
          <w:szCs w:val="22"/>
        </w:rPr>
      </w:pPr>
      <w:r>
        <w:rPr>
          <w:sz w:val="22"/>
          <w:szCs w:val="22"/>
        </w:rPr>
        <w:t xml:space="preserve">Mayıs ayında cari açık 4,0 milyar dolar olarak gerçekleşti. 12 aylık toplam cari açık 44,3 milyar dolardan 44,7 milyar dolara çıktı. Enerji ithalatındaki gerilemeye rağmen ihracatta görülen düşüş cari açığın artmasına neden oldu. Altın hariç cari açık da artmaya devam etti. </w:t>
      </w:r>
      <w:r w:rsidR="00A02240">
        <w:rPr>
          <w:sz w:val="22"/>
          <w:szCs w:val="22"/>
        </w:rPr>
        <w:t>İkinci çeyrek sonunda c</w:t>
      </w:r>
      <w:r w:rsidRPr="00C45AC0">
        <w:rPr>
          <w:sz w:val="22"/>
          <w:szCs w:val="22"/>
        </w:rPr>
        <w:t>ari açığın GSYH’a oranı</w:t>
      </w:r>
      <w:r w:rsidR="00A02240">
        <w:rPr>
          <w:sz w:val="22"/>
          <w:szCs w:val="22"/>
        </w:rPr>
        <w:t>na dair tahminimizi</w:t>
      </w:r>
      <w:r w:rsidRPr="00C45AC0">
        <w:rPr>
          <w:sz w:val="22"/>
          <w:szCs w:val="22"/>
        </w:rPr>
        <w:t xml:space="preserve"> yüzde 5,</w:t>
      </w:r>
      <w:r w:rsidR="00A02240">
        <w:rPr>
          <w:sz w:val="22"/>
          <w:szCs w:val="22"/>
        </w:rPr>
        <w:t>6</w:t>
      </w:r>
      <w:r w:rsidRPr="00C45AC0">
        <w:rPr>
          <w:sz w:val="22"/>
          <w:szCs w:val="22"/>
        </w:rPr>
        <w:t>'</w:t>
      </w:r>
      <w:r w:rsidR="00A02240">
        <w:rPr>
          <w:sz w:val="22"/>
          <w:szCs w:val="22"/>
        </w:rPr>
        <w:t>dan 5,7'ye</w:t>
      </w:r>
      <w:r w:rsidRPr="00C45AC0">
        <w:rPr>
          <w:sz w:val="22"/>
          <w:szCs w:val="22"/>
        </w:rPr>
        <w:t xml:space="preserve"> </w:t>
      </w:r>
      <w:r>
        <w:rPr>
          <w:sz w:val="22"/>
          <w:szCs w:val="22"/>
        </w:rPr>
        <w:t>çık</w:t>
      </w:r>
      <w:r w:rsidR="00A02240">
        <w:rPr>
          <w:sz w:val="22"/>
          <w:szCs w:val="22"/>
        </w:rPr>
        <w:t>arıyoruz</w:t>
      </w:r>
      <w:r w:rsidRPr="00C45AC0">
        <w:rPr>
          <w:sz w:val="22"/>
          <w:szCs w:val="22"/>
        </w:rPr>
        <w:t>.</w:t>
      </w:r>
    </w:p>
    <w:p w:rsidR="00EB408D" w:rsidRPr="00C45AC0" w:rsidRDefault="00DA3172" w:rsidP="00EB408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H3FgIAACw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"/>
            </w:pict>
          </mc:Fallback>
        </mc:AlternateContent>
      </w:r>
      <w:r>
        <w:rPr>
          <w:noProof/>
        </w:rPr>
        <mc:AlternateContent>
          <mc:Choice Requires="wpc">
            <w:drawing>
              <wp:inline distT="0" distB="0" distL="0" distR="0">
                <wp:extent cx="2514600" cy="45720"/>
                <wp:effectExtent l="0" t="0" r="0" b="0"/>
                <wp:docPr id="6"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C45AC0" w:rsidRDefault="00EB408D" w:rsidP="00EB408D">
      <w:pPr>
        <w:spacing w:line="288" w:lineRule="auto"/>
        <w:ind w:left="-360" w:right="-318"/>
        <w:jc w:val="both"/>
        <w:rPr>
          <w:sz w:val="16"/>
          <w:szCs w:val="16"/>
        </w:rPr>
      </w:pPr>
      <w:r w:rsidRPr="00C45AC0">
        <w:rPr>
          <w:sz w:val="16"/>
          <w:szCs w:val="16"/>
        </w:rPr>
        <w:t xml:space="preserve">* Dr. Zümrüt İmamoğlu, </w:t>
      </w:r>
      <w:r w:rsidR="005B7A19">
        <w:rPr>
          <w:sz w:val="16"/>
          <w:szCs w:val="16"/>
        </w:rPr>
        <w:t>TÜSİAD Başekonomisti</w:t>
      </w:r>
      <w:r w:rsidRPr="00C45AC0">
        <w:rPr>
          <w:sz w:val="16"/>
          <w:szCs w:val="16"/>
        </w:rPr>
        <w:t>.</w:t>
      </w:r>
    </w:p>
    <w:p w:rsidR="005B7A19" w:rsidRPr="005B7A19" w:rsidRDefault="00CE332D" w:rsidP="00EB408D">
      <w:pPr>
        <w:spacing w:line="288" w:lineRule="auto"/>
        <w:ind w:left="-360" w:right="-318"/>
        <w:jc w:val="both"/>
        <w:rPr>
          <w:sz w:val="16"/>
          <w:szCs w:val="16"/>
        </w:rPr>
      </w:pPr>
      <w:hyperlink r:id="rId11" w:history="1">
        <w:r w:rsidR="005B7A19" w:rsidRPr="005B7A19">
          <w:rPr>
            <w:rStyle w:val="Hyperlink"/>
            <w:sz w:val="16"/>
            <w:szCs w:val="16"/>
          </w:rPr>
          <w:t>zimamoglu@tusiad.org</w:t>
        </w:r>
      </w:hyperlink>
    </w:p>
    <w:p w:rsidR="00EB408D" w:rsidRPr="00C45AC0" w:rsidRDefault="00EB408D" w:rsidP="00EB408D">
      <w:pPr>
        <w:spacing w:line="288" w:lineRule="auto"/>
        <w:ind w:left="-360" w:right="-318"/>
        <w:jc w:val="both"/>
        <w:rPr>
          <w:sz w:val="16"/>
          <w:szCs w:val="16"/>
        </w:rPr>
      </w:pPr>
      <w:r w:rsidRPr="00C45AC0">
        <w:rPr>
          <w:sz w:val="16"/>
          <w:szCs w:val="16"/>
        </w:rPr>
        <w:t>** Barış Soybilgen, Betam, Araştırma Görevlisi</w:t>
      </w:r>
    </w:p>
    <w:p w:rsidR="00EB408D" w:rsidRPr="00C45AC0" w:rsidRDefault="00CE332D" w:rsidP="00EB408D">
      <w:pPr>
        <w:ind w:left="-360"/>
        <w:rPr>
          <w:sz w:val="16"/>
          <w:szCs w:val="16"/>
        </w:rPr>
      </w:pPr>
      <w:hyperlink r:id="rId12" w:history="1">
        <w:r w:rsidR="00EB408D" w:rsidRPr="00C45AC0">
          <w:rPr>
            <w:rStyle w:val="Hyperlink"/>
            <w:sz w:val="16"/>
            <w:szCs w:val="16"/>
          </w:rPr>
          <w:t>baris.soybilgen@eas.bahcesehir.edu.tr</w:t>
        </w:r>
      </w:hyperlink>
    </w:p>
    <w:p w:rsidR="00EB408D" w:rsidRDefault="00EB408D" w:rsidP="00EB408D">
      <w:pPr>
        <w:ind w:right="42"/>
        <w:rPr>
          <w:b/>
          <w:bCs/>
          <w:sz w:val="22"/>
          <w:szCs w:val="22"/>
        </w:rPr>
      </w:pPr>
    </w:p>
    <w:p w:rsidR="00EB408D" w:rsidRPr="00C45AC0" w:rsidRDefault="00EB408D" w:rsidP="00EB408D">
      <w:pPr>
        <w:ind w:right="42"/>
        <w:rPr>
          <w:b/>
          <w:bCs/>
          <w:sz w:val="22"/>
          <w:szCs w:val="22"/>
        </w:rPr>
      </w:pPr>
    </w:p>
    <w:p w:rsidR="00EB408D" w:rsidRPr="00C45AC0" w:rsidRDefault="00EB408D" w:rsidP="00EB408D">
      <w:pPr>
        <w:outlineLvl w:val="0"/>
        <w:rPr>
          <w:b/>
          <w:bCs/>
          <w:sz w:val="22"/>
          <w:szCs w:val="22"/>
        </w:rPr>
      </w:pPr>
      <w:r w:rsidRPr="00C45AC0">
        <w:rPr>
          <w:b/>
          <w:bCs/>
          <w:sz w:val="22"/>
          <w:szCs w:val="22"/>
        </w:rPr>
        <w:t>Tablo 1. Betam’ın GSYH ve Cari Açık Tahminleri</w:t>
      </w:r>
    </w:p>
    <w:tbl>
      <w:tblPr>
        <w:tblpPr w:leftFromText="141" w:rightFromText="141" w:vertAnchor="text" w:horzAnchor="margin" w:tblpXSpec="right" w:tblpY="129"/>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4"/>
        <w:gridCol w:w="1362"/>
      </w:tblGrid>
      <w:tr w:rsidR="003B33D9" w:rsidRPr="00C45AC0" w:rsidTr="003B33D9">
        <w:trPr>
          <w:trHeight w:val="986"/>
        </w:trPr>
        <w:tc>
          <w:tcPr>
            <w:tcW w:w="3244" w:type="dxa"/>
            <w:tcMar>
              <w:left w:w="28" w:type="dxa"/>
              <w:right w:w="28" w:type="dxa"/>
            </w:tcMar>
            <w:vAlign w:val="center"/>
          </w:tcPr>
          <w:p w:rsidR="003B33D9" w:rsidRPr="00C45AC0" w:rsidRDefault="003B33D9" w:rsidP="00F35C3E">
            <w:pPr>
              <w:ind w:right="42"/>
              <w:jc w:val="center"/>
              <w:rPr>
                <w:sz w:val="20"/>
                <w:szCs w:val="20"/>
              </w:rPr>
            </w:pPr>
          </w:p>
        </w:tc>
        <w:tc>
          <w:tcPr>
            <w:tcW w:w="1362" w:type="dxa"/>
            <w:vAlign w:val="center"/>
          </w:tcPr>
          <w:p w:rsidR="003B33D9" w:rsidRDefault="003B33D9" w:rsidP="00F35C3E">
            <w:pPr>
              <w:ind w:right="40"/>
              <w:jc w:val="center"/>
              <w:rPr>
                <w:b/>
                <w:bCs/>
                <w:sz w:val="20"/>
                <w:szCs w:val="20"/>
              </w:rPr>
            </w:pPr>
            <w:r>
              <w:rPr>
                <w:b/>
                <w:bCs/>
                <w:sz w:val="20"/>
                <w:szCs w:val="20"/>
              </w:rPr>
              <w:t>2015</w:t>
            </w:r>
          </w:p>
          <w:p w:rsidR="003B33D9" w:rsidRDefault="00AA7D37" w:rsidP="00F35C3E">
            <w:pPr>
              <w:ind w:right="40"/>
              <w:jc w:val="center"/>
              <w:rPr>
                <w:b/>
                <w:bCs/>
                <w:sz w:val="20"/>
                <w:szCs w:val="20"/>
              </w:rPr>
            </w:pPr>
            <w:r>
              <w:rPr>
                <w:b/>
                <w:bCs/>
                <w:sz w:val="20"/>
                <w:szCs w:val="20"/>
              </w:rPr>
              <w:t>2</w:t>
            </w:r>
            <w:r w:rsidR="003B33D9">
              <w:rPr>
                <w:b/>
                <w:bCs/>
                <w:sz w:val="20"/>
                <w:szCs w:val="20"/>
              </w:rPr>
              <w:t>. Çeyrek</w:t>
            </w:r>
          </w:p>
          <w:p w:rsidR="003B33D9" w:rsidRDefault="003B33D9" w:rsidP="00F35C3E">
            <w:pPr>
              <w:ind w:right="40"/>
              <w:jc w:val="center"/>
              <w:rPr>
                <w:b/>
                <w:bCs/>
                <w:sz w:val="20"/>
                <w:szCs w:val="20"/>
              </w:rPr>
            </w:pPr>
            <w:r>
              <w:rPr>
                <w:b/>
                <w:bCs/>
                <w:sz w:val="20"/>
                <w:szCs w:val="20"/>
              </w:rPr>
              <w:t>Tahmin</w:t>
            </w:r>
          </w:p>
          <w:p w:rsidR="003B33D9" w:rsidRPr="00C45AC0" w:rsidRDefault="003B33D9" w:rsidP="00F35C3E">
            <w:pPr>
              <w:ind w:right="40"/>
              <w:jc w:val="center"/>
              <w:rPr>
                <w:b/>
                <w:bCs/>
                <w:sz w:val="20"/>
                <w:szCs w:val="20"/>
              </w:rPr>
            </w:pPr>
            <w:r>
              <w:rPr>
                <w:b/>
                <w:bCs/>
                <w:sz w:val="20"/>
                <w:szCs w:val="20"/>
              </w:rPr>
              <w:t>(%)</w:t>
            </w:r>
          </w:p>
        </w:tc>
      </w:tr>
      <w:tr w:rsidR="003B33D9" w:rsidRPr="00C45AC0" w:rsidTr="003B33D9">
        <w:trPr>
          <w:trHeight w:val="771"/>
        </w:trPr>
        <w:tc>
          <w:tcPr>
            <w:tcW w:w="3244" w:type="dxa"/>
            <w:tcMar>
              <w:left w:w="28" w:type="dxa"/>
              <w:right w:w="28" w:type="dxa"/>
            </w:tcMar>
            <w:vAlign w:val="center"/>
          </w:tcPr>
          <w:p w:rsidR="003B33D9" w:rsidRPr="00C45AC0" w:rsidRDefault="003B33D9" w:rsidP="00F35C3E">
            <w:pPr>
              <w:ind w:right="42"/>
              <w:rPr>
                <w:sz w:val="20"/>
                <w:szCs w:val="20"/>
              </w:rPr>
            </w:pPr>
            <w:r w:rsidRPr="00C45AC0">
              <w:rPr>
                <w:sz w:val="20"/>
                <w:szCs w:val="20"/>
              </w:rPr>
              <w:t>GSYH büyüme, reel</w:t>
            </w:r>
          </w:p>
          <w:p w:rsidR="003B33D9" w:rsidRPr="00C45AC0" w:rsidRDefault="003B33D9" w:rsidP="00F35C3E">
            <w:pPr>
              <w:ind w:right="42"/>
              <w:rPr>
                <w:sz w:val="20"/>
                <w:szCs w:val="20"/>
              </w:rPr>
            </w:pPr>
            <w:r w:rsidRPr="00C45AC0">
              <w:rPr>
                <w:sz w:val="20"/>
                <w:szCs w:val="20"/>
              </w:rPr>
              <w:t>(bir önceki çeyreğe göre, mea*)</w:t>
            </w:r>
          </w:p>
        </w:tc>
        <w:tc>
          <w:tcPr>
            <w:tcW w:w="1362" w:type="dxa"/>
            <w:vAlign w:val="center"/>
          </w:tcPr>
          <w:p w:rsidR="003B33D9" w:rsidRDefault="003B33D9" w:rsidP="00AA7D37">
            <w:pPr>
              <w:ind w:right="42"/>
              <w:jc w:val="center"/>
              <w:rPr>
                <w:sz w:val="20"/>
                <w:szCs w:val="20"/>
              </w:rPr>
            </w:pPr>
            <w:r>
              <w:rPr>
                <w:sz w:val="20"/>
                <w:szCs w:val="20"/>
              </w:rPr>
              <w:t>0,</w:t>
            </w:r>
            <w:r w:rsidR="00AA7D37">
              <w:rPr>
                <w:sz w:val="20"/>
                <w:szCs w:val="20"/>
              </w:rPr>
              <w:t>5</w:t>
            </w:r>
          </w:p>
        </w:tc>
      </w:tr>
      <w:tr w:rsidR="003B33D9" w:rsidRPr="00C45AC0" w:rsidTr="003B33D9">
        <w:trPr>
          <w:trHeight w:val="756"/>
        </w:trPr>
        <w:tc>
          <w:tcPr>
            <w:tcW w:w="3244" w:type="dxa"/>
            <w:tcMar>
              <w:left w:w="28" w:type="dxa"/>
              <w:right w:w="28" w:type="dxa"/>
            </w:tcMar>
            <w:vAlign w:val="center"/>
          </w:tcPr>
          <w:p w:rsidR="003B33D9" w:rsidRPr="00C45AC0" w:rsidRDefault="003B33D9" w:rsidP="00F35C3E">
            <w:pPr>
              <w:ind w:right="42"/>
              <w:rPr>
                <w:sz w:val="20"/>
                <w:szCs w:val="20"/>
              </w:rPr>
            </w:pPr>
            <w:r w:rsidRPr="00C45AC0">
              <w:rPr>
                <w:sz w:val="20"/>
                <w:szCs w:val="20"/>
              </w:rPr>
              <w:t xml:space="preserve">GSYH büyüme, reel (geçen yılın aynı çeyreğine göre, </w:t>
            </w:r>
            <w:r>
              <w:rPr>
                <w:sz w:val="20"/>
                <w:szCs w:val="20"/>
              </w:rPr>
              <w:t>mea*</w:t>
            </w:r>
            <w:r w:rsidRPr="00C45AC0">
              <w:rPr>
                <w:sz w:val="20"/>
                <w:szCs w:val="20"/>
              </w:rPr>
              <w:t>)</w:t>
            </w:r>
          </w:p>
        </w:tc>
        <w:tc>
          <w:tcPr>
            <w:tcW w:w="1362" w:type="dxa"/>
            <w:vAlign w:val="center"/>
          </w:tcPr>
          <w:p w:rsidR="003B33D9" w:rsidRDefault="003B33D9" w:rsidP="00F35C3E">
            <w:pPr>
              <w:ind w:right="42"/>
              <w:jc w:val="center"/>
              <w:rPr>
                <w:sz w:val="20"/>
                <w:szCs w:val="20"/>
              </w:rPr>
            </w:pPr>
          </w:p>
          <w:p w:rsidR="003B33D9" w:rsidRDefault="00AA7D37" w:rsidP="00F35C3E">
            <w:pPr>
              <w:ind w:right="42"/>
              <w:jc w:val="center"/>
              <w:rPr>
                <w:sz w:val="20"/>
                <w:szCs w:val="20"/>
              </w:rPr>
            </w:pPr>
            <w:r>
              <w:rPr>
                <w:sz w:val="20"/>
                <w:szCs w:val="20"/>
              </w:rPr>
              <w:t>3</w:t>
            </w:r>
            <w:r w:rsidR="00B05A29">
              <w:rPr>
                <w:sz w:val="20"/>
                <w:szCs w:val="20"/>
              </w:rPr>
              <w:t>,</w:t>
            </w:r>
            <w:r>
              <w:rPr>
                <w:sz w:val="20"/>
                <w:szCs w:val="20"/>
              </w:rPr>
              <w:t>0</w:t>
            </w:r>
          </w:p>
          <w:p w:rsidR="003B33D9" w:rsidRDefault="003B33D9" w:rsidP="00F35C3E">
            <w:pPr>
              <w:ind w:right="42"/>
              <w:jc w:val="center"/>
              <w:rPr>
                <w:sz w:val="20"/>
                <w:szCs w:val="20"/>
              </w:rPr>
            </w:pPr>
          </w:p>
        </w:tc>
      </w:tr>
      <w:tr w:rsidR="003B33D9" w:rsidRPr="00C45AC0" w:rsidTr="003B33D9">
        <w:trPr>
          <w:trHeight w:val="756"/>
        </w:trPr>
        <w:tc>
          <w:tcPr>
            <w:tcW w:w="3244" w:type="dxa"/>
            <w:tcMar>
              <w:left w:w="28" w:type="dxa"/>
              <w:right w:w="28" w:type="dxa"/>
            </w:tcMar>
            <w:vAlign w:val="center"/>
          </w:tcPr>
          <w:p w:rsidR="003B33D9" w:rsidRPr="00C45AC0" w:rsidRDefault="003B33D9" w:rsidP="00F35C3E">
            <w:pPr>
              <w:ind w:right="40"/>
              <w:rPr>
                <w:sz w:val="20"/>
                <w:szCs w:val="20"/>
              </w:rPr>
            </w:pPr>
            <w:r w:rsidRPr="00C45AC0">
              <w:rPr>
                <w:sz w:val="20"/>
                <w:szCs w:val="20"/>
              </w:rPr>
              <w:t>Cari açık (yıllık)</w:t>
            </w:r>
          </w:p>
        </w:tc>
        <w:tc>
          <w:tcPr>
            <w:tcW w:w="1362" w:type="dxa"/>
            <w:vAlign w:val="center"/>
          </w:tcPr>
          <w:p w:rsidR="003B33D9" w:rsidRPr="00C45AC0" w:rsidRDefault="003B33D9" w:rsidP="00F35C3E">
            <w:pPr>
              <w:ind w:right="40"/>
              <w:jc w:val="center"/>
              <w:rPr>
                <w:sz w:val="20"/>
                <w:szCs w:val="20"/>
              </w:rPr>
            </w:pPr>
            <w:r>
              <w:rPr>
                <w:sz w:val="20"/>
                <w:szCs w:val="20"/>
              </w:rPr>
              <w:t>5,</w:t>
            </w:r>
            <w:r w:rsidR="00A02240">
              <w:rPr>
                <w:sz w:val="20"/>
                <w:szCs w:val="20"/>
              </w:rPr>
              <w:t>7</w:t>
            </w:r>
          </w:p>
        </w:tc>
      </w:tr>
      <w:tr w:rsidR="003B33D9" w:rsidRPr="00C45AC0" w:rsidTr="003B33D9">
        <w:trPr>
          <w:trHeight w:val="583"/>
        </w:trPr>
        <w:tc>
          <w:tcPr>
            <w:tcW w:w="3244" w:type="dxa"/>
            <w:tcMar>
              <w:left w:w="28" w:type="dxa"/>
              <w:right w:w="28" w:type="dxa"/>
            </w:tcMar>
            <w:vAlign w:val="center"/>
          </w:tcPr>
          <w:p w:rsidR="003B33D9" w:rsidRPr="00C45AC0" w:rsidRDefault="003B33D9" w:rsidP="00F35C3E">
            <w:pPr>
              <w:ind w:right="40"/>
              <w:rPr>
                <w:sz w:val="20"/>
                <w:szCs w:val="20"/>
              </w:rPr>
            </w:pPr>
            <w:r w:rsidRPr="00C45AC0">
              <w:rPr>
                <w:sz w:val="20"/>
                <w:szCs w:val="20"/>
              </w:rPr>
              <w:t>Altın hariç cari açık (yıllık)</w:t>
            </w:r>
          </w:p>
        </w:tc>
        <w:tc>
          <w:tcPr>
            <w:tcW w:w="1362" w:type="dxa"/>
            <w:vAlign w:val="center"/>
          </w:tcPr>
          <w:p w:rsidR="003B33D9" w:rsidRPr="00C45AC0" w:rsidRDefault="0039785D" w:rsidP="0039785D">
            <w:pPr>
              <w:ind w:right="40"/>
              <w:jc w:val="center"/>
              <w:rPr>
                <w:sz w:val="20"/>
                <w:szCs w:val="20"/>
              </w:rPr>
            </w:pPr>
            <w:r>
              <w:rPr>
                <w:sz w:val="20"/>
                <w:szCs w:val="20"/>
              </w:rPr>
              <w:t>5</w:t>
            </w:r>
            <w:r w:rsidR="003B33D9">
              <w:rPr>
                <w:sz w:val="20"/>
                <w:szCs w:val="20"/>
              </w:rPr>
              <w:t>,</w:t>
            </w:r>
            <w:r w:rsidR="00A02240">
              <w:rPr>
                <w:sz w:val="20"/>
                <w:szCs w:val="20"/>
              </w:rPr>
              <w:t>9</w:t>
            </w:r>
          </w:p>
        </w:tc>
      </w:tr>
    </w:tbl>
    <w:p w:rsidR="00EB408D" w:rsidRPr="00C45AC0" w:rsidRDefault="00EB408D" w:rsidP="00EB408D">
      <w:pPr>
        <w:ind w:left="-360" w:right="40"/>
        <w:rPr>
          <w:sz w:val="4"/>
          <w:szCs w:val="4"/>
        </w:rPr>
      </w:pPr>
    </w:p>
    <w:p w:rsidR="00EB408D" w:rsidRPr="00B0429B" w:rsidRDefault="00EB408D" w:rsidP="00B0429B">
      <w:pPr>
        <w:ind w:left="-360" w:right="40"/>
        <w:rPr>
          <w:sz w:val="18"/>
          <w:szCs w:val="18"/>
        </w:rPr>
      </w:pPr>
      <w:r w:rsidRPr="00C45AC0">
        <w:rPr>
          <w:sz w:val="18"/>
          <w:szCs w:val="18"/>
        </w:rPr>
        <w:t>Kaynak: Betam. *mea: mevsim ve takvim etkilerinden arındırılmış.  **tea: takvim etkilerinden arındırılmış.</w:t>
      </w:r>
    </w:p>
    <w:p w:rsidR="00EB408D" w:rsidRPr="00C45AC0" w:rsidRDefault="00EB408D" w:rsidP="00EB408D">
      <w:pPr>
        <w:ind w:left="-360"/>
        <w:rPr>
          <w:rFonts w:ascii="Arial" w:hAnsi="Arial" w:cs="Arial"/>
          <w:sz w:val="16"/>
          <w:szCs w:val="16"/>
        </w:rPr>
      </w:pPr>
    </w:p>
    <w:p w:rsidR="00B0429B" w:rsidRDefault="00B0429B" w:rsidP="00EB408D">
      <w:pPr>
        <w:spacing w:line="360" w:lineRule="auto"/>
        <w:ind w:left="-360" w:right="42"/>
        <w:jc w:val="center"/>
        <w:rPr>
          <w:b/>
          <w:sz w:val="22"/>
          <w:szCs w:val="22"/>
        </w:rPr>
      </w:pPr>
    </w:p>
    <w:p w:rsidR="002146D2" w:rsidRDefault="002146D2" w:rsidP="002146D2">
      <w:pPr>
        <w:spacing w:line="360" w:lineRule="auto"/>
        <w:ind w:left="-360" w:right="42"/>
        <w:jc w:val="both"/>
        <w:rPr>
          <w:b/>
          <w:sz w:val="22"/>
          <w:szCs w:val="22"/>
        </w:rPr>
      </w:pPr>
      <w:r>
        <w:rPr>
          <w:sz w:val="22"/>
          <w:szCs w:val="22"/>
        </w:rPr>
        <w:t>Altın hariç cari açığın ise 5,9'a yükseleceğini tahmin ediyoruz.</w:t>
      </w:r>
    </w:p>
    <w:p w:rsidR="002146D2" w:rsidRDefault="002146D2" w:rsidP="005B7A19">
      <w:pPr>
        <w:spacing w:line="360" w:lineRule="auto"/>
        <w:ind w:left="-360" w:right="42"/>
        <w:jc w:val="center"/>
        <w:rPr>
          <w:b/>
          <w:sz w:val="22"/>
          <w:szCs w:val="22"/>
        </w:rPr>
      </w:pPr>
    </w:p>
    <w:p w:rsidR="005B7A19" w:rsidRDefault="005B7A19" w:rsidP="005B7A19">
      <w:pPr>
        <w:spacing w:line="360" w:lineRule="auto"/>
        <w:ind w:left="-360" w:right="42"/>
        <w:jc w:val="center"/>
        <w:rPr>
          <w:b/>
          <w:sz w:val="22"/>
          <w:szCs w:val="22"/>
        </w:rPr>
      </w:pPr>
      <w:r>
        <w:rPr>
          <w:b/>
          <w:sz w:val="22"/>
          <w:szCs w:val="22"/>
        </w:rPr>
        <w:t>Sanayi üretimi hala yüksek</w:t>
      </w:r>
    </w:p>
    <w:p w:rsidR="005B7A19" w:rsidRPr="00C45AC0" w:rsidRDefault="005B7A19" w:rsidP="005B7A19">
      <w:pPr>
        <w:spacing w:line="360" w:lineRule="auto"/>
        <w:ind w:left="-360" w:right="42"/>
        <w:jc w:val="center"/>
        <w:rPr>
          <w:b/>
          <w:sz w:val="22"/>
          <w:szCs w:val="22"/>
        </w:rPr>
      </w:pPr>
    </w:p>
    <w:p w:rsidR="005B7A19" w:rsidRDefault="005B7A19" w:rsidP="005B7A19">
      <w:pPr>
        <w:spacing w:line="360" w:lineRule="auto"/>
        <w:ind w:left="-360" w:right="42"/>
        <w:jc w:val="both"/>
        <w:rPr>
          <w:sz w:val="22"/>
          <w:szCs w:val="22"/>
        </w:rPr>
      </w:pPr>
      <w:r>
        <w:rPr>
          <w:sz w:val="22"/>
          <w:szCs w:val="22"/>
        </w:rPr>
        <w:t>Mayıs ayında otomotiv sektöründe yaşanan grevler binek otomobil üretiminin yüzde 27, binek olmayan otomobil üretiminin ise yüzde 32 oranında azalmasına neden olmuştu. Bunu takiben sanayi üretim endeksi Mayıs ayında bir önceki aya kıyasla yüzde 2 oranında düştü. Ancak Nisan-Mayıs ortalamasının bir önceki çeyreğe göre hala yüzde 1 oranında yukarıda olduğunu görüyoruz. Haziran ayı verileri otomobil üretiminin toparlandığını (binek yüzde 44,3</w:t>
      </w:r>
      <w:r w:rsidR="002146D2">
        <w:rPr>
          <w:sz w:val="22"/>
          <w:szCs w:val="22"/>
        </w:rPr>
        <w:t xml:space="preserve"> ve</w:t>
      </w:r>
      <w:r>
        <w:rPr>
          <w:sz w:val="22"/>
          <w:szCs w:val="22"/>
        </w:rPr>
        <w:t xml:space="preserve"> binek olmayan </w:t>
      </w:r>
      <w:r>
        <w:rPr>
          <w:sz w:val="22"/>
          <w:szCs w:val="22"/>
        </w:rPr>
        <w:lastRenderedPageBreak/>
        <w:t>yüzde 40,3 arttı. (Tablo 2)) ve endeksi yukarı yönlü destekleyeceğini gösteriyor.</w:t>
      </w:r>
    </w:p>
    <w:p w:rsidR="005B7A19" w:rsidRDefault="005B7A19" w:rsidP="005B7A19">
      <w:pPr>
        <w:spacing w:line="360" w:lineRule="auto"/>
        <w:ind w:left="-360" w:right="42"/>
        <w:jc w:val="both"/>
        <w:rPr>
          <w:sz w:val="22"/>
          <w:szCs w:val="22"/>
        </w:rPr>
      </w:pPr>
    </w:p>
    <w:p w:rsidR="005B7A19" w:rsidRDefault="005B7A19" w:rsidP="005B7A19">
      <w:pPr>
        <w:spacing w:line="360" w:lineRule="auto"/>
        <w:ind w:left="-360" w:right="42"/>
        <w:jc w:val="both"/>
        <w:rPr>
          <w:sz w:val="22"/>
          <w:szCs w:val="22"/>
        </w:rPr>
      </w:pPr>
      <w:r>
        <w:rPr>
          <w:sz w:val="22"/>
          <w:szCs w:val="22"/>
        </w:rPr>
        <w:t>İhracat miktar endeksi yılın ilk dört ayında altın ihracatı ile artış kaydetmişti. Mayıs ayında altın ihracatının azalması ile endekste önemli ölçüde düşüş gözlemlendi. Ancak Betam’ın hesaplamaları altın hariç ihracatta da Mayıs ayında düşüşe işaret ediyor. İthalat miktarında iki aydır düşüşler devam ediyor. Geçtiğimiz ay büyük artış gösteren yatırım malı ithalatı da Mayıs’ta düşüş gösterdi. Ancak iki aylık ortalama hala yüksek seyrediyor. Net ihracatın büyümeye negatif katkı vereceği görülüyor.</w:t>
      </w:r>
    </w:p>
    <w:p w:rsidR="005B7A19" w:rsidRDefault="005B7A19" w:rsidP="005B7A19">
      <w:pPr>
        <w:spacing w:line="360" w:lineRule="auto"/>
        <w:ind w:left="-360" w:right="42"/>
        <w:jc w:val="both"/>
        <w:rPr>
          <w:sz w:val="22"/>
          <w:szCs w:val="22"/>
        </w:rPr>
      </w:pPr>
    </w:p>
    <w:p w:rsidR="005B7A19" w:rsidRDefault="005B7A19" w:rsidP="005B7A19">
      <w:pPr>
        <w:spacing w:line="360" w:lineRule="auto"/>
        <w:ind w:left="-360" w:right="42"/>
        <w:jc w:val="both"/>
        <w:rPr>
          <w:sz w:val="22"/>
          <w:szCs w:val="22"/>
        </w:rPr>
      </w:pPr>
      <w:r>
        <w:rPr>
          <w:sz w:val="22"/>
          <w:szCs w:val="22"/>
        </w:rPr>
        <w:t xml:space="preserve">Tüketim tarafında dayanıksız tüketim malı imalat ve ithalatında azalma devam ediyor. Haziran ayında Tüketici Güven Endeksi bir miktar toparlanmış olsa da çeyreklik bazda bozulma devam ediyor. Kamu harcamaları ise ilk çeyreğe kıyasla ılımlı bir artış gösteriyor. </w:t>
      </w:r>
    </w:p>
    <w:p w:rsidR="005B7A19" w:rsidRDefault="005B7A19" w:rsidP="005B7A19">
      <w:pPr>
        <w:spacing w:line="360" w:lineRule="auto"/>
        <w:ind w:left="-360" w:right="42"/>
        <w:jc w:val="both"/>
        <w:rPr>
          <w:sz w:val="22"/>
          <w:szCs w:val="22"/>
        </w:rPr>
      </w:pPr>
    </w:p>
    <w:p w:rsidR="005B7A19" w:rsidRDefault="005B7A19" w:rsidP="005B7A19">
      <w:pPr>
        <w:spacing w:line="360" w:lineRule="auto"/>
        <w:ind w:left="-360" w:right="42"/>
        <w:jc w:val="both"/>
        <w:rPr>
          <w:sz w:val="22"/>
          <w:szCs w:val="22"/>
        </w:rPr>
      </w:pPr>
      <w:r>
        <w:rPr>
          <w:sz w:val="22"/>
          <w:szCs w:val="22"/>
        </w:rPr>
        <w:t xml:space="preserve">İkinci çeyrekte yatırımların bir miktar canlanacağını, tüketim ve kamu harcamalarının büyümeye sınırlı katkı yapacağını tahmin ediyoruz. Betam'ın ikinci çeyreğe dair tahmini bir önceki çeyreğe kıyasla ekonominin yüzde 0,5 büyüyeceği yönünde. </w:t>
      </w:r>
      <w:r w:rsidRPr="00C45AC0">
        <w:rPr>
          <w:sz w:val="22"/>
          <w:szCs w:val="22"/>
        </w:rPr>
        <w:t xml:space="preserve">Önceki yılın aynı çeyreğine göre </w:t>
      </w:r>
      <w:r>
        <w:rPr>
          <w:sz w:val="22"/>
          <w:szCs w:val="22"/>
        </w:rPr>
        <w:t xml:space="preserve">büyümenin ise yüzde 3,0 olarak gerçekleşeceğini tahmin ediyoruz. </w:t>
      </w:r>
    </w:p>
    <w:p w:rsidR="005B7A19" w:rsidRDefault="005B7A19" w:rsidP="005B7A19">
      <w:pPr>
        <w:spacing w:line="360" w:lineRule="auto"/>
        <w:ind w:right="42"/>
        <w:jc w:val="both"/>
        <w:rPr>
          <w:sz w:val="22"/>
          <w:szCs w:val="22"/>
        </w:rPr>
      </w:pPr>
    </w:p>
    <w:p w:rsidR="005B7A19" w:rsidRPr="004C14E3" w:rsidRDefault="005B7A19" w:rsidP="005B7A19">
      <w:pPr>
        <w:spacing w:line="360" w:lineRule="auto"/>
        <w:ind w:left="-360" w:right="42"/>
        <w:jc w:val="center"/>
        <w:rPr>
          <w:b/>
          <w:sz w:val="22"/>
          <w:szCs w:val="22"/>
        </w:rPr>
      </w:pPr>
      <w:r>
        <w:rPr>
          <w:b/>
          <w:sz w:val="22"/>
          <w:szCs w:val="22"/>
        </w:rPr>
        <w:t>Faiz artırımı yaklaştı</w:t>
      </w:r>
    </w:p>
    <w:p w:rsidR="005B7A19" w:rsidRPr="004C14E3" w:rsidRDefault="005B7A19" w:rsidP="005B7A19">
      <w:pPr>
        <w:spacing w:line="360" w:lineRule="auto"/>
        <w:ind w:left="-360" w:right="42"/>
        <w:jc w:val="center"/>
        <w:rPr>
          <w:sz w:val="22"/>
          <w:szCs w:val="22"/>
        </w:rPr>
      </w:pPr>
    </w:p>
    <w:p w:rsidR="005B7A19" w:rsidRDefault="005B7A19" w:rsidP="005B7A19">
      <w:pPr>
        <w:spacing w:line="360" w:lineRule="auto"/>
        <w:ind w:left="-360" w:right="42"/>
        <w:jc w:val="both"/>
        <w:rPr>
          <w:sz w:val="22"/>
          <w:szCs w:val="22"/>
        </w:rPr>
      </w:pPr>
      <w:r>
        <w:rPr>
          <w:sz w:val="22"/>
          <w:szCs w:val="22"/>
        </w:rPr>
        <w:t xml:space="preserve">Türkiye koalisyon görüşmeleri ve Suriye sınırında yaşanan gelişmelere odaklanmışken, Amerikan Merkez Bankası (Fed) faiz artırımına gittikçe yaklaşıyor. Fed Başkanı Janet Yellen’ın geçtiğimiz </w:t>
      </w:r>
      <w:r>
        <w:rPr>
          <w:sz w:val="22"/>
          <w:szCs w:val="22"/>
        </w:rPr>
        <w:lastRenderedPageBreak/>
        <w:t xml:space="preserve">hafta faiz artırımının 2015 yılı içerisinde gerçekleşmesinin muhtemel olduğunu ifade etti. Her ne kadar veriler Amerika’da büyümenin yıl başında beklenenden daha ılımlı olduğunu gösterse de Fed ilk faiz artırımını erken başlatıp oldukça yavaş ve küçük adımlarla devam etmeyi planlıyor. İlk artırımın zamanlamasının fazla önemsenmemesi gerektiği sık sık vurgulansa da gelişmekte olan piyasalarda </w:t>
      </w:r>
      <w:r w:rsidR="00063D4A">
        <w:rPr>
          <w:sz w:val="22"/>
          <w:szCs w:val="22"/>
        </w:rPr>
        <w:t xml:space="preserve">kısa vadede </w:t>
      </w:r>
      <w:r>
        <w:rPr>
          <w:sz w:val="22"/>
          <w:szCs w:val="22"/>
        </w:rPr>
        <w:t xml:space="preserve"> dalgalanma yaşanması ve Türkiye’nin de bundan olumsuz yönde etkilenmesi kaçınılmaz. </w:t>
      </w:r>
      <w:r w:rsidR="00063D4A">
        <w:rPr>
          <w:sz w:val="22"/>
          <w:szCs w:val="22"/>
        </w:rPr>
        <w:t>Ancak orta vadede FED etkisinin ekonomiye dikkat değer zarar v</w:t>
      </w:r>
      <w:r w:rsidR="002146D2">
        <w:rPr>
          <w:sz w:val="22"/>
          <w:szCs w:val="22"/>
        </w:rPr>
        <w:t>e</w:t>
      </w:r>
      <w:r w:rsidR="00063D4A">
        <w:rPr>
          <w:sz w:val="22"/>
          <w:szCs w:val="22"/>
        </w:rPr>
        <w:t>receğini düşünmüyoruz.</w:t>
      </w:r>
    </w:p>
    <w:p w:rsidR="005B7A19" w:rsidRDefault="005B7A19" w:rsidP="005B7A19">
      <w:pPr>
        <w:spacing w:line="360" w:lineRule="auto"/>
        <w:ind w:left="-360" w:right="42"/>
        <w:jc w:val="both"/>
        <w:rPr>
          <w:sz w:val="22"/>
          <w:szCs w:val="22"/>
        </w:rPr>
      </w:pPr>
    </w:p>
    <w:p w:rsidR="005B7A19" w:rsidRDefault="005B7A19" w:rsidP="005B7A19">
      <w:pPr>
        <w:spacing w:line="360" w:lineRule="auto"/>
        <w:ind w:left="-360" w:right="42"/>
        <w:jc w:val="both"/>
        <w:rPr>
          <w:sz w:val="22"/>
          <w:szCs w:val="22"/>
        </w:rPr>
      </w:pPr>
      <w:r>
        <w:rPr>
          <w:sz w:val="22"/>
          <w:szCs w:val="22"/>
        </w:rPr>
        <w:t>Diğer yandan yanı başımızda iktisadi açıdan sürdürülebilir olmayan bir yapıyı siyaseten ısrarla sürdürmeye çalışan Avrupa, Yunanistan ile yeniden antlaşma yaptı. Ancak antlaşmayı yapan taraflar dahi bu koşullarda Yunanistan sorununa kalıcı bir çözüm bulunduğuna inanmıyor. Borçların yeniden yapılandırılması ve bu çerçevede bir kısmının silinmesi zorunluluğu ortadan kalkmış değil. Antlaşma koşullarının gerektirdiği kemer sıkma politikalarının</w:t>
      </w:r>
      <w:r w:rsidR="009518C8">
        <w:rPr>
          <w:sz w:val="22"/>
          <w:szCs w:val="22"/>
        </w:rPr>
        <w:t xml:space="preserve"> kısa vadede </w:t>
      </w:r>
      <w:r>
        <w:rPr>
          <w:sz w:val="22"/>
          <w:szCs w:val="22"/>
        </w:rPr>
        <w:t>Yunanistan’ı yeniden büyümeye döndüremeyeceği aşikar. Kısa bir süre sonra Yunanistan sorununun yeniden gündeme gelmesi maalesef kaçınılmaz görünüyor.</w:t>
      </w:r>
    </w:p>
    <w:p w:rsidR="009D6ADA" w:rsidRDefault="009D6ADA" w:rsidP="005B7A19">
      <w:pPr>
        <w:spacing w:line="360" w:lineRule="auto"/>
        <w:ind w:left="-360" w:right="42"/>
        <w:jc w:val="both"/>
        <w:rPr>
          <w:sz w:val="22"/>
          <w:szCs w:val="22"/>
        </w:rPr>
      </w:pPr>
    </w:p>
    <w:p w:rsidR="009D6ADA" w:rsidRDefault="009D6ADA" w:rsidP="007A4141">
      <w:pPr>
        <w:spacing w:line="360" w:lineRule="auto"/>
        <w:ind w:left="-360" w:right="42"/>
        <w:jc w:val="both"/>
        <w:rPr>
          <w:sz w:val="22"/>
          <w:szCs w:val="22"/>
        </w:rPr>
      </w:pPr>
      <w:r>
        <w:rPr>
          <w:sz w:val="22"/>
          <w:szCs w:val="22"/>
        </w:rPr>
        <w:t>İran'ın P5+1 ülkeleriyle yaptığı antlaşma, Türkiye ve bölge ekonomisi için son zamanlarda yaşanan en olumlu gelişme. İran'a ambargonun kaldırılması ve ilişkilerin normalleşmesi hem bölge ekonomisini canlandıracak hem de Orta Doğu'nun istikrarına katkıda bulunacaktır. İran pazarı Türkiye için önemli bir ihracat ve yatırım fırsatı olmaya devam ediyor.</w:t>
      </w:r>
    </w:p>
    <w:p w:rsidR="005B7A19" w:rsidRDefault="005B7A19" w:rsidP="005B7A19">
      <w:pPr>
        <w:spacing w:line="360" w:lineRule="auto"/>
        <w:ind w:left="-360" w:right="42"/>
        <w:jc w:val="both"/>
        <w:rPr>
          <w:sz w:val="22"/>
          <w:szCs w:val="22"/>
        </w:rPr>
      </w:pPr>
      <w:r>
        <w:rPr>
          <w:sz w:val="22"/>
          <w:szCs w:val="22"/>
        </w:rPr>
        <w:lastRenderedPageBreak/>
        <w:t>Dışarıda bu gelişmeler yaşanırken içeride belirsizlikler artıyor. Koalisyon görüşmeleri henüz tamamlanmış değil ancak erken seçim ihtimali giderek daha fazla gündeme geliyor. Suriye sınırında yaşanan olumsuz gelişmeler de Türkiye’nin görünümünü zayıflatıyor.</w:t>
      </w:r>
    </w:p>
    <w:p w:rsidR="005B7A19" w:rsidRDefault="005B7A19" w:rsidP="005B7A19">
      <w:pPr>
        <w:spacing w:line="360" w:lineRule="auto"/>
        <w:ind w:left="-360" w:right="42"/>
        <w:jc w:val="both"/>
        <w:rPr>
          <w:sz w:val="22"/>
          <w:szCs w:val="22"/>
        </w:rPr>
      </w:pPr>
    </w:p>
    <w:p w:rsidR="008F72A1" w:rsidRDefault="005B7A19" w:rsidP="005B7A19">
      <w:pPr>
        <w:spacing w:line="360" w:lineRule="auto"/>
        <w:ind w:left="-360" w:right="42"/>
        <w:jc w:val="both"/>
        <w:rPr>
          <w:sz w:val="22"/>
          <w:szCs w:val="22"/>
        </w:rPr>
      </w:pPr>
      <w:r>
        <w:rPr>
          <w:sz w:val="22"/>
          <w:szCs w:val="22"/>
        </w:rPr>
        <w:t>İçeride siyasi belirsizliğin bir an önce sonlandırılması, ekonomik reformlara odaklanılarak küresel risklere karşı tedbirler alınması gerekiyor.</w:t>
      </w:r>
    </w:p>
    <w:p w:rsidR="005B7A19" w:rsidRDefault="005B7A19" w:rsidP="005B7A19">
      <w:pPr>
        <w:spacing w:line="360" w:lineRule="auto"/>
        <w:ind w:left="-360" w:right="42"/>
        <w:jc w:val="center"/>
        <w:rPr>
          <w:sz w:val="22"/>
          <w:szCs w:val="22"/>
        </w:rPr>
      </w:pPr>
    </w:p>
    <w:p w:rsidR="005B7A19" w:rsidRDefault="005B7A19" w:rsidP="008F72A1">
      <w:pPr>
        <w:spacing w:line="360" w:lineRule="auto"/>
        <w:ind w:left="-360" w:right="42"/>
        <w:jc w:val="center"/>
        <w:rPr>
          <w:b/>
          <w:bCs/>
          <w:sz w:val="22"/>
          <w:szCs w:val="22"/>
        </w:rPr>
      </w:pPr>
    </w:p>
    <w:p w:rsidR="008F72A1" w:rsidRDefault="008F72A1" w:rsidP="008F72A1">
      <w:pPr>
        <w:spacing w:line="360" w:lineRule="auto"/>
        <w:ind w:left="-360" w:right="42"/>
        <w:jc w:val="center"/>
        <w:rPr>
          <w:b/>
          <w:bCs/>
          <w:sz w:val="22"/>
          <w:szCs w:val="22"/>
        </w:rPr>
      </w:pPr>
      <w:r>
        <w:rPr>
          <w:b/>
          <w:bCs/>
          <w:sz w:val="22"/>
          <w:szCs w:val="22"/>
        </w:rPr>
        <w:t>Özel tüketim</w:t>
      </w:r>
      <w:r w:rsidR="009F0624">
        <w:rPr>
          <w:b/>
          <w:bCs/>
          <w:sz w:val="22"/>
          <w:szCs w:val="22"/>
        </w:rPr>
        <w:t xml:space="preserve"> için Mayıs ayı verileri negatif</w:t>
      </w:r>
    </w:p>
    <w:p w:rsidR="008F72A1" w:rsidRPr="007F160B" w:rsidRDefault="008F72A1" w:rsidP="008F72A1">
      <w:pPr>
        <w:spacing w:line="360" w:lineRule="auto"/>
        <w:ind w:left="-360" w:right="42"/>
        <w:jc w:val="center"/>
        <w:rPr>
          <w:b/>
          <w:bCs/>
          <w:sz w:val="22"/>
          <w:szCs w:val="22"/>
        </w:rPr>
      </w:pPr>
    </w:p>
    <w:p w:rsidR="008F72A1" w:rsidRDefault="009F0624" w:rsidP="008F72A1">
      <w:pPr>
        <w:spacing w:line="360" w:lineRule="auto"/>
        <w:ind w:left="-360" w:right="42"/>
        <w:jc w:val="both"/>
        <w:rPr>
          <w:sz w:val="22"/>
          <w:szCs w:val="22"/>
        </w:rPr>
      </w:pPr>
      <w:r>
        <w:rPr>
          <w:sz w:val="22"/>
          <w:szCs w:val="22"/>
        </w:rPr>
        <w:t>Mayıs</w:t>
      </w:r>
      <w:r w:rsidR="008F72A1">
        <w:rPr>
          <w:sz w:val="22"/>
          <w:szCs w:val="22"/>
        </w:rPr>
        <w:t xml:space="preserve"> </w:t>
      </w:r>
      <w:r w:rsidR="008F72A1" w:rsidRPr="00997A4D">
        <w:rPr>
          <w:sz w:val="22"/>
          <w:szCs w:val="22"/>
        </w:rPr>
        <w:t>ayında bir önceki aya göre</w:t>
      </w:r>
      <w:r>
        <w:rPr>
          <w:sz w:val="22"/>
          <w:szCs w:val="22"/>
        </w:rPr>
        <w:t xml:space="preserve"> dayanıksız</w:t>
      </w:r>
      <w:r w:rsidR="008F72A1" w:rsidRPr="00997A4D">
        <w:rPr>
          <w:sz w:val="22"/>
          <w:szCs w:val="22"/>
        </w:rPr>
        <w:t xml:space="preserve"> tüketim malı </w:t>
      </w:r>
      <w:r>
        <w:rPr>
          <w:sz w:val="22"/>
          <w:szCs w:val="22"/>
        </w:rPr>
        <w:t>imalatı,</w:t>
      </w:r>
      <w:r w:rsidR="008F72A1" w:rsidRPr="00997A4D">
        <w:rPr>
          <w:sz w:val="22"/>
          <w:szCs w:val="22"/>
        </w:rPr>
        <w:t xml:space="preserve"> dayanık</w:t>
      </w:r>
      <w:r>
        <w:rPr>
          <w:sz w:val="22"/>
          <w:szCs w:val="22"/>
        </w:rPr>
        <w:t>lı</w:t>
      </w:r>
      <w:r w:rsidR="008F72A1" w:rsidRPr="00997A4D">
        <w:rPr>
          <w:sz w:val="22"/>
          <w:szCs w:val="22"/>
        </w:rPr>
        <w:t xml:space="preserve"> tüketim malı imalatı</w:t>
      </w:r>
      <w:r>
        <w:rPr>
          <w:sz w:val="22"/>
          <w:szCs w:val="22"/>
        </w:rPr>
        <w:t xml:space="preserve"> ve tüketim malı ithalatı</w:t>
      </w:r>
      <w:r w:rsidR="008F72A1">
        <w:rPr>
          <w:sz w:val="22"/>
          <w:szCs w:val="22"/>
        </w:rPr>
        <w:t xml:space="preserve"> </w:t>
      </w:r>
      <w:r w:rsidR="008F72A1" w:rsidRPr="00997A4D">
        <w:rPr>
          <w:sz w:val="22"/>
          <w:szCs w:val="22"/>
        </w:rPr>
        <w:t xml:space="preserve">sırasıyla yüzde </w:t>
      </w:r>
      <w:r>
        <w:rPr>
          <w:sz w:val="22"/>
          <w:szCs w:val="22"/>
        </w:rPr>
        <w:t xml:space="preserve">0,8, </w:t>
      </w:r>
      <w:r w:rsidR="008F72A1">
        <w:rPr>
          <w:sz w:val="22"/>
          <w:szCs w:val="22"/>
        </w:rPr>
        <w:t xml:space="preserve">yüzde </w:t>
      </w:r>
      <w:r>
        <w:rPr>
          <w:sz w:val="22"/>
          <w:szCs w:val="22"/>
        </w:rPr>
        <w:t>4,9 ve yüzde 6,4</w:t>
      </w:r>
      <w:r w:rsidR="008F72A1">
        <w:rPr>
          <w:sz w:val="22"/>
          <w:szCs w:val="22"/>
        </w:rPr>
        <w:t xml:space="preserve"> azaldı. </w:t>
      </w:r>
      <w:r>
        <w:rPr>
          <w:sz w:val="22"/>
          <w:szCs w:val="22"/>
        </w:rPr>
        <w:t>Haziran</w:t>
      </w:r>
      <w:r w:rsidR="008F72A1">
        <w:rPr>
          <w:sz w:val="22"/>
          <w:szCs w:val="22"/>
        </w:rPr>
        <w:t xml:space="preserve"> ayı verilerine göre ise, tüketici güven endeksi</w:t>
      </w:r>
      <w:r>
        <w:rPr>
          <w:sz w:val="22"/>
          <w:szCs w:val="22"/>
        </w:rPr>
        <w:t xml:space="preserve"> aylık bazda yüzde 3,9 artarken</w:t>
      </w:r>
      <w:r w:rsidR="002146D2">
        <w:rPr>
          <w:sz w:val="22"/>
          <w:szCs w:val="22"/>
        </w:rPr>
        <w:t>,</w:t>
      </w:r>
      <w:r w:rsidR="008F72A1">
        <w:rPr>
          <w:sz w:val="22"/>
          <w:szCs w:val="22"/>
        </w:rPr>
        <w:t xml:space="preserve"> özel tüketim vergisi </w:t>
      </w:r>
      <w:r>
        <w:rPr>
          <w:sz w:val="22"/>
          <w:szCs w:val="22"/>
        </w:rPr>
        <w:t>gelirleri yüzde 0,6 azaldı</w:t>
      </w:r>
      <w:r w:rsidR="008F72A1">
        <w:rPr>
          <w:sz w:val="22"/>
          <w:szCs w:val="22"/>
        </w:rPr>
        <w:t>.</w:t>
      </w:r>
      <w:r>
        <w:rPr>
          <w:sz w:val="22"/>
          <w:szCs w:val="22"/>
        </w:rPr>
        <w:t xml:space="preserve"> Mayıs ayı verileri genel olarak negatif olmasına rağmen, dayanıksız tüketim malı imalatı ve dayanıklı tüketim malı imalatı tahminen 2. çeyrekte bir önceki çeyreğe göre yüzde </w:t>
      </w:r>
      <w:r w:rsidR="00CA1848">
        <w:rPr>
          <w:sz w:val="22"/>
          <w:szCs w:val="22"/>
        </w:rPr>
        <w:t>2'nin üzerinde artacak. Özel tüketim vergisi gelirlerinin de 2. çeyrekte bir önceki çeyreğe göre yüzde 0,6 arttığını hesaba katarsak, özel tüketim harcamalarının 2. çeyrekte sınırlı bir artış göstereceğini tahmin ediyoruz.</w:t>
      </w:r>
    </w:p>
    <w:p w:rsidR="00B0429B" w:rsidRDefault="00B0429B" w:rsidP="008F72A1">
      <w:pPr>
        <w:spacing w:line="360" w:lineRule="auto"/>
        <w:ind w:left="-360" w:right="42"/>
        <w:jc w:val="center"/>
        <w:rPr>
          <w:b/>
          <w:bCs/>
          <w:sz w:val="22"/>
          <w:szCs w:val="22"/>
        </w:rPr>
      </w:pPr>
    </w:p>
    <w:p w:rsidR="00C20F0D" w:rsidRDefault="00C20F0D" w:rsidP="00C20F0D">
      <w:pPr>
        <w:spacing w:line="360" w:lineRule="auto"/>
        <w:ind w:left="-360" w:right="43"/>
        <w:jc w:val="center"/>
        <w:rPr>
          <w:b/>
          <w:bCs/>
          <w:sz w:val="22"/>
          <w:szCs w:val="22"/>
        </w:rPr>
      </w:pPr>
      <w:r>
        <w:rPr>
          <w:b/>
          <w:bCs/>
          <w:sz w:val="22"/>
          <w:szCs w:val="22"/>
        </w:rPr>
        <w:t>İkinci çeyrekte özel yatırım</w:t>
      </w:r>
      <w:r w:rsidRPr="00C45AC0">
        <w:rPr>
          <w:b/>
          <w:bCs/>
          <w:sz w:val="22"/>
          <w:szCs w:val="22"/>
        </w:rPr>
        <w:t xml:space="preserve"> </w:t>
      </w:r>
      <w:r>
        <w:rPr>
          <w:b/>
          <w:bCs/>
          <w:sz w:val="22"/>
          <w:szCs w:val="22"/>
        </w:rPr>
        <w:t>pozitifte</w:t>
      </w:r>
    </w:p>
    <w:p w:rsidR="008F72A1" w:rsidRPr="007F160B" w:rsidRDefault="008F72A1" w:rsidP="008F72A1">
      <w:pPr>
        <w:spacing w:line="360" w:lineRule="auto"/>
        <w:ind w:left="-360" w:right="42"/>
        <w:jc w:val="center"/>
        <w:rPr>
          <w:b/>
          <w:bCs/>
          <w:sz w:val="22"/>
          <w:szCs w:val="22"/>
        </w:rPr>
      </w:pPr>
    </w:p>
    <w:p w:rsidR="008F72A1" w:rsidRDefault="009F0624" w:rsidP="008F72A1">
      <w:pPr>
        <w:spacing w:line="360" w:lineRule="auto"/>
        <w:ind w:left="-360" w:right="42"/>
        <w:jc w:val="both"/>
        <w:rPr>
          <w:bCs/>
          <w:sz w:val="22"/>
          <w:szCs w:val="22"/>
        </w:rPr>
      </w:pPr>
      <w:r>
        <w:rPr>
          <w:bCs/>
          <w:sz w:val="22"/>
          <w:szCs w:val="22"/>
        </w:rPr>
        <w:t>Mayıs</w:t>
      </w:r>
      <w:r w:rsidR="008F72A1" w:rsidRPr="00662AD1">
        <w:rPr>
          <w:bCs/>
          <w:sz w:val="22"/>
          <w:szCs w:val="22"/>
        </w:rPr>
        <w:t xml:space="preserve"> ayında bir önceki aya göre</w:t>
      </w:r>
      <w:r w:rsidR="008F72A1">
        <w:rPr>
          <w:bCs/>
          <w:sz w:val="22"/>
          <w:szCs w:val="22"/>
        </w:rPr>
        <w:t xml:space="preserve"> yatırım malı ithalatı</w:t>
      </w:r>
      <w:r w:rsidR="00CA1848">
        <w:rPr>
          <w:bCs/>
          <w:sz w:val="22"/>
          <w:szCs w:val="22"/>
        </w:rPr>
        <w:t>,</w:t>
      </w:r>
      <w:r w:rsidR="008F72A1" w:rsidRPr="00662AD1">
        <w:rPr>
          <w:bCs/>
          <w:sz w:val="22"/>
          <w:szCs w:val="22"/>
        </w:rPr>
        <w:t xml:space="preserve"> yatırım malı imalatı</w:t>
      </w:r>
      <w:r w:rsidR="00CA1848">
        <w:rPr>
          <w:bCs/>
          <w:sz w:val="22"/>
          <w:szCs w:val="22"/>
        </w:rPr>
        <w:t xml:space="preserve"> ve SÜE</w:t>
      </w:r>
      <w:r w:rsidR="008F72A1">
        <w:rPr>
          <w:bCs/>
          <w:sz w:val="22"/>
          <w:szCs w:val="22"/>
        </w:rPr>
        <w:t xml:space="preserve"> sırasıyla</w:t>
      </w:r>
      <w:r w:rsidR="008F72A1" w:rsidRPr="00662AD1">
        <w:rPr>
          <w:bCs/>
          <w:sz w:val="22"/>
          <w:szCs w:val="22"/>
        </w:rPr>
        <w:t xml:space="preserve"> </w:t>
      </w:r>
      <w:r w:rsidR="008F72A1">
        <w:rPr>
          <w:bCs/>
          <w:sz w:val="22"/>
          <w:szCs w:val="22"/>
        </w:rPr>
        <w:t xml:space="preserve">yüzde </w:t>
      </w:r>
      <w:r w:rsidR="00CA1848">
        <w:rPr>
          <w:bCs/>
          <w:sz w:val="22"/>
          <w:szCs w:val="22"/>
        </w:rPr>
        <w:t>6,8, yüzde 7,8 ve yüzde 2,0 azaldı</w:t>
      </w:r>
      <w:r w:rsidR="008F72A1" w:rsidRPr="00662AD1">
        <w:rPr>
          <w:bCs/>
          <w:sz w:val="22"/>
          <w:szCs w:val="22"/>
        </w:rPr>
        <w:t>.</w:t>
      </w:r>
      <w:r w:rsidR="008F72A1">
        <w:rPr>
          <w:bCs/>
          <w:sz w:val="22"/>
          <w:szCs w:val="22"/>
        </w:rPr>
        <w:t xml:space="preserve"> </w:t>
      </w:r>
      <w:r w:rsidR="00CA1848">
        <w:rPr>
          <w:bCs/>
          <w:sz w:val="22"/>
          <w:szCs w:val="22"/>
        </w:rPr>
        <w:t>Haziran</w:t>
      </w:r>
      <w:r w:rsidR="008F72A1">
        <w:rPr>
          <w:bCs/>
          <w:sz w:val="22"/>
          <w:szCs w:val="22"/>
        </w:rPr>
        <w:t xml:space="preserve"> ayı verilerine göre </w:t>
      </w:r>
      <w:r w:rsidR="00CA1848">
        <w:rPr>
          <w:bCs/>
          <w:sz w:val="22"/>
          <w:szCs w:val="22"/>
        </w:rPr>
        <w:t xml:space="preserve">ise </w:t>
      </w:r>
      <w:r w:rsidR="008F72A1">
        <w:rPr>
          <w:bCs/>
          <w:sz w:val="22"/>
          <w:szCs w:val="22"/>
        </w:rPr>
        <w:t xml:space="preserve">reel kesim güven endeksi </w:t>
      </w:r>
      <w:r w:rsidR="008F72A1">
        <w:rPr>
          <w:bCs/>
          <w:sz w:val="22"/>
          <w:szCs w:val="22"/>
        </w:rPr>
        <w:lastRenderedPageBreak/>
        <w:t xml:space="preserve">aylık bazda yüzde </w:t>
      </w:r>
      <w:r w:rsidR="00CA1848">
        <w:rPr>
          <w:bCs/>
          <w:sz w:val="22"/>
          <w:szCs w:val="22"/>
        </w:rPr>
        <w:t>2,3</w:t>
      </w:r>
      <w:r w:rsidR="008F72A1">
        <w:rPr>
          <w:bCs/>
          <w:sz w:val="22"/>
          <w:szCs w:val="22"/>
        </w:rPr>
        <w:t xml:space="preserve"> </w:t>
      </w:r>
      <w:r w:rsidR="00CA1848">
        <w:rPr>
          <w:bCs/>
          <w:sz w:val="22"/>
          <w:szCs w:val="22"/>
        </w:rPr>
        <w:t>azaldı</w:t>
      </w:r>
      <w:r w:rsidR="008F72A1">
        <w:rPr>
          <w:bCs/>
          <w:sz w:val="22"/>
          <w:szCs w:val="22"/>
        </w:rPr>
        <w:t xml:space="preserve">. </w:t>
      </w:r>
      <w:r w:rsidR="00CA1848">
        <w:rPr>
          <w:bCs/>
          <w:sz w:val="22"/>
          <w:szCs w:val="22"/>
        </w:rPr>
        <w:t>Mayıs ayında yatırım verileri negatif olmasına rağmen, yatırım malı i</w:t>
      </w:r>
      <w:r w:rsidR="00E61F1A">
        <w:rPr>
          <w:bCs/>
          <w:sz w:val="22"/>
          <w:szCs w:val="22"/>
        </w:rPr>
        <w:t>thalatının</w:t>
      </w:r>
      <w:r w:rsidR="00CA1848">
        <w:rPr>
          <w:bCs/>
          <w:sz w:val="22"/>
          <w:szCs w:val="22"/>
        </w:rPr>
        <w:t xml:space="preserve"> ve SÜE'nin 2. çeyrekte bir önceki çeyreğe göre artacağı görülüyor. Bu nedenle özel yatırım harcamalarının 2. çeyrekte büyümeye pozitif katkı yapmasını bekliyoruz.</w:t>
      </w:r>
    </w:p>
    <w:p w:rsidR="008F72A1" w:rsidRDefault="008F72A1" w:rsidP="008F72A1">
      <w:pPr>
        <w:spacing w:line="360" w:lineRule="auto"/>
        <w:ind w:left="-360" w:right="43"/>
        <w:jc w:val="center"/>
        <w:rPr>
          <w:b/>
          <w:bCs/>
          <w:sz w:val="22"/>
          <w:szCs w:val="22"/>
        </w:rPr>
      </w:pPr>
    </w:p>
    <w:p w:rsidR="008F72A1" w:rsidRDefault="00C20F0D" w:rsidP="008F72A1">
      <w:pPr>
        <w:spacing w:line="360" w:lineRule="auto"/>
        <w:ind w:left="-360" w:right="43"/>
        <w:jc w:val="center"/>
        <w:rPr>
          <w:b/>
          <w:bCs/>
          <w:sz w:val="22"/>
          <w:szCs w:val="22"/>
        </w:rPr>
      </w:pPr>
      <w:r>
        <w:rPr>
          <w:b/>
          <w:bCs/>
          <w:sz w:val="22"/>
          <w:szCs w:val="22"/>
        </w:rPr>
        <w:t>Mayıs ayında net ihracat negatife döndü</w:t>
      </w:r>
    </w:p>
    <w:p w:rsidR="008F72A1" w:rsidRPr="00C45AC0" w:rsidRDefault="008F72A1" w:rsidP="008F72A1">
      <w:pPr>
        <w:spacing w:line="360" w:lineRule="auto"/>
        <w:ind w:left="-360" w:right="43"/>
        <w:jc w:val="center"/>
        <w:rPr>
          <w:b/>
          <w:bCs/>
          <w:sz w:val="22"/>
          <w:szCs w:val="22"/>
        </w:rPr>
      </w:pPr>
    </w:p>
    <w:p w:rsidR="008F72A1" w:rsidRPr="004C14E3" w:rsidRDefault="008F72A1" w:rsidP="008F72A1">
      <w:pPr>
        <w:spacing w:line="360" w:lineRule="auto"/>
        <w:ind w:left="-360" w:right="43"/>
        <w:jc w:val="both"/>
        <w:rPr>
          <w:sz w:val="22"/>
          <w:szCs w:val="22"/>
        </w:rPr>
      </w:pPr>
      <w:r w:rsidRPr="00C45AC0">
        <w:rPr>
          <w:sz w:val="22"/>
          <w:szCs w:val="22"/>
        </w:rPr>
        <w:t xml:space="preserve">Şekil 2 TÜİK’in açıkladığı mevsim ve takvim </w:t>
      </w:r>
      <w:r w:rsidRPr="00662AD1">
        <w:rPr>
          <w:sz w:val="22"/>
          <w:szCs w:val="22"/>
        </w:rPr>
        <w:t xml:space="preserve">etkisinden arındırılmış ihracat ve ithalat miktar endekslerini gösteriyor. </w:t>
      </w:r>
      <w:r w:rsidR="00C20F0D">
        <w:rPr>
          <w:sz w:val="22"/>
          <w:szCs w:val="22"/>
        </w:rPr>
        <w:t>Mayıs</w:t>
      </w:r>
      <w:r w:rsidRPr="00662AD1">
        <w:rPr>
          <w:sz w:val="22"/>
          <w:szCs w:val="22"/>
        </w:rPr>
        <w:t xml:space="preserve"> ayında bir önceki aya göre ihracat miktar endeksi</w:t>
      </w:r>
      <w:r w:rsidR="00C20F0D">
        <w:rPr>
          <w:sz w:val="22"/>
          <w:szCs w:val="22"/>
        </w:rPr>
        <w:t xml:space="preserve"> ve ithalat miktar endeksi sırasıyla</w:t>
      </w:r>
      <w:r w:rsidRPr="00662AD1">
        <w:rPr>
          <w:sz w:val="22"/>
          <w:szCs w:val="22"/>
        </w:rPr>
        <w:t xml:space="preserve"> yüzde </w:t>
      </w:r>
      <w:r w:rsidR="00C20F0D">
        <w:rPr>
          <w:sz w:val="22"/>
          <w:szCs w:val="22"/>
        </w:rPr>
        <w:t>14,6 ve yüzde 1,9</w:t>
      </w:r>
      <w:r w:rsidRPr="00662AD1">
        <w:rPr>
          <w:sz w:val="22"/>
          <w:szCs w:val="22"/>
        </w:rPr>
        <w:t xml:space="preserve"> </w:t>
      </w:r>
      <w:r w:rsidR="00C20F0D">
        <w:rPr>
          <w:sz w:val="22"/>
          <w:szCs w:val="22"/>
        </w:rPr>
        <w:t>azaldı</w:t>
      </w:r>
      <w:r w:rsidRPr="00662AD1">
        <w:rPr>
          <w:sz w:val="22"/>
          <w:szCs w:val="22"/>
        </w:rPr>
        <w:t>.</w:t>
      </w:r>
      <w:r>
        <w:rPr>
          <w:sz w:val="22"/>
          <w:szCs w:val="22"/>
        </w:rPr>
        <w:t xml:space="preserve"> </w:t>
      </w:r>
      <w:r w:rsidRPr="00662AD1">
        <w:rPr>
          <w:sz w:val="22"/>
          <w:szCs w:val="22"/>
        </w:rPr>
        <w:t>Aynı dönemde altın hariç reel ihracat</w:t>
      </w:r>
      <w:r w:rsidRPr="00662AD1">
        <w:rPr>
          <w:rStyle w:val="FootnoteReference"/>
          <w:sz w:val="22"/>
          <w:szCs w:val="22"/>
        </w:rPr>
        <w:footnoteReference w:id="1"/>
      </w:r>
      <w:r w:rsidRPr="00662AD1">
        <w:rPr>
          <w:sz w:val="22"/>
          <w:szCs w:val="22"/>
        </w:rPr>
        <w:t xml:space="preserve"> </w:t>
      </w:r>
      <w:r>
        <w:rPr>
          <w:sz w:val="22"/>
          <w:szCs w:val="22"/>
        </w:rPr>
        <w:t xml:space="preserve">ve ithalat </w:t>
      </w:r>
      <w:r w:rsidR="00C20F0D">
        <w:rPr>
          <w:sz w:val="22"/>
          <w:szCs w:val="22"/>
        </w:rPr>
        <w:t xml:space="preserve">da </w:t>
      </w:r>
      <w:r>
        <w:rPr>
          <w:sz w:val="22"/>
          <w:szCs w:val="22"/>
        </w:rPr>
        <w:t xml:space="preserve">sırasıyla yüzde </w:t>
      </w:r>
      <w:r w:rsidR="00C20F0D">
        <w:rPr>
          <w:sz w:val="22"/>
          <w:szCs w:val="22"/>
        </w:rPr>
        <w:t>5,5</w:t>
      </w:r>
      <w:r>
        <w:rPr>
          <w:sz w:val="22"/>
          <w:szCs w:val="22"/>
        </w:rPr>
        <w:t xml:space="preserve"> ve yüzde </w:t>
      </w:r>
      <w:r w:rsidR="00C20F0D">
        <w:rPr>
          <w:sz w:val="22"/>
          <w:szCs w:val="22"/>
        </w:rPr>
        <w:t>6,0</w:t>
      </w:r>
      <w:r w:rsidRPr="00662AD1">
        <w:rPr>
          <w:sz w:val="22"/>
          <w:szCs w:val="22"/>
        </w:rPr>
        <w:t xml:space="preserve"> </w:t>
      </w:r>
      <w:r w:rsidR="00C20F0D">
        <w:rPr>
          <w:sz w:val="22"/>
          <w:szCs w:val="22"/>
        </w:rPr>
        <w:t>azaldı</w:t>
      </w:r>
      <w:r w:rsidRPr="006143BC">
        <w:rPr>
          <w:sz w:val="22"/>
          <w:szCs w:val="22"/>
        </w:rPr>
        <w:t>.</w:t>
      </w:r>
      <w:r>
        <w:rPr>
          <w:sz w:val="22"/>
          <w:szCs w:val="22"/>
        </w:rPr>
        <w:t xml:space="preserve"> Bu rakamlara göre</w:t>
      </w:r>
      <w:r w:rsidRPr="006143BC">
        <w:rPr>
          <w:sz w:val="22"/>
          <w:szCs w:val="22"/>
        </w:rPr>
        <w:t xml:space="preserve"> 2015 </w:t>
      </w:r>
      <w:r>
        <w:rPr>
          <w:sz w:val="22"/>
          <w:szCs w:val="22"/>
        </w:rPr>
        <w:t>ikinci</w:t>
      </w:r>
      <w:r w:rsidRPr="006143BC">
        <w:rPr>
          <w:sz w:val="22"/>
          <w:szCs w:val="22"/>
        </w:rPr>
        <w:t xml:space="preserve"> çeyreğinde net ihracatın büyüme</w:t>
      </w:r>
      <w:r>
        <w:rPr>
          <w:sz w:val="22"/>
          <w:szCs w:val="22"/>
        </w:rPr>
        <w:t>ye</w:t>
      </w:r>
      <w:r w:rsidRPr="006143BC">
        <w:rPr>
          <w:sz w:val="22"/>
          <w:szCs w:val="22"/>
        </w:rPr>
        <w:t xml:space="preserve"> </w:t>
      </w:r>
      <w:r w:rsidR="00C20F0D">
        <w:rPr>
          <w:sz w:val="22"/>
          <w:szCs w:val="22"/>
        </w:rPr>
        <w:t>negatif</w:t>
      </w:r>
      <w:r w:rsidRPr="006143BC">
        <w:rPr>
          <w:sz w:val="22"/>
          <w:szCs w:val="22"/>
        </w:rPr>
        <w:t xml:space="preserve"> katkı yapmasını bekliyoruz.</w:t>
      </w:r>
    </w:p>
    <w:p w:rsidR="00B0429B" w:rsidRDefault="00B0429B" w:rsidP="00EB408D">
      <w:pPr>
        <w:spacing w:line="360" w:lineRule="auto"/>
        <w:ind w:left="-360" w:right="43"/>
        <w:jc w:val="center"/>
        <w:rPr>
          <w:b/>
          <w:bCs/>
          <w:sz w:val="22"/>
          <w:szCs w:val="22"/>
        </w:rPr>
      </w:pPr>
    </w:p>
    <w:p w:rsidR="00EB408D" w:rsidRPr="00C45AC0" w:rsidRDefault="00EB408D" w:rsidP="00EB408D">
      <w:pPr>
        <w:spacing w:line="360" w:lineRule="auto"/>
        <w:ind w:left="-360" w:right="43"/>
        <w:jc w:val="center"/>
        <w:rPr>
          <w:b/>
          <w:bCs/>
          <w:sz w:val="22"/>
          <w:szCs w:val="22"/>
        </w:rPr>
      </w:pPr>
      <w:r>
        <w:rPr>
          <w:b/>
          <w:bCs/>
          <w:sz w:val="22"/>
          <w:szCs w:val="22"/>
        </w:rPr>
        <w:t xml:space="preserve">Cari açık </w:t>
      </w:r>
      <w:r w:rsidR="00D97409">
        <w:rPr>
          <w:b/>
          <w:bCs/>
          <w:sz w:val="22"/>
          <w:szCs w:val="22"/>
        </w:rPr>
        <w:t>yükselişe geçti</w:t>
      </w:r>
    </w:p>
    <w:p w:rsidR="00EB408D" w:rsidRDefault="00EB408D" w:rsidP="00EB408D">
      <w:pPr>
        <w:spacing w:line="360" w:lineRule="auto"/>
        <w:ind w:left="-360" w:right="43"/>
        <w:jc w:val="both"/>
        <w:rPr>
          <w:sz w:val="22"/>
          <w:szCs w:val="22"/>
        </w:rPr>
      </w:pPr>
    </w:p>
    <w:p w:rsidR="005B7A19" w:rsidRDefault="005B7A19" w:rsidP="005B7A19">
      <w:pPr>
        <w:spacing w:line="360" w:lineRule="auto"/>
        <w:ind w:left="-360" w:right="40"/>
        <w:jc w:val="both"/>
        <w:rPr>
          <w:sz w:val="22"/>
          <w:szCs w:val="22"/>
        </w:rPr>
      </w:pPr>
      <w:r>
        <w:rPr>
          <w:sz w:val="22"/>
          <w:szCs w:val="22"/>
        </w:rPr>
        <w:t>Mayıs ayında cari açık 4,0 milyar dolar olarak gerçekleşti</w:t>
      </w:r>
      <w:r w:rsidRPr="00C45AC0">
        <w:rPr>
          <w:sz w:val="22"/>
          <w:szCs w:val="22"/>
        </w:rPr>
        <w:t>.</w:t>
      </w:r>
      <w:r>
        <w:rPr>
          <w:sz w:val="22"/>
          <w:szCs w:val="22"/>
        </w:rPr>
        <w:t xml:space="preserve"> 12 aylık toplam cari açık Mayıs ayı sonunda 44,3 milyar dolardan 44,7 milyar dolara yükseldi. Yılın ilk dört ayında yüksek miktarda gerçekleşen altın ihracatı Mayıs'ta durakladı. İlk dört ayda net altın ihracatı 4,6 milyar dolar olmuştu. Mayıs ayında net altın ihracatı -0,1 milyar dolar oldu. </w:t>
      </w:r>
    </w:p>
    <w:p w:rsidR="005B7A19" w:rsidRDefault="005B7A19" w:rsidP="005B7A19">
      <w:pPr>
        <w:spacing w:line="360" w:lineRule="auto"/>
        <w:ind w:left="-360" w:right="40"/>
        <w:jc w:val="both"/>
        <w:rPr>
          <w:sz w:val="22"/>
          <w:szCs w:val="22"/>
        </w:rPr>
      </w:pPr>
    </w:p>
    <w:p w:rsidR="00A02240" w:rsidRPr="00C45AC0" w:rsidRDefault="005B7A19" w:rsidP="00A02240">
      <w:pPr>
        <w:spacing w:line="360" w:lineRule="auto"/>
        <w:ind w:left="-360" w:right="40"/>
        <w:jc w:val="both"/>
        <w:rPr>
          <w:sz w:val="22"/>
          <w:szCs w:val="22"/>
        </w:rPr>
      </w:pPr>
      <w:r>
        <w:rPr>
          <w:sz w:val="22"/>
          <w:szCs w:val="22"/>
        </w:rPr>
        <w:t xml:space="preserve">Altın hariç ihracatta ise düşüş devam ediyor. İlk 5 ayda altın hariç ihracat 2014’de 66,5 milyar dolardan 2015’de 54 milyar dolara düştü. Büyümedeki yavaşlama ve düşük petrol fiyatları </w:t>
      </w:r>
      <w:r>
        <w:rPr>
          <w:sz w:val="22"/>
          <w:szCs w:val="22"/>
        </w:rPr>
        <w:lastRenderedPageBreak/>
        <w:t>ile gerilemesi gereken cari açık ihrac</w:t>
      </w:r>
      <w:r w:rsidR="00A02240">
        <w:rPr>
          <w:sz w:val="22"/>
          <w:szCs w:val="22"/>
        </w:rPr>
        <w:t>attaki düşüş nedeniyle artıyor.</w:t>
      </w:r>
      <w:r w:rsidRPr="00C45AC0">
        <w:rPr>
          <w:sz w:val="22"/>
          <w:szCs w:val="22"/>
        </w:rPr>
        <w:t xml:space="preserve"> </w:t>
      </w:r>
      <w:r w:rsidR="00A02240">
        <w:rPr>
          <w:sz w:val="22"/>
          <w:szCs w:val="22"/>
        </w:rPr>
        <w:t>İkinci çeyrek sonunda c</w:t>
      </w:r>
      <w:r w:rsidR="00A02240" w:rsidRPr="00C45AC0">
        <w:rPr>
          <w:sz w:val="22"/>
          <w:szCs w:val="22"/>
        </w:rPr>
        <w:t>ari açığın GSYH’a oranı</w:t>
      </w:r>
      <w:r w:rsidR="00A02240">
        <w:rPr>
          <w:sz w:val="22"/>
          <w:szCs w:val="22"/>
        </w:rPr>
        <w:t>na dair tahminimizi</w:t>
      </w:r>
      <w:r w:rsidR="00A02240" w:rsidRPr="00C45AC0">
        <w:rPr>
          <w:sz w:val="22"/>
          <w:szCs w:val="22"/>
        </w:rPr>
        <w:t xml:space="preserve"> yüzde </w:t>
      </w:r>
      <w:r w:rsidR="00A02240" w:rsidRPr="00C45AC0">
        <w:rPr>
          <w:sz w:val="22"/>
          <w:szCs w:val="22"/>
        </w:rPr>
        <w:lastRenderedPageBreak/>
        <w:t>5,</w:t>
      </w:r>
      <w:r w:rsidR="00A02240">
        <w:rPr>
          <w:sz w:val="22"/>
          <w:szCs w:val="22"/>
        </w:rPr>
        <w:t>6</w:t>
      </w:r>
      <w:r w:rsidR="00A02240" w:rsidRPr="00C45AC0">
        <w:rPr>
          <w:sz w:val="22"/>
          <w:szCs w:val="22"/>
        </w:rPr>
        <w:t>'</w:t>
      </w:r>
      <w:r w:rsidR="00A02240">
        <w:rPr>
          <w:sz w:val="22"/>
          <w:szCs w:val="22"/>
        </w:rPr>
        <w:t>dan 5,7'ye</w:t>
      </w:r>
      <w:r w:rsidR="00A02240" w:rsidRPr="00C45AC0">
        <w:rPr>
          <w:sz w:val="22"/>
          <w:szCs w:val="22"/>
        </w:rPr>
        <w:t xml:space="preserve"> </w:t>
      </w:r>
      <w:r w:rsidR="00A02240">
        <w:rPr>
          <w:sz w:val="22"/>
          <w:szCs w:val="22"/>
        </w:rPr>
        <w:t>çıkarıyoruz (Şekil 3)</w:t>
      </w:r>
      <w:r w:rsidR="00A02240" w:rsidRPr="00C45AC0">
        <w:rPr>
          <w:sz w:val="22"/>
          <w:szCs w:val="22"/>
        </w:rPr>
        <w:t>.</w:t>
      </w:r>
      <w:r w:rsidR="00A02240">
        <w:rPr>
          <w:sz w:val="22"/>
          <w:szCs w:val="22"/>
        </w:rPr>
        <w:t xml:space="preserve"> Altın hariç cari açığın ise 5,9'a yükseleceğini tahmin ediyoruz.</w:t>
      </w:r>
    </w:p>
    <w:p w:rsidR="005B7A19" w:rsidRPr="00C45AC0" w:rsidRDefault="005B7A19" w:rsidP="00A02240">
      <w:pPr>
        <w:spacing w:line="360" w:lineRule="auto"/>
        <w:ind w:left="-360" w:right="40"/>
        <w:jc w:val="both"/>
        <w:rPr>
          <w:sz w:val="22"/>
          <w:szCs w:val="22"/>
        </w:rPr>
      </w:pPr>
      <w:r>
        <w:rPr>
          <w:sz w:val="22"/>
          <w:szCs w:val="22"/>
        </w:rPr>
        <w:t xml:space="preserve">(Şekil 4). </w:t>
      </w:r>
    </w:p>
    <w:p w:rsidR="00775D69" w:rsidRPr="00C45AC0" w:rsidRDefault="00775D69" w:rsidP="00603888">
      <w:pPr>
        <w:spacing w:line="360" w:lineRule="auto"/>
        <w:ind w:left="-360" w:right="43"/>
        <w:jc w:val="both"/>
        <w:rPr>
          <w:sz w:val="22"/>
          <w:szCs w:val="22"/>
        </w:rPr>
        <w:sectPr w:rsidR="00775D69" w:rsidRPr="00C45AC0" w:rsidSect="00EF12B8">
          <w:footerReference w:type="default" r:id="rId13"/>
          <w:type w:val="continuous"/>
          <w:pgSz w:w="11906" w:h="16838"/>
          <w:pgMar w:top="1417" w:right="1417" w:bottom="1417" w:left="1417" w:header="708" w:footer="708" w:gutter="0"/>
          <w:cols w:num="2" w:space="708"/>
          <w:docGrid w:linePitch="360"/>
        </w:sectPr>
      </w:pPr>
    </w:p>
    <w:p w:rsidR="00176F9E" w:rsidRDefault="00176F9E" w:rsidP="00197085">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E51B7A" w:rsidRDefault="00E51B7A" w:rsidP="00E012FF">
      <w:pPr>
        <w:spacing w:line="360" w:lineRule="auto"/>
        <w:ind w:right="42"/>
        <w:jc w:val="both"/>
        <w:rPr>
          <w:b/>
          <w:bCs/>
          <w:sz w:val="22"/>
          <w:szCs w:val="22"/>
        </w:rPr>
      </w:pPr>
      <w:bookmarkStart w:id="0" w:name="_GoBack"/>
      <w:bookmarkEnd w:id="0"/>
    </w:p>
    <w:p w:rsidR="00517DD9" w:rsidRDefault="00517DD9" w:rsidP="00E012FF">
      <w:pPr>
        <w:spacing w:line="360" w:lineRule="auto"/>
        <w:ind w:right="42"/>
        <w:jc w:val="both"/>
        <w:rPr>
          <w:b/>
          <w:bCs/>
          <w:sz w:val="22"/>
          <w:szCs w:val="22"/>
        </w:rPr>
      </w:pPr>
    </w:p>
    <w:p w:rsidR="00517DD9" w:rsidRDefault="00517DD9" w:rsidP="00E012FF">
      <w:pPr>
        <w:spacing w:line="360" w:lineRule="auto"/>
        <w:ind w:right="42"/>
        <w:jc w:val="both"/>
        <w:rPr>
          <w:b/>
          <w:bCs/>
          <w:sz w:val="22"/>
          <w:szCs w:val="22"/>
        </w:rPr>
      </w:pPr>
    </w:p>
    <w:p w:rsidR="00E012FF" w:rsidRPr="00C45AC0" w:rsidRDefault="00E012FF" w:rsidP="00E012FF">
      <w:pPr>
        <w:spacing w:line="360" w:lineRule="auto"/>
        <w:ind w:right="42"/>
        <w:jc w:val="both"/>
        <w:rPr>
          <w:sz w:val="22"/>
          <w:szCs w:val="22"/>
        </w:rPr>
      </w:pPr>
      <w:r w:rsidRPr="00C45AC0">
        <w:rPr>
          <w:b/>
          <w:bCs/>
          <w:sz w:val="22"/>
          <w:szCs w:val="22"/>
        </w:rPr>
        <w:lastRenderedPageBreak/>
        <w:t>Tablo 2.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165"/>
        <w:gridCol w:w="1086"/>
        <w:gridCol w:w="1142"/>
        <w:gridCol w:w="1077"/>
        <w:gridCol w:w="959"/>
        <w:gridCol w:w="959"/>
      </w:tblGrid>
      <w:tr w:rsidR="00F936EC" w:rsidRPr="00C45AC0" w:rsidTr="00F35C3E">
        <w:trPr>
          <w:trHeight w:val="607"/>
        </w:trPr>
        <w:tc>
          <w:tcPr>
            <w:tcW w:w="3134" w:type="dxa"/>
            <w:vAlign w:val="center"/>
          </w:tcPr>
          <w:p w:rsidR="00F936EC" w:rsidRDefault="00F936EC" w:rsidP="008F72A1">
            <w:pPr>
              <w:jc w:val="center"/>
              <w:rPr>
                <w:rFonts w:ascii="Segoe UI" w:hAnsi="Segoe UI" w:cs="Segoe UI"/>
                <w:color w:val="212121"/>
                <w:sz w:val="23"/>
                <w:szCs w:val="23"/>
              </w:rPr>
            </w:pPr>
            <w:r>
              <w:rPr>
                <w:b/>
                <w:bCs/>
                <w:color w:val="212121"/>
                <w:sz w:val="22"/>
                <w:szCs w:val="22"/>
              </w:rPr>
              <w:t>Ekonomik Göstergeler</w:t>
            </w:r>
          </w:p>
        </w:tc>
        <w:tc>
          <w:tcPr>
            <w:tcW w:w="1165" w:type="dxa"/>
            <w:vAlign w:val="center"/>
          </w:tcPr>
          <w:p w:rsidR="00F936EC" w:rsidRDefault="00F936EC" w:rsidP="00480E95">
            <w:pPr>
              <w:jc w:val="center"/>
              <w:rPr>
                <w:rFonts w:ascii="Segoe UI" w:hAnsi="Segoe UI" w:cs="Segoe UI"/>
                <w:color w:val="212121"/>
                <w:sz w:val="23"/>
                <w:szCs w:val="23"/>
              </w:rPr>
            </w:pPr>
            <w:r>
              <w:rPr>
                <w:b/>
                <w:bCs/>
                <w:color w:val="212121"/>
              </w:rPr>
              <w:t>Mart</w:t>
            </w:r>
          </w:p>
        </w:tc>
        <w:tc>
          <w:tcPr>
            <w:tcW w:w="1086" w:type="dxa"/>
            <w:vAlign w:val="center"/>
          </w:tcPr>
          <w:p w:rsidR="00F936EC" w:rsidRDefault="00F936EC" w:rsidP="00480E95">
            <w:pPr>
              <w:jc w:val="center"/>
              <w:rPr>
                <w:rFonts w:ascii="Segoe UI" w:hAnsi="Segoe UI" w:cs="Segoe UI"/>
                <w:color w:val="212121"/>
                <w:sz w:val="23"/>
                <w:szCs w:val="23"/>
              </w:rPr>
            </w:pPr>
            <w:r>
              <w:rPr>
                <w:b/>
                <w:bCs/>
                <w:color w:val="212121"/>
              </w:rPr>
              <w:t>Nisan</w:t>
            </w:r>
          </w:p>
        </w:tc>
        <w:tc>
          <w:tcPr>
            <w:tcW w:w="1142" w:type="dxa"/>
            <w:vAlign w:val="center"/>
          </w:tcPr>
          <w:p w:rsidR="00F936EC" w:rsidRDefault="00F936EC" w:rsidP="00480E95">
            <w:pPr>
              <w:jc w:val="center"/>
              <w:rPr>
                <w:rFonts w:ascii="Segoe UI" w:hAnsi="Segoe UI" w:cs="Segoe UI"/>
                <w:color w:val="212121"/>
                <w:sz w:val="23"/>
                <w:szCs w:val="23"/>
              </w:rPr>
            </w:pPr>
            <w:r>
              <w:rPr>
                <w:b/>
                <w:bCs/>
                <w:color w:val="212121"/>
              </w:rPr>
              <w:t>Mayıs</w:t>
            </w:r>
          </w:p>
        </w:tc>
        <w:tc>
          <w:tcPr>
            <w:tcW w:w="1077" w:type="dxa"/>
            <w:tcBorders>
              <w:right w:val="double" w:sz="4" w:space="0" w:color="auto"/>
            </w:tcBorders>
            <w:vAlign w:val="center"/>
          </w:tcPr>
          <w:p w:rsidR="00F936EC" w:rsidRDefault="00F936EC" w:rsidP="008F72A1">
            <w:pPr>
              <w:jc w:val="center"/>
              <w:rPr>
                <w:rFonts w:ascii="Segoe UI" w:hAnsi="Segoe UI" w:cs="Segoe UI"/>
                <w:color w:val="212121"/>
                <w:sz w:val="23"/>
                <w:szCs w:val="23"/>
              </w:rPr>
            </w:pPr>
            <w:r w:rsidRPr="00F936EC">
              <w:rPr>
                <w:b/>
                <w:bCs/>
                <w:color w:val="212121"/>
              </w:rPr>
              <w:t>Haziran</w:t>
            </w:r>
          </w:p>
        </w:tc>
        <w:tc>
          <w:tcPr>
            <w:tcW w:w="959" w:type="dxa"/>
            <w:tcBorders>
              <w:left w:val="double" w:sz="4" w:space="0" w:color="auto"/>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2015 1. Çeyrek</w:t>
            </w:r>
          </w:p>
        </w:tc>
        <w:tc>
          <w:tcPr>
            <w:tcW w:w="959" w:type="dxa"/>
            <w:vAlign w:val="center"/>
          </w:tcPr>
          <w:p w:rsidR="00F936EC" w:rsidRDefault="00F936EC" w:rsidP="008F72A1">
            <w:pPr>
              <w:jc w:val="center"/>
              <w:rPr>
                <w:rFonts w:ascii="Segoe UI" w:hAnsi="Segoe UI" w:cs="Segoe UI"/>
                <w:color w:val="212121"/>
                <w:sz w:val="23"/>
                <w:szCs w:val="23"/>
              </w:rPr>
            </w:pPr>
            <w:r>
              <w:rPr>
                <w:b/>
                <w:bCs/>
                <w:color w:val="212121"/>
                <w:sz w:val="22"/>
                <w:szCs w:val="22"/>
              </w:rPr>
              <w:t>2015 2. Çeyrek</w:t>
            </w:r>
          </w:p>
        </w:tc>
      </w:tr>
      <w:tr w:rsidR="00F936EC" w:rsidRPr="00C45AC0" w:rsidTr="00F35C3E">
        <w:trPr>
          <w:trHeight w:val="370"/>
        </w:trPr>
        <w:tc>
          <w:tcPr>
            <w:tcW w:w="3134" w:type="dxa"/>
            <w:vAlign w:val="center"/>
          </w:tcPr>
          <w:p w:rsidR="00F936EC" w:rsidRDefault="00F936EC" w:rsidP="008F72A1">
            <w:pPr>
              <w:jc w:val="center"/>
              <w:rPr>
                <w:rFonts w:ascii="Segoe UI" w:hAnsi="Segoe UI" w:cs="Segoe UI"/>
                <w:color w:val="212121"/>
                <w:sz w:val="23"/>
                <w:szCs w:val="23"/>
              </w:rPr>
            </w:pPr>
            <w:r>
              <w:rPr>
                <w:b/>
                <w:bCs/>
                <w:color w:val="212121"/>
                <w:sz w:val="22"/>
                <w:szCs w:val="22"/>
              </w:rPr>
              <w:t>İhracat*</w:t>
            </w:r>
          </w:p>
        </w:tc>
        <w:tc>
          <w:tcPr>
            <w:tcW w:w="1165" w:type="dxa"/>
            <w:vAlign w:val="center"/>
          </w:tcPr>
          <w:p w:rsidR="00F936EC" w:rsidRPr="00E276DC" w:rsidRDefault="00E276DC" w:rsidP="008F72A1">
            <w:pPr>
              <w:jc w:val="center"/>
              <w:rPr>
                <w:color w:val="212121"/>
              </w:rPr>
            </w:pPr>
            <w:r w:rsidRPr="00E276DC">
              <w:rPr>
                <w:color w:val="212121"/>
              </w:rPr>
              <w:t>-4,8</w:t>
            </w:r>
          </w:p>
        </w:tc>
        <w:tc>
          <w:tcPr>
            <w:tcW w:w="1086" w:type="dxa"/>
            <w:vAlign w:val="center"/>
          </w:tcPr>
          <w:p w:rsidR="00F936EC" w:rsidRPr="00E276DC" w:rsidRDefault="00E276DC" w:rsidP="008F72A1">
            <w:pPr>
              <w:jc w:val="center"/>
              <w:rPr>
                <w:color w:val="212121"/>
              </w:rPr>
            </w:pPr>
            <w:r w:rsidRPr="00E276DC">
              <w:rPr>
                <w:color w:val="212121"/>
              </w:rPr>
              <w:t>7,5</w:t>
            </w:r>
          </w:p>
        </w:tc>
        <w:tc>
          <w:tcPr>
            <w:tcW w:w="1142" w:type="dxa"/>
            <w:vAlign w:val="center"/>
          </w:tcPr>
          <w:p w:rsidR="00F936EC" w:rsidRPr="00E276DC" w:rsidRDefault="00E276DC" w:rsidP="008F72A1">
            <w:pPr>
              <w:jc w:val="center"/>
              <w:rPr>
                <w:color w:val="212121"/>
              </w:rPr>
            </w:pPr>
            <w:r w:rsidRPr="00E276DC">
              <w:rPr>
                <w:color w:val="212121"/>
              </w:rPr>
              <w:t>-14,6</w:t>
            </w:r>
          </w:p>
        </w:tc>
        <w:tc>
          <w:tcPr>
            <w:tcW w:w="1077" w:type="dxa"/>
            <w:tcBorders>
              <w:right w:val="double" w:sz="4" w:space="0" w:color="auto"/>
            </w:tcBorders>
            <w:vAlign w:val="center"/>
          </w:tcPr>
          <w:p w:rsidR="00F936EC" w:rsidRPr="00E276DC" w:rsidRDefault="00E276DC" w:rsidP="008F72A1">
            <w:pPr>
              <w:jc w:val="center"/>
              <w:rPr>
                <w:color w:val="212121"/>
              </w:rPr>
            </w:pPr>
            <w:r w:rsidRPr="00E276DC">
              <w:rPr>
                <w:color w:val="212121"/>
              </w:rPr>
              <w:t>**</w:t>
            </w:r>
          </w:p>
        </w:tc>
        <w:tc>
          <w:tcPr>
            <w:tcW w:w="959" w:type="dxa"/>
            <w:tcBorders>
              <w:left w:val="double" w:sz="4" w:space="0" w:color="auto"/>
            </w:tcBorders>
            <w:vAlign w:val="center"/>
          </w:tcPr>
          <w:p w:rsidR="00F936EC" w:rsidRPr="00E276DC" w:rsidRDefault="0043601A" w:rsidP="008F72A1">
            <w:pPr>
              <w:jc w:val="center"/>
              <w:rPr>
                <w:color w:val="212121"/>
              </w:rPr>
            </w:pPr>
            <w:r>
              <w:rPr>
                <w:color w:val="212121"/>
              </w:rPr>
              <w:t>2,6</w:t>
            </w:r>
          </w:p>
        </w:tc>
        <w:tc>
          <w:tcPr>
            <w:tcW w:w="959" w:type="dxa"/>
            <w:vAlign w:val="center"/>
          </w:tcPr>
          <w:p w:rsidR="00F936EC" w:rsidRPr="00E276DC" w:rsidRDefault="0043601A" w:rsidP="008F72A1">
            <w:pPr>
              <w:jc w:val="center"/>
              <w:rPr>
                <w:color w:val="212121"/>
              </w:rPr>
            </w:pPr>
            <w:r>
              <w:rPr>
                <w:color w:val="212121"/>
              </w:rPr>
              <w:t>-4,2</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İthalat*</w:t>
            </w:r>
          </w:p>
        </w:tc>
        <w:tc>
          <w:tcPr>
            <w:tcW w:w="1165" w:type="dxa"/>
            <w:tcBorders>
              <w:bottom w:val="nil"/>
            </w:tcBorders>
            <w:vAlign w:val="center"/>
          </w:tcPr>
          <w:p w:rsidR="00F936EC" w:rsidRPr="00E276DC" w:rsidRDefault="00E276DC" w:rsidP="008F72A1">
            <w:pPr>
              <w:jc w:val="center"/>
              <w:rPr>
                <w:color w:val="212121"/>
              </w:rPr>
            </w:pPr>
            <w:r>
              <w:rPr>
                <w:color w:val="212121"/>
              </w:rPr>
              <w:t>0,7</w:t>
            </w:r>
          </w:p>
        </w:tc>
        <w:tc>
          <w:tcPr>
            <w:tcW w:w="1086" w:type="dxa"/>
            <w:tcBorders>
              <w:bottom w:val="nil"/>
            </w:tcBorders>
            <w:vAlign w:val="center"/>
          </w:tcPr>
          <w:p w:rsidR="00F936EC" w:rsidRPr="00E276DC" w:rsidRDefault="00E276DC" w:rsidP="008F72A1">
            <w:pPr>
              <w:jc w:val="center"/>
              <w:rPr>
                <w:color w:val="212121"/>
              </w:rPr>
            </w:pPr>
            <w:r>
              <w:rPr>
                <w:color w:val="212121"/>
              </w:rPr>
              <w:t>-1,0</w:t>
            </w:r>
          </w:p>
        </w:tc>
        <w:tc>
          <w:tcPr>
            <w:tcW w:w="1142" w:type="dxa"/>
            <w:tcBorders>
              <w:bottom w:val="nil"/>
            </w:tcBorders>
            <w:vAlign w:val="center"/>
          </w:tcPr>
          <w:p w:rsidR="00F936EC" w:rsidRPr="00E276DC" w:rsidRDefault="0043601A" w:rsidP="008F72A1">
            <w:pPr>
              <w:jc w:val="center"/>
              <w:rPr>
                <w:color w:val="212121"/>
              </w:rPr>
            </w:pPr>
            <w:r>
              <w:rPr>
                <w:color w:val="212121"/>
              </w:rPr>
              <w:t>-1,9</w:t>
            </w:r>
          </w:p>
        </w:tc>
        <w:tc>
          <w:tcPr>
            <w:tcW w:w="1077" w:type="dxa"/>
            <w:tcBorders>
              <w:bottom w:val="nil"/>
              <w:right w:val="double" w:sz="4" w:space="0" w:color="auto"/>
            </w:tcBorders>
            <w:vAlign w:val="center"/>
          </w:tcPr>
          <w:p w:rsidR="00F936EC" w:rsidRPr="00E276DC" w:rsidRDefault="0043601A" w:rsidP="008F72A1">
            <w:pPr>
              <w:jc w:val="center"/>
              <w:rPr>
                <w:color w:val="212121"/>
              </w:rPr>
            </w:pPr>
            <w:r>
              <w:rPr>
                <w:color w:val="212121"/>
              </w:rPr>
              <w:t>**</w:t>
            </w:r>
          </w:p>
        </w:tc>
        <w:tc>
          <w:tcPr>
            <w:tcW w:w="959" w:type="dxa"/>
            <w:tcBorders>
              <w:left w:val="double" w:sz="4" w:space="0" w:color="auto"/>
              <w:bottom w:val="nil"/>
            </w:tcBorders>
            <w:vAlign w:val="center"/>
          </w:tcPr>
          <w:p w:rsidR="00F936EC" w:rsidRPr="00E276DC" w:rsidRDefault="0043601A" w:rsidP="008F72A1">
            <w:pPr>
              <w:jc w:val="center"/>
              <w:rPr>
                <w:color w:val="212121"/>
              </w:rPr>
            </w:pPr>
            <w:r>
              <w:rPr>
                <w:color w:val="212121"/>
              </w:rPr>
              <w:t>-2,0</w:t>
            </w:r>
          </w:p>
        </w:tc>
        <w:tc>
          <w:tcPr>
            <w:tcW w:w="959" w:type="dxa"/>
            <w:tcBorders>
              <w:bottom w:val="nil"/>
            </w:tcBorders>
            <w:vAlign w:val="center"/>
          </w:tcPr>
          <w:p w:rsidR="00F936EC" w:rsidRPr="00E276DC" w:rsidRDefault="0043601A" w:rsidP="008F72A1">
            <w:pPr>
              <w:jc w:val="center"/>
              <w:rPr>
                <w:color w:val="212121"/>
              </w:rPr>
            </w:pPr>
            <w:r>
              <w:rPr>
                <w:color w:val="212121"/>
              </w:rPr>
              <w:t>-0,7</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Ara malı ithalatı*</w:t>
            </w:r>
          </w:p>
        </w:tc>
        <w:tc>
          <w:tcPr>
            <w:tcW w:w="1165" w:type="dxa"/>
            <w:tcBorders>
              <w:top w:val="nil"/>
              <w:bottom w:val="nil"/>
            </w:tcBorders>
            <w:vAlign w:val="center"/>
          </w:tcPr>
          <w:p w:rsidR="00F936EC" w:rsidRPr="00E276DC" w:rsidRDefault="00B666D0" w:rsidP="008F72A1">
            <w:pPr>
              <w:jc w:val="center"/>
              <w:rPr>
                <w:color w:val="212121"/>
              </w:rPr>
            </w:pPr>
            <w:r>
              <w:rPr>
                <w:color w:val="212121"/>
              </w:rPr>
              <w:t>0,4</w:t>
            </w:r>
          </w:p>
        </w:tc>
        <w:tc>
          <w:tcPr>
            <w:tcW w:w="1086" w:type="dxa"/>
            <w:tcBorders>
              <w:top w:val="nil"/>
              <w:bottom w:val="nil"/>
            </w:tcBorders>
            <w:vAlign w:val="center"/>
          </w:tcPr>
          <w:p w:rsidR="00F936EC" w:rsidRPr="00E276DC" w:rsidRDefault="00B666D0" w:rsidP="008F72A1">
            <w:pPr>
              <w:jc w:val="center"/>
              <w:rPr>
                <w:color w:val="212121"/>
              </w:rPr>
            </w:pPr>
            <w:r>
              <w:rPr>
                <w:color w:val="212121"/>
              </w:rPr>
              <w:t>-3,0</w:t>
            </w:r>
          </w:p>
        </w:tc>
        <w:tc>
          <w:tcPr>
            <w:tcW w:w="1142" w:type="dxa"/>
            <w:tcBorders>
              <w:top w:val="nil"/>
              <w:bottom w:val="nil"/>
            </w:tcBorders>
            <w:vAlign w:val="center"/>
          </w:tcPr>
          <w:p w:rsidR="00F936EC" w:rsidRPr="00E276DC" w:rsidRDefault="00B666D0" w:rsidP="008F72A1">
            <w:pPr>
              <w:jc w:val="center"/>
              <w:rPr>
                <w:color w:val="212121"/>
              </w:rPr>
            </w:pPr>
            <w:r>
              <w:rPr>
                <w:color w:val="212121"/>
              </w:rPr>
              <w:t>0,3</w:t>
            </w:r>
          </w:p>
        </w:tc>
        <w:tc>
          <w:tcPr>
            <w:tcW w:w="1077" w:type="dxa"/>
            <w:tcBorders>
              <w:top w:val="nil"/>
              <w:bottom w:val="nil"/>
              <w:right w:val="double" w:sz="4" w:space="0" w:color="auto"/>
            </w:tcBorders>
            <w:vAlign w:val="center"/>
          </w:tcPr>
          <w:p w:rsidR="00F936EC" w:rsidRPr="00E276DC" w:rsidRDefault="00B666D0" w:rsidP="008F72A1">
            <w:pPr>
              <w:jc w:val="center"/>
              <w:rPr>
                <w:color w:val="212121"/>
              </w:rPr>
            </w:pPr>
            <w:r>
              <w:rPr>
                <w:color w:val="212121"/>
              </w:rPr>
              <w:t>**</w:t>
            </w:r>
          </w:p>
        </w:tc>
        <w:tc>
          <w:tcPr>
            <w:tcW w:w="959" w:type="dxa"/>
            <w:tcBorders>
              <w:top w:val="nil"/>
              <w:left w:val="double" w:sz="4" w:space="0" w:color="auto"/>
              <w:bottom w:val="nil"/>
            </w:tcBorders>
            <w:vAlign w:val="center"/>
          </w:tcPr>
          <w:p w:rsidR="00F936EC" w:rsidRPr="00E276DC" w:rsidRDefault="00B666D0" w:rsidP="008F72A1">
            <w:pPr>
              <w:jc w:val="center"/>
              <w:rPr>
                <w:color w:val="212121"/>
              </w:rPr>
            </w:pPr>
            <w:r>
              <w:rPr>
                <w:color w:val="212121"/>
              </w:rPr>
              <w:t>-4,6</w:t>
            </w:r>
          </w:p>
        </w:tc>
        <w:tc>
          <w:tcPr>
            <w:tcW w:w="959" w:type="dxa"/>
            <w:tcBorders>
              <w:top w:val="nil"/>
              <w:bottom w:val="nil"/>
            </w:tcBorders>
            <w:vAlign w:val="center"/>
          </w:tcPr>
          <w:p w:rsidR="00F936EC" w:rsidRPr="00E276DC" w:rsidRDefault="00B666D0" w:rsidP="008F72A1">
            <w:pPr>
              <w:jc w:val="center"/>
              <w:rPr>
                <w:color w:val="212121"/>
              </w:rPr>
            </w:pPr>
            <w:r>
              <w:rPr>
                <w:color w:val="212121"/>
              </w:rPr>
              <w:t>-1,7</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Tüketim malı ithalatı*</w:t>
            </w:r>
          </w:p>
        </w:tc>
        <w:tc>
          <w:tcPr>
            <w:tcW w:w="1165" w:type="dxa"/>
            <w:tcBorders>
              <w:top w:val="nil"/>
              <w:bottom w:val="nil"/>
            </w:tcBorders>
            <w:vAlign w:val="center"/>
          </w:tcPr>
          <w:p w:rsidR="00F936EC" w:rsidRPr="00E276DC" w:rsidRDefault="00B666D0" w:rsidP="008F72A1">
            <w:pPr>
              <w:jc w:val="center"/>
              <w:rPr>
                <w:color w:val="212121"/>
              </w:rPr>
            </w:pPr>
            <w:r>
              <w:rPr>
                <w:color w:val="212121"/>
              </w:rPr>
              <w:t>7,2</w:t>
            </w:r>
          </w:p>
        </w:tc>
        <w:tc>
          <w:tcPr>
            <w:tcW w:w="1086" w:type="dxa"/>
            <w:tcBorders>
              <w:top w:val="nil"/>
              <w:bottom w:val="nil"/>
            </w:tcBorders>
            <w:vAlign w:val="center"/>
          </w:tcPr>
          <w:p w:rsidR="00F936EC" w:rsidRPr="00E276DC" w:rsidRDefault="00B666D0" w:rsidP="008F72A1">
            <w:pPr>
              <w:jc w:val="center"/>
              <w:rPr>
                <w:color w:val="212121"/>
              </w:rPr>
            </w:pPr>
            <w:r>
              <w:rPr>
                <w:color w:val="212121"/>
              </w:rPr>
              <w:t>-3,5</w:t>
            </w:r>
          </w:p>
        </w:tc>
        <w:tc>
          <w:tcPr>
            <w:tcW w:w="1142" w:type="dxa"/>
            <w:tcBorders>
              <w:top w:val="nil"/>
              <w:bottom w:val="nil"/>
            </w:tcBorders>
            <w:vAlign w:val="center"/>
          </w:tcPr>
          <w:p w:rsidR="00F936EC" w:rsidRPr="00E276DC" w:rsidRDefault="00B666D0" w:rsidP="008F72A1">
            <w:pPr>
              <w:jc w:val="center"/>
              <w:rPr>
                <w:color w:val="212121"/>
              </w:rPr>
            </w:pPr>
            <w:r>
              <w:rPr>
                <w:color w:val="212121"/>
              </w:rPr>
              <w:t>-6,4</w:t>
            </w:r>
          </w:p>
        </w:tc>
        <w:tc>
          <w:tcPr>
            <w:tcW w:w="1077" w:type="dxa"/>
            <w:tcBorders>
              <w:top w:val="nil"/>
              <w:bottom w:val="nil"/>
              <w:right w:val="double" w:sz="4" w:space="0" w:color="auto"/>
            </w:tcBorders>
            <w:vAlign w:val="center"/>
          </w:tcPr>
          <w:p w:rsidR="00F936EC" w:rsidRPr="00E276DC" w:rsidRDefault="00B666D0" w:rsidP="008F72A1">
            <w:pPr>
              <w:jc w:val="center"/>
              <w:rPr>
                <w:color w:val="212121"/>
              </w:rPr>
            </w:pPr>
            <w:r>
              <w:rPr>
                <w:color w:val="212121"/>
              </w:rPr>
              <w:t>**</w:t>
            </w:r>
          </w:p>
        </w:tc>
        <w:tc>
          <w:tcPr>
            <w:tcW w:w="959" w:type="dxa"/>
            <w:tcBorders>
              <w:top w:val="nil"/>
              <w:left w:val="double" w:sz="4" w:space="0" w:color="auto"/>
              <w:bottom w:val="nil"/>
            </w:tcBorders>
            <w:vAlign w:val="center"/>
          </w:tcPr>
          <w:p w:rsidR="00F936EC" w:rsidRPr="00E276DC" w:rsidRDefault="00B666D0" w:rsidP="008F72A1">
            <w:pPr>
              <w:jc w:val="center"/>
              <w:rPr>
                <w:color w:val="212121"/>
              </w:rPr>
            </w:pPr>
            <w:r>
              <w:rPr>
                <w:color w:val="212121"/>
              </w:rPr>
              <w:t>5,5</w:t>
            </w:r>
          </w:p>
        </w:tc>
        <w:tc>
          <w:tcPr>
            <w:tcW w:w="959" w:type="dxa"/>
            <w:tcBorders>
              <w:top w:val="nil"/>
              <w:bottom w:val="nil"/>
            </w:tcBorders>
            <w:vAlign w:val="center"/>
          </w:tcPr>
          <w:p w:rsidR="00F936EC" w:rsidRPr="00E276DC" w:rsidRDefault="00B666D0" w:rsidP="008F72A1">
            <w:pPr>
              <w:jc w:val="center"/>
              <w:rPr>
                <w:color w:val="212121"/>
              </w:rPr>
            </w:pPr>
            <w:r>
              <w:rPr>
                <w:color w:val="212121"/>
              </w:rPr>
              <w:t>-0,6</w:t>
            </w: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Yatırım malı ithalatı*</w:t>
            </w:r>
          </w:p>
        </w:tc>
        <w:tc>
          <w:tcPr>
            <w:tcW w:w="1165" w:type="dxa"/>
            <w:tcBorders>
              <w:top w:val="nil"/>
            </w:tcBorders>
            <w:vAlign w:val="center"/>
          </w:tcPr>
          <w:p w:rsidR="00F936EC" w:rsidRPr="00E276DC" w:rsidRDefault="00B666D0" w:rsidP="008F72A1">
            <w:pPr>
              <w:jc w:val="center"/>
              <w:rPr>
                <w:color w:val="212121"/>
              </w:rPr>
            </w:pPr>
            <w:r>
              <w:rPr>
                <w:color w:val="212121"/>
              </w:rPr>
              <w:t>-5,0</w:t>
            </w:r>
          </w:p>
        </w:tc>
        <w:tc>
          <w:tcPr>
            <w:tcW w:w="1086" w:type="dxa"/>
            <w:tcBorders>
              <w:top w:val="nil"/>
            </w:tcBorders>
            <w:vAlign w:val="center"/>
          </w:tcPr>
          <w:p w:rsidR="00F936EC" w:rsidRPr="00E276DC" w:rsidRDefault="00B666D0" w:rsidP="008F72A1">
            <w:pPr>
              <w:jc w:val="center"/>
              <w:rPr>
                <w:color w:val="212121"/>
              </w:rPr>
            </w:pPr>
            <w:r>
              <w:rPr>
                <w:color w:val="212121"/>
              </w:rPr>
              <w:t>23,5</w:t>
            </w:r>
          </w:p>
        </w:tc>
        <w:tc>
          <w:tcPr>
            <w:tcW w:w="1142" w:type="dxa"/>
            <w:tcBorders>
              <w:top w:val="nil"/>
            </w:tcBorders>
            <w:vAlign w:val="center"/>
          </w:tcPr>
          <w:p w:rsidR="00F936EC" w:rsidRPr="00E276DC" w:rsidRDefault="00B666D0" w:rsidP="008F72A1">
            <w:pPr>
              <w:jc w:val="center"/>
              <w:rPr>
                <w:color w:val="212121"/>
              </w:rPr>
            </w:pPr>
            <w:r>
              <w:rPr>
                <w:color w:val="212121"/>
              </w:rPr>
              <w:t>-6,8</w:t>
            </w:r>
          </w:p>
        </w:tc>
        <w:tc>
          <w:tcPr>
            <w:tcW w:w="1077" w:type="dxa"/>
            <w:tcBorders>
              <w:top w:val="nil"/>
              <w:right w:val="double" w:sz="4" w:space="0" w:color="auto"/>
            </w:tcBorders>
            <w:vAlign w:val="center"/>
          </w:tcPr>
          <w:p w:rsidR="00F936EC" w:rsidRPr="00E276DC" w:rsidRDefault="00B666D0" w:rsidP="008F72A1">
            <w:pPr>
              <w:jc w:val="center"/>
              <w:rPr>
                <w:color w:val="212121"/>
              </w:rPr>
            </w:pPr>
            <w:r>
              <w:rPr>
                <w:color w:val="212121"/>
              </w:rPr>
              <w:t>**</w:t>
            </w:r>
          </w:p>
        </w:tc>
        <w:tc>
          <w:tcPr>
            <w:tcW w:w="959" w:type="dxa"/>
            <w:tcBorders>
              <w:top w:val="nil"/>
              <w:left w:val="double" w:sz="4" w:space="0" w:color="auto"/>
            </w:tcBorders>
            <w:vAlign w:val="center"/>
          </w:tcPr>
          <w:p w:rsidR="00F936EC" w:rsidRPr="00E276DC" w:rsidRDefault="00B666D0" w:rsidP="008F72A1">
            <w:pPr>
              <w:jc w:val="center"/>
              <w:rPr>
                <w:color w:val="212121"/>
              </w:rPr>
            </w:pPr>
            <w:r>
              <w:rPr>
                <w:color w:val="212121"/>
              </w:rPr>
              <w:t>0,8</w:t>
            </w:r>
          </w:p>
        </w:tc>
        <w:tc>
          <w:tcPr>
            <w:tcW w:w="959" w:type="dxa"/>
            <w:tcBorders>
              <w:top w:val="nil"/>
            </w:tcBorders>
            <w:vAlign w:val="center"/>
          </w:tcPr>
          <w:p w:rsidR="00F936EC" w:rsidRPr="00E276DC" w:rsidRDefault="00B666D0" w:rsidP="008F72A1">
            <w:pPr>
              <w:jc w:val="center"/>
              <w:rPr>
                <w:color w:val="212121"/>
              </w:rPr>
            </w:pPr>
            <w:r>
              <w:rPr>
                <w:color w:val="212121"/>
              </w:rPr>
              <w:t>12,2</w:t>
            </w:r>
          </w:p>
        </w:tc>
      </w:tr>
      <w:tr w:rsidR="00F936EC" w:rsidRPr="00C45AC0" w:rsidTr="00F35C3E">
        <w:trPr>
          <w:trHeight w:val="370"/>
        </w:trPr>
        <w:tc>
          <w:tcPr>
            <w:tcW w:w="3134" w:type="dxa"/>
            <w:vAlign w:val="center"/>
          </w:tcPr>
          <w:p w:rsidR="00F936EC" w:rsidRDefault="00F936EC" w:rsidP="008F72A1">
            <w:pPr>
              <w:jc w:val="center"/>
              <w:rPr>
                <w:rFonts w:ascii="Segoe UI" w:hAnsi="Segoe UI" w:cs="Segoe UI"/>
                <w:color w:val="212121"/>
                <w:sz w:val="23"/>
                <w:szCs w:val="23"/>
              </w:rPr>
            </w:pPr>
            <w:r>
              <w:rPr>
                <w:b/>
                <w:bCs/>
                <w:color w:val="212121"/>
                <w:sz w:val="22"/>
                <w:szCs w:val="22"/>
              </w:rPr>
              <w:t>Altın hariç ihracat***</w:t>
            </w:r>
          </w:p>
        </w:tc>
        <w:tc>
          <w:tcPr>
            <w:tcW w:w="1165" w:type="dxa"/>
            <w:vAlign w:val="center"/>
          </w:tcPr>
          <w:p w:rsidR="00F936EC" w:rsidRPr="00E276DC" w:rsidRDefault="00E051E6" w:rsidP="008F72A1">
            <w:pPr>
              <w:jc w:val="center"/>
              <w:rPr>
                <w:color w:val="212121"/>
              </w:rPr>
            </w:pPr>
            <w:r>
              <w:rPr>
                <w:color w:val="212121"/>
              </w:rPr>
              <w:t>1,8</w:t>
            </w:r>
          </w:p>
        </w:tc>
        <w:tc>
          <w:tcPr>
            <w:tcW w:w="1086" w:type="dxa"/>
            <w:vAlign w:val="center"/>
          </w:tcPr>
          <w:p w:rsidR="00F936EC" w:rsidRPr="00E276DC" w:rsidRDefault="00E051E6" w:rsidP="008F72A1">
            <w:pPr>
              <w:jc w:val="center"/>
              <w:rPr>
                <w:color w:val="212121"/>
              </w:rPr>
            </w:pPr>
            <w:r>
              <w:rPr>
                <w:color w:val="212121"/>
              </w:rPr>
              <w:t>3,5</w:t>
            </w:r>
          </w:p>
        </w:tc>
        <w:tc>
          <w:tcPr>
            <w:tcW w:w="1142" w:type="dxa"/>
            <w:vAlign w:val="center"/>
          </w:tcPr>
          <w:p w:rsidR="00F936EC" w:rsidRPr="00E276DC" w:rsidRDefault="00E051E6" w:rsidP="008F72A1">
            <w:pPr>
              <w:jc w:val="center"/>
              <w:rPr>
                <w:color w:val="212121"/>
              </w:rPr>
            </w:pPr>
            <w:r>
              <w:rPr>
                <w:color w:val="212121"/>
              </w:rPr>
              <w:t>-5,5</w:t>
            </w:r>
          </w:p>
        </w:tc>
        <w:tc>
          <w:tcPr>
            <w:tcW w:w="1077" w:type="dxa"/>
            <w:tcBorders>
              <w:right w:val="double" w:sz="4" w:space="0" w:color="auto"/>
            </w:tcBorders>
            <w:vAlign w:val="center"/>
          </w:tcPr>
          <w:p w:rsidR="00F936EC" w:rsidRPr="00E276DC" w:rsidRDefault="00E051E6" w:rsidP="008F72A1">
            <w:pPr>
              <w:jc w:val="center"/>
              <w:rPr>
                <w:color w:val="212121"/>
              </w:rPr>
            </w:pPr>
            <w:r>
              <w:rPr>
                <w:color w:val="212121"/>
              </w:rPr>
              <w:t>**</w:t>
            </w:r>
          </w:p>
        </w:tc>
        <w:tc>
          <w:tcPr>
            <w:tcW w:w="959" w:type="dxa"/>
            <w:tcBorders>
              <w:left w:val="double" w:sz="4" w:space="0" w:color="auto"/>
            </w:tcBorders>
            <w:vAlign w:val="center"/>
          </w:tcPr>
          <w:p w:rsidR="00F936EC" w:rsidRPr="00E276DC" w:rsidRDefault="00E051E6" w:rsidP="008F72A1">
            <w:pPr>
              <w:jc w:val="center"/>
              <w:rPr>
                <w:color w:val="212121"/>
              </w:rPr>
            </w:pPr>
            <w:r>
              <w:rPr>
                <w:color w:val="212121"/>
              </w:rPr>
              <w:t>-2,7</w:t>
            </w:r>
          </w:p>
        </w:tc>
        <w:tc>
          <w:tcPr>
            <w:tcW w:w="959" w:type="dxa"/>
            <w:vAlign w:val="center"/>
          </w:tcPr>
          <w:p w:rsidR="00F936EC" w:rsidRPr="00E276DC" w:rsidRDefault="00E051E6" w:rsidP="008F72A1">
            <w:pPr>
              <w:jc w:val="center"/>
              <w:rPr>
                <w:color w:val="212121"/>
              </w:rPr>
            </w:pPr>
            <w:r>
              <w:rPr>
                <w:color w:val="212121"/>
              </w:rPr>
              <w:t>0,9</w:t>
            </w:r>
          </w:p>
        </w:tc>
      </w:tr>
      <w:tr w:rsidR="00F936EC" w:rsidRPr="00C45AC0" w:rsidTr="00F35C3E">
        <w:trPr>
          <w:trHeight w:val="370"/>
        </w:trPr>
        <w:tc>
          <w:tcPr>
            <w:tcW w:w="3134" w:type="dxa"/>
            <w:vAlign w:val="center"/>
          </w:tcPr>
          <w:p w:rsidR="00F936EC" w:rsidRDefault="00F936EC" w:rsidP="008F72A1">
            <w:pPr>
              <w:jc w:val="center"/>
              <w:rPr>
                <w:rFonts w:ascii="Segoe UI" w:hAnsi="Segoe UI" w:cs="Segoe UI"/>
                <w:color w:val="212121"/>
                <w:sz w:val="23"/>
                <w:szCs w:val="23"/>
              </w:rPr>
            </w:pPr>
            <w:r>
              <w:rPr>
                <w:b/>
                <w:bCs/>
                <w:color w:val="212121"/>
                <w:sz w:val="22"/>
                <w:szCs w:val="22"/>
              </w:rPr>
              <w:t>Altın hariç ithalat***</w:t>
            </w:r>
          </w:p>
        </w:tc>
        <w:tc>
          <w:tcPr>
            <w:tcW w:w="1165" w:type="dxa"/>
            <w:vAlign w:val="center"/>
          </w:tcPr>
          <w:p w:rsidR="00F936EC" w:rsidRPr="00E276DC" w:rsidRDefault="00E051E6" w:rsidP="008F72A1">
            <w:pPr>
              <w:jc w:val="center"/>
              <w:rPr>
                <w:color w:val="212121"/>
              </w:rPr>
            </w:pPr>
            <w:r>
              <w:rPr>
                <w:color w:val="212121"/>
              </w:rPr>
              <w:t>2,2</w:t>
            </w:r>
          </w:p>
        </w:tc>
        <w:tc>
          <w:tcPr>
            <w:tcW w:w="1086" w:type="dxa"/>
            <w:vAlign w:val="center"/>
          </w:tcPr>
          <w:p w:rsidR="00F936EC" w:rsidRPr="00E276DC" w:rsidRDefault="00E051E6" w:rsidP="008F72A1">
            <w:pPr>
              <w:jc w:val="center"/>
              <w:rPr>
                <w:color w:val="212121"/>
              </w:rPr>
            </w:pPr>
            <w:r>
              <w:rPr>
                <w:color w:val="212121"/>
              </w:rPr>
              <w:t>1,5</w:t>
            </w:r>
          </w:p>
        </w:tc>
        <w:tc>
          <w:tcPr>
            <w:tcW w:w="1142" w:type="dxa"/>
            <w:vAlign w:val="center"/>
          </w:tcPr>
          <w:p w:rsidR="00F936EC" w:rsidRPr="00E276DC" w:rsidRDefault="00E051E6" w:rsidP="008F72A1">
            <w:pPr>
              <w:jc w:val="center"/>
              <w:rPr>
                <w:color w:val="212121"/>
              </w:rPr>
            </w:pPr>
            <w:r>
              <w:rPr>
                <w:color w:val="212121"/>
              </w:rPr>
              <w:t>-6,0</w:t>
            </w:r>
          </w:p>
        </w:tc>
        <w:tc>
          <w:tcPr>
            <w:tcW w:w="1077" w:type="dxa"/>
            <w:tcBorders>
              <w:right w:val="double" w:sz="4" w:space="0" w:color="auto"/>
            </w:tcBorders>
            <w:vAlign w:val="center"/>
          </w:tcPr>
          <w:p w:rsidR="00F936EC" w:rsidRPr="00E276DC" w:rsidRDefault="00E051E6" w:rsidP="008F72A1">
            <w:pPr>
              <w:jc w:val="center"/>
              <w:rPr>
                <w:color w:val="212121"/>
              </w:rPr>
            </w:pPr>
            <w:r>
              <w:rPr>
                <w:color w:val="212121"/>
              </w:rPr>
              <w:t>**</w:t>
            </w:r>
          </w:p>
        </w:tc>
        <w:tc>
          <w:tcPr>
            <w:tcW w:w="959" w:type="dxa"/>
            <w:tcBorders>
              <w:left w:val="double" w:sz="4" w:space="0" w:color="auto"/>
            </w:tcBorders>
            <w:vAlign w:val="center"/>
          </w:tcPr>
          <w:p w:rsidR="00F936EC" w:rsidRPr="00E276DC" w:rsidRDefault="00E051E6" w:rsidP="008F72A1">
            <w:pPr>
              <w:jc w:val="center"/>
              <w:rPr>
                <w:color w:val="212121"/>
              </w:rPr>
            </w:pPr>
            <w:r>
              <w:rPr>
                <w:color w:val="212121"/>
              </w:rPr>
              <w:t>-0,5</w:t>
            </w:r>
          </w:p>
        </w:tc>
        <w:tc>
          <w:tcPr>
            <w:tcW w:w="959" w:type="dxa"/>
            <w:vAlign w:val="center"/>
          </w:tcPr>
          <w:p w:rsidR="00F936EC" w:rsidRPr="00E276DC" w:rsidRDefault="00E051E6" w:rsidP="008F72A1">
            <w:pPr>
              <w:jc w:val="center"/>
              <w:rPr>
                <w:color w:val="212121"/>
              </w:rPr>
            </w:pPr>
            <w:r>
              <w:rPr>
                <w:color w:val="212121"/>
              </w:rPr>
              <w:t>1,1</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Sanayi üretim endeksi (SÜE)*</w:t>
            </w:r>
          </w:p>
        </w:tc>
        <w:tc>
          <w:tcPr>
            <w:tcW w:w="1165" w:type="dxa"/>
            <w:tcBorders>
              <w:bottom w:val="nil"/>
            </w:tcBorders>
            <w:vAlign w:val="center"/>
          </w:tcPr>
          <w:p w:rsidR="00F936EC" w:rsidRPr="00E276DC" w:rsidRDefault="004313AE" w:rsidP="008F72A1">
            <w:pPr>
              <w:jc w:val="center"/>
              <w:rPr>
                <w:color w:val="212121"/>
              </w:rPr>
            </w:pPr>
            <w:r>
              <w:rPr>
                <w:color w:val="212121"/>
              </w:rPr>
              <w:t>2,2</w:t>
            </w:r>
          </w:p>
        </w:tc>
        <w:tc>
          <w:tcPr>
            <w:tcW w:w="1086" w:type="dxa"/>
            <w:tcBorders>
              <w:bottom w:val="nil"/>
            </w:tcBorders>
            <w:vAlign w:val="center"/>
          </w:tcPr>
          <w:p w:rsidR="00F936EC" w:rsidRPr="00E276DC" w:rsidRDefault="004313AE" w:rsidP="008F72A1">
            <w:pPr>
              <w:jc w:val="center"/>
              <w:rPr>
                <w:color w:val="212121"/>
              </w:rPr>
            </w:pPr>
            <w:r>
              <w:rPr>
                <w:color w:val="212121"/>
              </w:rPr>
              <w:t>0,0</w:t>
            </w:r>
          </w:p>
        </w:tc>
        <w:tc>
          <w:tcPr>
            <w:tcW w:w="1142" w:type="dxa"/>
            <w:tcBorders>
              <w:bottom w:val="nil"/>
            </w:tcBorders>
            <w:vAlign w:val="center"/>
          </w:tcPr>
          <w:p w:rsidR="00F936EC" w:rsidRPr="00E276DC" w:rsidRDefault="004313AE" w:rsidP="008F72A1">
            <w:pPr>
              <w:jc w:val="center"/>
              <w:rPr>
                <w:color w:val="212121"/>
              </w:rPr>
            </w:pPr>
            <w:r>
              <w:rPr>
                <w:color w:val="212121"/>
              </w:rPr>
              <w:t>-2,0</w:t>
            </w:r>
          </w:p>
        </w:tc>
        <w:tc>
          <w:tcPr>
            <w:tcW w:w="1077" w:type="dxa"/>
            <w:tcBorders>
              <w:bottom w:val="nil"/>
              <w:right w:val="double" w:sz="4" w:space="0" w:color="auto"/>
            </w:tcBorders>
            <w:vAlign w:val="center"/>
          </w:tcPr>
          <w:p w:rsidR="00F936EC" w:rsidRPr="00E276DC" w:rsidRDefault="004313AE" w:rsidP="008F72A1">
            <w:pPr>
              <w:jc w:val="center"/>
              <w:rPr>
                <w:color w:val="212121"/>
              </w:rPr>
            </w:pPr>
            <w:r>
              <w:rPr>
                <w:color w:val="212121"/>
              </w:rPr>
              <w:t>**</w:t>
            </w:r>
          </w:p>
        </w:tc>
        <w:tc>
          <w:tcPr>
            <w:tcW w:w="959" w:type="dxa"/>
            <w:tcBorders>
              <w:left w:val="double" w:sz="4" w:space="0" w:color="auto"/>
              <w:bottom w:val="nil"/>
            </w:tcBorders>
            <w:vAlign w:val="center"/>
          </w:tcPr>
          <w:p w:rsidR="00F936EC" w:rsidRPr="00E276DC" w:rsidRDefault="004313AE" w:rsidP="008F72A1">
            <w:pPr>
              <w:jc w:val="center"/>
              <w:rPr>
                <w:color w:val="212121"/>
              </w:rPr>
            </w:pPr>
            <w:r>
              <w:rPr>
                <w:color w:val="212121"/>
              </w:rPr>
              <w:t>1,1</w:t>
            </w:r>
          </w:p>
        </w:tc>
        <w:tc>
          <w:tcPr>
            <w:tcW w:w="959" w:type="dxa"/>
            <w:tcBorders>
              <w:bottom w:val="nil"/>
            </w:tcBorders>
            <w:vAlign w:val="center"/>
          </w:tcPr>
          <w:p w:rsidR="00F936EC" w:rsidRPr="00E276DC" w:rsidRDefault="004313AE" w:rsidP="008F72A1">
            <w:pPr>
              <w:jc w:val="center"/>
              <w:rPr>
                <w:color w:val="212121"/>
              </w:rPr>
            </w:pPr>
            <w:r>
              <w:rPr>
                <w:color w:val="212121"/>
              </w:rPr>
              <w:t>1,0</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Dayanıksız tüketim malı imalatı*</w:t>
            </w:r>
          </w:p>
        </w:tc>
        <w:tc>
          <w:tcPr>
            <w:tcW w:w="1165" w:type="dxa"/>
            <w:tcBorders>
              <w:top w:val="nil"/>
              <w:bottom w:val="nil"/>
            </w:tcBorders>
            <w:vAlign w:val="center"/>
          </w:tcPr>
          <w:p w:rsidR="00F936EC" w:rsidRPr="00E276DC" w:rsidRDefault="004313AE" w:rsidP="008F72A1">
            <w:pPr>
              <w:jc w:val="center"/>
              <w:rPr>
                <w:color w:val="212121"/>
              </w:rPr>
            </w:pPr>
            <w:r>
              <w:rPr>
                <w:color w:val="212121"/>
              </w:rPr>
              <w:t>3,4</w:t>
            </w:r>
          </w:p>
        </w:tc>
        <w:tc>
          <w:tcPr>
            <w:tcW w:w="1086" w:type="dxa"/>
            <w:tcBorders>
              <w:top w:val="nil"/>
              <w:bottom w:val="nil"/>
            </w:tcBorders>
            <w:vAlign w:val="center"/>
          </w:tcPr>
          <w:p w:rsidR="00F936EC" w:rsidRPr="00E276DC" w:rsidRDefault="004313AE" w:rsidP="008F72A1">
            <w:pPr>
              <w:jc w:val="center"/>
              <w:rPr>
                <w:color w:val="212121"/>
              </w:rPr>
            </w:pPr>
            <w:r>
              <w:rPr>
                <w:color w:val="212121"/>
              </w:rPr>
              <w:t>-0,1</w:t>
            </w:r>
          </w:p>
        </w:tc>
        <w:tc>
          <w:tcPr>
            <w:tcW w:w="1142" w:type="dxa"/>
            <w:tcBorders>
              <w:top w:val="nil"/>
              <w:bottom w:val="nil"/>
            </w:tcBorders>
            <w:vAlign w:val="center"/>
          </w:tcPr>
          <w:p w:rsidR="00F936EC" w:rsidRPr="00E276DC" w:rsidRDefault="004313AE" w:rsidP="008F72A1">
            <w:pPr>
              <w:jc w:val="center"/>
              <w:rPr>
                <w:color w:val="212121"/>
              </w:rPr>
            </w:pPr>
            <w:r>
              <w:rPr>
                <w:color w:val="212121"/>
              </w:rPr>
              <w:t>-0,8</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1,6</w:t>
            </w:r>
          </w:p>
        </w:tc>
        <w:tc>
          <w:tcPr>
            <w:tcW w:w="959" w:type="dxa"/>
            <w:tcBorders>
              <w:top w:val="nil"/>
              <w:bottom w:val="nil"/>
            </w:tcBorders>
            <w:vAlign w:val="center"/>
          </w:tcPr>
          <w:p w:rsidR="00F936EC" w:rsidRPr="00E276DC" w:rsidRDefault="004313AE" w:rsidP="008F72A1">
            <w:pPr>
              <w:jc w:val="center"/>
              <w:rPr>
                <w:color w:val="212121"/>
              </w:rPr>
            </w:pPr>
            <w:r>
              <w:rPr>
                <w:color w:val="212121"/>
              </w:rPr>
              <w:t>2,5</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Dayanıklı tüketim malı imalatı*</w:t>
            </w:r>
          </w:p>
        </w:tc>
        <w:tc>
          <w:tcPr>
            <w:tcW w:w="1165" w:type="dxa"/>
            <w:tcBorders>
              <w:top w:val="nil"/>
              <w:bottom w:val="nil"/>
            </w:tcBorders>
            <w:vAlign w:val="center"/>
          </w:tcPr>
          <w:p w:rsidR="00F936EC" w:rsidRPr="00E276DC" w:rsidRDefault="004313AE" w:rsidP="008F72A1">
            <w:pPr>
              <w:jc w:val="center"/>
              <w:rPr>
                <w:color w:val="212121"/>
              </w:rPr>
            </w:pPr>
            <w:r>
              <w:rPr>
                <w:color w:val="212121"/>
              </w:rPr>
              <w:t>1,4</w:t>
            </w:r>
          </w:p>
        </w:tc>
        <w:tc>
          <w:tcPr>
            <w:tcW w:w="1086" w:type="dxa"/>
            <w:tcBorders>
              <w:top w:val="nil"/>
              <w:bottom w:val="nil"/>
            </w:tcBorders>
            <w:vAlign w:val="center"/>
          </w:tcPr>
          <w:p w:rsidR="00F936EC" w:rsidRPr="00E276DC" w:rsidRDefault="004313AE" w:rsidP="008F72A1">
            <w:pPr>
              <w:jc w:val="center"/>
              <w:rPr>
                <w:color w:val="212121"/>
              </w:rPr>
            </w:pPr>
            <w:r>
              <w:rPr>
                <w:color w:val="212121"/>
              </w:rPr>
              <w:t>2,4</w:t>
            </w:r>
          </w:p>
        </w:tc>
        <w:tc>
          <w:tcPr>
            <w:tcW w:w="1142" w:type="dxa"/>
            <w:tcBorders>
              <w:top w:val="nil"/>
              <w:bottom w:val="nil"/>
            </w:tcBorders>
            <w:vAlign w:val="center"/>
          </w:tcPr>
          <w:p w:rsidR="00F936EC" w:rsidRPr="00E276DC" w:rsidRDefault="004313AE" w:rsidP="008F72A1">
            <w:pPr>
              <w:jc w:val="center"/>
              <w:rPr>
                <w:color w:val="212121"/>
              </w:rPr>
            </w:pPr>
            <w:r>
              <w:rPr>
                <w:color w:val="212121"/>
              </w:rPr>
              <w:t>-4,9</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-0,7</w:t>
            </w:r>
          </w:p>
        </w:tc>
        <w:tc>
          <w:tcPr>
            <w:tcW w:w="959" w:type="dxa"/>
            <w:tcBorders>
              <w:top w:val="nil"/>
              <w:bottom w:val="nil"/>
            </w:tcBorders>
            <w:vAlign w:val="center"/>
          </w:tcPr>
          <w:p w:rsidR="00F936EC" w:rsidRPr="00E276DC" w:rsidRDefault="004313AE" w:rsidP="008F72A1">
            <w:pPr>
              <w:jc w:val="center"/>
              <w:rPr>
                <w:color w:val="212121"/>
              </w:rPr>
            </w:pPr>
            <w:r>
              <w:rPr>
                <w:color w:val="212121"/>
              </w:rPr>
              <w:t>2,9</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Ara malı imalatı*</w:t>
            </w:r>
          </w:p>
        </w:tc>
        <w:tc>
          <w:tcPr>
            <w:tcW w:w="1165" w:type="dxa"/>
            <w:tcBorders>
              <w:top w:val="nil"/>
              <w:bottom w:val="nil"/>
            </w:tcBorders>
            <w:vAlign w:val="center"/>
          </w:tcPr>
          <w:p w:rsidR="00F936EC" w:rsidRPr="00E276DC" w:rsidRDefault="004313AE" w:rsidP="008F72A1">
            <w:pPr>
              <w:jc w:val="center"/>
              <w:rPr>
                <w:color w:val="212121"/>
              </w:rPr>
            </w:pPr>
            <w:r>
              <w:rPr>
                <w:color w:val="212121"/>
              </w:rPr>
              <w:t>1,0</w:t>
            </w:r>
          </w:p>
        </w:tc>
        <w:tc>
          <w:tcPr>
            <w:tcW w:w="1086" w:type="dxa"/>
            <w:tcBorders>
              <w:top w:val="nil"/>
              <w:bottom w:val="nil"/>
            </w:tcBorders>
            <w:vAlign w:val="center"/>
          </w:tcPr>
          <w:p w:rsidR="00F936EC" w:rsidRPr="00E276DC" w:rsidRDefault="004313AE" w:rsidP="008F72A1">
            <w:pPr>
              <w:jc w:val="center"/>
              <w:rPr>
                <w:color w:val="212121"/>
              </w:rPr>
            </w:pPr>
            <w:r>
              <w:rPr>
                <w:color w:val="212121"/>
              </w:rPr>
              <w:t>0,3</w:t>
            </w:r>
          </w:p>
        </w:tc>
        <w:tc>
          <w:tcPr>
            <w:tcW w:w="1142" w:type="dxa"/>
            <w:tcBorders>
              <w:top w:val="nil"/>
              <w:bottom w:val="nil"/>
            </w:tcBorders>
            <w:vAlign w:val="center"/>
          </w:tcPr>
          <w:p w:rsidR="00F936EC" w:rsidRPr="00E276DC" w:rsidRDefault="004313AE" w:rsidP="008F72A1">
            <w:pPr>
              <w:jc w:val="center"/>
              <w:rPr>
                <w:color w:val="212121"/>
              </w:rPr>
            </w:pPr>
            <w:r>
              <w:rPr>
                <w:color w:val="212121"/>
              </w:rPr>
              <w:t>-0,7</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-1,0</w:t>
            </w:r>
          </w:p>
        </w:tc>
        <w:tc>
          <w:tcPr>
            <w:tcW w:w="959" w:type="dxa"/>
            <w:tcBorders>
              <w:top w:val="nil"/>
              <w:bottom w:val="nil"/>
            </w:tcBorders>
            <w:vAlign w:val="center"/>
          </w:tcPr>
          <w:p w:rsidR="00F936EC" w:rsidRPr="00E276DC" w:rsidRDefault="004313AE" w:rsidP="008F72A1">
            <w:pPr>
              <w:jc w:val="center"/>
              <w:rPr>
                <w:color w:val="212121"/>
              </w:rPr>
            </w:pPr>
            <w:r>
              <w:rPr>
                <w:color w:val="212121"/>
              </w:rPr>
              <w:t>0,9</w:t>
            </w: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Yatırım malı imalatı*</w:t>
            </w:r>
          </w:p>
        </w:tc>
        <w:tc>
          <w:tcPr>
            <w:tcW w:w="1165" w:type="dxa"/>
            <w:tcBorders>
              <w:top w:val="nil"/>
            </w:tcBorders>
            <w:vAlign w:val="center"/>
          </w:tcPr>
          <w:p w:rsidR="00F936EC" w:rsidRPr="00E276DC" w:rsidRDefault="004313AE" w:rsidP="008F72A1">
            <w:pPr>
              <w:jc w:val="center"/>
              <w:rPr>
                <w:color w:val="212121"/>
              </w:rPr>
            </w:pPr>
            <w:r>
              <w:rPr>
                <w:color w:val="212121"/>
              </w:rPr>
              <w:t>4,0</w:t>
            </w:r>
          </w:p>
        </w:tc>
        <w:tc>
          <w:tcPr>
            <w:tcW w:w="1086" w:type="dxa"/>
            <w:tcBorders>
              <w:top w:val="nil"/>
            </w:tcBorders>
            <w:vAlign w:val="center"/>
          </w:tcPr>
          <w:p w:rsidR="00F936EC" w:rsidRPr="00E276DC" w:rsidRDefault="004313AE" w:rsidP="008F72A1">
            <w:pPr>
              <w:jc w:val="center"/>
              <w:rPr>
                <w:color w:val="212121"/>
              </w:rPr>
            </w:pPr>
            <w:r>
              <w:rPr>
                <w:color w:val="212121"/>
              </w:rPr>
              <w:t>-1,4</w:t>
            </w:r>
          </w:p>
        </w:tc>
        <w:tc>
          <w:tcPr>
            <w:tcW w:w="1142" w:type="dxa"/>
            <w:tcBorders>
              <w:top w:val="nil"/>
            </w:tcBorders>
            <w:vAlign w:val="center"/>
          </w:tcPr>
          <w:p w:rsidR="00F936EC" w:rsidRPr="00E276DC" w:rsidRDefault="004313AE" w:rsidP="008F72A1">
            <w:pPr>
              <w:jc w:val="center"/>
              <w:rPr>
                <w:color w:val="212121"/>
              </w:rPr>
            </w:pPr>
            <w:r>
              <w:rPr>
                <w:color w:val="212121"/>
              </w:rPr>
              <w:t>-7,8</w:t>
            </w:r>
          </w:p>
        </w:tc>
        <w:tc>
          <w:tcPr>
            <w:tcW w:w="1077" w:type="dxa"/>
            <w:tcBorders>
              <w:top w:val="nil"/>
              <w:right w:val="double" w:sz="4" w:space="0" w:color="auto"/>
            </w:tcBorders>
            <w:vAlign w:val="center"/>
          </w:tcPr>
          <w:p w:rsidR="00F936EC" w:rsidRPr="00E276DC" w:rsidRDefault="004313AE" w:rsidP="008F72A1">
            <w:pPr>
              <w:jc w:val="center"/>
              <w:rPr>
                <w:color w:val="212121"/>
              </w:rPr>
            </w:pPr>
            <w:r>
              <w:rPr>
                <w:color w:val="212121"/>
              </w:rPr>
              <w:t>**</w:t>
            </w:r>
          </w:p>
        </w:tc>
        <w:tc>
          <w:tcPr>
            <w:tcW w:w="959" w:type="dxa"/>
            <w:tcBorders>
              <w:top w:val="nil"/>
              <w:left w:val="double" w:sz="4" w:space="0" w:color="auto"/>
            </w:tcBorders>
            <w:vAlign w:val="center"/>
          </w:tcPr>
          <w:p w:rsidR="00F936EC" w:rsidRPr="00E276DC" w:rsidRDefault="004313AE" w:rsidP="008F72A1">
            <w:pPr>
              <w:jc w:val="center"/>
              <w:rPr>
                <w:color w:val="212121"/>
              </w:rPr>
            </w:pPr>
            <w:r>
              <w:rPr>
                <w:color w:val="212121"/>
              </w:rPr>
              <w:t>5,1</w:t>
            </w:r>
          </w:p>
        </w:tc>
        <w:tc>
          <w:tcPr>
            <w:tcW w:w="959" w:type="dxa"/>
            <w:tcBorders>
              <w:top w:val="nil"/>
            </w:tcBorders>
            <w:vAlign w:val="center"/>
          </w:tcPr>
          <w:p w:rsidR="00F936EC" w:rsidRPr="00E276DC" w:rsidRDefault="004313AE" w:rsidP="008F72A1">
            <w:pPr>
              <w:jc w:val="center"/>
              <w:rPr>
                <w:color w:val="212121"/>
              </w:rPr>
            </w:pPr>
            <w:r>
              <w:rPr>
                <w:color w:val="212121"/>
              </w:rPr>
              <w:t>-2,3</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Kapasite kullanım oranı (KKO)*</w:t>
            </w:r>
            <w:r>
              <w:rPr>
                <w:b/>
                <w:bCs/>
                <w:color w:val="212121"/>
                <w:sz w:val="20"/>
                <w:szCs w:val="20"/>
                <w:vertAlign w:val="superscript"/>
              </w:rPr>
              <w:t>, ‡</w:t>
            </w:r>
          </w:p>
        </w:tc>
        <w:tc>
          <w:tcPr>
            <w:tcW w:w="1165" w:type="dxa"/>
            <w:tcBorders>
              <w:bottom w:val="nil"/>
            </w:tcBorders>
            <w:vAlign w:val="center"/>
          </w:tcPr>
          <w:p w:rsidR="00F936EC" w:rsidRPr="00E276DC" w:rsidRDefault="004313AE" w:rsidP="008F72A1">
            <w:pPr>
              <w:jc w:val="center"/>
              <w:rPr>
                <w:color w:val="212121"/>
              </w:rPr>
            </w:pPr>
            <w:r>
              <w:rPr>
                <w:color w:val="212121"/>
              </w:rPr>
              <w:t>-0,3</w:t>
            </w:r>
          </w:p>
        </w:tc>
        <w:tc>
          <w:tcPr>
            <w:tcW w:w="1086" w:type="dxa"/>
            <w:tcBorders>
              <w:bottom w:val="nil"/>
            </w:tcBorders>
            <w:vAlign w:val="center"/>
          </w:tcPr>
          <w:p w:rsidR="00F936EC" w:rsidRPr="00E276DC" w:rsidRDefault="004313AE" w:rsidP="008F72A1">
            <w:pPr>
              <w:jc w:val="center"/>
              <w:rPr>
                <w:color w:val="212121"/>
              </w:rPr>
            </w:pPr>
            <w:r>
              <w:rPr>
                <w:color w:val="212121"/>
              </w:rPr>
              <w:t>0,7</w:t>
            </w:r>
          </w:p>
        </w:tc>
        <w:tc>
          <w:tcPr>
            <w:tcW w:w="1142" w:type="dxa"/>
            <w:tcBorders>
              <w:bottom w:val="nil"/>
            </w:tcBorders>
            <w:vAlign w:val="center"/>
          </w:tcPr>
          <w:p w:rsidR="00F936EC" w:rsidRPr="00E276DC" w:rsidRDefault="004313AE" w:rsidP="008F72A1">
            <w:pPr>
              <w:jc w:val="center"/>
              <w:rPr>
                <w:color w:val="212121"/>
              </w:rPr>
            </w:pPr>
            <w:r>
              <w:rPr>
                <w:color w:val="212121"/>
              </w:rPr>
              <w:t>0,1</w:t>
            </w:r>
          </w:p>
        </w:tc>
        <w:tc>
          <w:tcPr>
            <w:tcW w:w="1077" w:type="dxa"/>
            <w:tcBorders>
              <w:bottom w:val="nil"/>
              <w:right w:val="double" w:sz="4" w:space="0" w:color="auto"/>
            </w:tcBorders>
            <w:vAlign w:val="center"/>
          </w:tcPr>
          <w:p w:rsidR="00F936EC" w:rsidRPr="00E276DC" w:rsidRDefault="004313AE" w:rsidP="008F72A1">
            <w:pPr>
              <w:jc w:val="center"/>
              <w:rPr>
                <w:color w:val="212121"/>
              </w:rPr>
            </w:pPr>
            <w:r>
              <w:rPr>
                <w:color w:val="212121"/>
              </w:rPr>
              <w:t>-0,1</w:t>
            </w:r>
          </w:p>
        </w:tc>
        <w:tc>
          <w:tcPr>
            <w:tcW w:w="959" w:type="dxa"/>
            <w:tcBorders>
              <w:left w:val="double" w:sz="4" w:space="0" w:color="auto"/>
              <w:bottom w:val="nil"/>
            </w:tcBorders>
            <w:vAlign w:val="center"/>
          </w:tcPr>
          <w:p w:rsidR="00F936EC" w:rsidRPr="00E276DC" w:rsidRDefault="004313AE" w:rsidP="008F72A1">
            <w:pPr>
              <w:jc w:val="center"/>
              <w:rPr>
                <w:color w:val="212121"/>
              </w:rPr>
            </w:pPr>
            <w:r>
              <w:rPr>
                <w:color w:val="212121"/>
              </w:rPr>
              <w:t>0,0</w:t>
            </w:r>
          </w:p>
        </w:tc>
        <w:tc>
          <w:tcPr>
            <w:tcW w:w="959" w:type="dxa"/>
            <w:tcBorders>
              <w:bottom w:val="nil"/>
            </w:tcBorders>
            <w:vAlign w:val="center"/>
          </w:tcPr>
          <w:p w:rsidR="00F936EC" w:rsidRPr="00E276DC" w:rsidRDefault="004313AE" w:rsidP="008F72A1">
            <w:pPr>
              <w:jc w:val="center"/>
              <w:rPr>
                <w:color w:val="212121"/>
              </w:rPr>
            </w:pPr>
            <w:r>
              <w:rPr>
                <w:color w:val="212121"/>
              </w:rPr>
              <w:t>0,4</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Dayanıksız tüketim malı imalatı</w:t>
            </w:r>
            <w:r>
              <w:rPr>
                <w:b/>
                <w:bCs/>
                <w:color w:val="212121"/>
                <w:sz w:val="20"/>
                <w:szCs w:val="20"/>
                <w:vertAlign w:val="superscript"/>
              </w:rPr>
              <w:t>‡</w:t>
            </w:r>
          </w:p>
        </w:tc>
        <w:tc>
          <w:tcPr>
            <w:tcW w:w="1165" w:type="dxa"/>
            <w:tcBorders>
              <w:top w:val="nil"/>
              <w:bottom w:val="nil"/>
            </w:tcBorders>
            <w:vAlign w:val="center"/>
          </w:tcPr>
          <w:p w:rsidR="00F936EC" w:rsidRPr="00E276DC" w:rsidRDefault="004313AE" w:rsidP="008F72A1">
            <w:pPr>
              <w:jc w:val="center"/>
              <w:rPr>
                <w:color w:val="212121"/>
              </w:rPr>
            </w:pPr>
            <w:r>
              <w:rPr>
                <w:color w:val="212121"/>
              </w:rPr>
              <w:t>-0,3</w:t>
            </w:r>
          </w:p>
        </w:tc>
        <w:tc>
          <w:tcPr>
            <w:tcW w:w="1086" w:type="dxa"/>
            <w:tcBorders>
              <w:top w:val="nil"/>
              <w:bottom w:val="nil"/>
            </w:tcBorders>
            <w:vAlign w:val="center"/>
          </w:tcPr>
          <w:p w:rsidR="00F936EC" w:rsidRPr="00E276DC" w:rsidRDefault="004313AE" w:rsidP="008F72A1">
            <w:pPr>
              <w:jc w:val="center"/>
              <w:rPr>
                <w:color w:val="212121"/>
              </w:rPr>
            </w:pPr>
            <w:r>
              <w:rPr>
                <w:color w:val="212121"/>
              </w:rPr>
              <w:t>0,2</w:t>
            </w:r>
          </w:p>
        </w:tc>
        <w:tc>
          <w:tcPr>
            <w:tcW w:w="1142" w:type="dxa"/>
            <w:tcBorders>
              <w:top w:val="nil"/>
              <w:bottom w:val="nil"/>
            </w:tcBorders>
            <w:vAlign w:val="center"/>
          </w:tcPr>
          <w:p w:rsidR="00F936EC" w:rsidRPr="00E276DC" w:rsidRDefault="004313AE" w:rsidP="008F72A1">
            <w:pPr>
              <w:jc w:val="center"/>
              <w:rPr>
                <w:color w:val="212121"/>
              </w:rPr>
            </w:pPr>
            <w:r>
              <w:rPr>
                <w:color w:val="212121"/>
              </w:rPr>
              <w:t>-0,2</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0,0</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-0,2</w:t>
            </w:r>
          </w:p>
        </w:tc>
        <w:tc>
          <w:tcPr>
            <w:tcW w:w="959" w:type="dxa"/>
            <w:tcBorders>
              <w:top w:val="nil"/>
              <w:bottom w:val="nil"/>
            </w:tcBorders>
            <w:vAlign w:val="center"/>
          </w:tcPr>
          <w:p w:rsidR="00F936EC" w:rsidRPr="00E276DC" w:rsidRDefault="004313AE" w:rsidP="008F72A1">
            <w:pPr>
              <w:jc w:val="center"/>
              <w:rPr>
                <w:color w:val="212121"/>
              </w:rPr>
            </w:pPr>
            <w:r>
              <w:rPr>
                <w:color w:val="212121"/>
              </w:rPr>
              <w:t>-0,3</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Dayanıklı tüketim malı imalatı</w:t>
            </w:r>
            <w:r>
              <w:rPr>
                <w:b/>
                <w:bCs/>
                <w:color w:val="212121"/>
                <w:sz w:val="20"/>
                <w:szCs w:val="20"/>
                <w:vertAlign w:val="superscript"/>
              </w:rPr>
              <w:t>‡</w:t>
            </w:r>
          </w:p>
        </w:tc>
        <w:tc>
          <w:tcPr>
            <w:tcW w:w="1165" w:type="dxa"/>
            <w:tcBorders>
              <w:top w:val="nil"/>
              <w:bottom w:val="nil"/>
            </w:tcBorders>
            <w:vAlign w:val="center"/>
          </w:tcPr>
          <w:p w:rsidR="00F936EC" w:rsidRPr="00E276DC" w:rsidRDefault="004313AE" w:rsidP="008F72A1">
            <w:pPr>
              <w:jc w:val="center"/>
              <w:rPr>
                <w:color w:val="212121"/>
              </w:rPr>
            </w:pPr>
            <w:r>
              <w:rPr>
                <w:color w:val="212121"/>
              </w:rPr>
              <w:t>1,9</w:t>
            </w:r>
          </w:p>
        </w:tc>
        <w:tc>
          <w:tcPr>
            <w:tcW w:w="1086" w:type="dxa"/>
            <w:tcBorders>
              <w:top w:val="nil"/>
              <w:bottom w:val="nil"/>
            </w:tcBorders>
            <w:vAlign w:val="center"/>
          </w:tcPr>
          <w:p w:rsidR="00F936EC" w:rsidRPr="00E276DC" w:rsidRDefault="004313AE" w:rsidP="008F72A1">
            <w:pPr>
              <w:jc w:val="center"/>
              <w:rPr>
                <w:color w:val="212121"/>
              </w:rPr>
            </w:pPr>
            <w:r>
              <w:rPr>
                <w:color w:val="212121"/>
              </w:rPr>
              <w:t>-0,4</w:t>
            </w:r>
          </w:p>
        </w:tc>
        <w:tc>
          <w:tcPr>
            <w:tcW w:w="1142" w:type="dxa"/>
            <w:tcBorders>
              <w:top w:val="nil"/>
              <w:bottom w:val="nil"/>
            </w:tcBorders>
            <w:vAlign w:val="center"/>
          </w:tcPr>
          <w:p w:rsidR="00F936EC" w:rsidRPr="00E276DC" w:rsidRDefault="004313AE" w:rsidP="008F72A1">
            <w:pPr>
              <w:jc w:val="center"/>
              <w:rPr>
                <w:color w:val="212121"/>
              </w:rPr>
            </w:pPr>
            <w:r>
              <w:rPr>
                <w:color w:val="212121"/>
              </w:rPr>
              <w:t>0,0</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0,4</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-0,4</w:t>
            </w:r>
          </w:p>
        </w:tc>
        <w:tc>
          <w:tcPr>
            <w:tcW w:w="959" w:type="dxa"/>
            <w:tcBorders>
              <w:top w:val="nil"/>
              <w:bottom w:val="nil"/>
            </w:tcBorders>
            <w:vAlign w:val="center"/>
          </w:tcPr>
          <w:p w:rsidR="00F936EC" w:rsidRPr="00E276DC" w:rsidRDefault="004313AE" w:rsidP="008F72A1">
            <w:pPr>
              <w:jc w:val="center"/>
              <w:rPr>
                <w:color w:val="212121"/>
              </w:rPr>
            </w:pPr>
            <w:r>
              <w:rPr>
                <w:color w:val="212121"/>
              </w:rPr>
              <w:t>0,5</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Ara malı imalatı</w:t>
            </w:r>
            <w:r>
              <w:rPr>
                <w:b/>
                <w:bCs/>
                <w:color w:val="212121"/>
                <w:sz w:val="20"/>
                <w:szCs w:val="20"/>
                <w:vertAlign w:val="superscript"/>
              </w:rPr>
              <w:t>‡</w:t>
            </w:r>
          </w:p>
        </w:tc>
        <w:tc>
          <w:tcPr>
            <w:tcW w:w="1165" w:type="dxa"/>
            <w:tcBorders>
              <w:top w:val="nil"/>
              <w:bottom w:val="nil"/>
            </w:tcBorders>
            <w:vAlign w:val="center"/>
          </w:tcPr>
          <w:p w:rsidR="00F936EC" w:rsidRPr="00E276DC" w:rsidRDefault="004313AE" w:rsidP="008F72A1">
            <w:pPr>
              <w:jc w:val="center"/>
              <w:rPr>
                <w:color w:val="212121"/>
              </w:rPr>
            </w:pPr>
            <w:r>
              <w:rPr>
                <w:color w:val="212121"/>
              </w:rPr>
              <w:t>-1,0</w:t>
            </w:r>
          </w:p>
        </w:tc>
        <w:tc>
          <w:tcPr>
            <w:tcW w:w="1086" w:type="dxa"/>
            <w:tcBorders>
              <w:top w:val="nil"/>
              <w:bottom w:val="nil"/>
            </w:tcBorders>
            <w:vAlign w:val="center"/>
          </w:tcPr>
          <w:p w:rsidR="00F936EC" w:rsidRPr="00E276DC" w:rsidRDefault="004313AE" w:rsidP="008F72A1">
            <w:pPr>
              <w:jc w:val="center"/>
              <w:rPr>
                <w:color w:val="212121"/>
              </w:rPr>
            </w:pPr>
            <w:r>
              <w:rPr>
                <w:color w:val="212121"/>
              </w:rPr>
              <w:t>0,1</w:t>
            </w:r>
          </w:p>
        </w:tc>
        <w:tc>
          <w:tcPr>
            <w:tcW w:w="1142" w:type="dxa"/>
            <w:tcBorders>
              <w:top w:val="nil"/>
              <w:bottom w:val="nil"/>
            </w:tcBorders>
            <w:vAlign w:val="center"/>
          </w:tcPr>
          <w:p w:rsidR="00F936EC" w:rsidRPr="00E276DC" w:rsidRDefault="004313AE" w:rsidP="008F72A1">
            <w:pPr>
              <w:jc w:val="center"/>
              <w:rPr>
                <w:color w:val="212121"/>
              </w:rPr>
            </w:pPr>
            <w:r>
              <w:rPr>
                <w:color w:val="212121"/>
              </w:rPr>
              <w:t>0,4</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-0,5</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0,3</w:t>
            </w:r>
          </w:p>
        </w:tc>
        <w:tc>
          <w:tcPr>
            <w:tcW w:w="959" w:type="dxa"/>
            <w:tcBorders>
              <w:top w:val="nil"/>
              <w:bottom w:val="nil"/>
            </w:tcBorders>
            <w:vAlign w:val="center"/>
          </w:tcPr>
          <w:p w:rsidR="00F936EC" w:rsidRPr="00E276DC" w:rsidRDefault="004313AE" w:rsidP="008F72A1">
            <w:pPr>
              <w:jc w:val="center"/>
              <w:rPr>
                <w:color w:val="212121"/>
              </w:rPr>
            </w:pPr>
            <w:r>
              <w:rPr>
                <w:color w:val="212121"/>
              </w:rPr>
              <w:t>-0,6</w:t>
            </w: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Yatırım malı imalatı</w:t>
            </w:r>
            <w:r>
              <w:rPr>
                <w:b/>
                <w:bCs/>
                <w:color w:val="212121"/>
                <w:sz w:val="20"/>
                <w:szCs w:val="20"/>
                <w:vertAlign w:val="superscript"/>
              </w:rPr>
              <w:t>‡</w:t>
            </w:r>
          </w:p>
        </w:tc>
        <w:tc>
          <w:tcPr>
            <w:tcW w:w="1165" w:type="dxa"/>
            <w:tcBorders>
              <w:top w:val="nil"/>
            </w:tcBorders>
            <w:vAlign w:val="center"/>
          </w:tcPr>
          <w:p w:rsidR="00F936EC" w:rsidRPr="00E276DC" w:rsidRDefault="004313AE" w:rsidP="008F72A1">
            <w:pPr>
              <w:jc w:val="center"/>
              <w:rPr>
                <w:color w:val="212121"/>
              </w:rPr>
            </w:pPr>
            <w:r>
              <w:rPr>
                <w:color w:val="212121"/>
              </w:rPr>
              <w:t>0,5</w:t>
            </w:r>
          </w:p>
        </w:tc>
        <w:tc>
          <w:tcPr>
            <w:tcW w:w="1086" w:type="dxa"/>
            <w:tcBorders>
              <w:top w:val="nil"/>
            </w:tcBorders>
            <w:vAlign w:val="center"/>
          </w:tcPr>
          <w:p w:rsidR="00F936EC" w:rsidRPr="00E276DC" w:rsidRDefault="004313AE" w:rsidP="008F72A1">
            <w:pPr>
              <w:jc w:val="center"/>
              <w:rPr>
                <w:color w:val="212121"/>
              </w:rPr>
            </w:pPr>
            <w:r>
              <w:rPr>
                <w:color w:val="212121"/>
              </w:rPr>
              <w:t>0,5</w:t>
            </w:r>
          </w:p>
        </w:tc>
        <w:tc>
          <w:tcPr>
            <w:tcW w:w="1142" w:type="dxa"/>
            <w:tcBorders>
              <w:top w:val="nil"/>
            </w:tcBorders>
            <w:vAlign w:val="center"/>
          </w:tcPr>
          <w:p w:rsidR="00F936EC" w:rsidRPr="00E276DC" w:rsidRDefault="004313AE" w:rsidP="008F72A1">
            <w:pPr>
              <w:jc w:val="center"/>
              <w:rPr>
                <w:color w:val="212121"/>
              </w:rPr>
            </w:pPr>
            <w:r>
              <w:rPr>
                <w:color w:val="212121"/>
              </w:rPr>
              <w:t>0,8</w:t>
            </w:r>
          </w:p>
        </w:tc>
        <w:tc>
          <w:tcPr>
            <w:tcW w:w="1077" w:type="dxa"/>
            <w:tcBorders>
              <w:top w:val="nil"/>
              <w:right w:val="double" w:sz="4" w:space="0" w:color="auto"/>
            </w:tcBorders>
            <w:vAlign w:val="center"/>
          </w:tcPr>
          <w:p w:rsidR="00F936EC" w:rsidRPr="00E276DC" w:rsidRDefault="004313AE" w:rsidP="008F72A1">
            <w:pPr>
              <w:jc w:val="center"/>
              <w:rPr>
                <w:color w:val="212121"/>
              </w:rPr>
            </w:pPr>
            <w:r>
              <w:rPr>
                <w:color w:val="212121"/>
              </w:rPr>
              <w:t>-1,3</w:t>
            </w:r>
          </w:p>
        </w:tc>
        <w:tc>
          <w:tcPr>
            <w:tcW w:w="959" w:type="dxa"/>
            <w:tcBorders>
              <w:top w:val="nil"/>
              <w:left w:val="double" w:sz="4" w:space="0" w:color="auto"/>
            </w:tcBorders>
            <w:vAlign w:val="center"/>
          </w:tcPr>
          <w:p w:rsidR="00F936EC" w:rsidRPr="00E276DC" w:rsidRDefault="004313AE" w:rsidP="008F72A1">
            <w:pPr>
              <w:jc w:val="center"/>
              <w:rPr>
                <w:color w:val="212121"/>
              </w:rPr>
            </w:pPr>
            <w:r>
              <w:rPr>
                <w:color w:val="212121"/>
              </w:rPr>
              <w:t>1,3</w:t>
            </w:r>
          </w:p>
        </w:tc>
        <w:tc>
          <w:tcPr>
            <w:tcW w:w="959" w:type="dxa"/>
            <w:tcBorders>
              <w:top w:val="nil"/>
            </w:tcBorders>
            <w:vAlign w:val="center"/>
          </w:tcPr>
          <w:p w:rsidR="00F936EC" w:rsidRPr="00E276DC" w:rsidRDefault="004313AE" w:rsidP="008F72A1">
            <w:pPr>
              <w:jc w:val="center"/>
              <w:rPr>
                <w:color w:val="212121"/>
              </w:rPr>
            </w:pPr>
            <w:r>
              <w:rPr>
                <w:color w:val="212121"/>
              </w:rPr>
              <w:t>1,0</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Beklenti göstergeleri</w:t>
            </w:r>
          </w:p>
        </w:tc>
        <w:tc>
          <w:tcPr>
            <w:tcW w:w="1165" w:type="dxa"/>
            <w:tcBorders>
              <w:bottom w:val="nil"/>
            </w:tcBorders>
            <w:vAlign w:val="center"/>
          </w:tcPr>
          <w:p w:rsidR="00F936EC" w:rsidRPr="00E276DC" w:rsidRDefault="00F936EC" w:rsidP="008F72A1">
            <w:pPr>
              <w:jc w:val="center"/>
              <w:rPr>
                <w:color w:val="212121"/>
              </w:rPr>
            </w:pPr>
          </w:p>
        </w:tc>
        <w:tc>
          <w:tcPr>
            <w:tcW w:w="1086" w:type="dxa"/>
            <w:tcBorders>
              <w:bottom w:val="nil"/>
            </w:tcBorders>
            <w:vAlign w:val="center"/>
          </w:tcPr>
          <w:p w:rsidR="00F936EC" w:rsidRPr="00E276DC" w:rsidRDefault="00F936EC" w:rsidP="008F72A1">
            <w:pPr>
              <w:jc w:val="center"/>
              <w:rPr>
                <w:color w:val="212121"/>
              </w:rPr>
            </w:pPr>
          </w:p>
        </w:tc>
        <w:tc>
          <w:tcPr>
            <w:tcW w:w="1142" w:type="dxa"/>
            <w:tcBorders>
              <w:bottom w:val="nil"/>
            </w:tcBorders>
            <w:vAlign w:val="center"/>
          </w:tcPr>
          <w:p w:rsidR="00F936EC" w:rsidRPr="00E276DC" w:rsidRDefault="00F936EC" w:rsidP="008F72A1">
            <w:pPr>
              <w:jc w:val="center"/>
              <w:rPr>
                <w:color w:val="212121"/>
              </w:rPr>
            </w:pPr>
          </w:p>
        </w:tc>
        <w:tc>
          <w:tcPr>
            <w:tcW w:w="1077" w:type="dxa"/>
            <w:tcBorders>
              <w:bottom w:val="nil"/>
              <w:right w:val="double" w:sz="4" w:space="0" w:color="auto"/>
            </w:tcBorders>
            <w:vAlign w:val="center"/>
          </w:tcPr>
          <w:p w:rsidR="00F936EC" w:rsidRPr="00E276DC" w:rsidRDefault="00F936EC" w:rsidP="008F72A1">
            <w:pPr>
              <w:jc w:val="center"/>
              <w:rPr>
                <w:color w:val="212121"/>
              </w:rPr>
            </w:pPr>
          </w:p>
        </w:tc>
        <w:tc>
          <w:tcPr>
            <w:tcW w:w="959" w:type="dxa"/>
            <w:tcBorders>
              <w:left w:val="double" w:sz="4" w:space="0" w:color="auto"/>
              <w:bottom w:val="nil"/>
            </w:tcBorders>
            <w:vAlign w:val="center"/>
          </w:tcPr>
          <w:p w:rsidR="00F936EC" w:rsidRPr="00E276DC" w:rsidRDefault="00F936EC" w:rsidP="008F72A1">
            <w:pPr>
              <w:jc w:val="center"/>
              <w:rPr>
                <w:color w:val="212121"/>
              </w:rPr>
            </w:pPr>
          </w:p>
        </w:tc>
        <w:tc>
          <w:tcPr>
            <w:tcW w:w="959" w:type="dxa"/>
            <w:tcBorders>
              <w:bottom w:val="nil"/>
            </w:tcBorders>
            <w:vAlign w:val="center"/>
          </w:tcPr>
          <w:p w:rsidR="00F936EC" w:rsidRPr="00E276DC" w:rsidRDefault="00F936EC" w:rsidP="008F72A1">
            <w:pPr>
              <w:jc w:val="center"/>
              <w:rPr>
                <w:color w:val="212121"/>
              </w:rPr>
            </w:pP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Tüketici güven endeksi (TÜİK)</w:t>
            </w:r>
          </w:p>
        </w:tc>
        <w:tc>
          <w:tcPr>
            <w:tcW w:w="1165" w:type="dxa"/>
            <w:tcBorders>
              <w:top w:val="nil"/>
              <w:bottom w:val="nil"/>
            </w:tcBorders>
            <w:vAlign w:val="center"/>
          </w:tcPr>
          <w:p w:rsidR="00F936EC" w:rsidRPr="00E276DC" w:rsidRDefault="004313AE" w:rsidP="008F72A1">
            <w:pPr>
              <w:jc w:val="center"/>
              <w:rPr>
                <w:color w:val="212121"/>
              </w:rPr>
            </w:pPr>
            <w:r>
              <w:rPr>
                <w:color w:val="212121"/>
              </w:rPr>
              <w:t>-4,7</w:t>
            </w:r>
          </w:p>
        </w:tc>
        <w:tc>
          <w:tcPr>
            <w:tcW w:w="1086" w:type="dxa"/>
            <w:tcBorders>
              <w:top w:val="nil"/>
              <w:bottom w:val="nil"/>
            </w:tcBorders>
            <w:vAlign w:val="center"/>
          </w:tcPr>
          <w:p w:rsidR="00F936EC" w:rsidRPr="00E276DC" w:rsidRDefault="004313AE" w:rsidP="008F72A1">
            <w:pPr>
              <w:jc w:val="center"/>
              <w:rPr>
                <w:color w:val="212121"/>
              </w:rPr>
            </w:pPr>
            <w:r>
              <w:rPr>
                <w:color w:val="212121"/>
              </w:rPr>
              <w:t>0,4</w:t>
            </w:r>
          </w:p>
        </w:tc>
        <w:tc>
          <w:tcPr>
            <w:tcW w:w="1142" w:type="dxa"/>
            <w:tcBorders>
              <w:top w:val="nil"/>
              <w:bottom w:val="nil"/>
            </w:tcBorders>
            <w:vAlign w:val="center"/>
          </w:tcPr>
          <w:p w:rsidR="00F936EC" w:rsidRPr="00E276DC" w:rsidRDefault="004313AE" w:rsidP="008F72A1">
            <w:pPr>
              <w:jc w:val="center"/>
              <w:rPr>
                <w:color w:val="212121"/>
              </w:rPr>
            </w:pPr>
            <w:r>
              <w:rPr>
                <w:color w:val="212121"/>
              </w:rPr>
              <w:t>-1,7</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3,9</w:t>
            </w:r>
          </w:p>
        </w:tc>
        <w:tc>
          <w:tcPr>
            <w:tcW w:w="959" w:type="dxa"/>
            <w:tcBorders>
              <w:top w:val="nil"/>
              <w:left w:val="double" w:sz="4" w:space="0" w:color="auto"/>
              <w:bottom w:val="nil"/>
            </w:tcBorders>
            <w:vAlign w:val="center"/>
          </w:tcPr>
          <w:p w:rsidR="00F936EC" w:rsidRPr="00E276DC" w:rsidRDefault="00942461" w:rsidP="008F72A1">
            <w:pPr>
              <w:jc w:val="center"/>
              <w:rPr>
                <w:color w:val="212121"/>
              </w:rPr>
            </w:pPr>
            <w:r>
              <w:rPr>
                <w:color w:val="212121"/>
              </w:rPr>
              <w:t>-4,4</w:t>
            </w:r>
          </w:p>
        </w:tc>
        <w:tc>
          <w:tcPr>
            <w:tcW w:w="959" w:type="dxa"/>
            <w:tcBorders>
              <w:top w:val="nil"/>
              <w:bottom w:val="nil"/>
            </w:tcBorders>
            <w:vAlign w:val="center"/>
          </w:tcPr>
          <w:p w:rsidR="00F936EC" w:rsidRPr="00E276DC" w:rsidRDefault="00942461" w:rsidP="008F72A1">
            <w:pPr>
              <w:jc w:val="center"/>
              <w:rPr>
                <w:color w:val="212121"/>
              </w:rPr>
            </w:pPr>
            <w:r>
              <w:rPr>
                <w:color w:val="212121"/>
              </w:rPr>
              <w:t>-2,8</w:t>
            </w: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Reel kesim güven endeksi</w:t>
            </w:r>
            <w:r>
              <w:rPr>
                <w:color w:val="212121"/>
                <w:sz w:val="20"/>
                <w:szCs w:val="20"/>
                <w:vertAlign w:val="superscript"/>
              </w:rPr>
              <w:t>†</w:t>
            </w:r>
          </w:p>
        </w:tc>
        <w:tc>
          <w:tcPr>
            <w:tcW w:w="1165" w:type="dxa"/>
            <w:tcBorders>
              <w:top w:val="nil"/>
            </w:tcBorders>
            <w:vAlign w:val="center"/>
          </w:tcPr>
          <w:p w:rsidR="00F936EC" w:rsidRPr="00E276DC" w:rsidRDefault="00DC73D5" w:rsidP="008F72A1">
            <w:pPr>
              <w:jc w:val="center"/>
              <w:rPr>
                <w:color w:val="212121"/>
              </w:rPr>
            </w:pPr>
            <w:r>
              <w:rPr>
                <w:color w:val="212121"/>
              </w:rPr>
              <w:t>-3,0</w:t>
            </w:r>
          </w:p>
        </w:tc>
        <w:tc>
          <w:tcPr>
            <w:tcW w:w="1086" w:type="dxa"/>
            <w:tcBorders>
              <w:top w:val="nil"/>
            </w:tcBorders>
            <w:vAlign w:val="center"/>
          </w:tcPr>
          <w:p w:rsidR="00F936EC" w:rsidRPr="00E276DC" w:rsidRDefault="00DC73D5" w:rsidP="008F72A1">
            <w:pPr>
              <w:jc w:val="center"/>
              <w:rPr>
                <w:color w:val="212121"/>
              </w:rPr>
            </w:pPr>
            <w:r>
              <w:rPr>
                <w:color w:val="212121"/>
              </w:rPr>
              <w:t>1,5</w:t>
            </w:r>
          </w:p>
        </w:tc>
        <w:tc>
          <w:tcPr>
            <w:tcW w:w="1142" w:type="dxa"/>
            <w:tcBorders>
              <w:top w:val="nil"/>
            </w:tcBorders>
            <w:vAlign w:val="center"/>
          </w:tcPr>
          <w:p w:rsidR="00F936EC" w:rsidRPr="00E276DC" w:rsidRDefault="00DC73D5" w:rsidP="008F72A1">
            <w:pPr>
              <w:jc w:val="center"/>
              <w:rPr>
                <w:color w:val="212121"/>
              </w:rPr>
            </w:pPr>
            <w:r>
              <w:rPr>
                <w:color w:val="212121"/>
              </w:rPr>
              <w:t>1,3</w:t>
            </w:r>
          </w:p>
        </w:tc>
        <w:tc>
          <w:tcPr>
            <w:tcW w:w="1077" w:type="dxa"/>
            <w:tcBorders>
              <w:top w:val="nil"/>
              <w:right w:val="double" w:sz="4" w:space="0" w:color="auto"/>
            </w:tcBorders>
            <w:vAlign w:val="center"/>
          </w:tcPr>
          <w:p w:rsidR="00F936EC" w:rsidRPr="00E276DC" w:rsidRDefault="00DC73D5" w:rsidP="008F72A1">
            <w:pPr>
              <w:jc w:val="center"/>
              <w:rPr>
                <w:color w:val="212121"/>
              </w:rPr>
            </w:pPr>
            <w:r>
              <w:rPr>
                <w:color w:val="212121"/>
              </w:rPr>
              <w:t>-2,3</w:t>
            </w:r>
          </w:p>
        </w:tc>
        <w:tc>
          <w:tcPr>
            <w:tcW w:w="959" w:type="dxa"/>
            <w:tcBorders>
              <w:top w:val="nil"/>
              <w:left w:val="double" w:sz="4" w:space="0" w:color="auto"/>
            </w:tcBorders>
            <w:vAlign w:val="center"/>
          </w:tcPr>
          <w:p w:rsidR="00F936EC" w:rsidRPr="00E276DC" w:rsidRDefault="00DC73D5" w:rsidP="008F72A1">
            <w:pPr>
              <w:jc w:val="center"/>
              <w:rPr>
                <w:color w:val="212121"/>
              </w:rPr>
            </w:pPr>
            <w:r>
              <w:rPr>
                <w:color w:val="212121"/>
              </w:rPr>
              <w:t>-4,4</w:t>
            </w:r>
          </w:p>
        </w:tc>
        <w:tc>
          <w:tcPr>
            <w:tcW w:w="959" w:type="dxa"/>
            <w:tcBorders>
              <w:top w:val="nil"/>
            </w:tcBorders>
            <w:vAlign w:val="center"/>
          </w:tcPr>
          <w:p w:rsidR="00F936EC" w:rsidRPr="00E276DC" w:rsidRDefault="00DC73D5" w:rsidP="008F72A1">
            <w:pPr>
              <w:jc w:val="center"/>
              <w:rPr>
                <w:color w:val="212121"/>
              </w:rPr>
            </w:pPr>
            <w:r>
              <w:rPr>
                <w:color w:val="212121"/>
              </w:rPr>
              <w:t>-1,2</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Finansal göstergeler</w:t>
            </w:r>
          </w:p>
        </w:tc>
        <w:tc>
          <w:tcPr>
            <w:tcW w:w="1165" w:type="dxa"/>
            <w:tcBorders>
              <w:bottom w:val="nil"/>
            </w:tcBorders>
            <w:vAlign w:val="center"/>
          </w:tcPr>
          <w:p w:rsidR="00F936EC" w:rsidRPr="00E276DC" w:rsidRDefault="00F936EC" w:rsidP="008F72A1">
            <w:pPr>
              <w:jc w:val="center"/>
              <w:rPr>
                <w:color w:val="212121"/>
              </w:rPr>
            </w:pPr>
          </w:p>
        </w:tc>
        <w:tc>
          <w:tcPr>
            <w:tcW w:w="1086" w:type="dxa"/>
            <w:tcBorders>
              <w:bottom w:val="nil"/>
            </w:tcBorders>
            <w:vAlign w:val="center"/>
          </w:tcPr>
          <w:p w:rsidR="00F936EC" w:rsidRPr="00E276DC" w:rsidRDefault="00F936EC" w:rsidP="008F72A1">
            <w:pPr>
              <w:jc w:val="center"/>
              <w:rPr>
                <w:color w:val="212121"/>
              </w:rPr>
            </w:pPr>
          </w:p>
        </w:tc>
        <w:tc>
          <w:tcPr>
            <w:tcW w:w="1142" w:type="dxa"/>
            <w:tcBorders>
              <w:bottom w:val="nil"/>
            </w:tcBorders>
            <w:vAlign w:val="center"/>
          </w:tcPr>
          <w:p w:rsidR="00F936EC" w:rsidRPr="00E276DC" w:rsidRDefault="00F936EC" w:rsidP="008F72A1">
            <w:pPr>
              <w:jc w:val="center"/>
              <w:rPr>
                <w:color w:val="212121"/>
              </w:rPr>
            </w:pPr>
          </w:p>
        </w:tc>
        <w:tc>
          <w:tcPr>
            <w:tcW w:w="1077" w:type="dxa"/>
            <w:tcBorders>
              <w:bottom w:val="nil"/>
              <w:right w:val="double" w:sz="4" w:space="0" w:color="auto"/>
            </w:tcBorders>
            <w:vAlign w:val="center"/>
          </w:tcPr>
          <w:p w:rsidR="00F936EC" w:rsidRPr="00E276DC" w:rsidRDefault="00F936EC" w:rsidP="008F72A1">
            <w:pPr>
              <w:jc w:val="center"/>
              <w:rPr>
                <w:color w:val="212121"/>
              </w:rPr>
            </w:pPr>
          </w:p>
        </w:tc>
        <w:tc>
          <w:tcPr>
            <w:tcW w:w="959" w:type="dxa"/>
            <w:tcBorders>
              <w:left w:val="double" w:sz="4" w:space="0" w:color="auto"/>
              <w:bottom w:val="nil"/>
            </w:tcBorders>
            <w:vAlign w:val="center"/>
          </w:tcPr>
          <w:p w:rsidR="00F936EC" w:rsidRPr="00E276DC" w:rsidRDefault="00F936EC" w:rsidP="008F72A1">
            <w:pPr>
              <w:jc w:val="center"/>
              <w:rPr>
                <w:color w:val="212121"/>
              </w:rPr>
            </w:pPr>
          </w:p>
        </w:tc>
        <w:tc>
          <w:tcPr>
            <w:tcW w:w="959" w:type="dxa"/>
            <w:tcBorders>
              <w:bottom w:val="nil"/>
            </w:tcBorders>
            <w:vAlign w:val="center"/>
          </w:tcPr>
          <w:p w:rsidR="00F936EC" w:rsidRPr="00E276DC" w:rsidRDefault="00F936EC" w:rsidP="008F72A1">
            <w:pPr>
              <w:jc w:val="center"/>
              <w:rPr>
                <w:color w:val="212121"/>
              </w:rPr>
            </w:pP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BİST 100</w:t>
            </w:r>
          </w:p>
        </w:tc>
        <w:tc>
          <w:tcPr>
            <w:tcW w:w="1165" w:type="dxa"/>
            <w:tcBorders>
              <w:top w:val="nil"/>
            </w:tcBorders>
            <w:vAlign w:val="center"/>
          </w:tcPr>
          <w:p w:rsidR="00F936EC" w:rsidRPr="00E276DC" w:rsidRDefault="004313AE" w:rsidP="008F72A1">
            <w:pPr>
              <w:jc w:val="center"/>
              <w:rPr>
                <w:color w:val="212121"/>
              </w:rPr>
            </w:pPr>
            <w:r>
              <w:rPr>
                <w:color w:val="212121"/>
              </w:rPr>
              <w:t>-5,3</w:t>
            </w:r>
          </w:p>
        </w:tc>
        <w:tc>
          <w:tcPr>
            <w:tcW w:w="1086" w:type="dxa"/>
            <w:tcBorders>
              <w:top w:val="nil"/>
            </w:tcBorders>
            <w:vAlign w:val="center"/>
          </w:tcPr>
          <w:p w:rsidR="00F936EC" w:rsidRPr="00E276DC" w:rsidRDefault="004313AE" w:rsidP="008F72A1">
            <w:pPr>
              <w:jc w:val="center"/>
              <w:rPr>
                <w:color w:val="212121"/>
              </w:rPr>
            </w:pPr>
            <w:r>
              <w:rPr>
                <w:color w:val="212121"/>
              </w:rPr>
              <w:t>-2,2</w:t>
            </w:r>
          </w:p>
        </w:tc>
        <w:tc>
          <w:tcPr>
            <w:tcW w:w="1142" w:type="dxa"/>
            <w:tcBorders>
              <w:top w:val="nil"/>
            </w:tcBorders>
            <w:vAlign w:val="center"/>
          </w:tcPr>
          <w:p w:rsidR="00F936EC" w:rsidRPr="00E276DC" w:rsidRDefault="004313AE" w:rsidP="008F72A1">
            <w:pPr>
              <w:jc w:val="center"/>
              <w:rPr>
                <w:color w:val="212121"/>
              </w:rPr>
            </w:pPr>
            <w:r>
              <w:rPr>
                <w:color w:val="212121"/>
              </w:rPr>
              <w:t>1,1</w:t>
            </w:r>
          </w:p>
        </w:tc>
        <w:tc>
          <w:tcPr>
            <w:tcW w:w="1077" w:type="dxa"/>
            <w:tcBorders>
              <w:top w:val="nil"/>
              <w:right w:val="double" w:sz="4" w:space="0" w:color="auto"/>
            </w:tcBorders>
            <w:vAlign w:val="center"/>
          </w:tcPr>
          <w:p w:rsidR="00F936EC" w:rsidRPr="00E276DC" w:rsidRDefault="004313AE" w:rsidP="008F72A1">
            <w:pPr>
              <w:jc w:val="center"/>
              <w:rPr>
                <w:color w:val="212121"/>
              </w:rPr>
            </w:pPr>
            <w:r>
              <w:rPr>
                <w:color w:val="212121"/>
              </w:rPr>
              <w:t>0,1</w:t>
            </w:r>
          </w:p>
        </w:tc>
        <w:tc>
          <w:tcPr>
            <w:tcW w:w="959" w:type="dxa"/>
            <w:tcBorders>
              <w:top w:val="nil"/>
              <w:left w:val="double" w:sz="4" w:space="0" w:color="auto"/>
            </w:tcBorders>
            <w:vAlign w:val="center"/>
          </w:tcPr>
          <w:p w:rsidR="00F936EC" w:rsidRPr="00E276DC" w:rsidRDefault="004313AE" w:rsidP="008F72A1">
            <w:pPr>
              <w:jc w:val="center"/>
              <w:rPr>
                <w:color w:val="212121"/>
              </w:rPr>
            </w:pPr>
            <w:r>
              <w:rPr>
                <w:color w:val="212121"/>
              </w:rPr>
              <w:t>4,2</w:t>
            </w:r>
          </w:p>
        </w:tc>
        <w:tc>
          <w:tcPr>
            <w:tcW w:w="959" w:type="dxa"/>
            <w:tcBorders>
              <w:top w:val="nil"/>
            </w:tcBorders>
            <w:vAlign w:val="center"/>
          </w:tcPr>
          <w:p w:rsidR="00F936EC" w:rsidRPr="00E276DC" w:rsidRDefault="004313AE" w:rsidP="008F72A1">
            <w:pPr>
              <w:jc w:val="center"/>
              <w:rPr>
                <w:color w:val="212121"/>
              </w:rPr>
            </w:pPr>
            <w:r>
              <w:rPr>
                <w:color w:val="212121"/>
              </w:rPr>
              <w:t>-5,8</w:t>
            </w: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b/>
                <w:bCs/>
                <w:color w:val="212121"/>
                <w:sz w:val="22"/>
                <w:szCs w:val="22"/>
              </w:rPr>
              <w:t>Diğerleri</w:t>
            </w:r>
          </w:p>
        </w:tc>
        <w:tc>
          <w:tcPr>
            <w:tcW w:w="1165" w:type="dxa"/>
            <w:tcBorders>
              <w:bottom w:val="nil"/>
            </w:tcBorders>
            <w:vAlign w:val="center"/>
          </w:tcPr>
          <w:p w:rsidR="00F936EC" w:rsidRPr="00E276DC" w:rsidRDefault="00F936EC" w:rsidP="008F72A1">
            <w:pPr>
              <w:jc w:val="center"/>
              <w:rPr>
                <w:color w:val="212121"/>
              </w:rPr>
            </w:pPr>
          </w:p>
        </w:tc>
        <w:tc>
          <w:tcPr>
            <w:tcW w:w="1086" w:type="dxa"/>
            <w:tcBorders>
              <w:bottom w:val="nil"/>
            </w:tcBorders>
            <w:vAlign w:val="center"/>
          </w:tcPr>
          <w:p w:rsidR="00F936EC" w:rsidRPr="00E276DC" w:rsidRDefault="00F936EC" w:rsidP="008F72A1">
            <w:pPr>
              <w:jc w:val="center"/>
              <w:rPr>
                <w:color w:val="212121"/>
              </w:rPr>
            </w:pPr>
          </w:p>
        </w:tc>
        <w:tc>
          <w:tcPr>
            <w:tcW w:w="1142" w:type="dxa"/>
            <w:tcBorders>
              <w:bottom w:val="nil"/>
            </w:tcBorders>
            <w:vAlign w:val="center"/>
          </w:tcPr>
          <w:p w:rsidR="00F936EC" w:rsidRPr="00E276DC" w:rsidRDefault="00F936EC" w:rsidP="008F72A1">
            <w:pPr>
              <w:jc w:val="center"/>
              <w:rPr>
                <w:color w:val="212121"/>
              </w:rPr>
            </w:pPr>
          </w:p>
        </w:tc>
        <w:tc>
          <w:tcPr>
            <w:tcW w:w="1077" w:type="dxa"/>
            <w:tcBorders>
              <w:bottom w:val="nil"/>
              <w:right w:val="double" w:sz="4" w:space="0" w:color="auto"/>
            </w:tcBorders>
            <w:vAlign w:val="center"/>
          </w:tcPr>
          <w:p w:rsidR="00F936EC" w:rsidRPr="00E276DC" w:rsidRDefault="00F936EC" w:rsidP="008F72A1">
            <w:pPr>
              <w:jc w:val="center"/>
              <w:rPr>
                <w:color w:val="212121"/>
              </w:rPr>
            </w:pPr>
          </w:p>
        </w:tc>
        <w:tc>
          <w:tcPr>
            <w:tcW w:w="959" w:type="dxa"/>
            <w:tcBorders>
              <w:left w:val="double" w:sz="4" w:space="0" w:color="auto"/>
              <w:bottom w:val="nil"/>
            </w:tcBorders>
            <w:vAlign w:val="center"/>
          </w:tcPr>
          <w:p w:rsidR="00F936EC" w:rsidRPr="00E276DC" w:rsidRDefault="00F936EC" w:rsidP="008F72A1">
            <w:pPr>
              <w:jc w:val="center"/>
              <w:rPr>
                <w:color w:val="212121"/>
              </w:rPr>
            </w:pPr>
          </w:p>
        </w:tc>
        <w:tc>
          <w:tcPr>
            <w:tcW w:w="959" w:type="dxa"/>
            <w:tcBorders>
              <w:bottom w:val="nil"/>
            </w:tcBorders>
            <w:vAlign w:val="center"/>
          </w:tcPr>
          <w:p w:rsidR="00F936EC" w:rsidRPr="00E276DC" w:rsidRDefault="00F936EC" w:rsidP="008F72A1">
            <w:pPr>
              <w:jc w:val="center"/>
              <w:rPr>
                <w:color w:val="212121"/>
              </w:rPr>
            </w:pPr>
          </w:p>
        </w:tc>
      </w:tr>
      <w:tr w:rsidR="00F936EC" w:rsidRPr="00C45AC0" w:rsidTr="00F35C3E">
        <w:trPr>
          <w:trHeight w:val="370"/>
        </w:trPr>
        <w:tc>
          <w:tcPr>
            <w:tcW w:w="3134" w:type="dxa"/>
            <w:tcBorders>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Hükümet Harcamaları</w:t>
            </w:r>
            <w:bookmarkStart w:id="1" w:name="OLE_LINK2"/>
            <w:bookmarkStart w:id="2" w:name="OLE_LINK3"/>
            <w:bookmarkStart w:id="3" w:name="OLE_LINK1"/>
            <w:bookmarkEnd w:id="1"/>
            <w:bookmarkEnd w:id="2"/>
            <w:r>
              <w:rPr>
                <w:rFonts w:ascii="Calibri" w:hAnsi="Calibri"/>
                <w:color w:val="212121"/>
                <w:sz w:val="22"/>
                <w:szCs w:val="22"/>
              </w:rPr>
              <w:t>⁰</w:t>
            </w:r>
            <w:bookmarkEnd w:id="3"/>
          </w:p>
        </w:tc>
        <w:tc>
          <w:tcPr>
            <w:tcW w:w="1165" w:type="dxa"/>
            <w:tcBorders>
              <w:bottom w:val="nil"/>
            </w:tcBorders>
            <w:vAlign w:val="center"/>
          </w:tcPr>
          <w:p w:rsidR="00F936EC" w:rsidRPr="00E276DC" w:rsidRDefault="00F936EC" w:rsidP="008F72A1">
            <w:pPr>
              <w:jc w:val="center"/>
              <w:rPr>
                <w:color w:val="212121"/>
              </w:rPr>
            </w:pPr>
          </w:p>
        </w:tc>
        <w:tc>
          <w:tcPr>
            <w:tcW w:w="1086" w:type="dxa"/>
            <w:tcBorders>
              <w:bottom w:val="nil"/>
            </w:tcBorders>
            <w:vAlign w:val="center"/>
          </w:tcPr>
          <w:p w:rsidR="00F936EC" w:rsidRPr="00E276DC" w:rsidRDefault="00F936EC" w:rsidP="008F72A1">
            <w:pPr>
              <w:jc w:val="center"/>
              <w:rPr>
                <w:color w:val="212121"/>
              </w:rPr>
            </w:pPr>
          </w:p>
        </w:tc>
        <w:tc>
          <w:tcPr>
            <w:tcW w:w="1142" w:type="dxa"/>
            <w:tcBorders>
              <w:bottom w:val="nil"/>
            </w:tcBorders>
            <w:vAlign w:val="center"/>
          </w:tcPr>
          <w:p w:rsidR="00F936EC" w:rsidRPr="00E276DC" w:rsidRDefault="00F936EC" w:rsidP="008F72A1">
            <w:pPr>
              <w:jc w:val="center"/>
              <w:rPr>
                <w:color w:val="212121"/>
              </w:rPr>
            </w:pPr>
          </w:p>
        </w:tc>
        <w:tc>
          <w:tcPr>
            <w:tcW w:w="1077" w:type="dxa"/>
            <w:tcBorders>
              <w:bottom w:val="nil"/>
              <w:right w:val="double" w:sz="4" w:space="0" w:color="auto"/>
            </w:tcBorders>
            <w:vAlign w:val="center"/>
          </w:tcPr>
          <w:p w:rsidR="00F936EC" w:rsidRPr="00E276DC" w:rsidRDefault="00F936EC" w:rsidP="008F72A1">
            <w:pPr>
              <w:jc w:val="center"/>
              <w:rPr>
                <w:color w:val="212121"/>
              </w:rPr>
            </w:pPr>
          </w:p>
        </w:tc>
        <w:tc>
          <w:tcPr>
            <w:tcW w:w="959" w:type="dxa"/>
            <w:tcBorders>
              <w:left w:val="double" w:sz="4" w:space="0" w:color="auto"/>
              <w:bottom w:val="nil"/>
            </w:tcBorders>
            <w:vAlign w:val="center"/>
          </w:tcPr>
          <w:p w:rsidR="00F936EC" w:rsidRPr="00E276DC" w:rsidRDefault="00F936EC" w:rsidP="008F72A1">
            <w:pPr>
              <w:jc w:val="center"/>
              <w:rPr>
                <w:color w:val="212121"/>
              </w:rPr>
            </w:pPr>
          </w:p>
        </w:tc>
        <w:tc>
          <w:tcPr>
            <w:tcW w:w="959" w:type="dxa"/>
            <w:tcBorders>
              <w:bottom w:val="nil"/>
            </w:tcBorders>
            <w:vAlign w:val="center"/>
          </w:tcPr>
          <w:p w:rsidR="00F936EC" w:rsidRPr="00E276DC" w:rsidRDefault="00F936EC" w:rsidP="008F72A1">
            <w:pPr>
              <w:jc w:val="center"/>
              <w:rPr>
                <w:color w:val="212121"/>
              </w:rPr>
            </w:pP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Özel tüketim vergisi (ÖTV)</w:t>
            </w:r>
          </w:p>
        </w:tc>
        <w:tc>
          <w:tcPr>
            <w:tcW w:w="1165" w:type="dxa"/>
            <w:tcBorders>
              <w:top w:val="nil"/>
              <w:bottom w:val="nil"/>
            </w:tcBorders>
            <w:vAlign w:val="center"/>
          </w:tcPr>
          <w:p w:rsidR="00F936EC" w:rsidRPr="00E276DC" w:rsidRDefault="004313AE" w:rsidP="008F72A1">
            <w:pPr>
              <w:jc w:val="center"/>
              <w:rPr>
                <w:color w:val="212121"/>
              </w:rPr>
            </w:pPr>
            <w:r>
              <w:rPr>
                <w:color w:val="212121"/>
              </w:rPr>
              <w:t>0,1</w:t>
            </w:r>
          </w:p>
        </w:tc>
        <w:tc>
          <w:tcPr>
            <w:tcW w:w="1086" w:type="dxa"/>
            <w:tcBorders>
              <w:top w:val="nil"/>
              <w:bottom w:val="nil"/>
            </w:tcBorders>
            <w:vAlign w:val="center"/>
          </w:tcPr>
          <w:p w:rsidR="00F936EC" w:rsidRPr="00E276DC" w:rsidRDefault="004313AE" w:rsidP="008F72A1">
            <w:pPr>
              <w:jc w:val="center"/>
              <w:rPr>
                <w:color w:val="212121"/>
              </w:rPr>
            </w:pPr>
            <w:r>
              <w:rPr>
                <w:color w:val="212121"/>
              </w:rPr>
              <w:t>0,7</w:t>
            </w:r>
          </w:p>
        </w:tc>
        <w:tc>
          <w:tcPr>
            <w:tcW w:w="1142" w:type="dxa"/>
            <w:tcBorders>
              <w:top w:val="nil"/>
              <w:bottom w:val="nil"/>
            </w:tcBorders>
            <w:vAlign w:val="center"/>
          </w:tcPr>
          <w:p w:rsidR="00F936EC" w:rsidRPr="00E276DC" w:rsidRDefault="004313AE" w:rsidP="008F72A1">
            <w:pPr>
              <w:jc w:val="center"/>
              <w:rPr>
                <w:color w:val="212121"/>
              </w:rPr>
            </w:pPr>
            <w:r>
              <w:rPr>
                <w:color w:val="212121"/>
              </w:rPr>
              <w:t>-0,1</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-0,6</w:t>
            </w:r>
          </w:p>
        </w:tc>
        <w:tc>
          <w:tcPr>
            <w:tcW w:w="959" w:type="dxa"/>
            <w:tcBorders>
              <w:top w:val="nil"/>
              <w:left w:val="double" w:sz="4" w:space="0" w:color="auto"/>
              <w:bottom w:val="nil"/>
            </w:tcBorders>
            <w:vAlign w:val="center"/>
          </w:tcPr>
          <w:p w:rsidR="00F936EC" w:rsidRPr="00E276DC" w:rsidRDefault="00942461" w:rsidP="008F72A1">
            <w:pPr>
              <w:jc w:val="center"/>
              <w:rPr>
                <w:color w:val="212121"/>
              </w:rPr>
            </w:pPr>
            <w:r>
              <w:rPr>
                <w:color w:val="212121"/>
              </w:rPr>
              <w:t>3,3</w:t>
            </w:r>
          </w:p>
        </w:tc>
        <w:tc>
          <w:tcPr>
            <w:tcW w:w="959" w:type="dxa"/>
            <w:tcBorders>
              <w:top w:val="nil"/>
              <w:bottom w:val="nil"/>
            </w:tcBorders>
            <w:vAlign w:val="center"/>
          </w:tcPr>
          <w:p w:rsidR="00F936EC" w:rsidRPr="00E276DC" w:rsidRDefault="00942461" w:rsidP="008F72A1">
            <w:pPr>
              <w:jc w:val="center"/>
              <w:rPr>
                <w:color w:val="212121"/>
              </w:rPr>
            </w:pPr>
            <w:r>
              <w:rPr>
                <w:color w:val="212121"/>
              </w:rPr>
              <w:t>0,6</w:t>
            </w:r>
          </w:p>
        </w:tc>
      </w:tr>
      <w:tr w:rsidR="00F936EC" w:rsidRPr="00C45AC0" w:rsidTr="00F35C3E">
        <w:trPr>
          <w:trHeight w:val="370"/>
        </w:trPr>
        <w:tc>
          <w:tcPr>
            <w:tcW w:w="3134" w:type="dxa"/>
            <w:tcBorders>
              <w:top w:val="nil"/>
              <w:bottom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Binek otomobil üretimi</w:t>
            </w:r>
          </w:p>
        </w:tc>
        <w:tc>
          <w:tcPr>
            <w:tcW w:w="1165" w:type="dxa"/>
            <w:tcBorders>
              <w:top w:val="nil"/>
              <w:bottom w:val="nil"/>
            </w:tcBorders>
            <w:vAlign w:val="center"/>
          </w:tcPr>
          <w:p w:rsidR="00F936EC" w:rsidRPr="00E276DC" w:rsidRDefault="004313AE" w:rsidP="008F72A1">
            <w:pPr>
              <w:jc w:val="center"/>
              <w:rPr>
                <w:color w:val="212121"/>
              </w:rPr>
            </w:pPr>
            <w:r>
              <w:rPr>
                <w:color w:val="212121"/>
              </w:rPr>
              <w:t>2,9</w:t>
            </w:r>
          </w:p>
        </w:tc>
        <w:tc>
          <w:tcPr>
            <w:tcW w:w="1086" w:type="dxa"/>
            <w:tcBorders>
              <w:top w:val="nil"/>
              <w:bottom w:val="nil"/>
            </w:tcBorders>
            <w:vAlign w:val="center"/>
          </w:tcPr>
          <w:p w:rsidR="00F936EC" w:rsidRPr="00E276DC" w:rsidRDefault="004313AE" w:rsidP="008F72A1">
            <w:pPr>
              <w:jc w:val="center"/>
              <w:rPr>
                <w:color w:val="212121"/>
              </w:rPr>
            </w:pPr>
            <w:r>
              <w:rPr>
                <w:color w:val="212121"/>
              </w:rPr>
              <w:t>-4,3</w:t>
            </w:r>
          </w:p>
        </w:tc>
        <w:tc>
          <w:tcPr>
            <w:tcW w:w="1142" w:type="dxa"/>
            <w:tcBorders>
              <w:top w:val="nil"/>
              <w:bottom w:val="nil"/>
            </w:tcBorders>
            <w:vAlign w:val="center"/>
          </w:tcPr>
          <w:p w:rsidR="00F936EC" w:rsidRPr="00E276DC" w:rsidRDefault="004313AE" w:rsidP="008F72A1">
            <w:pPr>
              <w:jc w:val="center"/>
              <w:rPr>
                <w:color w:val="212121"/>
              </w:rPr>
            </w:pPr>
            <w:r>
              <w:rPr>
                <w:color w:val="212121"/>
              </w:rPr>
              <w:t>-27,0</w:t>
            </w:r>
          </w:p>
        </w:tc>
        <w:tc>
          <w:tcPr>
            <w:tcW w:w="1077" w:type="dxa"/>
            <w:tcBorders>
              <w:top w:val="nil"/>
              <w:bottom w:val="nil"/>
              <w:right w:val="double" w:sz="4" w:space="0" w:color="auto"/>
            </w:tcBorders>
            <w:vAlign w:val="center"/>
          </w:tcPr>
          <w:p w:rsidR="00F936EC" w:rsidRPr="00E276DC" w:rsidRDefault="004313AE" w:rsidP="008F72A1">
            <w:pPr>
              <w:jc w:val="center"/>
              <w:rPr>
                <w:color w:val="212121"/>
              </w:rPr>
            </w:pPr>
            <w:r>
              <w:rPr>
                <w:color w:val="212121"/>
              </w:rPr>
              <w:t>44,3</w:t>
            </w:r>
          </w:p>
        </w:tc>
        <w:tc>
          <w:tcPr>
            <w:tcW w:w="959" w:type="dxa"/>
            <w:tcBorders>
              <w:top w:val="nil"/>
              <w:left w:val="double" w:sz="4" w:space="0" w:color="auto"/>
              <w:bottom w:val="nil"/>
            </w:tcBorders>
            <w:vAlign w:val="center"/>
          </w:tcPr>
          <w:p w:rsidR="00F936EC" w:rsidRPr="00E276DC" w:rsidRDefault="004313AE" w:rsidP="008F72A1">
            <w:pPr>
              <w:jc w:val="center"/>
              <w:rPr>
                <w:color w:val="212121"/>
              </w:rPr>
            </w:pPr>
            <w:r>
              <w:rPr>
                <w:color w:val="212121"/>
              </w:rPr>
              <w:t>2,0</w:t>
            </w:r>
          </w:p>
        </w:tc>
        <w:tc>
          <w:tcPr>
            <w:tcW w:w="959" w:type="dxa"/>
            <w:tcBorders>
              <w:top w:val="nil"/>
              <w:bottom w:val="nil"/>
            </w:tcBorders>
            <w:vAlign w:val="center"/>
          </w:tcPr>
          <w:p w:rsidR="00F936EC" w:rsidRPr="00E276DC" w:rsidRDefault="004313AE" w:rsidP="008F72A1">
            <w:pPr>
              <w:jc w:val="center"/>
              <w:rPr>
                <w:color w:val="212121"/>
              </w:rPr>
            </w:pPr>
            <w:r>
              <w:rPr>
                <w:color w:val="212121"/>
              </w:rPr>
              <w:t>-8,7</w:t>
            </w:r>
          </w:p>
        </w:tc>
      </w:tr>
      <w:tr w:rsidR="00F936EC" w:rsidRPr="00C45AC0" w:rsidTr="00F35C3E">
        <w:trPr>
          <w:trHeight w:val="370"/>
        </w:trPr>
        <w:tc>
          <w:tcPr>
            <w:tcW w:w="3134" w:type="dxa"/>
            <w:tcBorders>
              <w:top w:val="nil"/>
            </w:tcBorders>
            <w:vAlign w:val="center"/>
          </w:tcPr>
          <w:p w:rsidR="00F936EC" w:rsidRDefault="00F936EC" w:rsidP="008F72A1">
            <w:pPr>
              <w:jc w:val="center"/>
              <w:rPr>
                <w:rFonts w:ascii="Segoe UI" w:hAnsi="Segoe UI" w:cs="Segoe UI"/>
                <w:color w:val="212121"/>
                <w:sz w:val="23"/>
                <w:szCs w:val="23"/>
              </w:rPr>
            </w:pPr>
            <w:r>
              <w:rPr>
                <w:color w:val="212121"/>
                <w:sz w:val="22"/>
                <w:szCs w:val="22"/>
              </w:rPr>
              <w:t>Binek olmayan otomobil üretimi</w:t>
            </w:r>
          </w:p>
        </w:tc>
        <w:tc>
          <w:tcPr>
            <w:tcW w:w="1165" w:type="dxa"/>
            <w:tcBorders>
              <w:top w:val="nil"/>
            </w:tcBorders>
            <w:vAlign w:val="center"/>
          </w:tcPr>
          <w:p w:rsidR="00F936EC" w:rsidRPr="00E276DC" w:rsidRDefault="004313AE" w:rsidP="008F72A1">
            <w:pPr>
              <w:jc w:val="center"/>
              <w:rPr>
                <w:color w:val="212121"/>
              </w:rPr>
            </w:pPr>
            <w:r>
              <w:rPr>
                <w:color w:val="212121"/>
              </w:rPr>
              <w:t>5,1</w:t>
            </w:r>
          </w:p>
        </w:tc>
        <w:tc>
          <w:tcPr>
            <w:tcW w:w="1086" w:type="dxa"/>
            <w:tcBorders>
              <w:top w:val="nil"/>
            </w:tcBorders>
            <w:vAlign w:val="center"/>
          </w:tcPr>
          <w:p w:rsidR="00F936EC" w:rsidRPr="00E276DC" w:rsidRDefault="004313AE" w:rsidP="008F72A1">
            <w:pPr>
              <w:jc w:val="center"/>
              <w:rPr>
                <w:color w:val="212121"/>
              </w:rPr>
            </w:pPr>
            <w:r>
              <w:rPr>
                <w:color w:val="212121"/>
              </w:rPr>
              <w:t>5,4</w:t>
            </w:r>
          </w:p>
        </w:tc>
        <w:tc>
          <w:tcPr>
            <w:tcW w:w="1142" w:type="dxa"/>
            <w:tcBorders>
              <w:top w:val="nil"/>
            </w:tcBorders>
            <w:vAlign w:val="center"/>
          </w:tcPr>
          <w:p w:rsidR="00F936EC" w:rsidRPr="00E276DC" w:rsidRDefault="004313AE" w:rsidP="008F72A1">
            <w:pPr>
              <w:jc w:val="center"/>
              <w:rPr>
                <w:color w:val="212121"/>
              </w:rPr>
            </w:pPr>
            <w:r>
              <w:rPr>
                <w:color w:val="212121"/>
              </w:rPr>
              <w:t>-31,8</w:t>
            </w:r>
          </w:p>
        </w:tc>
        <w:tc>
          <w:tcPr>
            <w:tcW w:w="1077" w:type="dxa"/>
            <w:tcBorders>
              <w:top w:val="nil"/>
              <w:right w:val="double" w:sz="4" w:space="0" w:color="auto"/>
            </w:tcBorders>
            <w:vAlign w:val="center"/>
          </w:tcPr>
          <w:p w:rsidR="00F936EC" w:rsidRPr="00E276DC" w:rsidRDefault="004313AE" w:rsidP="008F72A1">
            <w:pPr>
              <w:jc w:val="center"/>
              <w:rPr>
                <w:color w:val="212121"/>
              </w:rPr>
            </w:pPr>
            <w:r>
              <w:rPr>
                <w:color w:val="212121"/>
              </w:rPr>
              <w:t>40,3</w:t>
            </w:r>
          </w:p>
        </w:tc>
        <w:tc>
          <w:tcPr>
            <w:tcW w:w="959" w:type="dxa"/>
            <w:tcBorders>
              <w:top w:val="nil"/>
              <w:left w:val="double" w:sz="4" w:space="0" w:color="auto"/>
            </w:tcBorders>
            <w:vAlign w:val="center"/>
          </w:tcPr>
          <w:p w:rsidR="00F936EC" w:rsidRPr="00E276DC" w:rsidRDefault="004313AE" w:rsidP="008F72A1">
            <w:pPr>
              <w:jc w:val="center"/>
              <w:rPr>
                <w:color w:val="212121"/>
              </w:rPr>
            </w:pPr>
            <w:r>
              <w:rPr>
                <w:color w:val="212121"/>
              </w:rPr>
              <w:t>9,0</w:t>
            </w:r>
          </w:p>
        </w:tc>
        <w:tc>
          <w:tcPr>
            <w:tcW w:w="959" w:type="dxa"/>
            <w:tcBorders>
              <w:top w:val="nil"/>
            </w:tcBorders>
            <w:vAlign w:val="center"/>
          </w:tcPr>
          <w:p w:rsidR="00F936EC" w:rsidRPr="00E276DC" w:rsidRDefault="004313AE" w:rsidP="008F72A1">
            <w:pPr>
              <w:jc w:val="center"/>
              <w:rPr>
                <w:color w:val="212121"/>
              </w:rPr>
            </w:pPr>
            <w:r>
              <w:rPr>
                <w:color w:val="212121"/>
              </w:rPr>
              <w:t>-3,8</w:t>
            </w:r>
          </w:p>
        </w:tc>
      </w:tr>
    </w:tbl>
    <w:p w:rsidR="00E012FF" w:rsidRPr="00C45AC0" w:rsidRDefault="00E012FF" w:rsidP="00E012FF">
      <w:pPr>
        <w:ind w:left="-720" w:right="43" w:firstLine="360"/>
        <w:jc w:val="both"/>
        <w:rPr>
          <w:sz w:val="16"/>
          <w:szCs w:val="16"/>
        </w:rPr>
      </w:pPr>
      <w:r w:rsidRPr="00C45AC0">
        <w:rPr>
          <w:sz w:val="16"/>
          <w:szCs w:val="16"/>
        </w:rPr>
        <w:t>Kaynak: TÜİK, TCMB, BIST, TDM, BETAM.</w:t>
      </w:r>
    </w:p>
    <w:p w:rsidR="00E012FF" w:rsidRPr="00C45AC0" w:rsidRDefault="00E012FF" w:rsidP="00E012FF">
      <w:pPr>
        <w:ind w:left="-720" w:right="43" w:firstLine="360"/>
        <w:jc w:val="both"/>
        <w:rPr>
          <w:sz w:val="16"/>
          <w:szCs w:val="16"/>
        </w:rPr>
      </w:pPr>
      <w:r w:rsidRPr="00C45AC0">
        <w:rPr>
          <w:sz w:val="16"/>
          <w:szCs w:val="16"/>
          <w:vertAlign w:val="superscript"/>
        </w:rPr>
        <w:t xml:space="preserve">† </w:t>
      </w:r>
      <w:r w:rsidRPr="00C45AC0">
        <w:rPr>
          <w:sz w:val="16"/>
          <w:szCs w:val="16"/>
        </w:rPr>
        <w:t>TCMB tarafından mevsimsellikten arındırılmıştır.</w:t>
      </w:r>
    </w:p>
    <w:p w:rsidR="00E012FF" w:rsidRPr="00C45AC0" w:rsidRDefault="00E012FF" w:rsidP="00E012FF">
      <w:pPr>
        <w:ind w:left="-360" w:right="43"/>
        <w:rPr>
          <w:sz w:val="16"/>
          <w:szCs w:val="16"/>
        </w:rPr>
      </w:pPr>
      <w:r w:rsidRPr="00C45AC0">
        <w:rPr>
          <w:sz w:val="16"/>
          <w:szCs w:val="16"/>
          <w:vertAlign w:val="superscript"/>
        </w:rPr>
        <w:t>‡</w:t>
      </w:r>
      <w:r w:rsidRPr="00C45AC0">
        <w:rPr>
          <w:sz w:val="16"/>
          <w:szCs w:val="16"/>
        </w:rPr>
        <w:t xml:space="preserve"> KKO ve alt kollarında diğer endekslerin aksine yüzde puan değişimleri veriliyor.</w:t>
      </w:r>
    </w:p>
    <w:p w:rsidR="00E012FF" w:rsidRPr="00C45AC0" w:rsidRDefault="00E012FF" w:rsidP="00E012FF">
      <w:pPr>
        <w:ind w:left="-720" w:right="43" w:firstLine="360"/>
        <w:jc w:val="both"/>
        <w:rPr>
          <w:sz w:val="16"/>
          <w:szCs w:val="16"/>
        </w:rPr>
      </w:pPr>
      <w:r w:rsidRPr="00C45AC0">
        <w:rPr>
          <w:sz w:val="16"/>
          <w:szCs w:val="16"/>
        </w:rPr>
        <w:t xml:space="preserve">*TÜİK tarafından mevsimsellikten arındırılmıştır. Diğer tüm veriler Betam tarafından mevsimsellikten arındırılmıştır. </w:t>
      </w:r>
    </w:p>
    <w:p w:rsidR="00E012FF" w:rsidRPr="00C45AC0" w:rsidRDefault="00E012FF" w:rsidP="00E012FF">
      <w:pPr>
        <w:ind w:left="-720" w:right="43" w:firstLine="360"/>
        <w:jc w:val="both"/>
        <w:rPr>
          <w:sz w:val="16"/>
          <w:szCs w:val="16"/>
        </w:rPr>
      </w:pPr>
      <w:r w:rsidRPr="00C45AC0">
        <w:rPr>
          <w:sz w:val="16"/>
          <w:szCs w:val="16"/>
        </w:rPr>
        <w:t>**Bu aya dair veri henüz açıklanmamıştır.</w:t>
      </w:r>
    </w:p>
    <w:p w:rsidR="00E012FF" w:rsidRPr="00C45AC0" w:rsidRDefault="00E012FF" w:rsidP="00E012FF">
      <w:pPr>
        <w:ind w:left="-360" w:right="43"/>
        <w:rPr>
          <w:sz w:val="16"/>
          <w:szCs w:val="16"/>
        </w:rPr>
      </w:pPr>
      <w:r w:rsidRPr="00C45AC0">
        <w:rPr>
          <w:sz w:val="16"/>
          <w:szCs w:val="16"/>
        </w:rPr>
        <w:t>*** Betam  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E012FF" w:rsidRDefault="00E012FF" w:rsidP="00E012FF">
      <w:pPr>
        <w:ind w:left="-360" w:right="43"/>
        <w:rPr>
          <w:sz w:val="16"/>
          <w:szCs w:val="16"/>
        </w:rPr>
      </w:pPr>
      <w:r w:rsidRPr="00C45AC0">
        <w:rPr>
          <w:rFonts w:ascii="Calibri" w:hAnsi="Calibri"/>
          <w:sz w:val="16"/>
          <w:szCs w:val="16"/>
        </w:rPr>
        <w:t>⁰</w:t>
      </w:r>
      <w:r w:rsidRPr="00C45AC0">
        <w:rPr>
          <w:sz w:val="16"/>
          <w:szCs w:val="16"/>
        </w:rPr>
        <w:t xml:space="preserve"> Cari transferler hariç hükümet harcamalarının toplamı, enflasyondan arındırılmış.</w:t>
      </w:r>
    </w:p>
    <w:p w:rsidR="00176F9E" w:rsidRDefault="00176F9E" w:rsidP="00E012FF">
      <w:pPr>
        <w:ind w:left="-360" w:right="43"/>
        <w:rPr>
          <w:sz w:val="16"/>
          <w:szCs w:val="16"/>
        </w:rPr>
      </w:pPr>
    </w:p>
    <w:p w:rsidR="008F72A1" w:rsidRPr="00C45AC0" w:rsidRDefault="008F72A1" w:rsidP="00E012FF">
      <w:pPr>
        <w:ind w:left="-360" w:right="43"/>
        <w:rPr>
          <w:sz w:val="16"/>
          <w:szCs w:val="16"/>
        </w:rPr>
      </w:pPr>
    </w:p>
    <w:p w:rsidR="00E012FF" w:rsidRPr="00C45AC0" w:rsidRDefault="00E012FF" w:rsidP="00E012FF">
      <w:pPr>
        <w:spacing w:line="360" w:lineRule="auto"/>
        <w:ind w:right="42"/>
        <w:jc w:val="both"/>
        <w:rPr>
          <w:sz w:val="22"/>
          <w:szCs w:val="22"/>
        </w:rPr>
        <w:sectPr w:rsidR="00E012FF" w:rsidRPr="00C45AC0" w:rsidSect="008651A8">
          <w:type w:val="continuous"/>
          <w:pgSz w:w="11906" w:h="16838"/>
          <w:pgMar w:top="1417" w:right="1417" w:bottom="1417" w:left="1417" w:header="708" w:footer="708" w:gutter="0"/>
          <w:cols w:space="708"/>
          <w:docGrid w:linePitch="360"/>
        </w:sectPr>
      </w:pPr>
    </w:p>
    <w:p w:rsidR="00517DD9" w:rsidRDefault="00517DD9" w:rsidP="00E012FF">
      <w:pPr>
        <w:ind w:left="-360" w:right="42"/>
        <w:jc w:val="both"/>
        <w:rPr>
          <w:b/>
          <w:bCs/>
          <w:sz w:val="22"/>
          <w:szCs w:val="22"/>
        </w:rPr>
      </w:pPr>
    </w:p>
    <w:p w:rsidR="00517DD9" w:rsidRDefault="00517DD9" w:rsidP="00E012FF">
      <w:pPr>
        <w:ind w:left="-360" w:right="42"/>
        <w:jc w:val="both"/>
        <w:rPr>
          <w:b/>
          <w:bCs/>
          <w:sz w:val="22"/>
          <w:szCs w:val="22"/>
        </w:rPr>
      </w:pPr>
    </w:p>
    <w:p w:rsidR="00517DD9" w:rsidRDefault="00517DD9" w:rsidP="00E012FF">
      <w:pPr>
        <w:ind w:left="-360" w:right="42"/>
        <w:jc w:val="both"/>
        <w:rPr>
          <w:b/>
          <w:bCs/>
          <w:sz w:val="22"/>
          <w:szCs w:val="22"/>
        </w:rPr>
      </w:pPr>
    </w:p>
    <w:p w:rsidR="00E012FF" w:rsidRPr="00C45AC0" w:rsidRDefault="00E012FF" w:rsidP="00E012FF">
      <w:pPr>
        <w:ind w:left="-360" w:right="42"/>
        <w:jc w:val="both"/>
        <w:rPr>
          <w:b/>
          <w:bCs/>
          <w:sz w:val="22"/>
          <w:szCs w:val="22"/>
        </w:rPr>
      </w:pPr>
      <w:r w:rsidRPr="00C45AC0">
        <w:rPr>
          <w:b/>
          <w:bCs/>
          <w:sz w:val="22"/>
          <w:szCs w:val="22"/>
        </w:rPr>
        <w:lastRenderedPageBreak/>
        <w:t>Şekil 1: Kapasite kullanım oranı ve sanayi üretim endeksi (mea)</w:t>
      </w:r>
    </w:p>
    <w:p w:rsidR="00E012FF" w:rsidRPr="00C45AC0" w:rsidRDefault="00E012FF" w:rsidP="00E012FF">
      <w:pPr>
        <w:ind w:left="-360" w:right="42"/>
        <w:jc w:val="both"/>
        <w:rPr>
          <w:b/>
          <w:bCs/>
          <w:sz w:val="8"/>
          <w:szCs w:val="8"/>
        </w:rPr>
      </w:pPr>
    </w:p>
    <w:p w:rsidR="00E012FF" w:rsidRPr="00C45AC0" w:rsidRDefault="00461E5F" w:rsidP="00E012FF">
      <w:pPr>
        <w:ind w:left="-360" w:right="42"/>
        <w:jc w:val="both"/>
      </w:pPr>
      <w:r>
        <w:rPr>
          <w:noProof/>
        </w:rPr>
        <w:drawing>
          <wp:inline distT="0" distB="0" distL="0" distR="0">
            <wp:extent cx="2655570" cy="22421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655570" cy="2242185"/>
                    </a:xfrm>
                    <a:prstGeom prst="rect">
                      <a:avLst/>
                    </a:prstGeom>
                    <a:noFill/>
                    <a:ln w="9525">
                      <a:noFill/>
                      <a:miter lim="800000"/>
                      <a:headEnd/>
                      <a:tailEnd/>
                    </a:ln>
                  </pic:spPr>
                </pic:pic>
              </a:graphicData>
            </a:graphic>
          </wp:inline>
        </w:drawing>
      </w:r>
    </w:p>
    <w:p w:rsidR="00E012FF" w:rsidRPr="00C45AC0" w:rsidRDefault="00E012FF" w:rsidP="00E012FF">
      <w:pPr>
        <w:ind w:left="-360" w:right="42"/>
        <w:jc w:val="both"/>
        <w:rPr>
          <w:sz w:val="18"/>
          <w:szCs w:val="18"/>
        </w:rPr>
      </w:pPr>
      <w:r w:rsidRPr="00C45AC0">
        <w:rPr>
          <w:sz w:val="18"/>
          <w:szCs w:val="18"/>
        </w:rPr>
        <w:t xml:space="preserve">Kaynak : TÜİK (sol taraf KKO ekseni, sağ taraf SÜE </w:t>
      </w:r>
    </w:p>
    <w:p w:rsidR="00E012FF" w:rsidRPr="00C45AC0" w:rsidRDefault="00E012FF" w:rsidP="00E012FF">
      <w:pPr>
        <w:ind w:left="-360" w:right="42"/>
        <w:jc w:val="both"/>
        <w:rPr>
          <w:sz w:val="18"/>
          <w:szCs w:val="18"/>
        </w:rPr>
      </w:pPr>
      <w:r w:rsidRPr="00C45AC0">
        <w:rPr>
          <w:sz w:val="18"/>
          <w:szCs w:val="18"/>
        </w:rPr>
        <w:t>ekseni).</w:t>
      </w:r>
    </w:p>
    <w:p w:rsidR="00E012FF" w:rsidRPr="00C45AC0" w:rsidRDefault="00E012FF" w:rsidP="00E012FF">
      <w:pPr>
        <w:ind w:left="-360" w:right="42"/>
        <w:jc w:val="both"/>
        <w:rPr>
          <w:b/>
          <w:bCs/>
          <w:sz w:val="10"/>
          <w:szCs w:val="10"/>
        </w:rPr>
      </w:pPr>
    </w:p>
    <w:p w:rsidR="00E012FF" w:rsidRPr="00C45AC0" w:rsidRDefault="00E012FF" w:rsidP="00E012FF">
      <w:pPr>
        <w:ind w:left="-360" w:right="42"/>
        <w:jc w:val="both"/>
        <w:rPr>
          <w:b/>
          <w:bCs/>
          <w:sz w:val="22"/>
          <w:szCs w:val="22"/>
        </w:rPr>
      </w:pPr>
      <w:r w:rsidRPr="00C45AC0">
        <w:rPr>
          <w:b/>
          <w:bCs/>
          <w:sz w:val="22"/>
          <w:szCs w:val="22"/>
        </w:rPr>
        <w:br/>
        <w:t>Şekil 3: Altın dahil cari açığın GSYH'a oranı, 12 aylık</w:t>
      </w:r>
    </w:p>
    <w:p w:rsidR="00E012FF" w:rsidRPr="00C45AC0" w:rsidRDefault="00E012FF" w:rsidP="00E012FF">
      <w:pPr>
        <w:ind w:left="-360" w:right="42"/>
        <w:jc w:val="both"/>
        <w:rPr>
          <w:b/>
          <w:bCs/>
          <w:sz w:val="8"/>
          <w:szCs w:val="8"/>
        </w:rPr>
      </w:pPr>
    </w:p>
    <w:p w:rsidR="00E012FF" w:rsidRPr="00C45AC0" w:rsidRDefault="00461E5F" w:rsidP="00E012FF">
      <w:pPr>
        <w:ind w:left="-360" w:right="42"/>
        <w:jc w:val="both"/>
      </w:pPr>
      <w:r>
        <w:rPr>
          <w:noProof/>
        </w:rPr>
        <w:drawing>
          <wp:inline distT="0" distB="0" distL="0" distR="0">
            <wp:extent cx="2655570" cy="22263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655570" cy="2226310"/>
                    </a:xfrm>
                    <a:prstGeom prst="rect">
                      <a:avLst/>
                    </a:prstGeom>
                    <a:noFill/>
                    <a:ln w="9525">
                      <a:noFill/>
                      <a:miter lim="800000"/>
                      <a:headEnd/>
                      <a:tailEnd/>
                    </a:ln>
                  </pic:spPr>
                </pic:pic>
              </a:graphicData>
            </a:graphic>
          </wp:inline>
        </w:drawing>
      </w:r>
    </w:p>
    <w:p w:rsidR="00E012FF" w:rsidRPr="00C45AC0" w:rsidRDefault="00E012FF" w:rsidP="00E012FF">
      <w:pPr>
        <w:ind w:left="-360" w:right="42"/>
        <w:jc w:val="both"/>
        <w:rPr>
          <w:sz w:val="16"/>
          <w:szCs w:val="16"/>
        </w:rPr>
      </w:pPr>
      <w:r w:rsidRPr="00C45AC0">
        <w:rPr>
          <w:sz w:val="16"/>
          <w:szCs w:val="16"/>
        </w:rPr>
        <w:t>Kaynak : TCMB,TÜİK, Betam.</w:t>
      </w:r>
    </w:p>
    <w:p w:rsidR="00E012FF" w:rsidRPr="00C45AC0" w:rsidRDefault="00176F9E" w:rsidP="00E012FF">
      <w:pPr>
        <w:ind w:left="-360" w:right="42"/>
        <w:jc w:val="both"/>
        <w:rPr>
          <w:b/>
          <w:bCs/>
          <w:sz w:val="22"/>
          <w:szCs w:val="22"/>
        </w:rPr>
      </w:pPr>
      <w:r>
        <w:rPr>
          <w:b/>
          <w:bCs/>
          <w:sz w:val="22"/>
          <w:szCs w:val="22"/>
        </w:rPr>
        <w:br/>
      </w:r>
      <w:r>
        <w:rPr>
          <w:b/>
          <w:bCs/>
          <w:sz w:val="22"/>
          <w:szCs w:val="22"/>
        </w:rPr>
        <w:br/>
      </w:r>
      <w:r w:rsidR="00E012FF" w:rsidRPr="00C45AC0">
        <w:rPr>
          <w:b/>
          <w:bCs/>
          <w:sz w:val="22"/>
          <w:szCs w:val="22"/>
        </w:rPr>
        <w:lastRenderedPageBreak/>
        <w:t>Şekil 2: İhracat ve ithalat miktar endeksleri (mea)</w:t>
      </w:r>
    </w:p>
    <w:p w:rsidR="00E012FF" w:rsidRPr="00C45AC0" w:rsidRDefault="00E012FF" w:rsidP="00E012FF">
      <w:pPr>
        <w:spacing w:line="360" w:lineRule="auto"/>
        <w:ind w:left="-360" w:right="42"/>
        <w:jc w:val="both"/>
        <w:rPr>
          <w:sz w:val="4"/>
          <w:szCs w:val="4"/>
        </w:rPr>
      </w:pPr>
    </w:p>
    <w:p w:rsidR="00E012FF" w:rsidRPr="00C45AC0" w:rsidRDefault="00461E5F" w:rsidP="008F72A1">
      <w:pPr>
        <w:ind w:left="-284" w:right="42"/>
        <w:jc w:val="both"/>
      </w:pPr>
      <w:r>
        <w:rPr>
          <w:noProof/>
        </w:rPr>
        <w:drawing>
          <wp:inline distT="0" distB="0" distL="0" distR="0">
            <wp:extent cx="2655570" cy="23056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655570" cy="2305685"/>
                    </a:xfrm>
                    <a:prstGeom prst="rect">
                      <a:avLst/>
                    </a:prstGeom>
                    <a:noFill/>
                    <a:ln w="9525">
                      <a:noFill/>
                      <a:miter lim="800000"/>
                      <a:headEnd/>
                      <a:tailEnd/>
                    </a:ln>
                  </pic:spPr>
                </pic:pic>
              </a:graphicData>
            </a:graphic>
          </wp:inline>
        </w:drawing>
      </w:r>
    </w:p>
    <w:p w:rsidR="00E012FF" w:rsidRPr="00C45AC0" w:rsidRDefault="00E012FF" w:rsidP="00E012FF">
      <w:pPr>
        <w:ind w:left="-360" w:right="42"/>
        <w:jc w:val="both"/>
        <w:rPr>
          <w:sz w:val="18"/>
          <w:szCs w:val="18"/>
        </w:rPr>
      </w:pPr>
      <w:r w:rsidRPr="00C45AC0">
        <w:rPr>
          <w:sz w:val="18"/>
          <w:szCs w:val="18"/>
        </w:rPr>
        <w:t>Kaynak : TÜİK.</w:t>
      </w:r>
    </w:p>
    <w:p w:rsidR="00E012FF" w:rsidRPr="00C45AC0" w:rsidRDefault="00E012FF" w:rsidP="00E012FF">
      <w:pPr>
        <w:ind w:left="-360" w:right="42"/>
        <w:jc w:val="both"/>
        <w:rPr>
          <w:b/>
          <w:bCs/>
          <w:sz w:val="18"/>
          <w:szCs w:val="18"/>
        </w:rPr>
      </w:pPr>
    </w:p>
    <w:p w:rsidR="00E012FF" w:rsidRPr="00C45AC0" w:rsidRDefault="00E012FF" w:rsidP="00E012FF">
      <w:pPr>
        <w:ind w:left="-360" w:right="42"/>
        <w:jc w:val="both"/>
        <w:rPr>
          <w:b/>
          <w:bCs/>
          <w:sz w:val="22"/>
          <w:szCs w:val="22"/>
        </w:rPr>
      </w:pPr>
      <w:r w:rsidRPr="00C45AC0">
        <w:rPr>
          <w:b/>
          <w:bCs/>
          <w:sz w:val="22"/>
          <w:szCs w:val="22"/>
        </w:rPr>
        <w:br/>
        <w:t>Şekil 4: Altın hariç cari açığın GSYH'a oranı, 12 aylık</w:t>
      </w:r>
    </w:p>
    <w:p w:rsidR="00E012FF" w:rsidRPr="00C45AC0" w:rsidRDefault="00E012FF" w:rsidP="00E012FF">
      <w:pPr>
        <w:spacing w:line="360" w:lineRule="auto"/>
        <w:ind w:left="-360" w:right="42"/>
        <w:jc w:val="both"/>
        <w:rPr>
          <w:sz w:val="4"/>
          <w:szCs w:val="4"/>
        </w:rPr>
      </w:pPr>
    </w:p>
    <w:p w:rsidR="00E012FF" w:rsidRPr="00C45AC0" w:rsidRDefault="00461E5F" w:rsidP="008F72A1">
      <w:pPr>
        <w:ind w:left="-284" w:right="42"/>
        <w:jc w:val="both"/>
      </w:pPr>
      <w:r>
        <w:rPr>
          <w:noProof/>
        </w:rPr>
        <w:drawing>
          <wp:inline distT="0" distB="0" distL="0" distR="0">
            <wp:extent cx="2655570" cy="22504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655570" cy="2250440"/>
                    </a:xfrm>
                    <a:prstGeom prst="rect">
                      <a:avLst/>
                    </a:prstGeom>
                    <a:noFill/>
                    <a:ln w="9525">
                      <a:noFill/>
                      <a:miter lim="800000"/>
                      <a:headEnd/>
                      <a:tailEnd/>
                    </a:ln>
                  </pic:spPr>
                </pic:pic>
              </a:graphicData>
            </a:graphic>
          </wp:inline>
        </w:drawing>
      </w:r>
    </w:p>
    <w:p w:rsidR="00E012FF" w:rsidRPr="00C45AC0" w:rsidRDefault="00E012FF" w:rsidP="00E012FF">
      <w:pPr>
        <w:ind w:left="-360" w:right="42"/>
        <w:jc w:val="both"/>
        <w:rPr>
          <w:sz w:val="16"/>
          <w:szCs w:val="16"/>
        </w:rPr>
      </w:pPr>
      <w:r w:rsidRPr="00C45AC0">
        <w:rPr>
          <w:sz w:val="16"/>
          <w:szCs w:val="16"/>
        </w:rPr>
        <w:t>Kaynak : TCMB, TÜİK, Betam.</w:t>
      </w:r>
    </w:p>
    <w:p w:rsidR="00E012FF" w:rsidRPr="00C45AC0" w:rsidRDefault="00E012FF" w:rsidP="00E012FF">
      <w:pPr>
        <w:spacing w:line="360" w:lineRule="auto"/>
        <w:ind w:right="42"/>
        <w:jc w:val="both"/>
        <w:rPr>
          <w:sz w:val="22"/>
          <w:szCs w:val="22"/>
        </w:rPr>
        <w:sectPr w:rsidR="00E012FF" w:rsidRPr="00C45AC0" w:rsidSect="007067F4">
          <w:type w:val="continuous"/>
          <w:pgSz w:w="11906" w:h="16838"/>
          <w:pgMar w:top="1417" w:right="1417" w:bottom="1417" w:left="1417" w:header="708" w:footer="708" w:gutter="0"/>
          <w:cols w:num="2" w:space="708" w:equalWidth="0">
            <w:col w:w="4182" w:space="708"/>
            <w:col w:w="4182"/>
          </w:cols>
          <w:docGrid w:linePitch="360"/>
        </w:sectPr>
      </w:pPr>
    </w:p>
    <w:p w:rsidR="00E012FF" w:rsidRPr="00C45AC0" w:rsidRDefault="00E012FF" w:rsidP="00E012FF">
      <w:pPr>
        <w:spacing w:line="360" w:lineRule="auto"/>
        <w:ind w:left="-360" w:right="42"/>
        <w:jc w:val="both"/>
        <w:rPr>
          <w:b/>
          <w:bCs/>
          <w:sz w:val="22"/>
          <w:szCs w:val="22"/>
        </w:rPr>
      </w:pPr>
    </w:p>
    <w:p w:rsidR="00E012FF" w:rsidRPr="00C04505" w:rsidRDefault="00E012FF" w:rsidP="00E012FF">
      <w:pPr>
        <w:ind w:left="-360" w:right="42"/>
        <w:rPr>
          <w:sz w:val="16"/>
          <w:szCs w:val="16"/>
        </w:rPr>
      </w:pPr>
      <w:r>
        <w:rPr>
          <w:sz w:val="18"/>
          <w:szCs w:val="18"/>
        </w:rPr>
        <w:tab/>
      </w: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Default="00E012FF" w:rsidP="00E012FF">
      <w:pPr>
        <w:ind w:left="-360" w:right="42"/>
        <w:jc w:val="both"/>
        <w:rPr>
          <w:b/>
          <w:bCs/>
          <w:sz w:val="22"/>
          <w:szCs w:val="22"/>
        </w:rPr>
      </w:pPr>
    </w:p>
    <w:p w:rsidR="00E012FF" w:rsidRPr="00C45AC0" w:rsidRDefault="00E012FF" w:rsidP="00E012FF">
      <w:pPr>
        <w:spacing w:line="360" w:lineRule="auto"/>
        <w:ind w:right="42"/>
        <w:jc w:val="both"/>
        <w:rPr>
          <w:b/>
          <w:bCs/>
          <w:sz w:val="22"/>
          <w:szCs w:val="22"/>
        </w:rPr>
      </w:pPr>
    </w:p>
    <w:p w:rsidR="008C6E09" w:rsidRPr="00C45AC0" w:rsidRDefault="008C6E09" w:rsidP="00E012FF">
      <w:pPr>
        <w:spacing w:line="360" w:lineRule="auto"/>
        <w:ind w:right="42"/>
        <w:jc w:val="both"/>
        <w:rPr>
          <w:b/>
          <w:bCs/>
          <w:sz w:val="22"/>
          <w:szCs w:val="22"/>
        </w:rPr>
      </w:pPr>
    </w:p>
    <w:sectPr w:rsidR="008C6E09" w:rsidRPr="00C45AC0"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2D" w:rsidRDefault="00CE332D">
      <w:r>
        <w:separator/>
      </w:r>
    </w:p>
  </w:endnote>
  <w:endnote w:type="continuationSeparator" w:id="0">
    <w:p w:rsidR="00CE332D" w:rsidRDefault="00CE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A43F29"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E51B7A">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A43F29"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E51B7A">
      <w:rPr>
        <w:rStyle w:val="PageNumber"/>
        <w:noProof/>
      </w:rPr>
      <w:t>6</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2D" w:rsidRDefault="00CE332D">
      <w:r>
        <w:separator/>
      </w:r>
    </w:p>
  </w:footnote>
  <w:footnote w:type="continuationSeparator" w:id="0">
    <w:p w:rsidR="00CE332D" w:rsidRDefault="00CE332D">
      <w:r>
        <w:continuationSeparator/>
      </w:r>
    </w:p>
  </w:footnote>
  <w:footnote w:id="1">
    <w:p w:rsidR="008F72A1" w:rsidRDefault="008F72A1" w:rsidP="008F72A1">
      <w:pPr>
        <w:pStyle w:val="FootnoteText"/>
        <w:ind w:left="-284"/>
        <w:jc w:val="both"/>
      </w:pPr>
      <w:r>
        <w:rPr>
          <w:rStyle w:val="FootnoteReference"/>
        </w:rPr>
        <w:footnoteRef/>
      </w:r>
      <w:r>
        <w:t xml:space="preserve"> Altın hariç reel ihracat mal ve hizmet ihracatından altın ihracatı çıkarılarak hesaplanmaktadır.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9F2"/>
    <w:rsid w:val="00004860"/>
    <w:rsid w:val="00004B78"/>
    <w:rsid w:val="0000507C"/>
    <w:rsid w:val="000056C3"/>
    <w:rsid w:val="0000704D"/>
    <w:rsid w:val="00011090"/>
    <w:rsid w:val="0001121A"/>
    <w:rsid w:val="000117B7"/>
    <w:rsid w:val="0001288B"/>
    <w:rsid w:val="000144EB"/>
    <w:rsid w:val="000150D2"/>
    <w:rsid w:val="00017809"/>
    <w:rsid w:val="0002037B"/>
    <w:rsid w:val="000205A1"/>
    <w:rsid w:val="000208EA"/>
    <w:rsid w:val="000212AC"/>
    <w:rsid w:val="000217AE"/>
    <w:rsid w:val="000224B9"/>
    <w:rsid w:val="000232EC"/>
    <w:rsid w:val="000233A7"/>
    <w:rsid w:val="00024559"/>
    <w:rsid w:val="000262EC"/>
    <w:rsid w:val="00026F21"/>
    <w:rsid w:val="00027FC3"/>
    <w:rsid w:val="000311C6"/>
    <w:rsid w:val="00031D72"/>
    <w:rsid w:val="0003248D"/>
    <w:rsid w:val="00033700"/>
    <w:rsid w:val="00033AF8"/>
    <w:rsid w:val="00034090"/>
    <w:rsid w:val="0003546D"/>
    <w:rsid w:val="000449FC"/>
    <w:rsid w:val="00045C5A"/>
    <w:rsid w:val="00047B99"/>
    <w:rsid w:val="00047E9F"/>
    <w:rsid w:val="0005037D"/>
    <w:rsid w:val="00050453"/>
    <w:rsid w:val="000507D6"/>
    <w:rsid w:val="000509A3"/>
    <w:rsid w:val="00052AD4"/>
    <w:rsid w:val="00052D7A"/>
    <w:rsid w:val="00052EFB"/>
    <w:rsid w:val="00054BD3"/>
    <w:rsid w:val="00056118"/>
    <w:rsid w:val="00056B3E"/>
    <w:rsid w:val="00060119"/>
    <w:rsid w:val="00060540"/>
    <w:rsid w:val="00061256"/>
    <w:rsid w:val="000616F0"/>
    <w:rsid w:val="00061732"/>
    <w:rsid w:val="00063005"/>
    <w:rsid w:val="00063D4A"/>
    <w:rsid w:val="00064636"/>
    <w:rsid w:val="0006518B"/>
    <w:rsid w:val="00065B3C"/>
    <w:rsid w:val="000678F9"/>
    <w:rsid w:val="00070FF1"/>
    <w:rsid w:val="000716BA"/>
    <w:rsid w:val="000716CA"/>
    <w:rsid w:val="0007202B"/>
    <w:rsid w:val="00072407"/>
    <w:rsid w:val="00074648"/>
    <w:rsid w:val="000750E3"/>
    <w:rsid w:val="0007701E"/>
    <w:rsid w:val="00077A9D"/>
    <w:rsid w:val="00077FF4"/>
    <w:rsid w:val="00080D7E"/>
    <w:rsid w:val="00081E3F"/>
    <w:rsid w:val="00082989"/>
    <w:rsid w:val="000829B5"/>
    <w:rsid w:val="00082FE4"/>
    <w:rsid w:val="000833C7"/>
    <w:rsid w:val="00083D50"/>
    <w:rsid w:val="0008631D"/>
    <w:rsid w:val="0008735C"/>
    <w:rsid w:val="000875E6"/>
    <w:rsid w:val="00087E0A"/>
    <w:rsid w:val="00090498"/>
    <w:rsid w:val="0009059A"/>
    <w:rsid w:val="000925B3"/>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6FB"/>
    <w:rsid w:val="000B1F7E"/>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102"/>
    <w:rsid w:val="000C2F1B"/>
    <w:rsid w:val="000C5B7E"/>
    <w:rsid w:val="000C667B"/>
    <w:rsid w:val="000C7B42"/>
    <w:rsid w:val="000D0C5A"/>
    <w:rsid w:val="000D17A2"/>
    <w:rsid w:val="000D1F14"/>
    <w:rsid w:val="000D49FD"/>
    <w:rsid w:val="000D56EB"/>
    <w:rsid w:val="000D5927"/>
    <w:rsid w:val="000E01ED"/>
    <w:rsid w:val="000E0E70"/>
    <w:rsid w:val="000E10A3"/>
    <w:rsid w:val="000E1F75"/>
    <w:rsid w:val="000E2708"/>
    <w:rsid w:val="000E4E83"/>
    <w:rsid w:val="000E5365"/>
    <w:rsid w:val="000E631E"/>
    <w:rsid w:val="000E6807"/>
    <w:rsid w:val="000E74B5"/>
    <w:rsid w:val="000E7AB3"/>
    <w:rsid w:val="000E7CBB"/>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5D7"/>
    <w:rsid w:val="001117C6"/>
    <w:rsid w:val="0011236C"/>
    <w:rsid w:val="0011279B"/>
    <w:rsid w:val="00112E08"/>
    <w:rsid w:val="00113C74"/>
    <w:rsid w:val="00114BC7"/>
    <w:rsid w:val="00117A11"/>
    <w:rsid w:val="00121017"/>
    <w:rsid w:val="00121ABE"/>
    <w:rsid w:val="0012262F"/>
    <w:rsid w:val="00123E71"/>
    <w:rsid w:val="0012410A"/>
    <w:rsid w:val="001251CC"/>
    <w:rsid w:val="001254FE"/>
    <w:rsid w:val="00125FC6"/>
    <w:rsid w:val="001260D7"/>
    <w:rsid w:val="001261A8"/>
    <w:rsid w:val="001267DF"/>
    <w:rsid w:val="00130959"/>
    <w:rsid w:val="0013240F"/>
    <w:rsid w:val="00132E7B"/>
    <w:rsid w:val="001331CB"/>
    <w:rsid w:val="0013381D"/>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4D4"/>
    <w:rsid w:val="00162629"/>
    <w:rsid w:val="001632B0"/>
    <w:rsid w:val="0016401E"/>
    <w:rsid w:val="001653F9"/>
    <w:rsid w:val="00165552"/>
    <w:rsid w:val="00165AAB"/>
    <w:rsid w:val="00165C4C"/>
    <w:rsid w:val="00165C59"/>
    <w:rsid w:val="00165CB0"/>
    <w:rsid w:val="00166FE5"/>
    <w:rsid w:val="00167D69"/>
    <w:rsid w:val="00170502"/>
    <w:rsid w:val="00170CA9"/>
    <w:rsid w:val="00171424"/>
    <w:rsid w:val="00172263"/>
    <w:rsid w:val="00175574"/>
    <w:rsid w:val="00175F89"/>
    <w:rsid w:val="00176E56"/>
    <w:rsid w:val="00176F9E"/>
    <w:rsid w:val="00177FE3"/>
    <w:rsid w:val="0018034E"/>
    <w:rsid w:val="00180C8C"/>
    <w:rsid w:val="00181B5A"/>
    <w:rsid w:val="00182F2B"/>
    <w:rsid w:val="00183507"/>
    <w:rsid w:val="001837A6"/>
    <w:rsid w:val="00183896"/>
    <w:rsid w:val="00186DB6"/>
    <w:rsid w:val="00190F20"/>
    <w:rsid w:val="0019159E"/>
    <w:rsid w:val="001938A7"/>
    <w:rsid w:val="00193F73"/>
    <w:rsid w:val="0019538C"/>
    <w:rsid w:val="00197085"/>
    <w:rsid w:val="00197ACB"/>
    <w:rsid w:val="001A054B"/>
    <w:rsid w:val="001A2051"/>
    <w:rsid w:val="001A2B3D"/>
    <w:rsid w:val="001A3025"/>
    <w:rsid w:val="001A319A"/>
    <w:rsid w:val="001A4381"/>
    <w:rsid w:val="001A45BC"/>
    <w:rsid w:val="001A528A"/>
    <w:rsid w:val="001A5534"/>
    <w:rsid w:val="001A578D"/>
    <w:rsid w:val="001A5FD7"/>
    <w:rsid w:val="001A6188"/>
    <w:rsid w:val="001A6206"/>
    <w:rsid w:val="001A772F"/>
    <w:rsid w:val="001B0683"/>
    <w:rsid w:val="001B0EF9"/>
    <w:rsid w:val="001B1651"/>
    <w:rsid w:val="001B1CE5"/>
    <w:rsid w:val="001B2313"/>
    <w:rsid w:val="001B2F96"/>
    <w:rsid w:val="001B30E0"/>
    <w:rsid w:val="001B34B5"/>
    <w:rsid w:val="001B3B49"/>
    <w:rsid w:val="001B3C7B"/>
    <w:rsid w:val="001B6AFA"/>
    <w:rsid w:val="001C184E"/>
    <w:rsid w:val="001C295D"/>
    <w:rsid w:val="001C4996"/>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6F00"/>
    <w:rsid w:val="001F7144"/>
    <w:rsid w:val="001F71A5"/>
    <w:rsid w:val="001F7216"/>
    <w:rsid w:val="001F775A"/>
    <w:rsid w:val="00200D5C"/>
    <w:rsid w:val="0020167B"/>
    <w:rsid w:val="00204364"/>
    <w:rsid w:val="00206291"/>
    <w:rsid w:val="00206862"/>
    <w:rsid w:val="00207185"/>
    <w:rsid w:val="00207313"/>
    <w:rsid w:val="0020739E"/>
    <w:rsid w:val="00207C8A"/>
    <w:rsid w:val="00207CC3"/>
    <w:rsid w:val="0021024B"/>
    <w:rsid w:val="00213153"/>
    <w:rsid w:val="0021387C"/>
    <w:rsid w:val="002146D2"/>
    <w:rsid w:val="00214C2C"/>
    <w:rsid w:val="00216130"/>
    <w:rsid w:val="0021684B"/>
    <w:rsid w:val="002168E5"/>
    <w:rsid w:val="002173B9"/>
    <w:rsid w:val="0021766E"/>
    <w:rsid w:val="002176C5"/>
    <w:rsid w:val="00217D35"/>
    <w:rsid w:val="00220B5E"/>
    <w:rsid w:val="00221184"/>
    <w:rsid w:val="00223A5B"/>
    <w:rsid w:val="002242A1"/>
    <w:rsid w:val="00224908"/>
    <w:rsid w:val="00224F8E"/>
    <w:rsid w:val="00225204"/>
    <w:rsid w:val="00226D50"/>
    <w:rsid w:val="002272CB"/>
    <w:rsid w:val="00231E92"/>
    <w:rsid w:val="00232243"/>
    <w:rsid w:val="0023312F"/>
    <w:rsid w:val="00233D56"/>
    <w:rsid w:val="00233FED"/>
    <w:rsid w:val="0023542C"/>
    <w:rsid w:val="00237255"/>
    <w:rsid w:val="00237353"/>
    <w:rsid w:val="0024030B"/>
    <w:rsid w:val="00241A67"/>
    <w:rsid w:val="00243212"/>
    <w:rsid w:val="00243BC2"/>
    <w:rsid w:val="00245B1F"/>
    <w:rsid w:val="00247C4C"/>
    <w:rsid w:val="00251885"/>
    <w:rsid w:val="00251DE2"/>
    <w:rsid w:val="00251E82"/>
    <w:rsid w:val="00252FAF"/>
    <w:rsid w:val="00253D39"/>
    <w:rsid w:val="0025486C"/>
    <w:rsid w:val="00254996"/>
    <w:rsid w:val="00254A99"/>
    <w:rsid w:val="00255059"/>
    <w:rsid w:val="002563B1"/>
    <w:rsid w:val="002569EA"/>
    <w:rsid w:val="002576F7"/>
    <w:rsid w:val="0026114C"/>
    <w:rsid w:val="002614C1"/>
    <w:rsid w:val="00261A05"/>
    <w:rsid w:val="00261B02"/>
    <w:rsid w:val="00262020"/>
    <w:rsid w:val="00264335"/>
    <w:rsid w:val="002654A6"/>
    <w:rsid w:val="00265BC9"/>
    <w:rsid w:val="002670FE"/>
    <w:rsid w:val="00267EB4"/>
    <w:rsid w:val="0027244B"/>
    <w:rsid w:val="00273CB4"/>
    <w:rsid w:val="00273E62"/>
    <w:rsid w:val="00277E58"/>
    <w:rsid w:val="002802F2"/>
    <w:rsid w:val="00280552"/>
    <w:rsid w:val="002816C6"/>
    <w:rsid w:val="00281D8F"/>
    <w:rsid w:val="002820F1"/>
    <w:rsid w:val="00284A28"/>
    <w:rsid w:val="002854D6"/>
    <w:rsid w:val="00285656"/>
    <w:rsid w:val="002871E8"/>
    <w:rsid w:val="00291C79"/>
    <w:rsid w:val="002926BF"/>
    <w:rsid w:val="00293DC6"/>
    <w:rsid w:val="0029480C"/>
    <w:rsid w:val="00295AFF"/>
    <w:rsid w:val="00297710"/>
    <w:rsid w:val="00297712"/>
    <w:rsid w:val="002A05DB"/>
    <w:rsid w:val="002A1FA0"/>
    <w:rsid w:val="002A370D"/>
    <w:rsid w:val="002A3EDD"/>
    <w:rsid w:val="002A49A3"/>
    <w:rsid w:val="002A4AF7"/>
    <w:rsid w:val="002A5D22"/>
    <w:rsid w:val="002A66ED"/>
    <w:rsid w:val="002B0146"/>
    <w:rsid w:val="002B0426"/>
    <w:rsid w:val="002B3129"/>
    <w:rsid w:val="002B3644"/>
    <w:rsid w:val="002B4F0F"/>
    <w:rsid w:val="002B58B1"/>
    <w:rsid w:val="002B626B"/>
    <w:rsid w:val="002B73C6"/>
    <w:rsid w:val="002C11F9"/>
    <w:rsid w:val="002C236E"/>
    <w:rsid w:val="002C25CE"/>
    <w:rsid w:val="002C2DA3"/>
    <w:rsid w:val="002C352F"/>
    <w:rsid w:val="002C4200"/>
    <w:rsid w:val="002C49EC"/>
    <w:rsid w:val="002C5F2D"/>
    <w:rsid w:val="002C74F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8AD"/>
    <w:rsid w:val="002E6D79"/>
    <w:rsid w:val="002E6E82"/>
    <w:rsid w:val="002E6F28"/>
    <w:rsid w:val="002E6F87"/>
    <w:rsid w:val="002E7357"/>
    <w:rsid w:val="002E7860"/>
    <w:rsid w:val="002F129C"/>
    <w:rsid w:val="002F150B"/>
    <w:rsid w:val="002F21C6"/>
    <w:rsid w:val="002F3718"/>
    <w:rsid w:val="002F3940"/>
    <w:rsid w:val="002F4648"/>
    <w:rsid w:val="002F467E"/>
    <w:rsid w:val="002F5134"/>
    <w:rsid w:val="002F5C24"/>
    <w:rsid w:val="002F5E1E"/>
    <w:rsid w:val="002F61A9"/>
    <w:rsid w:val="002F64AE"/>
    <w:rsid w:val="003001AF"/>
    <w:rsid w:val="00300981"/>
    <w:rsid w:val="0030120F"/>
    <w:rsid w:val="003012EA"/>
    <w:rsid w:val="00303A3C"/>
    <w:rsid w:val="003044A5"/>
    <w:rsid w:val="0030512F"/>
    <w:rsid w:val="003051E6"/>
    <w:rsid w:val="00306265"/>
    <w:rsid w:val="00306F51"/>
    <w:rsid w:val="0031043B"/>
    <w:rsid w:val="003115F1"/>
    <w:rsid w:val="003118F7"/>
    <w:rsid w:val="00312DB8"/>
    <w:rsid w:val="00312EB0"/>
    <w:rsid w:val="003134C3"/>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7AE5"/>
    <w:rsid w:val="0034012E"/>
    <w:rsid w:val="0034025B"/>
    <w:rsid w:val="00341195"/>
    <w:rsid w:val="0034138A"/>
    <w:rsid w:val="0034251A"/>
    <w:rsid w:val="00342E6B"/>
    <w:rsid w:val="00344555"/>
    <w:rsid w:val="00344F97"/>
    <w:rsid w:val="0034543C"/>
    <w:rsid w:val="00346201"/>
    <w:rsid w:val="003466B0"/>
    <w:rsid w:val="00347B6F"/>
    <w:rsid w:val="00347FA0"/>
    <w:rsid w:val="0035343B"/>
    <w:rsid w:val="003545A8"/>
    <w:rsid w:val="003552A4"/>
    <w:rsid w:val="00355B73"/>
    <w:rsid w:val="00356020"/>
    <w:rsid w:val="00356266"/>
    <w:rsid w:val="003578FF"/>
    <w:rsid w:val="00357987"/>
    <w:rsid w:val="00357C3B"/>
    <w:rsid w:val="00357ECC"/>
    <w:rsid w:val="003622FF"/>
    <w:rsid w:val="00362436"/>
    <w:rsid w:val="003626AF"/>
    <w:rsid w:val="00362D77"/>
    <w:rsid w:val="003634C2"/>
    <w:rsid w:val="00363ECE"/>
    <w:rsid w:val="003640DE"/>
    <w:rsid w:val="00365B7D"/>
    <w:rsid w:val="00366A30"/>
    <w:rsid w:val="00366D41"/>
    <w:rsid w:val="00375126"/>
    <w:rsid w:val="00375CC6"/>
    <w:rsid w:val="00376AC1"/>
    <w:rsid w:val="00376F93"/>
    <w:rsid w:val="00377FEF"/>
    <w:rsid w:val="00381CA9"/>
    <w:rsid w:val="00382C02"/>
    <w:rsid w:val="00382F97"/>
    <w:rsid w:val="0038488E"/>
    <w:rsid w:val="00385F45"/>
    <w:rsid w:val="00390136"/>
    <w:rsid w:val="00392A7C"/>
    <w:rsid w:val="00394F60"/>
    <w:rsid w:val="0039541E"/>
    <w:rsid w:val="00395F95"/>
    <w:rsid w:val="00396CE9"/>
    <w:rsid w:val="00397518"/>
    <w:rsid w:val="0039785D"/>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33D9"/>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40B5"/>
    <w:rsid w:val="003E4DF6"/>
    <w:rsid w:val="003E512C"/>
    <w:rsid w:val="003E5EC3"/>
    <w:rsid w:val="003E6807"/>
    <w:rsid w:val="003E6BDC"/>
    <w:rsid w:val="003F1E42"/>
    <w:rsid w:val="003F47E3"/>
    <w:rsid w:val="003F503B"/>
    <w:rsid w:val="003F60C0"/>
    <w:rsid w:val="003F6C96"/>
    <w:rsid w:val="003F7185"/>
    <w:rsid w:val="003F7D4B"/>
    <w:rsid w:val="0040061A"/>
    <w:rsid w:val="00402158"/>
    <w:rsid w:val="00402270"/>
    <w:rsid w:val="00405E96"/>
    <w:rsid w:val="0040602A"/>
    <w:rsid w:val="00407480"/>
    <w:rsid w:val="004074ED"/>
    <w:rsid w:val="00411583"/>
    <w:rsid w:val="00412C49"/>
    <w:rsid w:val="00413AFE"/>
    <w:rsid w:val="00414443"/>
    <w:rsid w:val="00415FC4"/>
    <w:rsid w:val="00417092"/>
    <w:rsid w:val="00417568"/>
    <w:rsid w:val="00421D0B"/>
    <w:rsid w:val="00422927"/>
    <w:rsid w:val="004229DE"/>
    <w:rsid w:val="00423602"/>
    <w:rsid w:val="004239AE"/>
    <w:rsid w:val="00423E8F"/>
    <w:rsid w:val="004251B6"/>
    <w:rsid w:val="004259B8"/>
    <w:rsid w:val="00425C5D"/>
    <w:rsid w:val="004269DA"/>
    <w:rsid w:val="0042798D"/>
    <w:rsid w:val="004313AE"/>
    <w:rsid w:val="00432F82"/>
    <w:rsid w:val="00434618"/>
    <w:rsid w:val="00434B76"/>
    <w:rsid w:val="00435527"/>
    <w:rsid w:val="00435E59"/>
    <w:rsid w:val="00435FF5"/>
    <w:rsid w:val="0043601A"/>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17C2"/>
    <w:rsid w:val="00453D77"/>
    <w:rsid w:val="00454313"/>
    <w:rsid w:val="00454965"/>
    <w:rsid w:val="00456DA8"/>
    <w:rsid w:val="00461612"/>
    <w:rsid w:val="0046178B"/>
    <w:rsid w:val="00461E5F"/>
    <w:rsid w:val="00462314"/>
    <w:rsid w:val="00462E07"/>
    <w:rsid w:val="0046331C"/>
    <w:rsid w:val="00463512"/>
    <w:rsid w:val="0046362C"/>
    <w:rsid w:val="00463BBF"/>
    <w:rsid w:val="00463C05"/>
    <w:rsid w:val="00466C2F"/>
    <w:rsid w:val="004701D0"/>
    <w:rsid w:val="00470E4D"/>
    <w:rsid w:val="00471F34"/>
    <w:rsid w:val="00474C08"/>
    <w:rsid w:val="00474D75"/>
    <w:rsid w:val="004764CC"/>
    <w:rsid w:val="004764EE"/>
    <w:rsid w:val="00476D76"/>
    <w:rsid w:val="004771EB"/>
    <w:rsid w:val="00480E95"/>
    <w:rsid w:val="004814D5"/>
    <w:rsid w:val="004814F0"/>
    <w:rsid w:val="00482771"/>
    <w:rsid w:val="00483180"/>
    <w:rsid w:val="00483C58"/>
    <w:rsid w:val="00484222"/>
    <w:rsid w:val="00485B13"/>
    <w:rsid w:val="00485F46"/>
    <w:rsid w:val="00491855"/>
    <w:rsid w:val="0049412C"/>
    <w:rsid w:val="00494345"/>
    <w:rsid w:val="00495192"/>
    <w:rsid w:val="004956C0"/>
    <w:rsid w:val="004A0D43"/>
    <w:rsid w:val="004A1818"/>
    <w:rsid w:val="004A1C7F"/>
    <w:rsid w:val="004A3555"/>
    <w:rsid w:val="004A3EE9"/>
    <w:rsid w:val="004A4E4F"/>
    <w:rsid w:val="004A56E7"/>
    <w:rsid w:val="004A7750"/>
    <w:rsid w:val="004A7FE6"/>
    <w:rsid w:val="004B02B9"/>
    <w:rsid w:val="004B0B90"/>
    <w:rsid w:val="004B2F0D"/>
    <w:rsid w:val="004B30FB"/>
    <w:rsid w:val="004B3F80"/>
    <w:rsid w:val="004B40EE"/>
    <w:rsid w:val="004B45F4"/>
    <w:rsid w:val="004B4A27"/>
    <w:rsid w:val="004C0A8D"/>
    <w:rsid w:val="004C14E3"/>
    <w:rsid w:val="004C2024"/>
    <w:rsid w:val="004C25F6"/>
    <w:rsid w:val="004C2D19"/>
    <w:rsid w:val="004C357C"/>
    <w:rsid w:val="004C3FA5"/>
    <w:rsid w:val="004C62C6"/>
    <w:rsid w:val="004D100D"/>
    <w:rsid w:val="004D2626"/>
    <w:rsid w:val="004D2C34"/>
    <w:rsid w:val="004D2E28"/>
    <w:rsid w:val="004D3901"/>
    <w:rsid w:val="004D3E38"/>
    <w:rsid w:val="004D3F5D"/>
    <w:rsid w:val="004D41D8"/>
    <w:rsid w:val="004D5E10"/>
    <w:rsid w:val="004D67C5"/>
    <w:rsid w:val="004D6E34"/>
    <w:rsid w:val="004D749F"/>
    <w:rsid w:val="004D7E65"/>
    <w:rsid w:val="004E00D0"/>
    <w:rsid w:val="004E07DC"/>
    <w:rsid w:val="004E0851"/>
    <w:rsid w:val="004E0939"/>
    <w:rsid w:val="004E129D"/>
    <w:rsid w:val="004E1AB5"/>
    <w:rsid w:val="004E1AE2"/>
    <w:rsid w:val="004E4165"/>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2E41"/>
    <w:rsid w:val="00513472"/>
    <w:rsid w:val="00513FBF"/>
    <w:rsid w:val="00516576"/>
    <w:rsid w:val="0051750C"/>
    <w:rsid w:val="00517DD9"/>
    <w:rsid w:val="00522063"/>
    <w:rsid w:val="00522EA0"/>
    <w:rsid w:val="00522ED0"/>
    <w:rsid w:val="00523826"/>
    <w:rsid w:val="00523C58"/>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70EC"/>
    <w:rsid w:val="00550399"/>
    <w:rsid w:val="005514CA"/>
    <w:rsid w:val="00552380"/>
    <w:rsid w:val="00556328"/>
    <w:rsid w:val="00556D13"/>
    <w:rsid w:val="00563399"/>
    <w:rsid w:val="0056591F"/>
    <w:rsid w:val="00566E5E"/>
    <w:rsid w:val="00571282"/>
    <w:rsid w:val="00571E9F"/>
    <w:rsid w:val="00573C3B"/>
    <w:rsid w:val="0057416C"/>
    <w:rsid w:val="00574E1B"/>
    <w:rsid w:val="00583974"/>
    <w:rsid w:val="005860AC"/>
    <w:rsid w:val="0058722C"/>
    <w:rsid w:val="0058799A"/>
    <w:rsid w:val="00587F62"/>
    <w:rsid w:val="00590149"/>
    <w:rsid w:val="00592358"/>
    <w:rsid w:val="00592FD2"/>
    <w:rsid w:val="0059373B"/>
    <w:rsid w:val="00593B80"/>
    <w:rsid w:val="00596A1C"/>
    <w:rsid w:val="00596FDB"/>
    <w:rsid w:val="005A06D3"/>
    <w:rsid w:val="005A0AF8"/>
    <w:rsid w:val="005A0E6F"/>
    <w:rsid w:val="005A1E77"/>
    <w:rsid w:val="005A2B2E"/>
    <w:rsid w:val="005A3E49"/>
    <w:rsid w:val="005A4714"/>
    <w:rsid w:val="005A47EC"/>
    <w:rsid w:val="005A73A1"/>
    <w:rsid w:val="005B551F"/>
    <w:rsid w:val="005B5D93"/>
    <w:rsid w:val="005B66C8"/>
    <w:rsid w:val="005B7A19"/>
    <w:rsid w:val="005C0A9A"/>
    <w:rsid w:val="005C11DE"/>
    <w:rsid w:val="005C28BC"/>
    <w:rsid w:val="005C4EA4"/>
    <w:rsid w:val="005D0287"/>
    <w:rsid w:val="005D092B"/>
    <w:rsid w:val="005D0AD6"/>
    <w:rsid w:val="005D10E5"/>
    <w:rsid w:val="005D39F3"/>
    <w:rsid w:val="005D46EE"/>
    <w:rsid w:val="005D637A"/>
    <w:rsid w:val="005D7E62"/>
    <w:rsid w:val="005E0596"/>
    <w:rsid w:val="005E0731"/>
    <w:rsid w:val="005E13DF"/>
    <w:rsid w:val="005E1D9A"/>
    <w:rsid w:val="005E2073"/>
    <w:rsid w:val="005E2983"/>
    <w:rsid w:val="005E3C74"/>
    <w:rsid w:val="005E3EE4"/>
    <w:rsid w:val="005E5D53"/>
    <w:rsid w:val="005E6479"/>
    <w:rsid w:val="005F03CC"/>
    <w:rsid w:val="005F10D3"/>
    <w:rsid w:val="005F2063"/>
    <w:rsid w:val="005F2279"/>
    <w:rsid w:val="005F2A5B"/>
    <w:rsid w:val="005F31BE"/>
    <w:rsid w:val="005F36AB"/>
    <w:rsid w:val="005F442A"/>
    <w:rsid w:val="005F700B"/>
    <w:rsid w:val="006007C7"/>
    <w:rsid w:val="00600B5F"/>
    <w:rsid w:val="00600FFC"/>
    <w:rsid w:val="0060133B"/>
    <w:rsid w:val="006015A3"/>
    <w:rsid w:val="00601C31"/>
    <w:rsid w:val="00602BC6"/>
    <w:rsid w:val="00602EB0"/>
    <w:rsid w:val="00603311"/>
    <w:rsid w:val="00603888"/>
    <w:rsid w:val="00603C6D"/>
    <w:rsid w:val="006040ED"/>
    <w:rsid w:val="00604415"/>
    <w:rsid w:val="006079B9"/>
    <w:rsid w:val="00613A11"/>
    <w:rsid w:val="00613B72"/>
    <w:rsid w:val="006143BC"/>
    <w:rsid w:val="0061706E"/>
    <w:rsid w:val="006227B4"/>
    <w:rsid w:val="00622914"/>
    <w:rsid w:val="0062291A"/>
    <w:rsid w:val="00622AA8"/>
    <w:rsid w:val="00622D91"/>
    <w:rsid w:val="006237CF"/>
    <w:rsid w:val="00623B31"/>
    <w:rsid w:val="00623C7E"/>
    <w:rsid w:val="0062575D"/>
    <w:rsid w:val="00626CC1"/>
    <w:rsid w:val="0063164E"/>
    <w:rsid w:val="0063286C"/>
    <w:rsid w:val="006335A2"/>
    <w:rsid w:val="00635FF5"/>
    <w:rsid w:val="00636375"/>
    <w:rsid w:val="006378DF"/>
    <w:rsid w:val="00637FF0"/>
    <w:rsid w:val="0064166F"/>
    <w:rsid w:val="00643373"/>
    <w:rsid w:val="0064342E"/>
    <w:rsid w:val="00643C4C"/>
    <w:rsid w:val="00644764"/>
    <w:rsid w:val="0064549C"/>
    <w:rsid w:val="0064601A"/>
    <w:rsid w:val="00647676"/>
    <w:rsid w:val="00647DB4"/>
    <w:rsid w:val="00650172"/>
    <w:rsid w:val="006502E3"/>
    <w:rsid w:val="006511AA"/>
    <w:rsid w:val="006522C9"/>
    <w:rsid w:val="00653E7B"/>
    <w:rsid w:val="00655823"/>
    <w:rsid w:val="00660F48"/>
    <w:rsid w:val="00662AD1"/>
    <w:rsid w:val="006633BB"/>
    <w:rsid w:val="00665640"/>
    <w:rsid w:val="0066619C"/>
    <w:rsid w:val="006702D1"/>
    <w:rsid w:val="006704F7"/>
    <w:rsid w:val="006707E3"/>
    <w:rsid w:val="00670A74"/>
    <w:rsid w:val="006713C0"/>
    <w:rsid w:val="006717CE"/>
    <w:rsid w:val="00673A3D"/>
    <w:rsid w:val="00674304"/>
    <w:rsid w:val="00674779"/>
    <w:rsid w:val="00674A7F"/>
    <w:rsid w:val="00675D59"/>
    <w:rsid w:val="00676D51"/>
    <w:rsid w:val="00676EAB"/>
    <w:rsid w:val="0067747F"/>
    <w:rsid w:val="00680C1A"/>
    <w:rsid w:val="006811DC"/>
    <w:rsid w:val="006836A7"/>
    <w:rsid w:val="00683A24"/>
    <w:rsid w:val="006868AD"/>
    <w:rsid w:val="0069091E"/>
    <w:rsid w:val="00691D96"/>
    <w:rsid w:val="00692936"/>
    <w:rsid w:val="00692CE3"/>
    <w:rsid w:val="00692D34"/>
    <w:rsid w:val="0069300A"/>
    <w:rsid w:val="00693B96"/>
    <w:rsid w:val="00693FF6"/>
    <w:rsid w:val="00695F24"/>
    <w:rsid w:val="00696507"/>
    <w:rsid w:val="0069688D"/>
    <w:rsid w:val="006975FE"/>
    <w:rsid w:val="0069776E"/>
    <w:rsid w:val="006A0BF0"/>
    <w:rsid w:val="006A2CBF"/>
    <w:rsid w:val="006A507F"/>
    <w:rsid w:val="006A5116"/>
    <w:rsid w:val="006A53AA"/>
    <w:rsid w:val="006A7193"/>
    <w:rsid w:val="006B08B4"/>
    <w:rsid w:val="006B12C5"/>
    <w:rsid w:val="006B1F6D"/>
    <w:rsid w:val="006B2978"/>
    <w:rsid w:val="006B30D5"/>
    <w:rsid w:val="006B4323"/>
    <w:rsid w:val="006B6367"/>
    <w:rsid w:val="006B7A8F"/>
    <w:rsid w:val="006C034B"/>
    <w:rsid w:val="006C0BF5"/>
    <w:rsid w:val="006C2AB7"/>
    <w:rsid w:val="006C372B"/>
    <w:rsid w:val="006C38D6"/>
    <w:rsid w:val="006C4184"/>
    <w:rsid w:val="006C527F"/>
    <w:rsid w:val="006C5AEF"/>
    <w:rsid w:val="006C6C6F"/>
    <w:rsid w:val="006C74FB"/>
    <w:rsid w:val="006D416F"/>
    <w:rsid w:val="006D453A"/>
    <w:rsid w:val="006D62BB"/>
    <w:rsid w:val="006E0358"/>
    <w:rsid w:val="006E0C79"/>
    <w:rsid w:val="006E0D45"/>
    <w:rsid w:val="006E3384"/>
    <w:rsid w:val="006E3B24"/>
    <w:rsid w:val="006E4051"/>
    <w:rsid w:val="006E480B"/>
    <w:rsid w:val="006E5E68"/>
    <w:rsid w:val="006E668E"/>
    <w:rsid w:val="006E68A1"/>
    <w:rsid w:val="006F0B18"/>
    <w:rsid w:val="006F0E2A"/>
    <w:rsid w:val="006F1A82"/>
    <w:rsid w:val="006F2049"/>
    <w:rsid w:val="006F278A"/>
    <w:rsid w:val="006F2975"/>
    <w:rsid w:val="006F33D4"/>
    <w:rsid w:val="006F3608"/>
    <w:rsid w:val="006F39D1"/>
    <w:rsid w:val="006F3ECA"/>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3BCD"/>
    <w:rsid w:val="00724574"/>
    <w:rsid w:val="00725236"/>
    <w:rsid w:val="0072768C"/>
    <w:rsid w:val="00731730"/>
    <w:rsid w:val="00732049"/>
    <w:rsid w:val="007323C8"/>
    <w:rsid w:val="00732BA5"/>
    <w:rsid w:val="007343EE"/>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118C"/>
    <w:rsid w:val="00761767"/>
    <w:rsid w:val="007633AA"/>
    <w:rsid w:val="007652AE"/>
    <w:rsid w:val="00767D6E"/>
    <w:rsid w:val="00770580"/>
    <w:rsid w:val="00770D1C"/>
    <w:rsid w:val="00771BFD"/>
    <w:rsid w:val="007750EF"/>
    <w:rsid w:val="00775D69"/>
    <w:rsid w:val="00776484"/>
    <w:rsid w:val="00777955"/>
    <w:rsid w:val="007806C4"/>
    <w:rsid w:val="00781E83"/>
    <w:rsid w:val="00781ECE"/>
    <w:rsid w:val="00783C9A"/>
    <w:rsid w:val="00783CDF"/>
    <w:rsid w:val="00784067"/>
    <w:rsid w:val="00785375"/>
    <w:rsid w:val="00786067"/>
    <w:rsid w:val="007906E2"/>
    <w:rsid w:val="00790FFD"/>
    <w:rsid w:val="0079170E"/>
    <w:rsid w:val="007956C2"/>
    <w:rsid w:val="00795795"/>
    <w:rsid w:val="007966CB"/>
    <w:rsid w:val="007975D4"/>
    <w:rsid w:val="0079764C"/>
    <w:rsid w:val="00797B31"/>
    <w:rsid w:val="007A1E73"/>
    <w:rsid w:val="007A311A"/>
    <w:rsid w:val="007A35F3"/>
    <w:rsid w:val="007A36DD"/>
    <w:rsid w:val="007A4141"/>
    <w:rsid w:val="007A514D"/>
    <w:rsid w:val="007A6307"/>
    <w:rsid w:val="007A69DC"/>
    <w:rsid w:val="007B14EF"/>
    <w:rsid w:val="007B19BC"/>
    <w:rsid w:val="007B1EEE"/>
    <w:rsid w:val="007B4C7C"/>
    <w:rsid w:val="007B51E3"/>
    <w:rsid w:val="007B56E7"/>
    <w:rsid w:val="007B579E"/>
    <w:rsid w:val="007B6D85"/>
    <w:rsid w:val="007B7BF7"/>
    <w:rsid w:val="007C0B39"/>
    <w:rsid w:val="007C0C59"/>
    <w:rsid w:val="007C19A4"/>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6A17"/>
    <w:rsid w:val="007D745B"/>
    <w:rsid w:val="007E10C4"/>
    <w:rsid w:val="007E13CA"/>
    <w:rsid w:val="007E182F"/>
    <w:rsid w:val="007E1D25"/>
    <w:rsid w:val="007E276E"/>
    <w:rsid w:val="007E395D"/>
    <w:rsid w:val="007E5E9A"/>
    <w:rsid w:val="007E6A0D"/>
    <w:rsid w:val="007F017D"/>
    <w:rsid w:val="007F160B"/>
    <w:rsid w:val="007F1E8F"/>
    <w:rsid w:val="007F4136"/>
    <w:rsid w:val="007F4F91"/>
    <w:rsid w:val="007F50E5"/>
    <w:rsid w:val="007F525C"/>
    <w:rsid w:val="007F681A"/>
    <w:rsid w:val="00801F91"/>
    <w:rsid w:val="00804CB9"/>
    <w:rsid w:val="00805A82"/>
    <w:rsid w:val="008076AA"/>
    <w:rsid w:val="00807D3E"/>
    <w:rsid w:val="008113A2"/>
    <w:rsid w:val="0081186E"/>
    <w:rsid w:val="00814196"/>
    <w:rsid w:val="00814DA3"/>
    <w:rsid w:val="00815549"/>
    <w:rsid w:val="008161FE"/>
    <w:rsid w:val="00816C3F"/>
    <w:rsid w:val="00817438"/>
    <w:rsid w:val="00820ECA"/>
    <w:rsid w:val="00820F9B"/>
    <w:rsid w:val="00821B78"/>
    <w:rsid w:val="00822C11"/>
    <w:rsid w:val="00823931"/>
    <w:rsid w:val="00825A58"/>
    <w:rsid w:val="00825F84"/>
    <w:rsid w:val="0082670B"/>
    <w:rsid w:val="00826C7D"/>
    <w:rsid w:val="00826E1D"/>
    <w:rsid w:val="00827412"/>
    <w:rsid w:val="008275B7"/>
    <w:rsid w:val="00830339"/>
    <w:rsid w:val="0083129D"/>
    <w:rsid w:val="0083156B"/>
    <w:rsid w:val="008322F7"/>
    <w:rsid w:val="008332DD"/>
    <w:rsid w:val="0083392D"/>
    <w:rsid w:val="00833B68"/>
    <w:rsid w:val="00833EB5"/>
    <w:rsid w:val="00835E44"/>
    <w:rsid w:val="008372B3"/>
    <w:rsid w:val="00837A59"/>
    <w:rsid w:val="008400B9"/>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72D1"/>
    <w:rsid w:val="00870A39"/>
    <w:rsid w:val="00871E79"/>
    <w:rsid w:val="00872D6D"/>
    <w:rsid w:val="00875856"/>
    <w:rsid w:val="00876021"/>
    <w:rsid w:val="0088319F"/>
    <w:rsid w:val="0088522E"/>
    <w:rsid w:val="00885634"/>
    <w:rsid w:val="00885D0C"/>
    <w:rsid w:val="00885D19"/>
    <w:rsid w:val="008868C9"/>
    <w:rsid w:val="008868EE"/>
    <w:rsid w:val="0089029A"/>
    <w:rsid w:val="00890713"/>
    <w:rsid w:val="00892423"/>
    <w:rsid w:val="00893282"/>
    <w:rsid w:val="008937F7"/>
    <w:rsid w:val="00893AD2"/>
    <w:rsid w:val="00893BD5"/>
    <w:rsid w:val="00893EE3"/>
    <w:rsid w:val="00895278"/>
    <w:rsid w:val="00895DD8"/>
    <w:rsid w:val="00896E1A"/>
    <w:rsid w:val="008977F0"/>
    <w:rsid w:val="008A0F64"/>
    <w:rsid w:val="008A25ED"/>
    <w:rsid w:val="008A34AA"/>
    <w:rsid w:val="008A38AB"/>
    <w:rsid w:val="008A74B0"/>
    <w:rsid w:val="008B0C8D"/>
    <w:rsid w:val="008B1D17"/>
    <w:rsid w:val="008B20AA"/>
    <w:rsid w:val="008B372B"/>
    <w:rsid w:val="008B39CE"/>
    <w:rsid w:val="008B6824"/>
    <w:rsid w:val="008B7181"/>
    <w:rsid w:val="008B7A03"/>
    <w:rsid w:val="008C0DBE"/>
    <w:rsid w:val="008C17F4"/>
    <w:rsid w:val="008C1D9F"/>
    <w:rsid w:val="008C2C95"/>
    <w:rsid w:val="008C2D0B"/>
    <w:rsid w:val="008C2D77"/>
    <w:rsid w:val="008C508A"/>
    <w:rsid w:val="008C6252"/>
    <w:rsid w:val="008C654F"/>
    <w:rsid w:val="008C6E09"/>
    <w:rsid w:val="008C6E50"/>
    <w:rsid w:val="008D1460"/>
    <w:rsid w:val="008D2012"/>
    <w:rsid w:val="008D28DD"/>
    <w:rsid w:val="008D3976"/>
    <w:rsid w:val="008E2216"/>
    <w:rsid w:val="008E252E"/>
    <w:rsid w:val="008E26AF"/>
    <w:rsid w:val="008E31DD"/>
    <w:rsid w:val="008E339A"/>
    <w:rsid w:val="008E36B6"/>
    <w:rsid w:val="008E4779"/>
    <w:rsid w:val="008E4B91"/>
    <w:rsid w:val="008E4DDE"/>
    <w:rsid w:val="008E63CB"/>
    <w:rsid w:val="008E7B64"/>
    <w:rsid w:val="008E7C39"/>
    <w:rsid w:val="008F208D"/>
    <w:rsid w:val="008F4166"/>
    <w:rsid w:val="008F485A"/>
    <w:rsid w:val="008F6889"/>
    <w:rsid w:val="008F72A1"/>
    <w:rsid w:val="008F79EF"/>
    <w:rsid w:val="008F7A68"/>
    <w:rsid w:val="00900BD4"/>
    <w:rsid w:val="009010CB"/>
    <w:rsid w:val="00901189"/>
    <w:rsid w:val="009014BB"/>
    <w:rsid w:val="00901532"/>
    <w:rsid w:val="00902C59"/>
    <w:rsid w:val="00903097"/>
    <w:rsid w:val="00905111"/>
    <w:rsid w:val="00906149"/>
    <w:rsid w:val="00906F88"/>
    <w:rsid w:val="00910940"/>
    <w:rsid w:val="009125B5"/>
    <w:rsid w:val="0091446C"/>
    <w:rsid w:val="00914DE2"/>
    <w:rsid w:val="009158BC"/>
    <w:rsid w:val="009165ED"/>
    <w:rsid w:val="00916619"/>
    <w:rsid w:val="00917893"/>
    <w:rsid w:val="009224F5"/>
    <w:rsid w:val="00922C21"/>
    <w:rsid w:val="00923AE7"/>
    <w:rsid w:val="00923BA4"/>
    <w:rsid w:val="00924234"/>
    <w:rsid w:val="00924D1B"/>
    <w:rsid w:val="0092546B"/>
    <w:rsid w:val="00932513"/>
    <w:rsid w:val="00932EF7"/>
    <w:rsid w:val="00934BE6"/>
    <w:rsid w:val="00934EC4"/>
    <w:rsid w:val="00935355"/>
    <w:rsid w:val="0093560C"/>
    <w:rsid w:val="00936426"/>
    <w:rsid w:val="00936733"/>
    <w:rsid w:val="00937243"/>
    <w:rsid w:val="009373BE"/>
    <w:rsid w:val="00941B1A"/>
    <w:rsid w:val="00941B9F"/>
    <w:rsid w:val="00942461"/>
    <w:rsid w:val="00942B11"/>
    <w:rsid w:val="009434F6"/>
    <w:rsid w:val="009438A8"/>
    <w:rsid w:val="00944BB8"/>
    <w:rsid w:val="009455CC"/>
    <w:rsid w:val="00946534"/>
    <w:rsid w:val="00947D91"/>
    <w:rsid w:val="00947DB1"/>
    <w:rsid w:val="009518C8"/>
    <w:rsid w:val="00952B02"/>
    <w:rsid w:val="00953B15"/>
    <w:rsid w:val="00953CFA"/>
    <w:rsid w:val="00953ED7"/>
    <w:rsid w:val="009543EE"/>
    <w:rsid w:val="00954E8C"/>
    <w:rsid w:val="00961459"/>
    <w:rsid w:val="00961502"/>
    <w:rsid w:val="009621BF"/>
    <w:rsid w:val="00963350"/>
    <w:rsid w:val="00963AB5"/>
    <w:rsid w:val="00964774"/>
    <w:rsid w:val="00964F65"/>
    <w:rsid w:val="00965891"/>
    <w:rsid w:val="00965C0E"/>
    <w:rsid w:val="00966E7C"/>
    <w:rsid w:val="00970392"/>
    <w:rsid w:val="00970E4E"/>
    <w:rsid w:val="00971D26"/>
    <w:rsid w:val="009725C8"/>
    <w:rsid w:val="00973503"/>
    <w:rsid w:val="00973B85"/>
    <w:rsid w:val="0097445D"/>
    <w:rsid w:val="00974C42"/>
    <w:rsid w:val="00974F49"/>
    <w:rsid w:val="0097517E"/>
    <w:rsid w:val="00976CAD"/>
    <w:rsid w:val="00977548"/>
    <w:rsid w:val="0097770C"/>
    <w:rsid w:val="009805A1"/>
    <w:rsid w:val="00982C96"/>
    <w:rsid w:val="00982D1E"/>
    <w:rsid w:val="00983748"/>
    <w:rsid w:val="00984330"/>
    <w:rsid w:val="00984BB2"/>
    <w:rsid w:val="00985758"/>
    <w:rsid w:val="00985C16"/>
    <w:rsid w:val="00985C5E"/>
    <w:rsid w:val="00987648"/>
    <w:rsid w:val="00990455"/>
    <w:rsid w:val="00990947"/>
    <w:rsid w:val="00991315"/>
    <w:rsid w:val="00991D31"/>
    <w:rsid w:val="00993CD6"/>
    <w:rsid w:val="009946C1"/>
    <w:rsid w:val="00995F40"/>
    <w:rsid w:val="00995FA5"/>
    <w:rsid w:val="00996D4F"/>
    <w:rsid w:val="00997A4D"/>
    <w:rsid w:val="009A0E6E"/>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B55"/>
    <w:rsid w:val="009D42E8"/>
    <w:rsid w:val="009D54DD"/>
    <w:rsid w:val="009D5C29"/>
    <w:rsid w:val="009D6ADA"/>
    <w:rsid w:val="009D7D1D"/>
    <w:rsid w:val="009E001E"/>
    <w:rsid w:val="009E04AB"/>
    <w:rsid w:val="009E20E6"/>
    <w:rsid w:val="009E2A57"/>
    <w:rsid w:val="009E4B4A"/>
    <w:rsid w:val="009E5BB8"/>
    <w:rsid w:val="009F0111"/>
    <w:rsid w:val="009F0624"/>
    <w:rsid w:val="009F10CC"/>
    <w:rsid w:val="009F1D45"/>
    <w:rsid w:val="009F3AF4"/>
    <w:rsid w:val="009F44C0"/>
    <w:rsid w:val="009F4848"/>
    <w:rsid w:val="009F48FB"/>
    <w:rsid w:val="009F6003"/>
    <w:rsid w:val="009F63F4"/>
    <w:rsid w:val="009F67E4"/>
    <w:rsid w:val="009F7166"/>
    <w:rsid w:val="00A005E9"/>
    <w:rsid w:val="00A007F2"/>
    <w:rsid w:val="00A0089E"/>
    <w:rsid w:val="00A02240"/>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3BDD"/>
    <w:rsid w:val="00A24179"/>
    <w:rsid w:val="00A2418D"/>
    <w:rsid w:val="00A24957"/>
    <w:rsid w:val="00A25F93"/>
    <w:rsid w:val="00A26C29"/>
    <w:rsid w:val="00A302B8"/>
    <w:rsid w:val="00A30B02"/>
    <w:rsid w:val="00A30CBA"/>
    <w:rsid w:val="00A31CEE"/>
    <w:rsid w:val="00A3472C"/>
    <w:rsid w:val="00A35FDD"/>
    <w:rsid w:val="00A36846"/>
    <w:rsid w:val="00A4176C"/>
    <w:rsid w:val="00A42300"/>
    <w:rsid w:val="00A42E31"/>
    <w:rsid w:val="00A43507"/>
    <w:rsid w:val="00A43F29"/>
    <w:rsid w:val="00A440D7"/>
    <w:rsid w:val="00A44366"/>
    <w:rsid w:val="00A4540A"/>
    <w:rsid w:val="00A454B7"/>
    <w:rsid w:val="00A47817"/>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22B1"/>
    <w:rsid w:val="00A646B7"/>
    <w:rsid w:val="00A646C6"/>
    <w:rsid w:val="00A648F9"/>
    <w:rsid w:val="00A65332"/>
    <w:rsid w:val="00A656AC"/>
    <w:rsid w:val="00A66174"/>
    <w:rsid w:val="00A662DE"/>
    <w:rsid w:val="00A67A86"/>
    <w:rsid w:val="00A67D34"/>
    <w:rsid w:val="00A71B18"/>
    <w:rsid w:val="00A722FD"/>
    <w:rsid w:val="00A7254E"/>
    <w:rsid w:val="00A72660"/>
    <w:rsid w:val="00A72F32"/>
    <w:rsid w:val="00A737F4"/>
    <w:rsid w:val="00A73A04"/>
    <w:rsid w:val="00A73A1C"/>
    <w:rsid w:val="00A73F6B"/>
    <w:rsid w:val="00A759A9"/>
    <w:rsid w:val="00A75A46"/>
    <w:rsid w:val="00A76C85"/>
    <w:rsid w:val="00A81D43"/>
    <w:rsid w:val="00A82A89"/>
    <w:rsid w:val="00A84CEC"/>
    <w:rsid w:val="00A84F85"/>
    <w:rsid w:val="00A85028"/>
    <w:rsid w:val="00A8559D"/>
    <w:rsid w:val="00A86049"/>
    <w:rsid w:val="00A868E2"/>
    <w:rsid w:val="00A86A49"/>
    <w:rsid w:val="00A8700C"/>
    <w:rsid w:val="00A9082F"/>
    <w:rsid w:val="00A92ABA"/>
    <w:rsid w:val="00A94370"/>
    <w:rsid w:val="00A946B4"/>
    <w:rsid w:val="00A94A4A"/>
    <w:rsid w:val="00A95141"/>
    <w:rsid w:val="00A9533A"/>
    <w:rsid w:val="00A95966"/>
    <w:rsid w:val="00A9596F"/>
    <w:rsid w:val="00A95AFE"/>
    <w:rsid w:val="00AA07CE"/>
    <w:rsid w:val="00AA1D15"/>
    <w:rsid w:val="00AA2CBB"/>
    <w:rsid w:val="00AA4C29"/>
    <w:rsid w:val="00AA6805"/>
    <w:rsid w:val="00AA6C92"/>
    <w:rsid w:val="00AA6FC4"/>
    <w:rsid w:val="00AA733B"/>
    <w:rsid w:val="00AA7B19"/>
    <w:rsid w:val="00AA7D37"/>
    <w:rsid w:val="00AB039C"/>
    <w:rsid w:val="00AB1830"/>
    <w:rsid w:val="00AB202E"/>
    <w:rsid w:val="00AB257C"/>
    <w:rsid w:val="00AB3495"/>
    <w:rsid w:val="00AB5986"/>
    <w:rsid w:val="00AB5C72"/>
    <w:rsid w:val="00AB5CE2"/>
    <w:rsid w:val="00AB621E"/>
    <w:rsid w:val="00AC042A"/>
    <w:rsid w:val="00AC1F06"/>
    <w:rsid w:val="00AC35CC"/>
    <w:rsid w:val="00AC35DA"/>
    <w:rsid w:val="00AC3E17"/>
    <w:rsid w:val="00AC5A27"/>
    <w:rsid w:val="00AC5B9F"/>
    <w:rsid w:val="00AC6111"/>
    <w:rsid w:val="00AC6123"/>
    <w:rsid w:val="00AC6BE7"/>
    <w:rsid w:val="00AC7AD3"/>
    <w:rsid w:val="00AD16EF"/>
    <w:rsid w:val="00AD17F9"/>
    <w:rsid w:val="00AD1A46"/>
    <w:rsid w:val="00AD261F"/>
    <w:rsid w:val="00AD31C3"/>
    <w:rsid w:val="00AD323C"/>
    <w:rsid w:val="00AD3B9A"/>
    <w:rsid w:val="00AD488E"/>
    <w:rsid w:val="00AD6CCB"/>
    <w:rsid w:val="00AE0655"/>
    <w:rsid w:val="00AE07AD"/>
    <w:rsid w:val="00AE1B12"/>
    <w:rsid w:val="00AE3819"/>
    <w:rsid w:val="00AE4BF0"/>
    <w:rsid w:val="00AF0A2F"/>
    <w:rsid w:val="00AF2D7A"/>
    <w:rsid w:val="00AF34E9"/>
    <w:rsid w:val="00AF418F"/>
    <w:rsid w:val="00AF501D"/>
    <w:rsid w:val="00AF5731"/>
    <w:rsid w:val="00AF60F6"/>
    <w:rsid w:val="00B00710"/>
    <w:rsid w:val="00B00FA6"/>
    <w:rsid w:val="00B011EE"/>
    <w:rsid w:val="00B01D63"/>
    <w:rsid w:val="00B0213C"/>
    <w:rsid w:val="00B03004"/>
    <w:rsid w:val="00B035ED"/>
    <w:rsid w:val="00B0429B"/>
    <w:rsid w:val="00B05A29"/>
    <w:rsid w:val="00B062D4"/>
    <w:rsid w:val="00B075E0"/>
    <w:rsid w:val="00B112C4"/>
    <w:rsid w:val="00B11CD9"/>
    <w:rsid w:val="00B129AD"/>
    <w:rsid w:val="00B14A7B"/>
    <w:rsid w:val="00B14F53"/>
    <w:rsid w:val="00B15E16"/>
    <w:rsid w:val="00B169C6"/>
    <w:rsid w:val="00B16F1E"/>
    <w:rsid w:val="00B1717E"/>
    <w:rsid w:val="00B1799D"/>
    <w:rsid w:val="00B17F4D"/>
    <w:rsid w:val="00B20A56"/>
    <w:rsid w:val="00B20E32"/>
    <w:rsid w:val="00B22E31"/>
    <w:rsid w:val="00B25C94"/>
    <w:rsid w:val="00B260EF"/>
    <w:rsid w:val="00B26538"/>
    <w:rsid w:val="00B27614"/>
    <w:rsid w:val="00B30D06"/>
    <w:rsid w:val="00B32405"/>
    <w:rsid w:val="00B33409"/>
    <w:rsid w:val="00B34355"/>
    <w:rsid w:val="00B35D10"/>
    <w:rsid w:val="00B3606E"/>
    <w:rsid w:val="00B377EE"/>
    <w:rsid w:val="00B37C34"/>
    <w:rsid w:val="00B405FC"/>
    <w:rsid w:val="00B40BC0"/>
    <w:rsid w:val="00B41700"/>
    <w:rsid w:val="00B477B4"/>
    <w:rsid w:val="00B503A1"/>
    <w:rsid w:val="00B54539"/>
    <w:rsid w:val="00B546A7"/>
    <w:rsid w:val="00B62F2D"/>
    <w:rsid w:val="00B63DCD"/>
    <w:rsid w:val="00B64754"/>
    <w:rsid w:val="00B64FED"/>
    <w:rsid w:val="00B658E1"/>
    <w:rsid w:val="00B65CB1"/>
    <w:rsid w:val="00B65E49"/>
    <w:rsid w:val="00B666D0"/>
    <w:rsid w:val="00B66C47"/>
    <w:rsid w:val="00B678AE"/>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2D15"/>
    <w:rsid w:val="00BA3190"/>
    <w:rsid w:val="00BA5A88"/>
    <w:rsid w:val="00BA5D76"/>
    <w:rsid w:val="00BA6EE8"/>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2F4"/>
    <w:rsid w:val="00BD56EA"/>
    <w:rsid w:val="00BD571A"/>
    <w:rsid w:val="00BD5CBD"/>
    <w:rsid w:val="00BD63F8"/>
    <w:rsid w:val="00BD6CAF"/>
    <w:rsid w:val="00BD7B81"/>
    <w:rsid w:val="00BD7E31"/>
    <w:rsid w:val="00BE153E"/>
    <w:rsid w:val="00BE15F2"/>
    <w:rsid w:val="00BE261A"/>
    <w:rsid w:val="00BE284B"/>
    <w:rsid w:val="00BE505A"/>
    <w:rsid w:val="00BF1AF8"/>
    <w:rsid w:val="00BF1B17"/>
    <w:rsid w:val="00BF236B"/>
    <w:rsid w:val="00BF2EC3"/>
    <w:rsid w:val="00BF34E0"/>
    <w:rsid w:val="00BF3950"/>
    <w:rsid w:val="00BF446B"/>
    <w:rsid w:val="00BF4FCA"/>
    <w:rsid w:val="00BF4FCC"/>
    <w:rsid w:val="00BF569E"/>
    <w:rsid w:val="00BF79CD"/>
    <w:rsid w:val="00C00466"/>
    <w:rsid w:val="00C01643"/>
    <w:rsid w:val="00C0345E"/>
    <w:rsid w:val="00C038A5"/>
    <w:rsid w:val="00C04333"/>
    <w:rsid w:val="00C04505"/>
    <w:rsid w:val="00C059B6"/>
    <w:rsid w:val="00C05A89"/>
    <w:rsid w:val="00C13D8D"/>
    <w:rsid w:val="00C144C8"/>
    <w:rsid w:val="00C15A9A"/>
    <w:rsid w:val="00C15AAA"/>
    <w:rsid w:val="00C15FAD"/>
    <w:rsid w:val="00C168DB"/>
    <w:rsid w:val="00C16CFB"/>
    <w:rsid w:val="00C20F0D"/>
    <w:rsid w:val="00C22309"/>
    <w:rsid w:val="00C2241D"/>
    <w:rsid w:val="00C229E0"/>
    <w:rsid w:val="00C23BB2"/>
    <w:rsid w:val="00C2696C"/>
    <w:rsid w:val="00C27D3C"/>
    <w:rsid w:val="00C33A1C"/>
    <w:rsid w:val="00C34369"/>
    <w:rsid w:val="00C37220"/>
    <w:rsid w:val="00C378F1"/>
    <w:rsid w:val="00C37AB3"/>
    <w:rsid w:val="00C37D05"/>
    <w:rsid w:val="00C41CA4"/>
    <w:rsid w:val="00C43A7F"/>
    <w:rsid w:val="00C43F2E"/>
    <w:rsid w:val="00C45538"/>
    <w:rsid w:val="00C45AC0"/>
    <w:rsid w:val="00C45FC0"/>
    <w:rsid w:val="00C462AC"/>
    <w:rsid w:val="00C466DC"/>
    <w:rsid w:val="00C51B5D"/>
    <w:rsid w:val="00C51DE5"/>
    <w:rsid w:val="00C523A6"/>
    <w:rsid w:val="00C53119"/>
    <w:rsid w:val="00C53DC6"/>
    <w:rsid w:val="00C54FB9"/>
    <w:rsid w:val="00C55542"/>
    <w:rsid w:val="00C573A3"/>
    <w:rsid w:val="00C57553"/>
    <w:rsid w:val="00C57782"/>
    <w:rsid w:val="00C602D7"/>
    <w:rsid w:val="00C61305"/>
    <w:rsid w:val="00C614D4"/>
    <w:rsid w:val="00C62404"/>
    <w:rsid w:val="00C64881"/>
    <w:rsid w:val="00C656AE"/>
    <w:rsid w:val="00C65A7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03E7"/>
    <w:rsid w:val="00C81973"/>
    <w:rsid w:val="00C82CE3"/>
    <w:rsid w:val="00C855E6"/>
    <w:rsid w:val="00C86DB6"/>
    <w:rsid w:val="00C86E29"/>
    <w:rsid w:val="00C87E34"/>
    <w:rsid w:val="00C9025C"/>
    <w:rsid w:val="00C91E59"/>
    <w:rsid w:val="00C92E01"/>
    <w:rsid w:val="00C94AB2"/>
    <w:rsid w:val="00C94C99"/>
    <w:rsid w:val="00C9606B"/>
    <w:rsid w:val="00C97E2D"/>
    <w:rsid w:val="00CA1407"/>
    <w:rsid w:val="00CA1848"/>
    <w:rsid w:val="00CA18D6"/>
    <w:rsid w:val="00CA325A"/>
    <w:rsid w:val="00CA5759"/>
    <w:rsid w:val="00CA5BB7"/>
    <w:rsid w:val="00CA67D4"/>
    <w:rsid w:val="00CA6A16"/>
    <w:rsid w:val="00CA6DDE"/>
    <w:rsid w:val="00CA77DF"/>
    <w:rsid w:val="00CA7888"/>
    <w:rsid w:val="00CB0283"/>
    <w:rsid w:val="00CB0B83"/>
    <w:rsid w:val="00CB11FF"/>
    <w:rsid w:val="00CB1C91"/>
    <w:rsid w:val="00CB3A7D"/>
    <w:rsid w:val="00CB3B5A"/>
    <w:rsid w:val="00CB4CD5"/>
    <w:rsid w:val="00CB6117"/>
    <w:rsid w:val="00CB630B"/>
    <w:rsid w:val="00CB6878"/>
    <w:rsid w:val="00CC07BE"/>
    <w:rsid w:val="00CC0AA9"/>
    <w:rsid w:val="00CC26C6"/>
    <w:rsid w:val="00CC28F3"/>
    <w:rsid w:val="00CC2D1A"/>
    <w:rsid w:val="00CC41EB"/>
    <w:rsid w:val="00CC6752"/>
    <w:rsid w:val="00CC6F25"/>
    <w:rsid w:val="00CC706E"/>
    <w:rsid w:val="00CD11E2"/>
    <w:rsid w:val="00CD3014"/>
    <w:rsid w:val="00CD3056"/>
    <w:rsid w:val="00CD4B69"/>
    <w:rsid w:val="00CD5C49"/>
    <w:rsid w:val="00CD7FBD"/>
    <w:rsid w:val="00CE0AB0"/>
    <w:rsid w:val="00CE14FE"/>
    <w:rsid w:val="00CE2137"/>
    <w:rsid w:val="00CE24B5"/>
    <w:rsid w:val="00CE332D"/>
    <w:rsid w:val="00CE36AA"/>
    <w:rsid w:val="00CE382D"/>
    <w:rsid w:val="00CE3AF5"/>
    <w:rsid w:val="00CE4C78"/>
    <w:rsid w:val="00CE4EFC"/>
    <w:rsid w:val="00CF058B"/>
    <w:rsid w:val="00CF0733"/>
    <w:rsid w:val="00CF282B"/>
    <w:rsid w:val="00CF5055"/>
    <w:rsid w:val="00CF715C"/>
    <w:rsid w:val="00CF7322"/>
    <w:rsid w:val="00D0010E"/>
    <w:rsid w:val="00D00687"/>
    <w:rsid w:val="00D00F45"/>
    <w:rsid w:val="00D00FC4"/>
    <w:rsid w:val="00D02DFE"/>
    <w:rsid w:val="00D03C8E"/>
    <w:rsid w:val="00D04A8E"/>
    <w:rsid w:val="00D063F6"/>
    <w:rsid w:val="00D06B79"/>
    <w:rsid w:val="00D06D5A"/>
    <w:rsid w:val="00D0799D"/>
    <w:rsid w:val="00D1089B"/>
    <w:rsid w:val="00D10B1E"/>
    <w:rsid w:val="00D126AA"/>
    <w:rsid w:val="00D13D16"/>
    <w:rsid w:val="00D155BA"/>
    <w:rsid w:val="00D15819"/>
    <w:rsid w:val="00D15B3C"/>
    <w:rsid w:val="00D16600"/>
    <w:rsid w:val="00D177CB"/>
    <w:rsid w:val="00D26305"/>
    <w:rsid w:val="00D26E74"/>
    <w:rsid w:val="00D272D8"/>
    <w:rsid w:val="00D312D4"/>
    <w:rsid w:val="00D329A9"/>
    <w:rsid w:val="00D32E5E"/>
    <w:rsid w:val="00D33A36"/>
    <w:rsid w:val="00D34DC0"/>
    <w:rsid w:val="00D402FC"/>
    <w:rsid w:val="00D406B0"/>
    <w:rsid w:val="00D4227C"/>
    <w:rsid w:val="00D42BF0"/>
    <w:rsid w:val="00D42C68"/>
    <w:rsid w:val="00D434D2"/>
    <w:rsid w:val="00D43E2F"/>
    <w:rsid w:val="00D45A12"/>
    <w:rsid w:val="00D50A3D"/>
    <w:rsid w:val="00D50D1D"/>
    <w:rsid w:val="00D513DF"/>
    <w:rsid w:val="00D5298B"/>
    <w:rsid w:val="00D535DB"/>
    <w:rsid w:val="00D5377E"/>
    <w:rsid w:val="00D544E8"/>
    <w:rsid w:val="00D54D4F"/>
    <w:rsid w:val="00D55853"/>
    <w:rsid w:val="00D559B4"/>
    <w:rsid w:val="00D56E97"/>
    <w:rsid w:val="00D570F9"/>
    <w:rsid w:val="00D5795D"/>
    <w:rsid w:val="00D61686"/>
    <w:rsid w:val="00D63119"/>
    <w:rsid w:val="00D63675"/>
    <w:rsid w:val="00D641EA"/>
    <w:rsid w:val="00D64C93"/>
    <w:rsid w:val="00D65B9A"/>
    <w:rsid w:val="00D66E64"/>
    <w:rsid w:val="00D6701C"/>
    <w:rsid w:val="00D672A2"/>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409"/>
    <w:rsid w:val="00D979B7"/>
    <w:rsid w:val="00D97A66"/>
    <w:rsid w:val="00DA1DAD"/>
    <w:rsid w:val="00DA282E"/>
    <w:rsid w:val="00DA3172"/>
    <w:rsid w:val="00DA32F2"/>
    <w:rsid w:val="00DA4490"/>
    <w:rsid w:val="00DA46BF"/>
    <w:rsid w:val="00DA4775"/>
    <w:rsid w:val="00DA726A"/>
    <w:rsid w:val="00DA764E"/>
    <w:rsid w:val="00DB00CB"/>
    <w:rsid w:val="00DB0471"/>
    <w:rsid w:val="00DB0807"/>
    <w:rsid w:val="00DB1E70"/>
    <w:rsid w:val="00DB3357"/>
    <w:rsid w:val="00DB4284"/>
    <w:rsid w:val="00DB625F"/>
    <w:rsid w:val="00DB7229"/>
    <w:rsid w:val="00DC014C"/>
    <w:rsid w:val="00DC0405"/>
    <w:rsid w:val="00DC091F"/>
    <w:rsid w:val="00DC1D93"/>
    <w:rsid w:val="00DC2094"/>
    <w:rsid w:val="00DC3ED6"/>
    <w:rsid w:val="00DC549D"/>
    <w:rsid w:val="00DC56E7"/>
    <w:rsid w:val="00DC5DF4"/>
    <w:rsid w:val="00DC717C"/>
    <w:rsid w:val="00DC73D5"/>
    <w:rsid w:val="00DC77CA"/>
    <w:rsid w:val="00DD0735"/>
    <w:rsid w:val="00DD2B14"/>
    <w:rsid w:val="00DD2EEC"/>
    <w:rsid w:val="00DD473D"/>
    <w:rsid w:val="00DD531F"/>
    <w:rsid w:val="00DD653A"/>
    <w:rsid w:val="00DD6811"/>
    <w:rsid w:val="00DD7BD2"/>
    <w:rsid w:val="00DD7BEF"/>
    <w:rsid w:val="00DE107D"/>
    <w:rsid w:val="00DE24A1"/>
    <w:rsid w:val="00DE3816"/>
    <w:rsid w:val="00DE4389"/>
    <w:rsid w:val="00DE4FB6"/>
    <w:rsid w:val="00DF296A"/>
    <w:rsid w:val="00DF2ADB"/>
    <w:rsid w:val="00DF327C"/>
    <w:rsid w:val="00DF3B71"/>
    <w:rsid w:val="00DF47BE"/>
    <w:rsid w:val="00DF47D7"/>
    <w:rsid w:val="00DF4B59"/>
    <w:rsid w:val="00DF5714"/>
    <w:rsid w:val="00DF5EB2"/>
    <w:rsid w:val="00DF681E"/>
    <w:rsid w:val="00DF6836"/>
    <w:rsid w:val="00E00A15"/>
    <w:rsid w:val="00E00A2B"/>
    <w:rsid w:val="00E00D87"/>
    <w:rsid w:val="00E012FF"/>
    <w:rsid w:val="00E013F1"/>
    <w:rsid w:val="00E027F3"/>
    <w:rsid w:val="00E0294F"/>
    <w:rsid w:val="00E032DD"/>
    <w:rsid w:val="00E03533"/>
    <w:rsid w:val="00E0362D"/>
    <w:rsid w:val="00E036AA"/>
    <w:rsid w:val="00E03A33"/>
    <w:rsid w:val="00E04F3F"/>
    <w:rsid w:val="00E051E6"/>
    <w:rsid w:val="00E05674"/>
    <w:rsid w:val="00E075E7"/>
    <w:rsid w:val="00E07CB8"/>
    <w:rsid w:val="00E07F02"/>
    <w:rsid w:val="00E10712"/>
    <w:rsid w:val="00E13763"/>
    <w:rsid w:val="00E17EC8"/>
    <w:rsid w:val="00E21102"/>
    <w:rsid w:val="00E211D9"/>
    <w:rsid w:val="00E214B8"/>
    <w:rsid w:val="00E236D4"/>
    <w:rsid w:val="00E23E58"/>
    <w:rsid w:val="00E24026"/>
    <w:rsid w:val="00E24C8A"/>
    <w:rsid w:val="00E264F9"/>
    <w:rsid w:val="00E26F04"/>
    <w:rsid w:val="00E27548"/>
    <w:rsid w:val="00E276DC"/>
    <w:rsid w:val="00E27C39"/>
    <w:rsid w:val="00E33043"/>
    <w:rsid w:val="00E36B04"/>
    <w:rsid w:val="00E37886"/>
    <w:rsid w:val="00E37BD2"/>
    <w:rsid w:val="00E40F74"/>
    <w:rsid w:val="00E41B36"/>
    <w:rsid w:val="00E47905"/>
    <w:rsid w:val="00E4792B"/>
    <w:rsid w:val="00E51B7A"/>
    <w:rsid w:val="00E51C41"/>
    <w:rsid w:val="00E52E9E"/>
    <w:rsid w:val="00E5304A"/>
    <w:rsid w:val="00E53644"/>
    <w:rsid w:val="00E53AA7"/>
    <w:rsid w:val="00E544A1"/>
    <w:rsid w:val="00E5462B"/>
    <w:rsid w:val="00E55275"/>
    <w:rsid w:val="00E567CB"/>
    <w:rsid w:val="00E57110"/>
    <w:rsid w:val="00E577D3"/>
    <w:rsid w:val="00E57928"/>
    <w:rsid w:val="00E60FC8"/>
    <w:rsid w:val="00E61F1A"/>
    <w:rsid w:val="00E63BBC"/>
    <w:rsid w:val="00E6437E"/>
    <w:rsid w:val="00E65102"/>
    <w:rsid w:val="00E651A3"/>
    <w:rsid w:val="00E651DE"/>
    <w:rsid w:val="00E666C1"/>
    <w:rsid w:val="00E66C6F"/>
    <w:rsid w:val="00E702BA"/>
    <w:rsid w:val="00E70A5E"/>
    <w:rsid w:val="00E72307"/>
    <w:rsid w:val="00E72EB0"/>
    <w:rsid w:val="00E74B0A"/>
    <w:rsid w:val="00E75BCB"/>
    <w:rsid w:val="00E75CCF"/>
    <w:rsid w:val="00E76174"/>
    <w:rsid w:val="00E7627C"/>
    <w:rsid w:val="00E764C2"/>
    <w:rsid w:val="00E80144"/>
    <w:rsid w:val="00E80584"/>
    <w:rsid w:val="00E810FC"/>
    <w:rsid w:val="00E817A2"/>
    <w:rsid w:val="00E821D8"/>
    <w:rsid w:val="00E82487"/>
    <w:rsid w:val="00E82B03"/>
    <w:rsid w:val="00E83CC8"/>
    <w:rsid w:val="00E84728"/>
    <w:rsid w:val="00E84CB8"/>
    <w:rsid w:val="00E84EE0"/>
    <w:rsid w:val="00E8549C"/>
    <w:rsid w:val="00E8610D"/>
    <w:rsid w:val="00E8692E"/>
    <w:rsid w:val="00E90C78"/>
    <w:rsid w:val="00E9147A"/>
    <w:rsid w:val="00E91C99"/>
    <w:rsid w:val="00E91E27"/>
    <w:rsid w:val="00E92020"/>
    <w:rsid w:val="00E9281F"/>
    <w:rsid w:val="00E9440E"/>
    <w:rsid w:val="00E94945"/>
    <w:rsid w:val="00E94A60"/>
    <w:rsid w:val="00E95868"/>
    <w:rsid w:val="00E96583"/>
    <w:rsid w:val="00E97382"/>
    <w:rsid w:val="00E974A7"/>
    <w:rsid w:val="00E97567"/>
    <w:rsid w:val="00EA0FC7"/>
    <w:rsid w:val="00EA22D5"/>
    <w:rsid w:val="00EA33CB"/>
    <w:rsid w:val="00EA5D05"/>
    <w:rsid w:val="00EA5EA9"/>
    <w:rsid w:val="00EA6751"/>
    <w:rsid w:val="00EB084D"/>
    <w:rsid w:val="00EB3586"/>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049D"/>
    <w:rsid w:val="00ED17DF"/>
    <w:rsid w:val="00ED2A1E"/>
    <w:rsid w:val="00ED2B78"/>
    <w:rsid w:val="00ED5E0D"/>
    <w:rsid w:val="00ED61D8"/>
    <w:rsid w:val="00ED645C"/>
    <w:rsid w:val="00ED64F0"/>
    <w:rsid w:val="00ED678E"/>
    <w:rsid w:val="00ED6916"/>
    <w:rsid w:val="00ED72CE"/>
    <w:rsid w:val="00ED7A5F"/>
    <w:rsid w:val="00ED7E34"/>
    <w:rsid w:val="00EE1CD9"/>
    <w:rsid w:val="00EE22FB"/>
    <w:rsid w:val="00EE29BB"/>
    <w:rsid w:val="00EE435F"/>
    <w:rsid w:val="00EE5683"/>
    <w:rsid w:val="00EE66E0"/>
    <w:rsid w:val="00EE777A"/>
    <w:rsid w:val="00EE7B54"/>
    <w:rsid w:val="00EF05E5"/>
    <w:rsid w:val="00EF1239"/>
    <w:rsid w:val="00EF12B8"/>
    <w:rsid w:val="00EF1FB2"/>
    <w:rsid w:val="00EF3558"/>
    <w:rsid w:val="00EF5035"/>
    <w:rsid w:val="00F00700"/>
    <w:rsid w:val="00F0142D"/>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2CB3"/>
    <w:rsid w:val="00F12FF6"/>
    <w:rsid w:val="00F14C9B"/>
    <w:rsid w:val="00F2299B"/>
    <w:rsid w:val="00F25C9C"/>
    <w:rsid w:val="00F30031"/>
    <w:rsid w:val="00F30778"/>
    <w:rsid w:val="00F312EE"/>
    <w:rsid w:val="00F31615"/>
    <w:rsid w:val="00F34312"/>
    <w:rsid w:val="00F34491"/>
    <w:rsid w:val="00F3464A"/>
    <w:rsid w:val="00F35C3E"/>
    <w:rsid w:val="00F37B3A"/>
    <w:rsid w:val="00F437F0"/>
    <w:rsid w:val="00F44D42"/>
    <w:rsid w:val="00F472CC"/>
    <w:rsid w:val="00F5015C"/>
    <w:rsid w:val="00F5252A"/>
    <w:rsid w:val="00F545F3"/>
    <w:rsid w:val="00F54728"/>
    <w:rsid w:val="00F55025"/>
    <w:rsid w:val="00F55229"/>
    <w:rsid w:val="00F556B7"/>
    <w:rsid w:val="00F5651F"/>
    <w:rsid w:val="00F56F34"/>
    <w:rsid w:val="00F57028"/>
    <w:rsid w:val="00F5769D"/>
    <w:rsid w:val="00F61806"/>
    <w:rsid w:val="00F62ECF"/>
    <w:rsid w:val="00F632BB"/>
    <w:rsid w:val="00F6503B"/>
    <w:rsid w:val="00F65107"/>
    <w:rsid w:val="00F651A0"/>
    <w:rsid w:val="00F6557A"/>
    <w:rsid w:val="00F6592D"/>
    <w:rsid w:val="00F665D4"/>
    <w:rsid w:val="00F72547"/>
    <w:rsid w:val="00F742C9"/>
    <w:rsid w:val="00F75BFF"/>
    <w:rsid w:val="00F8193B"/>
    <w:rsid w:val="00F83188"/>
    <w:rsid w:val="00F837BB"/>
    <w:rsid w:val="00F83E3C"/>
    <w:rsid w:val="00F853BF"/>
    <w:rsid w:val="00F8597D"/>
    <w:rsid w:val="00F85C3F"/>
    <w:rsid w:val="00F86020"/>
    <w:rsid w:val="00F871A3"/>
    <w:rsid w:val="00F92104"/>
    <w:rsid w:val="00F936EC"/>
    <w:rsid w:val="00F93DEC"/>
    <w:rsid w:val="00F940F4"/>
    <w:rsid w:val="00F97DA6"/>
    <w:rsid w:val="00FA01C6"/>
    <w:rsid w:val="00FA1735"/>
    <w:rsid w:val="00FA449A"/>
    <w:rsid w:val="00FA6BA4"/>
    <w:rsid w:val="00FA7063"/>
    <w:rsid w:val="00FA7135"/>
    <w:rsid w:val="00FA79B3"/>
    <w:rsid w:val="00FB38C1"/>
    <w:rsid w:val="00FB4B87"/>
    <w:rsid w:val="00FB544A"/>
    <w:rsid w:val="00FB7DAD"/>
    <w:rsid w:val="00FC0700"/>
    <w:rsid w:val="00FC0B9A"/>
    <w:rsid w:val="00FC2784"/>
    <w:rsid w:val="00FC27DF"/>
    <w:rsid w:val="00FC2F6E"/>
    <w:rsid w:val="00FC2FA5"/>
    <w:rsid w:val="00FC36DC"/>
    <w:rsid w:val="00FC4DB4"/>
    <w:rsid w:val="00FC611D"/>
    <w:rsid w:val="00FC7134"/>
    <w:rsid w:val="00FC7EAB"/>
    <w:rsid w:val="00FD02FB"/>
    <w:rsid w:val="00FD213A"/>
    <w:rsid w:val="00FD30C8"/>
    <w:rsid w:val="00FD37B4"/>
    <w:rsid w:val="00FD3AB3"/>
    <w:rsid w:val="00FD3BC9"/>
    <w:rsid w:val="00FD3C59"/>
    <w:rsid w:val="00FD47F7"/>
    <w:rsid w:val="00FD5861"/>
    <w:rsid w:val="00FD5A33"/>
    <w:rsid w:val="00FD5F80"/>
    <w:rsid w:val="00FD6745"/>
    <w:rsid w:val="00FD6CC6"/>
    <w:rsid w:val="00FE0BEA"/>
    <w:rsid w:val="00FE0DA3"/>
    <w:rsid w:val="00FE1C93"/>
    <w:rsid w:val="00FE1D1E"/>
    <w:rsid w:val="00FF03AD"/>
    <w:rsid w:val="00FF2D7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 w:type="character" w:customStyle="1" w:styleId="rpcq1">
    <w:name w:val="_rpc_q1"/>
    <w:basedOn w:val="DefaultParagraphFont"/>
    <w:rsid w:val="005B7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 w:type="character" w:customStyle="1" w:styleId="rpcq1">
    <w:name w:val="_rpc_q1"/>
    <w:basedOn w:val="DefaultParagraphFont"/>
    <w:rsid w:val="005B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mamoglu@tusiad.org"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EEA68-86DB-4483-9F3F-BBC60DDF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3</cp:revision>
  <cp:lastPrinted>2015-03-19T09:39:00Z</cp:lastPrinted>
  <dcterms:created xsi:type="dcterms:W3CDTF">2015-07-21T10:24:00Z</dcterms:created>
  <dcterms:modified xsi:type="dcterms:W3CDTF">2015-07-21T10:33:00Z</dcterms:modified>
</cp:coreProperties>
</file>